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415BA0" w14:paraId="6CE1B708" w14:textId="77777777" w:rsidTr="00B6553F">
        <w:trPr>
          <w:cantSplit/>
          <w:trHeight w:hRule="exact" w:val="851"/>
        </w:trPr>
        <w:tc>
          <w:tcPr>
            <w:tcW w:w="1276" w:type="dxa"/>
            <w:tcBorders>
              <w:bottom w:val="single" w:sz="4" w:space="0" w:color="auto"/>
            </w:tcBorders>
            <w:vAlign w:val="bottom"/>
          </w:tcPr>
          <w:p w14:paraId="33C73ABA" w14:textId="77777777" w:rsidR="000128E3" w:rsidRPr="000B4A49" w:rsidRDefault="000128E3" w:rsidP="00B6553F">
            <w:pPr>
              <w:spacing w:after="80"/>
            </w:pPr>
          </w:p>
        </w:tc>
        <w:tc>
          <w:tcPr>
            <w:tcW w:w="2268" w:type="dxa"/>
            <w:tcBorders>
              <w:bottom w:val="single" w:sz="4" w:space="0" w:color="auto"/>
            </w:tcBorders>
            <w:vAlign w:val="bottom"/>
          </w:tcPr>
          <w:p w14:paraId="7D24C8DC" w14:textId="77777777" w:rsidR="000128E3" w:rsidRPr="00415BA0" w:rsidRDefault="000128E3" w:rsidP="00B6553F">
            <w:pPr>
              <w:spacing w:after="80" w:line="300" w:lineRule="exact"/>
              <w:rPr>
                <w:b/>
              </w:rPr>
            </w:pPr>
            <w:r w:rsidRPr="00415BA0">
              <w:rPr>
                <w:sz w:val="28"/>
                <w:szCs w:val="28"/>
              </w:rPr>
              <w:t>United Nations</w:t>
            </w:r>
          </w:p>
        </w:tc>
        <w:tc>
          <w:tcPr>
            <w:tcW w:w="6095" w:type="dxa"/>
            <w:gridSpan w:val="2"/>
            <w:tcBorders>
              <w:bottom w:val="single" w:sz="4" w:space="0" w:color="auto"/>
            </w:tcBorders>
            <w:vAlign w:val="bottom"/>
          </w:tcPr>
          <w:p w14:paraId="073A9138" w14:textId="14C60390" w:rsidR="000128E3" w:rsidRPr="00415BA0" w:rsidRDefault="000128E3" w:rsidP="00A1054C">
            <w:pPr>
              <w:jc w:val="right"/>
            </w:pPr>
            <w:r w:rsidRPr="00415BA0">
              <w:rPr>
                <w:sz w:val="40"/>
              </w:rPr>
              <w:t>CCPR</w:t>
            </w:r>
            <w:r w:rsidR="00431FE1" w:rsidRPr="000F7D78">
              <w:rPr>
                <w:sz w:val="20"/>
              </w:rPr>
              <w:t>/C/1</w:t>
            </w:r>
            <w:r w:rsidR="004D72AD" w:rsidRPr="000F7D78">
              <w:rPr>
                <w:sz w:val="20"/>
              </w:rPr>
              <w:t>3</w:t>
            </w:r>
            <w:r w:rsidR="00385754">
              <w:rPr>
                <w:sz w:val="20"/>
              </w:rPr>
              <w:t>5</w:t>
            </w:r>
            <w:r w:rsidRPr="000F7D78">
              <w:rPr>
                <w:sz w:val="20"/>
              </w:rPr>
              <w:t>/</w:t>
            </w:r>
            <w:r w:rsidR="00291E45">
              <w:rPr>
                <w:sz w:val="20"/>
              </w:rPr>
              <w:t>D</w:t>
            </w:r>
            <w:r w:rsidR="009C7EFD" w:rsidRPr="000F7D78">
              <w:rPr>
                <w:sz w:val="20"/>
              </w:rPr>
              <w:t>/2</w:t>
            </w:r>
            <w:r w:rsidR="0090577F">
              <w:rPr>
                <w:sz w:val="20"/>
              </w:rPr>
              <w:t>917</w:t>
            </w:r>
            <w:r w:rsidRPr="000F7D78">
              <w:rPr>
                <w:sz w:val="20"/>
              </w:rPr>
              <w:t>/201</w:t>
            </w:r>
            <w:r w:rsidR="00291E45">
              <w:rPr>
                <w:sz w:val="20"/>
              </w:rPr>
              <w:t>6</w:t>
            </w:r>
          </w:p>
        </w:tc>
      </w:tr>
      <w:tr w:rsidR="000128E3" w:rsidRPr="00415BA0" w14:paraId="09E84155" w14:textId="77777777" w:rsidTr="00B6553F">
        <w:trPr>
          <w:cantSplit/>
          <w:trHeight w:hRule="exact" w:val="2835"/>
        </w:trPr>
        <w:tc>
          <w:tcPr>
            <w:tcW w:w="1276" w:type="dxa"/>
            <w:tcBorders>
              <w:top w:val="single" w:sz="4" w:space="0" w:color="auto"/>
              <w:bottom w:val="single" w:sz="12" w:space="0" w:color="auto"/>
            </w:tcBorders>
          </w:tcPr>
          <w:p w14:paraId="2A3795C2" w14:textId="77777777" w:rsidR="000128E3" w:rsidRPr="00415BA0" w:rsidRDefault="00F145AF" w:rsidP="00B6553F">
            <w:pPr>
              <w:spacing w:before="120"/>
            </w:pPr>
            <w:r w:rsidRPr="00415BA0">
              <w:rPr>
                <w:noProof/>
                <w:lang w:val="en-GB" w:eastAsia="en-GB" w:bidi="ar-SA"/>
              </w:rPr>
              <w:drawing>
                <wp:inline distT="0" distB="0" distL="0" distR="0" wp14:anchorId="4B8543F2" wp14:editId="528C8589">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505DA3" w14:textId="77777777" w:rsidR="00C7385F" w:rsidRDefault="000128E3" w:rsidP="00267F5F">
            <w:pPr>
              <w:spacing w:before="120" w:line="380" w:lineRule="exact"/>
              <w:rPr>
                <w:b/>
                <w:sz w:val="34"/>
                <w:szCs w:val="40"/>
              </w:rPr>
            </w:pPr>
            <w:r w:rsidRPr="00415BA0">
              <w:rPr>
                <w:b/>
                <w:sz w:val="34"/>
                <w:szCs w:val="40"/>
              </w:rPr>
              <w:t>International Covenant on</w:t>
            </w:r>
            <w:r w:rsidRPr="00415BA0">
              <w:rPr>
                <w:b/>
                <w:sz w:val="34"/>
                <w:szCs w:val="40"/>
              </w:rPr>
              <w:br/>
              <w:t>Civil and Political Rights</w:t>
            </w:r>
          </w:p>
          <w:p w14:paraId="1F1EED21" w14:textId="77777777" w:rsidR="00C77730" w:rsidRDefault="00C77730" w:rsidP="00267F5F">
            <w:pPr>
              <w:spacing w:before="120" w:line="380" w:lineRule="exact"/>
              <w:rPr>
                <w:b/>
                <w:sz w:val="34"/>
                <w:szCs w:val="40"/>
              </w:rPr>
            </w:pPr>
          </w:p>
          <w:p w14:paraId="31790407" w14:textId="12FAD2A9" w:rsidR="00C77730" w:rsidRPr="00415BA0" w:rsidRDefault="00C77730" w:rsidP="00267F5F">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0A9C3E23" w14:textId="68AC09F7" w:rsidR="00FC70CA" w:rsidRPr="009124B3" w:rsidRDefault="00FC70CA" w:rsidP="00C77730">
            <w:pPr>
              <w:spacing w:before="240" w:line="240" w:lineRule="exact"/>
              <w:rPr>
                <w:sz w:val="20"/>
                <w:szCs w:val="20"/>
                <w:lang w:eastAsia="en-GB"/>
              </w:rPr>
            </w:pPr>
            <w:r w:rsidRPr="009124B3">
              <w:rPr>
                <w:sz w:val="20"/>
                <w:szCs w:val="20"/>
              </w:rPr>
              <w:t xml:space="preserve">Distr.: </w:t>
            </w:r>
            <w:r w:rsidR="00A1054C">
              <w:rPr>
                <w:sz w:val="20"/>
                <w:szCs w:val="20"/>
              </w:rPr>
              <w:t>General</w:t>
            </w:r>
          </w:p>
          <w:p w14:paraId="27088408" w14:textId="67EEE275" w:rsidR="00FC70CA" w:rsidRPr="009124B3" w:rsidRDefault="00C77730" w:rsidP="004146B6">
            <w:pPr>
              <w:spacing w:line="240" w:lineRule="exact"/>
              <w:rPr>
                <w:sz w:val="20"/>
                <w:szCs w:val="20"/>
              </w:rPr>
            </w:pPr>
            <w:r>
              <w:rPr>
                <w:sz w:val="20"/>
                <w:szCs w:val="20"/>
              </w:rPr>
              <w:t>11 November</w:t>
            </w:r>
            <w:r w:rsidR="0095140C">
              <w:rPr>
                <w:sz w:val="20"/>
                <w:szCs w:val="20"/>
              </w:rPr>
              <w:t xml:space="preserve"> </w:t>
            </w:r>
            <w:r w:rsidR="00AF4488" w:rsidRPr="009124B3">
              <w:rPr>
                <w:sz w:val="20"/>
                <w:szCs w:val="20"/>
              </w:rPr>
              <w:t>202</w:t>
            </w:r>
            <w:r w:rsidR="00B56B08">
              <w:rPr>
                <w:sz w:val="20"/>
                <w:szCs w:val="20"/>
              </w:rPr>
              <w:t>2</w:t>
            </w:r>
          </w:p>
          <w:p w14:paraId="0CBDED0B" w14:textId="77777777" w:rsidR="00FC70CA" w:rsidRPr="009124B3" w:rsidRDefault="00FC70CA" w:rsidP="00FC70CA">
            <w:pPr>
              <w:spacing w:line="240" w:lineRule="exact"/>
              <w:rPr>
                <w:sz w:val="20"/>
                <w:szCs w:val="20"/>
              </w:rPr>
            </w:pPr>
          </w:p>
          <w:p w14:paraId="6D3B7312" w14:textId="77777777" w:rsidR="00FC70CA" w:rsidRPr="009124B3" w:rsidRDefault="00FC70CA" w:rsidP="00FC70CA">
            <w:pPr>
              <w:spacing w:line="240" w:lineRule="exact"/>
              <w:rPr>
                <w:sz w:val="20"/>
                <w:szCs w:val="20"/>
              </w:rPr>
            </w:pPr>
            <w:r w:rsidRPr="009124B3">
              <w:rPr>
                <w:sz w:val="20"/>
                <w:szCs w:val="20"/>
              </w:rPr>
              <w:t>Original: English</w:t>
            </w:r>
          </w:p>
          <w:p w14:paraId="347F1227" w14:textId="77777777" w:rsidR="000128E3" w:rsidRPr="00415BA0" w:rsidRDefault="000128E3" w:rsidP="00C77730">
            <w:pPr>
              <w:spacing w:line="240" w:lineRule="exact"/>
            </w:pPr>
          </w:p>
        </w:tc>
      </w:tr>
    </w:tbl>
    <w:p w14:paraId="0A5EE9F1" w14:textId="0C3B31A4" w:rsidR="006F354E" w:rsidRDefault="006F354E" w:rsidP="006F354E">
      <w:pPr>
        <w:spacing w:before="120"/>
        <w:rPr>
          <w:b/>
          <w:bCs/>
        </w:rPr>
      </w:pPr>
      <w:r>
        <w:rPr>
          <w:b/>
          <w:bCs/>
        </w:rPr>
        <w:t>Human Rights Committee</w:t>
      </w:r>
    </w:p>
    <w:p w14:paraId="1B531B88" w14:textId="50B6AA5E" w:rsidR="006B740B" w:rsidRPr="0081272A" w:rsidRDefault="006B740B" w:rsidP="006B740B">
      <w:pPr>
        <w:rPr>
          <w:b/>
          <w:bCs/>
          <w:sz w:val="20"/>
          <w:szCs w:val="20"/>
        </w:rPr>
      </w:pPr>
    </w:p>
    <w:p w14:paraId="6A6D675A" w14:textId="0AB2B537" w:rsidR="008A5196" w:rsidRPr="00EF14C0" w:rsidRDefault="00720AD4">
      <w:pPr>
        <w:pStyle w:val="HChG"/>
      </w:pPr>
      <w:r w:rsidRPr="00783760">
        <w:tab/>
      </w:r>
      <w:r w:rsidRPr="00783760">
        <w:tab/>
      </w:r>
      <w:r w:rsidR="00A1054C" w:rsidRPr="00EF14C0">
        <w:t>Views adopted by the Committee under article 5 (4) of the Optional Protocol, concerning c</w:t>
      </w:r>
      <w:r w:rsidR="008A5196" w:rsidRPr="00EF14C0">
        <w:t xml:space="preserve">ommunication No. </w:t>
      </w:r>
      <w:r w:rsidR="008428C9" w:rsidRPr="00EF14C0">
        <w:t>2</w:t>
      </w:r>
      <w:r w:rsidR="0090577F" w:rsidRPr="00EF14C0">
        <w:t>917</w:t>
      </w:r>
      <w:r w:rsidR="00CB6C91" w:rsidRPr="00EF14C0">
        <w:t>/201</w:t>
      </w:r>
      <w:r w:rsidR="00291E45" w:rsidRPr="00EF14C0">
        <w:t>6</w:t>
      </w:r>
      <w:proofErr w:type="gramStart"/>
      <w:r w:rsidR="00A1054C" w:rsidRPr="00EF14C0">
        <w:footnoteReference w:customMarkFollows="1" w:id="2"/>
        <w:t>*</w:t>
      </w:r>
      <w:r w:rsidR="00A1054C" w:rsidRPr="00EF14C0">
        <w:rPr>
          <w:vertAlign w:val="superscript"/>
        </w:rPr>
        <w:t>,</w:t>
      </w:r>
      <w:r w:rsidR="00A1054C" w:rsidRPr="00EF14C0">
        <w:footnoteReference w:customMarkFollows="1" w:id="3"/>
        <w:t>*</w:t>
      </w:r>
      <w:proofErr w:type="gramEnd"/>
      <w:r w:rsidR="00A1054C" w:rsidRPr="00EF14C0">
        <w:t>*</w:t>
      </w:r>
      <w:r w:rsidR="00F64FCD" w:rsidRPr="00EF14C0">
        <w:t xml:space="preserve"> </w:t>
      </w:r>
    </w:p>
    <w:p w14:paraId="0D447577" w14:textId="13557689" w:rsidR="000128E3" w:rsidRPr="00415BA0" w:rsidRDefault="00683EF7" w:rsidP="00985865">
      <w:pPr>
        <w:pStyle w:val="SingleTxtG"/>
        <w:ind w:left="4536" w:hanging="3402"/>
        <w:jc w:val="left"/>
      </w:pPr>
      <w:r w:rsidRPr="00415BA0">
        <w:rPr>
          <w:i/>
        </w:rPr>
        <w:t>Communication s</w:t>
      </w:r>
      <w:r w:rsidR="000128E3" w:rsidRPr="00415BA0">
        <w:rPr>
          <w:i/>
        </w:rPr>
        <w:t>ubmitted by:</w:t>
      </w:r>
      <w:r w:rsidR="000128E3" w:rsidRPr="00415BA0">
        <w:tab/>
      </w:r>
      <w:bookmarkStart w:id="0" w:name="_Hlk102988146"/>
      <w:proofErr w:type="spellStart"/>
      <w:r w:rsidR="0090577F">
        <w:t>Alla</w:t>
      </w:r>
      <w:proofErr w:type="spellEnd"/>
      <w:r w:rsidR="0090577F">
        <w:t xml:space="preserve"> </w:t>
      </w:r>
      <w:proofErr w:type="spellStart"/>
      <w:r w:rsidR="0090577F">
        <w:t>Romanchik</w:t>
      </w:r>
      <w:proofErr w:type="spellEnd"/>
      <w:r w:rsidR="0090577F">
        <w:t xml:space="preserve"> and Natalya </w:t>
      </w:r>
      <w:proofErr w:type="spellStart"/>
      <w:r w:rsidR="0090577F">
        <w:t>Shchukina</w:t>
      </w:r>
      <w:bookmarkEnd w:id="0"/>
      <w:proofErr w:type="spellEnd"/>
      <w:r w:rsidR="000F2B93">
        <w:rPr>
          <w:lang w:val="en-US"/>
        </w:rPr>
        <w:t xml:space="preserve"> </w:t>
      </w:r>
      <w:r w:rsidR="009A1452" w:rsidRPr="00415BA0">
        <w:t>(</w:t>
      </w:r>
      <w:r w:rsidR="005E2E34">
        <w:t xml:space="preserve">represented by </w:t>
      </w:r>
      <w:r w:rsidR="00D012D4">
        <w:t>counsel</w:t>
      </w:r>
      <w:r w:rsidR="00897B0D">
        <w:t xml:space="preserve">, Leonid </w:t>
      </w:r>
      <w:proofErr w:type="spellStart"/>
      <w:r w:rsidR="00897B0D">
        <w:t>Sudalenko</w:t>
      </w:r>
      <w:proofErr w:type="spellEnd"/>
      <w:r w:rsidR="000128E3" w:rsidRPr="00415BA0">
        <w:t>)</w:t>
      </w:r>
    </w:p>
    <w:p w14:paraId="165B2091" w14:textId="3EA7CE48" w:rsidR="000128E3" w:rsidRPr="00415BA0" w:rsidRDefault="000128E3" w:rsidP="007113A4">
      <w:pPr>
        <w:pStyle w:val="SingleTxtG"/>
        <w:ind w:left="4536" w:hanging="3402"/>
        <w:jc w:val="left"/>
      </w:pPr>
      <w:r w:rsidRPr="00415BA0">
        <w:rPr>
          <w:i/>
        </w:rPr>
        <w:t>Alleged victim:</w:t>
      </w:r>
      <w:r w:rsidRPr="00415BA0">
        <w:tab/>
      </w:r>
      <w:r w:rsidR="00D7781D">
        <w:t>T</w:t>
      </w:r>
      <w:r w:rsidR="00DD26A8" w:rsidRPr="00415BA0">
        <w:t>he author</w:t>
      </w:r>
      <w:r w:rsidR="0090577F">
        <w:t>s</w:t>
      </w:r>
    </w:p>
    <w:p w14:paraId="40FD05FA" w14:textId="77777777" w:rsidR="000128E3" w:rsidRPr="00415BA0" w:rsidRDefault="000128E3" w:rsidP="007113A4">
      <w:pPr>
        <w:pStyle w:val="SingleTxtG"/>
        <w:ind w:left="4536" w:hanging="3402"/>
        <w:jc w:val="left"/>
      </w:pPr>
      <w:r w:rsidRPr="00415BA0">
        <w:rPr>
          <w:i/>
        </w:rPr>
        <w:t>State party:</w:t>
      </w:r>
      <w:r w:rsidRPr="00415BA0">
        <w:tab/>
      </w:r>
      <w:r w:rsidR="00B22683" w:rsidRPr="008216A5">
        <w:t>Belarus</w:t>
      </w:r>
    </w:p>
    <w:p w14:paraId="45DB11F6" w14:textId="40C2C45D" w:rsidR="000128E3" w:rsidRPr="00415BA0" w:rsidRDefault="000128E3" w:rsidP="007113A4">
      <w:pPr>
        <w:pStyle w:val="SingleTxtG"/>
        <w:ind w:left="4536" w:hanging="3402"/>
        <w:jc w:val="left"/>
      </w:pPr>
      <w:r w:rsidRPr="00415BA0">
        <w:rPr>
          <w:i/>
        </w:rPr>
        <w:t>Date of communication:</w:t>
      </w:r>
      <w:r w:rsidRPr="00415BA0">
        <w:tab/>
      </w:r>
      <w:r w:rsidR="0090577F">
        <w:t>28 September</w:t>
      </w:r>
      <w:r w:rsidR="00206334">
        <w:t xml:space="preserve"> </w:t>
      </w:r>
      <w:r w:rsidR="000203CD">
        <w:t>201</w:t>
      </w:r>
      <w:r w:rsidR="0090577F">
        <w:t>6</w:t>
      </w:r>
      <w:r w:rsidRPr="00415BA0">
        <w:t xml:space="preserve"> (initial submission)</w:t>
      </w:r>
    </w:p>
    <w:p w14:paraId="1F46DCA6" w14:textId="4A70162A" w:rsidR="00291E45" w:rsidRPr="00291E45" w:rsidRDefault="000128E3" w:rsidP="00291E45">
      <w:pPr>
        <w:pStyle w:val="SingleTxtG"/>
        <w:ind w:left="4536" w:hanging="3402"/>
        <w:jc w:val="left"/>
        <w:rPr>
          <w:rFonts w:eastAsia="SimSun"/>
          <w:lang w:eastAsia="zh-CN"/>
        </w:rPr>
      </w:pPr>
      <w:r w:rsidRPr="00415BA0">
        <w:rPr>
          <w:i/>
        </w:rPr>
        <w:t>Document references:</w:t>
      </w:r>
      <w:r w:rsidRPr="00415BA0">
        <w:tab/>
      </w:r>
      <w:r w:rsidR="00291E45" w:rsidRPr="00291E45">
        <w:rPr>
          <w:rFonts w:eastAsia="SimSun"/>
          <w:lang w:eastAsia="zh-CN"/>
        </w:rPr>
        <w:t>Decision taken pursuant to rule 92 of the Committee’s rules of procedure, transmitted to the State party on</w:t>
      </w:r>
      <w:r w:rsidR="00291E45">
        <w:rPr>
          <w:rFonts w:eastAsia="SimSun"/>
          <w:lang w:eastAsia="zh-CN"/>
        </w:rPr>
        <w:t xml:space="preserve"> </w:t>
      </w:r>
      <w:r w:rsidR="002C605B">
        <w:rPr>
          <w:rFonts w:eastAsia="SimSun"/>
          <w:lang w:eastAsia="zh-CN"/>
        </w:rPr>
        <w:t>30 December</w:t>
      </w:r>
      <w:r w:rsidR="00206334">
        <w:rPr>
          <w:rFonts w:eastAsia="SimSun"/>
          <w:lang w:eastAsia="zh-CN"/>
        </w:rPr>
        <w:t xml:space="preserve"> </w:t>
      </w:r>
      <w:r w:rsidR="00291E45">
        <w:rPr>
          <w:rFonts w:eastAsia="SimSun"/>
          <w:lang w:eastAsia="zh-CN"/>
        </w:rPr>
        <w:t>2016</w:t>
      </w:r>
      <w:r w:rsidR="00291E45" w:rsidRPr="00291E45">
        <w:rPr>
          <w:rFonts w:eastAsia="SimSun"/>
          <w:color w:val="FF0000"/>
          <w:lang w:eastAsia="zh-CN"/>
        </w:rPr>
        <w:t xml:space="preserve"> </w:t>
      </w:r>
      <w:r w:rsidR="00291E45" w:rsidRPr="00291E45">
        <w:rPr>
          <w:rFonts w:eastAsia="SimSun"/>
          <w:lang w:eastAsia="zh-CN"/>
        </w:rPr>
        <w:t>(not issued in document form)</w:t>
      </w:r>
    </w:p>
    <w:p w14:paraId="2231A78A" w14:textId="47FE1090" w:rsidR="000128E3" w:rsidRPr="00415BA0" w:rsidRDefault="000128E3">
      <w:pPr>
        <w:pStyle w:val="SingleTxtG"/>
        <w:ind w:left="4536" w:hanging="3402"/>
        <w:jc w:val="left"/>
        <w:rPr>
          <w:i/>
        </w:rPr>
      </w:pPr>
      <w:r w:rsidRPr="00415BA0">
        <w:rPr>
          <w:i/>
        </w:rPr>
        <w:t>Date of adoption of Views:</w:t>
      </w:r>
      <w:r w:rsidRPr="00415BA0">
        <w:tab/>
      </w:r>
      <w:r w:rsidR="00A1054C">
        <w:t>27 July</w:t>
      </w:r>
      <w:r w:rsidRPr="00415BA0">
        <w:t>20</w:t>
      </w:r>
      <w:r w:rsidR="000203CD">
        <w:t>2</w:t>
      </w:r>
      <w:r w:rsidR="00385754">
        <w:t>2</w:t>
      </w:r>
    </w:p>
    <w:p w14:paraId="3BB93A09" w14:textId="7656B954" w:rsidR="00817CEF" w:rsidRDefault="000128E3" w:rsidP="007113A4">
      <w:pPr>
        <w:pStyle w:val="SingleTxtG"/>
        <w:ind w:left="4536" w:hanging="3402"/>
        <w:jc w:val="left"/>
      </w:pPr>
      <w:r w:rsidRPr="00415BA0">
        <w:rPr>
          <w:i/>
          <w:iCs/>
        </w:rPr>
        <w:t>Subject matter:</w:t>
      </w:r>
      <w:r w:rsidRPr="00415BA0">
        <w:tab/>
      </w:r>
      <w:r w:rsidR="00D11142" w:rsidRPr="00D11142">
        <w:t>Refusal of authorities to authorize a public event (</w:t>
      </w:r>
      <w:r w:rsidR="00D11142">
        <w:t>street rally)</w:t>
      </w:r>
      <w:r w:rsidR="00D11142" w:rsidRPr="00D11142">
        <w:t xml:space="preserve"> </w:t>
      </w:r>
      <w:r w:rsidR="009923BF" w:rsidRPr="009923BF">
        <w:rPr>
          <w:lang w:val="en-US"/>
        </w:rPr>
        <w:t xml:space="preserve"> </w:t>
      </w:r>
      <w:r w:rsidR="00817CEF" w:rsidRPr="00817CEF">
        <w:rPr>
          <w:lang w:val="en-US"/>
        </w:rPr>
        <w:t xml:space="preserve">  </w:t>
      </w:r>
    </w:p>
    <w:p w14:paraId="061F6F28" w14:textId="490F17B5" w:rsidR="000128E3" w:rsidRPr="00C74394" w:rsidRDefault="000128E3" w:rsidP="007113A4">
      <w:pPr>
        <w:pStyle w:val="SingleTxtG"/>
        <w:ind w:left="4536" w:hanging="3402"/>
        <w:jc w:val="left"/>
        <w:rPr>
          <w:lang w:val="en-US"/>
        </w:rPr>
      </w:pPr>
      <w:r w:rsidRPr="00C74394">
        <w:rPr>
          <w:i/>
          <w:iCs/>
        </w:rPr>
        <w:lastRenderedPageBreak/>
        <w:t xml:space="preserve">Procedural issue: </w:t>
      </w:r>
      <w:r w:rsidRPr="00C74394">
        <w:rPr>
          <w:i/>
          <w:iCs/>
        </w:rPr>
        <w:tab/>
      </w:r>
      <w:r w:rsidR="00EE7275" w:rsidRPr="00C74394">
        <w:t>Exhaustion of domestic remedies</w:t>
      </w:r>
      <w:r w:rsidR="0000608D">
        <w:t xml:space="preserve"> </w:t>
      </w:r>
    </w:p>
    <w:p w14:paraId="77ED0BB4" w14:textId="7EE721A8" w:rsidR="007059E2" w:rsidRPr="007059E2" w:rsidRDefault="000128E3" w:rsidP="007059E2">
      <w:pPr>
        <w:pStyle w:val="SingleTxtG"/>
        <w:ind w:left="4536" w:hanging="3402"/>
        <w:jc w:val="left"/>
      </w:pPr>
      <w:r w:rsidRPr="00C74394">
        <w:rPr>
          <w:i/>
          <w:iCs/>
        </w:rPr>
        <w:t>Substantive issue</w:t>
      </w:r>
      <w:r w:rsidR="008528FD" w:rsidRPr="00C74394">
        <w:rPr>
          <w:i/>
          <w:iCs/>
        </w:rPr>
        <w:t>s</w:t>
      </w:r>
      <w:r w:rsidRPr="00C74394">
        <w:rPr>
          <w:i/>
          <w:iCs/>
        </w:rPr>
        <w:t xml:space="preserve">: </w:t>
      </w:r>
      <w:r w:rsidRPr="00C74394">
        <w:rPr>
          <w:i/>
          <w:iCs/>
        </w:rPr>
        <w:tab/>
      </w:r>
      <w:r w:rsidR="00D42CD2">
        <w:rPr>
          <w:iCs/>
        </w:rPr>
        <w:t>Freedom of assembly</w:t>
      </w:r>
      <w:r w:rsidR="007059E2" w:rsidRPr="007059E2">
        <w:rPr>
          <w:iCs/>
        </w:rPr>
        <w:t>; f</w:t>
      </w:r>
      <w:r w:rsidR="007059E2" w:rsidRPr="007059E2">
        <w:t>reedom of expression</w:t>
      </w:r>
      <w:r w:rsidR="007059E2">
        <w:t xml:space="preserve"> </w:t>
      </w:r>
    </w:p>
    <w:p w14:paraId="0980AAF3" w14:textId="745C8B5A" w:rsidR="00364901" w:rsidRPr="00143694" w:rsidRDefault="000128E3" w:rsidP="003C4DEF">
      <w:pPr>
        <w:pStyle w:val="SingleTxtG"/>
        <w:ind w:left="4536" w:hanging="3402"/>
        <w:jc w:val="left"/>
        <w:rPr>
          <w:lang w:val="en-US"/>
        </w:rPr>
      </w:pPr>
      <w:r w:rsidRPr="00C74394">
        <w:rPr>
          <w:i/>
          <w:iCs/>
        </w:rPr>
        <w:t>Articles of the Covenant:</w:t>
      </w:r>
      <w:r w:rsidRPr="00C74394">
        <w:t xml:space="preserve"> </w:t>
      </w:r>
      <w:r w:rsidRPr="00C74394">
        <w:tab/>
      </w:r>
      <w:r w:rsidR="004F68E5" w:rsidRPr="004F68E5">
        <w:t>2 (2)</w:t>
      </w:r>
      <w:r w:rsidR="004F68E5">
        <w:t xml:space="preserve"> and</w:t>
      </w:r>
      <w:r w:rsidR="004F68E5" w:rsidRPr="004F68E5">
        <w:t xml:space="preserve"> (3), 19 and 21  </w:t>
      </w:r>
      <w:r w:rsidR="00817CEF">
        <w:t xml:space="preserve"> </w:t>
      </w:r>
      <w:r w:rsidR="00647603">
        <w:t xml:space="preserve"> </w:t>
      </w:r>
    </w:p>
    <w:p w14:paraId="282ADACF" w14:textId="360ABC5A" w:rsidR="003C4DEF" w:rsidRPr="00415BA0" w:rsidRDefault="000128E3" w:rsidP="003C4DEF">
      <w:pPr>
        <w:pStyle w:val="SingleTxtG"/>
        <w:ind w:left="4536" w:hanging="3402"/>
        <w:jc w:val="left"/>
        <w:rPr>
          <w:iCs/>
        </w:rPr>
      </w:pPr>
      <w:r w:rsidRPr="00415BA0">
        <w:rPr>
          <w:i/>
          <w:iCs/>
        </w:rPr>
        <w:t>Articles of the Optional Protocol:</w:t>
      </w:r>
      <w:r w:rsidRPr="00415BA0">
        <w:rPr>
          <w:i/>
          <w:iCs/>
        </w:rPr>
        <w:tab/>
      </w:r>
      <w:r w:rsidR="003A4029">
        <w:rPr>
          <w:iCs/>
        </w:rPr>
        <w:t xml:space="preserve">2 and </w:t>
      </w:r>
      <w:r w:rsidR="004F56A1" w:rsidRPr="001E0966">
        <w:rPr>
          <w:iCs/>
        </w:rPr>
        <w:t>5(2)(b)</w:t>
      </w:r>
    </w:p>
    <w:p w14:paraId="43716C80" w14:textId="2F721731" w:rsidR="00BF0F1A" w:rsidRDefault="00385754">
      <w:pPr>
        <w:pStyle w:val="SingleTxtG"/>
        <w:ind w:right="36"/>
        <w:rPr>
          <w:bCs/>
        </w:rPr>
      </w:pPr>
      <w:r w:rsidRPr="00385754">
        <w:rPr>
          <w:bCs/>
        </w:rPr>
        <w:t>1.</w:t>
      </w:r>
      <w:r w:rsidRPr="00385754">
        <w:rPr>
          <w:bCs/>
        </w:rPr>
        <w:tab/>
        <w:t>The author</w:t>
      </w:r>
      <w:r w:rsidR="002364F5">
        <w:rPr>
          <w:bCs/>
        </w:rPr>
        <w:t>s</w:t>
      </w:r>
      <w:r w:rsidRPr="00385754">
        <w:rPr>
          <w:bCs/>
        </w:rPr>
        <w:t xml:space="preserve"> of the communication </w:t>
      </w:r>
      <w:r w:rsidR="002364F5">
        <w:rPr>
          <w:bCs/>
        </w:rPr>
        <w:t>are</w:t>
      </w:r>
      <w:r w:rsidRPr="00385754">
        <w:rPr>
          <w:bCs/>
        </w:rPr>
        <w:t xml:space="preserve"> M</w:t>
      </w:r>
      <w:r w:rsidR="00B56B08">
        <w:rPr>
          <w:bCs/>
        </w:rPr>
        <w:t>s</w:t>
      </w:r>
      <w:r w:rsidRPr="00385754">
        <w:rPr>
          <w:bCs/>
        </w:rPr>
        <w:t xml:space="preserve">. </w:t>
      </w:r>
      <w:proofErr w:type="spellStart"/>
      <w:r w:rsidR="002364F5" w:rsidRPr="002364F5">
        <w:rPr>
          <w:bCs/>
        </w:rPr>
        <w:t>Alla</w:t>
      </w:r>
      <w:proofErr w:type="spellEnd"/>
      <w:r w:rsidR="002364F5" w:rsidRPr="002364F5">
        <w:rPr>
          <w:bCs/>
        </w:rPr>
        <w:t xml:space="preserve"> </w:t>
      </w:r>
      <w:proofErr w:type="spellStart"/>
      <w:r w:rsidR="002364F5" w:rsidRPr="002364F5">
        <w:rPr>
          <w:bCs/>
        </w:rPr>
        <w:t>Romanchik</w:t>
      </w:r>
      <w:proofErr w:type="spellEnd"/>
      <w:r w:rsidR="002364F5" w:rsidRPr="002364F5">
        <w:rPr>
          <w:bCs/>
        </w:rPr>
        <w:t xml:space="preserve"> and </w:t>
      </w:r>
      <w:r w:rsidR="002364F5">
        <w:rPr>
          <w:bCs/>
        </w:rPr>
        <w:t xml:space="preserve">Ms. </w:t>
      </w:r>
      <w:r w:rsidR="002364F5" w:rsidRPr="002364F5">
        <w:rPr>
          <w:bCs/>
        </w:rPr>
        <w:t xml:space="preserve">Natalya </w:t>
      </w:r>
      <w:proofErr w:type="spellStart"/>
      <w:r w:rsidR="002364F5" w:rsidRPr="002364F5">
        <w:rPr>
          <w:bCs/>
        </w:rPr>
        <w:t>Shchukina</w:t>
      </w:r>
      <w:proofErr w:type="spellEnd"/>
      <w:r w:rsidRPr="00385754">
        <w:rPr>
          <w:bCs/>
        </w:rPr>
        <w:t xml:space="preserve">, </w:t>
      </w:r>
      <w:r w:rsidR="00BF0F1A">
        <w:rPr>
          <w:bCs/>
        </w:rPr>
        <w:t xml:space="preserve">Belarussian </w:t>
      </w:r>
      <w:r w:rsidRPr="00385754">
        <w:rPr>
          <w:bCs/>
        </w:rPr>
        <w:t>national</w:t>
      </w:r>
      <w:r w:rsidR="002364F5">
        <w:rPr>
          <w:bCs/>
        </w:rPr>
        <w:t>s</w:t>
      </w:r>
      <w:r w:rsidRPr="00385754">
        <w:rPr>
          <w:bCs/>
        </w:rPr>
        <w:t xml:space="preserve"> born in 19</w:t>
      </w:r>
      <w:r w:rsidR="002364F5">
        <w:rPr>
          <w:bCs/>
        </w:rPr>
        <w:t>56 and 1944, respectively</w:t>
      </w:r>
      <w:r w:rsidRPr="00385754">
        <w:rPr>
          <w:bCs/>
        </w:rPr>
        <w:t xml:space="preserve">. </w:t>
      </w:r>
      <w:r w:rsidR="002364F5">
        <w:rPr>
          <w:bCs/>
        </w:rPr>
        <w:t>T</w:t>
      </w:r>
      <w:r w:rsidR="00B56B08">
        <w:rPr>
          <w:bCs/>
        </w:rPr>
        <w:t>h</w:t>
      </w:r>
      <w:r w:rsidR="00BF0F1A" w:rsidRPr="00BF0F1A">
        <w:rPr>
          <w:bCs/>
        </w:rPr>
        <w:t>e</w:t>
      </w:r>
      <w:r w:rsidR="002364F5">
        <w:rPr>
          <w:bCs/>
        </w:rPr>
        <w:t>y</w:t>
      </w:r>
      <w:r w:rsidR="00BF0F1A" w:rsidRPr="00BF0F1A">
        <w:rPr>
          <w:bCs/>
        </w:rPr>
        <w:t xml:space="preserve"> claim that the State party has violated </w:t>
      </w:r>
      <w:r w:rsidR="002364F5">
        <w:rPr>
          <w:bCs/>
        </w:rPr>
        <w:t>t</w:t>
      </w:r>
      <w:r w:rsidR="00BF0F1A" w:rsidRPr="00BF0F1A">
        <w:rPr>
          <w:bCs/>
        </w:rPr>
        <w:t>h</w:t>
      </w:r>
      <w:r w:rsidR="00B56B08">
        <w:rPr>
          <w:bCs/>
        </w:rPr>
        <w:t>e</w:t>
      </w:r>
      <w:r w:rsidR="002364F5">
        <w:rPr>
          <w:bCs/>
        </w:rPr>
        <w:t>i</w:t>
      </w:r>
      <w:r w:rsidR="00B56B08">
        <w:rPr>
          <w:bCs/>
        </w:rPr>
        <w:t>r</w:t>
      </w:r>
      <w:r w:rsidR="00BF0F1A" w:rsidRPr="00BF0F1A">
        <w:rPr>
          <w:bCs/>
        </w:rPr>
        <w:t xml:space="preserve"> rights under articles 19 </w:t>
      </w:r>
      <w:r w:rsidR="002364F5">
        <w:rPr>
          <w:bCs/>
        </w:rPr>
        <w:t xml:space="preserve">and 21, </w:t>
      </w:r>
      <w:r w:rsidR="00B56B08">
        <w:rPr>
          <w:bCs/>
        </w:rPr>
        <w:t>in conjunction with article 2 (2) and (3)</w:t>
      </w:r>
      <w:r w:rsidR="00BF0F1A" w:rsidRPr="00BF0F1A">
        <w:rPr>
          <w:bCs/>
        </w:rPr>
        <w:t xml:space="preserve"> of the International Covenant on Civil and Political Rights</w:t>
      </w:r>
      <w:r w:rsidR="002364F5">
        <w:rPr>
          <w:bCs/>
        </w:rPr>
        <w:t xml:space="preserve"> (the Covenant)</w:t>
      </w:r>
      <w:r w:rsidR="00BF0F1A" w:rsidRPr="00BF0F1A">
        <w:rPr>
          <w:bCs/>
        </w:rPr>
        <w:t xml:space="preserve">. The Optional Protocol entered into force for Belarus on 30 December 1992. </w:t>
      </w:r>
      <w:r w:rsidR="002364F5">
        <w:rPr>
          <w:bCs/>
        </w:rPr>
        <w:t>T</w:t>
      </w:r>
      <w:r w:rsidR="00B56B08">
        <w:rPr>
          <w:bCs/>
        </w:rPr>
        <w:t>he</w:t>
      </w:r>
      <w:r w:rsidR="002364F5">
        <w:rPr>
          <w:bCs/>
        </w:rPr>
        <w:t xml:space="preserve"> authors are</w:t>
      </w:r>
      <w:r w:rsidR="00BF0F1A" w:rsidRPr="00BF0F1A">
        <w:rPr>
          <w:bCs/>
        </w:rPr>
        <w:t xml:space="preserve"> represented</w:t>
      </w:r>
      <w:r w:rsidR="00897B0D">
        <w:rPr>
          <w:bCs/>
        </w:rPr>
        <w:t xml:space="preserve"> by counsel</w:t>
      </w:r>
      <w:r w:rsidR="00BF0F1A" w:rsidRPr="00BF0F1A">
        <w:rPr>
          <w:bCs/>
        </w:rPr>
        <w:t>.</w:t>
      </w:r>
    </w:p>
    <w:p w14:paraId="2FB6019F" w14:textId="683F95F7" w:rsidR="00385754" w:rsidRPr="00385754" w:rsidRDefault="0095140C" w:rsidP="0095140C">
      <w:pPr>
        <w:pStyle w:val="H23G"/>
      </w:pPr>
      <w:r>
        <w:tab/>
      </w:r>
      <w:r>
        <w:tab/>
      </w:r>
      <w:r w:rsidR="00AF32BC">
        <w:t>The f</w:t>
      </w:r>
      <w:r w:rsidR="00385754" w:rsidRPr="00385754">
        <w:t>act</w:t>
      </w:r>
      <w:r w:rsidR="00AF32BC">
        <w:t>s as submitted by the author</w:t>
      </w:r>
      <w:r w:rsidR="002364F5">
        <w:t>s</w:t>
      </w:r>
    </w:p>
    <w:p w14:paraId="57DDB825" w14:textId="1CD849B9" w:rsidR="002364F5" w:rsidRDefault="002364F5" w:rsidP="002364F5">
      <w:pPr>
        <w:pStyle w:val="SingleTxtG"/>
        <w:ind w:right="36"/>
        <w:rPr>
          <w:bCs/>
          <w:lang w:val="en-US"/>
        </w:rPr>
      </w:pPr>
      <w:r w:rsidRPr="002364F5">
        <w:rPr>
          <w:bCs/>
          <w:lang w:val="en-US"/>
        </w:rPr>
        <w:t>2.1</w:t>
      </w:r>
      <w:r>
        <w:rPr>
          <w:bCs/>
          <w:lang w:val="en-US"/>
        </w:rPr>
        <w:tab/>
      </w:r>
      <w:r w:rsidRPr="002364F5">
        <w:rPr>
          <w:bCs/>
          <w:lang w:val="en-US"/>
        </w:rPr>
        <w:t xml:space="preserve">On 20 October 2015, the authors sought the </w:t>
      </w:r>
      <w:proofErr w:type="spellStart"/>
      <w:r w:rsidRPr="002364F5">
        <w:rPr>
          <w:bCs/>
          <w:lang w:val="en-US"/>
        </w:rPr>
        <w:t>authorisation</w:t>
      </w:r>
      <w:proofErr w:type="spellEnd"/>
      <w:r w:rsidRPr="002364F5">
        <w:rPr>
          <w:bCs/>
          <w:lang w:val="en-US"/>
        </w:rPr>
        <w:t xml:space="preserve"> of the Gomel </w:t>
      </w:r>
      <w:r w:rsidR="00B32AE4">
        <w:rPr>
          <w:bCs/>
          <w:lang w:val="en-US"/>
        </w:rPr>
        <w:t xml:space="preserve">City </w:t>
      </w:r>
      <w:r w:rsidRPr="002364F5">
        <w:rPr>
          <w:bCs/>
          <w:lang w:val="en-US"/>
        </w:rPr>
        <w:t xml:space="preserve">Executive Committee to hold a </w:t>
      </w:r>
      <w:r w:rsidR="00DE2637">
        <w:rPr>
          <w:bCs/>
          <w:lang w:val="en-US"/>
        </w:rPr>
        <w:t xml:space="preserve">street </w:t>
      </w:r>
      <w:r w:rsidR="000D6D9A">
        <w:rPr>
          <w:bCs/>
          <w:lang w:val="en-US"/>
        </w:rPr>
        <w:t>rally</w:t>
      </w:r>
      <w:r w:rsidR="00DE2637">
        <w:rPr>
          <w:bCs/>
          <w:lang w:val="en-US"/>
        </w:rPr>
        <w:t xml:space="preserve"> </w:t>
      </w:r>
      <w:r w:rsidRPr="002364F5">
        <w:rPr>
          <w:bCs/>
          <w:lang w:val="en-US"/>
        </w:rPr>
        <w:t xml:space="preserve">in </w:t>
      </w:r>
      <w:r w:rsidR="00092CB5">
        <w:rPr>
          <w:bCs/>
          <w:lang w:val="en-US"/>
        </w:rPr>
        <w:t xml:space="preserve">the town of </w:t>
      </w:r>
      <w:r w:rsidRPr="002364F5">
        <w:rPr>
          <w:bCs/>
          <w:lang w:val="en-US"/>
        </w:rPr>
        <w:t xml:space="preserve">Gomel on 15 November 2015, with the aim of drawing attention to the economic </w:t>
      </w:r>
      <w:bookmarkStart w:id="1" w:name="_GoBack"/>
      <w:bookmarkEnd w:id="1"/>
      <w:r w:rsidR="00DE2637">
        <w:rPr>
          <w:bCs/>
          <w:lang w:val="en-US"/>
        </w:rPr>
        <w:t xml:space="preserve">crisis </w:t>
      </w:r>
      <w:r w:rsidRPr="002364F5">
        <w:rPr>
          <w:bCs/>
          <w:lang w:val="en-US"/>
        </w:rPr>
        <w:t xml:space="preserve">in Belarus and to the need </w:t>
      </w:r>
      <w:r w:rsidR="009D2DC6">
        <w:rPr>
          <w:bCs/>
          <w:lang w:val="en-US"/>
        </w:rPr>
        <w:t>for</w:t>
      </w:r>
      <w:r w:rsidRPr="002364F5">
        <w:rPr>
          <w:bCs/>
          <w:lang w:val="en-US"/>
        </w:rPr>
        <w:t xml:space="preserve"> </w:t>
      </w:r>
      <w:r w:rsidR="00DE2637">
        <w:rPr>
          <w:bCs/>
          <w:lang w:val="en-US"/>
        </w:rPr>
        <w:t xml:space="preserve">economic </w:t>
      </w:r>
      <w:r w:rsidRPr="002364F5">
        <w:rPr>
          <w:bCs/>
          <w:lang w:val="en-US"/>
        </w:rPr>
        <w:t xml:space="preserve">reforms. </w:t>
      </w:r>
    </w:p>
    <w:p w14:paraId="71FE5F22" w14:textId="67C6794D" w:rsidR="002364F5" w:rsidRPr="002364F5" w:rsidRDefault="002364F5" w:rsidP="002364F5">
      <w:pPr>
        <w:pStyle w:val="SingleTxtG"/>
        <w:ind w:right="36"/>
        <w:rPr>
          <w:bCs/>
          <w:lang w:val="en-US"/>
        </w:rPr>
      </w:pPr>
      <w:r>
        <w:rPr>
          <w:bCs/>
          <w:lang w:val="en-US"/>
        </w:rPr>
        <w:t>2.2</w:t>
      </w:r>
      <w:r>
        <w:rPr>
          <w:bCs/>
          <w:lang w:val="en-US"/>
        </w:rPr>
        <w:tab/>
      </w:r>
      <w:r w:rsidRPr="002364F5">
        <w:rPr>
          <w:bCs/>
          <w:lang w:val="en-US"/>
        </w:rPr>
        <w:t xml:space="preserve">On 9 November 2015, the Executive Committee refused to issue </w:t>
      </w:r>
      <w:r>
        <w:rPr>
          <w:bCs/>
          <w:lang w:val="en-US"/>
        </w:rPr>
        <w:t xml:space="preserve">an authorization </w:t>
      </w:r>
      <w:r w:rsidRPr="002364F5">
        <w:rPr>
          <w:bCs/>
          <w:lang w:val="en-US"/>
        </w:rPr>
        <w:t>on the ground that the authors failed to conclude contracts with the city service providers for the maintenance of security, medical assistance and cleaning, as required by article 3 of the Executive Committee decision No</w:t>
      </w:r>
      <w:r w:rsidR="009D2DC6">
        <w:rPr>
          <w:bCs/>
          <w:lang w:val="en-US"/>
        </w:rPr>
        <w:t>.</w:t>
      </w:r>
      <w:r w:rsidRPr="002364F5">
        <w:rPr>
          <w:bCs/>
          <w:lang w:val="en-US"/>
        </w:rPr>
        <w:t xml:space="preserve"> 775 of 15 August 2013. </w:t>
      </w:r>
      <w:r w:rsidR="00BB7E70">
        <w:rPr>
          <w:bCs/>
          <w:lang w:val="en-US"/>
        </w:rPr>
        <w:t>The authors explain that in the</w:t>
      </w:r>
      <w:r w:rsidR="000D6D9A">
        <w:rPr>
          <w:bCs/>
          <w:lang w:val="en-US"/>
        </w:rPr>
        <w:t xml:space="preserve"> </w:t>
      </w:r>
      <w:r w:rsidR="00BB7E70">
        <w:rPr>
          <w:bCs/>
          <w:lang w:val="en-US"/>
        </w:rPr>
        <w:t>town</w:t>
      </w:r>
      <w:r w:rsidR="000D6D9A">
        <w:rPr>
          <w:bCs/>
          <w:lang w:val="en-US"/>
        </w:rPr>
        <w:t xml:space="preserve"> of Gomel</w:t>
      </w:r>
      <w:r w:rsidR="00BB7E70">
        <w:rPr>
          <w:bCs/>
          <w:lang w:val="en-US"/>
        </w:rPr>
        <w:t xml:space="preserve">, with population around 500 000 inhabitants, </w:t>
      </w:r>
      <w:r w:rsidR="000D6D9A">
        <w:rPr>
          <w:bCs/>
          <w:lang w:val="en-US"/>
        </w:rPr>
        <w:t xml:space="preserve">there are two </w:t>
      </w:r>
      <w:r w:rsidR="000D6D9A" w:rsidRPr="000D6D9A">
        <w:rPr>
          <w:bCs/>
          <w:lang w:val="en-US"/>
        </w:rPr>
        <w:t>location</w:t>
      </w:r>
      <w:r w:rsidR="000D6D9A">
        <w:rPr>
          <w:bCs/>
          <w:lang w:val="en-US"/>
        </w:rPr>
        <w:t>s</w:t>
      </w:r>
      <w:r w:rsidR="000D6D9A" w:rsidRPr="000D6D9A">
        <w:rPr>
          <w:bCs/>
          <w:lang w:val="en-US"/>
        </w:rPr>
        <w:t xml:space="preserve"> </w:t>
      </w:r>
      <w:r w:rsidR="000D6D9A">
        <w:rPr>
          <w:bCs/>
          <w:lang w:val="en-US"/>
        </w:rPr>
        <w:t xml:space="preserve">in the outskirts of the </w:t>
      </w:r>
      <w:proofErr w:type="spellStart"/>
      <w:r w:rsidR="001E4D0B">
        <w:rPr>
          <w:bCs/>
          <w:lang w:val="en-US"/>
        </w:rPr>
        <w:t>toww</w:t>
      </w:r>
      <w:proofErr w:type="spellEnd"/>
      <w:r w:rsidR="000D6D9A" w:rsidRPr="000D6D9A">
        <w:rPr>
          <w:bCs/>
          <w:lang w:val="en-US"/>
        </w:rPr>
        <w:t xml:space="preserve"> identified by the </w:t>
      </w:r>
      <w:r w:rsidR="001E4D0B">
        <w:rPr>
          <w:bCs/>
          <w:lang w:val="en-US"/>
        </w:rPr>
        <w:t xml:space="preserve">Gomel </w:t>
      </w:r>
      <w:r w:rsidR="000D6D9A" w:rsidRPr="000D6D9A">
        <w:rPr>
          <w:bCs/>
          <w:lang w:val="en-US"/>
        </w:rPr>
        <w:t>City Executive Committee as specifically designated area</w:t>
      </w:r>
      <w:r w:rsidR="000D6D9A">
        <w:rPr>
          <w:bCs/>
          <w:lang w:val="en-US"/>
        </w:rPr>
        <w:t>s</w:t>
      </w:r>
      <w:r w:rsidR="000D6D9A" w:rsidRPr="000D6D9A">
        <w:rPr>
          <w:bCs/>
          <w:lang w:val="en-US"/>
        </w:rPr>
        <w:t xml:space="preserve"> for the organization of peaceful assemblies</w:t>
      </w:r>
      <w:r w:rsidR="00BB7E70">
        <w:rPr>
          <w:bCs/>
          <w:lang w:val="en-US"/>
        </w:rPr>
        <w:t xml:space="preserve">. </w:t>
      </w:r>
    </w:p>
    <w:p w14:paraId="46949675" w14:textId="5673395A" w:rsidR="002364F5" w:rsidRPr="002364F5" w:rsidRDefault="002364F5" w:rsidP="002364F5">
      <w:pPr>
        <w:pStyle w:val="SingleTxtG"/>
        <w:ind w:right="36"/>
        <w:rPr>
          <w:bCs/>
          <w:lang w:val="en-US"/>
        </w:rPr>
      </w:pPr>
      <w:r w:rsidRPr="002364F5">
        <w:rPr>
          <w:bCs/>
          <w:lang w:val="en-US"/>
        </w:rPr>
        <w:t>2.</w:t>
      </w:r>
      <w:r>
        <w:rPr>
          <w:bCs/>
          <w:lang w:val="en-US"/>
        </w:rPr>
        <w:t>3</w:t>
      </w:r>
      <w:r w:rsidRPr="002364F5">
        <w:rPr>
          <w:bCs/>
          <w:lang w:val="en-US"/>
        </w:rPr>
        <w:tab/>
        <w:t xml:space="preserve">On 30 November 2015, the authors appealed the Executive Committee’s decision before the Court of the Central District in Gomel, which rejected their complaint on 21 December 2015. On 29 December 2015, the authors filed a cassation appeal to the Gomel Regional Court, which rejected their appeal on 11 February 2016.  </w:t>
      </w:r>
    </w:p>
    <w:p w14:paraId="68D303DA" w14:textId="543FE13C" w:rsidR="002364F5" w:rsidRDefault="002364F5" w:rsidP="002364F5">
      <w:pPr>
        <w:pStyle w:val="SingleTxtG"/>
        <w:ind w:right="36"/>
        <w:rPr>
          <w:bCs/>
          <w:lang w:val="en-US"/>
        </w:rPr>
      </w:pPr>
      <w:r w:rsidRPr="002364F5">
        <w:rPr>
          <w:bCs/>
          <w:lang w:val="en-US"/>
        </w:rPr>
        <w:t>2.</w:t>
      </w:r>
      <w:r>
        <w:rPr>
          <w:bCs/>
          <w:lang w:val="en-US"/>
        </w:rPr>
        <w:t>4</w:t>
      </w:r>
      <w:r w:rsidRPr="002364F5">
        <w:rPr>
          <w:bCs/>
          <w:lang w:val="en-US"/>
        </w:rPr>
        <w:tab/>
        <w:t xml:space="preserve">The authors appealed under the supervisory review proceedings to the Chair of the Gomel Regional Court on 1 April 2016 and to the Chair of the Supreme Court on 7 May 2016. Both appeals were rejected on 4 April and 2 June 2016, respectively. </w:t>
      </w:r>
    </w:p>
    <w:p w14:paraId="4D5CF120" w14:textId="5FF22F7C" w:rsidR="002364F5" w:rsidRPr="002364F5" w:rsidRDefault="002364F5" w:rsidP="002364F5">
      <w:pPr>
        <w:pStyle w:val="SingleTxtG"/>
        <w:ind w:right="36"/>
        <w:rPr>
          <w:bCs/>
          <w:lang w:val="en-US"/>
        </w:rPr>
      </w:pPr>
      <w:r>
        <w:rPr>
          <w:bCs/>
          <w:lang w:val="en-US"/>
        </w:rPr>
        <w:t>2.5</w:t>
      </w:r>
      <w:r>
        <w:rPr>
          <w:bCs/>
          <w:lang w:val="en-US"/>
        </w:rPr>
        <w:tab/>
      </w:r>
      <w:r w:rsidRPr="002364F5">
        <w:rPr>
          <w:bCs/>
          <w:lang w:val="en-US"/>
        </w:rPr>
        <w:t xml:space="preserve">The authors </w:t>
      </w:r>
      <w:r>
        <w:rPr>
          <w:bCs/>
          <w:lang w:val="en-US"/>
        </w:rPr>
        <w:t xml:space="preserve">further </w:t>
      </w:r>
      <w:r w:rsidRPr="002364F5">
        <w:rPr>
          <w:bCs/>
          <w:lang w:val="en-US"/>
        </w:rPr>
        <w:t xml:space="preserve">appealed under the supervisory review proceedings to the Gomel Regional Prosecutor’s Office on 7 June 2016 and to the Prosecutor General’s Office on 21 July 2016. Their appeals were </w:t>
      </w:r>
      <w:r>
        <w:rPr>
          <w:bCs/>
          <w:lang w:val="en-US"/>
        </w:rPr>
        <w:t>dismissed</w:t>
      </w:r>
      <w:r w:rsidRPr="002364F5">
        <w:rPr>
          <w:bCs/>
          <w:lang w:val="en-US"/>
        </w:rPr>
        <w:t xml:space="preserve"> on 13 July and 8 September 2016, respectively.</w:t>
      </w:r>
    </w:p>
    <w:p w14:paraId="3CA6517A" w14:textId="0A84D881" w:rsidR="002364F5" w:rsidRPr="002364F5" w:rsidRDefault="0095140C" w:rsidP="0095140C">
      <w:pPr>
        <w:pStyle w:val="H23G"/>
      </w:pPr>
      <w:r>
        <w:tab/>
      </w:r>
      <w:r>
        <w:tab/>
      </w:r>
      <w:r w:rsidR="002364F5" w:rsidRPr="002364F5">
        <w:t>The complaint</w:t>
      </w:r>
    </w:p>
    <w:p w14:paraId="327D8FFB" w14:textId="44286866" w:rsidR="002364F5" w:rsidRDefault="002364F5" w:rsidP="002364F5">
      <w:pPr>
        <w:pStyle w:val="SingleTxtG"/>
        <w:ind w:right="36"/>
        <w:rPr>
          <w:bCs/>
          <w:lang w:val="en-US"/>
        </w:rPr>
      </w:pPr>
      <w:r w:rsidRPr="002364F5">
        <w:rPr>
          <w:bCs/>
          <w:lang w:val="en-US"/>
        </w:rPr>
        <w:t>3.</w:t>
      </w:r>
      <w:r>
        <w:rPr>
          <w:bCs/>
          <w:lang w:val="en-US"/>
        </w:rPr>
        <w:t>1</w:t>
      </w:r>
      <w:r>
        <w:rPr>
          <w:bCs/>
          <w:lang w:val="en-US"/>
        </w:rPr>
        <w:tab/>
      </w:r>
      <w:r w:rsidRPr="002364F5">
        <w:rPr>
          <w:bCs/>
          <w:lang w:val="en-US"/>
        </w:rPr>
        <w:t xml:space="preserve">The authors claim that the decision of the </w:t>
      </w:r>
      <w:r w:rsidR="001E4D0B">
        <w:rPr>
          <w:bCs/>
          <w:lang w:val="en-US"/>
        </w:rPr>
        <w:t xml:space="preserve">Gomel City </w:t>
      </w:r>
      <w:r w:rsidRPr="002364F5">
        <w:rPr>
          <w:bCs/>
          <w:lang w:val="en-US"/>
        </w:rPr>
        <w:t xml:space="preserve">Executive Committee </w:t>
      </w:r>
      <w:r w:rsidR="00DE2637">
        <w:rPr>
          <w:bCs/>
          <w:lang w:val="en-US"/>
        </w:rPr>
        <w:t xml:space="preserve">to refuse authorization of their peaceful street procession </w:t>
      </w:r>
      <w:r w:rsidRPr="002364F5">
        <w:rPr>
          <w:bCs/>
          <w:lang w:val="en-US"/>
        </w:rPr>
        <w:t xml:space="preserve">limited disproportionately their rights under articles 19 and 21, read in conjunction with article 2 (2) and (3) of the Covenant. </w:t>
      </w:r>
    </w:p>
    <w:p w14:paraId="53908ABD" w14:textId="1F098ABB" w:rsidR="002364F5" w:rsidRPr="002364F5" w:rsidRDefault="002364F5" w:rsidP="002364F5">
      <w:pPr>
        <w:pStyle w:val="SingleTxtG"/>
        <w:ind w:right="36"/>
        <w:rPr>
          <w:bCs/>
          <w:lang w:val="en-US"/>
        </w:rPr>
      </w:pPr>
      <w:r>
        <w:rPr>
          <w:bCs/>
          <w:lang w:val="en-US"/>
        </w:rPr>
        <w:t>3.2</w:t>
      </w:r>
      <w:r>
        <w:rPr>
          <w:bCs/>
          <w:lang w:val="en-US"/>
        </w:rPr>
        <w:tab/>
      </w:r>
      <w:r w:rsidRPr="002364F5">
        <w:rPr>
          <w:bCs/>
          <w:lang w:val="en-US"/>
        </w:rPr>
        <w:t xml:space="preserve">The author requests the Committee to recommend that the State party bring the provisions of the </w:t>
      </w:r>
      <w:r>
        <w:rPr>
          <w:bCs/>
          <w:lang w:val="en-US"/>
        </w:rPr>
        <w:t>L</w:t>
      </w:r>
      <w:r w:rsidRPr="002364F5">
        <w:rPr>
          <w:bCs/>
          <w:lang w:val="en-US"/>
        </w:rPr>
        <w:t xml:space="preserve">aw on </w:t>
      </w:r>
      <w:r>
        <w:rPr>
          <w:bCs/>
          <w:lang w:val="en-US"/>
        </w:rPr>
        <w:t>M</w:t>
      </w:r>
      <w:r w:rsidRPr="002364F5">
        <w:rPr>
          <w:bCs/>
          <w:lang w:val="en-US"/>
        </w:rPr>
        <w:t xml:space="preserve">ass </w:t>
      </w:r>
      <w:r>
        <w:rPr>
          <w:bCs/>
          <w:lang w:val="en-US"/>
        </w:rPr>
        <w:t>Events</w:t>
      </w:r>
      <w:r w:rsidRPr="002364F5">
        <w:rPr>
          <w:bCs/>
          <w:lang w:val="en-US"/>
        </w:rPr>
        <w:t xml:space="preserve"> and the Gomel City Executive Committee Decision No. 775 of 15 August 2013 “On Mass Events in the city of Gomel” into line with its international obligations under the Covenant. </w:t>
      </w:r>
    </w:p>
    <w:p w14:paraId="6DBDCB21" w14:textId="0E184DB5" w:rsidR="00BF450E" w:rsidRPr="00BF450E" w:rsidRDefault="0095140C" w:rsidP="0095140C">
      <w:pPr>
        <w:pStyle w:val="H23G"/>
      </w:pPr>
      <w:r>
        <w:lastRenderedPageBreak/>
        <w:tab/>
      </w:r>
      <w:r>
        <w:tab/>
      </w:r>
      <w:r w:rsidR="00BF450E" w:rsidRPr="00BF450E">
        <w:t xml:space="preserve">State party’s observations on </w:t>
      </w:r>
      <w:r w:rsidR="00BF450E" w:rsidRPr="0095140C">
        <w:t>admissibility</w:t>
      </w:r>
      <w:r w:rsidR="00A010AD">
        <w:t xml:space="preserve"> and merits</w:t>
      </w:r>
    </w:p>
    <w:p w14:paraId="6B9D68C0" w14:textId="487F53A7" w:rsidR="00C04A32" w:rsidRDefault="00BF450E" w:rsidP="00017E9B">
      <w:pPr>
        <w:pStyle w:val="SingleTxtG"/>
        <w:ind w:right="36"/>
      </w:pPr>
      <w:r w:rsidRPr="00FE22ED">
        <w:t>4.1</w:t>
      </w:r>
      <w:r w:rsidRPr="00FE22ED">
        <w:tab/>
        <w:t xml:space="preserve">By note </w:t>
      </w:r>
      <w:proofErr w:type="spellStart"/>
      <w:r w:rsidRPr="00FE22ED">
        <w:t>verbale</w:t>
      </w:r>
      <w:proofErr w:type="spellEnd"/>
      <w:r w:rsidRPr="00FE22ED">
        <w:t xml:space="preserve"> of</w:t>
      </w:r>
      <w:r w:rsidR="00685105">
        <w:t xml:space="preserve"> </w:t>
      </w:r>
      <w:r w:rsidR="002C605B">
        <w:t>3 March</w:t>
      </w:r>
      <w:r w:rsidR="00895ABC">
        <w:t xml:space="preserve"> </w:t>
      </w:r>
      <w:r w:rsidRPr="00FE22ED">
        <w:t>201</w:t>
      </w:r>
      <w:r w:rsidR="00895ABC">
        <w:t>7</w:t>
      </w:r>
      <w:r w:rsidRPr="00FE22ED">
        <w:t xml:space="preserve">, the State party </w:t>
      </w:r>
      <w:r w:rsidR="00CF479B" w:rsidRPr="00CF479B">
        <w:t xml:space="preserve">submitted its observations on admissibility and </w:t>
      </w:r>
      <w:r w:rsidR="00FF2B3F">
        <w:t xml:space="preserve">the </w:t>
      </w:r>
      <w:r w:rsidR="00CF479B" w:rsidRPr="00CF479B">
        <w:t>merits</w:t>
      </w:r>
      <w:r w:rsidR="00DF604A">
        <w:t xml:space="preserve"> and</w:t>
      </w:r>
      <w:r w:rsidR="00891D2C" w:rsidRPr="008C53BE">
        <w:t xml:space="preserve"> </w:t>
      </w:r>
      <w:r w:rsidR="002C253F" w:rsidRPr="002C253F">
        <w:t xml:space="preserve">commented on </w:t>
      </w:r>
      <w:r w:rsidR="002C253F">
        <w:t xml:space="preserve">the facts </w:t>
      </w:r>
      <w:r w:rsidR="002C253F" w:rsidRPr="002C253F">
        <w:t>presented by the author</w:t>
      </w:r>
      <w:r w:rsidR="002C253F">
        <w:t>s</w:t>
      </w:r>
      <w:r w:rsidR="002C253F" w:rsidRPr="002C253F">
        <w:t>. In this context,</w:t>
      </w:r>
      <w:r w:rsidR="002C253F">
        <w:t xml:space="preserve"> the State party </w:t>
      </w:r>
      <w:r w:rsidR="002C253F" w:rsidRPr="002C253F">
        <w:t>note</w:t>
      </w:r>
      <w:r w:rsidR="002C253F">
        <w:t>s</w:t>
      </w:r>
      <w:r w:rsidR="002C253F" w:rsidRPr="002C253F">
        <w:t xml:space="preserve"> that on </w:t>
      </w:r>
      <w:r w:rsidR="002C253F">
        <w:t xml:space="preserve">9 November </w:t>
      </w:r>
      <w:r w:rsidR="002C253F" w:rsidRPr="002C253F">
        <w:t>201</w:t>
      </w:r>
      <w:r w:rsidR="002C253F">
        <w:t>5</w:t>
      </w:r>
      <w:r w:rsidR="002C253F" w:rsidRPr="002C253F">
        <w:t xml:space="preserve">, the </w:t>
      </w:r>
      <w:r w:rsidR="002C253F">
        <w:t>Gomel</w:t>
      </w:r>
      <w:r w:rsidR="002C253F" w:rsidRPr="002C253F">
        <w:t xml:space="preserve"> City Executive Committee refused the authors</w:t>
      </w:r>
      <w:r w:rsidR="002C253F">
        <w:t>’</w:t>
      </w:r>
      <w:r w:rsidR="002C253F" w:rsidRPr="002C253F">
        <w:t xml:space="preserve"> request to conduct a </w:t>
      </w:r>
      <w:r w:rsidR="00092CB5">
        <w:t xml:space="preserve">rally </w:t>
      </w:r>
      <w:r w:rsidR="002C253F" w:rsidRPr="002C253F">
        <w:t xml:space="preserve">demonstration as </w:t>
      </w:r>
      <w:r w:rsidR="002C253F">
        <w:t>t</w:t>
      </w:r>
      <w:r w:rsidR="002C253F" w:rsidRPr="002C253F">
        <w:t>he</w:t>
      </w:r>
      <w:r w:rsidR="002C253F">
        <w:t>y</w:t>
      </w:r>
      <w:r w:rsidR="002C253F" w:rsidRPr="002C253F">
        <w:t xml:space="preserve"> failed to comply with the provisions of the Law on Mass Events of Belarus which regulated the holding of public events. </w:t>
      </w:r>
      <w:r w:rsidR="00C04A32" w:rsidRPr="00C04A32">
        <w:t xml:space="preserve">The State party observes that the </w:t>
      </w:r>
      <w:r w:rsidR="00C04A32">
        <w:t>Gomel</w:t>
      </w:r>
      <w:r w:rsidR="00C04A32" w:rsidRPr="00C04A32">
        <w:t xml:space="preserve"> City Executive Committee provided explanations to the author</w:t>
      </w:r>
      <w:r w:rsidR="00C04A32">
        <w:t>s</w:t>
      </w:r>
      <w:r w:rsidR="00C04A32" w:rsidRPr="00C04A32">
        <w:t xml:space="preserve"> about the reasons for denying the authorization of the </w:t>
      </w:r>
      <w:r w:rsidR="00092CB5">
        <w:t>rally</w:t>
      </w:r>
      <w:r w:rsidR="00C04A32" w:rsidRPr="00C04A32">
        <w:t>. In this context the State party notes that the author</w:t>
      </w:r>
      <w:r w:rsidR="00C04A32">
        <w:t>s</w:t>
      </w:r>
      <w:r w:rsidR="00C04A32" w:rsidRPr="00C04A32">
        <w:t xml:space="preserve"> failed to </w:t>
      </w:r>
      <w:r w:rsidR="00C04A32">
        <w:t xml:space="preserve">indicate </w:t>
      </w:r>
      <w:r w:rsidR="00C04A32" w:rsidRPr="00C04A32">
        <w:t xml:space="preserve">the measures taken to ensure the public order and safety of the event, </w:t>
      </w:r>
      <w:r w:rsidR="00C04A32">
        <w:t xml:space="preserve">and to provide the contracts with service providers about </w:t>
      </w:r>
      <w:r w:rsidR="00C04A32" w:rsidRPr="00C04A32">
        <w:t xml:space="preserve">the medical services during, and the cleaning of the location after, the event.  </w:t>
      </w:r>
    </w:p>
    <w:p w14:paraId="7436548C" w14:textId="6EFA8810" w:rsidR="002C253F" w:rsidRDefault="00F70B93" w:rsidP="00017E9B">
      <w:pPr>
        <w:pStyle w:val="SingleTxtG"/>
        <w:ind w:right="36"/>
      </w:pPr>
      <w:r>
        <w:t>4.2</w:t>
      </w:r>
      <w:r>
        <w:tab/>
      </w:r>
      <w:r w:rsidR="002C253F">
        <w:t>T</w:t>
      </w:r>
      <w:r w:rsidR="002C253F" w:rsidRPr="002C253F">
        <w:t xml:space="preserve">he State party reiterates the dates </w:t>
      </w:r>
      <w:r w:rsidR="00092CB5">
        <w:t>of</w:t>
      </w:r>
      <w:r w:rsidR="002C253F">
        <w:t xml:space="preserve"> </w:t>
      </w:r>
      <w:r w:rsidR="002C253F" w:rsidRPr="002C253F">
        <w:t>dismissal of the authors</w:t>
      </w:r>
      <w:r w:rsidR="002C253F">
        <w:t>’</w:t>
      </w:r>
      <w:r w:rsidR="002C253F" w:rsidRPr="002C253F">
        <w:t xml:space="preserve"> court </w:t>
      </w:r>
      <w:r w:rsidR="002C253F">
        <w:t xml:space="preserve">and prosecutor’s office </w:t>
      </w:r>
      <w:r w:rsidR="002C253F" w:rsidRPr="002C253F">
        <w:t>appeals, including those reviewed under the supervisory procedures.</w:t>
      </w:r>
    </w:p>
    <w:p w14:paraId="78353297" w14:textId="384F4CCD" w:rsidR="001C2A4A" w:rsidRDefault="001C2A4A" w:rsidP="00017E9B">
      <w:pPr>
        <w:pStyle w:val="SingleTxtG"/>
        <w:ind w:right="36"/>
      </w:pPr>
      <w:r w:rsidRPr="001C2A4A">
        <w:t>4.3</w:t>
      </w:r>
      <w:r w:rsidRPr="001C2A4A">
        <w:tab/>
        <w:t>The State party further notes that the authors</w:t>
      </w:r>
      <w:r>
        <w:t>’</w:t>
      </w:r>
      <w:r w:rsidRPr="001C2A4A">
        <w:t xml:space="preserve"> claims of a violation of articles 19 and 21, in conjunction with articles 2 (2) and 2(3) are unsubstantiated. The State party observes that the national legislation that provides for the right to peaceful assembly and freedom of expression  is coherent with the provisions of the Constitution of the Republic of Belarus</w:t>
      </w:r>
      <w:r>
        <w:rPr>
          <w:rStyle w:val="FootnoteReference"/>
        </w:rPr>
        <w:footnoteReference w:id="4"/>
      </w:r>
      <w:r w:rsidRPr="001C2A4A">
        <w:t xml:space="preserve"> and does not contradict the international norms that allow each State to introduce restrictions to the rights and freedoms of a person that are necessary in a democratic society and in the interests of national security or public safety, public order, the protection of public health or morals or the protection of the rights and freedoms of others as foreseen under article</w:t>
      </w:r>
      <w:r w:rsidR="001E4D0B">
        <w:t>s</w:t>
      </w:r>
      <w:r w:rsidRPr="001C2A4A">
        <w:t xml:space="preserve"> 19 and 21 of the Covenant. </w:t>
      </w:r>
    </w:p>
    <w:p w14:paraId="40E8029E" w14:textId="078D84B2" w:rsidR="001C2A4A" w:rsidRDefault="001C2A4A" w:rsidP="00017E9B">
      <w:pPr>
        <w:pStyle w:val="SingleTxtG"/>
        <w:ind w:right="36"/>
      </w:pPr>
      <w:r>
        <w:t>4.4</w:t>
      </w:r>
      <w:r>
        <w:tab/>
      </w:r>
      <w:r w:rsidR="00EC58C5">
        <w:t>The State party notes that a</w:t>
      </w:r>
      <w:r>
        <w:t>cc</w:t>
      </w:r>
      <w:r w:rsidR="00EC58C5">
        <w:t>o</w:t>
      </w:r>
      <w:r>
        <w:t xml:space="preserve">rding to article 5 of the Law on Mass Events </w:t>
      </w:r>
      <w:r w:rsidR="00EC58C5">
        <w:t xml:space="preserve">the organisers of such events are responsible to take measures related, among others, to medical assistance during and cleaning of the territory after the event.  </w:t>
      </w:r>
    </w:p>
    <w:p w14:paraId="016B978C" w14:textId="24A6802A" w:rsidR="00DE2317" w:rsidRDefault="00DE2317" w:rsidP="00017E9B">
      <w:pPr>
        <w:pStyle w:val="SingleTxtG"/>
        <w:ind w:right="36"/>
      </w:pPr>
      <w:r>
        <w:t>4.</w:t>
      </w:r>
      <w:r w:rsidR="000A0F16">
        <w:t>5</w:t>
      </w:r>
      <w:r>
        <w:tab/>
      </w:r>
      <w:r w:rsidRPr="00DE2317">
        <w:t>Referring to the admissibility of the communication, the State party notes that the author</w:t>
      </w:r>
      <w:r>
        <w:t>s</w:t>
      </w:r>
      <w:r w:rsidRPr="00DE2317">
        <w:t xml:space="preserve"> had not exhausted all available domestic remedies since </w:t>
      </w:r>
      <w:r>
        <w:t>their</w:t>
      </w:r>
      <w:r w:rsidRPr="00DE2317">
        <w:t xml:space="preserve"> appeals for supervisory review to the Supreme Court and to the Prosecutor General office were not examined by the Chair of the Supreme Court and the Prosecutor general themselves, but by their </w:t>
      </w:r>
      <w:proofErr w:type="spellStart"/>
      <w:r w:rsidRPr="00DE2317">
        <w:t>deputees</w:t>
      </w:r>
      <w:proofErr w:type="spellEnd"/>
      <w:r w:rsidRPr="00DE2317">
        <w:t>.</w:t>
      </w:r>
    </w:p>
    <w:p w14:paraId="6C6D6B33" w14:textId="1C42B79D" w:rsidR="00D24185" w:rsidRPr="009124B3" w:rsidRDefault="00D24185" w:rsidP="00DD6207">
      <w:pPr>
        <w:pStyle w:val="H23G"/>
        <w:ind w:right="36"/>
      </w:pPr>
      <w:r>
        <w:tab/>
      </w:r>
      <w:r>
        <w:tab/>
      </w:r>
      <w:r w:rsidRPr="009124B3">
        <w:t>Author</w:t>
      </w:r>
      <w:r w:rsidR="002339DD">
        <w:t>s</w:t>
      </w:r>
      <w:r w:rsidRPr="009124B3">
        <w:t>’ comments on the State party’s observations</w:t>
      </w:r>
    </w:p>
    <w:p w14:paraId="32AE98F1" w14:textId="77B5212A" w:rsidR="00A33D30" w:rsidRDefault="002B6D49" w:rsidP="00897B0D">
      <w:pPr>
        <w:suppressAutoHyphens/>
        <w:spacing w:after="120" w:line="240" w:lineRule="atLeast"/>
        <w:ind w:left="1134" w:right="36"/>
        <w:jc w:val="both"/>
        <w:rPr>
          <w:sz w:val="20"/>
          <w:szCs w:val="20"/>
          <w:lang w:bidi="ar-SA"/>
        </w:rPr>
      </w:pPr>
      <w:r w:rsidRPr="002B6D49">
        <w:rPr>
          <w:sz w:val="20"/>
          <w:szCs w:val="20"/>
          <w:lang w:val="en-GB" w:bidi="ar-SA"/>
        </w:rPr>
        <w:t>5.1</w:t>
      </w:r>
      <w:r w:rsidRPr="002B6D49">
        <w:rPr>
          <w:sz w:val="20"/>
          <w:szCs w:val="20"/>
          <w:lang w:val="en-GB" w:bidi="ar-SA"/>
        </w:rPr>
        <w:tab/>
      </w:r>
      <w:r w:rsidR="00897B0D" w:rsidRPr="00897B0D">
        <w:rPr>
          <w:sz w:val="20"/>
          <w:szCs w:val="20"/>
          <w:lang w:bidi="ar-SA"/>
        </w:rPr>
        <w:t>On 1</w:t>
      </w:r>
      <w:r w:rsidR="00F70B93">
        <w:rPr>
          <w:sz w:val="20"/>
          <w:szCs w:val="20"/>
          <w:lang w:bidi="ar-SA"/>
        </w:rPr>
        <w:t>0</w:t>
      </w:r>
      <w:r w:rsidR="00897B0D" w:rsidRPr="00897B0D">
        <w:rPr>
          <w:sz w:val="20"/>
          <w:szCs w:val="20"/>
          <w:lang w:bidi="ar-SA"/>
        </w:rPr>
        <w:t xml:space="preserve"> May 2017, the author</w:t>
      </w:r>
      <w:r w:rsidR="00F70B93">
        <w:rPr>
          <w:sz w:val="20"/>
          <w:szCs w:val="20"/>
          <w:lang w:bidi="ar-SA"/>
        </w:rPr>
        <w:t>s</w:t>
      </w:r>
      <w:r w:rsidR="00897B0D" w:rsidRPr="00897B0D">
        <w:rPr>
          <w:sz w:val="20"/>
          <w:szCs w:val="20"/>
          <w:lang w:bidi="ar-SA"/>
        </w:rPr>
        <w:t xml:space="preserve"> </w:t>
      </w:r>
      <w:r w:rsidR="008137AB">
        <w:rPr>
          <w:sz w:val="20"/>
          <w:szCs w:val="20"/>
          <w:lang w:bidi="ar-SA"/>
        </w:rPr>
        <w:t xml:space="preserve">submitted </w:t>
      </w:r>
      <w:r w:rsidR="00F70B93">
        <w:rPr>
          <w:sz w:val="20"/>
          <w:szCs w:val="20"/>
          <w:lang w:bidi="ar-SA"/>
        </w:rPr>
        <w:t>t</w:t>
      </w:r>
      <w:r w:rsidR="008137AB">
        <w:rPr>
          <w:sz w:val="20"/>
          <w:szCs w:val="20"/>
          <w:lang w:bidi="ar-SA"/>
        </w:rPr>
        <w:t>he</w:t>
      </w:r>
      <w:r w:rsidR="00F70B93">
        <w:rPr>
          <w:sz w:val="20"/>
          <w:szCs w:val="20"/>
          <w:lang w:bidi="ar-SA"/>
        </w:rPr>
        <w:t>i</w:t>
      </w:r>
      <w:r w:rsidR="008137AB">
        <w:rPr>
          <w:sz w:val="20"/>
          <w:szCs w:val="20"/>
          <w:lang w:bidi="ar-SA"/>
        </w:rPr>
        <w:t xml:space="preserve">r comments to the State party’s observations. </w:t>
      </w:r>
      <w:r w:rsidR="00C87968">
        <w:rPr>
          <w:sz w:val="20"/>
          <w:szCs w:val="20"/>
          <w:lang w:bidi="ar-SA"/>
        </w:rPr>
        <w:t>W</w:t>
      </w:r>
      <w:r w:rsidR="00C87968" w:rsidRPr="00C87968">
        <w:rPr>
          <w:sz w:val="20"/>
          <w:szCs w:val="20"/>
          <w:lang w:bidi="ar-SA"/>
        </w:rPr>
        <w:t>ith reference to the State party’s observations on the supervisory review, the author</w:t>
      </w:r>
      <w:r w:rsidR="00C87968">
        <w:rPr>
          <w:sz w:val="20"/>
          <w:szCs w:val="20"/>
          <w:lang w:bidi="ar-SA"/>
        </w:rPr>
        <w:t>s</w:t>
      </w:r>
      <w:r w:rsidR="00C87968" w:rsidRPr="00C87968">
        <w:rPr>
          <w:sz w:val="20"/>
          <w:szCs w:val="20"/>
          <w:lang w:bidi="ar-SA"/>
        </w:rPr>
        <w:t xml:space="preserve"> </w:t>
      </w:r>
      <w:r w:rsidR="00C87968">
        <w:rPr>
          <w:sz w:val="20"/>
          <w:szCs w:val="20"/>
          <w:lang w:bidi="ar-SA"/>
        </w:rPr>
        <w:t xml:space="preserve">reiterate </w:t>
      </w:r>
      <w:r w:rsidR="00C87968" w:rsidRPr="00C87968">
        <w:rPr>
          <w:sz w:val="20"/>
          <w:szCs w:val="20"/>
          <w:lang w:bidi="ar-SA"/>
        </w:rPr>
        <w:t xml:space="preserve">that </w:t>
      </w:r>
      <w:r w:rsidR="00C87968">
        <w:rPr>
          <w:sz w:val="20"/>
          <w:szCs w:val="20"/>
          <w:lang w:bidi="ar-SA"/>
        </w:rPr>
        <w:t>t</w:t>
      </w:r>
      <w:r w:rsidR="00C87968" w:rsidRPr="00C87968">
        <w:rPr>
          <w:sz w:val="20"/>
          <w:szCs w:val="20"/>
          <w:lang w:bidi="ar-SA"/>
        </w:rPr>
        <w:t>he</w:t>
      </w:r>
      <w:r w:rsidR="00C87968">
        <w:rPr>
          <w:sz w:val="20"/>
          <w:szCs w:val="20"/>
          <w:lang w:bidi="ar-SA"/>
        </w:rPr>
        <w:t>y</w:t>
      </w:r>
      <w:r w:rsidR="00C87968" w:rsidRPr="00C87968">
        <w:rPr>
          <w:sz w:val="20"/>
          <w:szCs w:val="20"/>
          <w:lang w:bidi="ar-SA"/>
        </w:rPr>
        <w:t xml:space="preserve"> appealed the decisions under these proceedings to the Chair of the Supreme Court of Belarus and to the Prosecutor General; however, these appeals were rejected by their Deputy Chairs, which is not contested by the State party. </w:t>
      </w:r>
    </w:p>
    <w:p w14:paraId="74FB6594" w14:textId="29F6869A" w:rsidR="00C87968" w:rsidRDefault="00A33D30" w:rsidP="00897B0D">
      <w:pPr>
        <w:suppressAutoHyphens/>
        <w:spacing w:after="120" w:line="240" w:lineRule="atLeast"/>
        <w:ind w:left="1134" w:right="36"/>
        <w:jc w:val="both"/>
        <w:rPr>
          <w:sz w:val="20"/>
          <w:szCs w:val="20"/>
          <w:lang w:bidi="ar-SA"/>
        </w:rPr>
      </w:pPr>
      <w:r>
        <w:rPr>
          <w:sz w:val="20"/>
          <w:szCs w:val="20"/>
          <w:lang w:bidi="ar-SA"/>
        </w:rPr>
        <w:t>5.2</w:t>
      </w:r>
      <w:r>
        <w:rPr>
          <w:sz w:val="20"/>
          <w:szCs w:val="20"/>
          <w:lang w:bidi="ar-SA"/>
        </w:rPr>
        <w:tab/>
      </w:r>
      <w:r w:rsidR="00C87968" w:rsidRPr="00C87968">
        <w:rPr>
          <w:sz w:val="20"/>
          <w:szCs w:val="20"/>
          <w:lang w:bidi="ar-SA"/>
        </w:rPr>
        <w:t xml:space="preserve">In this context, </w:t>
      </w:r>
      <w:r w:rsidR="00C87968">
        <w:rPr>
          <w:sz w:val="20"/>
          <w:szCs w:val="20"/>
          <w:lang w:bidi="ar-SA"/>
        </w:rPr>
        <w:t>t</w:t>
      </w:r>
      <w:r w:rsidR="00C87968" w:rsidRPr="00C87968">
        <w:rPr>
          <w:sz w:val="20"/>
          <w:szCs w:val="20"/>
          <w:lang w:bidi="ar-SA"/>
        </w:rPr>
        <w:t>he</w:t>
      </w:r>
      <w:r w:rsidR="00C87968">
        <w:rPr>
          <w:sz w:val="20"/>
          <w:szCs w:val="20"/>
          <w:lang w:bidi="ar-SA"/>
        </w:rPr>
        <w:t>y</w:t>
      </w:r>
      <w:r w:rsidR="00C87968" w:rsidRPr="00C87968">
        <w:rPr>
          <w:sz w:val="20"/>
          <w:szCs w:val="20"/>
          <w:lang w:bidi="ar-SA"/>
        </w:rPr>
        <w:t xml:space="preserve"> note that the Chair of the Supreme Court has five deputies, while the Prosecutor General has four deputies. The author</w:t>
      </w:r>
      <w:r w:rsidR="00C87968">
        <w:rPr>
          <w:sz w:val="20"/>
          <w:szCs w:val="20"/>
          <w:lang w:bidi="ar-SA"/>
        </w:rPr>
        <w:t>s</w:t>
      </w:r>
      <w:r w:rsidR="00C87968" w:rsidRPr="00C87968">
        <w:rPr>
          <w:sz w:val="20"/>
          <w:szCs w:val="20"/>
          <w:lang w:bidi="ar-SA"/>
        </w:rPr>
        <w:t xml:space="preserve"> argue that the State party failed to explain which of the deputies should have been addressed in order for the appeal to be reviewed personally by the Chair of the Supreme Court or by the Prosecutor General. The author</w:t>
      </w:r>
      <w:r w:rsidR="00C87968">
        <w:rPr>
          <w:sz w:val="20"/>
          <w:szCs w:val="20"/>
          <w:lang w:bidi="ar-SA"/>
        </w:rPr>
        <w:t>s</w:t>
      </w:r>
      <w:r w:rsidR="00C87968" w:rsidRPr="00C87968">
        <w:rPr>
          <w:sz w:val="20"/>
          <w:szCs w:val="20"/>
          <w:lang w:bidi="ar-SA"/>
        </w:rPr>
        <w:t xml:space="preserve"> submits that in the absence of any explanation by the State party in this regard, </w:t>
      </w:r>
      <w:r w:rsidR="00C87968">
        <w:rPr>
          <w:sz w:val="20"/>
          <w:szCs w:val="20"/>
          <w:lang w:bidi="ar-SA"/>
        </w:rPr>
        <w:t>t</w:t>
      </w:r>
      <w:r w:rsidR="00C87968" w:rsidRPr="00C87968">
        <w:rPr>
          <w:sz w:val="20"/>
          <w:szCs w:val="20"/>
          <w:lang w:bidi="ar-SA"/>
        </w:rPr>
        <w:t>he</w:t>
      </w:r>
      <w:r w:rsidR="00C87968">
        <w:rPr>
          <w:sz w:val="20"/>
          <w:szCs w:val="20"/>
          <w:lang w:bidi="ar-SA"/>
        </w:rPr>
        <w:t>y</w:t>
      </w:r>
      <w:r w:rsidR="00C87968" w:rsidRPr="00C87968">
        <w:rPr>
          <w:sz w:val="20"/>
          <w:szCs w:val="20"/>
          <w:lang w:bidi="ar-SA"/>
        </w:rPr>
        <w:t xml:space="preserve"> do not consider the supervisory review procedures to be an effective remedy.</w:t>
      </w:r>
    </w:p>
    <w:p w14:paraId="380425F2" w14:textId="6F64BB91" w:rsidR="00897B0D" w:rsidRPr="00897B0D" w:rsidRDefault="00C87968" w:rsidP="00897B0D">
      <w:pPr>
        <w:suppressAutoHyphens/>
        <w:spacing w:after="120" w:line="240" w:lineRule="atLeast"/>
        <w:ind w:left="1134" w:right="36"/>
        <w:jc w:val="both"/>
        <w:rPr>
          <w:sz w:val="20"/>
          <w:szCs w:val="20"/>
          <w:lang w:bidi="ar-SA"/>
        </w:rPr>
      </w:pPr>
      <w:r>
        <w:rPr>
          <w:sz w:val="20"/>
          <w:szCs w:val="20"/>
          <w:lang w:bidi="ar-SA"/>
        </w:rPr>
        <w:lastRenderedPageBreak/>
        <w:t>5.</w:t>
      </w:r>
      <w:r w:rsidR="00A33D30">
        <w:rPr>
          <w:sz w:val="20"/>
          <w:szCs w:val="20"/>
          <w:lang w:bidi="ar-SA"/>
        </w:rPr>
        <w:t>3</w:t>
      </w:r>
      <w:r>
        <w:rPr>
          <w:sz w:val="20"/>
          <w:szCs w:val="20"/>
          <w:lang w:bidi="ar-SA"/>
        </w:rPr>
        <w:tab/>
      </w:r>
      <w:r w:rsidR="00B934A3">
        <w:rPr>
          <w:sz w:val="20"/>
          <w:szCs w:val="20"/>
          <w:lang w:bidi="ar-SA"/>
        </w:rPr>
        <w:t>In addition</w:t>
      </w:r>
      <w:r w:rsidR="00897B0D" w:rsidRPr="00897B0D">
        <w:rPr>
          <w:sz w:val="20"/>
          <w:szCs w:val="20"/>
          <w:lang w:bidi="ar-SA"/>
        </w:rPr>
        <w:t xml:space="preserve">, </w:t>
      </w:r>
      <w:r w:rsidR="00B934A3">
        <w:rPr>
          <w:sz w:val="20"/>
          <w:szCs w:val="20"/>
          <w:lang w:bidi="ar-SA"/>
        </w:rPr>
        <w:t xml:space="preserve">the </w:t>
      </w:r>
      <w:r w:rsidR="00897B0D" w:rsidRPr="00897B0D">
        <w:rPr>
          <w:sz w:val="20"/>
          <w:szCs w:val="20"/>
          <w:lang w:bidi="ar-SA"/>
        </w:rPr>
        <w:t>current legislation does not give a citizen the right to directly file a constitutional complaint with the Constitutional Court. Therefore, the author</w:t>
      </w:r>
      <w:r>
        <w:rPr>
          <w:sz w:val="20"/>
          <w:szCs w:val="20"/>
          <w:lang w:bidi="ar-SA"/>
        </w:rPr>
        <w:t>s</w:t>
      </w:r>
      <w:r w:rsidR="00897B0D" w:rsidRPr="00897B0D">
        <w:rPr>
          <w:sz w:val="20"/>
          <w:szCs w:val="20"/>
          <w:lang w:bidi="ar-SA"/>
        </w:rPr>
        <w:t xml:space="preserve"> contend </w:t>
      </w:r>
      <w:r>
        <w:rPr>
          <w:sz w:val="20"/>
          <w:szCs w:val="20"/>
          <w:lang w:bidi="ar-SA"/>
        </w:rPr>
        <w:t>t</w:t>
      </w:r>
      <w:r w:rsidR="00897B0D" w:rsidRPr="00897B0D">
        <w:rPr>
          <w:sz w:val="20"/>
          <w:szCs w:val="20"/>
          <w:lang w:bidi="ar-SA"/>
        </w:rPr>
        <w:t>he</w:t>
      </w:r>
      <w:r>
        <w:rPr>
          <w:sz w:val="20"/>
          <w:szCs w:val="20"/>
          <w:lang w:bidi="ar-SA"/>
        </w:rPr>
        <w:t>y</w:t>
      </w:r>
      <w:r w:rsidR="00897B0D" w:rsidRPr="00897B0D">
        <w:rPr>
          <w:sz w:val="20"/>
          <w:szCs w:val="20"/>
          <w:lang w:bidi="ar-SA"/>
        </w:rPr>
        <w:t xml:space="preserve"> ha</w:t>
      </w:r>
      <w:r>
        <w:rPr>
          <w:sz w:val="20"/>
          <w:szCs w:val="20"/>
          <w:lang w:bidi="ar-SA"/>
        </w:rPr>
        <w:t>ve</w:t>
      </w:r>
      <w:r w:rsidR="00897B0D" w:rsidRPr="00897B0D">
        <w:rPr>
          <w:sz w:val="20"/>
          <w:szCs w:val="20"/>
          <w:lang w:bidi="ar-SA"/>
        </w:rPr>
        <w:t xml:space="preserve"> exhausted all effective domestic remedies.</w:t>
      </w:r>
    </w:p>
    <w:p w14:paraId="6A171F6D" w14:textId="551F94B5" w:rsidR="00491FA5" w:rsidRDefault="00897B0D" w:rsidP="00897B0D">
      <w:pPr>
        <w:suppressAutoHyphens/>
        <w:spacing w:after="120" w:line="240" w:lineRule="atLeast"/>
        <w:ind w:left="1134" w:right="36"/>
        <w:jc w:val="both"/>
        <w:rPr>
          <w:sz w:val="20"/>
          <w:szCs w:val="20"/>
          <w:lang w:bidi="ar-SA"/>
        </w:rPr>
      </w:pPr>
      <w:r>
        <w:rPr>
          <w:sz w:val="20"/>
          <w:szCs w:val="20"/>
          <w:lang w:bidi="ar-SA"/>
        </w:rPr>
        <w:t>5.</w:t>
      </w:r>
      <w:r w:rsidR="00A33D30">
        <w:rPr>
          <w:sz w:val="20"/>
          <w:szCs w:val="20"/>
          <w:lang w:bidi="ar-SA"/>
        </w:rPr>
        <w:t>4</w:t>
      </w:r>
      <w:r>
        <w:rPr>
          <w:sz w:val="20"/>
          <w:szCs w:val="20"/>
          <w:lang w:bidi="ar-SA"/>
        </w:rPr>
        <w:tab/>
      </w:r>
      <w:r w:rsidRPr="00897B0D">
        <w:rPr>
          <w:sz w:val="20"/>
          <w:szCs w:val="20"/>
          <w:lang w:bidi="ar-SA"/>
        </w:rPr>
        <w:t xml:space="preserve">Regarding the State party’s argument that the </w:t>
      </w:r>
      <w:r w:rsidR="00491FA5">
        <w:rPr>
          <w:sz w:val="20"/>
          <w:szCs w:val="20"/>
          <w:lang w:bidi="ar-SA"/>
        </w:rPr>
        <w:t xml:space="preserve">Law on Mass Events is in compliance with </w:t>
      </w:r>
      <w:r w:rsidRPr="00897B0D">
        <w:rPr>
          <w:sz w:val="20"/>
          <w:szCs w:val="20"/>
          <w:lang w:bidi="ar-SA"/>
        </w:rPr>
        <w:t xml:space="preserve"> Article</w:t>
      </w:r>
      <w:r w:rsidR="00491FA5">
        <w:rPr>
          <w:sz w:val="20"/>
          <w:szCs w:val="20"/>
          <w:lang w:bidi="ar-SA"/>
        </w:rPr>
        <w:t>s</w:t>
      </w:r>
      <w:r w:rsidRPr="00897B0D">
        <w:rPr>
          <w:sz w:val="20"/>
          <w:szCs w:val="20"/>
          <w:lang w:bidi="ar-SA"/>
        </w:rPr>
        <w:t xml:space="preserve"> 19 </w:t>
      </w:r>
      <w:r w:rsidR="00491FA5">
        <w:rPr>
          <w:sz w:val="20"/>
          <w:szCs w:val="20"/>
          <w:lang w:bidi="ar-SA"/>
        </w:rPr>
        <w:t xml:space="preserve">and 21 </w:t>
      </w:r>
      <w:r w:rsidRPr="00897B0D">
        <w:rPr>
          <w:sz w:val="20"/>
          <w:szCs w:val="20"/>
          <w:lang w:bidi="ar-SA"/>
        </w:rPr>
        <w:t>of the Covenant, the author</w:t>
      </w:r>
      <w:r w:rsidR="00092CB5">
        <w:rPr>
          <w:sz w:val="20"/>
          <w:szCs w:val="20"/>
          <w:lang w:bidi="ar-SA"/>
        </w:rPr>
        <w:t>s</w:t>
      </w:r>
      <w:r w:rsidRPr="00897B0D">
        <w:rPr>
          <w:sz w:val="20"/>
          <w:szCs w:val="20"/>
          <w:lang w:bidi="ar-SA"/>
        </w:rPr>
        <w:t xml:space="preserve"> refer to the Committee</w:t>
      </w:r>
      <w:r w:rsidR="00491FA5">
        <w:rPr>
          <w:sz w:val="20"/>
          <w:szCs w:val="20"/>
          <w:lang w:bidi="ar-SA"/>
        </w:rPr>
        <w:t>’s established jurisprudence</w:t>
      </w:r>
      <w:r w:rsidR="00491FA5">
        <w:rPr>
          <w:rStyle w:val="FootnoteReference"/>
          <w:szCs w:val="20"/>
          <w:lang w:bidi="ar-SA"/>
        </w:rPr>
        <w:footnoteReference w:id="5"/>
      </w:r>
      <w:r w:rsidR="00491FA5">
        <w:rPr>
          <w:sz w:val="20"/>
          <w:szCs w:val="20"/>
          <w:lang w:bidi="ar-SA"/>
        </w:rPr>
        <w:t xml:space="preserve"> and note that the State party has not implemented the recommendations of the Committee concerning this law.</w:t>
      </w:r>
    </w:p>
    <w:p w14:paraId="4FC042AB" w14:textId="0ADB8137" w:rsidR="000128E3" w:rsidRDefault="000128E3" w:rsidP="00DD6207">
      <w:pPr>
        <w:pStyle w:val="H23G"/>
        <w:ind w:right="36"/>
      </w:pPr>
      <w:r w:rsidRPr="00415BA0">
        <w:tab/>
      </w:r>
      <w:r w:rsidRPr="00415BA0">
        <w:tab/>
      </w:r>
      <w:r w:rsidR="007A26E3" w:rsidRPr="00415BA0">
        <w:tab/>
      </w:r>
      <w:r w:rsidRPr="00415BA0">
        <w:t>Issues and proceedings before the Committee</w:t>
      </w:r>
    </w:p>
    <w:p w14:paraId="1DCA7144" w14:textId="43E6B87F" w:rsidR="008B3D95" w:rsidRPr="005C4358" w:rsidRDefault="00DE5C04" w:rsidP="00DD6207">
      <w:pPr>
        <w:pStyle w:val="H4G"/>
        <w:ind w:right="36"/>
        <w:rPr>
          <w:i w:val="0"/>
        </w:rPr>
      </w:pPr>
      <w:r>
        <w:tab/>
      </w:r>
      <w:r>
        <w:tab/>
      </w:r>
      <w:r w:rsidR="008B3D95" w:rsidRPr="005C4358">
        <w:t>Consideration of admissibility</w:t>
      </w:r>
    </w:p>
    <w:p w14:paraId="29B4FDD9" w14:textId="77777777" w:rsidR="007C1857" w:rsidRPr="007C1857" w:rsidRDefault="007C1857" w:rsidP="00DD6207">
      <w:pPr>
        <w:pStyle w:val="SingleTxtG"/>
        <w:ind w:right="36"/>
      </w:pPr>
      <w:r w:rsidRPr="007C1857">
        <w:t>6.1</w:t>
      </w:r>
      <w:r w:rsidRPr="007C1857">
        <w:tab/>
        <w:t>Before considering any claim contained in a communication, the Committee must decide, in accordance with rule 97 of its rules of procedure, whether the communication is admissible under the Optional Protocol.</w:t>
      </w:r>
    </w:p>
    <w:p w14:paraId="1F7B2DE6" w14:textId="77777777" w:rsidR="007C1857" w:rsidRPr="007C1857" w:rsidRDefault="007C1857" w:rsidP="00DD6207">
      <w:pPr>
        <w:pStyle w:val="SingleTxtG"/>
        <w:ind w:right="36"/>
      </w:pPr>
      <w:r w:rsidRPr="007C1857">
        <w:t>6.2</w:t>
      </w:r>
      <w:r w:rsidRPr="007C1857">
        <w:tab/>
        <w:t>The Committee has ascertained, as required under article 5 (2) (a) of the Optional Protocol, that the same matter is not being examined under another procedure of international investigation or settlement.</w:t>
      </w:r>
    </w:p>
    <w:p w14:paraId="5ADE90D1" w14:textId="71309C1C" w:rsidR="003D5DD4" w:rsidRDefault="007C1857" w:rsidP="00DD6207">
      <w:pPr>
        <w:pStyle w:val="SingleTxtG"/>
        <w:ind w:right="36"/>
        <w:rPr>
          <w:lang w:val="en-US"/>
        </w:rPr>
      </w:pPr>
      <w:r w:rsidRPr="007C1857">
        <w:t>6.3</w:t>
      </w:r>
      <w:r w:rsidRPr="007C1857">
        <w:tab/>
      </w:r>
      <w:r w:rsidR="003D5DD4" w:rsidRPr="003D5DD4">
        <w:rPr>
          <w:lang w:val="en-US"/>
        </w:rPr>
        <w:t>The Committee notes the State party’s argument that the author</w:t>
      </w:r>
      <w:r w:rsidR="00A33D30">
        <w:rPr>
          <w:lang w:val="en-US"/>
        </w:rPr>
        <w:t>s</w:t>
      </w:r>
      <w:r w:rsidR="003D5DD4" w:rsidRPr="003D5DD4">
        <w:rPr>
          <w:lang w:val="en-US"/>
        </w:rPr>
        <w:t xml:space="preserve"> ha</w:t>
      </w:r>
      <w:r w:rsidR="00A33D30">
        <w:rPr>
          <w:lang w:val="en-US"/>
        </w:rPr>
        <w:t>ve</w:t>
      </w:r>
      <w:r w:rsidR="003D5DD4" w:rsidRPr="003D5DD4">
        <w:rPr>
          <w:lang w:val="en-US"/>
        </w:rPr>
        <w:t xml:space="preserve"> failed to seek a supervisory review by the Chair of the Supreme Court </w:t>
      </w:r>
      <w:r w:rsidR="004568BC" w:rsidRPr="004568BC">
        <w:rPr>
          <w:lang w:val="en-US"/>
        </w:rPr>
        <w:t>or by the Prosecutor</w:t>
      </w:r>
      <w:r w:rsidR="000B1C9B">
        <w:rPr>
          <w:lang w:val="en-US"/>
        </w:rPr>
        <w:t xml:space="preserve"> General himself</w:t>
      </w:r>
      <w:r w:rsidR="004568BC" w:rsidRPr="004568BC">
        <w:rPr>
          <w:lang w:val="en-US"/>
        </w:rPr>
        <w:t xml:space="preserve"> </w:t>
      </w:r>
      <w:r w:rsidR="003D5DD4" w:rsidRPr="003D5DD4">
        <w:rPr>
          <w:lang w:val="en-US"/>
        </w:rPr>
        <w:t>of the decisions of the domestic courts. In this context, the Committee considers that filing requests for supervisory review with the president of a court directed against court decisions that have entered into force and depend on the discretionary power of a judge constitutes an extraordinary remedy and that the State party must show that there is a reasonable prospect that such requests would provide an effective remedy in the circumstances of the case. The Committee further notes the author</w:t>
      </w:r>
      <w:r w:rsidR="00A33D30">
        <w:rPr>
          <w:lang w:val="en-US"/>
        </w:rPr>
        <w:t>s</w:t>
      </w:r>
      <w:r w:rsidR="003D5DD4" w:rsidRPr="003D5DD4">
        <w:rPr>
          <w:lang w:val="en-US"/>
        </w:rPr>
        <w:t xml:space="preserve">’ argument that </w:t>
      </w:r>
      <w:r w:rsidR="00A33D30">
        <w:rPr>
          <w:lang w:val="en-US"/>
        </w:rPr>
        <w:t>t</w:t>
      </w:r>
      <w:r w:rsidR="003D5DD4" w:rsidRPr="003D5DD4">
        <w:rPr>
          <w:lang w:val="en-US"/>
        </w:rPr>
        <w:t>he</w:t>
      </w:r>
      <w:r w:rsidR="00A33D30">
        <w:rPr>
          <w:lang w:val="en-US"/>
        </w:rPr>
        <w:t>y</w:t>
      </w:r>
      <w:r w:rsidR="003D5DD4" w:rsidRPr="003D5DD4">
        <w:rPr>
          <w:lang w:val="en-US"/>
        </w:rPr>
        <w:t xml:space="preserve"> indeed appealed, unsuccessfully, these decisions under the supervisory review proceedings, namely to the Chair of the Supreme Court of Belarus</w:t>
      </w:r>
      <w:r w:rsidR="000B1C9B">
        <w:rPr>
          <w:lang w:val="en-US"/>
        </w:rPr>
        <w:t xml:space="preserve"> and to the Prosecutor’s </w:t>
      </w:r>
      <w:r w:rsidR="00A33D30">
        <w:rPr>
          <w:lang w:val="en-US"/>
        </w:rPr>
        <w:t>General</w:t>
      </w:r>
      <w:r w:rsidR="000B1C9B">
        <w:rPr>
          <w:lang w:val="en-US"/>
        </w:rPr>
        <w:t xml:space="preserve"> Office</w:t>
      </w:r>
      <w:r w:rsidR="003D5DD4" w:rsidRPr="003D5DD4">
        <w:rPr>
          <w:lang w:val="en-US"/>
        </w:rPr>
        <w:t xml:space="preserve">, and provided all respective materials in this regard. </w:t>
      </w:r>
      <w:r w:rsidR="004568BC" w:rsidRPr="004568BC">
        <w:rPr>
          <w:lang w:val="en-US"/>
        </w:rPr>
        <w:t>The Committee further recalls its jurisprudence, according to which a petition for supervisory review submitted to a prosecutor’s office</w:t>
      </w:r>
      <w:r w:rsidR="00EF40EB">
        <w:rPr>
          <w:lang w:val="en-US"/>
        </w:rPr>
        <w:t xml:space="preserve">, </w:t>
      </w:r>
      <w:r w:rsidR="00D7373D">
        <w:rPr>
          <w:lang w:val="en-US"/>
        </w:rPr>
        <w:t xml:space="preserve">dependent on the discretionary power of the </w:t>
      </w:r>
      <w:r w:rsidR="00D40A40">
        <w:rPr>
          <w:lang w:val="en-US"/>
        </w:rPr>
        <w:t>prosecutor</w:t>
      </w:r>
      <w:r w:rsidR="00D7373D">
        <w:rPr>
          <w:lang w:val="en-US"/>
        </w:rPr>
        <w:t>,</w:t>
      </w:r>
      <w:r w:rsidR="004568BC" w:rsidRPr="004568BC">
        <w:rPr>
          <w:lang w:val="en-US"/>
        </w:rPr>
        <w:t xml:space="preserve"> requesting a review of court decisions that have taken effect constitutes an extraordinary remedy,  and thus does not constitute a remedy that must be exhausted for the purposes of article 5 (2) (b) of the Optional Protocol.</w:t>
      </w:r>
      <w:r w:rsidR="004568BC" w:rsidRPr="004568BC">
        <w:rPr>
          <w:vertAlign w:val="superscript"/>
          <w:lang w:val="en-US"/>
        </w:rPr>
        <w:footnoteReference w:id="6"/>
      </w:r>
      <w:r w:rsidR="004568BC" w:rsidRPr="004568BC">
        <w:rPr>
          <w:lang w:val="en-US"/>
        </w:rPr>
        <w:t xml:space="preserve"> </w:t>
      </w:r>
      <w:r w:rsidR="004568BC">
        <w:rPr>
          <w:lang w:val="en-US"/>
        </w:rPr>
        <w:t xml:space="preserve"> </w:t>
      </w:r>
      <w:r w:rsidR="003D5DD4" w:rsidRPr="003D5DD4">
        <w:rPr>
          <w:lang w:val="en-US"/>
        </w:rPr>
        <w:t>The Committee notes that in the present case, the author</w:t>
      </w:r>
      <w:r w:rsidR="00A33D30">
        <w:rPr>
          <w:lang w:val="en-US"/>
        </w:rPr>
        <w:t>s</w:t>
      </w:r>
      <w:r w:rsidR="003D5DD4" w:rsidRPr="003D5DD4">
        <w:rPr>
          <w:lang w:val="en-US"/>
        </w:rPr>
        <w:t xml:space="preserve"> ha</w:t>
      </w:r>
      <w:r w:rsidR="00A33D30">
        <w:rPr>
          <w:lang w:val="en-US"/>
        </w:rPr>
        <w:t>ve</w:t>
      </w:r>
      <w:r w:rsidR="003D5DD4" w:rsidRPr="003D5DD4">
        <w:rPr>
          <w:lang w:val="en-US"/>
        </w:rPr>
        <w:t xml:space="preserve"> exhausted all available domestic remedies, including those that constitute supervisory review proceedings, and therefore, the Committee considers that it is not precluded by article 5 (2) (b) of the Optional Protocol from examining the present communication.</w:t>
      </w:r>
      <w:r w:rsidR="00846523">
        <w:rPr>
          <w:lang w:val="en-US"/>
        </w:rPr>
        <w:t xml:space="preserve"> </w:t>
      </w:r>
    </w:p>
    <w:p w14:paraId="4C09A766" w14:textId="712467EA" w:rsidR="005840A6" w:rsidRPr="005840A6" w:rsidRDefault="005840A6" w:rsidP="005840A6">
      <w:pPr>
        <w:pStyle w:val="SingleTxtG"/>
        <w:ind w:right="36"/>
        <w:rPr>
          <w:lang w:val="en-US"/>
        </w:rPr>
      </w:pPr>
      <w:r w:rsidRPr="005840A6">
        <w:rPr>
          <w:lang w:val="en-US"/>
        </w:rPr>
        <w:t>6.</w:t>
      </w:r>
      <w:r w:rsidR="00033051">
        <w:rPr>
          <w:lang w:val="en-US"/>
        </w:rPr>
        <w:t>4</w:t>
      </w:r>
      <w:r w:rsidRPr="005840A6">
        <w:rPr>
          <w:lang w:val="en-US"/>
        </w:rPr>
        <w:tab/>
        <w:t>The Committee takes note of the author</w:t>
      </w:r>
      <w:r w:rsidR="00033051">
        <w:rPr>
          <w:lang w:val="en-US"/>
        </w:rPr>
        <w:t>s</w:t>
      </w:r>
      <w:r w:rsidRPr="005840A6">
        <w:rPr>
          <w:lang w:val="en-US"/>
        </w:rPr>
        <w:t xml:space="preserve">’ claims that the State party violated </w:t>
      </w:r>
      <w:r w:rsidR="00033051">
        <w:rPr>
          <w:lang w:val="en-US"/>
        </w:rPr>
        <w:t>t</w:t>
      </w:r>
      <w:r w:rsidRPr="005840A6">
        <w:rPr>
          <w:lang w:val="en-US"/>
        </w:rPr>
        <w:t>he</w:t>
      </w:r>
      <w:r w:rsidR="00033051">
        <w:rPr>
          <w:lang w:val="en-US"/>
        </w:rPr>
        <w:t>i</w:t>
      </w:r>
      <w:r w:rsidRPr="005840A6">
        <w:rPr>
          <w:lang w:val="en-US"/>
        </w:rPr>
        <w:t xml:space="preserve">r rights under articles 19 and 21, read in conjunction with article 2 (2) of the Covenant. The Committee reiterates that the provisions of article 2 cannot be invoked in a claim in a communication under the Optional Protocol in conjunction with other provisions of the Covenant, except when the failure by the State party to observe its obligations under </w:t>
      </w:r>
      <w:r w:rsidRPr="005840A6">
        <w:rPr>
          <w:lang w:val="en-US"/>
        </w:rPr>
        <w:lastRenderedPageBreak/>
        <w:t>article 2 is the proximate cause of a distinct violation of the Covenant directly affecting the individual claiming to be a victim.</w:t>
      </w:r>
      <w:r>
        <w:rPr>
          <w:rStyle w:val="FootnoteReference"/>
          <w:lang w:val="en-US"/>
        </w:rPr>
        <w:footnoteReference w:id="7"/>
      </w:r>
      <w:r w:rsidRPr="005840A6">
        <w:rPr>
          <w:lang w:val="en-US"/>
        </w:rPr>
        <w:t xml:space="preserve">   The Committee notes, however, that the author</w:t>
      </w:r>
      <w:r w:rsidR="00033051">
        <w:rPr>
          <w:lang w:val="en-US"/>
        </w:rPr>
        <w:t>s</w:t>
      </w:r>
      <w:r w:rsidRPr="005840A6">
        <w:rPr>
          <w:lang w:val="en-US"/>
        </w:rPr>
        <w:t xml:space="preserve"> ha</w:t>
      </w:r>
      <w:r w:rsidR="00033051">
        <w:rPr>
          <w:lang w:val="en-US"/>
        </w:rPr>
        <w:t>ve</w:t>
      </w:r>
      <w:r w:rsidRPr="005840A6">
        <w:rPr>
          <w:lang w:val="en-US"/>
        </w:rPr>
        <w:t xml:space="preserve"> already alleged a violation of </w:t>
      </w:r>
      <w:r w:rsidR="00033051">
        <w:rPr>
          <w:lang w:val="en-US"/>
        </w:rPr>
        <w:t>t</w:t>
      </w:r>
      <w:r w:rsidRPr="005840A6">
        <w:rPr>
          <w:lang w:val="en-US"/>
        </w:rPr>
        <w:t>he</w:t>
      </w:r>
      <w:r w:rsidR="00033051">
        <w:rPr>
          <w:lang w:val="en-US"/>
        </w:rPr>
        <w:t>i</w:t>
      </w:r>
      <w:r w:rsidRPr="005840A6">
        <w:rPr>
          <w:lang w:val="en-US"/>
        </w:rPr>
        <w:t>r rights under articles 19 and 21, resulting from the interpretation and application of the existing laws of the State party, and the Committee does not consider examination of whether the State party has also violated its general obligations under article 2 (2), read in conjunction with articles 19 and 21 of the Covenant, to be distinct from examination of the violation of the author</w:t>
      </w:r>
      <w:r w:rsidR="00033051">
        <w:rPr>
          <w:lang w:val="en-US"/>
        </w:rPr>
        <w:t>s</w:t>
      </w:r>
      <w:r w:rsidRPr="005840A6">
        <w:rPr>
          <w:lang w:val="en-US"/>
        </w:rPr>
        <w:t>’ rights under articles 19 and 21 of the Covenant. The Committee therefore considers that the author</w:t>
      </w:r>
      <w:r w:rsidR="00033051">
        <w:rPr>
          <w:lang w:val="en-US"/>
        </w:rPr>
        <w:t>s</w:t>
      </w:r>
      <w:r w:rsidRPr="005840A6">
        <w:rPr>
          <w:lang w:val="en-US"/>
        </w:rPr>
        <w:t>’ claims in that regard are incompatible with article 2 of the Covenant and thus inadmissible under article 3 of the Optional Protocol.</w:t>
      </w:r>
    </w:p>
    <w:p w14:paraId="2967CD12" w14:textId="3798B50D" w:rsidR="005840A6" w:rsidRPr="005840A6" w:rsidRDefault="005840A6" w:rsidP="005840A6">
      <w:pPr>
        <w:pStyle w:val="SingleTxtG"/>
        <w:ind w:right="36"/>
        <w:rPr>
          <w:lang w:val="en-US"/>
        </w:rPr>
      </w:pPr>
      <w:r w:rsidRPr="005840A6">
        <w:rPr>
          <w:lang w:val="en-US"/>
        </w:rPr>
        <w:t>6.</w:t>
      </w:r>
      <w:r w:rsidR="00033051">
        <w:rPr>
          <w:lang w:val="en-US"/>
        </w:rPr>
        <w:t>5</w:t>
      </w:r>
      <w:r w:rsidRPr="005840A6">
        <w:rPr>
          <w:lang w:val="en-US"/>
        </w:rPr>
        <w:tab/>
        <w:t>The Committee further notes the author</w:t>
      </w:r>
      <w:r w:rsidR="00033051">
        <w:rPr>
          <w:lang w:val="en-US"/>
        </w:rPr>
        <w:t>s</w:t>
      </w:r>
      <w:r w:rsidRPr="005840A6">
        <w:rPr>
          <w:lang w:val="en-US"/>
        </w:rPr>
        <w:t>’ claims under articles 19 and 21, read in conjunction with article 2(3) of the Covenant. In the absence of any further pertinent information on file, the Committee considers that the author</w:t>
      </w:r>
      <w:r w:rsidR="00033051">
        <w:rPr>
          <w:lang w:val="en-US"/>
        </w:rPr>
        <w:t>s</w:t>
      </w:r>
      <w:r w:rsidRPr="005840A6">
        <w:rPr>
          <w:lang w:val="en-US"/>
        </w:rPr>
        <w:t xml:space="preserve"> ha</w:t>
      </w:r>
      <w:r w:rsidR="00033051">
        <w:rPr>
          <w:lang w:val="en-US"/>
        </w:rPr>
        <w:t>ve</w:t>
      </w:r>
      <w:r w:rsidRPr="005840A6">
        <w:rPr>
          <w:lang w:val="en-US"/>
        </w:rPr>
        <w:t xml:space="preserve"> failed to sufficiently substantiate </w:t>
      </w:r>
      <w:r w:rsidR="00033051">
        <w:rPr>
          <w:lang w:val="en-US"/>
        </w:rPr>
        <w:t>t</w:t>
      </w:r>
      <w:r w:rsidRPr="005840A6">
        <w:rPr>
          <w:lang w:val="en-US"/>
        </w:rPr>
        <w:t>he</w:t>
      </w:r>
      <w:r w:rsidR="00033051">
        <w:rPr>
          <w:lang w:val="en-US"/>
        </w:rPr>
        <w:t>i</w:t>
      </w:r>
      <w:r w:rsidRPr="005840A6">
        <w:rPr>
          <w:lang w:val="en-US"/>
        </w:rPr>
        <w:t>r claims for the purposes of admissibility. Accordingly, it declares this part of the communication inadmissible under article 2 of the Optional Protocol.</w:t>
      </w:r>
    </w:p>
    <w:p w14:paraId="36DBB6E4" w14:textId="68AADDC7" w:rsidR="005840A6" w:rsidRDefault="005840A6" w:rsidP="005840A6">
      <w:pPr>
        <w:pStyle w:val="SingleTxtG"/>
        <w:ind w:right="36"/>
        <w:rPr>
          <w:lang w:val="en-US"/>
        </w:rPr>
      </w:pPr>
      <w:r w:rsidRPr="005840A6">
        <w:rPr>
          <w:lang w:val="en-US"/>
        </w:rPr>
        <w:t>6.</w:t>
      </w:r>
      <w:r w:rsidR="00033051">
        <w:rPr>
          <w:lang w:val="en-US"/>
        </w:rPr>
        <w:t>6</w:t>
      </w:r>
      <w:r w:rsidRPr="005840A6">
        <w:rPr>
          <w:lang w:val="en-US"/>
        </w:rPr>
        <w:tab/>
        <w:t>The Committee finally notes that the author</w:t>
      </w:r>
      <w:r w:rsidR="00033051">
        <w:rPr>
          <w:lang w:val="en-US"/>
        </w:rPr>
        <w:t>s</w:t>
      </w:r>
      <w:r w:rsidRPr="005840A6">
        <w:rPr>
          <w:lang w:val="en-US"/>
        </w:rPr>
        <w:t>’ claims as submitted raise issues under articles 19 and 21 of the Covenant, consider these claims sufficiently substantiated for the purposes of admissibility, and proceeds with their consideration of the merits.</w:t>
      </w:r>
    </w:p>
    <w:p w14:paraId="03CCEFF8" w14:textId="3027DC57" w:rsidR="000D4E61" w:rsidRPr="00415BA0" w:rsidRDefault="009124B3" w:rsidP="00DD6207">
      <w:pPr>
        <w:pStyle w:val="H4G"/>
        <w:ind w:right="36"/>
      </w:pPr>
      <w:r>
        <w:tab/>
      </w:r>
      <w:r>
        <w:tab/>
      </w:r>
      <w:r w:rsidR="000D4E61" w:rsidRPr="00415BA0">
        <w:t>Considerations of the merits</w:t>
      </w:r>
    </w:p>
    <w:p w14:paraId="041143E3" w14:textId="3189ECFD" w:rsidR="0052066F" w:rsidRDefault="0052066F" w:rsidP="00846DA4">
      <w:pPr>
        <w:pStyle w:val="SingleTxtG"/>
        <w:ind w:right="36"/>
      </w:pPr>
      <w:r w:rsidRPr="0052066F">
        <w:t>7.1</w:t>
      </w:r>
      <w:r w:rsidRPr="0052066F">
        <w:tab/>
        <w:t>The Committee has considered the communication in the light of all the information made available to it by the parties, as provided under article 5 (1) of the Optional Protocol.</w:t>
      </w:r>
    </w:p>
    <w:p w14:paraId="3589F361" w14:textId="5D39DA55" w:rsidR="00846DA4" w:rsidRDefault="00846DA4" w:rsidP="00846DA4">
      <w:pPr>
        <w:pStyle w:val="SingleTxtG"/>
        <w:ind w:right="36"/>
      </w:pPr>
      <w:r>
        <w:t>7.2</w:t>
      </w:r>
      <w:r>
        <w:tab/>
        <w:t>The Committee notes the authors’ claims that their rights to freedom of expression and freedom of assembly have been restricted, in violation of articles 19 and 21 of the Covenant, as they were denied authorization to organize a peaceful rally to draw attention to the economic problems and the reforms neede</w:t>
      </w:r>
      <w:r w:rsidR="00092CB5">
        <w:t>d</w:t>
      </w:r>
      <w:r>
        <w:t xml:space="preserve"> in Belarus.  The Committee considers that the issue before it is to decide whether the prohibition to hold a public rally imposed on the authors by the Gomel </w:t>
      </w:r>
      <w:r w:rsidR="001E4D0B">
        <w:t xml:space="preserve">City </w:t>
      </w:r>
      <w:r>
        <w:t>Executive Committee amounts to a violation of their rights under articles 19 and 21 of the Covenant.</w:t>
      </w:r>
    </w:p>
    <w:p w14:paraId="084AAE5A" w14:textId="1CE94EEC" w:rsidR="00846DA4" w:rsidRDefault="00846DA4" w:rsidP="00846DA4">
      <w:pPr>
        <w:pStyle w:val="SingleTxtG"/>
        <w:ind w:right="36"/>
      </w:pPr>
      <w:r>
        <w:t>7.3</w:t>
      </w:r>
      <w:r>
        <w:tab/>
        <w:t>The Committee notes the author</w:t>
      </w:r>
      <w:r w:rsidR="006D18E5">
        <w:t>s</w:t>
      </w:r>
      <w:r>
        <w:t xml:space="preserve">’ claim that </w:t>
      </w:r>
      <w:r w:rsidR="006D18E5">
        <w:t>their</w:t>
      </w:r>
      <w:r>
        <w:t xml:space="preserve"> right to freedom of peaceful assembly has been restricted unlawfully, as </w:t>
      </w:r>
      <w:r w:rsidR="006D18E5">
        <w:t xml:space="preserve">they were </w:t>
      </w:r>
      <w:r>
        <w:t xml:space="preserve">not granted authorization to hold a peaceful </w:t>
      </w:r>
      <w:r w:rsidR="006D18E5">
        <w:t xml:space="preserve">rally to draw attention to the </w:t>
      </w:r>
      <w:r w:rsidR="00DE2637">
        <w:t xml:space="preserve">economic crisis and the </w:t>
      </w:r>
      <w:r w:rsidR="006D18E5">
        <w:t xml:space="preserve">need </w:t>
      </w:r>
      <w:r w:rsidR="00092CB5">
        <w:t>for</w:t>
      </w:r>
      <w:r w:rsidR="006D18E5">
        <w:t xml:space="preserve"> </w:t>
      </w:r>
      <w:r w:rsidR="00DE2637">
        <w:t xml:space="preserve">economic </w:t>
      </w:r>
      <w:r w:rsidR="006D18E5">
        <w:t>reforms in Belarus</w:t>
      </w:r>
      <w:r>
        <w:t xml:space="preserve">. The issue before the Committee is therefore to determine whether </w:t>
      </w:r>
      <w:bookmarkStart w:id="2" w:name="_Hlk106721768"/>
      <w:r w:rsidR="00B32AE4">
        <w:t xml:space="preserve">the </w:t>
      </w:r>
      <w:r w:rsidR="001E4D0B">
        <w:t xml:space="preserve">executive authorities’ refusal to authorise the </w:t>
      </w:r>
      <w:proofErr w:type="gramStart"/>
      <w:r w:rsidR="001E4D0B">
        <w:t>authors</w:t>
      </w:r>
      <w:bookmarkEnd w:id="2"/>
      <w:r w:rsidR="001E4D0B">
        <w:t xml:space="preserve"> </w:t>
      </w:r>
      <w:r>
        <w:t xml:space="preserve"> holding</w:t>
      </w:r>
      <w:proofErr w:type="gramEnd"/>
      <w:r>
        <w:t xml:space="preserve"> a peaceful assembly with an expressive purpose, amounts to a violation of article 21 of the Covenant.</w:t>
      </w:r>
    </w:p>
    <w:p w14:paraId="340F6B91" w14:textId="77777777" w:rsidR="00846DA4" w:rsidRDefault="00846DA4" w:rsidP="00846DA4">
      <w:pPr>
        <w:pStyle w:val="SingleTxtG"/>
        <w:ind w:right="36"/>
      </w:pPr>
      <w:r>
        <w:t>7.4</w:t>
      </w:r>
      <w:r>
        <w:tab/>
        <w:t xml:space="preserve">In its general comment No. 37 (2020), the Committee stated that peaceful assemblies may in principle be conducted in all spaces to which the public has access or should have access, such as public squares and streets.  Peaceful assemblies should not be relegated to remote areas where they cannot effectively capture the attention of those who are being addressed or of the general public. As a general rule, there can be no blanket ban on all assemblies in the capital city, in all public places except one specific location within a city or outside the city centre, or on all the streets in a city. The Committee further notes that the requirements for participants or organizers either to arrange for or to contribute towards the costs of policing or security, medical assistance </w:t>
      </w:r>
      <w:r>
        <w:lastRenderedPageBreak/>
        <w:t xml:space="preserve">or cleaning, or other public services associated with peaceful assemblies are generally not compatible with article 21. </w:t>
      </w:r>
    </w:p>
    <w:p w14:paraId="4E9E6E58" w14:textId="71905528" w:rsidR="00846DA4" w:rsidRDefault="00846DA4" w:rsidP="00846DA4">
      <w:pPr>
        <w:pStyle w:val="SingleTxtG"/>
        <w:ind w:right="36"/>
      </w:pPr>
      <w:r>
        <w:t>7.5</w:t>
      </w:r>
      <w:r>
        <w:tab/>
        <w:t xml:space="preserve">The Committee further recalls that the right of peaceful assembly, as guaranteed under article 21 of the Covenant, is a fundamental human right, essential for public expression of an individual’s views and opinions and indispensable in a democratic society. Article 21 of the Covenant protects peaceful assemblies wherever they take place: outdoors, indoors and online; in public and private spaces; or a combination thereof. Such assemblies may take many forms, including demonstrations, protests, meetings, processions, rallies, sit-ins, candlelit vigils and flash mobs. They are protected under article 21 whether they are stationary, such as pickets, or mobile, such as processions or marches.  The organizers of an assembly generally have the right to choose a location within sight and sound of their target </w:t>
      </w:r>
      <w:proofErr w:type="gramStart"/>
      <w:r>
        <w:t>audience,  and</w:t>
      </w:r>
      <w:proofErr w:type="gramEnd"/>
      <w:r>
        <w:t xml:space="preserve"> no restriction to this right is permissible, unless it (a) is imposed in conformity with the law; and (b) is necessary in a democratic society, in the interests of national security or public safety, public order (</w:t>
      </w:r>
      <w:proofErr w:type="spellStart"/>
      <w:r>
        <w:t>ordre</w:t>
      </w:r>
      <w:proofErr w:type="spellEnd"/>
      <w:r>
        <w:t xml:space="preserve"> public), protection of public health or morals or protection of the rights and freedoms of others. When a State party imposes restrictions with the aim of reconciling an individual’s right to assembly and the aforementioned interests of general concern, it should be guided by the objective of facilitating the right, rather than seeking unnecessary or disproportionate limitations to it.  The State party is thus under an obligation to justify the limitation of the right protected by article 21 of the Covenant.</w:t>
      </w:r>
      <w:r w:rsidR="00BE4A67">
        <w:rPr>
          <w:rStyle w:val="FootnoteReference"/>
        </w:rPr>
        <w:footnoteReference w:id="8"/>
      </w:r>
      <w:r>
        <w:t xml:space="preserve"> </w:t>
      </w:r>
    </w:p>
    <w:p w14:paraId="2EFC098D" w14:textId="2C93F888" w:rsidR="00846DA4" w:rsidRDefault="00846DA4" w:rsidP="00846DA4">
      <w:pPr>
        <w:pStyle w:val="SingleTxtG"/>
        <w:ind w:right="36"/>
      </w:pPr>
      <w:r>
        <w:t>7.6</w:t>
      </w:r>
      <w:r>
        <w:tab/>
        <w:t>In the present case, the Committee must consider whether the restrictions imposed on the author</w:t>
      </w:r>
      <w:r w:rsidR="00DE2637">
        <w:t>s</w:t>
      </w:r>
      <w:r>
        <w:t>’ right of peaceful assembly, are justified under any of the criteria set out in the second sentence of article 21 of the Covenant. In light of the information available on file, the author</w:t>
      </w:r>
      <w:r w:rsidR="000D6D9A">
        <w:t>s</w:t>
      </w:r>
      <w:r>
        <w:t xml:space="preserve">’ application to hold a peaceful </w:t>
      </w:r>
      <w:r w:rsidR="000D6D9A">
        <w:t>rally</w:t>
      </w:r>
      <w:r>
        <w:t xml:space="preserve"> was refused because the</w:t>
      </w:r>
      <w:r w:rsidR="000D6D9A">
        <w:t>y</w:t>
      </w:r>
      <w:r>
        <w:t xml:space="preserve"> failed to submit the contracts with the respective city services providers to ensure medical services during and the cleaning of the location after the event. In this context, the Committee notes that neither the </w:t>
      </w:r>
      <w:r w:rsidR="000D6D9A">
        <w:t>Gomel</w:t>
      </w:r>
      <w:r>
        <w:t xml:space="preserve"> </w:t>
      </w:r>
      <w:r w:rsidR="00092CB5">
        <w:t>City</w:t>
      </w:r>
      <w:r>
        <w:t xml:space="preserve"> Executive Committee nor the domestic courts have provided any justification or explanation as to how, in practice, the author</w:t>
      </w:r>
      <w:r w:rsidR="00092CB5">
        <w:t>s</w:t>
      </w:r>
      <w:r>
        <w:t xml:space="preserve">’ </w:t>
      </w:r>
      <w:r w:rsidR="000D6D9A">
        <w:t>rally</w:t>
      </w:r>
      <w:r>
        <w:t xml:space="preserve"> would have violated the interests of national security or public safety, public order (</w:t>
      </w:r>
      <w:proofErr w:type="spellStart"/>
      <w:r>
        <w:t>ordre</w:t>
      </w:r>
      <w:proofErr w:type="spellEnd"/>
      <w:r>
        <w:t xml:space="preserve"> public), the protection of public health or morals or the protection of the rights and freedoms of others, as set out in article 21 of the Covenant. The State party also failed to show that any alternative measures were taken to facilitate the exercise of the author</w:t>
      </w:r>
      <w:r w:rsidR="000D6D9A">
        <w:t>s</w:t>
      </w:r>
      <w:r>
        <w:t>’ rights under article 21.</w:t>
      </w:r>
    </w:p>
    <w:p w14:paraId="16072910" w14:textId="77777777" w:rsidR="00846DA4" w:rsidRDefault="00846DA4" w:rsidP="00846DA4">
      <w:pPr>
        <w:pStyle w:val="SingleTxtG"/>
        <w:ind w:right="36"/>
      </w:pPr>
      <w:r>
        <w:t>7.7</w:t>
      </w:r>
      <w:r>
        <w:tab/>
        <w:t xml:space="preserve">In the absence of any further explanations by the State party, the Committee concludes that the State party has violated the author’s rights under article 21 of the Covenant. </w:t>
      </w:r>
    </w:p>
    <w:p w14:paraId="2BBEFF30" w14:textId="58A01F73" w:rsidR="00846DA4" w:rsidRDefault="00846DA4" w:rsidP="00846DA4">
      <w:pPr>
        <w:pStyle w:val="SingleTxtG"/>
        <w:ind w:right="36"/>
      </w:pPr>
      <w:r>
        <w:t>7.8</w:t>
      </w:r>
      <w:r>
        <w:tab/>
        <w:t>The Committee further notes the author</w:t>
      </w:r>
      <w:r w:rsidR="000D6D9A">
        <w:t>s</w:t>
      </w:r>
      <w:r>
        <w:t xml:space="preserve">’ claim that </w:t>
      </w:r>
      <w:r w:rsidR="000D6D9A">
        <w:t>their</w:t>
      </w:r>
      <w:r>
        <w:t xml:space="preserve"> right to freedom of expression has been restricted unlawfully, as </w:t>
      </w:r>
      <w:r w:rsidR="000D6D9A">
        <w:t>t</w:t>
      </w:r>
      <w:r>
        <w:t>he</w:t>
      </w:r>
      <w:r w:rsidR="000D6D9A">
        <w:t>y</w:t>
      </w:r>
      <w:r>
        <w:t xml:space="preserve"> w</w:t>
      </w:r>
      <w:r w:rsidR="000D6D9A">
        <w:t>ere</w:t>
      </w:r>
      <w:r>
        <w:t xml:space="preserve"> refused an authorization to hold a peaceful </w:t>
      </w:r>
      <w:r w:rsidR="000D6D9A">
        <w:t>rally</w:t>
      </w:r>
      <w:r>
        <w:t xml:space="preserve"> to</w:t>
      </w:r>
      <w:r w:rsidR="0052066F">
        <w:t xml:space="preserve"> draw attention to the economic crisis and the need </w:t>
      </w:r>
      <w:r w:rsidR="00092CB5">
        <w:t>for</w:t>
      </w:r>
      <w:r w:rsidR="0052066F">
        <w:t xml:space="preserve"> reforms in Belarus</w:t>
      </w:r>
      <w:r>
        <w:t xml:space="preserve">. The issue before the Committee is therefore to determine whether the </w:t>
      </w:r>
      <w:r w:rsidR="00BE4A67" w:rsidRPr="00BE4A67">
        <w:t xml:space="preserve">executive authorities’ refusal to </w:t>
      </w:r>
      <w:proofErr w:type="gramStart"/>
      <w:r w:rsidR="00BE4A67" w:rsidRPr="00BE4A67">
        <w:t xml:space="preserve">authorise </w:t>
      </w:r>
      <w:r w:rsidR="00BE4A67">
        <w:t xml:space="preserve"> </w:t>
      </w:r>
      <w:r>
        <w:t>the</w:t>
      </w:r>
      <w:proofErr w:type="gramEnd"/>
      <w:r>
        <w:t xml:space="preserve"> author</w:t>
      </w:r>
      <w:r w:rsidR="0052066F">
        <w:t>s</w:t>
      </w:r>
      <w:r>
        <w:t xml:space="preserve"> holding a peaceful assembly with an expressive purpose, amounts to a violation of article 19 of the Covenant.</w:t>
      </w:r>
    </w:p>
    <w:p w14:paraId="5950AD00" w14:textId="77777777" w:rsidR="00846DA4" w:rsidRDefault="00846DA4" w:rsidP="00846DA4">
      <w:pPr>
        <w:pStyle w:val="SingleTxtG"/>
        <w:ind w:right="36"/>
      </w:pPr>
      <w:r>
        <w:t>7.9</w:t>
      </w:r>
      <w:r>
        <w:tab/>
        <w:t xml:space="preserve">The Committee recalls its general comment No. 34 (2011) on freedoms of opinion and expression, in which it stated, inter alia, that the freedom of expression is essential for any society and constitutes a foundation stone for every free and democratic society.  It notes that article 19 (3) of the Convention allows for certain restrictions on the freedom of expression, including the freedom to impart information and ideas, only to the extent that those restrictions are provided for by law and only if they are necessary (a) for respect of the rights </w:t>
      </w:r>
      <w:r>
        <w:lastRenderedPageBreak/>
        <w:t>or reputation of others; or (b) for the protection of national security or public order (</w:t>
      </w:r>
      <w:proofErr w:type="spellStart"/>
      <w:r>
        <w:t>ordre</w:t>
      </w:r>
      <w:proofErr w:type="spellEnd"/>
      <w:r>
        <w:t xml:space="preserve"> public), or of public health or morals. Finally, any restriction on freedom of expression must not be overbroad in nature – that is, it must be the least intrusive among the measures that might achieve the relevant protective function and proportionate to the interest being protected.  The Committee recalls that the onus is on the State party to demonstrate that the restrictions on the authors’ rights under article 19 of the Covenant were necessary and proportionate.  </w:t>
      </w:r>
    </w:p>
    <w:p w14:paraId="0709CDAB" w14:textId="270BB948" w:rsidR="00846DA4" w:rsidRDefault="00846DA4" w:rsidP="00846DA4">
      <w:pPr>
        <w:pStyle w:val="SingleTxtG"/>
        <w:ind w:right="36"/>
      </w:pPr>
      <w:r>
        <w:t>7.10</w:t>
      </w:r>
      <w:r>
        <w:tab/>
        <w:t xml:space="preserve">The Committee observes that limiting holding of a </w:t>
      </w:r>
      <w:r w:rsidR="0052066F">
        <w:t>rally</w:t>
      </w:r>
      <w:r>
        <w:t xml:space="preserve"> to certain predetermined locations does not appear to meet the standards of necessity and proportionality under article 19 of the Covenant. In the present case, the peaceful </w:t>
      </w:r>
      <w:r w:rsidR="0052066F">
        <w:t xml:space="preserve">rally </w:t>
      </w:r>
      <w:r>
        <w:t xml:space="preserve">was planned to take place </w:t>
      </w:r>
      <w:r w:rsidR="0052066F">
        <w:t>in the form of a peaceful procession in the streets of Gomel</w:t>
      </w:r>
      <w:r>
        <w:t xml:space="preserve">, a location that was previously </w:t>
      </w:r>
      <w:r w:rsidR="0052066F">
        <w:t xml:space="preserve">not </w:t>
      </w:r>
      <w:r>
        <w:t xml:space="preserve">identified by the City Executive Committee as specifically designated area in the city for the organization of peaceful assemblies. </w:t>
      </w:r>
      <w:r w:rsidR="0052066F">
        <w:t xml:space="preserve">According to the authors, </w:t>
      </w:r>
      <w:r>
        <w:t xml:space="preserve">the </w:t>
      </w:r>
      <w:r w:rsidR="00FA62D9">
        <w:t>Gomel City</w:t>
      </w:r>
      <w:r>
        <w:t xml:space="preserve"> Executive Committee refused to authorize the </w:t>
      </w:r>
      <w:r w:rsidR="0052066F">
        <w:t>rally</w:t>
      </w:r>
      <w:r>
        <w:t xml:space="preserve"> because the author</w:t>
      </w:r>
      <w:r w:rsidR="0052066F">
        <w:t>s</w:t>
      </w:r>
      <w:r>
        <w:t xml:space="preserve"> failed to obtain the relevant support by city service providers. The </w:t>
      </w:r>
      <w:proofErr w:type="gramStart"/>
      <w:r>
        <w:t>Committee  notes</w:t>
      </w:r>
      <w:proofErr w:type="gramEnd"/>
      <w:r>
        <w:t xml:space="preserve"> that neither the State party nor the national courts have provided any explanation as to why the restriction imposed was necessary for a legitimate purpose, the least intrusive among the measures that might achieve the relevant protective function and proportionate to the interest being protected.  The Committee considers that, in the circumstances of this case, the restrictions imposed on the author</w:t>
      </w:r>
      <w:r w:rsidR="0052066F">
        <w:t>s</w:t>
      </w:r>
      <w:r>
        <w:t>, although based on domestic law, were not justified for the purposes of article 19 (3) of the Covenant. In the absence of any further information or explanation by the State party, the Committee concludes that the rights of the author</w:t>
      </w:r>
      <w:r w:rsidR="0052066F">
        <w:t>s</w:t>
      </w:r>
      <w:r>
        <w:t xml:space="preserve"> under article 19 of the Covenant have been violated.</w:t>
      </w:r>
    </w:p>
    <w:p w14:paraId="1E23C57B" w14:textId="503AF160" w:rsidR="00846DA4" w:rsidRDefault="00846DA4" w:rsidP="00846DA4">
      <w:pPr>
        <w:pStyle w:val="SingleTxtG"/>
        <w:ind w:right="36"/>
      </w:pPr>
      <w:r>
        <w:tab/>
        <w:t>8.</w:t>
      </w:r>
      <w:r>
        <w:tab/>
        <w:t>The Committee, acting under article 5 (4) of the Optional Protocol, is of the view that the facts before it disclose a violation by the State party of the author</w:t>
      </w:r>
      <w:r w:rsidR="0052066F">
        <w:t>s</w:t>
      </w:r>
      <w:r>
        <w:t xml:space="preserve">’ rights under articles 19 and 21 of the Covenant. </w:t>
      </w:r>
    </w:p>
    <w:p w14:paraId="5D5BC78A" w14:textId="004ACCCA" w:rsidR="00846DA4" w:rsidRDefault="00846DA4" w:rsidP="00846DA4">
      <w:pPr>
        <w:pStyle w:val="SingleTxtG"/>
        <w:ind w:right="36"/>
      </w:pPr>
      <w:r>
        <w:t>9.</w:t>
      </w:r>
      <w:r>
        <w:tab/>
        <w:t>Pursuant to article 2 (3) (a) of the Covenant, the State party is under an obligation to provide the author with an effective remedy. This requires it to make full reparation to individuals whose Covenant rights have been violated. Accordingly, the State party is obligated, inter alia, to provide the author</w:t>
      </w:r>
      <w:r w:rsidR="0052066F">
        <w:t>s</w:t>
      </w:r>
      <w:r>
        <w:t xml:space="preserve"> with adequate compensation. The State party is also under an obligation to take all steps necessary to prevent similar violations from occurring in the future. In that connection, the Committee notes that it has dealt with similar cases in respect of the same laws and practices of the State party in a number of earlier communications, and thus the State party should revise its normative framework on public events, consistent with its obligation under article 2 (2), with a view to ensuring that the rights under articles 19 and 21 of the Covenant may be fully enjoyed in the State party.</w:t>
      </w:r>
    </w:p>
    <w:p w14:paraId="2502DA64" w14:textId="77777777" w:rsidR="00846DA4" w:rsidRDefault="00846DA4" w:rsidP="00846DA4">
      <w:pPr>
        <w:pStyle w:val="SingleTxtG"/>
        <w:ind w:right="36"/>
      </w:pPr>
      <w:r>
        <w:t>10.</w:t>
      </w:r>
      <w:r>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31254C7C" w14:textId="5601C969" w:rsidR="00C15938" w:rsidRPr="0095140C" w:rsidRDefault="00846DA4" w:rsidP="0095140C">
      <w:pPr>
        <w:pStyle w:val="SingleTxtG"/>
        <w:spacing w:before="240" w:after="0"/>
        <w:jc w:val="center"/>
        <w:rPr>
          <w:color w:val="000000"/>
          <w:u w:val="single"/>
          <w:lang w:eastAsia="en-GB"/>
        </w:rPr>
      </w:pPr>
      <w:r>
        <w:tab/>
      </w:r>
      <w:r w:rsidR="0095140C">
        <w:rPr>
          <w:u w:val="single"/>
        </w:rPr>
        <w:tab/>
      </w:r>
      <w:r w:rsidR="0095140C">
        <w:rPr>
          <w:u w:val="single"/>
        </w:rPr>
        <w:tab/>
      </w:r>
      <w:r w:rsidR="0095140C">
        <w:rPr>
          <w:u w:val="single"/>
        </w:rPr>
        <w:tab/>
      </w:r>
    </w:p>
    <w:sectPr w:rsidR="00C15938" w:rsidRPr="0095140C" w:rsidSect="00D03FFD">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827"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A0117" w14:textId="77777777" w:rsidR="00BE2F69" w:rsidRDefault="00BE2F69"/>
  </w:endnote>
  <w:endnote w:type="continuationSeparator" w:id="0">
    <w:p w14:paraId="3D76E5C3" w14:textId="77777777" w:rsidR="00BE2F69" w:rsidRDefault="00BE2F69"/>
  </w:endnote>
  <w:endnote w:type="continuationNotice" w:id="1">
    <w:p w14:paraId="1AD14F8B" w14:textId="77777777" w:rsidR="00BE2F69" w:rsidRDefault="00BE2F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99B35" w14:textId="140A499E" w:rsidR="00E54361" w:rsidRPr="00781C83" w:rsidRDefault="00422F31" w:rsidP="00781C83">
    <w:pPr>
      <w:pStyle w:val="Footer"/>
      <w:tabs>
        <w:tab w:val="right" w:pos="9638"/>
      </w:tabs>
    </w:pPr>
    <w:r w:rsidRPr="00781C83">
      <w:rPr>
        <w:b/>
        <w:sz w:val="18"/>
      </w:rPr>
      <w:fldChar w:fldCharType="begin"/>
    </w:r>
    <w:r w:rsidR="00E54361" w:rsidRPr="00781C83">
      <w:rPr>
        <w:b/>
        <w:sz w:val="18"/>
      </w:rPr>
      <w:instrText xml:space="preserve"> PAGE  \* MERGEFORMAT </w:instrText>
    </w:r>
    <w:r w:rsidRPr="00781C83">
      <w:rPr>
        <w:b/>
        <w:sz w:val="18"/>
      </w:rPr>
      <w:fldChar w:fldCharType="separate"/>
    </w:r>
    <w:r w:rsidR="00EF14C0">
      <w:rPr>
        <w:b/>
        <w:noProof/>
        <w:sz w:val="18"/>
      </w:rPr>
      <w:t>6</w:t>
    </w:r>
    <w:r w:rsidRPr="00781C83">
      <w:rPr>
        <w:b/>
        <w:sz w:val="18"/>
      </w:rPr>
      <w:fldChar w:fldCharType="end"/>
    </w:r>
    <w:r w:rsidR="00E54361">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CA14E" w14:textId="1C4037E4" w:rsidR="00E54361" w:rsidRPr="00A71C06" w:rsidRDefault="00E54361" w:rsidP="00781C83">
    <w:pPr>
      <w:pStyle w:val="Footer"/>
      <w:tabs>
        <w:tab w:val="right" w:pos="9638"/>
      </w:tabs>
      <w:rPr>
        <w:b/>
        <w:bCs/>
        <w:sz w:val="18"/>
      </w:rPr>
    </w:pPr>
    <w:r>
      <w:rPr>
        <w:b/>
        <w:sz w:val="18"/>
      </w:rPr>
      <w:tab/>
    </w:r>
    <w:r w:rsidR="00422F31" w:rsidRPr="00A71C06">
      <w:rPr>
        <w:b/>
        <w:bCs/>
        <w:sz w:val="18"/>
      </w:rPr>
      <w:fldChar w:fldCharType="begin"/>
    </w:r>
    <w:r w:rsidRPr="00A71C06">
      <w:rPr>
        <w:b/>
        <w:bCs/>
        <w:sz w:val="18"/>
      </w:rPr>
      <w:instrText xml:space="preserve"> PAGE  \* MERGEFORMAT </w:instrText>
    </w:r>
    <w:r w:rsidR="00422F31" w:rsidRPr="00A71C06">
      <w:rPr>
        <w:b/>
        <w:bCs/>
        <w:sz w:val="18"/>
      </w:rPr>
      <w:fldChar w:fldCharType="separate"/>
    </w:r>
    <w:r w:rsidR="00EF14C0">
      <w:rPr>
        <w:b/>
        <w:bCs/>
        <w:noProof/>
        <w:sz w:val="18"/>
      </w:rPr>
      <w:t>5</w:t>
    </w:r>
    <w:r w:rsidR="00422F31" w:rsidRPr="00A71C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79131" w14:textId="2272B1D6" w:rsidR="00933FE8" w:rsidRDefault="00933FE8" w:rsidP="00933FE8">
    <w:pPr>
      <w:pStyle w:val="Footer"/>
    </w:pPr>
    <w:r w:rsidRPr="0027112F">
      <w:rPr>
        <w:noProof/>
        <w:lang w:eastAsia="en-GB"/>
      </w:rPr>
      <w:drawing>
        <wp:anchor distT="0" distB="0" distL="114300" distR="114300" simplePos="0" relativeHeight="251659264" behindDoc="0" locked="1" layoutInCell="1" allowOverlap="1" wp14:anchorId="454E1E0E" wp14:editId="60E3E91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026E6" w14:textId="77777777" w:rsidR="00BE2F69" w:rsidRPr="000B175B" w:rsidRDefault="00BE2F69" w:rsidP="000B175B">
      <w:pPr>
        <w:tabs>
          <w:tab w:val="right" w:pos="2155"/>
        </w:tabs>
        <w:spacing w:after="80"/>
        <w:ind w:left="680"/>
        <w:rPr>
          <w:u w:val="single"/>
        </w:rPr>
      </w:pPr>
      <w:r>
        <w:rPr>
          <w:u w:val="single"/>
        </w:rPr>
        <w:tab/>
      </w:r>
    </w:p>
  </w:footnote>
  <w:footnote w:type="continuationSeparator" w:id="0">
    <w:p w14:paraId="596A49EE" w14:textId="77777777" w:rsidR="00BE2F69" w:rsidRPr="00FC68B7" w:rsidRDefault="00BE2F69" w:rsidP="00FC68B7">
      <w:pPr>
        <w:tabs>
          <w:tab w:val="left" w:pos="2155"/>
        </w:tabs>
        <w:spacing w:after="80"/>
        <w:ind w:left="680"/>
        <w:rPr>
          <w:u w:val="single"/>
        </w:rPr>
      </w:pPr>
      <w:r>
        <w:rPr>
          <w:u w:val="single"/>
        </w:rPr>
        <w:tab/>
      </w:r>
    </w:p>
  </w:footnote>
  <w:footnote w:type="continuationNotice" w:id="1">
    <w:p w14:paraId="529A414A" w14:textId="77777777" w:rsidR="00BE2F69" w:rsidRDefault="00BE2F69"/>
  </w:footnote>
  <w:footnote w:id="2">
    <w:p w14:paraId="6C03B613" w14:textId="0C13FBBD" w:rsidR="00A1054C" w:rsidRPr="00EF14C0" w:rsidRDefault="00A1054C" w:rsidP="00EF14C0">
      <w:pPr>
        <w:pStyle w:val="FootnoteText"/>
      </w:pPr>
      <w:r w:rsidRPr="00EF14C0">
        <w:rPr>
          <w:rStyle w:val="FootnoteReference"/>
          <w:vertAlign w:val="baseline"/>
        </w:rPr>
        <w:tab/>
        <w:t>*</w:t>
      </w:r>
      <w:r w:rsidRPr="00EF14C0">
        <w:rPr>
          <w:rStyle w:val="FootnoteReference"/>
          <w:vertAlign w:val="baseline"/>
        </w:rPr>
        <w:tab/>
      </w:r>
      <w:r w:rsidRPr="00EF14C0">
        <w:t>Adopted by the Committee at its 135th session (27 June–27 July 2022).</w:t>
      </w:r>
    </w:p>
  </w:footnote>
  <w:footnote w:id="3">
    <w:p w14:paraId="111C93C6" w14:textId="09307509" w:rsidR="00A1054C" w:rsidRPr="00EF14C0" w:rsidRDefault="00A1054C" w:rsidP="00EF14C0">
      <w:pPr>
        <w:pStyle w:val="FootnoteText"/>
        <w:rPr>
          <w:lang w:val="en-GB"/>
        </w:rPr>
      </w:pPr>
      <w:r w:rsidRPr="00EF14C0">
        <w:rPr>
          <w:rStyle w:val="FootnoteReference"/>
          <w:vertAlign w:val="baseline"/>
        </w:rPr>
        <w:tab/>
        <w:t>**</w:t>
      </w:r>
      <w:r w:rsidRPr="00EF14C0">
        <w:rPr>
          <w:rStyle w:val="FootnoteReference"/>
          <w:vertAlign w:val="baseline"/>
        </w:rPr>
        <w:tab/>
      </w:r>
      <w:r w:rsidRPr="00EF14C0">
        <w:t xml:space="preserve">The following members of the Committee participated in the examination of the communication: Tania </w:t>
      </w:r>
      <w:proofErr w:type="spellStart"/>
      <w:r w:rsidRPr="00EF14C0">
        <w:t>María</w:t>
      </w:r>
      <w:proofErr w:type="spellEnd"/>
      <w:r w:rsidRPr="00EF14C0">
        <w:t xml:space="preserve"> </w:t>
      </w:r>
      <w:proofErr w:type="spellStart"/>
      <w:r w:rsidRPr="00EF14C0">
        <w:t>Abdo</w:t>
      </w:r>
      <w:proofErr w:type="spellEnd"/>
      <w:r w:rsidRPr="00EF14C0">
        <w:t xml:space="preserve"> </w:t>
      </w:r>
      <w:proofErr w:type="spellStart"/>
      <w:r w:rsidRPr="00EF14C0">
        <w:t>Rocholl</w:t>
      </w:r>
      <w:proofErr w:type="spellEnd"/>
      <w:r w:rsidRPr="00EF14C0">
        <w:t xml:space="preserve">, </w:t>
      </w:r>
      <w:hyperlink r:id="rId1" w:history="1">
        <w:proofErr w:type="spellStart"/>
        <w:r w:rsidRPr="00EF14C0">
          <w:t>Wafaa</w:t>
        </w:r>
        <w:proofErr w:type="spellEnd"/>
        <w:r w:rsidRPr="00EF14C0">
          <w:t xml:space="preserve"> Ashraf </w:t>
        </w:r>
        <w:proofErr w:type="spellStart"/>
        <w:r w:rsidRPr="00EF14C0">
          <w:t>Moharram</w:t>
        </w:r>
        <w:proofErr w:type="spellEnd"/>
        <w:r w:rsidRPr="00EF14C0">
          <w:t xml:space="preserve"> </w:t>
        </w:r>
        <w:proofErr w:type="spellStart"/>
        <w:r w:rsidRPr="00EF14C0">
          <w:t>Bassim</w:t>
        </w:r>
        <w:proofErr w:type="spellEnd"/>
      </w:hyperlink>
      <w:r w:rsidRPr="00EF14C0">
        <w:t xml:space="preserve">, </w:t>
      </w:r>
      <w:hyperlink r:id="rId2" w:history="1">
        <w:proofErr w:type="spellStart"/>
        <w:r w:rsidRPr="00EF14C0">
          <w:t>Yadh</w:t>
        </w:r>
        <w:proofErr w:type="spellEnd"/>
        <w:r w:rsidRPr="00EF14C0">
          <w:t xml:space="preserve"> Ben </w:t>
        </w:r>
        <w:proofErr w:type="spellStart"/>
        <w:r w:rsidRPr="00EF14C0">
          <w:t>Achour</w:t>
        </w:r>
        <w:proofErr w:type="spellEnd"/>
      </w:hyperlink>
      <w:r w:rsidRPr="00EF14C0">
        <w:t xml:space="preserve">, </w:t>
      </w:r>
      <w:hyperlink r:id="rId3" w:history="1">
        <w:r w:rsidRPr="00EF14C0">
          <w:t xml:space="preserve">Arif Bulkan, </w:t>
        </w:r>
        <w:proofErr w:type="spellStart"/>
        <w:r w:rsidRPr="00EF14C0">
          <w:t>Mahjoub</w:t>
        </w:r>
        <w:proofErr w:type="spellEnd"/>
        <w:r w:rsidRPr="00EF14C0">
          <w:t xml:space="preserve"> El </w:t>
        </w:r>
        <w:proofErr w:type="spellStart"/>
        <w:r w:rsidRPr="00EF14C0">
          <w:t>Haiba</w:t>
        </w:r>
        <w:proofErr w:type="spellEnd"/>
      </w:hyperlink>
      <w:r w:rsidRPr="00EF14C0">
        <w:t xml:space="preserve">, </w:t>
      </w:r>
      <w:proofErr w:type="spellStart"/>
      <w:r w:rsidRPr="00EF14C0">
        <w:t>Furuya</w:t>
      </w:r>
      <w:proofErr w:type="spellEnd"/>
      <w:r w:rsidRPr="00EF14C0">
        <w:t xml:space="preserve"> Shuichi, Carlos Gómez </w:t>
      </w:r>
      <w:proofErr w:type="spellStart"/>
      <w:r w:rsidRPr="00EF14C0">
        <w:t>Martínez</w:t>
      </w:r>
      <w:proofErr w:type="spellEnd"/>
      <w:r w:rsidRPr="00EF14C0">
        <w:t xml:space="preserve">, Marcia V.J. </w:t>
      </w:r>
      <w:proofErr w:type="spellStart"/>
      <w:r w:rsidRPr="00EF14C0">
        <w:t>Kran</w:t>
      </w:r>
      <w:proofErr w:type="spellEnd"/>
      <w:r w:rsidRPr="00EF14C0">
        <w:t xml:space="preserve">, Duncan </w:t>
      </w:r>
      <w:proofErr w:type="spellStart"/>
      <w:r w:rsidRPr="00EF14C0">
        <w:t>Laki</w:t>
      </w:r>
      <w:proofErr w:type="spellEnd"/>
      <w:r w:rsidRPr="00EF14C0">
        <w:t xml:space="preserve"> </w:t>
      </w:r>
      <w:proofErr w:type="spellStart"/>
      <w:r w:rsidRPr="00EF14C0">
        <w:t>Muhumuza</w:t>
      </w:r>
      <w:proofErr w:type="spellEnd"/>
      <w:r w:rsidRPr="00EF14C0">
        <w:t xml:space="preserve">, </w:t>
      </w:r>
      <w:proofErr w:type="spellStart"/>
      <w:r w:rsidRPr="00EF14C0">
        <w:t>Photini</w:t>
      </w:r>
      <w:proofErr w:type="spellEnd"/>
      <w:r w:rsidRPr="00EF14C0">
        <w:t xml:space="preserve"> </w:t>
      </w:r>
      <w:proofErr w:type="spellStart"/>
      <w:r w:rsidRPr="00EF14C0">
        <w:t>Pazartzis</w:t>
      </w:r>
      <w:proofErr w:type="spellEnd"/>
      <w:r w:rsidRPr="00EF14C0">
        <w:t xml:space="preserve">, </w:t>
      </w:r>
      <w:proofErr w:type="spellStart"/>
      <w:r w:rsidRPr="00EF14C0">
        <w:t>Hernán</w:t>
      </w:r>
      <w:proofErr w:type="spellEnd"/>
      <w:r w:rsidRPr="00EF14C0">
        <w:t xml:space="preserve"> Quezada Cabrera, </w:t>
      </w:r>
      <w:proofErr w:type="spellStart"/>
      <w:r w:rsidRPr="00EF14C0">
        <w:t>Vasilka</w:t>
      </w:r>
      <w:proofErr w:type="spellEnd"/>
      <w:r w:rsidRPr="00EF14C0">
        <w:t xml:space="preserve"> </w:t>
      </w:r>
      <w:proofErr w:type="spellStart"/>
      <w:r w:rsidRPr="00EF14C0">
        <w:t>Sancin</w:t>
      </w:r>
      <w:proofErr w:type="spellEnd"/>
      <w:r w:rsidRPr="00EF14C0">
        <w:t xml:space="preserve">, José Manuel Santos </w:t>
      </w:r>
      <w:proofErr w:type="spellStart"/>
      <w:r w:rsidRPr="00EF14C0">
        <w:t>Pais</w:t>
      </w:r>
      <w:proofErr w:type="spellEnd"/>
      <w:r w:rsidRPr="00EF14C0">
        <w:t xml:space="preserve">, </w:t>
      </w:r>
      <w:proofErr w:type="spellStart"/>
      <w:r w:rsidRPr="00EF14C0">
        <w:t>Soh</w:t>
      </w:r>
      <w:proofErr w:type="spellEnd"/>
      <w:r w:rsidRPr="00EF14C0">
        <w:t xml:space="preserve"> </w:t>
      </w:r>
      <w:proofErr w:type="spellStart"/>
      <w:r w:rsidRPr="00EF14C0">
        <w:t>Changrok</w:t>
      </w:r>
      <w:proofErr w:type="spellEnd"/>
      <w:r w:rsidRPr="00EF14C0">
        <w:t xml:space="preserve">, </w:t>
      </w:r>
      <w:hyperlink r:id="rId4" w:history="1">
        <w:proofErr w:type="spellStart"/>
        <w:r w:rsidRPr="00EF14C0">
          <w:t>Kobauyah</w:t>
        </w:r>
        <w:proofErr w:type="spellEnd"/>
        <w:r w:rsidRPr="00EF14C0">
          <w:t xml:space="preserve"> </w:t>
        </w:r>
        <w:proofErr w:type="spellStart"/>
        <w:r w:rsidRPr="00EF14C0">
          <w:t>Tchamdja</w:t>
        </w:r>
        <w:proofErr w:type="spellEnd"/>
        <w:r w:rsidRPr="00EF14C0">
          <w:t xml:space="preserve"> </w:t>
        </w:r>
        <w:proofErr w:type="spellStart"/>
        <w:r w:rsidRPr="00EF14C0">
          <w:t>Kpatcha</w:t>
        </w:r>
        <w:proofErr w:type="spellEnd"/>
      </w:hyperlink>
      <w:r w:rsidRPr="00EF14C0">
        <w:t xml:space="preserve">, Hélène Tigroudja, </w:t>
      </w:r>
      <w:proofErr w:type="spellStart"/>
      <w:r w:rsidRPr="00EF14C0">
        <w:t>Imeru</w:t>
      </w:r>
      <w:proofErr w:type="spellEnd"/>
      <w:r w:rsidRPr="00EF14C0">
        <w:t xml:space="preserve"> </w:t>
      </w:r>
      <w:proofErr w:type="spellStart"/>
      <w:r w:rsidRPr="00EF14C0">
        <w:t>Tamerat</w:t>
      </w:r>
      <w:proofErr w:type="spellEnd"/>
      <w:r w:rsidRPr="00EF14C0">
        <w:t xml:space="preserve"> </w:t>
      </w:r>
      <w:proofErr w:type="spellStart"/>
      <w:r w:rsidRPr="00EF14C0">
        <w:t>Yigezu</w:t>
      </w:r>
      <w:proofErr w:type="spellEnd"/>
      <w:r w:rsidRPr="00EF14C0">
        <w:t xml:space="preserve"> and</w:t>
      </w:r>
      <w:r w:rsidRPr="00EF14C0" w:rsidDel="00CD08AC">
        <w:t xml:space="preserve"> </w:t>
      </w:r>
      <w:r w:rsidRPr="00EF14C0">
        <w:t>Gentian Zyberi.</w:t>
      </w:r>
    </w:p>
  </w:footnote>
  <w:footnote w:id="4">
    <w:p w14:paraId="5D7A3747" w14:textId="0F7EADD7" w:rsidR="001C2A4A" w:rsidRPr="0052066F" w:rsidRDefault="0095140C">
      <w:pPr>
        <w:pStyle w:val="FootnoteText"/>
        <w:rPr>
          <w:lang w:val="en-GB"/>
        </w:rPr>
      </w:pPr>
      <w:r>
        <w:tab/>
      </w:r>
      <w:r w:rsidR="001C2A4A">
        <w:rPr>
          <w:rStyle w:val="FootnoteReference"/>
        </w:rPr>
        <w:footnoteRef/>
      </w:r>
      <w:r w:rsidR="001C2A4A">
        <w:t xml:space="preserve"> </w:t>
      </w:r>
      <w:r>
        <w:tab/>
      </w:r>
      <w:r w:rsidR="001C2A4A">
        <w:t>See a</w:t>
      </w:r>
      <w:proofErr w:type="spellStart"/>
      <w:r w:rsidR="001C2A4A">
        <w:rPr>
          <w:lang w:val="en-GB"/>
        </w:rPr>
        <w:t>rticles</w:t>
      </w:r>
      <w:proofErr w:type="spellEnd"/>
      <w:r w:rsidR="001C2A4A">
        <w:rPr>
          <w:lang w:val="en-GB"/>
        </w:rPr>
        <w:t xml:space="preserve"> 33 and 35 of the Constitution of Belarus</w:t>
      </w:r>
      <w:r w:rsidR="005A4012">
        <w:rPr>
          <w:lang w:val="en-GB"/>
        </w:rPr>
        <w:t>.</w:t>
      </w:r>
    </w:p>
  </w:footnote>
  <w:footnote w:id="5">
    <w:p w14:paraId="6BAC8272" w14:textId="6352DFD7" w:rsidR="00491FA5" w:rsidRPr="0052066F" w:rsidRDefault="0095140C">
      <w:pPr>
        <w:pStyle w:val="FootnoteText"/>
        <w:rPr>
          <w:lang w:val="en-GB"/>
        </w:rPr>
      </w:pPr>
      <w:r>
        <w:rPr>
          <w:lang w:val="en-GB"/>
        </w:rPr>
        <w:tab/>
      </w:r>
      <w:r w:rsidR="00491FA5">
        <w:rPr>
          <w:rStyle w:val="FootnoteReference"/>
        </w:rPr>
        <w:footnoteRef/>
      </w:r>
      <w:r w:rsidR="00491FA5">
        <w:t xml:space="preserve"> </w:t>
      </w:r>
      <w:r>
        <w:tab/>
      </w:r>
      <w:r w:rsidR="00427AEB">
        <w:t>The authors refer to co</w:t>
      </w:r>
      <w:proofErr w:type="spellStart"/>
      <w:r w:rsidR="00427AEB">
        <w:rPr>
          <w:lang w:val="en-GB"/>
        </w:rPr>
        <w:t>mmunications</w:t>
      </w:r>
      <w:proofErr w:type="spellEnd"/>
      <w:r w:rsidR="00427AEB">
        <w:rPr>
          <w:lang w:val="en-GB"/>
        </w:rPr>
        <w:t xml:space="preserve"> No. 1864/2009, 1976/2010, 1988/2010, 1992/2010, 2030/2011.</w:t>
      </w:r>
    </w:p>
  </w:footnote>
  <w:footnote w:id="6">
    <w:p w14:paraId="0CFEBE2C" w14:textId="4EB6DE4A" w:rsidR="004568BC" w:rsidRPr="000B1C9B" w:rsidRDefault="004568BC" w:rsidP="004568BC">
      <w:pPr>
        <w:pStyle w:val="FootnoteText"/>
        <w:rPr>
          <w:lang w:val="es-ES"/>
        </w:rPr>
      </w:pPr>
      <w:r>
        <w:tab/>
      </w:r>
      <w:r>
        <w:rPr>
          <w:rStyle w:val="FootnoteReference"/>
        </w:rPr>
        <w:footnoteRef/>
      </w:r>
      <w:r>
        <w:tab/>
      </w:r>
      <w:r w:rsidRPr="00870E05">
        <w:rPr>
          <w:i/>
        </w:rPr>
        <w:t>Alekseev v. Russian Federation</w:t>
      </w:r>
      <w:r w:rsidRPr="00B97E4C">
        <w:t xml:space="preserve"> (CCPR/C/109/D/1873/2009), para. </w:t>
      </w:r>
      <w:r w:rsidRPr="0087455C">
        <w:rPr>
          <w:lang w:val="es-ES"/>
        </w:rPr>
        <w:t xml:space="preserve">8.4; </w:t>
      </w:r>
      <w:proofErr w:type="spellStart"/>
      <w:r w:rsidRPr="0087455C">
        <w:rPr>
          <w:i/>
          <w:lang w:val="es-ES"/>
        </w:rPr>
        <w:t>Lozenko</w:t>
      </w:r>
      <w:proofErr w:type="spellEnd"/>
      <w:r w:rsidRPr="0087455C">
        <w:rPr>
          <w:i/>
          <w:lang w:val="es-ES"/>
        </w:rPr>
        <w:t xml:space="preserve"> v. </w:t>
      </w:r>
      <w:proofErr w:type="spellStart"/>
      <w:r w:rsidRPr="0087455C">
        <w:rPr>
          <w:i/>
          <w:lang w:val="es-ES"/>
        </w:rPr>
        <w:t>Belarus</w:t>
      </w:r>
      <w:proofErr w:type="spellEnd"/>
      <w:r w:rsidRPr="0087455C">
        <w:rPr>
          <w:lang w:val="es-ES"/>
        </w:rPr>
        <w:t xml:space="preserve"> (CCPR/C/112/D/1929/2010), para. 6.3; and </w:t>
      </w:r>
      <w:proofErr w:type="spellStart"/>
      <w:r w:rsidRPr="0087455C">
        <w:rPr>
          <w:i/>
          <w:lang w:val="es-ES"/>
        </w:rPr>
        <w:t>Sudalenko</w:t>
      </w:r>
      <w:proofErr w:type="spellEnd"/>
      <w:r w:rsidRPr="0087455C">
        <w:rPr>
          <w:i/>
          <w:lang w:val="es-ES"/>
        </w:rPr>
        <w:t xml:space="preserve"> v. </w:t>
      </w:r>
      <w:proofErr w:type="spellStart"/>
      <w:r w:rsidRPr="0087455C">
        <w:rPr>
          <w:i/>
          <w:lang w:val="es-ES"/>
        </w:rPr>
        <w:t>Belarus</w:t>
      </w:r>
      <w:proofErr w:type="spellEnd"/>
      <w:r w:rsidRPr="0087455C">
        <w:rPr>
          <w:lang w:val="es-ES"/>
        </w:rPr>
        <w:t xml:space="preserve"> (CCPR/C/115/D/2016/2010), para. </w:t>
      </w:r>
      <w:r w:rsidRPr="00D6648A">
        <w:rPr>
          <w:lang w:val="es-ES"/>
        </w:rPr>
        <w:t>7.3.</w:t>
      </w:r>
      <w:r w:rsidR="000B1C9B">
        <w:rPr>
          <w:lang w:val="es-ES"/>
        </w:rPr>
        <w:t xml:space="preserve"> and </w:t>
      </w:r>
      <w:proofErr w:type="spellStart"/>
      <w:r w:rsidR="000B1C9B">
        <w:rPr>
          <w:i/>
          <w:lang w:val="es-ES"/>
        </w:rPr>
        <w:t>Belsky</w:t>
      </w:r>
      <w:proofErr w:type="spellEnd"/>
      <w:r w:rsidR="000B1C9B">
        <w:rPr>
          <w:i/>
          <w:lang w:val="es-ES"/>
        </w:rPr>
        <w:t xml:space="preserve"> v </w:t>
      </w:r>
      <w:proofErr w:type="spellStart"/>
      <w:r w:rsidR="000B1C9B">
        <w:rPr>
          <w:i/>
          <w:lang w:val="es-ES"/>
        </w:rPr>
        <w:t>Belarus</w:t>
      </w:r>
      <w:proofErr w:type="spellEnd"/>
      <w:r w:rsidR="000B1C9B">
        <w:rPr>
          <w:i/>
          <w:lang w:val="es-ES"/>
        </w:rPr>
        <w:t xml:space="preserve"> </w:t>
      </w:r>
      <w:r w:rsidR="000B1C9B">
        <w:rPr>
          <w:lang w:val="es-ES"/>
        </w:rPr>
        <w:t>(CCPR/C/134/D/2755/2016), para. 6.3.</w:t>
      </w:r>
    </w:p>
  </w:footnote>
  <w:footnote w:id="7">
    <w:p w14:paraId="10214899" w14:textId="5A4DDE35" w:rsidR="005840A6" w:rsidRPr="0052066F" w:rsidRDefault="0095140C">
      <w:pPr>
        <w:pStyle w:val="FootnoteText"/>
        <w:rPr>
          <w:lang w:val="en-GB"/>
        </w:rPr>
      </w:pPr>
      <w:r w:rsidRPr="001C3BC2">
        <w:rPr>
          <w:lang w:val="es-ES"/>
        </w:rPr>
        <w:tab/>
      </w:r>
      <w:r w:rsidR="005840A6">
        <w:rPr>
          <w:rStyle w:val="FootnoteReference"/>
        </w:rPr>
        <w:footnoteRef/>
      </w:r>
      <w:r w:rsidR="005840A6" w:rsidRPr="001C3BC2">
        <w:rPr>
          <w:lang w:val="es-ES"/>
        </w:rPr>
        <w:t xml:space="preserve"> </w:t>
      </w:r>
      <w:r w:rsidRPr="001C3BC2">
        <w:rPr>
          <w:lang w:val="es-ES"/>
        </w:rPr>
        <w:tab/>
      </w:r>
      <w:proofErr w:type="spellStart"/>
      <w:r w:rsidR="005840A6" w:rsidRPr="001C3BC2">
        <w:rPr>
          <w:lang w:val="es-ES"/>
        </w:rPr>
        <w:t>See</w:t>
      </w:r>
      <w:proofErr w:type="spellEnd"/>
      <w:r w:rsidR="005840A6" w:rsidRPr="001C3BC2">
        <w:rPr>
          <w:lang w:val="es-ES"/>
        </w:rPr>
        <w:t xml:space="preserve"> </w:t>
      </w:r>
      <w:proofErr w:type="spellStart"/>
      <w:r w:rsidR="005840A6" w:rsidRPr="001C3BC2">
        <w:rPr>
          <w:lang w:val="es-ES"/>
        </w:rPr>
        <w:t>Zhukovsky</w:t>
      </w:r>
      <w:proofErr w:type="spellEnd"/>
      <w:r w:rsidR="005840A6" w:rsidRPr="001C3BC2">
        <w:rPr>
          <w:lang w:val="es-ES"/>
        </w:rPr>
        <w:t xml:space="preserve"> v. </w:t>
      </w:r>
      <w:proofErr w:type="spellStart"/>
      <w:r w:rsidR="005840A6" w:rsidRPr="001C3BC2">
        <w:rPr>
          <w:lang w:val="es-ES"/>
        </w:rPr>
        <w:t>Belarus</w:t>
      </w:r>
      <w:proofErr w:type="spellEnd"/>
      <w:r w:rsidR="005840A6" w:rsidRPr="001C3BC2">
        <w:rPr>
          <w:lang w:val="es-ES"/>
        </w:rPr>
        <w:t xml:space="preserve"> (CCPR/C/127/2724/2016), para. 6.4; </w:t>
      </w:r>
      <w:proofErr w:type="spellStart"/>
      <w:r w:rsidR="005840A6" w:rsidRPr="001C3BC2">
        <w:rPr>
          <w:lang w:val="es-ES"/>
        </w:rPr>
        <w:t>Zhukovsky</w:t>
      </w:r>
      <w:proofErr w:type="spellEnd"/>
      <w:r w:rsidR="005840A6" w:rsidRPr="001C3BC2">
        <w:rPr>
          <w:lang w:val="es-ES"/>
        </w:rPr>
        <w:t xml:space="preserve"> v. </w:t>
      </w:r>
      <w:proofErr w:type="spellStart"/>
      <w:r w:rsidR="005840A6" w:rsidRPr="001C3BC2">
        <w:rPr>
          <w:lang w:val="es-ES"/>
        </w:rPr>
        <w:t>Belarus</w:t>
      </w:r>
      <w:proofErr w:type="spellEnd"/>
      <w:r w:rsidR="005840A6" w:rsidRPr="001C3BC2">
        <w:rPr>
          <w:lang w:val="es-ES"/>
        </w:rPr>
        <w:t xml:space="preserve"> (CCPR/C/127/2955/2017), para. </w:t>
      </w:r>
      <w:r w:rsidR="005840A6" w:rsidRPr="005840A6">
        <w:t xml:space="preserve">6.4; </w:t>
      </w:r>
      <w:proofErr w:type="spellStart"/>
      <w:r w:rsidR="005840A6" w:rsidRPr="005840A6">
        <w:t>Zhukovsky</w:t>
      </w:r>
      <w:proofErr w:type="spellEnd"/>
      <w:r w:rsidR="005840A6" w:rsidRPr="005840A6">
        <w:t xml:space="preserve"> v. Belarus (CCPR/C/127/3067/2017), para. 6.6.</w:t>
      </w:r>
    </w:p>
  </w:footnote>
  <w:footnote w:id="8">
    <w:p w14:paraId="6CBE64E8" w14:textId="02B1A2D6" w:rsidR="00BE4A67" w:rsidRPr="0081272A" w:rsidRDefault="002421EB">
      <w:pPr>
        <w:pStyle w:val="FootnoteText"/>
        <w:rPr>
          <w:lang w:val="en-GB"/>
        </w:rPr>
      </w:pPr>
      <w:r>
        <w:tab/>
      </w:r>
      <w:r w:rsidR="00BE4A67">
        <w:rPr>
          <w:rStyle w:val="FootnoteReference"/>
        </w:rPr>
        <w:footnoteRef/>
      </w:r>
      <w:r>
        <w:tab/>
      </w:r>
      <w:r w:rsidR="00BE4A67">
        <w:rPr>
          <w:lang w:val="en-GB"/>
        </w:rPr>
        <w:t xml:space="preserve">See </w:t>
      </w:r>
      <w:r w:rsidR="005E4E4D" w:rsidRPr="005E4E4D">
        <w:rPr>
          <w:lang w:val="en-GB"/>
        </w:rPr>
        <w:t>General comment No. 37 (2020) on the right of peaceful assembly (article 21)</w:t>
      </w:r>
      <w:r w:rsidR="005E4E4D">
        <w:rPr>
          <w:lang w:val="en-GB"/>
        </w:rPr>
        <w:t xml:space="preserve">, </w:t>
      </w:r>
      <w:r w:rsidR="00BE4A67">
        <w:rPr>
          <w:lang w:val="en-GB"/>
        </w:rPr>
        <w:t>para</w:t>
      </w:r>
      <w:r w:rsidR="00A55797">
        <w:rPr>
          <w:lang w:val="en-GB"/>
        </w:rPr>
        <w:t>s</w:t>
      </w:r>
      <w:r w:rsidR="00BE4A67">
        <w:rPr>
          <w:lang w:val="en-GB"/>
        </w:rPr>
        <w:t>.</w:t>
      </w:r>
      <w:r w:rsidR="00A55797">
        <w:rPr>
          <w:lang w:val="en-GB"/>
        </w:rPr>
        <w:t xml:space="preserve"> </w:t>
      </w:r>
      <w:r w:rsidR="005E4E4D">
        <w:rPr>
          <w:lang w:val="en-GB"/>
        </w:rPr>
        <w:t>6</w:t>
      </w:r>
      <w:r w:rsidR="003A48C4">
        <w:rPr>
          <w:lang w:val="en-GB"/>
        </w:rPr>
        <w:t>, 22 and 53</w:t>
      </w:r>
      <w:r w:rsidR="00A55797">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93AB1" w14:textId="39235F1B" w:rsidR="00E54361" w:rsidRPr="00781C83" w:rsidRDefault="00E54361" w:rsidP="00A1054C">
    <w:pPr>
      <w:pStyle w:val="Header"/>
      <w:pBdr>
        <w:bottom w:val="single" w:sz="4" w:space="0" w:color="auto"/>
      </w:pBdr>
    </w:pPr>
    <w:r>
      <w:t>CCPR</w:t>
    </w:r>
    <w:r w:rsidRPr="00607635">
      <w:t>/</w:t>
    </w:r>
    <w:r w:rsidRPr="00415BA0">
      <w:t>C</w:t>
    </w:r>
    <w:r w:rsidR="009124B3">
      <w:t>/</w:t>
    </w:r>
    <w:r w:rsidRPr="00415BA0">
      <w:t>1</w:t>
    </w:r>
    <w:r w:rsidR="00216C06">
      <w:t>3</w:t>
    </w:r>
    <w:r w:rsidR="008F6D68">
      <w:t>5</w:t>
    </w:r>
    <w:r w:rsidRPr="00415BA0">
      <w:t>/D/</w:t>
    </w:r>
    <w:r w:rsidR="00D54AC8" w:rsidRPr="00415BA0">
      <w:t>2</w:t>
    </w:r>
    <w:r w:rsidR="00D11142">
      <w:t>917</w:t>
    </w:r>
    <w:r w:rsidRPr="00415BA0">
      <w:t>/201</w:t>
    </w:r>
    <w:r w:rsidR="00291E45">
      <w:t>6</w:t>
    </w:r>
    <w:r w:rsidR="00C77730">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BC936" w14:textId="1D0470AB" w:rsidR="00E54361" w:rsidRPr="00781C83" w:rsidRDefault="00C77730">
    <w:pPr>
      <w:pStyle w:val="Header"/>
      <w:pBdr>
        <w:bottom w:val="single" w:sz="4" w:space="0" w:color="auto"/>
      </w:pBdr>
      <w:jc w:val="right"/>
    </w:pPr>
    <w:r>
      <w:t xml:space="preserve">Advance unedited version </w:t>
    </w:r>
    <w:r w:rsidR="00E54361">
      <w:t>CCPR</w:t>
    </w:r>
    <w:r w:rsidR="00E54361" w:rsidRPr="00607635">
      <w:t>/</w:t>
    </w:r>
    <w:r w:rsidR="00D54AC8">
      <w:t>C</w:t>
    </w:r>
    <w:r w:rsidR="009124B3">
      <w:t>/</w:t>
    </w:r>
    <w:r w:rsidR="00E54361" w:rsidRPr="00415BA0">
      <w:t>1</w:t>
    </w:r>
    <w:r w:rsidR="00216C06">
      <w:t>3</w:t>
    </w:r>
    <w:r w:rsidR="008F6D68">
      <w:t>5</w:t>
    </w:r>
    <w:r w:rsidR="00E54361" w:rsidRPr="00415BA0">
      <w:t>/D/2</w:t>
    </w:r>
    <w:r w:rsidR="00D11142">
      <w:t>917</w:t>
    </w:r>
    <w:r w:rsidR="00E54361" w:rsidRPr="00415BA0">
      <w:t>/201</w:t>
    </w:r>
    <w:r w:rsidR="00291E45">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5"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6"/>
  </w:num>
  <w:num w:numId="3">
    <w:abstractNumId w:val="4"/>
  </w:num>
  <w:num w:numId="4">
    <w:abstractNumId w:val="1"/>
  </w:num>
  <w:num w:numId="5">
    <w:abstractNumId w:val="5"/>
  </w:num>
  <w:num w:numId="6">
    <w:abstractNumId w:val="7"/>
  </w:num>
  <w:num w:numId="7">
    <w:abstractNumId w:val="2"/>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s-ES" w:vendorID="64" w:dllVersion="6" w:nlCheck="1" w:checkStyle="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activeWritingStyle w:appName="MSWord" w:lang="es-ES" w:vendorID="64" w:dllVersion="0" w:nlCheck="1" w:checkStyle="0"/>
  <w:activeWritingStyle w:appName="MSWord" w:lang="pt-PT" w:vendorID="64" w:dllVersion="0" w:nlCheck="1" w:checkStyle="0"/>
  <w:activeWritingStyle w:appName="MSWord" w:lang="fr-FR" w:vendorID="64" w:dllVersion="0" w:nlCheck="1" w:checkStyle="0"/>
  <w:activeWritingStyle w:appName="MSWord" w:lang="fr-FR" w:vendorID="64" w:dllVersion="6" w:nlCheck="1" w:checkStyle="0"/>
  <w:activeWritingStyle w:appName="MSWord" w:lang="fr-CH" w:vendorID="64" w:dllVersion="6" w:nlCheck="1" w:checkStyle="0"/>
  <w:activeWritingStyle w:appName="MSWord" w:lang="en-US" w:vendorID="64" w:dllVersion="131078" w:nlCheck="1" w:checkStyle="0"/>
  <w:activeWritingStyle w:appName="MSWord" w:lang="en-GB" w:vendorID="64" w:dllVersion="131078" w:nlCheck="1" w:checkStyle="0"/>
  <w:activeWritingStyle w:appName="MSWord" w:lang="es-E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1">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0A9F"/>
    <w:rsid w:val="00002773"/>
    <w:rsid w:val="00002FBA"/>
    <w:rsid w:val="000044E2"/>
    <w:rsid w:val="00004E8B"/>
    <w:rsid w:val="000050E2"/>
    <w:rsid w:val="00005BD8"/>
    <w:rsid w:val="0000608D"/>
    <w:rsid w:val="00006D75"/>
    <w:rsid w:val="0000757A"/>
    <w:rsid w:val="00010484"/>
    <w:rsid w:val="000128E3"/>
    <w:rsid w:val="00012A71"/>
    <w:rsid w:val="000135C3"/>
    <w:rsid w:val="00013B77"/>
    <w:rsid w:val="00014385"/>
    <w:rsid w:val="00014C74"/>
    <w:rsid w:val="00016228"/>
    <w:rsid w:val="000178D8"/>
    <w:rsid w:val="00017E9B"/>
    <w:rsid w:val="000203CD"/>
    <w:rsid w:val="000205BB"/>
    <w:rsid w:val="00020F51"/>
    <w:rsid w:val="000222FF"/>
    <w:rsid w:val="000227DC"/>
    <w:rsid w:val="00022CC7"/>
    <w:rsid w:val="00024133"/>
    <w:rsid w:val="00024521"/>
    <w:rsid w:val="00024979"/>
    <w:rsid w:val="00025269"/>
    <w:rsid w:val="00025370"/>
    <w:rsid w:val="00025418"/>
    <w:rsid w:val="00025856"/>
    <w:rsid w:val="00025D41"/>
    <w:rsid w:val="00026B06"/>
    <w:rsid w:val="000272B3"/>
    <w:rsid w:val="00027A45"/>
    <w:rsid w:val="00031D46"/>
    <w:rsid w:val="00031D9B"/>
    <w:rsid w:val="00032A3A"/>
    <w:rsid w:val="00033051"/>
    <w:rsid w:val="0003387B"/>
    <w:rsid w:val="00034637"/>
    <w:rsid w:val="00034DE4"/>
    <w:rsid w:val="00035F0E"/>
    <w:rsid w:val="00036D15"/>
    <w:rsid w:val="00037807"/>
    <w:rsid w:val="00037AD0"/>
    <w:rsid w:val="000404F2"/>
    <w:rsid w:val="0004092D"/>
    <w:rsid w:val="00040CAE"/>
    <w:rsid w:val="00041994"/>
    <w:rsid w:val="000419D2"/>
    <w:rsid w:val="00044035"/>
    <w:rsid w:val="000444F2"/>
    <w:rsid w:val="000448FF"/>
    <w:rsid w:val="00044DAB"/>
    <w:rsid w:val="00044EE9"/>
    <w:rsid w:val="0004652D"/>
    <w:rsid w:val="000467A9"/>
    <w:rsid w:val="00050F6B"/>
    <w:rsid w:val="00052674"/>
    <w:rsid w:val="00053842"/>
    <w:rsid w:val="00055096"/>
    <w:rsid w:val="0005782B"/>
    <w:rsid w:val="00057E97"/>
    <w:rsid w:val="00057F1A"/>
    <w:rsid w:val="00060074"/>
    <w:rsid w:val="00060C3A"/>
    <w:rsid w:val="00063B22"/>
    <w:rsid w:val="00064B7C"/>
    <w:rsid w:val="00066476"/>
    <w:rsid w:val="00067054"/>
    <w:rsid w:val="00067250"/>
    <w:rsid w:val="00071E1A"/>
    <w:rsid w:val="00071FC0"/>
    <w:rsid w:val="00072C8C"/>
    <w:rsid w:val="000733B5"/>
    <w:rsid w:val="00075DD8"/>
    <w:rsid w:val="0007628F"/>
    <w:rsid w:val="000772FF"/>
    <w:rsid w:val="00077BC4"/>
    <w:rsid w:val="00081815"/>
    <w:rsid w:val="00081A20"/>
    <w:rsid w:val="0008278D"/>
    <w:rsid w:val="0008317C"/>
    <w:rsid w:val="00083322"/>
    <w:rsid w:val="00085530"/>
    <w:rsid w:val="000872D5"/>
    <w:rsid w:val="0009021D"/>
    <w:rsid w:val="000908FA"/>
    <w:rsid w:val="000919AD"/>
    <w:rsid w:val="0009221F"/>
    <w:rsid w:val="00092CB5"/>
    <w:rsid w:val="000931C0"/>
    <w:rsid w:val="00093C0B"/>
    <w:rsid w:val="0009487F"/>
    <w:rsid w:val="00094C48"/>
    <w:rsid w:val="00096AC4"/>
    <w:rsid w:val="000970C1"/>
    <w:rsid w:val="00097416"/>
    <w:rsid w:val="000A0A3D"/>
    <w:rsid w:val="000A0F16"/>
    <w:rsid w:val="000A2283"/>
    <w:rsid w:val="000A22AD"/>
    <w:rsid w:val="000A34F4"/>
    <w:rsid w:val="000A442E"/>
    <w:rsid w:val="000A50A8"/>
    <w:rsid w:val="000A605D"/>
    <w:rsid w:val="000A6751"/>
    <w:rsid w:val="000A6B47"/>
    <w:rsid w:val="000A7D92"/>
    <w:rsid w:val="000B175B"/>
    <w:rsid w:val="000B1788"/>
    <w:rsid w:val="000B1A95"/>
    <w:rsid w:val="000B1C9B"/>
    <w:rsid w:val="000B1F33"/>
    <w:rsid w:val="000B27EA"/>
    <w:rsid w:val="000B31F7"/>
    <w:rsid w:val="000B3A0F"/>
    <w:rsid w:val="000B4A49"/>
    <w:rsid w:val="000B4EF7"/>
    <w:rsid w:val="000B4FB7"/>
    <w:rsid w:val="000B6CA3"/>
    <w:rsid w:val="000B77CE"/>
    <w:rsid w:val="000B7ED4"/>
    <w:rsid w:val="000C0CFF"/>
    <w:rsid w:val="000C180C"/>
    <w:rsid w:val="000C2570"/>
    <w:rsid w:val="000C2C03"/>
    <w:rsid w:val="000C2D2E"/>
    <w:rsid w:val="000C2E06"/>
    <w:rsid w:val="000C6F58"/>
    <w:rsid w:val="000C703B"/>
    <w:rsid w:val="000C71A2"/>
    <w:rsid w:val="000C769F"/>
    <w:rsid w:val="000C7C9A"/>
    <w:rsid w:val="000D0A22"/>
    <w:rsid w:val="000D4E61"/>
    <w:rsid w:val="000D6D9A"/>
    <w:rsid w:val="000D7119"/>
    <w:rsid w:val="000D71AC"/>
    <w:rsid w:val="000E0415"/>
    <w:rsid w:val="000E086A"/>
    <w:rsid w:val="000E0A4F"/>
    <w:rsid w:val="000E0C6B"/>
    <w:rsid w:val="000E0E8E"/>
    <w:rsid w:val="000E10B6"/>
    <w:rsid w:val="000E133E"/>
    <w:rsid w:val="000E2BE1"/>
    <w:rsid w:val="000E42FA"/>
    <w:rsid w:val="000E4735"/>
    <w:rsid w:val="000E536B"/>
    <w:rsid w:val="000E567F"/>
    <w:rsid w:val="000E645D"/>
    <w:rsid w:val="000E6AD2"/>
    <w:rsid w:val="000E6E85"/>
    <w:rsid w:val="000E7797"/>
    <w:rsid w:val="000E7B78"/>
    <w:rsid w:val="000F03D7"/>
    <w:rsid w:val="000F0C6A"/>
    <w:rsid w:val="000F0DAA"/>
    <w:rsid w:val="000F14F5"/>
    <w:rsid w:val="000F1BE3"/>
    <w:rsid w:val="000F277A"/>
    <w:rsid w:val="000F2B93"/>
    <w:rsid w:val="000F4D7F"/>
    <w:rsid w:val="000F4E65"/>
    <w:rsid w:val="000F570E"/>
    <w:rsid w:val="000F648B"/>
    <w:rsid w:val="000F64A9"/>
    <w:rsid w:val="000F691C"/>
    <w:rsid w:val="000F6BEA"/>
    <w:rsid w:val="000F76E4"/>
    <w:rsid w:val="000F76FA"/>
    <w:rsid w:val="000F7D78"/>
    <w:rsid w:val="000F7E69"/>
    <w:rsid w:val="00100B05"/>
    <w:rsid w:val="0010135A"/>
    <w:rsid w:val="00101383"/>
    <w:rsid w:val="001018A9"/>
    <w:rsid w:val="00101921"/>
    <w:rsid w:val="00102AC0"/>
    <w:rsid w:val="001037D9"/>
    <w:rsid w:val="00103A7A"/>
    <w:rsid w:val="00104EB3"/>
    <w:rsid w:val="00106602"/>
    <w:rsid w:val="0010694D"/>
    <w:rsid w:val="001103AA"/>
    <w:rsid w:val="00110C53"/>
    <w:rsid w:val="0011184E"/>
    <w:rsid w:val="00111AAA"/>
    <w:rsid w:val="00113419"/>
    <w:rsid w:val="00114AD2"/>
    <w:rsid w:val="00115DDE"/>
    <w:rsid w:val="00117EA3"/>
    <w:rsid w:val="00121F92"/>
    <w:rsid w:val="00123048"/>
    <w:rsid w:val="00123C95"/>
    <w:rsid w:val="00124014"/>
    <w:rsid w:val="00124442"/>
    <w:rsid w:val="001245B3"/>
    <w:rsid w:val="00124EA1"/>
    <w:rsid w:val="001252BD"/>
    <w:rsid w:val="00125565"/>
    <w:rsid w:val="00125C47"/>
    <w:rsid w:val="00125DB6"/>
    <w:rsid w:val="001306DD"/>
    <w:rsid w:val="0013235B"/>
    <w:rsid w:val="00132519"/>
    <w:rsid w:val="00132619"/>
    <w:rsid w:val="00132E4D"/>
    <w:rsid w:val="00133611"/>
    <w:rsid w:val="00133871"/>
    <w:rsid w:val="00133C93"/>
    <w:rsid w:val="001360BE"/>
    <w:rsid w:val="0013670D"/>
    <w:rsid w:val="00142286"/>
    <w:rsid w:val="0014254E"/>
    <w:rsid w:val="00143694"/>
    <w:rsid w:val="00145CA7"/>
    <w:rsid w:val="00146792"/>
    <w:rsid w:val="0015032A"/>
    <w:rsid w:val="00151CCD"/>
    <w:rsid w:val="00152AAB"/>
    <w:rsid w:val="00153530"/>
    <w:rsid w:val="00153A26"/>
    <w:rsid w:val="001541C3"/>
    <w:rsid w:val="00154F56"/>
    <w:rsid w:val="0015515E"/>
    <w:rsid w:val="00156376"/>
    <w:rsid w:val="00157DFB"/>
    <w:rsid w:val="00160FB9"/>
    <w:rsid w:val="00161364"/>
    <w:rsid w:val="00161B02"/>
    <w:rsid w:val="00161BAD"/>
    <w:rsid w:val="00161C6C"/>
    <w:rsid w:val="001649C8"/>
    <w:rsid w:val="00165896"/>
    <w:rsid w:val="00165F3A"/>
    <w:rsid w:val="001663EC"/>
    <w:rsid w:val="001676A8"/>
    <w:rsid w:val="00170114"/>
    <w:rsid w:val="00171C45"/>
    <w:rsid w:val="00172198"/>
    <w:rsid w:val="0017277A"/>
    <w:rsid w:val="00172B2B"/>
    <w:rsid w:val="00173A07"/>
    <w:rsid w:val="00173C2F"/>
    <w:rsid w:val="0017551B"/>
    <w:rsid w:val="00175A57"/>
    <w:rsid w:val="0017676A"/>
    <w:rsid w:val="00176BF6"/>
    <w:rsid w:val="00176FE1"/>
    <w:rsid w:val="001770E3"/>
    <w:rsid w:val="00177A2D"/>
    <w:rsid w:val="0018052F"/>
    <w:rsid w:val="00181614"/>
    <w:rsid w:val="00182A46"/>
    <w:rsid w:val="00183591"/>
    <w:rsid w:val="00183968"/>
    <w:rsid w:val="00184A13"/>
    <w:rsid w:val="00184CC1"/>
    <w:rsid w:val="00185588"/>
    <w:rsid w:val="001874DC"/>
    <w:rsid w:val="00187D8A"/>
    <w:rsid w:val="00193B80"/>
    <w:rsid w:val="0019468C"/>
    <w:rsid w:val="00194C49"/>
    <w:rsid w:val="00194DFC"/>
    <w:rsid w:val="00194E30"/>
    <w:rsid w:val="00195FA5"/>
    <w:rsid w:val="00196CDF"/>
    <w:rsid w:val="001975D8"/>
    <w:rsid w:val="001A079F"/>
    <w:rsid w:val="001A092A"/>
    <w:rsid w:val="001A09DE"/>
    <w:rsid w:val="001A0FAB"/>
    <w:rsid w:val="001A149B"/>
    <w:rsid w:val="001A188E"/>
    <w:rsid w:val="001A2576"/>
    <w:rsid w:val="001A2A95"/>
    <w:rsid w:val="001A2E0B"/>
    <w:rsid w:val="001A30F9"/>
    <w:rsid w:val="001A44F4"/>
    <w:rsid w:val="001A457F"/>
    <w:rsid w:val="001A5755"/>
    <w:rsid w:val="001A58D1"/>
    <w:rsid w:val="001A62D6"/>
    <w:rsid w:val="001A660B"/>
    <w:rsid w:val="001A6686"/>
    <w:rsid w:val="001A723C"/>
    <w:rsid w:val="001A7754"/>
    <w:rsid w:val="001B1953"/>
    <w:rsid w:val="001B2A3A"/>
    <w:rsid w:val="001B3659"/>
    <w:rsid w:val="001B3687"/>
    <w:rsid w:val="001B368C"/>
    <w:rsid w:val="001B400C"/>
    <w:rsid w:val="001B4041"/>
    <w:rsid w:val="001B4B04"/>
    <w:rsid w:val="001B4F72"/>
    <w:rsid w:val="001B55BE"/>
    <w:rsid w:val="001B734D"/>
    <w:rsid w:val="001B7CF6"/>
    <w:rsid w:val="001C276E"/>
    <w:rsid w:val="001C2A4A"/>
    <w:rsid w:val="001C326D"/>
    <w:rsid w:val="001C3BC2"/>
    <w:rsid w:val="001C538B"/>
    <w:rsid w:val="001C6016"/>
    <w:rsid w:val="001C6320"/>
    <w:rsid w:val="001C657F"/>
    <w:rsid w:val="001C6663"/>
    <w:rsid w:val="001C6B47"/>
    <w:rsid w:val="001C7895"/>
    <w:rsid w:val="001D04B8"/>
    <w:rsid w:val="001D0C8C"/>
    <w:rsid w:val="001D2097"/>
    <w:rsid w:val="001D26DF"/>
    <w:rsid w:val="001D2754"/>
    <w:rsid w:val="001D2861"/>
    <w:rsid w:val="001D3128"/>
    <w:rsid w:val="001D384D"/>
    <w:rsid w:val="001D3A03"/>
    <w:rsid w:val="001D4B84"/>
    <w:rsid w:val="001D4E27"/>
    <w:rsid w:val="001D50CE"/>
    <w:rsid w:val="001D5307"/>
    <w:rsid w:val="001D5C81"/>
    <w:rsid w:val="001D68E1"/>
    <w:rsid w:val="001E06D9"/>
    <w:rsid w:val="001E0966"/>
    <w:rsid w:val="001E10EC"/>
    <w:rsid w:val="001E1235"/>
    <w:rsid w:val="001E175D"/>
    <w:rsid w:val="001E1A5C"/>
    <w:rsid w:val="001E33AB"/>
    <w:rsid w:val="001E357C"/>
    <w:rsid w:val="001E3A36"/>
    <w:rsid w:val="001E48A9"/>
    <w:rsid w:val="001E4D0B"/>
    <w:rsid w:val="001E6800"/>
    <w:rsid w:val="001E68DA"/>
    <w:rsid w:val="001F11C8"/>
    <w:rsid w:val="001F2774"/>
    <w:rsid w:val="001F468C"/>
    <w:rsid w:val="001F6654"/>
    <w:rsid w:val="001F7FC8"/>
    <w:rsid w:val="00200A64"/>
    <w:rsid w:val="00200CC4"/>
    <w:rsid w:val="00200F03"/>
    <w:rsid w:val="002012C3"/>
    <w:rsid w:val="00202DA8"/>
    <w:rsid w:val="00203732"/>
    <w:rsid w:val="00206334"/>
    <w:rsid w:val="0020739A"/>
    <w:rsid w:val="00210AE2"/>
    <w:rsid w:val="00210CE0"/>
    <w:rsid w:val="002117EE"/>
    <w:rsid w:val="00211E0B"/>
    <w:rsid w:val="00212027"/>
    <w:rsid w:val="002130C2"/>
    <w:rsid w:val="00214B06"/>
    <w:rsid w:val="0021553D"/>
    <w:rsid w:val="00216A79"/>
    <w:rsid w:val="00216C06"/>
    <w:rsid w:val="00217500"/>
    <w:rsid w:val="00217C38"/>
    <w:rsid w:val="00217CED"/>
    <w:rsid w:val="00217DDD"/>
    <w:rsid w:val="00220C8D"/>
    <w:rsid w:val="00222072"/>
    <w:rsid w:val="0022219E"/>
    <w:rsid w:val="002222A7"/>
    <w:rsid w:val="00222DFC"/>
    <w:rsid w:val="0022385C"/>
    <w:rsid w:val="002240CA"/>
    <w:rsid w:val="0022501D"/>
    <w:rsid w:val="0022665C"/>
    <w:rsid w:val="00226F53"/>
    <w:rsid w:val="00227BDE"/>
    <w:rsid w:val="002310A9"/>
    <w:rsid w:val="002313C7"/>
    <w:rsid w:val="00231675"/>
    <w:rsid w:val="00231C9F"/>
    <w:rsid w:val="0023210C"/>
    <w:rsid w:val="00232832"/>
    <w:rsid w:val="00232D9D"/>
    <w:rsid w:val="002339DD"/>
    <w:rsid w:val="00235CC1"/>
    <w:rsid w:val="002364F5"/>
    <w:rsid w:val="00236D66"/>
    <w:rsid w:val="00240E52"/>
    <w:rsid w:val="002414CD"/>
    <w:rsid w:val="002421EB"/>
    <w:rsid w:val="00243ABE"/>
    <w:rsid w:val="00243DD1"/>
    <w:rsid w:val="00244127"/>
    <w:rsid w:val="00244A62"/>
    <w:rsid w:val="00244EDE"/>
    <w:rsid w:val="002450F8"/>
    <w:rsid w:val="00245DF8"/>
    <w:rsid w:val="00250361"/>
    <w:rsid w:val="00252170"/>
    <w:rsid w:val="00253E54"/>
    <w:rsid w:val="0025530B"/>
    <w:rsid w:val="00255D2B"/>
    <w:rsid w:val="002569AF"/>
    <w:rsid w:val="0025725A"/>
    <w:rsid w:val="0025792C"/>
    <w:rsid w:val="00261F5D"/>
    <w:rsid w:val="002632E7"/>
    <w:rsid w:val="002633C4"/>
    <w:rsid w:val="0026447F"/>
    <w:rsid w:val="002649FE"/>
    <w:rsid w:val="00264CD2"/>
    <w:rsid w:val="00265136"/>
    <w:rsid w:val="002652CE"/>
    <w:rsid w:val="00267449"/>
    <w:rsid w:val="00267CEE"/>
    <w:rsid w:val="00267F5F"/>
    <w:rsid w:val="0027131E"/>
    <w:rsid w:val="0027161C"/>
    <w:rsid w:val="00272ADF"/>
    <w:rsid w:val="0027376E"/>
    <w:rsid w:val="0027417A"/>
    <w:rsid w:val="002743EE"/>
    <w:rsid w:val="002744F0"/>
    <w:rsid w:val="0027570D"/>
    <w:rsid w:val="002767FA"/>
    <w:rsid w:val="00276FD7"/>
    <w:rsid w:val="00277604"/>
    <w:rsid w:val="00280C5F"/>
    <w:rsid w:val="00280D66"/>
    <w:rsid w:val="00281129"/>
    <w:rsid w:val="00281E04"/>
    <w:rsid w:val="002824C8"/>
    <w:rsid w:val="002834E0"/>
    <w:rsid w:val="00284FD1"/>
    <w:rsid w:val="00285EE1"/>
    <w:rsid w:val="0028645E"/>
    <w:rsid w:val="00286B4D"/>
    <w:rsid w:val="002903BD"/>
    <w:rsid w:val="00290F51"/>
    <w:rsid w:val="002915E7"/>
    <w:rsid w:val="00291877"/>
    <w:rsid w:val="00291E45"/>
    <w:rsid w:val="00292E61"/>
    <w:rsid w:val="0029502C"/>
    <w:rsid w:val="00295FFA"/>
    <w:rsid w:val="0029607D"/>
    <w:rsid w:val="002974A6"/>
    <w:rsid w:val="002A0192"/>
    <w:rsid w:val="002A03BE"/>
    <w:rsid w:val="002A2334"/>
    <w:rsid w:val="002A239B"/>
    <w:rsid w:val="002A4421"/>
    <w:rsid w:val="002A4A95"/>
    <w:rsid w:val="002A5021"/>
    <w:rsid w:val="002A5E37"/>
    <w:rsid w:val="002A7E2C"/>
    <w:rsid w:val="002B02C5"/>
    <w:rsid w:val="002B0FC2"/>
    <w:rsid w:val="002B1375"/>
    <w:rsid w:val="002B2CF2"/>
    <w:rsid w:val="002B3574"/>
    <w:rsid w:val="002B3DA5"/>
    <w:rsid w:val="002B3F1E"/>
    <w:rsid w:val="002B4AC8"/>
    <w:rsid w:val="002B4B75"/>
    <w:rsid w:val="002B52F2"/>
    <w:rsid w:val="002B56E0"/>
    <w:rsid w:val="002B63A0"/>
    <w:rsid w:val="002B6C74"/>
    <w:rsid w:val="002B6D49"/>
    <w:rsid w:val="002B714B"/>
    <w:rsid w:val="002B7745"/>
    <w:rsid w:val="002B7C4F"/>
    <w:rsid w:val="002C027A"/>
    <w:rsid w:val="002C032D"/>
    <w:rsid w:val="002C051F"/>
    <w:rsid w:val="002C0737"/>
    <w:rsid w:val="002C15A4"/>
    <w:rsid w:val="002C253F"/>
    <w:rsid w:val="002C3C84"/>
    <w:rsid w:val="002C4B41"/>
    <w:rsid w:val="002C4E74"/>
    <w:rsid w:val="002C5711"/>
    <w:rsid w:val="002C5BCD"/>
    <w:rsid w:val="002C5C96"/>
    <w:rsid w:val="002C605B"/>
    <w:rsid w:val="002C70BF"/>
    <w:rsid w:val="002D06E5"/>
    <w:rsid w:val="002D09B5"/>
    <w:rsid w:val="002D0F50"/>
    <w:rsid w:val="002D1C94"/>
    <w:rsid w:val="002D28BC"/>
    <w:rsid w:val="002D2D50"/>
    <w:rsid w:val="002D3837"/>
    <w:rsid w:val="002D38A3"/>
    <w:rsid w:val="002D3A6B"/>
    <w:rsid w:val="002D3AF5"/>
    <w:rsid w:val="002D46DB"/>
    <w:rsid w:val="002D49A0"/>
    <w:rsid w:val="002D5EC0"/>
    <w:rsid w:val="002D5ECE"/>
    <w:rsid w:val="002D6106"/>
    <w:rsid w:val="002D6171"/>
    <w:rsid w:val="002D682E"/>
    <w:rsid w:val="002D690A"/>
    <w:rsid w:val="002D727C"/>
    <w:rsid w:val="002E0305"/>
    <w:rsid w:val="002E0B71"/>
    <w:rsid w:val="002E1323"/>
    <w:rsid w:val="002E4AD6"/>
    <w:rsid w:val="002E7CC5"/>
    <w:rsid w:val="002F039C"/>
    <w:rsid w:val="002F053D"/>
    <w:rsid w:val="002F06DA"/>
    <w:rsid w:val="002F14CA"/>
    <w:rsid w:val="002F175C"/>
    <w:rsid w:val="002F1CC4"/>
    <w:rsid w:val="002F3C50"/>
    <w:rsid w:val="002F4E01"/>
    <w:rsid w:val="002F56D8"/>
    <w:rsid w:val="002F5896"/>
    <w:rsid w:val="002F5D0C"/>
    <w:rsid w:val="002F5DCB"/>
    <w:rsid w:val="002F709A"/>
    <w:rsid w:val="002F769C"/>
    <w:rsid w:val="002F772E"/>
    <w:rsid w:val="002F781E"/>
    <w:rsid w:val="002F7A1E"/>
    <w:rsid w:val="00300FEE"/>
    <w:rsid w:val="00301072"/>
    <w:rsid w:val="0030138D"/>
    <w:rsid w:val="00301610"/>
    <w:rsid w:val="00301BD4"/>
    <w:rsid w:val="00301E0F"/>
    <w:rsid w:val="003026C7"/>
    <w:rsid w:val="00302727"/>
    <w:rsid w:val="00302B44"/>
    <w:rsid w:val="00303D16"/>
    <w:rsid w:val="003047D3"/>
    <w:rsid w:val="00306124"/>
    <w:rsid w:val="00306459"/>
    <w:rsid w:val="00306470"/>
    <w:rsid w:val="0030672F"/>
    <w:rsid w:val="00310E7B"/>
    <w:rsid w:val="00310F2C"/>
    <w:rsid w:val="0031167A"/>
    <w:rsid w:val="003121FB"/>
    <w:rsid w:val="00313B3D"/>
    <w:rsid w:val="00314415"/>
    <w:rsid w:val="00314A18"/>
    <w:rsid w:val="00314A97"/>
    <w:rsid w:val="0031790F"/>
    <w:rsid w:val="00320482"/>
    <w:rsid w:val="00320E07"/>
    <w:rsid w:val="00320F32"/>
    <w:rsid w:val="003218C7"/>
    <w:rsid w:val="00321BF2"/>
    <w:rsid w:val="003220F0"/>
    <w:rsid w:val="00322881"/>
    <w:rsid w:val="003229D8"/>
    <w:rsid w:val="0032348D"/>
    <w:rsid w:val="00323A2B"/>
    <w:rsid w:val="00326293"/>
    <w:rsid w:val="0032709F"/>
    <w:rsid w:val="00327502"/>
    <w:rsid w:val="00331781"/>
    <w:rsid w:val="00332B1E"/>
    <w:rsid w:val="00332D5C"/>
    <w:rsid w:val="003335F5"/>
    <w:rsid w:val="00333921"/>
    <w:rsid w:val="00333E0C"/>
    <w:rsid w:val="00335C4B"/>
    <w:rsid w:val="00335D6C"/>
    <w:rsid w:val="003362ED"/>
    <w:rsid w:val="003365EC"/>
    <w:rsid w:val="00336FB0"/>
    <w:rsid w:val="003372DA"/>
    <w:rsid w:val="00337A47"/>
    <w:rsid w:val="00337F26"/>
    <w:rsid w:val="003417A6"/>
    <w:rsid w:val="00342269"/>
    <w:rsid w:val="003425CE"/>
    <w:rsid w:val="00342D6C"/>
    <w:rsid w:val="00342F90"/>
    <w:rsid w:val="0034486F"/>
    <w:rsid w:val="00344DC3"/>
    <w:rsid w:val="00345256"/>
    <w:rsid w:val="003464C6"/>
    <w:rsid w:val="003465C8"/>
    <w:rsid w:val="003467FE"/>
    <w:rsid w:val="00346980"/>
    <w:rsid w:val="00346DE7"/>
    <w:rsid w:val="0034792E"/>
    <w:rsid w:val="0035049F"/>
    <w:rsid w:val="00350592"/>
    <w:rsid w:val="00351151"/>
    <w:rsid w:val="00352709"/>
    <w:rsid w:val="00352C1F"/>
    <w:rsid w:val="00352D2B"/>
    <w:rsid w:val="00354AA8"/>
    <w:rsid w:val="0035524E"/>
    <w:rsid w:val="00355BD5"/>
    <w:rsid w:val="00356EEF"/>
    <w:rsid w:val="00360EAD"/>
    <w:rsid w:val="0036213E"/>
    <w:rsid w:val="00362869"/>
    <w:rsid w:val="00362F0A"/>
    <w:rsid w:val="003634F2"/>
    <w:rsid w:val="00364789"/>
    <w:rsid w:val="00364901"/>
    <w:rsid w:val="003652A0"/>
    <w:rsid w:val="00365AB4"/>
    <w:rsid w:val="003661AB"/>
    <w:rsid w:val="0036645D"/>
    <w:rsid w:val="00367567"/>
    <w:rsid w:val="003705C9"/>
    <w:rsid w:val="00371178"/>
    <w:rsid w:val="003713E0"/>
    <w:rsid w:val="003719B4"/>
    <w:rsid w:val="0037204F"/>
    <w:rsid w:val="003721BC"/>
    <w:rsid w:val="00372E2F"/>
    <w:rsid w:val="00372E90"/>
    <w:rsid w:val="003730DD"/>
    <w:rsid w:val="00374609"/>
    <w:rsid w:val="00374D5A"/>
    <w:rsid w:val="003762A0"/>
    <w:rsid w:val="00376745"/>
    <w:rsid w:val="0037720E"/>
    <w:rsid w:val="0037794E"/>
    <w:rsid w:val="003800DE"/>
    <w:rsid w:val="00381975"/>
    <w:rsid w:val="00381A42"/>
    <w:rsid w:val="00381DBA"/>
    <w:rsid w:val="003821D3"/>
    <w:rsid w:val="00382EE8"/>
    <w:rsid w:val="0038336C"/>
    <w:rsid w:val="00383F4C"/>
    <w:rsid w:val="00383F7E"/>
    <w:rsid w:val="00384270"/>
    <w:rsid w:val="003849C4"/>
    <w:rsid w:val="00385754"/>
    <w:rsid w:val="00386A7B"/>
    <w:rsid w:val="00386AC2"/>
    <w:rsid w:val="00386EF5"/>
    <w:rsid w:val="003871ED"/>
    <w:rsid w:val="00390A83"/>
    <w:rsid w:val="00392121"/>
    <w:rsid w:val="00392A35"/>
    <w:rsid w:val="00393666"/>
    <w:rsid w:val="003942F0"/>
    <w:rsid w:val="003945BF"/>
    <w:rsid w:val="00394A4C"/>
    <w:rsid w:val="00395395"/>
    <w:rsid w:val="0039556A"/>
    <w:rsid w:val="00396BAE"/>
    <w:rsid w:val="00397223"/>
    <w:rsid w:val="003973D0"/>
    <w:rsid w:val="003A0984"/>
    <w:rsid w:val="003A1602"/>
    <w:rsid w:val="003A22FB"/>
    <w:rsid w:val="003A3C43"/>
    <w:rsid w:val="003A4029"/>
    <w:rsid w:val="003A48C4"/>
    <w:rsid w:val="003A5380"/>
    <w:rsid w:val="003A53F7"/>
    <w:rsid w:val="003A5830"/>
    <w:rsid w:val="003A6810"/>
    <w:rsid w:val="003A6BB4"/>
    <w:rsid w:val="003B14E2"/>
    <w:rsid w:val="003B1756"/>
    <w:rsid w:val="003B483A"/>
    <w:rsid w:val="003B4890"/>
    <w:rsid w:val="003B59D4"/>
    <w:rsid w:val="003B6175"/>
    <w:rsid w:val="003B639F"/>
    <w:rsid w:val="003B6CA6"/>
    <w:rsid w:val="003B7955"/>
    <w:rsid w:val="003C02AB"/>
    <w:rsid w:val="003C0776"/>
    <w:rsid w:val="003C0960"/>
    <w:rsid w:val="003C1A26"/>
    <w:rsid w:val="003C2CC4"/>
    <w:rsid w:val="003C39FF"/>
    <w:rsid w:val="003C4DEF"/>
    <w:rsid w:val="003C558C"/>
    <w:rsid w:val="003C6F31"/>
    <w:rsid w:val="003C74C5"/>
    <w:rsid w:val="003C79F3"/>
    <w:rsid w:val="003D022D"/>
    <w:rsid w:val="003D0290"/>
    <w:rsid w:val="003D1310"/>
    <w:rsid w:val="003D1457"/>
    <w:rsid w:val="003D2644"/>
    <w:rsid w:val="003D2AA6"/>
    <w:rsid w:val="003D3CF9"/>
    <w:rsid w:val="003D4143"/>
    <w:rsid w:val="003D446F"/>
    <w:rsid w:val="003D4794"/>
    <w:rsid w:val="003D4B23"/>
    <w:rsid w:val="003D56B0"/>
    <w:rsid w:val="003D5DD4"/>
    <w:rsid w:val="003D6E61"/>
    <w:rsid w:val="003E0DE6"/>
    <w:rsid w:val="003E1596"/>
    <w:rsid w:val="003E1C43"/>
    <w:rsid w:val="003E219E"/>
    <w:rsid w:val="003E22F5"/>
    <w:rsid w:val="003E3065"/>
    <w:rsid w:val="003E3CF4"/>
    <w:rsid w:val="003E3DF3"/>
    <w:rsid w:val="003E493F"/>
    <w:rsid w:val="003E52A2"/>
    <w:rsid w:val="003E58E5"/>
    <w:rsid w:val="003E632E"/>
    <w:rsid w:val="003E64CC"/>
    <w:rsid w:val="003E6D09"/>
    <w:rsid w:val="003E6F7E"/>
    <w:rsid w:val="003E723E"/>
    <w:rsid w:val="003F6100"/>
    <w:rsid w:val="003F7C36"/>
    <w:rsid w:val="00400ACF"/>
    <w:rsid w:val="0040136F"/>
    <w:rsid w:val="00401429"/>
    <w:rsid w:val="004016C9"/>
    <w:rsid w:val="00401BF0"/>
    <w:rsid w:val="00402458"/>
    <w:rsid w:val="00403387"/>
    <w:rsid w:val="00403BAA"/>
    <w:rsid w:val="00403D97"/>
    <w:rsid w:val="0040413A"/>
    <w:rsid w:val="00404D99"/>
    <w:rsid w:val="004050B9"/>
    <w:rsid w:val="00405473"/>
    <w:rsid w:val="00406047"/>
    <w:rsid w:val="0041050D"/>
    <w:rsid w:val="00410C89"/>
    <w:rsid w:val="00410FB0"/>
    <w:rsid w:val="004113B2"/>
    <w:rsid w:val="00412A50"/>
    <w:rsid w:val="004146B6"/>
    <w:rsid w:val="004147D4"/>
    <w:rsid w:val="00414931"/>
    <w:rsid w:val="00414B35"/>
    <w:rsid w:val="00415BA0"/>
    <w:rsid w:val="00416060"/>
    <w:rsid w:val="004175B5"/>
    <w:rsid w:val="0041795A"/>
    <w:rsid w:val="004179B3"/>
    <w:rsid w:val="00420855"/>
    <w:rsid w:val="004223A7"/>
    <w:rsid w:val="00422452"/>
    <w:rsid w:val="004228D5"/>
    <w:rsid w:val="00422E98"/>
    <w:rsid w:val="00422F31"/>
    <w:rsid w:val="00424479"/>
    <w:rsid w:val="00424AD8"/>
    <w:rsid w:val="0042621F"/>
    <w:rsid w:val="00426B9B"/>
    <w:rsid w:val="00427225"/>
    <w:rsid w:val="00427AEB"/>
    <w:rsid w:val="00430F99"/>
    <w:rsid w:val="004311E3"/>
    <w:rsid w:val="00431FE1"/>
    <w:rsid w:val="004325CB"/>
    <w:rsid w:val="004327E0"/>
    <w:rsid w:val="0043291D"/>
    <w:rsid w:val="00432975"/>
    <w:rsid w:val="004331A3"/>
    <w:rsid w:val="004346B9"/>
    <w:rsid w:val="0043559E"/>
    <w:rsid w:val="00435D83"/>
    <w:rsid w:val="00436142"/>
    <w:rsid w:val="004367F0"/>
    <w:rsid w:val="00436B33"/>
    <w:rsid w:val="00440E04"/>
    <w:rsid w:val="0044155F"/>
    <w:rsid w:val="00442A83"/>
    <w:rsid w:val="00442E22"/>
    <w:rsid w:val="00442F2A"/>
    <w:rsid w:val="00443039"/>
    <w:rsid w:val="0044393A"/>
    <w:rsid w:val="00443EE9"/>
    <w:rsid w:val="00446B75"/>
    <w:rsid w:val="00447836"/>
    <w:rsid w:val="00450A3B"/>
    <w:rsid w:val="004514F6"/>
    <w:rsid w:val="004536EF"/>
    <w:rsid w:val="0045495B"/>
    <w:rsid w:val="00455148"/>
    <w:rsid w:val="00455900"/>
    <w:rsid w:val="00455BB4"/>
    <w:rsid w:val="00456152"/>
    <w:rsid w:val="004568BC"/>
    <w:rsid w:val="00456EB9"/>
    <w:rsid w:val="0045741F"/>
    <w:rsid w:val="00457E0B"/>
    <w:rsid w:val="00460E2A"/>
    <w:rsid w:val="00461924"/>
    <w:rsid w:val="00461FD2"/>
    <w:rsid w:val="00466844"/>
    <w:rsid w:val="00466B4C"/>
    <w:rsid w:val="00467903"/>
    <w:rsid w:val="0046795E"/>
    <w:rsid w:val="0047073D"/>
    <w:rsid w:val="00471906"/>
    <w:rsid w:val="0047261F"/>
    <w:rsid w:val="0047326D"/>
    <w:rsid w:val="004734D9"/>
    <w:rsid w:val="00473963"/>
    <w:rsid w:val="004748BA"/>
    <w:rsid w:val="0047713F"/>
    <w:rsid w:val="00481477"/>
    <w:rsid w:val="00481C55"/>
    <w:rsid w:val="004821F5"/>
    <w:rsid w:val="004832AC"/>
    <w:rsid w:val="004838A6"/>
    <w:rsid w:val="00483D1D"/>
    <w:rsid w:val="00483EF4"/>
    <w:rsid w:val="0048400D"/>
    <w:rsid w:val="00484B45"/>
    <w:rsid w:val="0048637B"/>
    <w:rsid w:val="00486873"/>
    <w:rsid w:val="00486877"/>
    <w:rsid w:val="00487256"/>
    <w:rsid w:val="0048737D"/>
    <w:rsid w:val="00487488"/>
    <w:rsid w:val="00491FA5"/>
    <w:rsid w:val="0049219B"/>
    <w:rsid w:val="00493CC2"/>
    <w:rsid w:val="00494846"/>
    <w:rsid w:val="0049638D"/>
    <w:rsid w:val="004976F2"/>
    <w:rsid w:val="004A189A"/>
    <w:rsid w:val="004A2281"/>
    <w:rsid w:val="004A28A7"/>
    <w:rsid w:val="004A28D2"/>
    <w:rsid w:val="004A38FA"/>
    <w:rsid w:val="004A3F45"/>
    <w:rsid w:val="004A58F9"/>
    <w:rsid w:val="004A5C21"/>
    <w:rsid w:val="004B3D5D"/>
    <w:rsid w:val="004B3EB4"/>
    <w:rsid w:val="004B459B"/>
    <w:rsid w:val="004B4963"/>
    <w:rsid w:val="004B7C88"/>
    <w:rsid w:val="004B7D6C"/>
    <w:rsid w:val="004C0353"/>
    <w:rsid w:val="004C0946"/>
    <w:rsid w:val="004C2A01"/>
    <w:rsid w:val="004C30BF"/>
    <w:rsid w:val="004C3EE1"/>
    <w:rsid w:val="004C49B5"/>
    <w:rsid w:val="004C4A2B"/>
    <w:rsid w:val="004C547C"/>
    <w:rsid w:val="004C6269"/>
    <w:rsid w:val="004C69F9"/>
    <w:rsid w:val="004C71A0"/>
    <w:rsid w:val="004D1CEB"/>
    <w:rsid w:val="004D2F1B"/>
    <w:rsid w:val="004D3837"/>
    <w:rsid w:val="004D401C"/>
    <w:rsid w:val="004D4AAD"/>
    <w:rsid w:val="004D513B"/>
    <w:rsid w:val="004D5BEC"/>
    <w:rsid w:val="004D71B4"/>
    <w:rsid w:val="004D72AD"/>
    <w:rsid w:val="004E1541"/>
    <w:rsid w:val="004E19C7"/>
    <w:rsid w:val="004E1FF5"/>
    <w:rsid w:val="004E2AAE"/>
    <w:rsid w:val="004E37AA"/>
    <w:rsid w:val="004E3FD1"/>
    <w:rsid w:val="004E4D62"/>
    <w:rsid w:val="004E617F"/>
    <w:rsid w:val="004E64A6"/>
    <w:rsid w:val="004E7CA8"/>
    <w:rsid w:val="004F069C"/>
    <w:rsid w:val="004F2AB1"/>
    <w:rsid w:val="004F5078"/>
    <w:rsid w:val="004F56A1"/>
    <w:rsid w:val="004F68E5"/>
    <w:rsid w:val="004F7C02"/>
    <w:rsid w:val="005001E0"/>
    <w:rsid w:val="0050121C"/>
    <w:rsid w:val="0050139F"/>
    <w:rsid w:val="005015E6"/>
    <w:rsid w:val="0050162B"/>
    <w:rsid w:val="005022F1"/>
    <w:rsid w:val="005038B2"/>
    <w:rsid w:val="0050410E"/>
    <w:rsid w:val="00505549"/>
    <w:rsid w:val="005058FF"/>
    <w:rsid w:val="00511A20"/>
    <w:rsid w:val="00511F0E"/>
    <w:rsid w:val="00512945"/>
    <w:rsid w:val="00512D8B"/>
    <w:rsid w:val="00513196"/>
    <w:rsid w:val="00514916"/>
    <w:rsid w:val="00514BFF"/>
    <w:rsid w:val="00515850"/>
    <w:rsid w:val="005164EC"/>
    <w:rsid w:val="00516701"/>
    <w:rsid w:val="00516A5D"/>
    <w:rsid w:val="00516A6A"/>
    <w:rsid w:val="0052066F"/>
    <w:rsid w:val="00520C9E"/>
    <w:rsid w:val="0052136D"/>
    <w:rsid w:val="0052352A"/>
    <w:rsid w:val="00523547"/>
    <w:rsid w:val="0052434D"/>
    <w:rsid w:val="00524C98"/>
    <w:rsid w:val="00525395"/>
    <w:rsid w:val="00526E19"/>
    <w:rsid w:val="00527468"/>
    <w:rsid w:val="0052775E"/>
    <w:rsid w:val="00527B53"/>
    <w:rsid w:val="00530F9C"/>
    <w:rsid w:val="005316CD"/>
    <w:rsid w:val="00531F54"/>
    <w:rsid w:val="00532EB6"/>
    <w:rsid w:val="00533633"/>
    <w:rsid w:val="00533CAC"/>
    <w:rsid w:val="00533EFD"/>
    <w:rsid w:val="00534179"/>
    <w:rsid w:val="005409DC"/>
    <w:rsid w:val="005420F2"/>
    <w:rsid w:val="005424B6"/>
    <w:rsid w:val="00542BC7"/>
    <w:rsid w:val="0054316F"/>
    <w:rsid w:val="005479E7"/>
    <w:rsid w:val="00547A47"/>
    <w:rsid w:val="00547B4A"/>
    <w:rsid w:val="00550BDA"/>
    <w:rsid w:val="00550D3B"/>
    <w:rsid w:val="005519D0"/>
    <w:rsid w:val="00552689"/>
    <w:rsid w:val="00553373"/>
    <w:rsid w:val="00553EA9"/>
    <w:rsid w:val="005541A6"/>
    <w:rsid w:val="005545F1"/>
    <w:rsid w:val="0055534D"/>
    <w:rsid w:val="0055550E"/>
    <w:rsid w:val="0055703E"/>
    <w:rsid w:val="005571DA"/>
    <w:rsid w:val="005577F5"/>
    <w:rsid w:val="0055790C"/>
    <w:rsid w:val="00560D05"/>
    <w:rsid w:val="005618F9"/>
    <w:rsid w:val="0056233D"/>
    <w:rsid w:val="005628B6"/>
    <w:rsid w:val="00562B61"/>
    <w:rsid w:val="00562F4D"/>
    <w:rsid w:val="00564714"/>
    <w:rsid w:val="005655F7"/>
    <w:rsid w:val="00565779"/>
    <w:rsid w:val="00565EA8"/>
    <w:rsid w:val="0056624F"/>
    <w:rsid w:val="005704D1"/>
    <w:rsid w:val="0057161F"/>
    <w:rsid w:val="00571BB4"/>
    <w:rsid w:val="00571CA9"/>
    <w:rsid w:val="005722B3"/>
    <w:rsid w:val="0057376F"/>
    <w:rsid w:val="0057407A"/>
    <w:rsid w:val="0057414A"/>
    <w:rsid w:val="0057494C"/>
    <w:rsid w:val="00574EB0"/>
    <w:rsid w:val="00580700"/>
    <w:rsid w:val="005814A2"/>
    <w:rsid w:val="005840A6"/>
    <w:rsid w:val="0058470A"/>
    <w:rsid w:val="005848B3"/>
    <w:rsid w:val="005853D7"/>
    <w:rsid w:val="00585952"/>
    <w:rsid w:val="00585B4E"/>
    <w:rsid w:val="00586059"/>
    <w:rsid w:val="00586ABA"/>
    <w:rsid w:val="0058726B"/>
    <w:rsid w:val="005905E2"/>
    <w:rsid w:val="00590F87"/>
    <w:rsid w:val="005928DF"/>
    <w:rsid w:val="00592C4A"/>
    <w:rsid w:val="00592C4B"/>
    <w:rsid w:val="00592D66"/>
    <w:rsid w:val="00592EFD"/>
    <w:rsid w:val="00594628"/>
    <w:rsid w:val="00594CF0"/>
    <w:rsid w:val="00595476"/>
    <w:rsid w:val="00596EFC"/>
    <w:rsid w:val="00597BF3"/>
    <w:rsid w:val="00597E6E"/>
    <w:rsid w:val="005A0291"/>
    <w:rsid w:val="005A02CA"/>
    <w:rsid w:val="005A0312"/>
    <w:rsid w:val="005A0327"/>
    <w:rsid w:val="005A0415"/>
    <w:rsid w:val="005A084E"/>
    <w:rsid w:val="005A0C1C"/>
    <w:rsid w:val="005A0DD8"/>
    <w:rsid w:val="005A104A"/>
    <w:rsid w:val="005A15B5"/>
    <w:rsid w:val="005A1B1D"/>
    <w:rsid w:val="005A2F4B"/>
    <w:rsid w:val="005A3A88"/>
    <w:rsid w:val="005A3B8B"/>
    <w:rsid w:val="005A3B99"/>
    <w:rsid w:val="005A4012"/>
    <w:rsid w:val="005A43DB"/>
    <w:rsid w:val="005A4888"/>
    <w:rsid w:val="005A533E"/>
    <w:rsid w:val="005A72E7"/>
    <w:rsid w:val="005A7430"/>
    <w:rsid w:val="005A7454"/>
    <w:rsid w:val="005A7C89"/>
    <w:rsid w:val="005A7F8F"/>
    <w:rsid w:val="005B180A"/>
    <w:rsid w:val="005B31F6"/>
    <w:rsid w:val="005B3C41"/>
    <w:rsid w:val="005B3DB3"/>
    <w:rsid w:val="005B47D5"/>
    <w:rsid w:val="005B5F27"/>
    <w:rsid w:val="005B6292"/>
    <w:rsid w:val="005C03EB"/>
    <w:rsid w:val="005C0CF6"/>
    <w:rsid w:val="005C0FC8"/>
    <w:rsid w:val="005C14E0"/>
    <w:rsid w:val="005C1CC7"/>
    <w:rsid w:val="005C280C"/>
    <w:rsid w:val="005C4358"/>
    <w:rsid w:val="005C458B"/>
    <w:rsid w:val="005C4D93"/>
    <w:rsid w:val="005C53D3"/>
    <w:rsid w:val="005C5760"/>
    <w:rsid w:val="005C674E"/>
    <w:rsid w:val="005C6B65"/>
    <w:rsid w:val="005C6C4F"/>
    <w:rsid w:val="005C6D98"/>
    <w:rsid w:val="005C70F7"/>
    <w:rsid w:val="005C7BB2"/>
    <w:rsid w:val="005D0E65"/>
    <w:rsid w:val="005D2B66"/>
    <w:rsid w:val="005D2DFC"/>
    <w:rsid w:val="005D3075"/>
    <w:rsid w:val="005D30B8"/>
    <w:rsid w:val="005D3F18"/>
    <w:rsid w:val="005D3FB5"/>
    <w:rsid w:val="005D4877"/>
    <w:rsid w:val="005D4A98"/>
    <w:rsid w:val="005D542D"/>
    <w:rsid w:val="005D5721"/>
    <w:rsid w:val="005D5AF5"/>
    <w:rsid w:val="005D5F52"/>
    <w:rsid w:val="005D5FE7"/>
    <w:rsid w:val="005D6D72"/>
    <w:rsid w:val="005D763C"/>
    <w:rsid w:val="005D7B9A"/>
    <w:rsid w:val="005E01D5"/>
    <w:rsid w:val="005E06C2"/>
    <w:rsid w:val="005E111E"/>
    <w:rsid w:val="005E1C0D"/>
    <w:rsid w:val="005E248E"/>
    <w:rsid w:val="005E2D2C"/>
    <w:rsid w:val="005E2E34"/>
    <w:rsid w:val="005E3F67"/>
    <w:rsid w:val="005E40A3"/>
    <w:rsid w:val="005E40FD"/>
    <w:rsid w:val="005E4BCE"/>
    <w:rsid w:val="005E4E4D"/>
    <w:rsid w:val="005E4FFC"/>
    <w:rsid w:val="005E5034"/>
    <w:rsid w:val="005E783D"/>
    <w:rsid w:val="005E7981"/>
    <w:rsid w:val="005F1B2D"/>
    <w:rsid w:val="005F494A"/>
    <w:rsid w:val="005F5024"/>
    <w:rsid w:val="005F5699"/>
    <w:rsid w:val="005F575F"/>
    <w:rsid w:val="005F57AD"/>
    <w:rsid w:val="005F7079"/>
    <w:rsid w:val="005F7717"/>
    <w:rsid w:val="005F7B75"/>
    <w:rsid w:val="005F7F93"/>
    <w:rsid w:val="0060017C"/>
    <w:rsid w:val="006001EE"/>
    <w:rsid w:val="00600DB9"/>
    <w:rsid w:val="00601CA8"/>
    <w:rsid w:val="00602B75"/>
    <w:rsid w:val="006032B5"/>
    <w:rsid w:val="00603976"/>
    <w:rsid w:val="00603DAF"/>
    <w:rsid w:val="00604415"/>
    <w:rsid w:val="00605042"/>
    <w:rsid w:val="00606B2B"/>
    <w:rsid w:val="00606C6D"/>
    <w:rsid w:val="0060740D"/>
    <w:rsid w:val="00607635"/>
    <w:rsid w:val="0061047C"/>
    <w:rsid w:val="0061115C"/>
    <w:rsid w:val="00611FC4"/>
    <w:rsid w:val="006123D4"/>
    <w:rsid w:val="00613963"/>
    <w:rsid w:val="00614C50"/>
    <w:rsid w:val="00616894"/>
    <w:rsid w:val="006176FB"/>
    <w:rsid w:val="00621D84"/>
    <w:rsid w:val="00621DE8"/>
    <w:rsid w:val="00622E3D"/>
    <w:rsid w:val="00623021"/>
    <w:rsid w:val="00623866"/>
    <w:rsid w:val="00623C4A"/>
    <w:rsid w:val="00624677"/>
    <w:rsid w:val="00624F12"/>
    <w:rsid w:val="006258F4"/>
    <w:rsid w:val="00625FB0"/>
    <w:rsid w:val="006260B2"/>
    <w:rsid w:val="006264FB"/>
    <w:rsid w:val="00626D71"/>
    <w:rsid w:val="006274AD"/>
    <w:rsid w:val="00627697"/>
    <w:rsid w:val="00627FB0"/>
    <w:rsid w:val="00630676"/>
    <w:rsid w:val="00631010"/>
    <w:rsid w:val="00632287"/>
    <w:rsid w:val="006343E4"/>
    <w:rsid w:val="00635006"/>
    <w:rsid w:val="00635E3B"/>
    <w:rsid w:val="006365F5"/>
    <w:rsid w:val="00636CE7"/>
    <w:rsid w:val="00636EFE"/>
    <w:rsid w:val="006405BC"/>
    <w:rsid w:val="00640B26"/>
    <w:rsid w:val="0064129E"/>
    <w:rsid w:val="0064133F"/>
    <w:rsid w:val="0064226F"/>
    <w:rsid w:val="00645412"/>
    <w:rsid w:val="00645F22"/>
    <w:rsid w:val="00647603"/>
    <w:rsid w:val="006478E6"/>
    <w:rsid w:val="006503B2"/>
    <w:rsid w:val="00652D0A"/>
    <w:rsid w:val="00654341"/>
    <w:rsid w:val="00654777"/>
    <w:rsid w:val="006572E9"/>
    <w:rsid w:val="0065732B"/>
    <w:rsid w:val="006574FE"/>
    <w:rsid w:val="00657E81"/>
    <w:rsid w:val="00661597"/>
    <w:rsid w:val="006617E2"/>
    <w:rsid w:val="006619EB"/>
    <w:rsid w:val="00662BB6"/>
    <w:rsid w:val="00664204"/>
    <w:rsid w:val="0066475C"/>
    <w:rsid w:val="00664C49"/>
    <w:rsid w:val="00665129"/>
    <w:rsid w:val="00665FB8"/>
    <w:rsid w:val="0066644D"/>
    <w:rsid w:val="00671A10"/>
    <w:rsid w:val="006725A7"/>
    <w:rsid w:val="006729FE"/>
    <w:rsid w:val="00673B41"/>
    <w:rsid w:val="00673CB5"/>
    <w:rsid w:val="00674026"/>
    <w:rsid w:val="00674321"/>
    <w:rsid w:val="006743E9"/>
    <w:rsid w:val="00674D94"/>
    <w:rsid w:val="006752A4"/>
    <w:rsid w:val="0067729C"/>
    <w:rsid w:val="0068043D"/>
    <w:rsid w:val="00680461"/>
    <w:rsid w:val="00682284"/>
    <w:rsid w:val="006838C8"/>
    <w:rsid w:val="00683C4C"/>
    <w:rsid w:val="00683EEF"/>
    <w:rsid w:val="00683EF7"/>
    <w:rsid w:val="00684C21"/>
    <w:rsid w:val="00685105"/>
    <w:rsid w:val="006853D1"/>
    <w:rsid w:val="0068555B"/>
    <w:rsid w:val="0068599A"/>
    <w:rsid w:val="00685A53"/>
    <w:rsid w:val="00685FA6"/>
    <w:rsid w:val="00687350"/>
    <w:rsid w:val="0068743C"/>
    <w:rsid w:val="00687A27"/>
    <w:rsid w:val="00691F84"/>
    <w:rsid w:val="00692BBE"/>
    <w:rsid w:val="00692F9B"/>
    <w:rsid w:val="0069416D"/>
    <w:rsid w:val="00694695"/>
    <w:rsid w:val="00694AE6"/>
    <w:rsid w:val="00696929"/>
    <w:rsid w:val="0069763E"/>
    <w:rsid w:val="006976A6"/>
    <w:rsid w:val="006A0E69"/>
    <w:rsid w:val="006A1764"/>
    <w:rsid w:val="006A1A9B"/>
    <w:rsid w:val="006A24AA"/>
    <w:rsid w:val="006A325A"/>
    <w:rsid w:val="006A53B5"/>
    <w:rsid w:val="006A6790"/>
    <w:rsid w:val="006A703F"/>
    <w:rsid w:val="006A7737"/>
    <w:rsid w:val="006A7B8F"/>
    <w:rsid w:val="006B04B5"/>
    <w:rsid w:val="006B0995"/>
    <w:rsid w:val="006B26CB"/>
    <w:rsid w:val="006B2F54"/>
    <w:rsid w:val="006B3157"/>
    <w:rsid w:val="006B326D"/>
    <w:rsid w:val="006B409F"/>
    <w:rsid w:val="006B4AA4"/>
    <w:rsid w:val="006B5AB9"/>
    <w:rsid w:val="006B5CC6"/>
    <w:rsid w:val="006B6574"/>
    <w:rsid w:val="006B65B2"/>
    <w:rsid w:val="006B740B"/>
    <w:rsid w:val="006C014A"/>
    <w:rsid w:val="006C082A"/>
    <w:rsid w:val="006C32BC"/>
    <w:rsid w:val="006C3A3E"/>
    <w:rsid w:val="006C3AD1"/>
    <w:rsid w:val="006C4833"/>
    <w:rsid w:val="006C4887"/>
    <w:rsid w:val="006C48BB"/>
    <w:rsid w:val="006C692F"/>
    <w:rsid w:val="006C7A23"/>
    <w:rsid w:val="006D18E5"/>
    <w:rsid w:val="006D2401"/>
    <w:rsid w:val="006D241C"/>
    <w:rsid w:val="006D2B97"/>
    <w:rsid w:val="006D37AF"/>
    <w:rsid w:val="006D3D02"/>
    <w:rsid w:val="006D51D0"/>
    <w:rsid w:val="006D59F5"/>
    <w:rsid w:val="006D5FD3"/>
    <w:rsid w:val="006D6694"/>
    <w:rsid w:val="006D75C7"/>
    <w:rsid w:val="006E0BAF"/>
    <w:rsid w:val="006E1779"/>
    <w:rsid w:val="006E1A90"/>
    <w:rsid w:val="006E1D8A"/>
    <w:rsid w:val="006E3134"/>
    <w:rsid w:val="006E32CE"/>
    <w:rsid w:val="006E34B9"/>
    <w:rsid w:val="006E37EC"/>
    <w:rsid w:val="006E3FDB"/>
    <w:rsid w:val="006E564B"/>
    <w:rsid w:val="006E6797"/>
    <w:rsid w:val="006E6FAF"/>
    <w:rsid w:val="006E7191"/>
    <w:rsid w:val="006E7AF3"/>
    <w:rsid w:val="006F2CD8"/>
    <w:rsid w:val="006F354E"/>
    <w:rsid w:val="006F36AC"/>
    <w:rsid w:val="006F3DA5"/>
    <w:rsid w:val="006F6907"/>
    <w:rsid w:val="006F7622"/>
    <w:rsid w:val="00700A13"/>
    <w:rsid w:val="00700DA3"/>
    <w:rsid w:val="00702085"/>
    <w:rsid w:val="0070353B"/>
    <w:rsid w:val="00703577"/>
    <w:rsid w:val="007052C3"/>
    <w:rsid w:val="007053C1"/>
    <w:rsid w:val="00705625"/>
    <w:rsid w:val="007059E2"/>
    <w:rsid w:val="007113A4"/>
    <w:rsid w:val="00711F00"/>
    <w:rsid w:val="00713546"/>
    <w:rsid w:val="00713B23"/>
    <w:rsid w:val="0071450D"/>
    <w:rsid w:val="00715AD0"/>
    <w:rsid w:val="00717631"/>
    <w:rsid w:val="00720196"/>
    <w:rsid w:val="00720AD4"/>
    <w:rsid w:val="0072149D"/>
    <w:rsid w:val="0072226B"/>
    <w:rsid w:val="0072251A"/>
    <w:rsid w:val="0072352E"/>
    <w:rsid w:val="00725453"/>
    <w:rsid w:val="00725F30"/>
    <w:rsid w:val="0072632A"/>
    <w:rsid w:val="00726F57"/>
    <w:rsid w:val="00727B35"/>
    <w:rsid w:val="007314F3"/>
    <w:rsid w:val="007327D5"/>
    <w:rsid w:val="00732B51"/>
    <w:rsid w:val="00734BAC"/>
    <w:rsid w:val="00735CA1"/>
    <w:rsid w:val="00736E08"/>
    <w:rsid w:val="0073703B"/>
    <w:rsid w:val="00740255"/>
    <w:rsid w:val="007405D8"/>
    <w:rsid w:val="007417BC"/>
    <w:rsid w:val="00743842"/>
    <w:rsid w:val="007439B3"/>
    <w:rsid w:val="00744724"/>
    <w:rsid w:val="00745A0C"/>
    <w:rsid w:val="00745F64"/>
    <w:rsid w:val="00746A50"/>
    <w:rsid w:val="00746BB2"/>
    <w:rsid w:val="00746F1E"/>
    <w:rsid w:val="00751074"/>
    <w:rsid w:val="00751147"/>
    <w:rsid w:val="007523EF"/>
    <w:rsid w:val="00753BA9"/>
    <w:rsid w:val="007550DD"/>
    <w:rsid w:val="007551B4"/>
    <w:rsid w:val="00756A3F"/>
    <w:rsid w:val="0076033B"/>
    <w:rsid w:val="00760F53"/>
    <w:rsid w:val="007624CA"/>
    <w:rsid w:val="007627EE"/>
    <w:rsid w:val="007629C8"/>
    <w:rsid w:val="00764878"/>
    <w:rsid w:val="00764914"/>
    <w:rsid w:val="0076609B"/>
    <w:rsid w:val="00767016"/>
    <w:rsid w:val="007709DF"/>
    <w:rsid w:val="007723A1"/>
    <w:rsid w:val="00772C49"/>
    <w:rsid w:val="00775788"/>
    <w:rsid w:val="007757D4"/>
    <w:rsid w:val="00776265"/>
    <w:rsid w:val="0077671F"/>
    <w:rsid w:val="00777DF8"/>
    <w:rsid w:val="007812BA"/>
    <w:rsid w:val="007818F4"/>
    <w:rsid w:val="00781C83"/>
    <w:rsid w:val="007826F5"/>
    <w:rsid w:val="00782F90"/>
    <w:rsid w:val="0078300D"/>
    <w:rsid w:val="00783760"/>
    <w:rsid w:val="00784231"/>
    <w:rsid w:val="00784BCF"/>
    <w:rsid w:val="00784C71"/>
    <w:rsid w:val="00785247"/>
    <w:rsid w:val="00785623"/>
    <w:rsid w:val="007868E9"/>
    <w:rsid w:val="00786EFA"/>
    <w:rsid w:val="00786F3A"/>
    <w:rsid w:val="00787E5D"/>
    <w:rsid w:val="0079151D"/>
    <w:rsid w:val="00791C81"/>
    <w:rsid w:val="007925AE"/>
    <w:rsid w:val="00794B4A"/>
    <w:rsid w:val="00795508"/>
    <w:rsid w:val="00795F7A"/>
    <w:rsid w:val="007965DB"/>
    <w:rsid w:val="007966A8"/>
    <w:rsid w:val="0079773D"/>
    <w:rsid w:val="007A0459"/>
    <w:rsid w:val="007A102A"/>
    <w:rsid w:val="007A1319"/>
    <w:rsid w:val="007A26E3"/>
    <w:rsid w:val="007A2815"/>
    <w:rsid w:val="007A401C"/>
    <w:rsid w:val="007A4383"/>
    <w:rsid w:val="007A5798"/>
    <w:rsid w:val="007A7897"/>
    <w:rsid w:val="007B0D02"/>
    <w:rsid w:val="007B19F4"/>
    <w:rsid w:val="007B1D5B"/>
    <w:rsid w:val="007B1E62"/>
    <w:rsid w:val="007B3C73"/>
    <w:rsid w:val="007B415A"/>
    <w:rsid w:val="007B5249"/>
    <w:rsid w:val="007B5F65"/>
    <w:rsid w:val="007B6A5D"/>
    <w:rsid w:val="007B6BA5"/>
    <w:rsid w:val="007C1857"/>
    <w:rsid w:val="007C203A"/>
    <w:rsid w:val="007C3390"/>
    <w:rsid w:val="007C3A7C"/>
    <w:rsid w:val="007C3D25"/>
    <w:rsid w:val="007C3F74"/>
    <w:rsid w:val="007C3FFB"/>
    <w:rsid w:val="007C4F4B"/>
    <w:rsid w:val="007C5032"/>
    <w:rsid w:val="007C58E8"/>
    <w:rsid w:val="007C73E0"/>
    <w:rsid w:val="007C784F"/>
    <w:rsid w:val="007C7C57"/>
    <w:rsid w:val="007D0063"/>
    <w:rsid w:val="007D0270"/>
    <w:rsid w:val="007D0C56"/>
    <w:rsid w:val="007D126C"/>
    <w:rsid w:val="007D18F4"/>
    <w:rsid w:val="007D2C41"/>
    <w:rsid w:val="007D3316"/>
    <w:rsid w:val="007D3677"/>
    <w:rsid w:val="007D42B0"/>
    <w:rsid w:val="007D4542"/>
    <w:rsid w:val="007D5803"/>
    <w:rsid w:val="007E0392"/>
    <w:rsid w:val="007E0821"/>
    <w:rsid w:val="007E0B2D"/>
    <w:rsid w:val="007E1318"/>
    <w:rsid w:val="007E16D9"/>
    <w:rsid w:val="007E3050"/>
    <w:rsid w:val="007E32DC"/>
    <w:rsid w:val="007E3DF7"/>
    <w:rsid w:val="007E3E13"/>
    <w:rsid w:val="007E5179"/>
    <w:rsid w:val="007E5732"/>
    <w:rsid w:val="007E6F98"/>
    <w:rsid w:val="007E7711"/>
    <w:rsid w:val="007F0685"/>
    <w:rsid w:val="007F1247"/>
    <w:rsid w:val="007F1E75"/>
    <w:rsid w:val="007F31D9"/>
    <w:rsid w:val="007F3A2C"/>
    <w:rsid w:val="007F5739"/>
    <w:rsid w:val="007F5AA8"/>
    <w:rsid w:val="007F6611"/>
    <w:rsid w:val="007F7246"/>
    <w:rsid w:val="007F75D2"/>
    <w:rsid w:val="007F7E17"/>
    <w:rsid w:val="00801CBF"/>
    <w:rsid w:val="008022BF"/>
    <w:rsid w:val="00803B8A"/>
    <w:rsid w:val="00803EEC"/>
    <w:rsid w:val="00805DB5"/>
    <w:rsid w:val="00806AAA"/>
    <w:rsid w:val="008076A7"/>
    <w:rsid w:val="008105B8"/>
    <w:rsid w:val="00810C74"/>
    <w:rsid w:val="008111BA"/>
    <w:rsid w:val="0081272A"/>
    <w:rsid w:val="00812971"/>
    <w:rsid w:val="0081367C"/>
    <w:rsid w:val="00813793"/>
    <w:rsid w:val="008137AB"/>
    <w:rsid w:val="00814F95"/>
    <w:rsid w:val="00815225"/>
    <w:rsid w:val="0081534F"/>
    <w:rsid w:val="0081547F"/>
    <w:rsid w:val="00815845"/>
    <w:rsid w:val="00815ADE"/>
    <w:rsid w:val="00815C52"/>
    <w:rsid w:val="008163F8"/>
    <w:rsid w:val="00816874"/>
    <w:rsid w:val="00816972"/>
    <w:rsid w:val="0081741E"/>
    <w:rsid w:val="0081770E"/>
    <w:rsid w:val="00817C33"/>
    <w:rsid w:val="00817CEF"/>
    <w:rsid w:val="008209AB"/>
    <w:rsid w:val="008216A5"/>
    <w:rsid w:val="00821A8D"/>
    <w:rsid w:val="00821FEC"/>
    <w:rsid w:val="00822EBB"/>
    <w:rsid w:val="008242D7"/>
    <w:rsid w:val="00824F1B"/>
    <w:rsid w:val="00825659"/>
    <w:rsid w:val="00825674"/>
    <w:rsid w:val="008257B1"/>
    <w:rsid w:val="00825B61"/>
    <w:rsid w:val="00825F45"/>
    <w:rsid w:val="00826086"/>
    <w:rsid w:val="00827317"/>
    <w:rsid w:val="008274A4"/>
    <w:rsid w:val="0083016A"/>
    <w:rsid w:val="008310C1"/>
    <w:rsid w:val="008310F0"/>
    <w:rsid w:val="008320F6"/>
    <w:rsid w:val="00833415"/>
    <w:rsid w:val="00833511"/>
    <w:rsid w:val="00834953"/>
    <w:rsid w:val="00840104"/>
    <w:rsid w:val="0084035B"/>
    <w:rsid w:val="00840D02"/>
    <w:rsid w:val="0084126F"/>
    <w:rsid w:val="00841306"/>
    <w:rsid w:val="0084283A"/>
    <w:rsid w:val="008428C9"/>
    <w:rsid w:val="008429BD"/>
    <w:rsid w:val="00843767"/>
    <w:rsid w:val="008445F2"/>
    <w:rsid w:val="008455DA"/>
    <w:rsid w:val="00845FA8"/>
    <w:rsid w:val="00846523"/>
    <w:rsid w:val="00846DA4"/>
    <w:rsid w:val="00846ED4"/>
    <w:rsid w:val="00851259"/>
    <w:rsid w:val="008528FD"/>
    <w:rsid w:val="00852B57"/>
    <w:rsid w:val="008538BE"/>
    <w:rsid w:val="00854353"/>
    <w:rsid w:val="00855DD9"/>
    <w:rsid w:val="008579E7"/>
    <w:rsid w:val="00857E2C"/>
    <w:rsid w:val="008609AA"/>
    <w:rsid w:val="008621E0"/>
    <w:rsid w:val="00862362"/>
    <w:rsid w:val="0086254A"/>
    <w:rsid w:val="00862B39"/>
    <w:rsid w:val="008641D8"/>
    <w:rsid w:val="00864DA1"/>
    <w:rsid w:val="008655A1"/>
    <w:rsid w:val="008655A9"/>
    <w:rsid w:val="008658CB"/>
    <w:rsid w:val="00865FDE"/>
    <w:rsid w:val="0086733B"/>
    <w:rsid w:val="00867815"/>
    <w:rsid w:val="008678D8"/>
    <w:rsid w:val="008679D9"/>
    <w:rsid w:val="00870E05"/>
    <w:rsid w:val="00871051"/>
    <w:rsid w:val="00871842"/>
    <w:rsid w:val="0087204B"/>
    <w:rsid w:val="008734FE"/>
    <w:rsid w:val="00874CAC"/>
    <w:rsid w:val="00875BCE"/>
    <w:rsid w:val="00875FE5"/>
    <w:rsid w:val="008809FB"/>
    <w:rsid w:val="00880F4C"/>
    <w:rsid w:val="008815B4"/>
    <w:rsid w:val="008817F2"/>
    <w:rsid w:val="00883D53"/>
    <w:rsid w:val="008840E2"/>
    <w:rsid w:val="00884110"/>
    <w:rsid w:val="008854BE"/>
    <w:rsid w:val="00885BF6"/>
    <w:rsid w:val="00885F41"/>
    <w:rsid w:val="0088636B"/>
    <w:rsid w:val="00886FFA"/>
    <w:rsid w:val="00890549"/>
    <w:rsid w:val="008908B6"/>
    <w:rsid w:val="0089139E"/>
    <w:rsid w:val="00891599"/>
    <w:rsid w:val="00891D2C"/>
    <w:rsid w:val="008926B5"/>
    <w:rsid w:val="0089456C"/>
    <w:rsid w:val="00894F8B"/>
    <w:rsid w:val="00895430"/>
    <w:rsid w:val="008955B9"/>
    <w:rsid w:val="00895ABC"/>
    <w:rsid w:val="00896C4D"/>
    <w:rsid w:val="008975D6"/>
    <w:rsid w:val="008979B1"/>
    <w:rsid w:val="00897B0D"/>
    <w:rsid w:val="008A04DC"/>
    <w:rsid w:val="008A0CAF"/>
    <w:rsid w:val="008A10D2"/>
    <w:rsid w:val="008A1DB2"/>
    <w:rsid w:val="008A2431"/>
    <w:rsid w:val="008A2621"/>
    <w:rsid w:val="008A2B09"/>
    <w:rsid w:val="008A3FC1"/>
    <w:rsid w:val="008A4733"/>
    <w:rsid w:val="008A5196"/>
    <w:rsid w:val="008A539E"/>
    <w:rsid w:val="008A61F6"/>
    <w:rsid w:val="008A62CB"/>
    <w:rsid w:val="008A6B25"/>
    <w:rsid w:val="008A6BB4"/>
    <w:rsid w:val="008A6C4F"/>
    <w:rsid w:val="008A778A"/>
    <w:rsid w:val="008B1EE4"/>
    <w:rsid w:val="008B2335"/>
    <w:rsid w:val="008B2485"/>
    <w:rsid w:val="008B388D"/>
    <w:rsid w:val="008B3D95"/>
    <w:rsid w:val="008B6178"/>
    <w:rsid w:val="008C010E"/>
    <w:rsid w:val="008C017D"/>
    <w:rsid w:val="008C0E41"/>
    <w:rsid w:val="008C2D4A"/>
    <w:rsid w:val="008C392A"/>
    <w:rsid w:val="008C4351"/>
    <w:rsid w:val="008C4EDC"/>
    <w:rsid w:val="008C53BE"/>
    <w:rsid w:val="008D0FBA"/>
    <w:rsid w:val="008D1459"/>
    <w:rsid w:val="008D2503"/>
    <w:rsid w:val="008D259B"/>
    <w:rsid w:val="008D3586"/>
    <w:rsid w:val="008D38F3"/>
    <w:rsid w:val="008D3AD8"/>
    <w:rsid w:val="008D3C13"/>
    <w:rsid w:val="008D4A3E"/>
    <w:rsid w:val="008D4BF5"/>
    <w:rsid w:val="008D4D0B"/>
    <w:rsid w:val="008D4DE1"/>
    <w:rsid w:val="008D52B1"/>
    <w:rsid w:val="008D5553"/>
    <w:rsid w:val="008D5CEF"/>
    <w:rsid w:val="008D7306"/>
    <w:rsid w:val="008E0104"/>
    <w:rsid w:val="008E0678"/>
    <w:rsid w:val="008E1567"/>
    <w:rsid w:val="008E1643"/>
    <w:rsid w:val="008E1FE2"/>
    <w:rsid w:val="008E27EC"/>
    <w:rsid w:val="008E29F8"/>
    <w:rsid w:val="008E3011"/>
    <w:rsid w:val="008E36FD"/>
    <w:rsid w:val="008E39CC"/>
    <w:rsid w:val="008E4C4F"/>
    <w:rsid w:val="008E5320"/>
    <w:rsid w:val="008E6A47"/>
    <w:rsid w:val="008E7478"/>
    <w:rsid w:val="008E7D8C"/>
    <w:rsid w:val="008F046C"/>
    <w:rsid w:val="008F11A1"/>
    <w:rsid w:val="008F142A"/>
    <w:rsid w:val="008F1D58"/>
    <w:rsid w:val="008F2587"/>
    <w:rsid w:val="008F34D7"/>
    <w:rsid w:val="008F454C"/>
    <w:rsid w:val="008F4AF5"/>
    <w:rsid w:val="008F4C04"/>
    <w:rsid w:val="008F5E7A"/>
    <w:rsid w:val="008F6CC3"/>
    <w:rsid w:val="008F6D68"/>
    <w:rsid w:val="008F78BA"/>
    <w:rsid w:val="008F7EF1"/>
    <w:rsid w:val="00900EB6"/>
    <w:rsid w:val="00901BD1"/>
    <w:rsid w:val="00901CCF"/>
    <w:rsid w:val="0090237B"/>
    <w:rsid w:val="00902668"/>
    <w:rsid w:val="00902941"/>
    <w:rsid w:val="00902FE8"/>
    <w:rsid w:val="00903876"/>
    <w:rsid w:val="0090418F"/>
    <w:rsid w:val="0090577F"/>
    <w:rsid w:val="0090596D"/>
    <w:rsid w:val="00905BF9"/>
    <w:rsid w:val="00905FD2"/>
    <w:rsid w:val="009067DD"/>
    <w:rsid w:val="00910F40"/>
    <w:rsid w:val="00911303"/>
    <w:rsid w:val="00912256"/>
    <w:rsid w:val="009124B3"/>
    <w:rsid w:val="00912962"/>
    <w:rsid w:val="00912C08"/>
    <w:rsid w:val="00913616"/>
    <w:rsid w:val="00913F5E"/>
    <w:rsid w:val="0091460C"/>
    <w:rsid w:val="00914B6E"/>
    <w:rsid w:val="009152C3"/>
    <w:rsid w:val="00916567"/>
    <w:rsid w:val="0092032C"/>
    <w:rsid w:val="00921032"/>
    <w:rsid w:val="009223CA"/>
    <w:rsid w:val="00924A12"/>
    <w:rsid w:val="00925889"/>
    <w:rsid w:val="00927D09"/>
    <w:rsid w:val="00930D71"/>
    <w:rsid w:val="009320CC"/>
    <w:rsid w:val="009331C0"/>
    <w:rsid w:val="00933FE8"/>
    <w:rsid w:val="0093413A"/>
    <w:rsid w:val="00934AB2"/>
    <w:rsid w:val="0093571E"/>
    <w:rsid w:val="00935941"/>
    <w:rsid w:val="00936533"/>
    <w:rsid w:val="0093723F"/>
    <w:rsid w:val="0093754A"/>
    <w:rsid w:val="00937974"/>
    <w:rsid w:val="00940F93"/>
    <w:rsid w:val="00941AB8"/>
    <w:rsid w:val="00942060"/>
    <w:rsid w:val="0094236B"/>
    <w:rsid w:val="00943FBA"/>
    <w:rsid w:val="00945A23"/>
    <w:rsid w:val="00945E29"/>
    <w:rsid w:val="0094712A"/>
    <w:rsid w:val="009502AF"/>
    <w:rsid w:val="00950AF4"/>
    <w:rsid w:val="0095105A"/>
    <w:rsid w:val="0095140C"/>
    <w:rsid w:val="00951522"/>
    <w:rsid w:val="00951A9F"/>
    <w:rsid w:val="00951EAC"/>
    <w:rsid w:val="00952427"/>
    <w:rsid w:val="00952EDF"/>
    <w:rsid w:val="0095347F"/>
    <w:rsid w:val="0095403A"/>
    <w:rsid w:val="00955194"/>
    <w:rsid w:val="00955F34"/>
    <w:rsid w:val="009568BE"/>
    <w:rsid w:val="00956A6B"/>
    <w:rsid w:val="00956AB0"/>
    <w:rsid w:val="0095745B"/>
    <w:rsid w:val="00961BCB"/>
    <w:rsid w:val="00962B3A"/>
    <w:rsid w:val="0096476B"/>
    <w:rsid w:val="00964C85"/>
    <w:rsid w:val="00964E2E"/>
    <w:rsid w:val="00965361"/>
    <w:rsid w:val="009669EA"/>
    <w:rsid w:val="00966D7C"/>
    <w:rsid w:val="00966DDD"/>
    <w:rsid w:val="00967F59"/>
    <w:rsid w:val="009701C4"/>
    <w:rsid w:val="00970A75"/>
    <w:rsid w:val="00971C45"/>
    <w:rsid w:val="0097200E"/>
    <w:rsid w:val="00972495"/>
    <w:rsid w:val="009735A8"/>
    <w:rsid w:val="009735EF"/>
    <w:rsid w:val="00973B67"/>
    <w:rsid w:val="009740CC"/>
    <w:rsid w:val="00974A2F"/>
    <w:rsid w:val="00974EF5"/>
    <w:rsid w:val="00975230"/>
    <w:rsid w:val="009756DC"/>
    <w:rsid w:val="009759CB"/>
    <w:rsid w:val="00975C63"/>
    <w:rsid w:val="00975C94"/>
    <w:rsid w:val="00975E5F"/>
    <w:rsid w:val="009760F3"/>
    <w:rsid w:val="00980F20"/>
    <w:rsid w:val="009812E7"/>
    <w:rsid w:val="00983C0B"/>
    <w:rsid w:val="009842D9"/>
    <w:rsid w:val="00984A06"/>
    <w:rsid w:val="00985506"/>
    <w:rsid w:val="00985865"/>
    <w:rsid w:val="009862A4"/>
    <w:rsid w:val="009863EF"/>
    <w:rsid w:val="009901E3"/>
    <w:rsid w:val="00990941"/>
    <w:rsid w:val="009909F5"/>
    <w:rsid w:val="009923BF"/>
    <w:rsid w:val="0099366E"/>
    <w:rsid w:val="00993D77"/>
    <w:rsid w:val="009949A1"/>
    <w:rsid w:val="00997A0C"/>
    <w:rsid w:val="009A01E5"/>
    <w:rsid w:val="009A0E8D"/>
    <w:rsid w:val="009A1452"/>
    <w:rsid w:val="009A1825"/>
    <w:rsid w:val="009A446A"/>
    <w:rsid w:val="009A46D6"/>
    <w:rsid w:val="009A56EA"/>
    <w:rsid w:val="009A5E1E"/>
    <w:rsid w:val="009A6988"/>
    <w:rsid w:val="009A7439"/>
    <w:rsid w:val="009B05F6"/>
    <w:rsid w:val="009B2086"/>
    <w:rsid w:val="009B262C"/>
    <w:rsid w:val="009B26E7"/>
    <w:rsid w:val="009B2CFB"/>
    <w:rsid w:val="009B2EF2"/>
    <w:rsid w:val="009B3B6D"/>
    <w:rsid w:val="009B52DC"/>
    <w:rsid w:val="009B6134"/>
    <w:rsid w:val="009B63C7"/>
    <w:rsid w:val="009B685A"/>
    <w:rsid w:val="009B773A"/>
    <w:rsid w:val="009C009B"/>
    <w:rsid w:val="009C00AE"/>
    <w:rsid w:val="009C2850"/>
    <w:rsid w:val="009C2B94"/>
    <w:rsid w:val="009C2C0D"/>
    <w:rsid w:val="009C312E"/>
    <w:rsid w:val="009C4874"/>
    <w:rsid w:val="009C5E5A"/>
    <w:rsid w:val="009C6AEC"/>
    <w:rsid w:val="009C77E5"/>
    <w:rsid w:val="009C7EFD"/>
    <w:rsid w:val="009D04AC"/>
    <w:rsid w:val="009D065F"/>
    <w:rsid w:val="009D0B1B"/>
    <w:rsid w:val="009D1CB1"/>
    <w:rsid w:val="009D1D59"/>
    <w:rsid w:val="009D22A2"/>
    <w:rsid w:val="009D26D2"/>
    <w:rsid w:val="009D28AB"/>
    <w:rsid w:val="009D2DC6"/>
    <w:rsid w:val="009D4BB8"/>
    <w:rsid w:val="009D5361"/>
    <w:rsid w:val="009D5673"/>
    <w:rsid w:val="009D637D"/>
    <w:rsid w:val="009D6527"/>
    <w:rsid w:val="009D76B0"/>
    <w:rsid w:val="009D7894"/>
    <w:rsid w:val="009D7E85"/>
    <w:rsid w:val="009D7E99"/>
    <w:rsid w:val="009E11CB"/>
    <w:rsid w:val="009E11E4"/>
    <w:rsid w:val="009E2898"/>
    <w:rsid w:val="009E2F54"/>
    <w:rsid w:val="009E36BD"/>
    <w:rsid w:val="009E445F"/>
    <w:rsid w:val="009E577B"/>
    <w:rsid w:val="009E6A7F"/>
    <w:rsid w:val="009E6CCC"/>
    <w:rsid w:val="009E74F7"/>
    <w:rsid w:val="009E7D26"/>
    <w:rsid w:val="009F043F"/>
    <w:rsid w:val="009F08B1"/>
    <w:rsid w:val="009F192B"/>
    <w:rsid w:val="009F29BF"/>
    <w:rsid w:val="009F2AC1"/>
    <w:rsid w:val="009F3272"/>
    <w:rsid w:val="009F40E9"/>
    <w:rsid w:val="009F5905"/>
    <w:rsid w:val="009F5D91"/>
    <w:rsid w:val="009F7B57"/>
    <w:rsid w:val="00A004B1"/>
    <w:rsid w:val="00A00A3F"/>
    <w:rsid w:val="00A010AD"/>
    <w:rsid w:val="00A012C3"/>
    <w:rsid w:val="00A01489"/>
    <w:rsid w:val="00A01E7F"/>
    <w:rsid w:val="00A030AB"/>
    <w:rsid w:val="00A036B3"/>
    <w:rsid w:val="00A038E4"/>
    <w:rsid w:val="00A04BAB"/>
    <w:rsid w:val="00A04DCD"/>
    <w:rsid w:val="00A05D55"/>
    <w:rsid w:val="00A069BB"/>
    <w:rsid w:val="00A069E2"/>
    <w:rsid w:val="00A07872"/>
    <w:rsid w:val="00A10474"/>
    <w:rsid w:val="00A1054C"/>
    <w:rsid w:val="00A11A0C"/>
    <w:rsid w:val="00A11AD7"/>
    <w:rsid w:val="00A12518"/>
    <w:rsid w:val="00A1306D"/>
    <w:rsid w:val="00A130FE"/>
    <w:rsid w:val="00A14D3B"/>
    <w:rsid w:val="00A15A08"/>
    <w:rsid w:val="00A16256"/>
    <w:rsid w:val="00A176A5"/>
    <w:rsid w:val="00A1776E"/>
    <w:rsid w:val="00A230A0"/>
    <w:rsid w:val="00A2561D"/>
    <w:rsid w:val="00A2597E"/>
    <w:rsid w:val="00A25E9B"/>
    <w:rsid w:val="00A262B7"/>
    <w:rsid w:val="00A266D4"/>
    <w:rsid w:val="00A2698E"/>
    <w:rsid w:val="00A31B81"/>
    <w:rsid w:val="00A33679"/>
    <w:rsid w:val="00A338F1"/>
    <w:rsid w:val="00A33D30"/>
    <w:rsid w:val="00A3488C"/>
    <w:rsid w:val="00A3630E"/>
    <w:rsid w:val="00A36331"/>
    <w:rsid w:val="00A36BE3"/>
    <w:rsid w:val="00A37399"/>
    <w:rsid w:val="00A37DD8"/>
    <w:rsid w:val="00A40510"/>
    <w:rsid w:val="00A4143D"/>
    <w:rsid w:val="00A4192B"/>
    <w:rsid w:val="00A4263D"/>
    <w:rsid w:val="00A440B7"/>
    <w:rsid w:val="00A44615"/>
    <w:rsid w:val="00A455A7"/>
    <w:rsid w:val="00A45DB8"/>
    <w:rsid w:val="00A45DFE"/>
    <w:rsid w:val="00A4722B"/>
    <w:rsid w:val="00A47396"/>
    <w:rsid w:val="00A4753A"/>
    <w:rsid w:val="00A50EFE"/>
    <w:rsid w:val="00A50F81"/>
    <w:rsid w:val="00A534F8"/>
    <w:rsid w:val="00A53B60"/>
    <w:rsid w:val="00A53BF8"/>
    <w:rsid w:val="00A55797"/>
    <w:rsid w:val="00A55F52"/>
    <w:rsid w:val="00A569E4"/>
    <w:rsid w:val="00A57155"/>
    <w:rsid w:val="00A60653"/>
    <w:rsid w:val="00A6098E"/>
    <w:rsid w:val="00A60C3C"/>
    <w:rsid w:val="00A60E9F"/>
    <w:rsid w:val="00A61815"/>
    <w:rsid w:val="00A62026"/>
    <w:rsid w:val="00A62162"/>
    <w:rsid w:val="00A622BD"/>
    <w:rsid w:val="00A674AA"/>
    <w:rsid w:val="00A67A92"/>
    <w:rsid w:val="00A703CE"/>
    <w:rsid w:val="00A708BB"/>
    <w:rsid w:val="00A70B9B"/>
    <w:rsid w:val="00A710E2"/>
    <w:rsid w:val="00A71AE0"/>
    <w:rsid w:val="00A71B51"/>
    <w:rsid w:val="00A71C06"/>
    <w:rsid w:val="00A71DF5"/>
    <w:rsid w:val="00A7276C"/>
    <w:rsid w:val="00A72F22"/>
    <w:rsid w:val="00A7360F"/>
    <w:rsid w:val="00A73EDD"/>
    <w:rsid w:val="00A748A6"/>
    <w:rsid w:val="00A75355"/>
    <w:rsid w:val="00A769F4"/>
    <w:rsid w:val="00A773B1"/>
    <w:rsid w:val="00A776B4"/>
    <w:rsid w:val="00A77C66"/>
    <w:rsid w:val="00A8191A"/>
    <w:rsid w:val="00A82504"/>
    <w:rsid w:val="00A8251C"/>
    <w:rsid w:val="00A826D1"/>
    <w:rsid w:val="00A83D47"/>
    <w:rsid w:val="00A84062"/>
    <w:rsid w:val="00A8467B"/>
    <w:rsid w:val="00A85674"/>
    <w:rsid w:val="00A859BA"/>
    <w:rsid w:val="00A867D9"/>
    <w:rsid w:val="00A86F19"/>
    <w:rsid w:val="00A871D5"/>
    <w:rsid w:val="00A87251"/>
    <w:rsid w:val="00A872E8"/>
    <w:rsid w:val="00A8780F"/>
    <w:rsid w:val="00A90132"/>
    <w:rsid w:val="00A9044C"/>
    <w:rsid w:val="00A90C5B"/>
    <w:rsid w:val="00A90E23"/>
    <w:rsid w:val="00A91499"/>
    <w:rsid w:val="00A91DBE"/>
    <w:rsid w:val="00A937E1"/>
    <w:rsid w:val="00A93CCD"/>
    <w:rsid w:val="00A94361"/>
    <w:rsid w:val="00A95B69"/>
    <w:rsid w:val="00A96457"/>
    <w:rsid w:val="00A96799"/>
    <w:rsid w:val="00A969FF"/>
    <w:rsid w:val="00AA0619"/>
    <w:rsid w:val="00AA0F58"/>
    <w:rsid w:val="00AA293C"/>
    <w:rsid w:val="00AA2D0D"/>
    <w:rsid w:val="00AA42C6"/>
    <w:rsid w:val="00AA4A02"/>
    <w:rsid w:val="00AA4F43"/>
    <w:rsid w:val="00AA635F"/>
    <w:rsid w:val="00AB112C"/>
    <w:rsid w:val="00AB19FA"/>
    <w:rsid w:val="00AB1FB2"/>
    <w:rsid w:val="00AB4E1A"/>
    <w:rsid w:val="00AB5043"/>
    <w:rsid w:val="00AB5A41"/>
    <w:rsid w:val="00AB5D75"/>
    <w:rsid w:val="00AB67D1"/>
    <w:rsid w:val="00AB7014"/>
    <w:rsid w:val="00AB7523"/>
    <w:rsid w:val="00AB770B"/>
    <w:rsid w:val="00AB7C6D"/>
    <w:rsid w:val="00AC03E4"/>
    <w:rsid w:val="00AC0A14"/>
    <w:rsid w:val="00AC0D25"/>
    <w:rsid w:val="00AC1844"/>
    <w:rsid w:val="00AC4840"/>
    <w:rsid w:val="00AC4A9B"/>
    <w:rsid w:val="00AC4B8D"/>
    <w:rsid w:val="00AC5653"/>
    <w:rsid w:val="00AC63A2"/>
    <w:rsid w:val="00AC647E"/>
    <w:rsid w:val="00AC72E3"/>
    <w:rsid w:val="00AD001C"/>
    <w:rsid w:val="00AD0D78"/>
    <w:rsid w:val="00AD10F3"/>
    <w:rsid w:val="00AD1591"/>
    <w:rsid w:val="00AD1C0B"/>
    <w:rsid w:val="00AD1C54"/>
    <w:rsid w:val="00AD293B"/>
    <w:rsid w:val="00AD3132"/>
    <w:rsid w:val="00AD392F"/>
    <w:rsid w:val="00AD46B8"/>
    <w:rsid w:val="00AD6517"/>
    <w:rsid w:val="00AD6EA8"/>
    <w:rsid w:val="00AD7999"/>
    <w:rsid w:val="00AE24FE"/>
    <w:rsid w:val="00AE2860"/>
    <w:rsid w:val="00AE309F"/>
    <w:rsid w:val="00AE3157"/>
    <w:rsid w:val="00AE5108"/>
    <w:rsid w:val="00AE5404"/>
    <w:rsid w:val="00AE58CB"/>
    <w:rsid w:val="00AF1983"/>
    <w:rsid w:val="00AF1998"/>
    <w:rsid w:val="00AF1A44"/>
    <w:rsid w:val="00AF1E8E"/>
    <w:rsid w:val="00AF2509"/>
    <w:rsid w:val="00AF256C"/>
    <w:rsid w:val="00AF32BC"/>
    <w:rsid w:val="00AF4244"/>
    <w:rsid w:val="00AF4488"/>
    <w:rsid w:val="00AF5CCF"/>
    <w:rsid w:val="00AF6C3B"/>
    <w:rsid w:val="00AF7667"/>
    <w:rsid w:val="00B0282C"/>
    <w:rsid w:val="00B02B00"/>
    <w:rsid w:val="00B02BAA"/>
    <w:rsid w:val="00B0313B"/>
    <w:rsid w:val="00B033CC"/>
    <w:rsid w:val="00B0380C"/>
    <w:rsid w:val="00B04543"/>
    <w:rsid w:val="00B05BD9"/>
    <w:rsid w:val="00B06D66"/>
    <w:rsid w:val="00B07070"/>
    <w:rsid w:val="00B07138"/>
    <w:rsid w:val="00B07A6A"/>
    <w:rsid w:val="00B10872"/>
    <w:rsid w:val="00B11238"/>
    <w:rsid w:val="00B11C54"/>
    <w:rsid w:val="00B12229"/>
    <w:rsid w:val="00B128E8"/>
    <w:rsid w:val="00B12BB4"/>
    <w:rsid w:val="00B12E1C"/>
    <w:rsid w:val="00B13010"/>
    <w:rsid w:val="00B13E9B"/>
    <w:rsid w:val="00B14010"/>
    <w:rsid w:val="00B1421A"/>
    <w:rsid w:val="00B142F7"/>
    <w:rsid w:val="00B14BAF"/>
    <w:rsid w:val="00B14BDF"/>
    <w:rsid w:val="00B15987"/>
    <w:rsid w:val="00B15993"/>
    <w:rsid w:val="00B16FC0"/>
    <w:rsid w:val="00B17560"/>
    <w:rsid w:val="00B17A87"/>
    <w:rsid w:val="00B17F54"/>
    <w:rsid w:val="00B201CC"/>
    <w:rsid w:val="00B20B3C"/>
    <w:rsid w:val="00B2177C"/>
    <w:rsid w:val="00B22683"/>
    <w:rsid w:val="00B241FA"/>
    <w:rsid w:val="00B26545"/>
    <w:rsid w:val="00B26622"/>
    <w:rsid w:val="00B2707A"/>
    <w:rsid w:val="00B27CC0"/>
    <w:rsid w:val="00B30179"/>
    <w:rsid w:val="00B32131"/>
    <w:rsid w:val="00B32AE4"/>
    <w:rsid w:val="00B339A7"/>
    <w:rsid w:val="00B33F29"/>
    <w:rsid w:val="00B34616"/>
    <w:rsid w:val="00B34A3F"/>
    <w:rsid w:val="00B369CE"/>
    <w:rsid w:val="00B36BD8"/>
    <w:rsid w:val="00B3743B"/>
    <w:rsid w:val="00B3784A"/>
    <w:rsid w:val="00B37AAE"/>
    <w:rsid w:val="00B37BAE"/>
    <w:rsid w:val="00B37EBB"/>
    <w:rsid w:val="00B41837"/>
    <w:rsid w:val="00B41ACB"/>
    <w:rsid w:val="00B427FA"/>
    <w:rsid w:val="00B43A0B"/>
    <w:rsid w:val="00B443E2"/>
    <w:rsid w:val="00B45321"/>
    <w:rsid w:val="00B46096"/>
    <w:rsid w:val="00B4718F"/>
    <w:rsid w:val="00B47380"/>
    <w:rsid w:val="00B5092B"/>
    <w:rsid w:val="00B50A5B"/>
    <w:rsid w:val="00B512C7"/>
    <w:rsid w:val="00B515D4"/>
    <w:rsid w:val="00B53F42"/>
    <w:rsid w:val="00B54D04"/>
    <w:rsid w:val="00B56A03"/>
    <w:rsid w:val="00B56B08"/>
    <w:rsid w:val="00B56E4A"/>
    <w:rsid w:val="00B56E9C"/>
    <w:rsid w:val="00B57489"/>
    <w:rsid w:val="00B57BCD"/>
    <w:rsid w:val="00B60748"/>
    <w:rsid w:val="00B62573"/>
    <w:rsid w:val="00B6380E"/>
    <w:rsid w:val="00B639A0"/>
    <w:rsid w:val="00B63FAE"/>
    <w:rsid w:val="00B640A3"/>
    <w:rsid w:val="00B64265"/>
    <w:rsid w:val="00B64B1F"/>
    <w:rsid w:val="00B6548B"/>
    <w:rsid w:val="00B654DC"/>
    <w:rsid w:val="00B6553F"/>
    <w:rsid w:val="00B65D1D"/>
    <w:rsid w:val="00B66364"/>
    <w:rsid w:val="00B66E5E"/>
    <w:rsid w:val="00B6735D"/>
    <w:rsid w:val="00B67817"/>
    <w:rsid w:val="00B67C9C"/>
    <w:rsid w:val="00B705E0"/>
    <w:rsid w:val="00B70C5B"/>
    <w:rsid w:val="00B7160E"/>
    <w:rsid w:val="00B716A0"/>
    <w:rsid w:val="00B71718"/>
    <w:rsid w:val="00B753D1"/>
    <w:rsid w:val="00B76F9C"/>
    <w:rsid w:val="00B77D05"/>
    <w:rsid w:val="00B77EB1"/>
    <w:rsid w:val="00B81202"/>
    <w:rsid w:val="00B81206"/>
    <w:rsid w:val="00B81E12"/>
    <w:rsid w:val="00B82156"/>
    <w:rsid w:val="00B8236D"/>
    <w:rsid w:val="00B83A07"/>
    <w:rsid w:val="00B846C0"/>
    <w:rsid w:val="00B84C4B"/>
    <w:rsid w:val="00B84CBE"/>
    <w:rsid w:val="00B84D8C"/>
    <w:rsid w:val="00B857DE"/>
    <w:rsid w:val="00B85908"/>
    <w:rsid w:val="00B861DB"/>
    <w:rsid w:val="00B86B5F"/>
    <w:rsid w:val="00B874C1"/>
    <w:rsid w:val="00B876FC"/>
    <w:rsid w:val="00B878B3"/>
    <w:rsid w:val="00B879F3"/>
    <w:rsid w:val="00B9067B"/>
    <w:rsid w:val="00B90F27"/>
    <w:rsid w:val="00B934A3"/>
    <w:rsid w:val="00B93B25"/>
    <w:rsid w:val="00B94491"/>
    <w:rsid w:val="00B94B06"/>
    <w:rsid w:val="00B94B8D"/>
    <w:rsid w:val="00B95969"/>
    <w:rsid w:val="00B95FC8"/>
    <w:rsid w:val="00B96520"/>
    <w:rsid w:val="00B96941"/>
    <w:rsid w:val="00B97172"/>
    <w:rsid w:val="00B97E4C"/>
    <w:rsid w:val="00BA0CA7"/>
    <w:rsid w:val="00BA1EDB"/>
    <w:rsid w:val="00BA287E"/>
    <w:rsid w:val="00BA29D1"/>
    <w:rsid w:val="00BA3E83"/>
    <w:rsid w:val="00BA4341"/>
    <w:rsid w:val="00BA5F17"/>
    <w:rsid w:val="00BB22D5"/>
    <w:rsid w:val="00BB2CBC"/>
    <w:rsid w:val="00BB2DB0"/>
    <w:rsid w:val="00BB3491"/>
    <w:rsid w:val="00BB37C3"/>
    <w:rsid w:val="00BB5068"/>
    <w:rsid w:val="00BB577C"/>
    <w:rsid w:val="00BB7E70"/>
    <w:rsid w:val="00BB7F1B"/>
    <w:rsid w:val="00BC01E3"/>
    <w:rsid w:val="00BC05BC"/>
    <w:rsid w:val="00BC0B15"/>
    <w:rsid w:val="00BC1139"/>
    <w:rsid w:val="00BC186C"/>
    <w:rsid w:val="00BC298A"/>
    <w:rsid w:val="00BC2C23"/>
    <w:rsid w:val="00BC2C92"/>
    <w:rsid w:val="00BC48F3"/>
    <w:rsid w:val="00BC49C0"/>
    <w:rsid w:val="00BC4B5D"/>
    <w:rsid w:val="00BC5A8B"/>
    <w:rsid w:val="00BC6B1E"/>
    <w:rsid w:val="00BC70AB"/>
    <w:rsid w:val="00BC74E9"/>
    <w:rsid w:val="00BD035A"/>
    <w:rsid w:val="00BD1277"/>
    <w:rsid w:val="00BD1B08"/>
    <w:rsid w:val="00BD21E3"/>
    <w:rsid w:val="00BD2AEB"/>
    <w:rsid w:val="00BD31B6"/>
    <w:rsid w:val="00BD5EB3"/>
    <w:rsid w:val="00BD6FD3"/>
    <w:rsid w:val="00BD7EA8"/>
    <w:rsid w:val="00BE07C8"/>
    <w:rsid w:val="00BE0B12"/>
    <w:rsid w:val="00BE0E18"/>
    <w:rsid w:val="00BE0F09"/>
    <w:rsid w:val="00BE2C31"/>
    <w:rsid w:val="00BE2F69"/>
    <w:rsid w:val="00BE2F99"/>
    <w:rsid w:val="00BE325F"/>
    <w:rsid w:val="00BE34A1"/>
    <w:rsid w:val="00BE3A3E"/>
    <w:rsid w:val="00BE3C4B"/>
    <w:rsid w:val="00BE418E"/>
    <w:rsid w:val="00BE4A67"/>
    <w:rsid w:val="00BE76EE"/>
    <w:rsid w:val="00BE7732"/>
    <w:rsid w:val="00BF09D4"/>
    <w:rsid w:val="00BF0F1A"/>
    <w:rsid w:val="00BF1BB0"/>
    <w:rsid w:val="00BF1D74"/>
    <w:rsid w:val="00BF21FF"/>
    <w:rsid w:val="00BF3D9D"/>
    <w:rsid w:val="00BF450E"/>
    <w:rsid w:val="00BF4AA2"/>
    <w:rsid w:val="00BF5A65"/>
    <w:rsid w:val="00BF5B2C"/>
    <w:rsid w:val="00BF68A8"/>
    <w:rsid w:val="00BF6DBF"/>
    <w:rsid w:val="00C006A7"/>
    <w:rsid w:val="00C00A5E"/>
    <w:rsid w:val="00C03527"/>
    <w:rsid w:val="00C03905"/>
    <w:rsid w:val="00C0401B"/>
    <w:rsid w:val="00C04A32"/>
    <w:rsid w:val="00C04F50"/>
    <w:rsid w:val="00C05179"/>
    <w:rsid w:val="00C0718D"/>
    <w:rsid w:val="00C11207"/>
    <w:rsid w:val="00C11A03"/>
    <w:rsid w:val="00C1364B"/>
    <w:rsid w:val="00C13B55"/>
    <w:rsid w:val="00C14199"/>
    <w:rsid w:val="00C14A79"/>
    <w:rsid w:val="00C15217"/>
    <w:rsid w:val="00C154D2"/>
    <w:rsid w:val="00C15938"/>
    <w:rsid w:val="00C15A4D"/>
    <w:rsid w:val="00C15C4D"/>
    <w:rsid w:val="00C16605"/>
    <w:rsid w:val="00C168CA"/>
    <w:rsid w:val="00C176E9"/>
    <w:rsid w:val="00C218AA"/>
    <w:rsid w:val="00C22595"/>
    <w:rsid w:val="00C227E8"/>
    <w:rsid w:val="00C2284D"/>
    <w:rsid w:val="00C22C9A"/>
    <w:rsid w:val="00C237CB"/>
    <w:rsid w:val="00C2458A"/>
    <w:rsid w:val="00C2617F"/>
    <w:rsid w:val="00C2623D"/>
    <w:rsid w:val="00C2642A"/>
    <w:rsid w:val="00C2690D"/>
    <w:rsid w:val="00C2698D"/>
    <w:rsid w:val="00C27040"/>
    <w:rsid w:val="00C27C77"/>
    <w:rsid w:val="00C27D00"/>
    <w:rsid w:val="00C305FF"/>
    <w:rsid w:val="00C31235"/>
    <w:rsid w:val="00C31D00"/>
    <w:rsid w:val="00C3279A"/>
    <w:rsid w:val="00C33045"/>
    <w:rsid w:val="00C33936"/>
    <w:rsid w:val="00C33BD4"/>
    <w:rsid w:val="00C3429D"/>
    <w:rsid w:val="00C34341"/>
    <w:rsid w:val="00C34926"/>
    <w:rsid w:val="00C3563A"/>
    <w:rsid w:val="00C36CA4"/>
    <w:rsid w:val="00C37106"/>
    <w:rsid w:val="00C37550"/>
    <w:rsid w:val="00C401AE"/>
    <w:rsid w:val="00C40796"/>
    <w:rsid w:val="00C40EE4"/>
    <w:rsid w:val="00C41957"/>
    <w:rsid w:val="00C41E35"/>
    <w:rsid w:val="00C422B3"/>
    <w:rsid w:val="00C42783"/>
    <w:rsid w:val="00C4279B"/>
    <w:rsid w:val="00C42964"/>
    <w:rsid w:val="00C42AEC"/>
    <w:rsid w:val="00C4482F"/>
    <w:rsid w:val="00C44D68"/>
    <w:rsid w:val="00C450B3"/>
    <w:rsid w:val="00C463DD"/>
    <w:rsid w:val="00C46474"/>
    <w:rsid w:val="00C46A14"/>
    <w:rsid w:val="00C4723D"/>
    <w:rsid w:val="00C4724C"/>
    <w:rsid w:val="00C50356"/>
    <w:rsid w:val="00C51960"/>
    <w:rsid w:val="00C51B7F"/>
    <w:rsid w:val="00C51F77"/>
    <w:rsid w:val="00C52063"/>
    <w:rsid w:val="00C52916"/>
    <w:rsid w:val="00C52F3D"/>
    <w:rsid w:val="00C5392D"/>
    <w:rsid w:val="00C539D4"/>
    <w:rsid w:val="00C54F73"/>
    <w:rsid w:val="00C55097"/>
    <w:rsid w:val="00C55779"/>
    <w:rsid w:val="00C561E4"/>
    <w:rsid w:val="00C6017C"/>
    <w:rsid w:val="00C606D3"/>
    <w:rsid w:val="00C615FB"/>
    <w:rsid w:val="00C61F13"/>
    <w:rsid w:val="00C629A0"/>
    <w:rsid w:val="00C6410D"/>
    <w:rsid w:val="00C64A07"/>
    <w:rsid w:val="00C64B69"/>
    <w:rsid w:val="00C64ECC"/>
    <w:rsid w:val="00C659A9"/>
    <w:rsid w:val="00C65F90"/>
    <w:rsid w:val="00C702EE"/>
    <w:rsid w:val="00C709C4"/>
    <w:rsid w:val="00C719BD"/>
    <w:rsid w:val="00C7315E"/>
    <w:rsid w:val="00C7385F"/>
    <w:rsid w:val="00C74394"/>
    <w:rsid w:val="00C745C3"/>
    <w:rsid w:val="00C74657"/>
    <w:rsid w:val="00C7588B"/>
    <w:rsid w:val="00C77730"/>
    <w:rsid w:val="00C77867"/>
    <w:rsid w:val="00C77C10"/>
    <w:rsid w:val="00C815DC"/>
    <w:rsid w:val="00C82175"/>
    <w:rsid w:val="00C822D7"/>
    <w:rsid w:val="00C82416"/>
    <w:rsid w:val="00C8383E"/>
    <w:rsid w:val="00C84095"/>
    <w:rsid w:val="00C8504E"/>
    <w:rsid w:val="00C8561F"/>
    <w:rsid w:val="00C866DB"/>
    <w:rsid w:val="00C869BF"/>
    <w:rsid w:val="00C878DB"/>
    <w:rsid w:val="00C87968"/>
    <w:rsid w:val="00C9045B"/>
    <w:rsid w:val="00C909F8"/>
    <w:rsid w:val="00C9183C"/>
    <w:rsid w:val="00C91BBB"/>
    <w:rsid w:val="00C921CF"/>
    <w:rsid w:val="00C929A2"/>
    <w:rsid w:val="00C934B4"/>
    <w:rsid w:val="00C940C1"/>
    <w:rsid w:val="00C94BC7"/>
    <w:rsid w:val="00C96D26"/>
    <w:rsid w:val="00CA026A"/>
    <w:rsid w:val="00CA1DF9"/>
    <w:rsid w:val="00CA2882"/>
    <w:rsid w:val="00CA40C1"/>
    <w:rsid w:val="00CA42FF"/>
    <w:rsid w:val="00CA56DE"/>
    <w:rsid w:val="00CA5848"/>
    <w:rsid w:val="00CA6898"/>
    <w:rsid w:val="00CA7C33"/>
    <w:rsid w:val="00CA7D62"/>
    <w:rsid w:val="00CB1B90"/>
    <w:rsid w:val="00CB21C9"/>
    <w:rsid w:val="00CB25DD"/>
    <w:rsid w:val="00CB27E8"/>
    <w:rsid w:val="00CB2CED"/>
    <w:rsid w:val="00CB335D"/>
    <w:rsid w:val="00CB41B9"/>
    <w:rsid w:val="00CB4487"/>
    <w:rsid w:val="00CB6C91"/>
    <w:rsid w:val="00CB787B"/>
    <w:rsid w:val="00CB7F90"/>
    <w:rsid w:val="00CC04F4"/>
    <w:rsid w:val="00CC0DC4"/>
    <w:rsid w:val="00CC0DF3"/>
    <w:rsid w:val="00CC1F58"/>
    <w:rsid w:val="00CC241F"/>
    <w:rsid w:val="00CC28E5"/>
    <w:rsid w:val="00CC2B9B"/>
    <w:rsid w:val="00CC2D28"/>
    <w:rsid w:val="00CC327C"/>
    <w:rsid w:val="00CC4C0C"/>
    <w:rsid w:val="00CC4C8F"/>
    <w:rsid w:val="00CC5BCE"/>
    <w:rsid w:val="00CC664C"/>
    <w:rsid w:val="00CC6EAC"/>
    <w:rsid w:val="00CC7484"/>
    <w:rsid w:val="00CC7652"/>
    <w:rsid w:val="00CC7755"/>
    <w:rsid w:val="00CD0C45"/>
    <w:rsid w:val="00CD386B"/>
    <w:rsid w:val="00CD5808"/>
    <w:rsid w:val="00CD6F25"/>
    <w:rsid w:val="00CD70B8"/>
    <w:rsid w:val="00CE1494"/>
    <w:rsid w:val="00CE1672"/>
    <w:rsid w:val="00CE170A"/>
    <w:rsid w:val="00CE2140"/>
    <w:rsid w:val="00CE21BC"/>
    <w:rsid w:val="00CE2510"/>
    <w:rsid w:val="00CE3E66"/>
    <w:rsid w:val="00CE4904"/>
    <w:rsid w:val="00CE4A8F"/>
    <w:rsid w:val="00CE4D40"/>
    <w:rsid w:val="00CE57FC"/>
    <w:rsid w:val="00CE5876"/>
    <w:rsid w:val="00CE5F5D"/>
    <w:rsid w:val="00CE673A"/>
    <w:rsid w:val="00CE7317"/>
    <w:rsid w:val="00CE7349"/>
    <w:rsid w:val="00CE7600"/>
    <w:rsid w:val="00CF004E"/>
    <w:rsid w:val="00CF20BA"/>
    <w:rsid w:val="00CF21B3"/>
    <w:rsid w:val="00CF2919"/>
    <w:rsid w:val="00CF2C0D"/>
    <w:rsid w:val="00CF2C2A"/>
    <w:rsid w:val="00CF2FC3"/>
    <w:rsid w:val="00CF3E3C"/>
    <w:rsid w:val="00CF479B"/>
    <w:rsid w:val="00CF53D8"/>
    <w:rsid w:val="00CF6255"/>
    <w:rsid w:val="00CF7083"/>
    <w:rsid w:val="00CF76CE"/>
    <w:rsid w:val="00CF7D0F"/>
    <w:rsid w:val="00D012D4"/>
    <w:rsid w:val="00D01C8B"/>
    <w:rsid w:val="00D0217D"/>
    <w:rsid w:val="00D03419"/>
    <w:rsid w:val="00D03FFD"/>
    <w:rsid w:val="00D04B04"/>
    <w:rsid w:val="00D0571B"/>
    <w:rsid w:val="00D05885"/>
    <w:rsid w:val="00D06910"/>
    <w:rsid w:val="00D06EAB"/>
    <w:rsid w:val="00D07060"/>
    <w:rsid w:val="00D103AB"/>
    <w:rsid w:val="00D107D6"/>
    <w:rsid w:val="00D11142"/>
    <w:rsid w:val="00D11301"/>
    <w:rsid w:val="00D1131C"/>
    <w:rsid w:val="00D1134A"/>
    <w:rsid w:val="00D122F4"/>
    <w:rsid w:val="00D13038"/>
    <w:rsid w:val="00D134DC"/>
    <w:rsid w:val="00D141CF"/>
    <w:rsid w:val="00D16450"/>
    <w:rsid w:val="00D17862"/>
    <w:rsid w:val="00D200AB"/>
    <w:rsid w:val="00D2031B"/>
    <w:rsid w:val="00D20619"/>
    <w:rsid w:val="00D20B52"/>
    <w:rsid w:val="00D213F2"/>
    <w:rsid w:val="00D21C51"/>
    <w:rsid w:val="00D21D87"/>
    <w:rsid w:val="00D21E61"/>
    <w:rsid w:val="00D2276A"/>
    <w:rsid w:val="00D2305C"/>
    <w:rsid w:val="00D236D5"/>
    <w:rsid w:val="00D23C28"/>
    <w:rsid w:val="00D24040"/>
    <w:rsid w:val="00D24185"/>
    <w:rsid w:val="00D257E7"/>
    <w:rsid w:val="00D25F5E"/>
    <w:rsid w:val="00D25FE2"/>
    <w:rsid w:val="00D2672E"/>
    <w:rsid w:val="00D270EF"/>
    <w:rsid w:val="00D27315"/>
    <w:rsid w:val="00D27F2B"/>
    <w:rsid w:val="00D33324"/>
    <w:rsid w:val="00D334BD"/>
    <w:rsid w:val="00D33CD6"/>
    <w:rsid w:val="00D341C0"/>
    <w:rsid w:val="00D34E31"/>
    <w:rsid w:val="00D354E1"/>
    <w:rsid w:val="00D3669F"/>
    <w:rsid w:val="00D377FC"/>
    <w:rsid w:val="00D37E2D"/>
    <w:rsid w:val="00D40A40"/>
    <w:rsid w:val="00D41FE9"/>
    <w:rsid w:val="00D42CD2"/>
    <w:rsid w:val="00D42E65"/>
    <w:rsid w:val="00D431EB"/>
    <w:rsid w:val="00D43252"/>
    <w:rsid w:val="00D4394C"/>
    <w:rsid w:val="00D45303"/>
    <w:rsid w:val="00D45485"/>
    <w:rsid w:val="00D45A14"/>
    <w:rsid w:val="00D46294"/>
    <w:rsid w:val="00D46877"/>
    <w:rsid w:val="00D46BA9"/>
    <w:rsid w:val="00D473D1"/>
    <w:rsid w:val="00D47963"/>
    <w:rsid w:val="00D47B2C"/>
    <w:rsid w:val="00D47EEA"/>
    <w:rsid w:val="00D50C86"/>
    <w:rsid w:val="00D50E8D"/>
    <w:rsid w:val="00D50EE6"/>
    <w:rsid w:val="00D51532"/>
    <w:rsid w:val="00D5167F"/>
    <w:rsid w:val="00D537C3"/>
    <w:rsid w:val="00D53CC8"/>
    <w:rsid w:val="00D54AC8"/>
    <w:rsid w:val="00D56CCE"/>
    <w:rsid w:val="00D577D8"/>
    <w:rsid w:val="00D579D6"/>
    <w:rsid w:val="00D60739"/>
    <w:rsid w:val="00D61714"/>
    <w:rsid w:val="00D61B09"/>
    <w:rsid w:val="00D63013"/>
    <w:rsid w:val="00D648FC"/>
    <w:rsid w:val="00D64A83"/>
    <w:rsid w:val="00D64D91"/>
    <w:rsid w:val="00D65841"/>
    <w:rsid w:val="00D65878"/>
    <w:rsid w:val="00D66E38"/>
    <w:rsid w:val="00D70A01"/>
    <w:rsid w:val="00D71187"/>
    <w:rsid w:val="00D712FE"/>
    <w:rsid w:val="00D725AD"/>
    <w:rsid w:val="00D72B32"/>
    <w:rsid w:val="00D73195"/>
    <w:rsid w:val="00D73357"/>
    <w:rsid w:val="00D7373D"/>
    <w:rsid w:val="00D73754"/>
    <w:rsid w:val="00D739CD"/>
    <w:rsid w:val="00D73B62"/>
    <w:rsid w:val="00D750F6"/>
    <w:rsid w:val="00D75812"/>
    <w:rsid w:val="00D7727D"/>
    <w:rsid w:val="00D7781D"/>
    <w:rsid w:val="00D77AEF"/>
    <w:rsid w:val="00D8103F"/>
    <w:rsid w:val="00D8172E"/>
    <w:rsid w:val="00D82605"/>
    <w:rsid w:val="00D82B3A"/>
    <w:rsid w:val="00D8324A"/>
    <w:rsid w:val="00D8586C"/>
    <w:rsid w:val="00D87C94"/>
    <w:rsid w:val="00D902C0"/>
    <w:rsid w:val="00D90984"/>
    <w:rsid w:val="00D90A8D"/>
    <w:rsid w:val="00D90F93"/>
    <w:rsid w:val="00D9204F"/>
    <w:rsid w:val="00D95303"/>
    <w:rsid w:val="00D95A82"/>
    <w:rsid w:val="00D96442"/>
    <w:rsid w:val="00D96D30"/>
    <w:rsid w:val="00D9732B"/>
    <w:rsid w:val="00D978C6"/>
    <w:rsid w:val="00D97FB9"/>
    <w:rsid w:val="00DA0F6C"/>
    <w:rsid w:val="00DA16D9"/>
    <w:rsid w:val="00DA1948"/>
    <w:rsid w:val="00DA2765"/>
    <w:rsid w:val="00DA2A77"/>
    <w:rsid w:val="00DA3111"/>
    <w:rsid w:val="00DA3C1C"/>
    <w:rsid w:val="00DA3DC3"/>
    <w:rsid w:val="00DA49AA"/>
    <w:rsid w:val="00DA5006"/>
    <w:rsid w:val="00DA53E6"/>
    <w:rsid w:val="00DA7238"/>
    <w:rsid w:val="00DA7412"/>
    <w:rsid w:val="00DA764F"/>
    <w:rsid w:val="00DB0C79"/>
    <w:rsid w:val="00DB162B"/>
    <w:rsid w:val="00DB208A"/>
    <w:rsid w:val="00DB3C10"/>
    <w:rsid w:val="00DB45B8"/>
    <w:rsid w:val="00DB5B2F"/>
    <w:rsid w:val="00DB6CA7"/>
    <w:rsid w:val="00DC00C7"/>
    <w:rsid w:val="00DC0CAC"/>
    <w:rsid w:val="00DC0FCD"/>
    <w:rsid w:val="00DC128E"/>
    <w:rsid w:val="00DC23A1"/>
    <w:rsid w:val="00DC290C"/>
    <w:rsid w:val="00DC4569"/>
    <w:rsid w:val="00DC4F03"/>
    <w:rsid w:val="00DC558B"/>
    <w:rsid w:val="00DC6DBB"/>
    <w:rsid w:val="00DC6E39"/>
    <w:rsid w:val="00DC71FF"/>
    <w:rsid w:val="00DC7EEC"/>
    <w:rsid w:val="00DD013D"/>
    <w:rsid w:val="00DD0339"/>
    <w:rsid w:val="00DD0C32"/>
    <w:rsid w:val="00DD1B10"/>
    <w:rsid w:val="00DD26A8"/>
    <w:rsid w:val="00DD2781"/>
    <w:rsid w:val="00DD392A"/>
    <w:rsid w:val="00DD3D73"/>
    <w:rsid w:val="00DD6207"/>
    <w:rsid w:val="00DD6D53"/>
    <w:rsid w:val="00DE000C"/>
    <w:rsid w:val="00DE2317"/>
    <w:rsid w:val="00DE2637"/>
    <w:rsid w:val="00DE3E91"/>
    <w:rsid w:val="00DE3F50"/>
    <w:rsid w:val="00DE473D"/>
    <w:rsid w:val="00DE5C04"/>
    <w:rsid w:val="00DE79A8"/>
    <w:rsid w:val="00DE79F7"/>
    <w:rsid w:val="00DF0447"/>
    <w:rsid w:val="00DF1E57"/>
    <w:rsid w:val="00DF374D"/>
    <w:rsid w:val="00DF3F04"/>
    <w:rsid w:val="00DF4996"/>
    <w:rsid w:val="00DF50FB"/>
    <w:rsid w:val="00DF56AC"/>
    <w:rsid w:val="00DF5756"/>
    <w:rsid w:val="00DF589C"/>
    <w:rsid w:val="00DF5EFA"/>
    <w:rsid w:val="00DF604A"/>
    <w:rsid w:val="00DF67AC"/>
    <w:rsid w:val="00DF6941"/>
    <w:rsid w:val="00DF6C8D"/>
    <w:rsid w:val="00DF6E87"/>
    <w:rsid w:val="00DF7047"/>
    <w:rsid w:val="00DF740E"/>
    <w:rsid w:val="00DF7914"/>
    <w:rsid w:val="00E00251"/>
    <w:rsid w:val="00E012C9"/>
    <w:rsid w:val="00E01753"/>
    <w:rsid w:val="00E03890"/>
    <w:rsid w:val="00E0446D"/>
    <w:rsid w:val="00E0462F"/>
    <w:rsid w:val="00E04B7E"/>
    <w:rsid w:val="00E05998"/>
    <w:rsid w:val="00E07C3D"/>
    <w:rsid w:val="00E10CF1"/>
    <w:rsid w:val="00E11965"/>
    <w:rsid w:val="00E11D07"/>
    <w:rsid w:val="00E12C41"/>
    <w:rsid w:val="00E138E5"/>
    <w:rsid w:val="00E13BBE"/>
    <w:rsid w:val="00E13CA7"/>
    <w:rsid w:val="00E14467"/>
    <w:rsid w:val="00E15945"/>
    <w:rsid w:val="00E16652"/>
    <w:rsid w:val="00E17496"/>
    <w:rsid w:val="00E17CD1"/>
    <w:rsid w:val="00E2031C"/>
    <w:rsid w:val="00E209FD"/>
    <w:rsid w:val="00E21D75"/>
    <w:rsid w:val="00E23119"/>
    <w:rsid w:val="00E2352D"/>
    <w:rsid w:val="00E24886"/>
    <w:rsid w:val="00E25E54"/>
    <w:rsid w:val="00E26103"/>
    <w:rsid w:val="00E26698"/>
    <w:rsid w:val="00E27346"/>
    <w:rsid w:val="00E27F6D"/>
    <w:rsid w:val="00E31D69"/>
    <w:rsid w:val="00E3235C"/>
    <w:rsid w:val="00E334A0"/>
    <w:rsid w:val="00E33D68"/>
    <w:rsid w:val="00E3477A"/>
    <w:rsid w:val="00E352FB"/>
    <w:rsid w:val="00E358EC"/>
    <w:rsid w:val="00E35C28"/>
    <w:rsid w:val="00E376E4"/>
    <w:rsid w:val="00E37733"/>
    <w:rsid w:val="00E40420"/>
    <w:rsid w:val="00E41EBB"/>
    <w:rsid w:val="00E43EC4"/>
    <w:rsid w:val="00E4406C"/>
    <w:rsid w:val="00E44542"/>
    <w:rsid w:val="00E50183"/>
    <w:rsid w:val="00E51BCB"/>
    <w:rsid w:val="00E53400"/>
    <w:rsid w:val="00E542F7"/>
    <w:rsid w:val="00E54361"/>
    <w:rsid w:val="00E5597B"/>
    <w:rsid w:val="00E5731A"/>
    <w:rsid w:val="00E5797B"/>
    <w:rsid w:val="00E62BDD"/>
    <w:rsid w:val="00E632CC"/>
    <w:rsid w:val="00E63CD8"/>
    <w:rsid w:val="00E65396"/>
    <w:rsid w:val="00E65C41"/>
    <w:rsid w:val="00E66A03"/>
    <w:rsid w:val="00E66C40"/>
    <w:rsid w:val="00E67476"/>
    <w:rsid w:val="00E67F91"/>
    <w:rsid w:val="00E71252"/>
    <w:rsid w:val="00E71BC8"/>
    <w:rsid w:val="00E7260F"/>
    <w:rsid w:val="00E73953"/>
    <w:rsid w:val="00E7543A"/>
    <w:rsid w:val="00E7582C"/>
    <w:rsid w:val="00E759A9"/>
    <w:rsid w:val="00E75F22"/>
    <w:rsid w:val="00E76A04"/>
    <w:rsid w:val="00E779FC"/>
    <w:rsid w:val="00E80B72"/>
    <w:rsid w:val="00E82675"/>
    <w:rsid w:val="00E848D3"/>
    <w:rsid w:val="00E84AC3"/>
    <w:rsid w:val="00E85E43"/>
    <w:rsid w:val="00E86349"/>
    <w:rsid w:val="00E863FD"/>
    <w:rsid w:val="00E86F59"/>
    <w:rsid w:val="00E8726A"/>
    <w:rsid w:val="00E879CB"/>
    <w:rsid w:val="00E90155"/>
    <w:rsid w:val="00E92BFC"/>
    <w:rsid w:val="00E93CD3"/>
    <w:rsid w:val="00E94088"/>
    <w:rsid w:val="00E9408F"/>
    <w:rsid w:val="00E946BA"/>
    <w:rsid w:val="00E95575"/>
    <w:rsid w:val="00E96630"/>
    <w:rsid w:val="00E96A37"/>
    <w:rsid w:val="00E97027"/>
    <w:rsid w:val="00E97FF4"/>
    <w:rsid w:val="00EA0821"/>
    <w:rsid w:val="00EA118F"/>
    <w:rsid w:val="00EA1886"/>
    <w:rsid w:val="00EA26C7"/>
    <w:rsid w:val="00EA30D6"/>
    <w:rsid w:val="00EA3104"/>
    <w:rsid w:val="00EA31F7"/>
    <w:rsid w:val="00EA32DE"/>
    <w:rsid w:val="00EA5005"/>
    <w:rsid w:val="00EA5836"/>
    <w:rsid w:val="00EA7663"/>
    <w:rsid w:val="00EB16A9"/>
    <w:rsid w:val="00EB1ECC"/>
    <w:rsid w:val="00EB2581"/>
    <w:rsid w:val="00EB327A"/>
    <w:rsid w:val="00EB3A70"/>
    <w:rsid w:val="00EB56A2"/>
    <w:rsid w:val="00EB60B3"/>
    <w:rsid w:val="00EB7049"/>
    <w:rsid w:val="00EC1345"/>
    <w:rsid w:val="00EC1C71"/>
    <w:rsid w:val="00EC2245"/>
    <w:rsid w:val="00EC28F3"/>
    <w:rsid w:val="00EC347A"/>
    <w:rsid w:val="00EC4754"/>
    <w:rsid w:val="00EC542F"/>
    <w:rsid w:val="00EC58C5"/>
    <w:rsid w:val="00EC5FE7"/>
    <w:rsid w:val="00ED00C7"/>
    <w:rsid w:val="00ED06EC"/>
    <w:rsid w:val="00ED1386"/>
    <w:rsid w:val="00ED140E"/>
    <w:rsid w:val="00ED1515"/>
    <w:rsid w:val="00ED5317"/>
    <w:rsid w:val="00ED655E"/>
    <w:rsid w:val="00ED7A2A"/>
    <w:rsid w:val="00EE0B0F"/>
    <w:rsid w:val="00EE1B4E"/>
    <w:rsid w:val="00EE36F9"/>
    <w:rsid w:val="00EE370F"/>
    <w:rsid w:val="00EE5084"/>
    <w:rsid w:val="00EE5A36"/>
    <w:rsid w:val="00EE5BD5"/>
    <w:rsid w:val="00EE5D5C"/>
    <w:rsid w:val="00EE5E84"/>
    <w:rsid w:val="00EE6199"/>
    <w:rsid w:val="00EE68F2"/>
    <w:rsid w:val="00EE711E"/>
    <w:rsid w:val="00EE7275"/>
    <w:rsid w:val="00EE744F"/>
    <w:rsid w:val="00EE77B7"/>
    <w:rsid w:val="00EF0235"/>
    <w:rsid w:val="00EF09E6"/>
    <w:rsid w:val="00EF14C0"/>
    <w:rsid w:val="00EF1D7F"/>
    <w:rsid w:val="00EF1EF6"/>
    <w:rsid w:val="00EF40EB"/>
    <w:rsid w:val="00EF5073"/>
    <w:rsid w:val="00EF65BA"/>
    <w:rsid w:val="00F004E2"/>
    <w:rsid w:val="00F00716"/>
    <w:rsid w:val="00F02C8E"/>
    <w:rsid w:val="00F03069"/>
    <w:rsid w:val="00F03190"/>
    <w:rsid w:val="00F03535"/>
    <w:rsid w:val="00F03A99"/>
    <w:rsid w:val="00F04CDE"/>
    <w:rsid w:val="00F05290"/>
    <w:rsid w:val="00F060D9"/>
    <w:rsid w:val="00F06702"/>
    <w:rsid w:val="00F06A0F"/>
    <w:rsid w:val="00F100FA"/>
    <w:rsid w:val="00F10160"/>
    <w:rsid w:val="00F10238"/>
    <w:rsid w:val="00F10790"/>
    <w:rsid w:val="00F10A25"/>
    <w:rsid w:val="00F10E0C"/>
    <w:rsid w:val="00F1114D"/>
    <w:rsid w:val="00F12D79"/>
    <w:rsid w:val="00F137BE"/>
    <w:rsid w:val="00F1389A"/>
    <w:rsid w:val="00F145AF"/>
    <w:rsid w:val="00F148F2"/>
    <w:rsid w:val="00F151BD"/>
    <w:rsid w:val="00F1539A"/>
    <w:rsid w:val="00F16F6B"/>
    <w:rsid w:val="00F16FA2"/>
    <w:rsid w:val="00F20424"/>
    <w:rsid w:val="00F208DE"/>
    <w:rsid w:val="00F20C3D"/>
    <w:rsid w:val="00F2311F"/>
    <w:rsid w:val="00F23820"/>
    <w:rsid w:val="00F23B86"/>
    <w:rsid w:val="00F23E8E"/>
    <w:rsid w:val="00F25118"/>
    <w:rsid w:val="00F251C3"/>
    <w:rsid w:val="00F2528A"/>
    <w:rsid w:val="00F25822"/>
    <w:rsid w:val="00F25C4A"/>
    <w:rsid w:val="00F25E5E"/>
    <w:rsid w:val="00F26A6F"/>
    <w:rsid w:val="00F26BC3"/>
    <w:rsid w:val="00F27F80"/>
    <w:rsid w:val="00F301C6"/>
    <w:rsid w:val="00F30F1F"/>
    <w:rsid w:val="00F318C1"/>
    <w:rsid w:val="00F31FB3"/>
    <w:rsid w:val="00F32635"/>
    <w:rsid w:val="00F35A8E"/>
    <w:rsid w:val="00F36520"/>
    <w:rsid w:val="00F36AFD"/>
    <w:rsid w:val="00F36C66"/>
    <w:rsid w:val="00F419C0"/>
    <w:rsid w:val="00F4204E"/>
    <w:rsid w:val="00F421C4"/>
    <w:rsid w:val="00F4380B"/>
    <w:rsid w:val="00F43E9E"/>
    <w:rsid w:val="00F4418A"/>
    <w:rsid w:val="00F44474"/>
    <w:rsid w:val="00F453A1"/>
    <w:rsid w:val="00F45731"/>
    <w:rsid w:val="00F45EE4"/>
    <w:rsid w:val="00F46CDD"/>
    <w:rsid w:val="00F53907"/>
    <w:rsid w:val="00F53F0E"/>
    <w:rsid w:val="00F549D0"/>
    <w:rsid w:val="00F55AE7"/>
    <w:rsid w:val="00F56D24"/>
    <w:rsid w:val="00F5774C"/>
    <w:rsid w:val="00F5793F"/>
    <w:rsid w:val="00F63797"/>
    <w:rsid w:val="00F647F9"/>
    <w:rsid w:val="00F64FCD"/>
    <w:rsid w:val="00F656E2"/>
    <w:rsid w:val="00F656E4"/>
    <w:rsid w:val="00F65E7F"/>
    <w:rsid w:val="00F666AD"/>
    <w:rsid w:val="00F667CF"/>
    <w:rsid w:val="00F6721A"/>
    <w:rsid w:val="00F67B7A"/>
    <w:rsid w:val="00F70B93"/>
    <w:rsid w:val="00F70FF2"/>
    <w:rsid w:val="00F713E3"/>
    <w:rsid w:val="00F71BF6"/>
    <w:rsid w:val="00F743CA"/>
    <w:rsid w:val="00F749AF"/>
    <w:rsid w:val="00F75F5B"/>
    <w:rsid w:val="00F76388"/>
    <w:rsid w:val="00F76E01"/>
    <w:rsid w:val="00F776AC"/>
    <w:rsid w:val="00F77963"/>
    <w:rsid w:val="00F82380"/>
    <w:rsid w:val="00F8265D"/>
    <w:rsid w:val="00F8521C"/>
    <w:rsid w:val="00F85C54"/>
    <w:rsid w:val="00F86121"/>
    <w:rsid w:val="00F86289"/>
    <w:rsid w:val="00F86A99"/>
    <w:rsid w:val="00F90553"/>
    <w:rsid w:val="00F9057C"/>
    <w:rsid w:val="00F906D7"/>
    <w:rsid w:val="00F90D84"/>
    <w:rsid w:val="00F90EA8"/>
    <w:rsid w:val="00F90FD3"/>
    <w:rsid w:val="00F910E4"/>
    <w:rsid w:val="00F915CD"/>
    <w:rsid w:val="00F9190E"/>
    <w:rsid w:val="00F91FD2"/>
    <w:rsid w:val="00F92055"/>
    <w:rsid w:val="00F9207D"/>
    <w:rsid w:val="00F927B3"/>
    <w:rsid w:val="00F93781"/>
    <w:rsid w:val="00F963B8"/>
    <w:rsid w:val="00F9669A"/>
    <w:rsid w:val="00F96BA5"/>
    <w:rsid w:val="00F976E7"/>
    <w:rsid w:val="00FA1481"/>
    <w:rsid w:val="00FA1718"/>
    <w:rsid w:val="00FA1FCE"/>
    <w:rsid w:val="00FA2D4B"/>
    <w:rsid w:val="00FA309F"/>
    <w:rsid w:val="00FA32C0"/>
    <w:rsid w:val="00FA380F"/>
    <w:rsid w:val="00FA447C"/>
    <w:rsid w:val="00FA56DB"/>
    <w:rsid w:val="00FA5D93"/>
    <w:rsid w:val="00FA62D9"/>
    <w:rsid w:val="00FA6BE1"/>
    <w:rsid w:val="00FB00E3"/>
    <w:rsid w:val="00FB1408"/>
    <w:rsid w:val="00FB1B6F"/>
    <w:rsid w:val="00FB3767"/>
    <w:rsid w:val="00FB44FC"/>
    <w:rsid w:val="00FB4B15"/>
    <w:rsid w:val="00FB5EB5"/>
    <w:rsid w:val="00FB613B"/>
    <w:rsid w:val="00FB6F7F"/>
    <w:rsid w:val="00FB7622"/>
    <w:rsid w:val="00FC0182"/>
    <w:rsid w:val="00FC134D"/>
    <w:rsid w:val="00FC20C0"/>
    <w:rsid w:val="00FC22CD"/>
    <w:rsid w:val="00FC2CFD"/>
    <w:rsid w:val="00FC5214"/>
    <w:rsid w:val="00FC5381"/>
    <w:rsid w:val="00FC6453"/>
    <w:rsid w:val="00FC68B7"/>
    <w:rsid w:val="00FC70CA"/>
    <w:rsid w:val="00FD0381"/>
    <w:rsid w:val="00FD0A8A"/>
    <w:rsid w:val="00FD0BF9"/>
    <w:rsid w:val="00FD1616"/>
    <w:rsid w:val="00FD1954"/>
    <w:rsid w:val="00FD23D3"/>
    <w:rsid w:val="00FD436D"/>
    <w:rsid w:val="00FD4FB8"/>
    <w:rsid w:val="00FD7631"/>
    <w:rsid w:val="00FE106A"/>
    <w:rsid w:val="00FE1292"/>
    <w:rsid w:val="00FE22ED"/>
    <w:rsid w:val="00FE349E"/>
    <w:rsid w:val="00FE41FB"/>
    <w:rsid w:val="00FE52FC"/>
    <w:rsid w:val="00FE6DC3"/>
    <w:rsid w:val="00FE7356"/>
    <w:rsid w:val="00FE7363"/>
    <w:rsid w:val="00FE7EF7"/>
    <w:rsid w:val="00FF0FD2"/>
    <w:rsid w:val="00FF1087"/>
    <w:rsid w:val="00FF1D1B"/>
    <w:rsid w:val="00FF2B3F"/>
    <w:rsid w:val="00FF3273"/>
    <w:rsid w:val="00FF3FD6"/>
    <w:rsid w:val="00FF49A1"/>
    <w:rsid w:val="00FF67E9"/>
    <w:rsid w:val="00FF6837"/>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uz-Cyrl-UZ"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v:textbox inset="5.85pt,.7pt,5.85pt,.7pt"/>
    </o:shapedefaults>
    <o:shapelayout v:ext="edit">
      <o:idmap v:ext="edit" data="1"/>
    </o:shapelayout>
  </w:shapeDefaults>
  <w:decimalSymbol w:val="."/>
  <w:listSeparator w:val=","/>
  <w14:docId w14:val="72469C75"/>
  <w15:docId w15:val="{ADADCDE9-9B02-4879-86C7-8F4AA9FD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983"/>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qFormat/>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uiPriority w:val="99"/>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uiPriority w:val="99"/>
    <w:semiHidden/>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1"/>
    <w:uiPriority w:val="99"/>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uiPriority w:val="99"/>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uiPriority w:val="99"/>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uiPriority w:val="99"/>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eastAsia="en-US"/>
    </w:rPr>
  </w:style>
  <w:style w:type="character" w:styleId="CommentReference">
    <w:name w:val="annotation reference"/>
    <w:basedOn w:val="DefaultParagraphFont"/>
    <w:uiPriority w:val="99"/>
    <w:rsid w:val="00161B02"/>
    <w:rPr>
      <w:rFonts w:cs="Times New Roman"/>
      <w:sz w:val="16"/>
    </w:rPr>
  </w:style>
  <w:style w:type="paragraph" w:styleId="CommentText">
    <w:name w:val="annotation text"/>
    <w:basedOn w:val="Normal"/>
    <w:link w:val="CommentTextChar"/>
    <w:uiPriority w:val="99"/>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uiPriority w:val="99"/>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Appel note de bas de p.,4_"/>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EastAsia"/>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 w:type="paragraph" w:styleId="NormalWeb">
    <w:name w:val="Normal (Web)"/>
    <w:basedOn w:val="Normal"/>
    <w:uiPriority w:val="99"/>
    <w:semiHidden/>
    <w:unhideWhenUsed/>
    <w:rsid w:val="00D73357"/>
    <w:pPr>
      <w:spacing w:before="100" w:beforeAutospacing="1" w:after="100" w:afterAutospacing="1"/>
    </w:pPr>
    <w:rPr>
      <w:lang w:val="en-GB" w:eastAsia="en-GB" w:bidi="ar-SA"/>
    </w:rPr>
  </w:style>
  <w:style w:type="paragraph" w:styleId="HTMLPreformatted">
    <w:name w:val="HTML Preformatted"/>
    <w:basedOn w:val="Normal"/>
    <w:link w:val="HTMLPreformattedChar"/>
    <w:uiPriority w:val="99"/>
    <w:semiHidden/>
    <w:unhideWhenUsed/>
    <w:rsid w:val="008C010E"/>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C010E"/>
    <w:rPr>
      <w:rFonts w:ascii="Consolas" w:hAnsi="Consolas"/>
      <w:sz w:val="20"/>
      <w:szCs w:val="20"/>
      <w:lang w:val="en-US"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595396">
      <w:bodyDiv w:val="1"/>
      <w:marLeft w:val="0"/>
      <w:marRight w:val="0"/>
      <w:marTop w:val="0"/>
      <w:marBottom w:val="0"/>
      <w:divBdr>
        <w:top w:val="none" w:sz="0" w:space="0" w:color="auto"/>
        <w:left w:val="none" w:sz="0" w:space="0" w:color="auto"/>
        <w:bottom w:val="none" w:sz="0" w:space="0" w:color="auto"/>
        <w:right w:val="none" w:sz="0" w:space="0" w:color="auto"/>
      </w:divBdr>
    </w:div>
    <w:div w:id="328750009">
      <w:bodyDiv w:val="1"/>
      <w:marLeft w:val="0"/>
      <w:marRight w:val="0"/>
      <w:marTop w:val="0"/>
      <w:marBottom w:val="0"/>
      <w:divBdr>
        <w:top w:val="none" w:sz="0" w:space="0" w:color="auto"/>
        <w:left w:val="none" w:sz="0" w:space="0" w:color="auto"/>
        <w:bottom w:val="none" w:sz="0" w:space="0" w:color="auto"/>
        <w:right w:val="none" w:sz="0" w:space="0" w:color="auto"/>
      </w:divBdr>
      <w:divsChild>
        <w:div w:id="666134112">
          <w:marLeft w:val="0"/>
          <w:marRight w:val="0"/>
          <w:marTop w:val="0"/>
          <w:marBottom w:val="0"/>
          <w:divBdr>
            <w:top w:val="none" w:sz="0" w:space="0" w:color="auto"/>
            <w:left w:val="none" w:sz="0" w:space="0" w:color="auto"/>
            <w:bottom w:val="none" w:sz="0" w:space="0" w:color="auto"/>
            <w:right w:val="none" w:sz="0" w:space="0" w:color="auto"/>
          </w:divBdr>
        </w:div>
      </w:divsChild>
    </w:div>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430930617">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604969443">
      <w:bodyDiv w:val="1"/>
      <w:marLeft w:val="0"/>
      <w:marRight w:val="0"/>
      <w:marTop w:val="0"/>
      <w:marBottom w:val="0"/>
      <w:divBdr>
        <w:top w:val="none" w:sz="0" w:space="0" w:color="auto"/>
        <w:left w:val="none" w:sz="0" w:space="0" w:color="auto"/>
        <w:bottom w:val="none" w:sz="0" w:space="0" w:color="auto"/>
        <w:right w:val="none" w:sz="0" w:space="0" w:color="auto"/>
      </w:divBdr>
    </w:div>
    <w:div w:id="655109469">
      <w:bodyDiv w:val="1"/>
      <w:marLeft w:val="0"/>
      <w:marRight w:val="0"/>
      <w:marTop w:val="0"/>
      <w:marBottom w:val="0"/>
      <w:divBdr>
        <w:top w:val="none" w:sz="0" w:space="0" w:color="auto"/>
        <w:left w:val="none" w:sz="0" w:space="0" w:color="auto"/>
        <w:bottom w:val="none" w:sz="0" w:space="0" w:color="auto"/>
        <w:right w:val="none" w:sz="0" w:space="0" w:color="auto"/>
      </w:divBdr>
    </w:div>
    <w:div w:id="665978549">
      <w:bodyDiv w:val="1"/>
      <w:marLeft w:val="0"/>
      <w:marRight w:val="0"/>
      <w:marTop w:val="0"/>
      <w:marBottom w:val="0"/>
      <w:divBdr>
        <w:top w:val="none" w:sz="0" w:space="0" w:color="auto"/>
        <w:left w:val="none" w:sz="0" w:space="0" w:color="auto"/>
        <w:bottom w:val="none" w:sz="0" w:space="0" w:color="auto"/>
        <w:right w:val="none" w:sz="0" w:space="0" w:color="auto"/>
      </w:divBdr>
    </w:div>
    <w:div w:id="700206755">
      <w:bodyDiv w:val="1"/>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776212758">
      <w:bodyDiv w:val="1"/>
      <w:marLeft w:val="0"/>
      <w:marRight w:val="0"/>
      <w:marTop w:val="0"/>
      <w:marBottom w:val="0"/>
      <w:divBdr>
        <w:top w:val="none" w:sz="0" w:space="0" w:color="auto"/>
        <w:left w:val="none" w:sz="0" w:space="0" w:color="auto"/>
        <w:bottom w:val="none" w:sz="0" w:space="0" w:color="auto"/>
        <w:right w:val="none" w:sz="0" w:space="0" w:color="auto"/>
      </w:divBdr>
    </w:div>
    <w:div w:id="843327803">
      <w:bodyDiv w:val="1"/>
      <w:marLeft w:val="0"/>
      <w:marRight w:val="0"/>
      <w:marTop w:val="0"/>
      <w:marBottom w:val="0"/>
      <w:divBdr>
        <w:top w:val="none" w:sz="0" w:space="0" w:color="auto"/>
        <w:left w:val="none" w:sz="0" w:space="0" w:color="auto"/>
        <w:bottom w:val="none" w:sz="0" w:space="0" w:color="auto"/>
        <w:right w:val="none" w:sz="0" w:space="0" w:color="auto"/>
      </w:divBdr>
    </w:div>
    <w:div w:id="844245440">
      <w:bodyDiv w:val="1"/>
      <w:marLeft w:val="0"/>
      <w:marRight w:val="0"/>
      <w:marTop w:val="0"/>
      <w:marBottom w:val="0"/>
      <w:divBdr>
        <w:top w:val="none" w:sz="0" w:space="0" w:color="auto"/>
        <w:left w:val="none" w:sz="0" w:space="0" w:color="auto"/>
        <w:bottom w:val="none" w:sz="0" w:space="0" w:color="auto"/>
        <w:right w:val="none" w:sz="0" w:space="0" w:color="auto"/>
      </w:divBdr>
    </w:div>
    <w:div w:id="861748821">
      <w:bodyDiv w:val="1"/>
      <w:marLeft w:val="0"/>
      <w:marRight w:val="0"/>
      <w:marTop w:val="0"/>
      <w:marBottom w:val="0"/>
      <w:divBdr>
        <w:top w:val="none" w:sz="0" w:space="0" w:color="auto"/>
        <w:left w:val="none" w:sz="0" w:space="0" w:color="auto"/>
        <w:bottom w:val="none" w:sz="0" w:space="0" w:color="auto"/>
        <w:right w:val="none" w:sz="0" w:space="0" w:color="auto"/>
      </w:divBdr>
    </w:div>
    <w:div w:id="873420059">
      <w:bodyDiv w:val="1"/>
      <w:marLeft w:val="0"/>
      <w:marRight w:val="0"/>
      <w:marTop w:val="0"/>
      <w:marBottom w:val="0"/>
      <w:divBdr>
        <w:top w:val="none" w:sz="0" w:space="0" w:color="auto"/>
        <w:left w:val="none" w:sz="0" w:space="0" w:color="auto"/>
        <w:bottom w:val="none" w:sz="0" w:space="0" w:color="auto"/>
        <w:right w:val="none" w:sz="0" w:space="0" w:color="auto"/>
      </w:divBdr>
    </w:div>
    <w:div w:id="939145261">
      <w:bodyDiv w:val="1"/>
      <w:marLeft w:val="0"/>
      <w:marRight w:val="0"/>
      <w:marTop w:val="0"/>
      <w:marBottom w:val="0"/>
      <w:divBdr>
        <w:top w:val="none" w:sz="0" w:space="0" w:color="auto"/>
        <w:left w:val="none" w:sz="0" w:space="0" w:color="auto"/>
        <w:bottom w:val="none" w:sz="0" w:space="0" w:color="auto"/>
        <w:right w:val="none" w:sz="0" w:space="0" w:color="auto"/>
      </w:divBdr>
    </w:div>
    <w:div w:id="1029837717">
      <w:bodyDiv w:val="1"/>
      <w:marLeft w:val="0"/>
      <w:marRight w:val="0"/>
      <w:marTop w:val="0"/>
      <w:marBottom w:val="0"/>
      <w:divBdr>
        <w:top w:val="none" w:sz="0" w:space="0" w:color="auto"/>
        <w:left w:val="none" w:sz="0" w:space="0" w:color="auto"/>
        <w:bottom w:val="none" w:sz="0" w:space="0" w:color="auto"/>
        <w:right w:val="none" w:sz="0" w:space="0" w:color="auto"/>
      </w:divBdr>
    </w:div>
    <w:div w:id="1037782408">
      <w:bodyDiv w:val="1"/>
      <w:marLeft w:val="0"/>
      <w:marRight w:val="0"/>
      <w:marTop w:val="0"/>
      <w:marBottom w:val="0"/>
      <w:divBdr>
        <w:top w:val="none" w:sz="0" w:space="0" w:color="auto"/>
        <w:left w:val="none" w:sz="0" w:space="0" w:color="auto"/>
        <w:bottom w:val="none" w:sz="0" w:space="0" w:color="auto"/>
        <w:right w:val="none" w:sz="0" w:space="0" w:color="auto"/>
      </w:divBdr>
    </w:div>
    <w:div w:id="1106534902">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364331079">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1629242766">
      <w:bodyDiv w:val="1"/>
      <w:marLeft w:val="0"/>
      <w:marRight w:val="0"/>
      <w:marTop w:val="0"/>
      <w:marBottom w:val="0"/>
      <w:divBdr>
        <w:top w:val="none" w:sz="0" w:space="0" w:color="auto"/>
        <w:left w:val="none" w:sz="0" w:space="0" w:color="auto"/>
        <w:bottom w:val="none" w:sz="0" w:space="0" w:color="auto"/>
        <w:right w:val="none" w:sz="0" w:space="0" w:color="auto"/>
      </w:divBdr>
    </w:div>
    <w:div w:id="1732582983">
      <w:bodyDiv w:val="1"/>
      <w:marLeft w:val="0"/>
      <w:marRight w:val="0"/>
      <w:marTop w:val="0"/>
      <w:marBottom w:val="0"/>
      <w:divBdr>
        <w:top w:val="none" w:sz="0" w:space="0" w:color="auto"/>
        <w:left w:val="none" w:sz="0" w:space="0" w:color="auto"/>
        <w:bottom w:val="none" w:sz="0" w:space="0" w:color="auto"/>
        <w:right w:val="none" w:sz="0" w:space="0" w:color="auto"/>
      </w:divBdr>
    </w:div>
    <w:div w:id="1795714907">
      <w:bodyDiv w:val="1"/>
      <w:marLeft w:val="0"/>
      <w:marRight w:val="0"/>
      <w:marTop w:val="0"/>
      <w:marBottom w:val="0"/>
      <w:divBdr>
        <w:top w:val="none" w:sz="0" w:space="0" w:color="auto"/>
        <w:left w:val="none" w:sz="0" w:space="0" w:color="auto"/>
        <w:bottom w:val="none" w:sz="0" w:space="0" w:color="auto"/>
        <w:right w:val="none" w:sz="0" w:space="0" w:color="auto"/>
      </w:divBdr>
    </w:div>
    <w:div w:id="1928997149">
      <w:bodyDiv w:val="1"/>
      <w:marLeft w:val="0"/>
      <w:marRight w:val="0"/>
      <w:marTop w:val="0"/>
      <w:marBottom w:val="0"/>
      <w:divBdr>
        <w:top w:val="none" w:sz="0" w:space="0" w:color="auto"/>
        <w:left w:val="none" w:sz="0" w:space="0" w:color="auto"/>
        <w:bottom w:val="none" w:sz="0" w:space="0" w:color="auto"/>
        <w:right w:val="none" w:sz="0" w:space="0" w:color="auto"/>
      </w:divBdr>
    </w:div>
    <w:div w:id="1967198652">
      <w:bodyDiv w:val="1"/>
      <w:marLeft w:val="0"/>
      <w:marRight w:val="0"/>
      <w:marTop w:val="0"/>
      <w:marBottom w:val="0"/>
      <w:divBdr>
        <w:top w:val="none" w:sz="0" w:space="0" w:color="auto"/>
        <w:left w:val="none" w:sz="0" w:space="0" w:color="auto"/>
        <w:bottom w:val="none" w:sz="0" w:space="0" w:color="auto"/>
        <w:right w:val="none" w:sz="0" w:space="0" w:color="auto"/>
      </w:divBdr>
    </w:div>
    <w:div w:id="1978563539">
      <w:bodyDiv w:val="1"/>
      <w:marLeft w:val="0"/>
      <w:marRight w:val="0"/>
      <w:marTop w:val="0"/>
      <w:marBottom w:val="0"/>
      <w:divBdr>
        <w:top w:val="none" w:sz="0" w:space="0" w:color="auto"/>
        <w:left w:val="none" w:sz="0" w:space="0" w:color="auto"/>
        <w:bottom w:val="none" w:sz="0" w:space="0" w:color="auto"/>
        <w:right w:val="none" w:sz="0" w:space="0" w:color="auto"/>
      </w:divBdr>
    </w:div>
    <w:div w:id="2007242515">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Documents/HRBodies/CCPR/Membership/CV_El_Haiba.pdf" TargetMode="External"/><Relationship Id="rId2" Type="http://schemas.openxmlformats.org/officeDocument/2006/relationships/hyperlink" Target="https://www.ohchr.org/Documents/HRBodies/CCPR/Membership/CV_BEN_ACHOUR_FRE.docx" TargetMode="External"/><Relationship Id="rId1" Type="http://schemas.openxmlformats.org/officeDocument/2006/relationships/hyperlink" Target="https://www.ohchr.org/Documents/HRBodies/CCPR/Membership/Bassim_ENG.pdf" TargetMode="External"/><Relationship Id="rId4" Type="http://schemas.openxmlformats.org/officeDocument/2006/relationships/hyperlink" Target="https://www.ohchr.org/Documents/HRBodies/CCPR/Membership/Tchamda_F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C0D4A-0D03-47BD-8970-F168A5596599}"/>
</file>

<file path=customXml/itemProps2.xml><?xml version="1.0" encoding="utf-8"?>
<ds:datastoreItem xmlns:ds="http://schemas.openxmlformats.org/officeDocument/2006/customXml" ds:itemID="{507EBAB3-34BB-4C8F-868D-DFCA070D9785}">
  <ds:schemaRefs>
    <ds:schemaRef ds:uri="http://schemas.microsoft.com/sharepoint/v3/contenttype/forms"/>
  </ds:schemaRefs>
</ds:datastoreItem>
</file>

<file path=customXml/itemProps3.xml><?xml version="1.0" encoding="utf-8"?>
<ds:datastoreItem xmlns:ds="http://schemas.openxmlformats.org/officeDocument/2006/customXml" ds:itemID="{58DFB642-8438-4430-99C8-225DA0B7C86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822420B-7523-43E2-8837-57D45472F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3295</Words>
  <Characters>18787</Characters>
  <Application>Microsoft Office Word</Application>
  <DocSecurity>0</DocSecurity>
  <Lines>156</Lines>
  <Paragraphs>44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CCPR/C/135/DR/2917/2016</vt:lpstr>
      <vt:lpstr>CCPR/C/132/DR/2857/2016</vt:lpstr>
      <vt:lpstr>1610356</vt:lpstr>
    </vt:vector>
  </TitlesOfParts>
  <Company>CSD</Company>
  <LinksUpToDate>false</LinksUpToDate>
  <CharactersWithSpaces>22038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CCPR/C/135/DR/2917/2016</dc:title>
  <dc:subject>2209822</dc:subject>
  <dc:creator>temp Neogi</dc:creator>
  <cp:keywords/>
  <dc:description/>
  <cp:lastModifiedBy>Mohamed Abdelazim</cp:lastModifiedBy>
  <cp:revision>2</cp:revision>
  <cp:lastPrinted>2022-11-11T08:17:00Z</cp:lastPrinted>
  <dcterms:created xsi:type="dcterms:W3CDTF">2022-11-11T08:17:00Z</dcterms:created>
  <dcterms:modified xsi:type="dcterms:W3CDTF">2022-11-11T08:17:00Z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1000</vt:r8>
  </property>
</Properties>
</file>