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E683A" w14:textId="5A9B044D" w:rsidR="00CA3A18" w:rsidRDefault="00CA3A18" w:rsidP="00B53D8B">
      <w:pPr>
        <w:pStyle w:val="prastasiniatinklio"/>
        <w:spacing w:line="360" w:lineRule="auto"/>
        <w:ind w:left="720"/>
        <w:jc w:val="both"/>
        <w:rPr>
          <w:rFonts w:ascii="Times New Roman" w:hAnsi="Times New Roman" w:cs="Times New Roman"/>
          <w:b/>
          <w:bCs/>
          <w:color w:val="000000"/>
          <w:lang w:val="en-US"/>
        </w:rPr>
      </w:pPr>
      <w:r>
        <w:rPr>
          <w:rFonts w:ascii="Times New Roman" w:hAnsi="Times New Roman" w:cs="Times New Roman"/>
          <w:b/>
          <w:bCs/>
          <w:color w:val="000000"/>
          <w:lang w:val="en-US"/>
        </w:rPr>
        <w:t>Answers by the Lithuania’s delegation to the Committee’s follow-up questions</w:t>
      </w:r>
    </w:p>
    <w:p w14:paraId="31B5BE4B" w14:textId="5320DBD5" w:rsidR="00CA4E18" w:rsidRPr="002B2EDC" w:rsidRDefault="002B2EDC" w:rsidP="00B53D8B">
      <w:pPr>
        <w:pStyle w:val="prastasiniatinklio"/>
        <w:spacing w:line="360" w:lineRule="auto"/>
        <w:ind w:left="720"/>
        <w:jc w:val="both"/>
        <w:rPr>
          <w:rFonts w:ascii="Times New Roman" w:hAnsi="Times New Roman" w:cs="Times New Roman"/>
          <w:color w:val="000000"/>
          <w:lang w:val="en-GB"/>
        </w:rPr>
      </w:pPr>
      <w:r>
        <w:rPr>
          <w:rFonts w:ascii="Times New Roman" w:hAnsi="Times New Roman" w:cs="Times New Roman"/>
          <w:b/>
          <w:bCs/>
          <w:color w:val="000000"/>
          <w:lang w:val="en-US"/>
        </w:rPr>
        <w:t xml:space="preserve">1. </w:t>
      </w:r>
      <w:r w:rsidR="00CA4E18" w:rsidRPr="002B2EDC">
        <w:rPr>
          <w:rFonts w:ascii="Times New Roman" w:hAnsi="Times New Roman" w:cs="Times New Roman"/>
          <w:b/>
          <w:bCs/>
          <w:color w:val="000000"/>
          <w:lang w:val="en-GB"/>
        </w:rPr>
        <w:t>Lithuania prohibits forced or non‑consensual sterilization</w:t>
      </w:r>
      <w:r w:rsidR="00CA4E18" w:rsidRPr="002B2EDC">
        <w:rPr>
          <w:rFonts w:ascii="Times New Roman" w:hAnsi="Times New Roman" w:cs="Times New Roman"/>
          <w:color w:val="000000"/>
          <w:lang w:val="en-GB"/>
        </w:rPr>
        <w:t xml:space="preserve">. Medical interventions require free, informed consent; if a person lacks capacity, court authorization is needed for major procedures, and there is no judicial practice authorizing sterilization or castration. The Patients’ Rights and Compensation for Damage to Health Law guarantees informed consent (with emergency‑only exceptions) and provides no‑fault compensation and complaints/appeals for redress. Under the Mental Health Care Law, involuntary hospitalization is permitted up to three working days only for imminent risk, with any extension decided by a court; limited treatment without consent is allowed only during that risk window. Prevention measures include FACT teams, a 50% expansion of day hospitals, case managers in primary care, WHO </w:t>
      </w:r>
      <w:proofErr w:type="spellStart"/>
      <w:r w:rsidR="00CA4E18" w:rsidRPr="002B2EDC">
        <w:rPr>
          <w:rFonts w:ascii="Times New Roman" w:hAnsi="Times New Roman" w:cs="Times New Roman"/>
          <w:color w:val="000000"/>
          <w:lang w:val="en-GB"/>
        </w:rPr>
        <w:t>QualityRights</w:t>
      </w:r>
      <w:proofErr w:type="spellEnd"/>
      <w:r w:rsidR="00CA4E18" w:rsidRPr="002B2EDC">
        <w:rPr>
          <w:rFonts w:ascii="Times New Roman" w:hAnsi="Times New Roman" w:cs="Times New Roman"/>
          <w:color w:val="000000"/>
          <w:lang w:val="en-GB"/>
        </w:rPr>
        <w:t xml:space="preserve"> implementation, and an ongoing law reform to strengthen rights. </w:t>
      </w:r>
    </w:p>
    <w:p w14:paraId="7D0F85A7" w14:textId="3284A255" w:rsidR="00CA4E18" w:rsidRPr="002B2EDC" w:rsidRDefault="00286EE9" w:rsidP="00B53D8B">
      <w:pPr>
        <w:pStyle w:val="prastasiniatinklio"/>
        <w:spacing w:line="360" w:lineRule="auto"/>
        <w:ind w:left="720"/>
        <w:jc w:val="both"/>
        <w:rPr>
          <w:rFonts w:ascii="Times New Roman" w:hAnsi="Times New Roman" w:cs="Times New Roman"/>
          <w:b/>
          <w:bCs/>
          <w:color w:val="000000"/>
          <w:lang w:val="en-GB"/>
        </w:rPr>
      </w:pPr>
      <w:r>
        <w:rPr>
          <w:rFonts w:ascii="Times New Roman" w:hAnsi="Times New Roman" w:cs="Times New Roman"/>
          <w:b/>
          <w:bCs/>
          <w:color w:val="000000"/>
          <w:lang w:val="en-GB"/>
        </w:rPr>
        <w:t xml:space="preserve">2. </w:t>
      </w:r>
      <w:r w:rsidR="00500601" w:rsidRPr="002B2EDC">
        <w:rPr>
          <w:rFonts w:ascii="Times New Roman" w:hAnsi="Times New Roman" w:cs="Times New Roman"/>
          <w:b/>
          <w:bCs/>
          <w:color w:val="000000"/>
          <w:lang w:val="en-GB"/>
        </w:rPr>
        <w:t>Measures ensuring access to health care for older women in rural areas</w:t>
      </w:r>
      <w:r w:rsidR="00500601" w:rsidRPr="002B2EDC">
        <w:rPr>
          <w:rFonts w:ascii="Times New Roman" w:hAnsi="Times New Roman" w:cs="Times New Roman"/>
          <w:color w:val="000000"/>
          <w:lang w:val="en-GB"/>
        </w:rPr>
        <w:t xml:space="preserve"> include free choice of family doctor within a broad primary care network, home visits for persons with mobility limitations, and participation in national screening programmes (breast, cervical, colorectal cancer; cardiovascular disease). Older women benefit from geriatric assessment, case management and integrated care models for multimorbidity. Access in rural areas is supported through home nursing services, medical transport, rehabilitation, technical aids, continence supplies, disability related dental care and palliative care. </w:t>
      </w:r>
    </w:p>
    <w:p w14:paraId="551A6728" w14:textId="6659BF06" w:rsidR="00327F5C" w:rsidRPr="002B2EDC" w:rsidRDefault="00286EE9" w:rsidP="00B53D8B">
      <w:pPr>
        <w:pStyle w:val="prastasiniatinklio"/>
        <w:spacing w:line="360" w:lineRule="auto"/>
        <w:ind w:left="720"/>
        <w:jc w:val="both"/>
        <w:rPr>
          <w:rFonts w:ascii="Times New Roman" w:hAnsi="Times New Roman" w:cs="Times New Roman"/>
          <w:color w:val="000000"/>
          <w:lang w:val="en-GB"/>
        </w:rPr>
      </w:pPr>
      <w:r>
        <w:rPr>
          <w:rFonts w:ascii="Times New Roman" w:hAnsi="Times New Roman" w:cs="Times New Roman"/>
          <w:b/>
          <w:bCs/>
          <w:color w:val="000000"/>
          <w:lang w:val="en-GB"/>
        </w:rPr>
        <w:t xml:space="preserve">3. </w:t>
      </w:r>
      <w:r w:rsidR="001A5FA1" w:rsidRPr="002B2EDC">
        <w:rPr>
          <w:rFonts w:ascii="Times New Roman" w:hAnsi="Times New Roman" w:cs="Times New Roman"/>
          <w:b/>
          <w:bCs/>
          <w:color w:val="000000"/>
          <w:lang w:val="en-GB"/>
        </w:rPr>
        <w:t>Inter institutional cooperation in cases of sexual and drug facilitated sexual violence</w:t>
      </w:r>
      <w:r w:rsidR="001A5FA1" w:rsidRPr="002B2EDC">
        <w:rPr>
          <w:rFonts w:ascii="Times New Roman" w:hAnsi="Times New Roman" w:cs="Times New Roman"/>
          <w:color w:val="000000"/>
          <w:lang w:val="en-GB"/>
        </w:rPr>
        <w:t xml:space="preserve"> is ensured through mandatory duties of health care professionals to identify signs of abuse, monitor health, and immediately report suspected cases to police or child protection authorities. Health care providers must notify police about injuries potentially caused by crime. In nearly all </w:t>
      </w:r>
      <w:r w:rsidR="001A5FA1" w:rsidRPr="002B2EDC">
        <w:rPr>
          <w:rFonts w:ascii="Times New Roman" w:hAnsi="Times New Roman" w:cs="Times New Roman"/>
          <w:color w:val="000000"/>
          <w:lang w:val="en-GB"/>
        </w:rPr>
        <w:lastRenderedPageBreak/>
        <w:t>sexual violence cases, victims arrive accompanied by police, enabling safe forensic examination. Five regional hospitals provide 24/7 comprehensive care, including medical, gynaecological, psychological and psychiatric services, following detailed ministerial protocols. Forensic procedures include injury documentation, STI and pregnancy testing, emergency contraception, HIV/hepatitis prophylaxis and long term follow up. Further support</w:t>
      </w:r>
      <w:r w:rsidR="002F7555">
        <w:rPr>
          <w:rStyle w:val="Puslapioinaosnuoroda"/>
          <w:rFonts w:ascii="Times New Roman" w:hAnsi="Times New Roman" w:cs="Times New Roman"/>
          <w:color w:val="000000"/>
          <w:lang w:val="en-GB"/>
        </w:rPr>
        <w:footnoteReference w:id="1"/>
      </w:r>
      <w:r w:rsidR="001A5FA1" w:rsidRPr="002B2EDC">
        <w:rPr>
          <w:rFonts w:ascii="Times New Roman" w:hAnsi="Times New Roman" w:cs="Times New Roman"/>
          <w:color w:val="000000"/>
          <w:lang w:val="en-GB"/>
        </w:rPr>
        <w:t xml:space="preserve"> is provided via specialised complex support centres (domestic cases) or crisis centres (other cases). A ministry funded methodological centre develops methodologies, algorithms, and an inter institutional cooperation mechanism, integrates intersectional dimensions (disability, religion, race, nationality, sexual orientation, gender identity), and analyses international practices. Since 2023, the </w:t>
      </w:r>
      <w:proofErr w:type="spellStart"/>
      <w:r w:rsidR="001A5FA1" w:rsidRPr="002B2EDC">
        <w:rPr>
          <w:rFonts w:ascii="Times New Roman" w:hAnsi="Times New Roman" w:cs="Times New Roman"/>
          <w:color w:val="000000"/>
          <w:lang w:val="en-GB"/>
        </w:rPr>
        <w:t>Prabilk</w:t>
      </w:r>
      <w:proofErr w:type="spellEnd"/>
      <w:r w:rsidR="001A5FA1" w:rsidRPr="002B2EDC">
        <w:rPr>
          <w:rFonts w:ascii="Times New Roman" w:hAnsi="Times New Roman" w:cs="Times New Roman"/>
          <w:color w:val="000000"/>
          <w:lang w:val="en-GB"/>
        </w:rPr>
        <w:t xml:space="preserve"> project</w:t>
      </w:r>
      <w:r w:rsidR="00696334">
        <w:rPr>
          <w:rStyle w:val="Puslapioinaosnuoroda"/>
          <w:rFonts w:ascii="Times New Roman" w:hAnsi="Times New Roman" w:cs="Times New Roman"/>
          <w:color w:val="000000"/>
          <w:lang w:val="en-GB"/>
        </w:rPr>
        <w:footnoteReference w:id="2"/>
      </w:r>
      <w:r w:rsidR="00601A58">
        <w:rPr>
          <w:rFonts w:ascii="Times New Roman" w:hAnsi="Times New Roman" w:cs="Times New Roman"/>
          <w:color w:val="000000"/>
          <w:lang w:val="en-GB"/>
        </w:rPr>
        <w:t xml:space="preserve"> </w:t>
      </w:r>
      <w:r w:rsidR="001A5FA1" w:rsidRPr="002B2EDC">
        <w:rPr>
          <w:rFonts w:ascii="Times New Roman" w:hAnsi="Times New Roman" w:cs="Times New Roman"/>
          <w:color w:val="000000"/>
          <w:lang w:val="en-GB"/>
        </w:rPr>
        <w:t>(EUR 100,000 annually) provides methodological, emotional and informational support and implements prevention activities.</w:t>
      </w:r>
      <w:r w:rsidR="009A794C" w:rsidRPr="002B2EDC">
        <w:rPr>
          <w:rFonts w:ascii="Times New Roman" w:hAnsi="Times New Roman" w:cs="Times New Roman"/>
          <w:color w:val="000000"/>
          <w:lang w:val="en-GB"/>
        </w:rPr>
        <w:t xml:space="preserve"> </w:t>
      </w:r>
    </w:p>
    <w:p w14:paraId="4465F74A" w14:textId="71424F57" w:rsidR="00C0723C" w:rsidRPr="002B2EDC" w:rsidRDefault="00601A58" w:rsidP="00B53D8B">
      <w:pPr>
        <w:pStyle w:val="Sraopastraipa"/>
        <w:spacing w:line="360" w:lineRule="auto"/>
        <w:jc w:val="both"/>
        <w:rPr>
          <w:rFonts w:ascii="Times New Roman" w:hAnsi="Times New Roman" w:cs="Times New Roman"/>
          <w:color w:val="000000"/>
          <w:lang w:val="en-GB"/>
        </w:rPr>
      </w:pPr>
      <w:r>
        <w:rPr>
          <w:rFonts w:ascii="Times New Roman" w:hAnsi="Times New Roman" w:cs="Times New Roman"/>
          <w:b/>
          <w:bCs/>
          <w:color w:val="000000"/>
          <w:lang w:val="en-GB"/>
        </w:rPr>
        <w:t xml:space="preserve">3. </w:t>
      </w:r>
      <w:r w:rsidR="00C0723C" w:rsidRPr="002B2EDC">
        <w:rPr>
          <w:rFonts w:ascii="Times New Roman" w:hAnsi="Times New Roman" w:cs="Times New Roman"/>
          <w:b/>
          <w:bCs/>
          <w:color w:val="000000"/>
          <w:lang w:val="en-GB"/>
        </w:rPr>
        <w:t>Lithuania is introducing several ESG</w:t>
      </w:r>
      <w:r w:rsidR="00C0723C" w:rsidRPr="002B2EDC">
        <w:rPr>
          <w:rFonts w:ascii="Times New Roman" w:hAnsi="Times New Roman" w:cs="Times New Roman"/>
          <w:b/>
          <w:bCs/>
          <w:color w:val="000000"/>
          <w:lang w:val="en-GB"/>
        </w:rPr>
        <w:noBreakHyphen/>
        <w:t>related reforms to strengthen gender equality in national statistics</w:t>
      </w:r>
      <w:r w:rsidR="00C0723C" w:rsidRPr="002B2EDC">
        <w:rPr>
          <w:rFonts w:ascii="Times New Roman" w:hAnsi="Times New Roman" w:cs="Times New Roman"/>
          <w:color w:val="000000"/>
          <w:lang w:val="en-GB"/>
        </w:rPr>
        <w:t xml:space="preserve"> and key economic sectors. A central measure is the 2025 Government Resolution establishing a new Gender Equality Statistical Survey, which from 2027 will provide more detailed intersectional indicators on employment, pay, leadership, economic security and gender</w:t>
      </w:r>
      <w:r w:rsidR="00C0723C" w:rsidRPr="002B2EDC">
        <w:rPr>
          <w:rFonts w:ascii="Times New Roman" w:hAnsi="Times New Roman" w:cs="Times New Roman"/>
          <w:color w:val="000000"/>
          <w:lang w:val="en-GB"/>
        </w:rPr>
        <w:noBreakHyphen/>
        <w:t>based violence. The forthcoming National Equality Data Strategy (2026) will expand the availability and use of gender</w:t>
      </w:r>
      <w:r w:rsidR="00C0723C" w:rsidRPr="002B2EDC">
        <w:rPr>
          <w:rFonts w:ascii="Times New Roman" w:hAnsi="Times New Roman" w:cs="Times New Roman"/>
          <w:color w:val="000000"/>
          <w:lang w:val="en-GB"/>
        </w:rPr>
        <w:noBreakHyphen/>
        <w:t>disaggregated data and improve cooperation among institutions.</w:t>
      </w:r>
    </w:p>
    <w:p w14:paraId="16CCADE6" w14:textId="77777777" w:rsidR="00C0723C" w:rsidRPr="002B2EDC" w:rsidRDefault="00C0723C" w:rsidP="00B53D8B">
      <w:pPr>
        <w:pStyle w:val="Sraopastraipa"/>
        <w:spacing w:line="360" w:lineRule="auto"/>
        <w:jc w:val="both"/>
        <w:rPr>
          <w:rFonts w:ascii="Times New Roman" w:hAnsi="Times New Roman" w:cs="Times New Roman"/>
          <w:color w:val="000000"/>
          <w:lang w:val="en-GB"/>
        </w:rPr>
      </w:pPr>
      <w:r w:rsidRPr="002B2EDC">
        <w:rPr>
          <w:rFonts w:ascii="Times New Roman" w:hAnsi="Times New Roman" w:cs="Times New Roman"/>
          <w:color w:val="000000"/>
          <w:lang w:val="en-GB"/>
        </w:rPr>
        <w:t>The 2024–2026 Equal Opportunities Action Plan broadens earlier equality measures by adding objectives on public awareness, LGBTI+ rights and combating racism, enabling support for more diverse groups. The 2026–2028 Gender Equality Action Plan will further strengthen monitoring of women’s representation in decision</w:t>
      </w:r>
      <w:r w:rsidRPr="002B2EDC">
        <w:rPr>
          <w:rFonts w:ascii="Times New Roman" w:hAnsi="Times New Roman" w:cs="Times New Roman"/>
          <w:color w:val="000000"/>
          <w:lang w:val="en-GB"/>
        </w:rPr>
        <w:noBreakHyphen/>
        <w:t>making. When transposing the EU Equality Bodies Directive, the Law on Equal Opportunities will require public institutions to submit equality data for the national survey.</w:t>
      </w:r>
    </w:p>
    <w:p w14:paraId="66871CA5" w14:textId="27DDEA22" w:rsidR="00327F5C" w:rsidRPr="002B2EDC" w:rsidRDefault="00C0723C" w:rsidP="006C1009">
      <w:pPr>
        <w:pStyle w:val="Sraopastraipa"/>
        <w:spacing w:line="360" w:lineRule="auto"/>
        <w:jc w:val="both"/>
        <w:rPr>
          <w:rFonts w:ascii="Times New Roman" w:hAnsi="Times New Roman" w:cs="Times New Roman"/>
          <w:color w:val="000000"/>
          <w:lang w:val="en-GB"/>
        </w:rPr>
      </w:pPr>
      <w:r w:rsidRPr="002B2EDC">
        <w:rPr>
          <w:rFonts w:ascii="Times New Roman" w:hAnsi="Times New Roman" w:cs="Times New Roman"/>
          <w:color w:val="000000"/>
          <w:lang w:val="en-GB"/>
        </w:rPr>
        <w:t>Together, these reforms enhance gender</w:t>
      </w:r>
      <w:r w:rsidRPr="002B2EDC">
        <w:rPr>
          <w:rFonts w:ascii="Times New Roman" w:hAnsi="Times New Roman" w:cs="Times New Roman"/>
          <w:color w:val="000000"/>
          <w:lang w:val="en-GB"/>
        </w:rPr>
        <w:noBreakHyphen/>
        <w:t>related ESG indicators, integrate equality into national accounting and support Lithuania’s continued progress in the EU Gender Equality Index.</w:t>
      </w:r>
      <w:r w:rsidR="006C1009" w:rsidRPr="002B2EDC">
        <w:rPr>
          <w:rFonts w:ascii="Times New Roman" w:hAnsi="Times New Roman" w:cs="Times New Roman"/>
          <w:color w:val="000000"/>
          <w:lang w:val="en-GB"/>
        </w:rPr>
        <w:t xml:space="preserve"> </w:t>
      </w:r>
    </w:p>
    <w:p w14:paraId="398E4EB2" w14:textId="58145683" w:rsidR="005879E7" w:rsidRPr="002B2EDC" w:rsidRDefault="005B2D2E" w:rsidP="00B53D8B">
      <w:pPr>
        <w:pStyle w:val="prastasiniatinklio"/>
        <w:spacing w:line="360" w:lineRule="auto"/>
        <w:ind w:left="720"/>
        <w:jc w:val="both"/>
        <w:rPr>
          <w:rFonts w:ascii="Times New Roman" w:hAnsi="Times New Roman" w:cs="Times New Roman"/>
          <w:color w:val="000000"/>
          <w:lang w:val="en-GB"/>
        </w:rPr>
      </w:pPr>
      <w:r>
        <w:rPr>
          <w:rFonts w:ascii="Times New Roman" w:hAnsi="Times New Roman" w:cs="Times New Roman"/>
          <w:b/>
          <w:bCs/>
          <w:color w:val="000000"/>
          <w:lang w:val="en-GB"/>
        </w:rPr>
        <w:t xml:space="preserve">4. </w:t>
      </w:r>
      <w:r w:rsidR="005879E7" w:rsidRPr="002B2EDC">
        <w:rPr>
          <w:rFonts w:ascii="Times New Roman" w:hAnsi="Times New Roman" w:cs="Times New Roman"/>
          <w:b/>
          <w:bCs/>
          <w:color w:val="000000"/>
          <w:lang w:val="en-GB"/>
        </w:rPr>
        <w:t>At present, women’s unpaid care work in Lithuania is not integrated into national economic or pension systems</w:t>
      </w:r>
      <w:r w:rsidR="005879E7" w:rsidRPr="002B2EDC">
        <w:rPr>
          <w:rFonts w:ascii="Times New Roman" w:hAnsi="Times New Roman" w:cs="Times New Roman"/>
          <w:color w:val="000000"/>
          <w:lang w:val="en-GB"/>
        </w:rPr>
        <w:t>, and current pension reforms do not directly address gender‑based disparities. While childcare and care‑giving periods count toward pension‑qualifying service, this does not offset the long‑term impact of unpaid care on women’s earnings or pension outcomes.</w:t>
      </w:r>
    </w:p>
    <w:p w14:paraId="3A4C4CA9" w14:textId="3E67E8D4" w:rsidR="005879E7" w:rsidRPr="002B2EDC" w:rsidRDefault="005879E7" w:rsidP="00B53D8B">
      <w:pPr>
        <w:pStyle w:val="prastasiniatinklio"/>
        <w:spacing w:line="360" w:lineRule="auto"/>
        <w:ind w:left="720"/>
        <w:jc w:val="both"/>
        <w:rPr>
          <w:rFonts w:ascii="Times New Roman" w:hAnsi="Times New Roman" w:cs="Times New Roman"/>
          <w:color w:val="000000"/>
          <w:lang w:val="en-GB"/>
        </w:rPr>
      </w:pPr>
      <w:r w:rsidRPr="002B2EDC">
        <w:rPr>
          <w:rFonts w:ascii="Times New Roman" w:hAnsi="Times New Roman" w:cs="Times New Roman"/>
          <w:color w:val="000000"/>
          <w:lang w:val="en-GB"/>
        </w:rPr>
        <w:t xml:space="preserve">Introducing a gender‑responsive tax approach could be a forward‑looking option to help reduce disproportionate burdens on women and better recognise unpaid care. International practice shows that such measures can contribute to narrowing structural gender gaps. If explored, this could open a broader discussion on how fiscal policy might more effectively support gender equality. </w:t>
      </w:r>
    </w:p>
    <w:p w14:paraId="55017509" w14:textId="455D6404" w:rsidR="00C97044" w:rsidRPr="002B2EDC" w:rsidRDefault="000E6ABE" w:rsidP="00B53D8B">
      <w:pPr>
        <w:pStyle w:val="prastasiniatinklio"/>
        <w:spacing w:line="360" w:lineRule="auto"/>
        <w:ind w:left="720"/>
        <w:jc w:val="both"/>
        <w:rPr>
          <w:rFonts w:ascii="Times New Roman" w:hAnsi="Times New Roman" w:cs="Times New Roman"/>
          <w:color w:val="000000"/>
          <w:lang w:val="en-GB"/>
        </w:rPr>
      </w:pPr>
      <w:r>
        <w:rPr>
          <w:rFonts w:ascii="Times New Roman" w:hAnsi="Times New Roman" w:cs="Times New Roman"/>
          <w:b/>
          <w:bCs/>
          <w:color w:val="000000"/>
          <w:lang w:val="en-GB"/>
        </w:rPr>
        <w:t xml:space="preserve">5. </w:t>
      </w:r>
      <w:r w:rsidR="00C97044" w:rsidRPr="002B2EDC">
        <w:rPr>
          <w:rFonts w:ascii="Times New Roman" w:hAnsi="Times New Roman" w:cs="Times New Roman"/>
          <w:b/>
          <w:bCs/>
          <w:color w:val="000000"/>
          <w:lang w:val="en-GB"/>
        </w:rPr>
        <w:t>Lithuania is implementing a major reform to integrate social care and nursing into a single, accessible long‑term care system</w:t>
      </w:r>
      <w:r w:rsidR="00C97044" w:rsidRPr="002B2EDC">
        <w:rPr>
          <w:rFonts w:ascii="Times New Roman" w:hAnsi="Times New Roman" w:cs="Times New Roman"/>
          <w:color w:val="000000"/>
          <w:lang w:val="en-GB"/>
        </w:rPr>
        <w:t xml:space="preserve"> delivered through a one‑stop‑shop approach. Work on the integrated long‑term care model is underway jointly with the Ministry of Health, with completion planned for the second quarter of 2027. A dedicated working group established in March 2025 is developing the organisational, service delivery and financing framework.</w:t>
      </w:r>
    </w:p>
    <w:p w14:paraId="1321CAEB" w14:textId="2E318F47" w:rsidR="003C1645" w:rsidRPr="002B2EDC" w:rsidRDefault="00C97044" w:rsidP="00B53D8B">
      <w:pPr>
        <w:pStyle w:val="prastasiniatinklio"/>
        <w:spacing w:line="360" w:lineRule="auto"/>
        <w:ind w:left="720"/>
        <w:jc w:val="both"/>
        <w:rPr>
          <w:rFonts w:ascii="Times New Roman" w:hAnsi="Times New Roman" w:cs="Times New Roman"/>
          <w:color w:val="000000"/>
          <w:lang w:val="en-GB"/>
        </w:rPr>
      </w:pPr>
      <w:r w:rsidRPr="002B2EDC">
        <w:rPr>
          <w:rFonts w:ascii="Times New Roman" w:hAnsi="Times New Roman" w:cs="Times New Roman"/>
          <w:color w:val="000000"/>
          <w:lang w:val="en-GB"/>
        </w:rPr>
        <w:t>To strengthen support for persons with severe disabilities, annual state budget allocations to municipalities for social care services have grown by 36% between 2023 and 2025, resulting in a 24% increase in service recipients. The state additionally co‑finances a wider range of social services—including child day care, family support services, social rehabilitation for persons with disabilities and respite care—to expand service accessibility and better respond to diverse social needs</w:t>
      </w:r>
      <w:r w:rsidR="007A008B" w:rsidRPr="002B2EDC">
        <w:rPr>
          <w:rFonts w:ascii="Times New Roman" w:hAnsi="Times New Roman" w:cs="Times New Roman"/>
          <w:color w:val="000000"/>
          <w:lang w:val="en-GB"/>
        </w:rPr>
        <w:t>.</w:t>
      </w:r>
      <w:r w:rsidR="007A008B" w:rsidRPr="002B2EDC">
        <w:rPr>
          <w:rFonts w:ascii="Times New Roman" w:hAnsi="Times New Roman" w:cs="Times New Roman"/>
          <w:b/>
          <w:bCs/>
          <w:color w:val="EE0000"/>
          <w:lang w:val="en-GB"/>
        </w:rPr>
        <w:t xml:space="preserve"> </w:t>
      </w:r>
    </w:p>
    <w:p w14:paraId="7E45B083" w14:textId="0F7AC666" w:rsidR="006B3BE4" w:rsidRDefault="000E6ABE" w:rsidP="00B53D8B">
      <w:pPr>
        <w:pStyle w:val="prastasiniatinklio"/>
        <w:spacing w:line="360" w:lineRule="auto"/>
        <w:ind w:left="720"/>
        <w:jc w:val="both"/>
        <w:rPr>
          <w:rFonts w:ascii="Times New Roman" w:hAnsi="Times New Roman" w:cs="Times New Roman"/>
          <w:color w:val="000000"/>
          <w:lang w:val="en-GB"/>
        </w:rPr>
      </w:pPr>
      <w:r>
        <w:rPr>
          <w:rFonts w:ascii="Times New Roman" w:hAnsi="Times New Roman" w:cs="Times New Roman"/>
          <w:b/>
          <w:bCs/>
          <w:color w:val="000000"/>
          <w:lang w:val="en-GB"/>
        </w:rPr>
        <w:t xml:space="preserve">6. </w:t>
      </w:r>
      <w:r w:rsidR="006B3BE4" w:rsidRPr="002B2EDC">
        <w:rPr>
          <w:rFonts w:ascii="Times New Roman" w:hAnsi="Times New Roman" w:cs="Times New Roman"/>
          <w:b/>
          <w:bCs/>
          <w:color w:val="000000"/>
          <w:lang w:val="en-GB"/>
        </w:rPr>
        <w:t>In accordance with the State Social Insurance Law, the state insures one of the parents raising a child under the age of three</w:t>
      </w:r>
      <w:r w:rsidR="006B3BE4" w:rsidRPr="002B2EDC">
        <w:rPr>
          <w:rFonts w:ascii="Times New Roman" w:hAnsi="Times New Roman" w:cs="Times New Roman"/>
          <w:color w:val="000000"/>
          <w:lang w:val="en-GB"/>
        </w:rPr>
        <w:t>, as well as fathers/mothers, guardians and caregivers who provide home care for persons with disabilities, by paying their social insurance contributions from the state budget. These periods (child‑care up to 3 years and home‑care of a person with disability) are counted towards the length of service required for entitlement to a social insurance pension.</w:t>
      </w:r>
    </w:p>
    <w:p w14:paraId="40E4637B" w14:textId="4CB597F3" w:rsidR="005D2410" w:rsidRPr="002B2EDC" w:rsidRDefault="00C34DDE" w:rsidP="00B53D8B">
      <w:pPr>
        <w:pStyle w:val="prastasiniatinklio"/>
        <w:spacing w:line="360" w:lineRule="auto"/>
        <w:ind w:left="720"/>
        <w:jc w:val="both"/>
        <w:rPr>
          <w:rFonts w:ascii="Times New Roman" w:hAnsi="Times New Roman" w:cs="Times New Roman"/>
          <w:color w:val="000000"/>
          <w:lang w:val="en-GB"/>
        </w:rPr>
      </w:pPr>
      <w:r>
        <w:rPr>
          <w:rFonts w:ascii="Times New Roman" w:hAnsi="Times New Roman" w:cs="Times New Roman"/>
          <w:b/>
          <w:bCs/>
          <w:color w:val="000000"/>
          <w:lang w:val="en-GB"/>
        </w:rPr>
        <w:t>7. N/A</w:t>
      </w:r>
    </w:p>
    <w:p w14:paraId="09A8BED8" w14:textId="2837D7EA" w:rsidR="003C1645" w:rsidRPr="002B2EDC" w:rsidRDefault="00C34DDE" w:rsidP="00B53D8B">
      <w:pPr>
        <w:pStyle w:val="prastasiniatinklio"/>
        <w:spacing w:line="360" w:lineRule="auto"/>
        <w:ind w:left="720"/>
        <w:jc w:val="both"/>
        <w:rPr>
          <w:rFonts w:ascii="Times New Roman" w:hAnsi="Times New Roman" w:cs="Times New Roman"/>
          <w:color w:val="000000"/>
          <w:lang w:val="en-GB"/>
        </w:rPr>
      </w:pPr>
      <w:r>
        <w:rPr>
          <w:rFonts w:ascii="Times New Roman" w:hAnsi="Times New Roman" w:cs="Times New Roman"/>
          <w:b/>
          <w:bCs/>
          <w:color w:val="000000"/>
          <w:lang w:val="en-GB"/>
        </w:rPr>
        <w:t xml:space="preserve">8. </w:t>
      </w:r>
      <w:r w:rsidR="006B3BE4" w:rsidRPr="002B2EDC">
        <w:rPr>
          <w:rFonts w:ascii="Times New Roman" w:hAnsi="Times New Roman" w:cs="Times New Roman"/>
          <w:b/>
          <w:bCs/>
          <w:color w:val="000000"/>
          <w:lang w:val="en-GB"/>
        </w:rPr>
        <w:t>Lithuania’s social insurance and pension system is gender‑neutral</w:t>
      </w:r>
      <w:r w:rsidR="006B3BE4" w:rsidRPr="002B2EDC">
        <w:rPr>
          <w:rFonts w:ascii="Times New Roman" w:hAnsi="Times New Roman" w:cs="Times New Roman"/>
          <w:color w:val="000000"/>
          <w:lang w:val="en-GB"/>
        </w:rPr>
        <w:t xml:space="preserve">: the same conditions for acquiring pension‑qualifying service apply to everyone regardless of gender, and the amount of a social insurance pension depends solely on the size and duration of the social insurance contributions paid. </w:t>
      </w:r>
    </w:p>
    <w:p w14:paraId="7594FCCD" w14:textId="35E947DB" w:rsidR="00454CB3" w:rsidRPr="002B2EDC" w:rsidRDefault="00C34DDE" w:rsidP="00B53D8B">
      <w:pPr>
        <w:pStyle w:val="prastasiniatinklio"/>
        <w:spacing w:line="360" w:lineRule="auto"/>
        <w:ind w:left="720"/>
        <w:jc w:val="both"/>
        <w:rPr>
          <w:rFonts w:ascii="Times New Roman" w:hAnsi="Times New Roman" w:cs="Times New Roman"/>
          <w:color w:val="000000"/>
          <w:lang w:val="en-GB"/>
        </w:rPr>
      </w:pPr>
      <w:r>
        <w:rPr>
          <w:rFonts w:ascii="Times New Roman" w:hAnsi="Times New Roman" w:cs="Times New Roman"/>
          <w:b/>
          <w:bCs/>
          <w:color w:val="000000"/>
          <w:lang w:val="en-GB"/>
        </w:rPr>
        <w:t xml:space="preserve">9. </w:t>
      </w:r>
      <w:r w:rsidR="00EC49F9" w:rsidRPr="002B2EDC">
        <w:rPr>
          <w:rFonts w:ascii="Times New Roman" w:hAnsi="Times New Roman" w:cs="Times New Roman"/>
          <w:b/>
          <w:bCs/>
          <w:color w:val="000000"/>
          <w:lang w:val="en-GB"/>
        </w:rPr>
        <w:t>Since every fourth business owner in Lithuania is a woman, the number/</w:t>
      </w:r>
      <w:proofErr w:type="gramStart"/>
      <w:r w:rsidR="00EC49F9" w:rsidRPr="002B2EDC">
        <w:rPr>
          <w:rFonts w:ascii="Times New Roman" w:hAnsi="Times New Roman" w:cs="Times New Roman"/>
          <w:b/>
          <w:bCs/>
          <w:color w:val="000000"/>
          <w:lang w:val="en-GB"/>
        </w:rPr>
        <w:t>amount</w:t>
      </w:r>
      <w:proofErr w:type="gramEnd"/>
      <w:r w:rsidR="00EC49F9" w:rsidRPr="002B2EDC">
        <w:rPr>
          <w:rFonts w:ascii="Times New Roman" w:hAnsi="Times New Roman" w:cs="Times New Roman"/>
          <w:b/>
          <w:bCs/>
          <w:color w:val="000000"/>
          <w:lang w:val="en-GB"/>
        </w:rPr>
        <w:t xml:space="preserve"> of applications should reflect the same proportion</w:t>
      </w:r>
      <w:r w:rsidR="00EC49F9" w:rsidRPr="002B2EDC">
        <w:rPr>
          <w:rFonts w:ascii="Times New Roman" w:hAnsi="Times New Roman" w:cs="Times New Roman"/>
          <w:color w:val="000000"/>
          <w:lang w:val="en-GB"/>
        </w:rPr>
        <w:t xml:space="preserve"> (25% of all applicants)</w:t>
      </w:r>
      <w:r w:rsidR="00454CB3" w:rsidRPr="002B2EDC">
        <w:rPr>
          <w:rFonts w:ascii="Times New Roman" w:hAnsi="Times New Roman" w:cs="Times New Roman"/>
          <w:color w:val="000000"/>
          <w:lang w:val="en-GB"/>
        </w:rPr>
        <w:t>.</w:t>
      </w:r>
    </w:p>
    <w:p w14:paraId="6FB32A99" w14:textId="7B2D20A2" w:rsidR="00454CB3" w:rsidRPr="002B2EDC" w:rsidRDefault="00454CB3" w:rsidP="00B53D8B">
      <w:pPr>
        <w:pStyle w:val="prastasiniatinklio"/>
        <w:spacing w:line="360" w:lineRule="auto"/>
        <w:ind w:left="720"/>
        <w:jc w:val="both"/>
        <w:rPr>
          <w:rFonts w:ascii="Times New Roman" w:hAnsi="Times New Roman" w:cs="Times New Roman"/>
          <w:color w:val="000000"/>
          <w:lang w:val="en-GB"/>
        </w:rPr>
      </w:pPr>
      <w:r w:rsidRPr="002B2EDC">
        <w:rPr>
          <w:rFonts w:ascii="Times New Roman" w:hAnsi="Times New Roman" w:cs="Times New Roman"/>
          <w:color w:val="000000"/>
          <w:lang w:val="en-GB"/>
        </w:rPr>
        <w:t xml:space="preserve">Findings from the Global Entrepreneurship Monitor </w:t>
      </w:r>
      <w:r w:rsidR="00EC49F9" w:rsidRPr="002B2EDC">
        <w:rPr>
          <w:rStyle w:val="Puslapioinaosnuoroda"/>
          <w:rFonts w:ascii="Times New Roman" w:hAnsi="Times New Roman" w:cs="Times New Roman"/>
          <w:color w:val="000000"/>
          <w:lang w:val="en-GB"/>
        </w:rPr>
        <w:footnoteReference w:id="3"/>
      </w:r>
      <w:r w:rsidR="00EC49F9" w:rsidRPr="002B2EDC">
        <w:rPr>
          <w:rFonts w:ascii="Times New Roman" w:hAnsi="Times New Roman" w:cs="Times New Roman"/>
          <w:color w:val="000000"/>
          <w:lang w:val="en-GB"/>
        </w:rPr>
        <w:t xml:space="preserve"> </w:t>
      </w:r>
      <w:r w:rsidRPr="002B2EDC">
        <w:rPr>
          <w:rFonts w:ascii="Times New Roman" w:hAnsi="Times New Roman" w:cs="Times New Roman"/>
          <w:color w:val="000000"/>
          <w:lang w:val="en-GB"/>
        </w:rPr>
        <w:t>indicate that limited access to finance is not the primary reason for women’s business discontinuation, reported by only 8% of women, while factors such as other employment opportunities or low profitability are more common.</w:t>
      </w:r>
    </w:p>
    <w:p w14:paraId="450EFBE5" w14:textId="77777777" w:rsidR="009B490C" w:rsidRPr="002B2EDC" w:rsidRDefault="009B490C" w:rsidP="00B53D8B">
      <w:pPr>
        <w:pStyle w:val="prastasiniatinklio"/>
        <w:spacing w:line="360" w:lineRule="auto"/>
        <w:ind w:left="720"/>
        <w:jc w:val="both"/>
        <w:rPr>
          <w:rFonts w:ascii="Times New Roman" w:hAnsi="Times New Roman" w:cs="Times New Roman"/>
          <w:color w:val="000000"/>
          <w:lang w:val="en-GB"/>
        </w:rPr>
      </w:pPr>
      <w:r w:rsidRPr="002B2EDC">
        <w:rPr>
          <w:rFonts w:ascii="Times New Roman" w:hAnsi="Times New Roman" w:cs="Times New Roman"/>
          <w:color w:val="000000"/>
          <w:lang w:val="en-GB"/>
        </w:rPr>
        <w:t xml:space="preserve">Entrepreneurship support in Lithuania is provided through the Innovation Agency, particularly via the </w:t>
      </w:r>
      <w:r w:rsidRPr="002B2EDC">
        <w:rPr>
          <w:rFonts w:ascii="Times New Roman" w:hAnsi="Times New Roman" w:cs="Times New Roman"/>
          <w:b/>
          <w:bCs/>
          <w:color w:val="000000"/>
          <w:lang w:val="en-GB"/>
        </w:rPr>
        <w:t>“</w:t>
      </w:r>
      <w:proofErr w:type="spellStart"/>
      <w:r w:rsidRPr="002B2EDC">
        <w:rPr>
          <w:rFonts w:ascii="Times New Roman" w:hAnsi="Times New Roman" w:cs="Times New Roman"/>
          <w:b/>
          <w:bCs/>
          <w:color w:val="000000"/>
          <w:lang w:val="en-GB"/>
        </w:rPr>
        <w:t>Spiečius</w:t>
      </w:r>
      <w:proofErr w:type="spellEnd"/>
      <w:r w:rsidRPr="002B2EDC">
        <w:rPr>
          <w:rFonts w:ascii="Times New Roman" w:hAnsi="Times New Roman" w:cs="Times New Roman"/>
          <w:b/>
          <w:bCs/>
          <w:color w:val="000000"/>
          <w:lang w:val="en-GB"/>
        </w:rPr>
        <w:t>”</w:t>
      </w:r>
      <w:r w:rsidRPr="002B2EDC">
        <w:rPr>
          <w:rFonts w:ascii="Times New Roman" w:hAnsi="Times New Roman" w:cs="Times New Roman"/>
          <w:color w:val="000000"/>
          <w:lang w:val="en-GB"/>
        </w:rPr>
        <w:t xml:space="preserve"> business incubation network operating in 15 cities. The network offers practical training, mentoring, individual consultations, business diagnostics, digitalisation services, financial subsidies and co</w:t>
      </w:r>
      <w:r w:rsidRPr="002B2EDC">
        <w:rPr>
          <w:rFonts w:ascii="Times New Roman" w:hAnsi="Times New Roman" w:cs="Times New Roman"/>
          <w:color w:val="000000"/>
          <w:lang w:val="en-GB"/>
        </w:rPr>
        <w:noBreakHyphen/>
        <w:t xml:space="preserve">working spaces. Between 2021 and 2025, </w:t>
      </w:r>
      <w:r w:rsidRPr="002B2EDC">
        <w:rPr>
          <w:rFonts w:ascii="Times New Roman" w:hAnsi="Times New Roman" w:cs="Times New Roman"/>
          <w:b/>
          <w:bCs/>
          <w:color w:val="000000"/>
          <w:lang w:val="en-GB"/>
        </w:rPr>
        <w:t>18 specialised workshops</w:t>
      </w:r>
      <w:r w:rsidRPr="002B2EDC">
        <w:rPr>
          <w:rFonts w:ascii="Times New Roman" w:hAnsi="Times New Roman" w:cs="Times New Roman"/>
          <w:color w:val="000000"/>
          <w:lang w:val="en-GB"/>
        </w:rPr>
        <w:t xml:space="preserve"> on women’s entrepreneurship and leadership were organised, involving </w:t>
      </w:r>
      <w:r w:rsidRPr="002B2EDC">
        <w:rPr>
          <w:rFonts w:ascii="Times New Roman" w:hAnsi="Times New Roman" w:cs="Times New Roman"/>
          <w:b/>
          <w:bCs/>
          <w:color w:val="000000"/>
          <w:lang w:val="en-GB"/>
        </w:rPr>
        <w:t>over 1,000 women</w:t>
      </w:r>
      <w:r w:rsidRPr="002B2EDC">
        <w:rPr>
          <w:rFonts w:ascii="Times New Roman" w:hAnsi="Times New Roman" w:cs="Times New Roman"/>
          <w:color w:val="000000"/>
          <w:lang w:val="en-GB"/>
        </w:rPr>
        <w:t xml:space="preserve"> in regional communities.</w:t>
      </w:r>
    </w:p>
    <w:p w14:paraId="09AD2AAF" w14:textId="565E845E" w:rsidR="009B490C" w:rsidRPr="002B2EDC" w:rsidRDefault="009B490C" w:rsidP="00B53D8B">
      <w:pPr>
        <w:pStyle w:val="prastasiniatinklio"/>
        <w:spacing w:line="360" w:lineRule="auto"/>
        <w:ind w:left="720"/>
        <w:jc w:val="both"/>
        <w:rPr>
          <w:rFonts w:ascii="Times New Roman" w:hAnsi="Times New Roman" w:cs="Times New Roman"/>
          <w:color w:val="000000"/>
          <w:lang w:val="en-GB"/>
        </w:rPr>
      </w:pPr>
      <w:r w:rsidRPr="002B2EDC">
        <w:rPr>
          <w:rFonts w:ascii="Times New Roman" w:hAnsi="Times New Roman" w:cs="Times New Roman"/>
          <w:color w:val="000000"/>
          <w:lang w:val="en-GB"/>
        </w:rPr>
        <w:t xml:space="preserve">Women’s engagement in </w:t>
      </w:r>
      <w:r w:rsidRPr="002B2EDC">
        <w:rPr>
          <w:rFonts w:ascii="Times New Roman" w:hAnsi="Times New Roman" w:cs="Times New Roman"/>
          <w:b/>
          <w:bCs/>
          <w:color w:val="000000"/>
          <w:lang w:val="en-GB"/>
        </w:rPr>
        <w:t>social impact entrepreneurship</w:t>
      </w:r>
      <w:r w:rsidRPr="002B2EDC">
        <w:rPr>
          <w:rFonts w:ascii="Times New Roman" w:hAnsi="Times New Roman" w:cs="Times New Roman"/>
          <w:color w:val="000000"/>
          <w:lang w:val="en-GB"/>
        </w:rPr>
        <w:t xml:space="preserve"> is increasing. In 2024, </w:t>
      </w:r>
      <w:r w:rsidRPr="002B2EDC">
        <w:rPr>
          <w:rFonts w:ascii="Times New Roman" w:hAnsi="Times New Roman" w:cs="Times New Roman"/>
          <w:b/>
          <w:bCs/>
          <w:color w:val="000000"/>
          <w:lang w:val="en-GB"/>
        </w:rPr>
        <w:t>40.4%</w:t>
      </w:r>
      <w:r w:rsidRPr="002B2EDC">
        <w:rPr>
          <w:rFonts w:ascii="Times New Roman" w:hAnsi="Times New Roman" w:cs="Times New Roman"/>
          <w:color w:val="000000"/>
          <w:lang w:val="en-GB"/>
        </w:rPr>
        <w:t xml:space="preserve"> of women</w:t>
      </w:r>
      <w:r w:rsidRPr="002B2EDC">
        <w:rPr>
          <w:rFonts w:ascii="Times New Roman" w:hAnsi="Times New Roman" w:cs="Times New Roman"/>
          <w:color w:val="000000"/>
          <w:lang w:val="en-GB"/>
        </w:rPr>
        <w:noBreakHyphen/>
        <w:t>led early</w:t>
      </w:r>
      <w:r w:rsidRPr="002B2EDC">
        <w:rPr>
          <w:rFonts w:ascii="Times New Roman" w:hAnsi="Times New Roman" w:cs="Times New Roman"/>
          <w:color w:val="000000"/>
          <w:lang w:val="en-GB"/>
        </w:rPr>
        <w:noBreakHyphen/>
        <w:t xml:space="preserve">stage ventures implemented community, environmental or social inclusion initiatives. Among established businesses, </w:t>
      </w:r>
      <w:r w:rsidRPr="002B2EDC">
        <w:rPr>
          <w:rFonts w:ascii="Times New Roman" w:hAnsi="Times New Roman" w:cs="Times New Roman"/>
          <w:b/>
          <w:bCs/>
          <w:color w:val="000000"/>
          <w:lang w:val="en-GB"/>
        </w:rPr>
        <w:t>50%</w:t>
      </w:r>
      <w:r w:rsidRPr="002B2EDC">
        <w:rPr>
          <w:rFonts w:ascii="Times New Roman" w:hAnsi="Times New Roman" w:cs="Times New Roman"/>
          <w:color w:val="000000"/>
          <w:lang w:val="en-GB"/>
        </w:rPr>
        <w:t xml:space="preserve"> of women and </w:t>
      </w:r>
      <w:r w:rsidRPr="002B2EDC">
        <w:rPr>
          <w:rFonts w:ascii="Times New Roman" w:hAnsi="Times New Roman" w:cs="Times New Roman"/>
          <w:b/>
          <w:bCs/>
          <w:color w:val="000000"/>
          <w:lang w:val="en-GB"/>
        </w:rPr>
        <w:t>47.5%</w:t>
      </w:r>
      <w:r w:rsidRPr="002B2EDC">
        <w:rPr>
          <w:rFonts w:ascii="Times New Roman" w:hAnsi="Times New Roman" w:cs="Times New Roman"/>
          <w:color w:val="000000"/>
          <w:lang w:val="en-GB"/>
        </w:rPr>
        <w:t xml:space="preserve"> of men integrated sustainability and social responsibility into their operations, demonstrating women’s growing contribution to inclusive economic development. </w:t>
      </w:r>
    </w:p>
    <w:p w14:paraId="56597D2F" w14:textId="045AF6B6" w:rsidR="006D0B9E" w:rsidRPr="002B2EDC" w:rsidRDefault="00C34DDE" w:rsidP="00B53D8B">
      <w:pPr>
        <w:pStyle w:val="prastasiniatinklio"/>
        <w:spacing w:line="360" w:lineRule="auto"/>
        <w:ind w:left="720"/>
        <w:jc w:val="both"/>
        <w:rPr>
          <w:rFonts w:ascii="Times New Roman" w:hAnsi="Times New Roman" w:cs="Times New Roman"/>
          <w:color w:val="000000"/>
          <w:lang w:val="en-GB"/>
        </w:rPr>
      </w:pPr>
      <w:r>
        <w:rPr>
          <w:rFonts w:ascii="Times New Roman" w:hAnsi="Times New Roman" w:cs="Times New Roman"/>
          <w:b/>
          <w:bCs/>
          <w:color w:val="000000"/>
          <w:lang w:val="en-GB"/>
        </w:rPr>
        <w:t xml:space="preserve">10. </w:t>
      </w:r>
      <w:r w:rsidR="006D0B9E" w:rsidRPr="002B2EDC">
        <w:rPr>
          <w:rFonts w:ascii="Times New Roman" w:hAnsi="Times New Roman" w:cs="Times New Roman"/>
          <w:b/>
          <w:bCs/>
          <w:color w:val="000000"/>
          <w:lang w:val="en-GB"/>
        </w:rPr>
        <w:t>Lithuania is taking gradual steps to improve women’s access to justice in cases of digital and technology</w:t>
      </w:r>
      <w:r w:rsidR="006D0B9E" w:rsidRPr="002B2EDC">
        <w:rPr>
          <w:rFonts w:ascii="Times New Roman" w:hAnsi="Times New Roman" w:cs="Times New Roman"/>
          <w:b/>
          <w:bCs/>
          <w:color w:val="000000"/>
          <w:lang w:val="en-GB"/>
        </w:rPr>
        <w:noBreakHyphen/>
        <w:t>facilitated rights violations</w:t>
      </w:r>
      <w:r w:rsidR="006D0B9E" w:rsidRPr="002B2EDC">
        <w:rPr>
          <w:rFonts w:ascii="Times New Roman" w:hAnsi="Times New Roman" w:cs="Times New Roman"/>
          <w:color w:val="000000"/>
          <w:lang w:val="en-GB"/>
        </w:rPr>
        <w:t xml:space="preserve"> and to support their participation in technology</w:t>
      </w:r>
      <w:r w:rsidR="006D0B9E" w:rsidRPr="002B2EDC">
        <w:rPr>
          <w:rFonts w:ascii="Times New Roman" w:hAnsi="Times New Roman" w:cs="Times New Roman"/>
          <w:color w:val="000000"/>
          <w:lang w:val="en-GB"/>
        </w:rPr>
        <w:noBreakHyphen/>
        <w:t>driven sectors. Work on expanding gender</w:t>
      </w:r>
      <w:r w:rsidR="006D0B9E" w:rsidRPr="002B2EDC">
        <w:rPr>
          <w:rFonts w:ascii="Times New Roman" w:hAnsi="Times New Roman" w:cs="Times New Roman"/>
          <w:color w:val="000000"/>
          <w:lang w:val="en-GB"/>
        </w:rPr>
        <w:noBreakHyphen/>
        <w:t>disaggregated data through the Gender Equality Statistical Survey and the forthcoming National Equality Data Strategy will strengthen the evidence base needed to address gendered digital risks and inform future policy measures.</w:t>
      </w:r>
    </w:p>
    <w:p w14:paraId="06B6B135" w14:textId="7BED12D2" w:rsidR="006D0B9E" w:rsidRPr="002B2EDC" w:rsidRDefault="006D0B9E" w:rsidP="00B53D8B">
      <w:pPr>
        <w:pStyle w:val="prastasiniatinklio"/>
        <w:spacing w:line="360" w:lineRule="auto"/>
        <w:ind w:left="720"/>
        <w:jc w:val="both"/>
        <w:rPr>
          <w:rFonts w:ascii="Times New Roman" w:hAnsi="Times New Roman" w:cs="Times New Roman"/>
          <w:color w:val="000000"/>
          <w:lang w:val="en-GB"/>
        </w:rPr>
      </w:pPr>
      <w:r w:rsidRPr="002B2EDC">
        <w:rPr>
          <w:rFonts w:ascii="Times New Roman" w:hAnsi="Times New Roman" w:cs="Times New Roman"/>
          <w:color w:val="000000"/>
          <w:lang w:val="en-GB"/>
        </w:rPr>
        <w:t xml:space="preserve">Efforts to support women’s entry into ICT and innovation ecosystems are complemented by </w:t>
      </w:r>
      <w:r w:rsidRPr="002B2EDC">
        <w:rPr>
          <w:rFonts w:ascii="Times New Roman" w:hAnsi="Times New Roman" w:cs="Times New Roman"/>
          <w:i/>
          <w:iCs/>
          <w:color w:val="000000"/>
          <w:lang w:val="en-GB"/>
        </w:rPr>
        <w:t>private initiatives</w:t>
      </w:r>
      <w:r w:rsidRPr="002B2EDC">
        <w:rPr>
          <w:rFonts w:ascii="Times New Roman" w:hAnsi="Times New Roman" w:cs="Times New Roman"/>
          <w:color w:val="000000"/>
          <w:lang w:val="en-GB"/>
        </w:rPr>
        <w:t xml:space="preserve"> such as Women Go Tech, WOW University, and dedicated programmes for women offered by Code Academy, which provide mentorship, training and reskilling opportunities. National business</w:t>
      </w:r>
      <w:r w:rsidRPr="002B2EDC">
        <w:rPr>
          <w:rFonts w:ascii="Times New Roman" w:hAnsi="Times New Roman" w:cs="Times New Roman"/>
          <w:color w:val="000000"/>
          <w:lang w:val="en-GB"/>
        </w:rPr>
        <w:noBreakHyphen/>
        <w:t xml:space="preserve">support structures also offer incubation, mentoring and digital entrepreneurship training that help women with digital skills access markets, innovation programmes and emerging technologies. </w:t>
      </w:r>
    </w:p>
    <w:p w14:paraId="6E6EDBB7" w14:textId="6CE2CAB1" w:rsidR="00646855" w:rsidRPr="002B2EDC" w:rsidRDefault="00C34DDE" w:rsidP="00B53D8B">
      <w:pPr>
        <w:spacing w:before="100" w:beforeAutospacing="1" w:after="100" w:afterAutospacing="1" w:line="360" w:lineRule="auto"/>
        <w:ind w:left="720"/>
        <w:jc w:val="both"/>
        <w:rPr>
          <w:rFonts w:ascii="Times New Roman" w:eastAsia="Times New Roman" w:hAnsi="Times New Roman" w:cs="Times New Roman"/>
          <w:kern w:val="0"/>
          <w:lang w:val="en-GB" w:eastAsia="lt-LT"/>
          <w14:ligatures w14:val="none"/>
        </w:rPr>
      </w:pPr>
      <w:r>
        <w:rPr>
          <w:rFonts w:ascii="Times New Roman" w:eastAsia="Times New Roman" w:hAnsi="Times New Roman" w:cs="Times New Roman"/>
          <w:b/>
          <w:bCs/>
          <w:kern w:val="0"/>
          <w:lang w:val="en-GB" w:eastAsia="lt-LT"/>
          <w14:ligatures w14:val="none"/>
        </w:rPr>
        <w:t xml:space="preserve">11. </w:t>
      </w:r>
      <w:r w:rsidR="0033579D" w:rsidRPr="002B2EDC">
        <w:rPr>
          <w:rFonts w:ascii="Times New Roman" w:eastAsia="Times New Roman" w:hAnsi="Times New Roman" w:cs="Times New Roman"/>
          <w:b/>
          <w:bCs/>
          <w:kern w:val="0"/>
          <w:lang w:val="en-GB" w:eastAsia="lt-LT"/>
          <w14:ligatures w14:val="none"/>
        </w:rPr>
        <w:t>Lithuania uses a multi‑level monitoring system to track progress toward the EU gender balance target (33–49%) in corporate boards.</w:t>
      </w:r>
      <w:r w:rsidR="0033579D" w:rsidRPr="002B2EDC">
        <w:rPr>
          <w:rFonts w:ascii="Times New Roman" w:eastAsia="Times New Roman" w:hAnsi="Times New Roman" w:cs="Times New Roman"/>
          <w:kern w:val="0"/>
          <w:lang w:val="en-GB" w:eastAsia="lt-LT"/>
          <w14:ligatures w14:val="none"/>
        </w:rPr>
        <w:t xml:space="preserve"> Publicly listed large companies are required to report gender representation in their management and supervisory bodies under the Company and Corporate Group Reporting Law, ensuring consistent annual data. The Ministry of Social Security and Labour submits biennial updates to the European Commission on measures taken by these companies to improve gender balance. The Equal Opportunities Ombudsperson oversees data collection, compliance, and transmits information to the Ministry, while also maintaining a publicly accessible and regularly updated online list of companies that have achieved gender‑balanced boards.</w:t>
      </w:r>
      <w:r w:rsidR="00A24C39" w:rsidRPr="002B2EDC">
        <w:rPr>
          <w:rFonts w:ascii="Times New Roman" w:eastAsia="Times New Roman" w:hAnsi="Times New Roman" w:cs="Times New Roman"/>
          <w:kern w:val="0"/>
          <w:lang w:val="en-GB" w:eastAsia="lt-LT"/>
          <w14:ligatures w14:val="none"/>
        </w:rPr>
        <w:t xml:space="preserve"> </w:t>
      </w:r>
    </w:p>
    <w:p w14:paraId="08101BD2" w14:textId="42C3AA90" w:rsidR="001F1350" w:rsidRPr="002B2EDC" w:rsidRDefault="00C34DDE" w:rsidP="00B53D8B">
      <w:pPr>
        <w:pStyle w:val="prastasiniatinklio"/>
        <w:spacing w:line="360" w:lineRule="auto"/>
        <w:ind w:left="720"/>
        <w:jc w:val="both"/>
        <w:rPr>
          <w:rFonts w:ascii="Times New Roman" w:hAnsi="Times New Roman" w:cs="Times New Roman"/>
          <w:color w:val="000000"/>
          <w:lang w:val="en-GB"/>
        </w:rPr>
      </w:pPr>
      <w:r>
        <w:rPr>
          <w:rFonts w:ascii="Times New Roman" w:hAnsi="Times New Roman" w:cs="Times New Roman"/>
          <w:b/>
          <w:bCs/>
          <w:color w:val="000000"/>
          <w:lang w:val="en-GB"/>
        </w:rPr>
        <w:t xml:space="preserve">12. </w:t>
      </w:r>
      <w:r w:rsidR="001F1350" w:rsidRPr="002B2EDC">
        <w:rPr>
          <w:rFonts w:ascii="Times New Roman" w:hAnsi="Times New Roman" w:cs="Times New Roman"/>
          <w:b/>
          <w:bCs/>
          <w:color w:val="000000"/>
          <w:lang w:val="en-GB"/>
        </w:rPr>
        <w:t>When planning sports development progress measures and funding</w:t>
      </w:r>
      <w:r w:rsidR="001F1350" w:rsidRPr="002B2EDC">
        <w:rPr>
          <w:rFonts w:ascii="Times New Roman" w:hAnsi="Times New Roman" w:cs="Times New Roman"/>
          <w:color w:val="000000"/>
          <w:lang w:val="en-GB"/>
        </w:rPr>
        <w:t>, as well as any legislative procedures under the national strategic methodology, a horizontal equality principle is applied—meaning that all policy measures must also be assessed in the context of gender equality.</w:t>
      </w:r>
    </w:p>
    <w:p w14:paraId="7A2422FC" w14:textId="77777777" w:rsidR="001F1350" w:rsidRPr="002B2EDC" w:rsidRDefault="001F1350" w:rsidP="00B53D8B">
      <w:pPr>
        <w:pStyle w:val="prastasiniatinklio"/>
        <w:spacing w:line="360" w:lineRule="auto"/>
        <w:ind w:left="720"/>
        <w:jc w:val="both"/>
        <w:rPr>
          <w:rFonts w:ascii="Times New Roman" w:hAnsi="Times New Roman" w:cs="Times New Roman"/>
          <w:color w:val="000000"/>
          <w:lang w:val="en-GB"/>
        </w:rPr>
      </w:pPr>
      <w:r w:rsidRPr="002B2EDC">
        <w:rPr>
          <w:rFonts w:ascii="Times New Roman" w:hAnsi="Times New Roman" w:cs="Times New Roman"/>
          <w:color w:val="000000"/>
          <w:lang w:val="en-GB"/>
        </w:rPr>
        <w:t>The National Sports Agency, subordinated to the Ministry of Education, Science and Sport, allocates a higher coefficient of funding to sports federations if their governing bodies have a balanced number of women and men.</w:t>
      </w:r>
    </w:p>
    <w:p w14:paraId="43B8211B" w14:textId="175FCFBA" w:rsidR="00E436D3" w:rsidRPr="002B2EDC" w:rsidRDefault="001F1350" w:rsidP="00B53D8B">
      <w:pPr>
        <w:pStyle w:val="prastasiniatinklio"/>
        <w:spacing w:line="360" w:lineRule="auto"/>
        <w:ind w:left="720"/>
        <w:jc w:val="both"/>
        <w:rPr>
          <w:rFonts w:ascii="Times New Roman" w:hAnsi="Times New Roman" w:cs="Times New Roman"/>
          <w:color w:val="000000"/>
          <w:lang w:val="en-GB"/>
        </w:rPr>
      </w:pPr>
      <w:r w:rsidRPr="002B2EDC">
        <w:rPr>
          <w:rFonts w:ascii="Times New Roman" w:hAnsi="Times New Roman" w:cs="Times New Roman"/>
          <w:color w:val="000000"/>
          <w:lang w:val="en-GB"/>
        </w:rPr>
        <w:t xml:space="preserve">By establishing the National Sports Agency, the Ministry ensured the creation of a competence centre that promotes the implementation of good governance principles in sports federations, including the analysis of gender equality issues and dissemination of good practices. The competence centre has organised events on gender equality in sports. </w:t>
      </w:r>
    </w:p>
    <w:p w14:paraId="345314D3" w14:textId="07E57E57" w:rsidR="00290FEF" w:rsidRPr="002B2EDC" w:rsidRDefault="00C34DDE" w:rsidP="00B53D8B">
      <w:pPr>
        <w:pStyle w:val="prastasiniatinklio"/>
        <w:spacing w:line="360" w:lineRule="auto"/>
        <w:ind w:left="720"/>
        <w:jc w:val="both"/>
        <w:rPr>
          <w:rFonts w:ascii="Times New Roman" w:hAnsi="Times New Roman" w:cs="Times New Roman"/>
          <w:color w:val="000000"/>
          <w:lang w:val="en-GB"/>
        </w:rPr>
      </w:pPr>
      <w:r>
        <w:rPr>
          <w:rFonts w:ascii="Times New Roman" w:hAnsi="Times New Roman" w:cs="Times New Roman"/>
          <w:b/>
          <w:bCs/>
          <w:color w:val="000000"/>
          <w:lang w:val="en-GB"/>
        </w:rPr>
        <w:t xml:space="preserve">13. </w:t>
      </w:r>
      <w:r w:rsidR="004B4032" w:rsidRPr="002B2EDC">
        <w:rPr>
          <w:rFonts w:ascii="Times New Roman" w:hAnsi="Times New Roman" w:cs="Times New Roman"/>
          <w:b/>
          <w:bCs/>
          <w:color w:val="000000"/>
          <w:lang w:val="en-GB"/>
        </w:rPr>
        <w:t>The Ministry of Social Security and Labour, in accordance with the Social Services Act, continuously analyses and assesses the state of social services in the country</w:t>
      </w:r>
      <w:r w:rsidR="004B4032" w:rsidRPr="002B2EDC">
        <w:rPr>
          <w:rFonts w:ascii="Times New Roman" w:hAnsi="Times New Roman" w:cs="Times New Roman"/>
          <w:color w:val="000000"/>
          <w:lang w:val="en-GB"/>
        </w:rPr>
        <w:t>. Based on the list of Social Services Development Norms approved by the Minister of Social Security and Labour, it collects annual information on the social services provided to different population groups. Information on the assessment of social services development in municipalities is published on the Ministry’s website</w:t>
      </w:r>
      <w:r w:rsidR="00CE6261" w:rsidRPr="002B2EDC">
        <w:rPr>
          <w:rStyle w:val="Puslapioinaosnuoroda"/>
          <w:rFonts w:ascii="Times New Roman" w:hAnsi="Times New Roman" w:cs="Times New Roman"/>
          <w:color w:val="000000"/>
          <w:lang w:val="en-GB"/>
        </w:rPr>
        <w:footnoteReference w:id="4"/>
      </w:r>
      <w:r w:rsidR="004B4032" w:rsidRPr="002B2EDC">
        <w:rPr>
          <w:rFonts w:ascii="Times New Roman" w:hAnsi="Times New Roman" w:cs="Times New Roman"/>
          <w:color w:val="000000"/>
          <w:lang w:val="en-GB"/>
        </w:rPr>
        <w:t>.</w:t>
      </w:r>
      <w:r w:rsidR="00CE6261" w:rsidRPr="002B2EDC">
        <w:rPr>
          <w:rFonts w:ascii="Times New Roman" w:hAnsi="Times New Roman" w:cs="Times New Roman"/>
          <w:b/>
          <w:bCs/>
          <w:color w:val="EE0000"/>
          <w:lang w:val="en-GB"/>
        </w:rPr>
        <w:t xml:space="preserve"> </w:t>
      </w:r>
    </w:p>
    <w:p w14:paraId="31BA7D54" w14:textId="77777777" w:rsidR="00290FEF" w:rsidRDefault="00290FEF" w:rsidP="00290FEF">
      <w:pPr>
        <w:pStyle w:val="prastasiniatinklio"/>
        <w:ind w:left="720"/>
        <w:rPr>
          <w:color w:val="000000"/>
        </w:rPr>
      </w:pPr>
    </w:p>
    <w:p w14:paraId="685E1698" w14:textId="77777777" w:rsidR="005C1082" w:rsidRDefault="005C1082"/>
    <w:sectPr w:rsidR="005C1082">
      <w:footerReference w:type="even" r:id="rId8"/>
      <w:footerReference w:type="default" r:id="rId9"/>
      <w:footerReference w:type="first" r:id="rId10"/>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5F471" w14:textId="77777777" w:rsidR="009D51B1" w:rsidRDefault="009D51B1" w:rsidP="00CA4E18">
      <w:pPr>
        <w:spacing w:after="0" w:line="240" w:lineRule="auto"/>
      </w:pPr>
      <w:r>
        <w:separator/>
      </w:r>
    </w:p>
  </w:endnote>
  <w:endnote w:type="continuationSeparator" w:id="0">
    <w:p w14:paraId="3AF51748" w14:textId="77777777" w:rsidR="009D51B1" w:rsidRDefault="009D51B1" w:rsidP="00CA4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F281A" w14:textId="3F824C0A" w:rsidR="00CA4E18" w:rsidRDefault="00EC2E66">
    <w:pPr>
      <w:pStyle w:val="Porat"/>
    </w:pPr>
    <w:r>
      <w:rPr>
        <w:noProof/>
      </w:rPr>
      <mc:AlternateContent>
        <mc:Choice Requires="wps">
          <w:drawing>
            <wp:anchor distT="0" distB="0" distL="0" distR="0" simplePos="0" relativeHeight="251658241" behindDoc="0" locked="0" layoutInCell="1" allowOverlap="1" wp14:anchorId="04ABE3DE" wp14:editId="3D03550A">
              <wp:simplePos x="635" y="635"/>
              <wp:positionH relativeFrom="page">
                <wp:align>left</wp:align>
              </wp:positionH>
              <wp:positionV relativeFrom="page">
                <wp:align>bottom</wp:align>
              </wp:positionV>
              <wp:extent cx="4909185" cy="370205"/>
              <wp:effectExtent l="0" t="0" r="5715" b="0"/>
              <wp:wrapNone/>
              <wp:docPr id="1003705829" name="Teksto laukas 6" descr="Socialinės apsaugos ir darbo ministerija bei pavaldžios įstaigos | Bendr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909185" cy="370205"/>
                      </a:xfrm>
                      <a:prstGeom prst="rect">
                        <a:avLst/>
                      </a:prstGeom>
                      <a:noFill/>
                      <a:ln>
                        <a:noFill/>
                      </a:ln>
                    </wps:spPr>
                    <wps:txbx>
                      <w:txbxContent>
                        <w:p w14:paraId="3CB66993" w14:textId="3CFCEF50" w:rsidR="00EC2E66" w:rsidRPr="00EC2E66" w:rsidRDefault="00EC2E66" w:rsidP="00EC2E66">
                          <w:pPr>
                            <w:spacing w:after="0"/>
                            <w:rPr>
                              <w:rFonts w:ascii="Aptos" w:eastAsia="Aptos" w:hAnsi="Aptos" w:cs="Aptos"/>
                              <w:noProof/>
                              <w:color w:val="000000"/>
                              <w:sz w:val="20"/>
                              <w:szCs w:val="20"/>
                            </w:rPr>
                          </w:pPr>
                          <w:r w:rsidRPr="00EC2E66">
                            <w:rPr>
                              <w:rFonts w:ascii="Aptos" w:eastAsia="Aptos" w:hAnsi="Aptos" w:cs="Aptos"/>
                              <w:noProof/>
                              <w:color w:val="000000"/>
                              <w:sz w:val="20"/>
                              <w:szCs w:val="20"/>
                            </w:rPr>
                            <w:t>Socialinės apsaugos ir darbo ministerija bei pavaldžios įstaigos | Bendram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ABE3DE" id="_x0000_t202" coordsize="21600,21600" o:spt="202" path="m,l,21600r21600,l21600,xe">
              <v:stroke joinstyle="miter"/>
              <v:path gradientshapeok="t" o:connecttype="rect"/>
            </v:shapetype>
            <v:shape id="Teksto laukas 6" o:spid="_x0000_s1026" type="#_x0000_t202" alt="Socialinės apsaugos ir darbo ministerija bei pavaldžios įstaigos | Bendram naudojimui" style="position:absolute;margin-left:0;margin-top:0;width:386.55pt;height:29.1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" filled="f" stroked="f">
              <v:textbox style="mso-fit-shape-to-text:t" inset="20pt,0,0,15pt">
                <w:txbxContent>
                  <w:p w14:paraId="3CB66993" w14:textId="3CFCEF50" w:rsidR="00EC2E66" w:rsidRPr="00EC2E66" w:rsidRDefault="00EC2E66" w:rsidP="00EC2E66">
                    <w:pPr>
                      <w:spacing w:after="0"/>
                      <w:rPr>
                        <w:rFonts w:ascii="Aptos" w:eastAsia="Aptos" w:hAnsi="Aptos" w:cs="Aptos"/>
                        <w:noProof/>
                        <w:color w:val="000000"/>
                        <w:sz w:val="20"/>
                        <w:szCs w:val="20"/>
                      </w:rPr>
                    </w:pPr>
                    <w:r w:rsidRPr="00EC2E66">
                      <w:rPr>
                        <w:rFonts w:ascii="Aptos" w:eastAsia="Aptos" w:hAnsi="Aptos" w:cs="Aptos"/>
                        <w:noProof/>
                        <w:color w:val="000000"/>
                        <w:sz w:val="20"/>
                        <w:szCs w:val="20"/>
                      </w:rPr>
                      <w:t>Socialinės apsaugos ir darbo ministerija bei pavaldžios įstaigos | Bendram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3778405"/>
      <w:docPartObj>
        <w:docPartGallery w:val="Page Numbers (Bottom of Page)"/>
        <w:docPartUnique/>
      </w:docPartObj>
    </w:sdtPr>
    <w:sdtContent>
      <w:p w14:paraId="54D7F52D" w14:textId="7DF17C90" w:rsidR="002B2EDC" w:rsidRDefault="002B2EDC">
        <w:pPr>
          <w:pStyle w:val="Porat"/>
          <w:jc w:val="center"/>
        </w:pPr>
        <w:r>
          <w:fldChar w:fldCharType="begin"/>
        </w:r>
        <w:r>
          <w:instrText>PAGE   \* MERGEFORMAT</w:instrText>
        </w:r>
        <w:r>
          <w:fldChar w:fldCharType="separate"/>
        </w:r>
        <w:r>
          <w:t>2</w:t>
        </w:r>
        <w:r>
          <w:fldChar w:fldCharType="end"/>
        </w:r>
      </w:p>
    </w:sdtContent>
  </w:sdt>
  <w:p w14:paraId="1B0783E2" w14:textId="77777777" w:rsidR="002B2EDC" w:rsidRDefault="002B2EDC">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984BE" w14:textId="3DCF8291" w:rsidR="00CA4E18" w:rsidRDefault="00EC2E66">
    <w:pPr>
      <w:pStyle w:val="Porat"/>
    </w:pPr>
    <w:r>
      <w:rPr>
        <w:noProof/>
      </w:rPr>
      <mc:AlternateContent>
        <mc:Choice Requires="wps">
          <w:drawing>
            <wp:anchor distT="0" distB="0" distL="0" distR="0" simplePos="0" relativeHeight="251658240" behindDoc="0" locked="0" layoutInCell="1" allowOverlap="1" wp14:anchorId="5CD0C2AD" wp14:editId="1081DDE8">
              <wp:simplePos x="635" y="635"/>
              <wp:positionH relativeFrom="page">
                <wp:align>left</wp:align>
              </wp:positionH>
              <wp:positionV relativeFrom="page">
                <wp:align>bottom</wp:align>
              </wp:positionV>
              <wp:extent cx="4909185" cy="370205"/>
              <wp:effectExtent l="0" t="0" r="5715" b="0"/>
              <wp:wrapNone/>
              <wp:docPr id="1875523127" name="Teksto laukas 5" descr="Socialinės apsaugos ir darbo ministerija bei pavaldžios įstaigos | Bendr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909185" cy="370205"/>
                      </a:xfrm>
                      <a:prstGeom prst="rect">
                        <a:avLst/>
                      </a:prstGeom>
                      <a:noFill/>
                      <a:ln>
                        <a:noFill/>
                      </a:ln>
                    </wps:spPr>
                    <wps:txbx>
                      <w:txbxContent>
                        <w:p w14:paraId="7744CBC9" w14:textId="254AE425" w:rsidR="00EC2E66" w:rsidRPr="00EC2E66" w:rsidRDefault="00EC2E66" w:rsidP="00EC2E66">
                          <w:pPr>
                            <w:spacing w:after="0"/>
                            <w:rPr>
                              <w:rFonts w:ascii="Aptos" w:eastAsia="Aptos" w:hAnsi="Aptos" w:cs="Aptos"/>
                              <w:noProof/>
                              <w:color w:val="000000"/>
                              <w:sz w:val="20"/>
                              <w:szCs w:val="20"/>
                            </w:rPr>
                          </w:pPr>
                          <w:r w:rsidRPr="00EC2E66">
                            <w:rPr>
                              <w:rFonts w:ascii="Aptos" w:eastAsia="Aptos" w:hAnsi="Aptos" w:cs="Aptos"/>
                              <w:noProof/>
                              <w:color w:val="000000"/>
                              <w:sz w:val="20"/>
                              <w:szCs w:val="20"/>
                            </w:rPr>
                            <w:t>Socialinės apsaugos ir darbo ministerija bei pavaldžios įstaigos | Bendram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CD0C2AD" id="_x0000_t202" coordsize="21600,21600" o:spt="202" path="m,l,21600r21600,l21600,xe">
              <v:stroke joinstyle="miter"/>
              <v:path gradientshapeok="t" o:connecttype="rect"/>
            </v:shapetype>
            <v:shape id="Teksto laukas 5" o:spid="_x0000_s1027" type="#_x0000_t202" alt="Socialinės apsaugos ir darbo ministerija bei pavaldžios įstaigos | Bendram naudojimui" style="position:absolute;margin-left:0;margin-top:0;width:386.55pt;height:29.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" filled="f" stroked="f">
              <v:textbox style="mso-fit-shape-to-text:t" inset="20pt,0,0,15pt">
                <w:txbxContent>
                  <w:p w14:paraId="7744CBC9" w14:textId="254AE425" w:rsidR="00EC2E66" w:rsidRPr="00EC2E66" w:rsidRDefault="00EC2E66" w:rsidP="00EC2E66">
                    <w:pPr>
                      <w:spacing w:after="0"/>
                      <w:rPr>
                        <w:rFonts w:ascii="Aptos" w:eastAsia="Aptos" w:hAnsi="Aptos" w:cs="Aptos"/>
                        <w:noProof/>
                        <w:color w:val="000000"/>
                        <w:sz w:val="20"/>
                        <w:szCs w:val="20"/>
                      </w:rPr>
                    </w:pPr>
                    <w:r w:rsidRPr="00EC2E66">
                      <w:rPr>
                        <w:rFonts w:ascii="Aptos" w:eastAsia="Aptos" w:hAnsi="Aptos" w:cs="Aptos"/>
                        <w:noProof/>
                        <w:color w:val="000000"/>
                        <w:sz w:val="20"/>
                        <w:szCs w:val="20"/>
                      </w:rPr>
                      <w:t>Socialinės apsaugos ir darbo ministerija bei pavaldžios įstaigos | Bendram naudojimui</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0FF76" w14:textId="77777777" w:rsidR="009D51B1" w:rsidRDefault="009D51B1" w:rsidP="00CA4E18">
      <w:pPr>
        <w:spacing w:after="0" w:line="240" w:lineRule="auto"/>
      </w:pPr>
      <w:r>
        <w:separator/>
      </w:r>
    </w:p>
  </w:footnote>
  <w:footnote w:type="continuationSeparator" w:id="0">
    <w:p w14:paraId="2D66C234" w14:textId="77777777" w:rsidR="009D51B1" w:rsidRDefault="009D51B1" w:rsidP="00CA4E18">
      <w:pPr>
        <w:spacing w:after="0" w:line="240" w:lineRule="auto"/>
      </w:pPr>
      <w:r>
        <w:continuationSeparator/>
      </w:r>
    </w:p>
  </w:footnote>
  <w:footnote w:id="1">
    <w:p w14:paraId="53B882BF" w14:textId="71DF807F" w:rsidR="002F7555" w:rsidRDefault="002F7555">
      <w:pPr>
        <w:pStyle w:val="Puslapioinaostekstas"/>
      </w:pPr>
      <w:r>
        <w:rPr>
          <w:rStyle w:val="Puslapioinaosnuoroda"/>
        </w:rPr>
        <w:footnoteRef/>
      </w:r>
      <w:r>
        <w:t xml:space="preserve"> </w:t>
      </w:r>
      <w:hyperlink r:id="rId1" w:history="1">
        <w:r w:rsidR="00601A58" w:rsidRPr="00045050">
          <w:rPr>
            <w:rStyle w:val="Hipersaitas"/>
          </w:rPr>
          <w:t>https://pagalbosmoterimslinija.lt/agresija-smurtas/seksualinis-smurtas-artimoje-aplinkoje-kaip-atpazinti/</w:t>
        </w:r>
      </w:hyperlink>
    </w:p>
    <w:p w14:paraId="048CE094" w14:textId="77777777" w:rsidR="00601A58" w:rsidRPr="002F7555" w:rsidRDefault="00601A58">
      <w:pPr>
        <w:pStyle w:val="Puslapioinaostekstas"/>
        <w:rPr>
          <w:lang w:val="en-US"/>
        </w:rPr>
      </w:pPr>
    </w:p>
  </w:footnote>
  <w:footnote w:id="2">
    <w:p w14:paraId="47923AE5" w14:textId="186CE794" w:rsidR="00696334" w:rsidRDefault="00696334">
      <w:pPr>
        <w:pStyle w:val="Puslapioinaostekstas"/>
      </w:pPr>
      <w:r>
        <w:rPr>
          <w:rStyle w:val="Puslapioinaosnuoroda"/>
        </w:rPr>
        <w:footnoteRef/>
      </w:r>
      <w:r>
        <w:t xml:space="preserve"> </w:t>
      </w:r>
      <w:hyperlink r:id="rId2" w:history="1">
        <w:r w:rsidRPr="00045050">
          <w:rPr>
            <w:rStyle w:val="Hipersaitas"/>
          </w:rPr>
          <w:t>https://prabilk.lt/</w:t>
        </w:r>
      </w:hyperlink>
    </w:p>
    <w:p w14:paraId="25445E68" w14:textId="77777777" w:rsidR="00696334" w:rsidRPr="00696334" w:rsidRDefault="00696334">
      <w:pPr>
        <w:pStyle w:val="Puslapioinaostekstas"/>
      </w:pPr>
    </w:p>
  </w:footnote>
  <w:footnote w:id="3">
    <w:p w14:paraId="3C3CE332" w14:textId="77777777" w:rsidR="00660962" w:rsidRPr="00660962" w:rsidRDefault="00EC49F9" w:rsidP="00660962">
      <w:pPr>
        <w:spacing w:after="150"/>
        <w:jc w:val="both"/>
        <w:rPr>
          <w:rFonts w:ascii="Aptos" w:eastAsia="Times New Roman" w:hAnsi="Aptos" w:cs="Times New Roman"/>
          <w:color w:val="0000FF"/>
          <w:u w:val="single"/>
          <w:lang w:val="en-GB"/>
        </w:rPr>
      </w:pPr>
      <w:r>
        <w:rPr>
          <w:rStyle w:val="Puslapioinaosnuoroda"/>
        </w:rPr>
        <w:footnoteRef/>
      </w:r>
      <w:r>
        <w:t xml:space="preserve"> </w:t>
      </w:r>
      <w:r w:rsidR="00660962" w:rsidRPr="00660962">
        <w:rPr>
          <w:rFonts w:ascii="Aptos" w:eastAsia="Aptos" w:hAnsi="Aptos" w:cs="Aptos"/>
          <w:lang w:val="en-GB"/>
        </w:rPr>
        <w:t xml:space="preserve">GEM Lithuania National Report 2024: </w:t>
      </w:r>
      <w:hyperlink r:id="rId3">
        <w:r w:rsidR="00660962" w:rsidRPr="00660962">
          <w:rPr>
            <w:rFonts w:ascii="Aptos" w:eastAsia="Aptos" w:hAnsi="Aptos" w:cs="Aptos"/>
            <w:color w:val="0000FF"/>
            <w:u w:val="single"/>
            <w:lang w:val="en-GB"/>
          </w:rPr>
          <w:t>Open link</w:t>
        </w:r>
      </w:hyperlink>
    </w:p>
    <w:p w14:paraId="0B8C6453" w14:textId="06E4DA8C" w:rsidR="00EC49F9" w:rsidRPr="00660962" w:rsidRDefault="00EC49F9">
      <w:pPr>
        <w:pStyle w:val="Puslapioinaostekstas"/>
        <w:rPr>
          <w:lang w:val="en-GB"/>
        </w:rPr>
      </w:pPr>
    </w:p>
  </w:footnote>
  <w:footnote w:id="4">
    <w:p w14:paraId="21A9B920" w14:textId="147D0C58" w:rsidR="00CE6261" w:rsidRDefault="00CE6261">
      <w:pPr>
        <w:pStyle w:val="Puslapioinaostekstas"/>
      </w:pPr>
      <w:r>
        <w:rPr>
          <w:rStyle w:val="Puslapioinaosnuoroda"/>
        </w:rPr>
        <w:footnoteRef/>
      </w:r>
      <w:r>
        <w:t xml:space="preserve"> </w:t>
      </w:r>
      <w:hyperlink r:id="rId4" w:history="1">
        <w:r w:rsidR="00BB371A" w:rsidRPr="00BB371A">
          <w:rPr>
            <w:rStyle w:val="Hipersaitas"/>
          </w:rPr>
          <w:t>Socialinių paslaugų teikimas – Lietuvos Respublikos socialinės apsaugos ir darbo ministerija</w:t>
        </w:r>
      </w:hyperlink>
    </w:p>
    <w:p w14:paraId="6FABDAB8" w14:textId="77777777" w:rsidR="00BB371A" w:rsidRPr="00BB371A" w:rsidRDefault="00BB371A">
      <w:pPr>
        <w:pStyle w:val="Puslapioinaostekstas"/>
        <w:rPr>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CB5FB4"/>
    <w:multiLevelType w:val="multilevel"/>
    <w:tmpl w:val="7584B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3E1BBB"/>
    <w:multiLevelType w:val="hybridMultilevel"/>
    <w:tmpl w:val="20C0CA4C"/>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 w15:restartNumberingAfterBreak="0">
    <w:nsid w:val="504A5E9A"/>
    <w:multiLevelType w:val="hybridMultilevel"/>
    <w:tmpl w:val="27F2B45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 w15:restartNumberingAfterBreak="0">
    <w:nsid w:val="51DA586C"/>
    <w:multiLevelType w:val="multilevel"/>
    <w:tmpl w:val="C6809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33551537">
    <w:abstractNumId w:val="3"/>
  </w:num>
  <w:num w:numId="2" w16cid:durableId="1967851681">
    <w:abstractNumId w:val="1"/>
  </w:num>
  <w:num w:numId="3" w16cid:durableId="77597397">
    <w:abstractNumId w:val="2"/>
  </w:num>
  <w:num w:numId="4" w16cid:durableId="686492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7BB"/>
    <w:rsid w:val="00004CC4"/>
    <w:rsid w:val="0002680D"/>
    <w:rsid w:val="000E6ABE"/>
    <w:rsid w:val="0011120D"/>
    <w:rsid w:val="00113C75"/>
    <w:rsid w:val="00125543"/>
    <w:rsid w:val="00150868"/>
    <w:rsid w:val="00155C23"/>
    <w:rsid w:val="001A5FA1"/>
    <w:rsid w:val="001F1350"/>
    <w:rsid w:val="00232128"/>
    <w:rsid w:val="00286EE9"/>
    <w:rsid w:val="00290FEF"/>
    <w:rsid w:val="002B2EDC"/>
    <w:rsid w:val="002E461C"/>
    <w:rsid w:val="002F7555"/>
    <w:rsid w:val="00327F5C"/>
    <w:rsid w:val="0033579D"/>
    <w:rsid w:val="00350BE5"/>
    <w:rsid w:val="003C1645"/>
    <w:rsid w:val="003D6D66"/>
    <w:rsid w:val="003F3A61"/>
    <w:rsid w:val="00415F6E"/>
    <w:rsid w:val="00446159"/>
    <w:rsid w:val="00453942"/>
    <w:rsid w:val="00454CB3"/>
    <w:rsid w:val="004B4032"/>
    <w:rsid w:val="004F6261"/>
    <w:rsid w:val="00500601"/>
    <w:rsid w:val="005114F6"/>
    <w:rsid w:val="005667FE"/>
    <w:rsid w:val="005879E7"/>
    <w:rsid w:val="005B2D2E"/>
    <w:rsid w:val="005C1082"/>
    <w:rsid w:val="005D2410"/>
    <w:rsid w:val="005E3138"/>
    <w:rsid w:val="005E7A58"/>
    <w:rsid w:val="00601A58"/>
    <w:rsid w:val="00632E36"/>
    <w:rsid w:val="0064340E"/>
    <w:rsid w:val="00646855"/>
    <w:rsid w:val="00660962"/>
    <w:rsid w:val="00661C3F"/>
    <w:rsid w:val="00696334"/>
    <w:rsid w:val="006A7318"/>
    <w:rsid w:val="006B3BE4"/>
    <w:rsid w:val="006C1009"/>
    <w:rsid w:val="006D0B9E"/>
    <w:rsid w:val="00747FA8"/>
    <w:rsid w:val="007A008B"/>
    <w:rsid w:val="007B0766"/>
    <w:rsid w:val="00817B31"/>
    <w:rsid w:val="00827804"/>
    <w:rsid w:val="008777C0"/>
    <w:rsid w:val="008F160B"/>
    <w:rsid w:val="009A794C"/>
    <w:rsid w:val="009B490C"/>
    <w:rsid w:val="009D51B1"/>
    <w:rsid w:val="00A217B9"/>
    <w:rsid w:val="00A24C39"/>
    <w:rsid w:val="00A47403"/>
    <w:rsid w:val="00A53889"/>
    <w:rsid w:val="00AA4788"/>
    <w:rsid w:val="00AB2092"/>
    <w:rsid w:val="00B53D8B"/>
    <w:rsid w:val="00B76094"/>
    <w:rsid w:val="00BB371A"/>
    <w:rsid w:val="00BD4EC0"/>
    <w:rsid w:val="00BE6ED0"/>
    <w:rsid w:val="00BE7925"/>
    <w:rsid w:val="00C0723C"/>
    <w:rsid w:val="00C34DDE"/>
    <w:rsid w:val="00C71E41"/>
    <w:rsid w:val="00C7306D"/>
    <w:rsid w:val="00C77521"/>
    <w:rsid w:val="00C97044"/>
    <w:rsid w:val="00CA334C"/>
    <w:rsid w:val="00CA3A18"/>
    <w:rsid w:val="00CA4E18"/>
    <w:rsid w:val="00CE6261"/>
    <w:rsid w:val="00D02C9D"/>
    <w:rsid w:val="00D80FA1"/>
    <w:rsid w:val="00DC3B34"/>
    <w:rsid w:val="00DF57BB"/>
    <w:rsid w:val="00E279B3"/>
    <w:rsid w:val="00E3439A"/>
    <w:rsid w:val="00E436D3"/>
    <w:rsid w:val="00E9357B"/>
    <w:rsid w:val="00EC2E66"/>
    <w:rsid w:val="00EC49F9"/>
    <w:rsid w:val="00ED09E0"/>
    <w:rsid w:val="00EE06BE"/>
    <w:rsid w:val="00FC0B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71687"/>
  <w15:chartTrackingRefBased/>
  <w15:docId w15:val="{37A60597-169D-45DF-A7B9-1EBCA9DDD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DF57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DF57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DF57BB"/>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DF57BB"/>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DF57BB"/>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DF57BB"/>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F57BB"/>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F57BB"/>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F57BB"/>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F57BB"/>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DF57BB"/>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DF57BB"/>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DF57BB"/>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DF57BB"/>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DF57B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F57B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F57B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F57BB"/>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F57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F57B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F57BB"/>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F57B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F57BB"/>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F57BB"/>
    <w:rPr>
      <w:i/>
      <w:iCs/>
      <w:color w:val="404040" w:themeColor="text1" w:themeTint="BF"/>
    </w:rPr>
  </w:style>
  <w:style w:type="paragraph" w:styleId="Sraopastraipa">
    <w:name w:val="List Paragraph"/>
    <w:basedOn w:val="prastasis"/>
    <w:uiPriority w:val="34"/>
    <w:qFormat/>
    <w:rsid w:val="00DF57BB"/>
    <w:pPr>
      <w:ind w:left="720"/>
      <w:contextualSpacing/>
    </w:pPr>
  </w:style>
  <w:style w:type="character" w:styleId="Rykuspabraukimas">
    <w:name w:val="Intense Emphasis"/>
    <w:basedOn w:val="Numatytasispastraiposriftas"/>
    <w:uiPriority w:val="21"/>
    <w:qFormat/>
    <w:rsid w:val="00DF57BB"/>
    <w:rPr>
      <w:i/>
      <w:iCs/>
      <w:color w:val="0F4761" w:themeColor="accent1" w:themeShade="BF"/>
    </w:rPr>
  </w:style>
  <w:style w:type="paragraph" w:styleId="Iskirtacitata">
    <w:name w:val="Intense Quote"/>
    <w:basedOn w:val="prastasis"/>
    <w:next w:val="prastasis"/>
    <w:link w:val="IskirtacitataDiagrama"/>
    <w:uiPriority w:val="30"/>
    <w:qFormat/>
    <w:rsid w:val="00DF57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DF57BB"/>
    <w:rPr>
      <w:i/>
      <w:iCs/>
      <w:color w:val="0F4761" w:themeColor="accent1" w:themeShade="BF"/>
    </w:rPr>
  </w:style>
  <w:style w:type="character" w:styleId="Rykinuoroda">
    <w:name w:val="Intense Reference"/>
    <w:basedOn w:val="Numatytasispastraiposriftas"/>
    <w:uiPriority w:val="32"/>
    <w:qFormat/>
    <w:rsid w:val="00DF57BB"/>
    <w:rPr>
      <w:b/>
      <w:bCs/>
      <w:smallCaps/>
      <w:color w:val="0F4761" w:themeColor="accent1" w:themeShade="BF"/>
      <w:spacing w:val="5"/>
    </w:rPr>
  </w:style>
  <w:style w:type="paragraph" w:styleId="prastasiniatinklio">
    <w:name w:val="Normal (Web)"/>
    <w:basedOn w:val="prastasis"/>
    <w:uiPriority w:val="99"/>
    <w:semiHidden/>
    <w:unhideWhenUsed/>
    <w:rsid w:val="00DF57BB"/>
    <w:pPr>
      <w:spacing w:before="100" w:beforeAutospacing="1" w:after="100" w:afterAutospacing="1" w:line="240" w:lineRule="auto"/>
    </w:pPr>
    <w:rPr>
      <w:rFonts w:ascii="Aptos" w:hAnsi="Aptos" w:cs="Aptos"/>
      <w:kern w:val="0"/>
      <w:lang w:eastAsia="lt-LT"/>
      <w14:ligatures w14:val="none"/>
    </w:rPr>
  </w:style>
  <w:style w:type="paragraph" w:styleId="Porat">
    <w:name w:val="footer"/>
    <w:basedOn w:val="prastasis"/>
    <w:link w:val="PoratDiagrama"/>
    <w:uiPriority w:val="99"/>
    <w:unhideWhenUsed/>
    <w:rsid w:val="00CA4E1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A4E18"/>
  </w:style>
  <w:style w:type="paragraph" w:styleId="Puslapioinaostekstas">
    <w:name w:val="footnote text"/>
    <w:basedOn w:val="prastasis"/>
    <w:link w:val="PuslapioinaostekstasDiagrama"/>
    <w:uiPriority w:val="99"/>
    <w:semiHidden/>
    <w:unhideWhenUsed/>
    <w:rsid w:val="00CE6261"/>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CE6261"/>
    <w:rPr>
      <w:sz w:val="20"/>
      <w:szCs w:val="20"/>
    </w:rPr>
  </w:style>
  <w:style w:type="character" w:styleId="Puslapioinaosnuoroda">
    <w:name w:val="footnote reference"/>
    <w:basedOn w:val="Numatytasispastraiposriftas"/>
    <w:uiPriority w:val="99"/>
    <w:semiHidden/>
    <w:unhideWhenUsed/>
    <w:rsid w:val="00CE6261"/>
    <w:rPr>
      <w:vertAlign w:val="superscript"/>
    </w:rPr>
  </w:style>
  <w:style w:type="character" w:styleId="Hipersaitas">
    <w:name w:val="Hyperlink"/>
    <w:basedOn w:val="Numatytasispastraiposriftas"/>
    <w:uiPriority w:val="99"/>
    <w:unhideWhenUsed/>
    <w:rsid w:val="00BB371A"/>
    <w:rPr>
      <w:color w:val="467886" w:themeColor="hyperlink"/>
      <w:u w:val="single"/>
    </w:rPr>
  </w:style>
  <w:style w:type="character" w:styleId="Neapdorotaspaminjimas">
    <w:name w:val="Unresolved Mention"/>
    <w:basedOn w:val="Numatytasispastraiposriftas"/>
    <w:uiPriority w:val="99"/>
    <w:semiHidden/>
    <w:unhideWhenUsed/>
    <w:rsid w:val="00BB371A"/>
    <w:rPr>
      <w:color w:val="605E5C"/>
      <w:shd w:val="clear" w:color="auto" w:fill="E1DFDD"/>
    </w:rPr>
  </w:style>
  <w:style w:type="paragraph" w:styleId="Antrats">
    <w:name w:val="header"/>
    <w:basedOn w:val="prastasis"/>
    <w:link w:val="AntratsDiagrama"/>
    <w:uiPriority w:val="99"/>
    <w:unhideWhenUse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vm.vu.lt/external/vm/files/GEM_Lithuania_national_report_2024.pdf" TargetMode="External"/><Relationship Id="rId2" Type="http://schemas.openxmlformats.org/officeDocument/2006/relationships/hyperlink" Target="https://prabilk.lt/" TargetMode="External"/><Relationship Id="rId1" Type="http://schemas.openxmlformats.org/officeDocument/2006/relationships/hyperlink" Target="https://pagalbosmoterimslinija.lt/agresija-smurtas/seksualinis-smurtas-artimoje-aplinkoje-kaip-atpazinti/" TargetMode="External"/><Relationship Id="rId4" Type="http://schemas.openxmlformats.org/officeDocument/2006/relationships/hyperlink" Target="https://socmin.lrv.lt/lt/veiklos-sritys/socialine-integracija/socialines-paslaugos/socialiniu-paslaugu-teikim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2026-02-06T15:28:23+00:00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B8C5B7D-F91E-4202-9839-9EB5EAB05550}">
  <ds:schemaRefs>
    <ds:schemaRef ds:uri="http://schemas.openxmlformats.org/officeDocument/2006/bibliography"/>
  </ds:schemaRefs>
</ds:datastoreItem>
</file>

<file path=customXml/itemProps2.xml><?xml version="1.0" encoding="utf-8"?>
<ds:datastoreItem xmlns:ds="http://schemas.openxmlformats.org/officeDocument/2006/customXml" ds:itemID="{4092A8F5-BC57-427D-A8BD-3CD1D82134B7}"/>
</file>

<file path=customXml/itemProps3.xml><?xml version="1.0" encoding="utf-8"?>
<ds:datastoreItem xmlns:ds="http://schemas.openxmlformats.org/officeDocument/2006/customXml" ds:itemID="{BCAEDFCD-CF50-4A27-BFD1-26FE04A7026B}"/>
</file>

<file path=customXml/itemProps4.xml><?xml version="1.0" encoding="utf-8"?>
<ds:datastoreItem xmlns:ds="http://schemas.openxmlformats.org/officeDocument/2006/customXml" ds:itemID="{93FE1549-B21F-484B-BE79-157FFDD61871}"/>
</file>

<file path=docMetadata/LabelInfo.xml><?xml version="1.0" encoding="utf-8"?>
<clbl:labelList xmlns:clbl="http://schemas.microsoft.com/office/2020/mipLabelMetadata">
  <clbl:label id="{0f9e35db-544f-4f60-bdcc-5ea416e6dc70}" enabled="0" method="" siteId="{0f9e35db-544f-4f60-bdcc-5ea416e6dc70}" removed="1"/>
  <clbl:label id="{1e161c66-e713-4ed0-9585-b8c2a254cd15}"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17</TotalTime>
  <Pages>6</Pages>
  <Words>7024</Words>
  <Characters>4005</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Jūratė Baublienė</dc:creator>
  <cp:keywords/>
  <dc:description/>
  <cp:lastModifiedBy>Jūratė Baublienė</cp:lastModifiedBy>
  <cp:revision>14</cp:revision>
  <dcterms:created xsi:type="dcterms:W3CDTF">2026-02-06T14:27:00Z</dcterms:created>
  <dcterms:modified xsi:type="dcterms:W3CDTF">2026-02-06T14:45:00Z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6fca3637,3bd355e5,1121ad8f</vt:lpwstr>
  </property>
  <property fmtid="{D5CDD505-2E9C-101B-9397-08002B2CF9AE}" pid="3" name="ClassificationContentMarkingFooterFontProps">
    <vt:lpwstr>#000000,10,Aptos</vt:lpwstr>
  </property>
  <property fmtid="{D5CDD505-2E9C-101B-9397-08002B2CF9AE}" pid="4" name="ClassificationContentMarkingFooterText">
    <vt:lpwstr>Socialinės apsaugos ir darbo ministerija bei pavaldžios įstaigos | Bendram naudojimui</vt:lpwstr>
  </property>
  <property fmtid="{D5CDD505-2E9C-101B-9397-08002B2CF9AE}" pid="5" name="ContentTypeId">
    <vt:lpwstr>0x010100A3CFA62B47352B44BFD11BEB9CD9FD5A</vt:lpwstr>
  </property>
  <property fmtid="{D5CDD505-2E9C-101B-9397-08002B2CF9AE}" pid="6" name="MediaServiceImageTags">
    <vt:lpwstr/>
  </property>
</Properties>
</file>