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C1A62" w14:textId="774E9919" w:rsidR="007F6D11" w:rsidRPr="00EE615B" w:rsidRDefault="00EE615B" w:rsidP="00EE615B">
      <w:pPr>
        <w:jc w:val="both"/>
        <w:rPr>
          <w:rFonts w:ascii="Times New Roman" w:hAnsi="Times New Roman" w:cs="Times New Roman"/>
          <w:b/>
        </w:rPr>
      </w:pPr>
      <w:r>
        <w:rPr>
          <w:rFonts w:ascii="Times New Roman" w:hAnsi="Times New Roman" w:cs="Times New Roman"/>
          <w:b/>
        </w:rPr>
        <w:t xml:space="preserve">1. </w:t>
      </w:r>
      <w:r w:rsidRPr="00CB2A48">
        <w:rPr>
          <w:rFonts w:ascii="Times New Roman" w:hAnsi="Times New Roman" w:cs="Times New Roman"/>
          <w:b/>
          <w:u w:val="single"/>
        </w:rPr>
        <w:t xml:space="preserve">Migrants </w:t>
      </w:r>
    </w:p>
    <w:p w14:paraId="4B8BBC55" w14:textId="02226C85" w:rsidR="004E3B38" w:rsidRPr="00EE615B" w:rsidRDefault="004E3B38" w:rsidP="006C130D">
      <w:pPr>
        <w:ind w:firstLine="720"/>
        <w:jc w:val="both"/>
        <w:rPr>
          <w:rFonts w:ascii="Times New Roman" w:hAnsi="Times New Roman" w:cs="Times New Roman"/>
        </w:rPr>
      </w:pPr>
      <w:r w:rsidRPr="00EE615B">
        <w:rPr>
          <w:rFonts w:ascii="Times New Roman" w:hAnsi="Times New Roman" w:cs="Times New Roman"/>
        </w:rPr>
        <w:t xml:space="preserve">Italy carried out 3.947 Assisted Voluntary Returns (AVR) by means of the European </w:t>
      </w:r>
      <w:r w:rsidR="00EE615B">
        <w:rPr>
          <w:rFonts w:ascii="Times New Roman" w:hAnsi="Times New Roman" w:cs="Times New Roman"/>
        </w:rPr>
        <w:t xml:space="preserve">Return Fund 2008/2013 under </w:t>
      </w:r>
      <w:r w:rsidRPr="00EE615B">
        <w:rPr>
          <w:rFonts w:ascii="Times New Roman" w:hAnsi="Times New Roman" w:cs="Times New Roman"/>
        </w:rPr>
        <w:t>the SOLID program.</w:t>
      </w:r>
      <w:r w:rsidR="006C130D">
        <w:rPr>
          <w:rFonts w:ascii="Times New Roman" w:hAnsi="Times New Roman" w:cs="Times New Roman"/>
        </w:rPr>
        <w:t xml:space="preserve"> </w:t>
      </w:r>
      <w:r w:rsidRPr="00EE615B">
        <w:rPr>
          <w:rFonts w:ascii="Times New Roman" w:hAnsi="Times New Roman" w:cs="Times New Roman"/>
        </w:rPr>
        <w:t xml:space="preserve">According to the AMIF (Asylum Migration Integration Fund) National Program, </w:t>
      </w:r>
      <w:r w:rsidR="00EE615B">
        <w:rPr>
          <w:rFonts w:ascii="Times New Roman" w:hAnsi="Times New Roman" w:cs="Times New Roman"/>
        </w:rPr>
        <w:t xml:space="preserve">as </w:t>
      </w:r>
      <w:r w:rsidRPr="00EE615B">
        <w:rPr>
          <w:rFonts w:ascii="Times New Roman" w:hAnsi="Times New Roman" w:cs="Times New Roman"/>
        </w:rPr>
        <w:t>appro</w:t>
      </w:r>
      <w:r w:rsidR="00EE615B">
        <w:rPr>
          <w:rFonts w:ascii="Times New Roman" w:hAnsi="Times New Roman" w:cs="Times New Roman"/>
        </w:rPr>
        <w:t>ved by European Commission in 2015</w:t>
      </w:r>
      <w:r w:rsidRPr="00EE615B">
        <w:rPr>
          <w:rFonts w:ascii="Times New Roman" w:hAnsi="Times New Roman" w:cs="Times New Roman"/>
        </w:rPr>
        <w:t>,  the Return measures sh</w:t>
      </w:r>
      <w:r w:rsidR="00EE615B">
        <w:rPr>
          <w:rFonts w:ascii="Times New Roman" w:hAnsi="Times New Roman" w:cs="Times New Roman"/>
        </w:rPr>
        <w:t xml:space="preserve">all be an instrument aimed at </w:t>
      </w:r>
      <w:r w:rsidRPr="00EE615B">
        <w:rPr>
          <w:rFonts w:ascii="Times New Roman" w:hAnsi="Times New Roman" w:cs="Times New Roman"/>
        </w:rPr>
        <w:t>strengt</w:t>
      </w:r>
      <w:r w:rsidR="00EE615B">
        <w:rPr>
          <w:rFonts w:ascii="Times New Roman" w:hAnsi="Times New Roman" w:cs="Times New Roman"/>
        </w:rPr>
        <w:t xml:space="preserve">hening the reintegration </w:t>
      </w:r>
      <w:r w:rsidRPr="00EE615B">
        <w:rPr>
          <w:rFonts w:ascii="Times New Roman" w:hAnsi="Times New Roman" w:cs="Times New Roman"/>
        </w:rPr>
        <w:t xml:space="preserve">in the countries of origin  and </w:t>
      </w:r>
      <w:r w:rsidR="00EE615B">
        <w:rPr>
          <w:rFonts w:ascii="Times New Roman" w:hAnsi="Times New Roman" w:cs="Times New Roman"/>
        </w:rPr>
        <w:t xml:space="preserve">to be </w:t>
      </w:r>
      <w:r w:rsidRPr="00EE615B">
        <w:rPr>
          <w:rFonts w:ascii="Times New Roman" w:hAnsi="Times New Roman" w:cs="Times New Roman"/>
        </w:rPr>
        <w:t>provided for those who intend to redefine their own migratory path and opt for AVR.</w:t>
      </w:r>
      <w:r w:rsidR="00EE615B">
        <w:rPr>
          <w:rFonts w:ascii="Times New Roman" w:hAnsi="Times New Roman" w:cs="Times New Roman"/>
        </w:rPr>
        <w:t xml:space="preserve"> In the coming </w:t>
      </w:r>
      <w:r w:rsidRPr="00EE615B">
        <w:rPr>
          <w:rFonts w:ascii="Times New Roman" w:hAnsi="Times New Roman" w:cs="Times New Roman"/>
        </w:rPr>
        <w:t>years</w:t>
      </w:r>
      <w:r w:rsidR="00EE615B">
        <w:rPr>
          <w:rFonts w:ascii="Times New Roman" w:hAnsi="Times New Roman" w:cs="Times New Roman"/>
        </w:rPr>
        <w:t>,</w:t>
      </w:r>
      <w:r w:rsidRPr="00EE615B">
        <w:rPr>
          <w:rFonts w:ascii="Times New Roman" w:hAnsi="Times New Roman" w:cs="Times New Roman"/>
        </w:rPr>
        <w:t xml:space="preserve"> an increasing demand for assiste</w:t>
      </w:r>
      <w:r w:rsidR="00EE615B">
        <w:rPr>
          <w:rFonts w:ascii="Times New Roman" w:hAnsi="Times New Roman" w:cs="Times New Roman"/>
        </w:rPr>
        <w:t>d voluntary returns is expected (</w:t>
      </w:r>
      <w:r w:rsidRPr="00EE615B">
        <w:rPr>
          <w:rFonts w:ascii="Times New Roman" w:hAnsi="Times New Roman" w:cs="Times New Roman"/>
        </w:rPr>
        <w:t>this is also linked to the enlargement of the eligible targe</w:t>
      </w:r>
      <w:r w:rsidR="00EE615B">
        <w:rPr>
          <w:rFonts w:ascii="Times New Roman" w:hAnsi="Times New Roman" w:cs="Times New Roman"/>
        </w:rPr>
        <w:t xml:space="preserve">t falling within this measure, in </w:t>
      </w:r>
      <w:r w:rsidRPr="00EE615B">
        <w:rPr>
          <w:rFonts w:ascii="Times New Roman" w:hAnsi="Times New Roman" w:cs="Times New Roman"/>
        </w:rPr>
        <w:t>accord</w:t>
      </w:r>
      <w:r w:rsidR="00EE615B">
        <w:rPr>
          <w:rFonts w:ascii="Times New Roman" w:hAnsi="Times New Roman" w:cs="Times New Roman"/>
        </w:rPr>
        <w:t xml:space="preserve">ance with </w:t>
      </w:r>
      <w:r w:rsidRPr="00EE615B">
        <w:rPr>
          <w:rFonts w:ascii="Times New Roman" w:hAnsi="Times New Roman" w:cs="Times New Roman"/>
        </w:rPr>
        <w:t>Art. 11 subpar</w:t>
      </w:r>
      <w:r w:rsidR="00EE615B">
        <w:rPr>
          <w:rFonts w:ascii="Times New Roman" w:hAnsi="Times New Roman" w:cs="Times New Roman"/>
        </w:rPr>
        <w:t>a</w:t>
      </w:r>
      <w:r w:rsidRPr="00EE615B">
        <w:rPr>
          <w:rFonts w:ascii="Times New Roman" w:hAnsi="Times New Roman" w:cs="Times New Roman"/>
        </w:rPr>
        <w:t>. b of the EU Regulation 516/2014</w:t>
      </w:r>
      <w:r w:rsidR="00EE615B">
        <w:rPr>
          <w:rFonts w:ascii="Times New Roman" w:hAnsi="Times New Roman" w:cs="Times New Roman"/>
        </w:rPr>
        <w:t>)</w:t>
      </w:r>
      <w:r w:rsidRPr="00EE615B">
        <w:rPr>
          <w:rFonts w:ascii="Times New Roman" w:hAnsi="Times New Roman" w:cs="Times New Roman"/>
        </w:rPr>
        <w:t xml:space="preserve">. </w:t>
      </w:r>
      <w:r w:rsidR="006C130D">
        <w:rPr>
          <w:rFonts w:ascii="Times New Roman" w:hAnsi="Times New Roman" w:cs="Times New Roman"/>
        </w:rPr>
        <w:t>I</w:t>
      </w:r>
      <w:r w:rsidRPr="00EE615B">
        <w:rPr>
          <w:rFonts w:ascii="Times New Roman" w:hAnsi="Times New Roman" w:cs="Times New Roman"/>
        </w:rPr>
        <w:t>n</w:t>
      </w:r>
      <w:r w:rsidR="00EE615B">
        <w:rPr>
          <w:rFonts w:ascii="Times New Roman" w:hAnsi="Times New Roman" w:cs="Times New Roman"/>
        </w:rPr>
        <w:t xml:space="preserve"> order to achieve greater </w:t>
      </w:r>
      <w:r w:rsidRPr="00EE615B">
        <w:rPr>
          <w:rFonts w:ascii="Times New Roman" w:hAnsi="Times New Roman" w:cs="Times New Roman"/>
        </w:rPr>
        <w:t>effectiveness and ha</w:t>
      </w:r>
      <w:r w:rsidR="00EE615B">
        <w:rPr>
          <w:rFonts w:ascii="Times New Roman" w:hAnsi="Times New Roman" w:cs="Times New Roman"/>
        </w:rPr>
        <w:t xml:space="preserve">rmonization of the procedures nationwide, </w:t>
      </w:r>
      <w:r w:rsidR="006C130D">
        <w:rPr>
          <w:rFonts w:ascii="Times New Roman" w:hAnsi="Times New Roman" w:cs="Times New Roman"/>
        </w:rPr>
        <w:t>t</w:t>
      </w:r>
      <w:r w:rsidR="006C130D" w:rsidRPr="00EE615B">
        <w:rPr>
          <w:rFonts w:ascii="Times New Roman" w:hAnsi="Times New Roman" w:cs="Times New Roman"/>
        </w:rPr>
        <w:t xml:space="preserve">he </w:t>
      </w:r>
      <w:r w:rsidR="006C130D">
        <w:rPr>
          <w:rFonts w:ascii="Times New Roman" w:hAnsi="Times New Roman" w:cs="Times New Roman"/>
        </w:rPr>
        <w:t xml:space="preserve">relevant </w:t>
      </w:r>
      <w:r w:rsidR="006C130D" w:rsidRPr="00EE615B">
        <w:rPr>
          <w:rFonts w:ascii="Times New Roman" w:hAnsi="Times New Roman" w:cs="Times New Roman"/>
        </w:rPr>
        <w:t xml:space="preserve">national strategy, </w:t>
      </w:r>
      <w:r w:rsidRPr="00EE615B">
        <w:rPr>
          <w:rFonts w:ascii="Times New Roman" w:hAnsi="Times New Roman" w:cs="Times New Roman"/>
        </w:rPr>
        <w:t>is going to strengthen the national governance a</w:t>
      </w:r>
      <w:r w:rsidR="00EE615B">
        <w:rPr>
          <w:rFonts w:ascii="Times New Roman" w:hAnsi="Times New Roman" w:cs="Times New Roman"/>
        </w:rPr>
        <w:t>nd to implement awareness-</w:t>
      </w:r>
      <w:r w:rsidRPr="00EE615B">
        <w:rPr>
          <w:rFonts w:ascii="Times New Roman" w:hAnsi="Times New Roman" w:cs="Times New Roman"/>
        </w:rPr>
        <w:t xml:space="preserve">raising activities.  </w:t>
      </w:r>
      <w:r w:rsidR="00EE615B">
        <w:rPr>
          <w:rFonts w:ascii="Times New Roman" w:hAnsi="Times New Roman" w:cs="Times New Roman"/>
        </w:rPr>
        <w:t xml:space="preserve">In this respect, </w:t>
      </w:r>
      <w:r w:rsidRPr="00EE615B">
        <w:rPr>
          <w:rFonts w:ascii="Times New Roman" w:hAnsi="Times New Roman" w:cs="Times New Roman"/>
        </w:rPr>
        <w:t>the abovementioned AMIF National Program, provides for specific actions,  such as  1) the  setting up of a National  Board on  Assisted Voluntary Return (which already met in the months of October, and December  2015 as well as in  March 2016 )</w:t>
      </w:r>
      <w:r w:rsidR="00EE615B">
        <w:rPr>
          <w:rFonts w:ascii="Times New Roman" w:hAnsi="Times New Roman" w:cs="Times New Roman"/>
        </w:rPr>
        <w:t>;</w:t>
      </w:r>
      <w:r w:rsidRPr="00EE615B">
        <w:rPr>
          <w:rFonts w:ascii="Times New Roman" w:hAnsi="Times New Roman" w:cs="Times New Roman"/>
        </w:rPr>
        <w:t xml:space="preserve">  2) the development </w:t>
      </w:r>
      <w:r w:rsidR="00EE615B">
        <w:rPr>
          <w:rFonts w:ascii="Times New Roman" w:hAnsi="Times New Roman" w:cs="Times New Roman"/>
        </w:rPr>
        <w:t xml:space="preserve"> of an institutional network of</w:t>
      </w:r>
      <w:r w:rsidRPr="00EE615B">
        <w:rPr>
          <w:rFonts w:ascii="Times New Roman" w:hAnsi="Times New Roman" w:cs="Times New Roman"/>
        </w:rPr>
        <w:t xml:space="preserve"> AVR</w:t>
      </w:r>
      <w:r w:rsidR="00EE615B">
        <w:rPr>
          <w:rFonts w:ascii="Times New Roman" w:hAnsi="Times New Roman" w:cs="Times New Roman"/>
        </w:rPr>
        <w:t xml:space="preserve">, including </w:t>
      </w:r>
      <w:r w:rsidRPr="00EE615B">
        <w:rPr>
          <w:rFonts w:ascii="Times New Roman" w:hAnsi="Times New Roman" w:cs="Times New Roman"/>
        </w:rPr>
        <w:t>training sessions</w:t>
      </w:r>
      <w:r w:rsidR="00EE615B">
        <w:rPr>
          <w:rFonts w:ascii="Times New Roman" w:hAnsi="Times New Roman" w:cs="Times New Roman"/>
        </w:rPr>
        <w:t>;</w:t>
      </w:r>
      <w:r w:rsidRPr="00EE615B">
        <w:rPr>
          <w:rFonts w:ascii="Times New Roman" w:hAnsi="Times New Roman" w:cs="Times New Roman"/>
        </w:rPr>
        <w:t xml:space="preserve"> </w:t>
      </w:r>
      <w:r w:rsidR="00EE615B">
        <w:rPr>
          <w:rFonts w:ascii="Times New Roman" w:hAnsi="Times New Roman" w:cs="Times New Roman"/>
        </w:rPr>
        <w:t xml:space="preserve">3) </w:t>
      </w:r>
      <w:r w:rsidRPr="00EE615B">
        <w:rPr>
          <w:rFonts w:ascii="Times New Roman" w:hAnsi="Times New Roman" w:cs="Times New Roman"/>
        </w:rPr>
        <w:t>inst</w:t>
      </w:r>
      <w:r w:rsidR="00EE615B">
        <w:rPr>
          <w:rFonts w:ascii="Times New Roman" w:hAnsi="Times New Roman" w:cs="Times New Roman"/>
        </w:rPr>
        <w:t xml:space="preserve">itutional information campaign; </w:t>
      </w:r>
      <w:r w:rsidRPr="00EE615B">
        <w:rPr>
          <w:rFonts w:ascii="Times New Roman" w:hAnsi="Times New Roman" w:cs="Times New Roman"/>
        </w:rPr>
        <w:t>4) the devel</w:t>
      </w:r>
      <w:r w:rsidR="00EE615B">
        <w:rPr>
          <w:rFonts w:ascii="Times New Roman" w:hAnsi="Times New Roman" w:cs="Times New Roman"/>
        </w:rPr>
        <w:t>opment of a monitoring system with regard to</w:t>
      </w:r>
      <w:r w:rsidRPr="00EE615B">
        <w:rPr>
          <w:rFonts w:ascii="Times New Roman" w:hAnsi="Times New Roman" w:cs="Times New Roman"/>
        </w:rPr>
        <w:t xml:space="preserve"> the implementation of returns.</w:t>
      </w:r>
    </w:p>
    <w:p w14:paraId="4AC4E7E3" w14:textId="77777777" w:rsidR="004E3B38" w:rsidRPr="00EE615B" w:rsidRDefault="004E3B38" w:rsidP="00EE615B">
      <w:pPr>
        <w:jc w:val="both"/>
        <w:rPr>
          <w:rFonts w:ascii="Times New Roman" w:hAnsi="Times New Roman" w:cs="Times New Roman"/>
        </w:rPr>
      </w:pPr>
    </w:p>
    <w:p w14:paraId="0C0FD507" w14:textId="7761156B" w:rsidR="004E3B38" w:rsidRPr="00EE615B" w:rsidRDefault="004E3B38" w:rsidP="006C130D">
      <w:pPr>
        <w:jc w:val="both"/>
        <w:rPr>
          <w:rFonts w:ascii="Times New Roman" w:hAnsi="Times New Roman" w:cs="Times New Roman"/>
        </w:rPr>
      </w:pPr>
      <w:r w:rsidRPr="00EE615B">
        <w:rPr>
          <w:rFonts w:ascii="Times New Roman" w:hAnsi="Times New Roman" w:cs="Times New Roman"/>
        </w:rPr>
        <w:tab/>
      </w:r>
      <w:r w:rsidR="00EE615B">
        <w:rPr>
          <w:rFonts w:ascii="Times New Roman" w:hAnsi="Times New Roman" w:cs="Times New Roman"/>
        </w:rPr>
        <w:t xml:space="preserve">As for </w:t>
      </w:r>
      <w:r w:rsidRPr="00EE615B">
        <w:rPr>
          <w:rFonts w:ascii="Times New Roman" w:hAnsi="Times New Roman" w:cs="Times New Roman"/>
        </w:rPr>
        <w:t>return measures, the AMIF National Pr</w:t>
      </w:r>
      <w:r w:rsidR="00BC2EFA">
        <w:rPr>
          <w:rFonts w:ascii="Times New Roman" w:hAnsi="Times New Roman" w:cs="Times New Roman"/>
        </w:rPr>
        <w:t>ogram provides for approx..</w:t>
      </w:r>
      <w:r w:rsidRPr="00EE615B">
        <w:rPr>
          <w:rFonts w:ascii="Times New Roman" w:hAnsi="Times New Roman" w:cs="Times New Roman"/>
        </w:rPr>
        <w:t xml:space="preserve"> 9.500 AVRs with reintegration for the period 2014-2020.</w:t>
      </w:r>
      <w:r w:rsidR="00BC2EFA">
        <w:rPr>
          <w:rFonts w:ascii="Times New Roman" w:hAnsi="Times New Roman" w:cs="Times New Roman"/>
        </w:rPr>
        <w:t xml:space="preserve"> In this respect, on</w:t>
      </w:r>
      <w:r w:rsidRPr="00EE615B">
        <w:rPr>
          <w:rFonts w:ascii="Times New Roman" w:hAnsi="Times New Roman" w:cs="Times New Roman"/>
        </w:rPr>
        <w:t xml:space="preserve"> 24/1</w:t>
      </w:r>
      <w:r w:rsidR="00BC2EFA">
        <w:rPr>
          <w:rFonts w:ascii="Times New Roman" w:hAnsi="Times New Roman" w:cs="Times New Roman"/>
        </w:rPr>
        <w:t xml:space="preserve">2/2015 a first call for tender </w:t>
      </w:r>
      <w:r w:rsidRPr="00EE615B">
        <w:rPr>
          <w:rFonts w:ascii="Times New Roman" w:hAnsi="Times New Roman" w:cs="Times New Roman"/>
        </w:rPr>
        <w:t xml:space="preserve">was </w:t>
      </w:r>
      <w:r w:rsidR="00BC2EFA">
        <w:rPr>
          <w:rFonts w:ascii="Times New Roman" w:hAnsi="Times New Roman" w:cs="Times New Roman"/>
        </w:rPr>
        <w:t xml:space="preserve">launched – as </w:t>
      </w:r>
      <w:r w:rsidRPr="00EE615B">
        <w:rPr>
          <w:rFonts w:ascii="Times New Roman" w:hAnsi="Times New Roman" w:cs="Times New Roman"/>
        </w:rPr>
        <w:t>funded by AMIF resources in the fram</w:t>
      </w:r>
      <w:r w:rsidR="00BC2EFA">
        <w:rPr>
          <w:rFonts w:ascii="Times New Roman" w:hAnsi="Times New Roman" w:cs="Times New Roman"/>
        </w:rPr>
        <w:t xml:space="preserve">ework of the “Return” Objective concerning </w:t>
      </w:r>
      <w:r w:rsidRPr="00EE615B">
        <w:rPr>
          <w:rFonts w:ascii="Times New Roman" w:hAnsi="Times New Roman" w:cs="Times New Roman"/>
        </w:rPr>
        <w:t xml:space="preserve">the implementation of Assisted Voluntary Return and Reintegration projects </w:t>
      </w:r>
      <w:r w:rsidR="00BC2EFA">
        <w:rPr>
          <w:rFonts w:ascii="Times New Roman" w:hAnsi="Times New Roman" w:cs="Times New Roman"/>
        </w:rPr>
        <w:t xml:space="preserve">for </w:t>
      </w:r>
      <w:r w:rsidRPr="00EE615B">
        <w:rPr>
          <w:rFonts w:ascii="Times New Roman" w:hAnsi="Times New Roman" w:cs="Times New Roman"/>
        </w:rPr>
        <w:t>3.20</w:t>
      </w:r>
      <w:r w:rsidR="00BC2EFA">
        <w:rPr>
          <w:rFonts w:ascii="Times New Roman" w:hAnsi="Times New Roman" w:cs="Times New Roman"/>
        </w:rPr>
        <w:t xml:space="preserve">0 third country nationals.  The </w:t>
      </w:r>
      <w:r w:rsidRPr="00EE615B">
        <w:rPr>
          <w:rFonts w:ascii="Times New Roman" w:hAnsi="Times New Roman" w:cs="Times New Roman"/>
        </w:rPr>
        <w:t>speci</w:t>
      </w:r>
      <w:r w:rsidR="00BC2EFA">
        <w:rPr>
          <w:rFonts w:ascii="Times New Roman" w:hAnsi="Times New Roman" w:cs="Times New Roman"/>
        </w:rPr>
        <w:t xml:space="preserve">fic evaluation Commission approved 5 projects, aimed at </w:t>
      </w:r>
      <w:r w:rsidRPr="00EE615B">
        <w:rPr>
          <w:rFonts w:ascii="Times New Roman" w:hAnsi="Times New Roman" w:cs="Times New Roman"/>
        </w:rPr>
        <w:t xml:space="preserve">carrying out,  </w:t>
      </w:r>
      <w:r w:rsidRPr="00EE615B">
        <w:rPr>
          <w:rFonts w:ascii="Times New Roman" w:hAnsi="Times New Roman" w:cs="Times New Roman"/>
          <w:b/>
        </w:rPr>
        <w:t>by March 31</w:t>
      </w:r>
      <w:r w:rsidRPr="00EE615B">
        <w:rPr>
          <w:rFonts w:ascii="Times New Roman" w:hAnsi="Times New Roman" w:cs="Times New Roman"/>
          <w:b/>
          <w:vertAlign w:val="superscript"/>
        </w:rPr>
        <w:t>st</w:t>
      </w:r>
      <w:r w:rsidRPr="00EE615B">
        <w:rPr>
          <w:rFonts w:ascii="Times New Roman" w:hAnsi="Times New Roman" w:cs="Times New Roman"/>
          <w:b/>
        </w:rPr>
        <w:t xml:space="preserve"> 2018, </w:t>
      </w:r>
      <w:r w:rsidRPr="00EE615B">
        <w:rPr>
          <w:rFonts w:ascii="Times New Roman" w:hAnsi="Times New Roman" w:cs="Times New Roman"/>
        </w:rPr>
        <w:t xml:space="preserve">Assisted Voluntary Return actions  </w:t>
      </w:r>
      <w:r w:rsidR="00BC2EFA">
        <w:rPr>
          <w:rFonts w:ascii="Times New Roman" w:hAnsi="Times New Roman" w:cs="Times New Roman"/>
          <w:b/>
        </w:rPr>
        <w:t xml:space="preserve">for </w:t>
      </w:r>
      <w:r w:rsidRPr="00EE615B">
        <w:rPr>
          <w:rFonts w:ascii="Times New Roman" w:hAnsi="Times New Roman" w:cs="Times New Roman"/>
          <w:b/>
        </w:rPr>
        <w:t xml:space="preserve">2.905 third country nationals,  both vulnerable and not vulnerable, </w:t>
      </w:r>
      <w:r w:rsidRPr="00EE615B">
        <w:rPr>
          <w:rFonts w:ascii="Times New Roman" w:hAnsi="Times New Roman" w:cs="Times New Roman"/>
        </w:rPr>
        <w:t xml:space="preserve">eligible for the abovementioned measure </w:t>
      </w:r>
      <w:r w:rsidR="00BC2EFA">
        <w:rPr>
          <w:rFonts w:ascii="Times New Roman" w:hAnsi="Times New Roman" w:cs="Times New Roman"/>
        </w:rPr>
        <w:t>in accordance with Art. 11 of EU Regulation No</w:t>
      </w:r>
      <w:r w:rsidRPr="00EE615B">
        <w:rPr>
          <w:rFonts w:ascii="Times New Roman" w:hAnsi="Times New Roman" w:cs="Times New Roman"/>
        </w:rPr>
        <w:t>.</w:t>
      </w:r>
      <w:r w:rsidR="00BC2EFA">
        <w:rPr>
          <w:rFonts w:ascii="Times New Roman" w:hAnsi="Times New Roman" w:cs="Times New Roman"/>
        </w:rPr>
        <w:t xml:space="preserve"> 516/2014, including reintegration measures to facilitate </w:t>
      </w:r>
      <w:r w:rsidRPr="00EE615B">
        <w:rPr>
          <w:rFonts w:ascii="Times New Roman" w:hAnsi="Times New Roman" w:cs="Times New Roman"/>
        </w:rPr>
        <w:t>rein</w:t>
      </w:r>
      <w:r w:rsidR="00BC2EFA">
        <w:rPr>
          <w:rFonts w:ascii="Times New Roman" w:hAnsi="Times New Roman" w:cs="Times New Roman"/>
        </w:rPr>
        <w:t xml:space="preserve">tegration </w:t>
      </w:r>
      <w:r w:rsidRPr="00EE615B">
        <w:rPr>
          <w:rFonts w:ascii="Times New Roman" w:hAnsi="Times New Roman" w:cs="Times New Roman"/>
        </w:rPr>
        <w:t>of returnees into the relevant countries of origin.</w:t>
      </w:r>
      <w:r w:rsidR="00BC2EFA">
        <w:rPr>
          <w:rFonts w:ascii="Times New Roman" w:hAnsi="Times New Roman" w:cs="Times New Roman"/>
        </w:rPr>
        <w:t xml:space="preserve"> </w:t>
      </w:r>
      <w:r w:rsidRPr="00EE615B">
        <w:rPr>
          <w:rFonts w:ascii="Times New Roman" w:hAnsi="Times New Roman" w:cs="Times New Roman"/>
        </w:rPr>
        <w:t>Th</w:t>
      </w:r>
      <w:r w:rsidR="00BC2EFA">
        <w:rPr>
          <w:rFonts w:ascii="Times New Roman" w:hAnsi="Times New Roman" w:cs="Times New Roman"/>
        </w:rPr>
        <w:t>e activities within</w:t>
      </w:r>
      <w:r w:rsidRPr="00EE615B">
        <w:rPr>
          <w:rFonts w:ascii="Times New Roman" w:hAnsi="Times New Roman" w:cs="Times New Roman"/>
        </w:rPr>
        <w:t xml:space="preserve"> </w:t>
      </w:r>
      <w:r w:rsidR="00BC2EFA">
        <w:rPr>
          <w:rFonts w:ascii="Times New Roman" w:hAnsi="Times New Roman" w:cs="Times New Roman"/>
        </w:rPr>
        <w:t xml:space="preserve">the </w:t>
      </w:r>
      <w:r w:rsidRPr="00EE615B">
        <w:rPr>
          <w:rFonts w:ascii="Times New Roman" w:hAnsi="Times New Roman" w:cs="Times New Roman"/>
        </w:rPr>
        <w:t xml:space="preserve">framework of </w:t>
      </w:r>
      <w:r w:rsidR="00BC2EFA">
        <w:rPr>
          <w:rFonts w:ascii="Times New Roman" w:hAnsi="Times New Roman" w:cs="Times New Roman"/>
        </w:rPr>
        <w:t xml:space="preserve">above </w:t>
      </w:r>
      <w:r w:rsidRPr="00EE615B">
        <w:rPr>
          <w:rFonts w:ascii="Times New Roman" w:hAnsi="Times New Roman" w:cs="Times New Roman"/>
        </w:rPr>
        <w:t>project</w:t>
      </w:r>
      <w:r w:rsidR="00BC2EFA">
        <w:rPr>
          <w:rFonts w:ascii="Times New Roman" w:hAnsi="Times New Roman" w:cs="Times New Roman"/>
        </w:rPr>
        <w:t>s are as follows</w:t>
      </w:r>
      <w:r w:rsidRPr="00EE615B">
        <w:rPr>
          <w:rFonts w:ascii="Times New Roman" w:hAnsi="Times New Roman" w:cs="Times New Roman"/>
        </w:rPr>
        <w:t>:</w:t>
      </w:r>
      <w:r w:rsidR="00BC2EFA">
        <w:rPr>
          <w:rFonts w:ascii="Times New Roman" w:hAnsi="Times New Roman" w:cs="Times New Roman"/>
        </w:rPr>
        <w:t xml:space="preserve"> </w:t>
      </w:r>
      <w:r w:rsidRPr="00EE615B">
        <w:rPr>
          <w:rFonts w:ascii="Times New Roman" w:hAnsi="Times New Roman" w:cs="Times New Roman"/>
        </w:rPr>
        <w:t>Identification of the potential returnees eligible for the AVR&amp;R Program in accordance with the AMIF provisions;</w:t>
      </w:r>
      <w:r w:rsidR="00BC2EFA">
        <w:rPr>
          <w:rFonts w:ascii="Times New Roman" w:hAnsi="Times New Roman" w:cs="Times New Roman"/>
        </w:rPr>
        <w:t xml:space="preserve"> </w:t>
      </w:r>
      <w:r w:rsidRPr="00EE615B">
        <w:rPr>
          <w:rFonts w:ascii="Times New Roman" w:hAnsi="Times New Roman" w:cs="Times New Roman"/>
        </w:rPr>
        <w:t>accompanying to the departure for  return</w:t>
      </w:r>
      <w:r w:rsidR="00BC2EFA">
        <w:rPr>
          <w:rFonts w:ascii="Times New Roman" w:hAnsi="Times New Roman" w:cs="Times New Roman"/>
        </w:rPr>
        <w:t xml:space="preserve">ees eligible for this measure; </w:t>
      </w:r>
      <w:r w:rsidRPr="00EE615B">
        <w:rPr>
          <w:rFonts w:ascii="Times New Roman" w:hAnsi="Times New Roman" w:cs="Times New Roman"/>
        </w:rPr>
        <w:t>definition of the</w:t>
      </w:r>
      <w:r w:rsidR="00BC2EFA">
        <w:rPr>
          <w:rFonts w:ascii="Times New Roman" w:hAnsi="Times New Roman" w:cs="Times New Roman"/>
        </w:rPr>
        <w:t xml:space="preserve"> individual reintegration plan </w:t>
      </w:r>
      <w:r w:rsidRPr="00EE615B">
        <w:rPr>
          <w:rFonts w:ascii="Times New Roman" w:hAnsi="Times New Roman" w:cs="Times New Roman"/>
        </w:rPr>
        <w:t>for any person/family group concerned</w:t>
      </w:r>
      <w:r w:rsidR="00BC2EFA">
        <w:rPr>
          <w:rFonts w:ascii="Times New Roman" w:hAnsi="Times New Roman" w:cs="Times New Roman"/>
        </w:rPr>
        <w:t>;</w:t>
      </w:r>
      <w:r w:rsidRPr="00EE615B">
        <w:rPr>
          <w:rFonts w:ascii="Times New Roman" w:hAnsi="Times New Roman" w:cs="Times New Roman"/>
        </w:rPr>
        <w:t xml:space="preserve"> pre-departure assistance</w:t>
      </w:r>
      <w:r w:rsidR="00BC2EFA">
        <w:rPr>
          <w:rFonts w:ascii="Times New Roman" w:hAnsi="Times New Roman" w:cs="Times New Roman"/>
        </w:rPr>
        <w:t xml:space="preserve">; </w:t>
      </w:r>
      <w:r w:rsidRPr="00EE615B">
        <w:rPr>
          <w:rFonts w:ascii="Times New Roman" w:hAnsi="Times New Roman" w:cs="Times New Roman"/>
        </w:rPr>
        <w:t xml:space="preserve"> assistance for the return journey; provision   pre-departure  contributi</w:t>
      </w:r>
      <w:r w:rsidR="00BC2EFA">
        <w:rPr>
          <w:rFonts w:ascii="Times New Roman" w:hAnsi="Times New Roman" w:cs="Times New Roman"/>
        </w:rPr>
        <w:t xml:space="preserve">on for the first accommodation; </w:t>
      </w:r>
      <w:r w:rsidRPr="00EE615B">
        <w:rPr>
          <w:rFonts w:ascii="Times New Roman" w:hAnsi="Times New Roman" w:cs="Times New Roman"/>
        </w:rPr>
        <w:t>contribution in kind in the return country for the implementation of the reintegration plan</w:t>
      </w:r>
      <w:r w:rsidR="00BC2EFA">
        <w:rPr>
          <w:rFonts w:ascii="Times New Roman" w:hAnsi="Times New Roman" w:cs="Times New Roman"/>
        </w:rPr>
        <w:t xml:space="preserve">; </w:t>
      </w:r>
      <w:r w:rsidRPr="00EE615B">
        <w:rPr>
          <w:rFonts w:ascii="Times New Roman" w:hAnsi="Times New Roman" w:cs="Times New Roman"/>
        </w:rPr>
        <w:t xml:space="preserve"> ex post monitoring of reintegrati</w:t>
      </w:r>
      <w:r w:rsidR="006C130D">
        <w:rPr>
          <w:rFonts w:ascii="Times New Roman" w:hAnsi="Times New Roman" w:cs="Times New Roman"/>
        </w:rPr>
        <w:t xml:space="preserve">on. </w:t>
      </w:r>
      <w:r w:rsidRPr="00EE615B">
        <w:rPr>
          <w:rFonts w:ascii="Times New Roman" w:hAnsi="Times New Roman" w:cs="Times New Roman"/>
        </w:rPr>
        <w:t>To date</w:t>
      </w:r>
      <w:r w:rsidR="00BC2EFA">
        <w:rPr>
          <w:rFonts w:ascii="Times New Roman" w:hAnsi="Times New Roman" w:cs="Times New Roman"/>
        </w:rPr>
        <w:t>,</w:t>
      </w:r>
      <w:r w:rsidRPr="00EE615B">
        <w:rPr>
          <w:rFonts w:ascii="Times New Roman" w:hAnsi="Times New Roman" w:cs="Times New Roman"/>
        </w:rPr>
        <w:t xml:space="preserve"> 266 persons </w:t>
      </w:r>
      <w:r w:rsidR="00BC2EFA">
        <w:rPr>
          <w:rFonts w:ascii="Times New Roman" w:hAnsi="Times New Roman" w:cs="Times New Roman"/>
        </w:rPr>
        <w:t xml:space="preserve">are those </w:t>
      </w:r>
      <w:r w:rsidRPr="00EE615B">
        <w:rPr>
          <w:rFonts w:ascii="Times New Roman" w:hAnsi="Times New Roman" w:cs="Times New Roman"/>
        </w:rPr>
        <w:t>returned to their countries of origin.</w:t>
      </w:r>
      <w:r w:rsidR="006C130D">
        <w:rPr>
          <w:rFonts w:ascii="Times New Roman" w:hAnsi="Times New Roman" w:cs="Times New Roman"/>
        </w:rPr>
        <w:t xml:space="preserve"> </w:t>
      </w:r>
      <w:r w:rsidRPr="00EE615B">
        <w:rPr>
          <w:rFonts w:ascii="Times New Roman" w:hAnsi="Times New Roman" w:cs="Times New Roman"/>
        </w:rPr>
        <w:t>Italy is also setting up a</w:t>
      </w:r>
      <w:r w:rsidR="00BC2EFA">
        <w:rPr>
          <w:rFonts w:ascii="Times New Roman" w:hAnsi="Times New Roman" w:cs="Times New Roman"/>
        </w:rPr>
        <w:t>n</w:t>
      </w:r>
      <w:r w:rsidRPr="00EE615B">
        <w:rPr>
          <w:rFonts w:ascii="Times New Roman" w:hAnsi="Times New Roman" w:cs="Times New Roman"/>
        </w:rPr>
        <w:t xml:space="preserve"> AMIF-funded institutional network for the Assisted Voluntary Return and Reintegration tasked with the implementation of all activities required and targeted training of operators involved.</w:t>
      </w:r>
      <w:r w:rsidR="00BC2EFA">
        <w:rPr>
          <w:rFonts w:ascii="Times New Roman" w:hAnsi="Times New Roman" w:cs="Times New Roman"/>
        </w:rPr>
        <w:t xml:space="preserve"> Moreover, Italy is engaged in</w:t>
      </w:r>
      <w:r w:rsidRPr="00EE615B">
        <w:rPr>
          <w:rFonts w:ascii="Times New Roman" w:hAnsi="Times New Roman" w:cs="Times New Roman"/>
        </w:rPr>
        <w:t xml:space="preserve"> the Specific Action Joint Return by</w:t>
      </w:r>
      <w:r w:rsidR="00BC2EFA">
        <w:rPr>
          <w:rFonts w:ascii="Times New Roman" w:hAnsi="Times New Roman" w:cs="Times New Roman"/>
        </w:rPr>
        <w:t xml:space="preserve"> participating in the extended </w:t>
      </w:r>
      <w:r w:rsidRPr="00EE615B">
        <w:rPr>
          <w:rFonts w:ascii="Times New Roman" w:hAnsi="Times New Roman" w:cs="Times New Roman"/>
        </w:rPr>
        <w:t>ERIN project, coordi</w:t>
      </w:r>
      <w:r w:rsidR="00BC2EFA">
        <w:rPr>
          <w:rFonts w:ascii="Times New Roman" w:hAnsi="Times New Roman" w:cs="Times New Roman"/>
        </w:rPr>
        <w:t xml:space="preserve">nated by the Netherlands, the </w:t>
      </w:r>
      <w:r w:rsidRPr="00EE615B">
        <w:rPr>
          <w:rFonts w:ascii="Times New Roman" w:hAnsi="Times New Roman" w:cs="Times New Roman"/>
        </w:rPr>
        <w:t>objective</w:t>
      </w:r>
      <w:r w:rsidR="00BC2EFA">
        <w:rPr>
          <w:rFonts w:ascii="Times New Roman" w:hAnsi="Times New Roman" w:cs="Times New Roman"/>
        </w:rPr>
        <w:t xml:space="preserve"> of which</w:t>
      </w:r>
      <w:r w:rsidRPr="00EE615B">
        <w:rPr>
          <w:rFonts w:ascii="Times New Roman" w:hAnsi="Times New Roman" w:cs="Times New Roman"/>
        </w:rPr>
        <w:t xml:space="preserve"> lies in the improvement of  the cooperation between Memb</w:t>
      </w:r>
      <w:r w:rsidR="00BC2EFA">
        <w:rPr>
          <w:rFonts w:ascii="Times New Roman" w:hAnsi="Times New Roman" w:cs="Times New Roman"/>
        </w:rPr>
        <w:t xml:space="preserve">er States and European Agencies under </w:t>
      </w:r>
      <w:r w:rsidRPr="00EE615B">
        <w:rPr>
          <w:rFonts w:ascii="Times New Roman" w:hAnsi="Times New Roman" w:cs="Times New Roman"/>
        </w:rPr>
        <w:t>return operations.</w:t>
      </w:r>
    </w:p>
    <w:p w14:paraId="5CAC5E83" w14:textId="77777777" w:rsidR="006C130D" w:rsidRDefault="006C130D" w:rsidP="00BC2EFA">
      <w:pPr>
        <w:spacing w:after="120" w:line="240" w:lineRule="exact"/>
        <w:ind w:firstLine="720"/>
        <w:jc w:val="both"/>
        <w:rPr>
          <w:rFonts w:ascii="Times New Roman" w:hAnsi="Times New Roman" w:cs="Times New Roman"/>
        </w:rPr>
      </w:pPr>
    </w:p>
    <w:p w14:paraId="63576FE4" w14:textId="6974BE53" w:rsidR="00BC2EFA" w:rsidRPr="00BC2EFA" w:rsidRDefault="00BC2EFA" w:rsidP="00BC2EFA">
      <w:pPr>
        <w:spacing w:after="120" w:line="240" w:lineRule="exact"/>
        <w:ind w:firstLine="720"/>
        <w:jc w:val="both"/>
        <w:rPr>
          <w:rFonts w:ascii="Times New Roman" w:hAnsi="Times New Roman" w:cs="Times New Roman"/>
          <w:i/>
        </w:rPr>
      </w:pPr>
      <w:r>
        <w:rPr>
          <w:rFonts w:ascii="Times New Roman" w:hAnsi="Times New Roman" w:cs="Times New Roman"/>
        </w:rPr>
        <w:t xml:space="preserve">Under the general framework of </w:t>
      </w:r>
      <w:r w:rsidRPr="00EE615B">
        <w:rPr>
          <w:rFonts w:ascii="Times New Roman" w:hAnsi="Times New Roman" w:cs="Times New Roman"/>
          <w:i/>
        </w:rPr>
        <w:t xml:space="preserve">rimpatrio in </w:t>
      </w:r>
      <w:r>
        <w:rPr>
          <w:rFonts w:ascii="Times New Roman" w:hAnsi="Times New Roman" w:cs="Times New Roman"/>
          <w:i/>
        </w:rPr>
        <w:t>frontiera,</w:t>
      </w:r>
      <w:r w:rsidRPr="00EE615B">
        <w:rPr>
          <w:rFonts w:ascii="Times New Roman" w:hAnsi="Times New Roman" w:cs="Times New Roman"/>
          <w:i/>
        </w:rPr>
        <w:t xml:space="preserve"> </w:t>
      </w:r>
      <w:r>
        <w:rPr>
          <w:rFonts w:ascii="Times New Roman" w:hAnsi="Times New Roman" w:cs="Times New Roman"/>
        </w:rPr>
        <w:t>mention has to be made of: 1) re-admission measures vis-à</w:t>
      </w:r>
      <w:r w:rsidR="009B6886">
        <w:rPr>
          <w:rFonts w:ascii="Times New Roman" w:hAnsi="Times New Roman" w:cs="Times New Roman"/>
        </w:rPr>
        <w:t>-</w:t>
      </w:r>
      <w:r>
        <w:rPr>
          <w:rFonts w:ascii="Times New Roman" w:hAnsi="Times New Roman" w:cs="Times New Roman"/>
        </w:rPr>
        <w:t>vis (and to be made with) other EU Member States, only; and expulsion measures, vis</w:t>
      </w:r>
      <w:r w:rsidR="009B6886">
        <w:rPr>
          <w:rFonts w:ascii="Times New Roman" w:hAnsi="Times New Roman" w:cs="Times New Roman"/>
        </w:rPr>
        <w:t>-</w:t>
      </w:r>
      <w:r>
        <w:rPr>
          <w:rFonts w:ascii="Times New Roman" w:hAnsi="Times New Roman" w:cs="Times New Roman"/>
        </w:rPr>
        <w:t>a-vis (and to be made with) third countries</w:t>
      </w:r>
      <w:r w:rsidRPr="00EE615B">
        <w:rPr>
          <w:rFonts w:ascii="Times New Roman" w:hAnsi="Times New Roman" w:cs="Times New Roman"/>
        </w:rPr>
        <w:t>.</w:t>
      </w:r>
      <w:r>
        <w:rPr>
          <w:rFonts w:ascii="Times New Roman" w:hAnsi="Times New Roman" w:cs="Times New Roman"/>
          <w:i/>
        </w:rPr>
        <w:t xml:space="preserve"> The latter </w:t>
      </w:r>
      <w:r>
        <w:rPr>
          <w:rFonts w:ascii="Times New Roman" w:hAnsi="Times New Roman" w:cs="Times New Roman"/>
        </w:rPr>
        <w:t xml:space="preserve">is an administrative measure which external border Police can carry out, </w:t>
      </w:r>
      <w:r>
        <w:rPr>
          <w:rFonts w:ascii="Times New Roman" w:hAnsi="Times New Roman" w:cs="Times New Roman"/>
        </w:rPr>
        <w:lastRenderedPageBreak/>
        <w:t>with regard to those foreigners who arrive at the borders without the specific requirements indicated by relevant legislation</w:t>
      </w:r>
      <w:r w:rsidRPr="00EE615B">
        <w:rPr>
          <w:rFonts w:ascii="Times New Roman" w:hAnsi="Times New Roman" w:cs="Times New Roman"/>
        </w:rPr>
        <w:t>.</w:t>
      </w:r>
    </w:p>
    <w:p w14:paraId="231CFD0D" w14:textId="3C04F4CB" w:rsidR="00BC2EFA" w:rsidRPr="00EE615B" w:rsidRDefault="00BC2EFA" w:rsidP="006C130D">
      <w:pPr>
        <w:ind w:firstLine="720"/>
        <w:jc w:val="both"/>
        <w:rPr>
          <w:rFonts w:ascii="Times New Roman" w:hAnsi="Times New Roman" w:cs="Times New Roman"/>
        </w:rPr>
      </w:pPr>
      <w:r>
        <w:rPr>
          <w:rFonts w:ascii="Times New Roman" w:hAnsi="Times New Roman" w:cs="Times New Roman"/>
        </w:rPr>
        <w:t>On October 21, 2014, ECtHR</w:t>
      </w:r>
      <w:r w:rsidRPr="00EE615B">
        <w:rPr>
          <w:rStyle w:val="FootnoteReference"/>
          <w:rFonts w:ascii="Times New Roman" w:hAnsi="Times New Roman" w:cs="Times New Roman"/>
          <w:color w:val="000000"/>
        </w:rPr>
        <w:footnoteReference w:id="1"/>
      </w:r>
      <w:r>
        <w:rPr>
          <w:rFonts w:ascii="Times New Roman" w:hAnsi="Times New Roman" w:cs="Times New Roman"/>
        </w:rPr>
        <w:t xml:space="preserve"> condemned Italy in the </w:t>
      </w:r>
      <w:r w:rsidRPr="00EE615B">
        <w:rPr>
          <w:rFonts w:ascii="Times New Roman" w:eastAsia="Times New Roman" w:hAnsi="Times New Roman" w:cs="Times New Roman"/>
          <w:color w:val="000000"/>
          <w:lang w:eastAsia="it-IT"/>
        </w:rPr>
        <w:t>“Sharifi”</w:t>
      </w:r>
      <w:r>
        <w:rPr>
          <w:rFonts w:ascii="Times New Roman" w:eastAsia="Times New Roman" w:hAnsi="Times New Roman" w:cs="Times New Roman"/>
          <w:color w:val="000000"/>
          <w:lang w:eastAsia="it-IT"/>
        </w:rPr>
        <w:t xml:space="preserve"> case.</w:t>
      </w:r>
      <w:r w:rsidR="00BB706F">
        <w:rPr>
          <w:rFonts w:ascii="Times New Roman" w:eastAsia="Times New Roman" w:hAnsi="Times New Roman" w:cs="Times New Roman"/>
          <w:color w:val="000000"/>
          <w:lang w:eastAsia="it-IT"/>
        </w:rPr>
        <w:t xml:space="preserve"> Specifically, the ECtHR uses/recalls</w:t>
      </w:r>
      <w:r>
        <w:rPr>
          <w:rFonts w:ascii="Times New Roman" w:eastAsia="Times New Roman" w:hAnsi="Times New Roman" w:cs="Times New Roman"/>
          <w:color w:val="000000"/>
          <w:lang w:eastAsia="it-IT"/>
        </w:rPr>
        <w:t xml:space="preserve"> the same motivation put forward in the Hirsi case-2012</w:t>
      </w:r>
      <w:r w:rsidRPr="00EE615B">
        <w:rPr>
          <w:rFonts w:ascii="Times New Roman" w:eastAsia="Times New Roman" w:hAnsi="Times New Roman" w:cs="Times New Roman"/>
          <w:color w:val="000000"/>
          <w:lang w:eastAsia="it-IT"/>
        </w:rPr>
        <w:t xml:space="preserve"> </w:t>
      </w:r>
      <w:r w:rsidR="009B6886">
        <w:rPr>
          <w:rFonts w:ascii="Times New Roman" w:eastAsia="Times New Roman" w:hAnsi="Times New Roman" w:cs="Times New Roman"/>
          <w:color w:val="000000"/>
          <w:lang w:eastAsia="it-IT"/>
        </w:rPr>
        <w:t>and emphasizes the measures put in place by Italian border Authorities at the Ancona, Bari and Venice ports, between January 2008 and February 2009, by which the migrants once back to Greece would not have been in a position to access the asylum system. During the trial, Italian Authorities stressed that those activities, generically indicated by the claimants as expulsions</w:t>
      </w:r>
      <w:r w:rsidRPr="00EE615B">
        <w:rPr>
          <w:rFonts w:ascii="Times New Roman" w:eastAsia="Times New Roman" w:hAnsi="Times New Roman" w:cs="Times New Roman"/>
          <w:lang w:eastAsia="it-IT"/>
        </w:rPr>
        <w:t xml:space="preserve"> </w:t>
      </w:r>
      <w:r w:rsidR="009B6886">
        <w:rPr>
          <w:rFonts w:ascii="Times New Roman" w:eastAsia="Times New Roman" w:hAnsi="Times New Roman" w:cs="Times New Roman"/>
          <w:lang w:eastAsia="it-IT"/>
        </w:rPr>
        <w:t>(</w:t>
      </w:r>
      <w:r w:rsidRPr="00EE615B">
        <w:rPr>
          <w:rFonts w:ascii="Times New Roman" w:eastAsia="Times New Roman" w:hAnsi="Times New Roman" w:cs="Times New Roman"/>
          <w:i/>
          <w:lang w:eastAsia="it-IT"/>
        </w:rPr>
        <w:t>respingimenti</w:t>
      </w:r>
      <w:r w:rsidR="009B6886">
        <w:rPr>
          <w:rFonts w:ascii="Times New Roman" w:eastAsia="Times New Roman" w:hAnsi="Times New Roman" w:cs="Times New Roman"/>
          <w:lang w:eastAsia="it-IT"/>
        </w:rPr>
        <w:t>) were actually</w:t>
      </w:r>
      <w:r w:rsidR="0017198C">
        <w:rPr>
          <w:rFonts w:ascii="Times New Roman" w:eastAsia="Times New Roman" w:hAnsi="Times New Roman" w:cs="Times New Roman"/>
          <w:lang w:eastAsia="it-IT"/>
        </w:rPr>
        <w:t xml:space="preserve"> carried out,</w:t>
      </w:r>
      <w:r w:rsidRPr="00EE615B">
        <w:rPr>
          <w:rStyle w:val="FootnoteReference"/>
          <w:rFonts w:ascii="Times New Roman" w:hAnsi="Times New Roman" w:cs="Times New Roman"/>
        </w:rPr>
        <w:footnoteReference w:id="2"/>
      </w:r>
      <w:r w:rsidRPr="00EE615B">
        <w:rPr>
          <w:rFonts w:ascii="Times New Roman" w:hAnsi="Times New Roman" w:cs="Times New Roman"/>
        </w:rPr>
        <w:t xml:space="preserve"> </w:t>
      </w:r>
      <w:r w:rsidR="0017198C">
        <w:rPr>
          <w:rFonts w:ascii="Times New Roman" w:hAnsi="Times New Roman" w:cs="Times New Roman"/>
        </w:rPr>
        <w:t xml:space="preserve">in </w:t>
      </w:r>
      <w:r w:rsidR="00BB706F">
        <w:rPr>
          <w:rFonts w:ascii="Times New Roman" w:hAnsi="Times New Roman" w:cs="Times New Roman"/>
        </w:rPr>
        <w:t xml:space="preserve">accordance with EU legislation and </w:t>
      </w:r>
      <w:r w:rsidR="0017198C">
        <w:rPr>
          <w:rFonts w:ascii="Times New Roman" w:hAnsi="Times New Roman" w:cs="Times New Roman"/>
        </w:rPr>
        <w:t>the bilateral re-admission agreement (still in force) with Greece</w:t>
      </w:r>
      <w:r w:rsidRPr="00EE615B">
        <w:rPr>
          <w:rFonts w:ascii="Times New Roman" w:hAnsi="Times New Roman" w:cs="Times New Roman"/>
        </w:rPr>
        <w:t xml:space="preserve">, </w:t>
      </w:r>
      <w:r w:rsidR="0017198C">
        <w:rPr>
          <w:rFonts w:ascii="Times New Roman" w:hAnsi="Times New Roman" w:cs="Times New Roman"/>
        </w:rPr>
        <w:t xml:space="preserve">as signed in </w:t>
      </w:r>
      <w:r w:rsidRPr="00EE615B">
        <w:rPr>
          <w:rFonts w:ascii="Times New Roman" w:eastAsia="Times New Roman" w:hAnsi="Times New Roman" w:cs="Times New Roman"/>
          <w:lang w:eastAsia="it-IT"/>
        </w:rPr>
        <w:t>1999.</w:t>
      </w:r>
      <w:r w:rsidRPr="00EE615B">
        <w:rPr>
          <w:rFonts w:ascii="Times New Roman" w:hAnsi="Times New Roman" w:cs="Times New Roman"/>
        </w:rPr>
        <w:t xml:space="preserve"> </w:t>
      </w:r>
      <w:r w:rsidR="00BB706F">
        <w:rPr>
          <w:rFonts w:ascii="Times New Roman" w:hAnsi="Times New Roman" w:cs="Times New Roman"/>
        </w:rPr>
        <w:t xml:space="preserve"> Today (as was the case at the time of the events under reference)</w:t>
      </w:r>
      <w:r w:rsidRPr="00EE615B">
        <w:rPr>
          <w:rFonts w:ascii="Times New Roman" w:eastAsia="Times New Roman" w:hAnsi="Times New Roman" w:cs="Times New Roman"/>
          <w:lang w:eastAsia="it-IT"/>
        </w:rPr>
        <w:t>,</w:t>
      </w:r>
      <w:r w:rsidRPr="00EE615B">
        <w:rPr>
          <w:rFonts w:ascii="Times New Roman" w:hAnsi="Times New Roman" w:cs="Times New Roman"/>
        </w:rPr>
        <w:t xml:space="preserve"> </w:t>
      </w:r>
      <w:r w:rsidR="00BB706F">
        <w:rPr>
          <w:rFonts w:ascii="Times New Roman" w:hAnsi="Times New Roman" w:cs="Times New Roman"/>
        </w:rPr>
        <w:t xml:space="preserve">both Police Authorities and Border Authorities cannot carry out any evaluations on the merits of the applications for international protection following the so-called </w:t>
      </w:r>
      <w:r w:rsidR="0017198C" w:rsidRPr="00EE615B">
        <w:rPr>
          <w:rFonts w:ascii="Times New Roman" w:hAnsi="Times New Roman" w:cs="Times New Roman"/>
          <w:i/>
        </w:rPr>
        <w:t>Dublin</w:t>
      </w:r>
      <w:r w:rsidR="00BB706F">
        <w:rPr>
          <w:rFonts w:ascii="Times New Roman" w:hAnsi="Times New Roman" w:cs="Times New Roman"/>
          <w:i/>
        </w:rPr>
        <w:t xml:space="preserve"> Mechanism</w:t>
      </w:r>
      <w:r w:rsidR="00BB706F">
        <w:rPr>
          <w:rFonts w:ascii="Times New Roman" w:hAnsi="Times New Roman" w:cs="Times New Roman"/>
        </w:rPr>
        <w:t>. Indeed, this task is entrusted and can be carried out by the Territorial Commissions</w:t>
      </w:r>
      <w:r w:rsidR="0017198C">
        <w:rPr>
          <w:rFonts w:ascii="Times New Roman" w:hAnsi="Times New Roman" w:cs="Times New Roman"/>
        </w:rPr>
        <w:t>.</w:t>
      </w:r>
      <w:r w:rsidRPr="00EE615B">
        <w:rPr>
          <w:rFonts w:ascii="Times New Roman" w:hAnsi="Times New Roman" w:cs="Times New Roman"/>
        </w:rPr>
        <w:t xml:space="preserve"> </w:t>
      </w:r>
      <w:r w:rsidR="00BB706F">
        <w:rPr>
          <w:rFonts w:ascii="Times New Roman" w:hAnsi="Times New Roman" w:cs="Times New Roman"/>
        </w:rPr>
        <w:t>Moreover, in the case under reference, there is no evidence of the willingness of the migrants under reference to apply for international protection</w:t>
      </w:r>
      <w:r w:rsidRPr="00EE615B">
        <w:rPr>
          <w:rStyle w:val="FootnoteReference"/>
          <w:rFonts w:ascii="Times New Roman" w:hAnsi="Times New Roman" w:cs="Times New Roman"/>
        </w:rPr>
        <w:footnoteReference w:id="3"/>
      </w:r>
      <w:r w:rsidR="00D851C7">
        <w:rPr>
          <w:rFonts w:ascii="Times New Roman" w:hAnsi="Times New Roman" w:cs="Times New Roman"/>
        </w:rPr>
        <w:t xml:space="preserve"> (Please see also Annexes No.2 and No.3 herewith attached)</w:t>
      </w:r>
      <w:bookmarkStart w:id="0" w:name="_GoBack"/>
      <w:bookmarkEnd w:id="0"/>
      <w:r w:rsidRPr="00EE615B">
        <w:rPr>
          <w:rFonts w:ascii="Times New Roman" w:hAnsi="Times New Roman" w:cs="Times New Roman"/>
        </w:rPr>
        <w:t>.</w:t>
      </w:r>
    </w:p>
    <w:p w14:paraId="22EB8007" w14:textId="3C9E9849" w:rsidR="00553808" w:rsidRPr="00BB706F" w:rsidRDefault="00553808" w:rsidP="00BB706F">
      <w:pPr>
        <w:jc w:val="both"/>
        <w:rPr>
          <w:rFonts w:ascii="Times New Roman" w:hAnsi="Times New Roman" w:cs="Times New Roman"/>
        </w:rPr>
      </w:pPr>
    </w:p>
    <w:p w14:paraId="205F5B64" w14:textId="6F11D257" w:rsidR="00BB706F" w:rsidRPr="00CB2A48" w:rsidRDefault="00BB706F" w:rsidP="00BB706F">
      <w:pPr>
        <w:pStyle w:val="ListParagraph"/>
        <w:widowControl w:val="0"/>
        <w:numPr>
          <w:ilvl w:val="0"/>
          <w:numId w:val="18"/>
        </w:numPr>
        <w:autoSpaceDE w:val="0"/>
        <w:autoSpaceDN w:val="0"/>
        <w:adjustRightInd w:val="0"/>
        <w:jc w:val="both"/>
        <w:rPr>
          <w:rFonts w:ascii="Times New Roman" w:eastAsia="SimSun" w:hAnsi="Times New Roman" w:cs="Times New Roman"/>
          <w:b/>
          <w:u w:val="single"/>
          <w:lang w:eastAsia="zh-CN"/>
        </w:rPr>
      </w:pPr>
      <w:r w:rsidRPr="00CB2A48">
        <w:rPr>
          <w:rFonts w:ascii="Times New Roman" w:eastAsia="SimSun" w:hAnsi="Times New Roman" w:cs="Times New Roman"/>
          <w:b/>
          <w:u w:val="single"/>
          <w:lang w:eastAsia="zh-CN"/>
        </w:rPr>
        <w:t>Trafficking</w:t>
      </w:r>
    </w:p>
    <w:p w14:paraId="53C7C2C4" w14:textId="77777777" w:rsidR="00CB2A48" w:rsidRPr="00CB2A48" w:rsidRDefault="00553808" w:rsidP="006C130D">
      <w:pPr>
        <w:widowControl w:val="0"/>
        <w:autoSpaceDE w:val="0"/>
        <w:autoSpaceDN w:val="0"/>
        <w:adjustRightInd w:val="0"/>
        <w:ind w:firstLine="360"/>
        <w:jc w:val="both"/>
        <w:rPr>
          <w:rFonts w:ascii="Times New Roman" w:eastAsia="SimSun" w:hAnsi="Times New Roman" w:cs="Times New Roman"/>
          <w:lang w:eastAsia="zh-CN"/>
        </w:rPr>
      </w:pPr>
      <w:r w:rsidRPr="00CB2A48">
        <w:rPr>
          <w:rFonts w:ascii="Times New Roman" w:eastAsia="SimSun" w:hAnsi="Times New Roman" w:cs="Times New Roman"/>
          <w:lang w:eastAsia="zh-CN"/>
        </w:rPr>
        <w:t xml:space="preserve">In line with the Plan, on 10 June 2016, the Department for Equal Opportunities of the Italian Presidency of the Council of Ministers published a public </w:t>
      </w:r>
      <w:r w:rsidRPr="00CB2A48">
        <w:rPr>
          <w:rFonts w:ascii="Times New Roman" w:eastAsia="SimSun" w:hAnsi="Times New Roman" w:cs="Times New Roman"/>
          <w:bCs/>
          <w:lang w:eastAsia="zh-CN"/>
        </w:rPr>
        <w:t xml:space="preserve">Call for proposals to fund assistance projects for victims of trafficking in human beings </w:t>
      </w:r>
      <w:r w:rsidRPr="00CB2A48">
        <w:rPr>
          <w:rFonts w:ascii="Times New Roman" w:eastAsia="SimSun" w:hAnsi="Times New Roman" w:cs="Times New Roman"/>
          <w:lang w:eastAsia="zh-CN"/>
        </w:rPr>
        <w:t xml:space="preserve">for a total amount of </w:t>
      </w:r>
      <w:r w:rsidR="00CB2A48" w:rsidRPr="00CB2A48">
        <w:rPr>
          <w:rFonts w:ascii="Times New Roman" w:eastAsia="SimSun" w:hAnsi="Times New Roman" w:cs="Times New Roman"/>
          <w:bCs/>
          <w:lang w:eastAsia="zh-CN"/>
        </w:rPr>
        <w:t>13 million E</w:t>
      </w:r>
      <w:r w:rsidRPr="00CB2A48">
        <w:rPr>
          <w:rFonts w:ascii="Times New Roman" w:eastAsia="SimSun" w:hAnsi="Times New Roman" w:cs="Times New Roman"/>
          <w:bCs/>
          <w:lang w:eastAsia="zh-CN"/>
        </w:rPr>
        <w:t>uros</w:t>
      </w:r>
      <w:r w:rsidRPr="00CB2A48">
        <w:rPr>
          <w:rFonts w:ascii="Times New Roman" w:eastAsia="SimSun" w:hAnsi="Times New Roman" w:cs="Times New Roman"/>
          <w:lang w:eastAsia="zh-CN"/>
        </w:rPr>
        <w:t>. On 4 August, the list of the winning projects was published and the projects started on 1 September 2016 with a total duration of 15 months.</w:t>
      </w:r>
      <w:r w:rsidR="00CB2A48" w:rsidRPr="00CB2A48">
        <w:rPr>
          <w:rFonts w:ascii="Times New Roman" w:eastAsia="SimSun" w:hAnsi="Times New Roman" w:cs="Times New Roman"/>
          <w:lang w:eastAsia="zh-CN"/>
        </w:rPr>
        <w:t xml:space="preserve"> </w:t>
      </w:r>
    </w:p>
    <w:p w14:paraId="40F1BBE1" w14:textId="77777777" w:rsidR="00CB2A48" w:rsidRPr="00CB2A48" w:rsidRDefault="00CB2A48" w:rsidP="00CB2A48">
      <w:pPr>
        <w:widowControl w:val="0"/>
        <w:autoSpaceDE w:val="0"/>
        <w:autoSpaceDN w:val="0"/>
        <w:adjustRightInd w:val="0"/>
        <w:ind w:firstLine="360"/>
        <w:jc w:val="both"/>
        <w:rPr>
          <w:rFonts w:ascii="Times New Roman" w:eastAsia="SimSun" w:hAnsi="Times New Roman" w:cs="Times New Roman"/>
          <w:lang w:eastAsia="zh-CN"/>
        </w:rPr>
      </w:pPr>
    </w:p>
    <w:p w14:paraId="75FC3960" w14:textId="56F72949" w:rsidR="003107C4" w:rsidRPr="006C130D" w:rsidRDefault="00553808" w:rsidP="006C130D">
      <w:pPr>
        <w:widowControl w:val="0"/>
        <w:autoSpaceDE w:val="0"/>
        <w:autoSpaceDN w:val="0"/>
        <w:adjustRightInd w:val="0"/>
        <w:ind w:firstLine="360"/>
        <w:jc w:val="both"/>
        <w:rPr>
          <w:rFonts w:ascii="Times New Roman" w:eastAsia="SimSun" w:hAnsi="Times New Roman" w:cs="Times New Roman"/>
          <w:lang w:eastAsia="zh-CN"/>
        </w:rPr>
      </w:pPr>
      <w:r w:rsidRPr="00CB2A48">
        <w:rPr>
          <w:rFonts w:ascii="Times New Roman" w:eastAsia="SimSun" w:hAnsi="Times New Roman" w:cs="Times New Roman"/>
          <w:lang w:eastAsia="zh-CN"/>
        </w:rPr>
        <w:t xml:space="preserve">On the occasion of the </w:t>
      </w:r>
      <w:r w:rsidRPr="00CB2A48">
        <w:rPr>
          <w:rFonts w:ascii="Times New Roman" w:eastAsia="SimSun" w:hAnsi="Times New Roman" w:cs="Times New Roman"/>
          <w:bCs/>
          <w:lang w:eastAsia="zh-CN"/>
        </w:rPr>
        <w:t xml:space="preserve">EU Anti-Trafficking Day, on 18 October 2016, </w:t>
      </w:r>
      <w:r w:rsidRPr="00CB2A48">
        <w:rPr>
          <w:rFonts w:ascii="Times New Roman" w:eastAsia="SimSun" w:hAnsi="Times New Roman" w:cs="Times New Roman"/>
          <w:lang w:eastAsia="zh-CN"/>
        </w:rPr>
        <w:t xml:space="preserve">the Department for Equal Opportunities launched the </w:t>
      </w:r>
      <w:r w:rsidRPr="00CB2A48">
        <w:rPr>
          <w:rFonts w:ascii="Times New Roman" w:eastAsia="SimSun" w:hAnsi="Times New Roman" w:cs="Times New Roman"/>
          <w:bCs/>
          <w:lang w:eastAsia="zh-CN"/>
        </w:rPr>
        <w:t xml:space="preserve">new awareness campaign </w:t>
      </w:r>
      <w:r w:rsidRPr="00CB2A48">
        <w:rPr>
          <w:rFonts w:ascii="Times New Roman" w:eastAsia="SimSun" w:hAnsi="Times New Roman" w:cs="Times New Roman"/>
          <w:lang w:eastAsia="zh-CN"/>
        </w:rPr>
        <w:t>(TV advert) aimed at increasing knowledge of the National Toll-free Anti-Trafficking number 800 290 290. The campaign was broadcast on the main national public network and was developed in collaboration with NGOs within the framework of the above mentioned Steering Committee.</w:t>
      </w:r>
      <w:r w:rsidR="00CB2A48" w:rsidRPr="00CB2A48">
        <w:rPr>
          <w:rFonts w:ascii="Times New Roman" w:eastAsia="SimSun" w:hAnsi="Times New Roman" w:cs="Times New Roman"/>
          <w:lang w:eastAsia="zh-CN"/>
        </w:rPr>
        <w:t xml:space="preserve"> </w:t>
      </w:r>
      <w:r w:rsidRPr="00CB2A48">
        <w:rPr>
          <w:rFonts w:ascii="Times New Roman" w:eastAsia="SimSun" w:hAnsi="Times New Roman" w:cs="Times New Roman"/>
          <w:lang w:eastAsia="zh-CN"/>
        </w:rPr>
        <w:t xml:space="preserve">The campaign is available at </w:t>
      </w:r>
      <w:hyperlink r:id="rId8" w:history="1">
        <w:r w:rsidR="00652813" w:rsidRPr="005D1EFB">
          <w:rPr>
            <w:rStyle w:val="Hyperlink"/>
            <w:rFonts w:ascii="Times New Roman" w:eastAsia="SimSun" w:hAnsi="Times New Roman" w:cs="Times New Roman"/>
            <w:lang w:eastAsia="zh-CN"/>
          </w:rPr>
          <w:t>https://www.youtube.com/watch?v=6GB0z_WlqKI&amp;feature=youtu.be</w:t>
        </w:r>
      </w:hyperlink>
      <w:r w:rsidRPr="00CB2A48">
        <w:rPr>
          <w:rFonts w:ascii="Times New Roman" w:eastAsia="SimSun" w:hAnsi="Times New Roman" w:cs="Times New Roman"/>
          <w:lang w:eastAsia="zh-CN"/>
        </w:rPr>
        <w:t>.</w:t>
      </w:r>
      <w:r w:rsidR="00652813">
        <w:rPr>
          <w:rFonts w:ascii="Times New Roman" w:eastAsia="SimSun" w:hAnsi="Times New Roman" w:cs="Times New Roman"/>
          <w:lang w:eastAsia="zh-CN"/>
        </w:rPr>
        <w:t xml:space="preserve"> </w:t>
      </w:r>
      <w:r w:rsidR="00652813">
        <w:rPr>
          <w:rFonts w:ascii="Times New Roman" w:hAnsi="Times New Roman" w:cs="Times New Roman"/>
        </w:rPr>
        <w:t>Under</w:t>
      </w:r>
      <w:r w:rsidR="003107C4" w:rsidRPr="00EE615B">
        <w:rPr>
          <w:rFonts w:ascii="Times New Roman" w:hAnsi="Times New Roman" w:cs="Times New Roman"/>
        </w:rPr>
        <w:t xml:space="preserve"> </w:t>
      </w:r>
      <w:r w:rsidR="00652813">
        <w:rPr>
          <w:rFonts w:ascii="Times New Roman" w:hAnsi="Times New Roman" w:cs="Times New Roman"/>
        </w:rPr>
        <w:t xml:space="preserve">the </w:t>
      </w:r>
      <w:r w:rsidR="003107C4" w:rsidRPr="00EE615B">
        <w:rPr>
          <w:rFonts w:ascii="Times New Roman" w:hAnsi="Times New Roman" w:cs="Times New Roman"/>
        </w:rPr>
        <w:t>National Plan against trafficking in human beings</w:t>
      </w:r>
      <w:r w:rsidR="00652813">
        <w:rPr>
          <w:rFonts w:ascii="Times New Roman" w:hAnsi="Times New Roman" w:cs="Times New Roman"/>
        </w:rPr>
        <w:t>,</w:t>
      </w:r>
      <w:r w:rsidR="003107C4" w:rsidRPr="00EE615B">
        <w:rPr>
          <w:rFonts w:ascii="Times New Roman" w:hAnsi="Times New Roman" w:cs="Times New Roman"/>
        </w:rPr>
        <w:t xml:space="preserve"> last march Italy adopted th</w:t>
      </w:r>
      <w:r w:rsidR="00652813">
        <w:rPr>
          <w:rFonts w:ascii="Times New Roman" w:hAnsi="Times New Roman" w:cs="Times New Roman"/>
        </w:rPr>
        <w:t xml:space="preserve">e National Referral Mechanism, consisting of a </w:t>
      </w:r>
      <w:r w:rsidR="003107C4" w:rsidRPr="00EE615B">
        <w:rPr>
          <w:rFonts w:ascii="Times New Roman" w:hAnsi="Times New Roman" w:cs="Times New Roman"/>
        </w:rPr>
        <w:t xml:space="preserve">detailed series of </w:t>
      </w:r>
      <w:r w:rsidR="00652813">
        <w:rPr>
          <w:rFonts w:ascii="Times New Roman" w:hAnsi="Times New Roman" w:cs="Times New Roman"/>
        </w:rPr>
        <w:t xml:space="preserve">procedures </w:t>
      </w:r>
      <w:r w:rsidR="003107C4" w:rsidRPr="00EE615B">
        <w:rPr>
          <w:rFonts w:ascii="Times New Roman" w:hAnsi="Times New Roman" w:cs="Times New Roman"/>
        </w:rPr>
        <w:t>to guarantee appropriate assistance to victims of trafficking through five steps:</w:t>
      </w:r>
      <w:r w:rsidR="00652813">
        <w:rPr>
          <w:rFonts w:ascii="Times New Roman" w:eastAsia="SimSun" w:hAnsi="Times New Roman" w:cs="Times New Roman"/>
          <w:lang w:eastAsia="zh-CN"/>
        </w:rPr>
        <w:t xml:space="preserve"> </w:t>
      </w:r>
      <w:r w:rsidR="003107C4" w:rsidRPr="00652813">
        <w:rPr>
          <w:rFonts w:ascii="Times New Roman" w:hAnsi="Times New Roman" w:cs="Times New Roman"/>
        </w:rPr>
        <w:t>Identification;</w:t>
      </w:r>
      <w:r w:rsidR="00652813">
        <w:rPr>
          <w:rFonts w:ascii="Times New Roman" w:eastAsia="SimSun" w:hAnsi="Times New Roman" w:cs="Times New Roman"/>
          <w:lang w:eastAsia="zh-CN"/>
        </w:rPr>
        <w:t xml:space="preserve"> </w:t>
      </w:r>
      <w:r w:rsidR="003107C4" w:rsidRPr="00652813">
        <w:rPr>
          <w:rFonts w:ascii="Times New Roman" w:hAnsi="Times New Roman" w:cs="Times New Roman"/>
        </w:rPr>
        <w:t>First aid and protection;</w:t>
      </w:r>
      <w:r w:rsidR="00652813">
        <w:rPr>
          <w:rFonts w:ascii="Times New Roman" w:eastAsia="SimSun" w:hAnsi="Times New Roman" w:cs="Times New Roman"/>
          <w:lang w:eastAsia="zh-CN"/>
        </w:rPr>
        <w:t xml:space="preserve"> </w:t>
      </w:r>
      <w:r w:rsidR="003107C4" w:rsidRPr="00652813">
        <w:rPr>
          <w:rFonts w:ascii="Times New Roman" w:hAnsi="Times New Roman" w:cs="Times New Roman"/>
        </w:rPr>
        <w:t>Long term assistance an social inclusion;</w:t>
      </w:r>
      <w:r w:rsidR="00652813">
        <w:rPr>
          <w:rFonts w:ascii="Times New Roman" w:eastAsia="SimSun" w:hAnsi="Times New Roman" w:cs="Times New Roman"/>
          <w:lang w:eastAsia="zh-CN"/>
        </w:rPr>
        <w:t xml:space="preserve"> </w:t>
      </w:r>
      <w:r w:rsidR="003107C4" w:rsidRPr="00652813">
        <w:rPr>
          <w:rFonts w:ascii="Times New Roman" w:hAnsi="Times New Roman" w:cs="Times New Roman"/>
        </w:rPr>
        <w:t>Repatriatio</w:t>
      </w:r>
      <w:r w:rsidR="00652813">
        <w:rPr>
          <w:rFonts w:ascii="Times New Roman" w:hAnsi="Times New Roman" w:cs="Times New Roman"/>
        </w:rPr>
        <w:t>n and social inclusion in home-</w:t>
      </w:r>
      <w:r w:rsidR="003107C4" w:rsidRPr="00652813">
        <w:rPr>
          <w:rFonts w:ascii="Times New Roman" w:hAnsi="Times New Roman" w:cs="Times New Roman"/>
        </w:rPr>
        <w:t>country</w:t>
      </w:r>
      <w:r w:rsidR="00652813" w:rsidRPr="00652813">
        <w:rPr>
          <w:rFonts w:ascii="Times New Roman" w:eastAsia="SimSun" w:hAnsi="Times New Roman" w:cs="Times New Roman"/>
          <w:lang w:eastAsia="zh-CN"/>
        </w:rPr>
        <w:t xml:space="preserve">; </w:t>
      </w:r>
      <w:r w:rsidR="003107C4" w:rsidRPr="00652813">
        <w:rPr>
          <w:rFonts w:ascii="Times New Roman" w:hAnsi="Times New Roman" w:cs="Times New Roman"/>
        </w:rPr>
        <w:t>Legal assistance in criminal and civil lawsuits</w:t>
      </w:r>
      <w:r w:rsidR="00652813" w:rsidRPr="00652813">
        <w:rPr>
          <w:rFonts w:ascii="Times New Roman" w:hAnsi="Times New Roman" w:cs="Times New Roman"/>
        </w:rPr>
        <w:t>.</w:t>
      </w:r>
      <w:r w:rsidR="003107C4" w:rsidRPr="00652813">
        <w:rPr>
          <w:rFonts w:ascii="Times New Roman" w:hAnsi="Times New Roman" w:cs="Times New Roman"/>
        </w:rPr>
        <w:t xml:space="preserve"> This National Referral Mechanism has been adopted by all institutional and  private partners who come into contact with victims, or presumed victims of trafficking. For insta</w:t>
      </w:r>
      <w:r w:rsidR="00652813">
        <w:rPr>
          <w:rFonts w:ascii="Times New Roman" w:hAnsi="Times New Roman" w:cs="Times New Roman"/>
        </w:rPr>
        <w:t>nce: law enforcement bodies, NGOs, ps</w:t>
      </w:r>
      <w:r w:rsidR="003107C4" w:rsidRPr="00652813">
        <w:rPr>
          <w:rFonts w:ascii="Times New Roman" w:hAnsi="Times New Roman" w:cs="Times New Roman"/>
        </w:rPr>
        <w:t>yc</w:t>
      </w:r>
      <w:r w:rsidR="00652813">
        <w:rPr>
          <w:rFonts w:ascii="Times New Roman" w:hAnsi="Times New Roman" w:cs="Times New Roman"/>
        </w:rPr>
        <w:t>h</w:t>
      </w:r>
      <w:r w:rsidR="003107C4" w:rsidRPr="00652813">
        <w:rPr>
          <w:rFonts w:ascii="Times New Roman" w:hAnsi="Times New Roman" w:cs="Times New Roman"/>
        </w:rPr>
        <w:t>ologist</w:t>
      </w:r>
      <w:r w:rsidR="00652813">
        <w:rPr>
          <w:rFonts w:ascii="Times New Roman" w:hAnsi="Times New Roman" w:cs="Times New Roman"/>
        </w:rPr>
        <w:t>s</w:t>
      </w:r>
      <w:r w:rsidR="003107C4" w:rsidRPr="00652813">
        <w:rPr>
          <w:rFonts w:ascii="Times New Roman" w:hAnsi="Times New Roman" w:cs="Times New Roman"/>
        </w:rPr>
        <w:t>, health</w:t>
      </w:r>
      <w:r w:rsidR="00652813">
        <w:rPr>
          <w:rFonts w:ascii="Times New Roman" w:hAnsi="Times New Roman" w:cs="Times New Roman"/>
        </w:rPr>
        <w:t>-care I</w:t>
      </w:r>
      <w:r w:rsidR="003107C4" w:rsidRPr="00652813">
        <w:rPr>
          <w:rFonts w:ascii="Times New Roman" w:hAnsi="Times New Roman" w:cs="Times New Roman"/>
        </w:rPr>
        <w:t>ns</w:t>
      </w:r>
      <w:r w:rsidR="00652813">
        <w:rPr>
          <w:rFonts w:ascii="Times New Roman" w:hAnsi="Times New Roman" w:cs="Times New Roman"/>
        </w:rPr>
        <w:t>titutions, lawyers, labo</w:t>
      </w:r>
      <w:r w:rsidR="003107C4" w:rsidRPr="00652813">
        <w:rPr>
          <w:rFonts w:ascii="Times New Roman" w:hAnsi="Times New Roman" w:cs="Times New Roman"/>
        </w:rPr>
        <w:t>r inspectors and trade unions, judges, prison officers, diplomats</w:t>
      </w:r>
      <w:r w:rsidR="00652813">
        <w:rPr>
          <w:rFonts w:ascii="Times New Roman" w:hAnsi="Times New Roman" w:cs="Times New Roman"/>
        </w:rPr>
        <w:t xml:space="preserve">, </w:t>
      </w:r>
      <w:r w:rsidR="003107C4" w:rsidRPr="00652813">
        <w:rPr>
          <w:rFonts w:ascii="Times New Roman" w:hAnsi="Times New Roman" w:cs="Times New Roman"/>
        </w:rPr>
        <w:t>and so on.</w:t>
      </w:r>
      <w:r w:rsidR="00652813">
        <w:rPr>
          <w:rFonts w:ascii="Times New Roman" w:hAnsi="Times New Roman" w:cs="Times New Roman"/>
        </w:rPr>
        <w:t xml:space="preserve"> </w:t>
      </w:r>
      <w:r w:rsidR="003107C4" w:rsidRPr="00652813">
        <w:rPr>
          <w:rFonts w:ascii="Times New Roman" w:hAnsi="Times New Roman" w:cs="Times New Roman"/>
        </w:rPr>
        <w:t xml:space="preserve">The NRM is a concrete </w:t>
      </w:r>
      <w:r w:rsidR="00652813">
        <w:rPr>
          <w:rFonts w:ascii="Times New Roman" w:hAnsi="Times New Roman" w:cs="Times New Roman"/>
        </w:rPr>
        <w:t xml:space="preserve">tool aimed at </w:t>
      </w:r>
      <w:r w:rsidR="003107C4" w:rsidRPr="00652813">
        <w:rPr>
          <w:rFonts w:ascii="Times New Roman" w:hAnsi="Times New Roman" w:cs="Times New Roman"/>
        </w:rPr>
        <w:t>supporting all subjects at every phase in the process of identification, assistance, protection, voluntar</w:t>
      </w:r>
      <w:r w:rsidR="00652813">
        <w:rPr>
          <w:rFonts w:ascii="Times New Roman" w:hAnsi="Times New Roman" w:cs="Times New Roman"/>
        </w:rPr>
        <w:t>y repatriation, social and labo</w:t>
      </w:r>
      <w:r w:rsidR="003107C4" w:rsidRPr="00652813">
        <w:rPr>
          <w:rFonts w:ascii="Times New Roman" w:hAnsi="Times New Roman" w:cs="Times New Roman"/>
        </w:rPr>
        <w:t>r inclusion of victims and potential victims.</w:t>
      </w:r>
      <w:r w:rsidR="00652813">
        <w:rPr>
          <w:rFonts w:ascii="Times New Roman" w:hAnsi="Times New Roman" w:cs="Times New Roman"/>
        </w:rPr>
        <w:t xml:space="preserve"> W</w:t>
      </w:r>
      <w:r w:rsidR="003107C4" w:rsidRPr="00652813">
        <w:rPr>
          <w:rFonts w:ascii="Times New Roman" w:hAnsi="Times New Roman" w:cs="Times New Roman"/>
        </w:rPr>
        <w:t>hen the victims are undera</w:t>
      </w:r>
      <w:r w:rsidR="00652813">
        <w:rPr>
          <w:rFonts w:ascii="Times New Roman" w:hAnsi="Times New Roman" w:cs="Times New Roman"/>
        </w:rPr>
        <w:t xml:space="preserve">ge every procedures of NRM has </w:t>
      </w:r>
      <w:r w:rsidR="003107C4" w:rsidRPr="00652813">
        <w:rPr>
          <w:rFonts w:ascii="Times New Roman" w:hAnsi="Times New Roman" w:cs="Times New Roman"/>
        </w:rPr>
        <w:t>to be applied in close collaborati</w:t>
      </w:r>
      <w:r w:rsidR="00652813">
        <w:rPr>
          <w:rFonts w:ascii="Times New Roman" w:hAnsi="Times New Roman" w:cs="Times New Roman"/>
        </w:rPr>
        <w:t>on with the national services for children’s protection</w:t>
      </w:r>
      <w:r w:rsidR="003107C4" w:rsidRPr="00652813">
        <w:rPr>
          <w:rFonts w:ascii="Times New Roman" w:hAnsi="Times New Roman" w:cs="Times New Roman"/>
        </w:rPr>
        <w:t>.</w:t>
      </w:r>
      <w:r w:rsidR="006C130D">
        <w:rPr>
          <w:rFonts w:ascii="Times New Roman" w:eastAsia="SimSun" w:hAnsi="Times New Roman" w:cs="Times New Roman"/>
          <w:lang w:eastAsia="zh-CN"/>
        </w:rPr>
        <w:t xml:space="preserve"> </w:t>
      </w:r>
      <w:r w:rsidR="003107C4" w:rsidRPr="00652813">
        <w:rPr>
          <w:rFonts w:ascii="Times New Roman" w:hAnsi="Times New Roman" w:cs="Times New Roman"/>
        </w:rPr>
        <w:t>In the past five years</w:t>
      </w:r>
      <w:r w:rsidR="00652813">
        <w:rPr>
          <w:rFonts w:ascii="Times New Roman" w:hAnsi="Times New Roman" w:cs="Times New Roman"/>
        </w:rPr>
        <w:t>,</w:t>
      </w:r>
      <w:r w:rsidR="003107C4" w:rsidRPr="00652813">
        <w:rPr>
          <w:rFonts w:ascii="Times New Roman" w:hAnsi="Times New Roman" w:cs="Times New Roman"/>
        </w:rPr>
        <w:t xml:space="preserve"> Ita</w:t>
      </w:r>
      <w:r w:rsidR="00652813">
        <w:rPr>
          <w:rFonts w:ascii="Times New Roman" w:hAnsi="Times New Roman" w:cs="Times New Roman"/>
        </w:rPr>
        <w:t>ly has allocated 47 million of E</w:t>
      </w:r>
      <w:r w:rsidR="003107C4" w:rsidRPr="00652813">
        <w:rPr>
          <w:rFonts w:ascii="Times New Roman" w:hAnsi="Times New Roman" w:cs="Times New Roman"/>
        </w:rPr>
        <w:t>uros for supporting social assist</w:t>
      </w:r>
      <w:r w:rsidR="00652813">
        <w:rPr>
          <w:rFonts w:ascii="Times New Roman" w:hAnsi="Times New Roman" w:cs="Times New Roman"/>
        </w:rPr>
        <w:t>ance and rehabilitation program</w:t>
      </w:r>
      <w:r w:rsidR="003107C4" w:rsidRPr="00652813">
        <w:rPr>
          <w:rFonts w:ascii="Times New Roman" w:hAnsi="Times New Roman" w:cs="Times New Roman"/>
        </w:rPr>
        <w:t>s fo</w:t>
      </w:r>
      <w:r w:rsidR="00652813">
        <w:rPr>
          <w:rFonts w:ascii="Times New Roman" w:hAnsi="Times New Roman" w:cs="Times New Roman"/>
        </w:rPr>
        <w:t>r victims of trafficking under A</w:t>
      </w:r>
      <w:r w:rsidR="003107C4" w:rsidRPr="00652813">
        <w:rPr>
          <w:rFonts w:ascii="Times New Roman" w:hAnsi="Times New Roman" w:cs="Times New Roman"/>
        </w:rPr>
        <w:t>rticle 13 o</w:t>
      </w:r>
      <w:r w:rsidR="00652813">
        <w:rPr>
          <w:rFonts w:ascii="Times New Roman" w:hAnsi="Times New Roman" w:cs="Times New Roman"/>
        </w:rPr>
        <w:t>f Act 228/2003 and A</w:t>
      </w:r>
      <w:r w:rsidR="003107C4" w:rsidRPr="00652813">
        <w:rPr>
          <w:rFonts w:ascii="Times New Roman" w:hAnsi="Times New Roman" w:cs="Times New Roman"/>
        </w:rPr>
        <w:t xml:space="preserve">rticle </w:t>
      </w:r>
      <w:r w:rsidR="00652813">
        <w:rPr>
          <w:rFonts w:ascii="Times New Roman" w:hAnsi="Times New Roman" w:cs="Times New Roman"/>
        </w:rPr>
        <w:t>18 of Legislative Decree 286/1998</w:t>
      </w:r>
      <w:r w:rsidR="003107C4" w:rsidRPr="00652813">
        <w:rPr>
          <w:rFonts w:ascii="Times New Roman" w:hAnsi="Times New Roman" w:cs="Times New Roman"/>
        </w:rPr>
        <w:t>.</w:t>
      </w:r>
    </w:p>
    <w:p w14:paraId="18B70B06" w14:textId="77777777" w:rsidR="00402596" w:rsidRDefault="00402596" w:rsidP="00402596">
      <w:pPr>
        <w:jc w:val="both"/>
        <w:rPr>
          <w:rFonts w:ascii="Times New Roman" w:hAnsi="Times New Roman" w:cs="Times New Roman"/>
        </w:rPr>
      </w:pPr>
    </w:p>
    <w:p w14:paraId="387FFED6" w14:textId="5ECD5056" w:rsidR="00DD1EDF" w:rsidRPr="006C130D" w:rsidRDefault="00796973" w:rsidP="006C130D">
      <w:pPr>
        <w:pStyle w:val="ListParagraph"/>
        <w:numPr>
          <w:ilvl w:val="0"/>
          <w:numId w:val="18"/>
        </w:numPr>
        <w:jc w:val="both"/>
        <w:rPr>
          <w:rFonts w:ascii="Times New Roman" w:hAnsi="Times New Roman" w:cs="Times New Roman"/>
          <w:b/>
          <w:u w:val="single"/>
        </w:rPr>
      </w:pPr>
      <w:r w:rsidRPr="00402596">
        <w:rPr>
          <w:rFonts w:ascii="Times New Roman" w:hAnsi="Times New Roman" w:cs="Times New Roman"/>
          <w:b/>
          <w:u w:val="single"/>
        </w:rPr>
        <w:t>Domestic violence</w:t>
      </w:r>
      <w:r w:rsidR="005C7A12" w:rsidRPr="00402596">
        <w:rPr>
          <w:rFonts w:ascii="Times New Roman" w:hAnsi="Times New Roman" w:cs="Times New Roman"/>
          <w:b/>
          <w:u w:val="single"/>
        </w:rPr>
        <w:t xml:space="preserve"> </w:t>
      </w:r>
    </w:p>
    <w:p w14:paraId="5B4788EE" w14:textId="77777777" w:rsidR="00DD1EDF" w:rsidRPr="0062632E" w:rsidRDefault="00DD1EDF" w:rsidP="00DD1EDF">
      <w:pPr>
        <w:pStyle w:val="NormalWeb"/>
        <w:pBdr>
          <w:top w:val="single" w:sz="4" w:space="1" w:color="auto"/>
          <w:left w:val="single" w:sz="4" w:space="4" w:color="auto"/>
          <w:bottom w:val="single" w:sz="4" w:space="1" w:color="auto"/>
          <w:right w:val="single" w:sz="4" w:space="4" w:color="auto"/>
        </w:pBdr>
        <w:shd w:val="clear" w:color="auto" w:fill="FFFFFF"/>
        <w:tabs>
          <w:tab w:val="left" w:pos="567"/>
        </w:tabs>
        <w:spacing w:before="0" w:beforeAutospacing="0" w:after="0" w:afterAutospacing="0"/>
        <w:jc w:val="both"/>
        <w:rPr>
          <w:lang w:val="en-US" w:eastAsia="en-GB"/>
        </w:rPr>
      </w:pPr>
      <w:r w:rsidRPr="0062632E">
        <w:rPr>
          <w:lang w:val="en-US" w:eastAsia="en-US"/>
        </w:rPr>
        <w:t>Significant legislative development includes, as follows: Law Decree 11/2009 converted into Act 38/2009 introduces the crime of stalking (Art.612-</w:t>
      </w:r>
      <w:r w:rsidRPr="0062632E">
        <w:rPr>
          <w:i/>
          <w:iCs/>
          <w:lang w:val="en-US" w:eastAsia="en-US"/>
        </w:rPr>
        <w:t xml:space="preserve">bis </w:t>
      </w:r>
      <w:r w:rsidRPr="0062632E">
        <w:rPr>
          <w:lang w:val="en-US" w:eastAsia="en-US"/>
        </w:rPr>
        <w:t>of the Italian Criminal Code). To prevent and further protect victims of stalking, a new administrative measure “warning (</w:t>
      </w:r>
      <w:r w:rsidRPr="0062632E">
        <w:rPr>
          <w:i/>
          <w:iCs/>
          <w:lang w:val="en-US" w:eastAsia="en-US"/>
        </w:rPr>
        <w:t>ammonimento</w:t>
      </w:r>
      <w:r w:rsidRPr="0062632E">
        <w:rPr>
          <w:lang w:val="en-US" w:eastAsia="en-US"/>
        </w:rPr>
        <w:t xml:space="preserve">)” has been entrusted to </w:t>
      </w:r>
      <w:r w:rsidRPr="0062632E">
        <w:rPr>
          <w:i/>
          <w:iCs/>
          <w:lang w:val="en-US" w:eastAsia="en-US"/>
        </w:rPr>
        <w:t>Questore</w:t>
      </w:r>
      <w:r w:rsidRPr="0062632E">
        <w:rPr>
          <w:lang w:val="en-US" w:eastAsia="en-US"/>
        </w:rPr>
        <w:t xml:space="preserve"> (when the victim does not want to take action against the offender), thus initiating the criminal prosecution. Stalkers shall be punished by imprisonment up to four years. Penalty is increased if the offence is committed by the spouse, who is legally separated or divorced, or by a person previously engaged in an emotional relationship with the victim. Penalty is also increased if the crime is perpetrated against a minor, pregnant woman or person with disabilities. To further enhance the fight against stalking, the then Minister for Equal Opportunities and the Minister of Defense signed, in January 2009, an MoU, by which a specific Unit has been established at Carabinieri Corps; Act 172/2012 ratifying the Lanzarote Convention amended Art.572 c.p. on, “Mal-treatment against family members and cohabitants” and provided for harsher penalties (up to six years of detention). Furthermore, it doubled the time-limit (from ten to twenty years), within which the victim is entitled to report sexual abuse to the Police;</w:t>
      </w:r>
      <w:r w:rsidRPr="0062632E">
        <w:rPr>
          <w:rStyle w:val="FootnoteReference"/>
          <w:lang w:eastAsia="en-US"/>
        </w:rPr>
        <w:footnoteReference w:id="4"/>
      </w:r>
      <w:r w:rsidRPr="0062632E">
        <w:rPr>
          <w:lang w:val="en-US" w:eastAsia="en-US"/>
        </w:rPr>
        <w:t>Act 119/2013 addresses both stalking and GBV, which had been already regulated, through three conceptual pillars based on prevention, punishment, protection.</w:t>
      </w:r>
      <w:r w:rsidRPr="0062632E">
        <w:rPr>
          <w:rStyle w:val="FootnoteReference"/>
          <w:lang w:eastAsia="en-US"/>
        </w:rPr>
        <w:footnoteReference w:id="5"/>
      </w:r>
      <w:r w:rsidRPr="0062632E">
        <w:rPr>
          <w:lang w:val="en-US" w:eastAsia="en-US"/>
        </w:rPr>
        <w:t xml:space="preserve"> As for prevention, it strengthens the above “warning” (</w:t>
      </w:r>
      <w:r w:rsidRPr="0062632E">
        <w:rPr>
          <w:i/>
          <w:iCs/>
          <w:lang w:val="en-US" w:eastAsia="en-US"/>
        </w:rPr>
        <w:t>ammonimento</w:t>
      </w:r>
      <w:r w:rsidRPr="0062632E">
        <w:rPr>
          <w:lang w:val="en-US" w:eastAsia="en-US"/>
        </w:rPr>
        <w:t xml:space="preserve">), as well as the gun banning, driving disqualification and the possibility to use electronic tags. Concerning the punishment, new aggravating circumstances are to be mentioned; penalty is increased if children under the age of 18 witness violence as well as if the victim is in a particularly vulnerable situation (if pregnant). Moreover, </w:t>
      </w:r>
      <w:r w:rsidRPr="0062632E">
        <w:rPr>
          <w:i/>
          <w:lang w:val="en-US" w:eastAsia="en-US"/>
        </w:rPr>
        <w:t>femicide</w:t>
      </w:r>
      <w:r w:rsidRPr="0062632E">
        <w:rPr>
          <w:lang w:val="en-US" w:eastAsia="en-US"/>
        </w:rPr>
        <w:t xml:space="preserve"> is further strengthened by consideration for the particularly close relationship between the victim and the perpetrator as an aggravating circumstance (e.g. if the perpetrator is the victim’s spouse or partner, also non-cohabiting partner); In line with the Istanbul Convention, the Italian law aims at ensuring greater protection for victims both in relation to hearings, which will be protected, and through a system guaranteeing transparency during on-going investigations and legal proceedings, besides the obligation to inform victims about local support services. Furthermore, the law provides for legal aid also for women victims of domestic violence, whose income exceeds the income limits fixed by national legislation. More generally, </w:t>
      </w:r>
      <w:r w:rsidRPr="0062632E">
        <w:rPr>
          <w:lang w:val="en-US"/>
        </w:rPr>
        <w:t xml:space="preserve">as for </w:t>
      </w:r>
      <w:r w:rsidRPr="0062632E">
        <w:rPr>
          <w:bCs/>
          <w:lang w:val="en-US"/>
        </w:rPr>
        <w:t>the protection of the victims</w:t>
      </w:r>
      <w:r w:rsidRPr="0062632E">
        <w:rPr>
          <w:lang w:val="en-US"/>
        </w:rPr>
        <w:t>, Legislative Decree 9/2015, transposing Directive 2011/91/EU, on the Order of European Protection, aims at ensuring the mutual recognition of the effects of the protection measures for the victims of crime when adopted by the judicial Authorities from EU Member States.</w:t>
      </w:r>
    </w:p>
    <w:p w14:paraId="625CE9D3" w14:textId="77777777" w:rsidR="00DD1EDF" w:rsidRPr="0062632E" w:rsidRDefault="00DD1EDF" w:rsidP="00DD1EDF">
      <w:pPr>
        <w:ind w:firstLine="708"/>
        <w:jc w:val="both"/>
        <w:rPr>
          <w:rFonts w:ascii="Times New Roman" w:hAnsi="Times New Roman" w:cs="Times New Roman"/>
        </w:rPr>
      </w:pPr>
    </w:p>
    <w:p w14:paraId="21833BEA" w14:textId="77777777" w:rsidR="00DD1EDF" w:rsidRPr="0062632E" w:rsidRDefault="00DD1EDF" w:rsidP="003A0CAD">
      <w:pPr>
        <w:ind w:firstLine="720"/>
        <w:jc w:val="both"/>
        <w:rPr>
          <w:rFonts w:ascii="Times New Roman" w:hAnsi="Times New Roman" w:cs="Times New Roman"/>
          <w:i/>
          <w:iCs/>
        </w:rPr>
      </w:pPr>
      <w:r w:rsidRPr="0062632E">
        <w:rPr>
          <w:rFonts w:ascii="Times New Roman" w:hAnsi="Times New Roman" w:cs="Times New Roman"/>
        </w:rPr>
        <w:t>Within this framework, the Court of Cassation stressed that the consent to sexual acts between spouses or partners is essential: should it fail, the conduct will be of a penal relevance (Sect.III, 36962/2007). By Law Decree 93/2013, it has been acknowledged further the seriousness of sexual violence as manifestation of dominion within relationships or as a stalking tool, following the end of a relationship.</w:t>
      </w:r>
      <w:r w:rsidRPr="0062632E">
        <w:rPr>
          <w:rStyle w:val="FootnoteReference"/>
          <w:rFonts w:ascii="Times New Roman" w:hAnsi="Times New Roman" w:cs="Times New Roman"/>
        </w:rPr>
        <w:footnoteReference w:id="6"/>
      </w:r>
      <w:r w:rsidRPr="0062632E">
        <w:rPr>
          <w:rFonts w:ascii="Times New Roman" w:hAnsi="Times New Roman" w:cs="Times New Roman"/>
        </w:rPr>
        <w:t xml:space="preserve">Moreover, it should be stressed the equalization between conducts perpetrated during the relationship to those ones at the end of it. The above Law Decree has also set aside the requirement of “legal” separation, envisaging the increased penalty regardless of the status between partners. Plus, this has introduced a new aggravating circumstance in the event of stalking, via new social media. Procedurally speaking, by Art.612-bis cp., the remission of lawsuit can be decided through a judicial proceeding, only; and complaint cannot be withdrawn in the event of serious threats of recurrence. By the above Law-Decree, the ban on weapons is mandatory while under Art.8 of Law-Decree 11/2009, the </w:t>
      </w:r>
      <w:r w:rsidRPr="0062632E">
        <w:rPr>
          <w:rFonts w:ascii="Times New Roman" w:hAnsi="Times New Roman" w:cs="Times New Roman"/>
          <w:i/>
          <w:iCs/>
        </w:rPr>
        <w:t xml:space="preserve">Questore </w:t>
      </w:r>
      <w:r w:rsidRPr="0062632E">
        <w:rPr>
          <w:rFonts w:ascii="Times New Roman" w:hAnsi="Times New Roman" w:cs="Times New Roman"/>
          <w:iCs/>
        </w:rPr>
        <w:t xml:space="preserve">(senior Police officer) is mandated to assess it. </w:t>
      </w:r>
    </w:p>
    <w:p w14:paraId="429E47F0" w14:textId="77777777" w:rsidR="00DD1EDF" w:rsidRPr="0062632E" w:rsidRDefault="00DD1EDF" w:rsidP="00DD1EDF">
      <w:pPr>
        <w:jc w:val="both"/>
        <w:rPr>
          <w:rFonts w:ascii="Times New Roman" w:hAnsi="Times New Roman" w:cs="Times New Roman"/>
        </w:rPr>
      </w:pPr>
    </w:p>
    <w:p w14:paraId="7F12A460" w14:textId="00E2AE99" w:rsidR="00DD1EDF" w:rsidRPr="0062632E" w:rsidRDefault="00DD1EDF" w:rsidP="003A0CAD">
      <w:pPr>
        <w:ind w:firstLine="720"/>
        <w:jc w:val="both"/>
        <w:rPr>
          <w:rFonts w:ascii="Times New Roman" w:hAnsi="Times New Roman" w:cs="Times New Roman"/>
        </w:rPr>
      </w:pPr>
      <w:r w:rsidRPr="0062632E">
        <w:rPr>
          <w:rFonts w:ascii="Times New Roman" w:hAnsi="Times New Roman" w:cs="Times New Roman"/>
        </w:rPr>
        <w:t>The growing general awareness is also confirmed by the significant increase in the request for precautionary measures (with a total of 30%) for: domestic violence (Art.572 cp); sexual violence (Art.609-b cp); and stalking (Art.612-b cp). The seriousness of the violence committed (almost exclusively) to the detriment of women and children must also be taken into consideration: more and more frequently, the severity of the facts and the danger of perpetrators require the adoption of stricter precautionary measures, such as preventive detention.</w:t>
      </w:r>
      <w:r w:rsidRPr="0062632E">
        <w:rPr>
          <w:rStyle w:val="FootnoteReference"/>
          <w:rFonts w:ascii="Times New Roman" w:hAnsi="Times New Roman" w:cs="Times New Roman"/>
        </w:rPr>
        <w:footnoteReference w:id="7"/>
      </w:r>
      <w:r w:rsidRPr="0062632E">
        <w:rPr>
          <w:rFonts w:ascii="Times New Roman" w:hAnsi="Times New Roman" w:cs="Times New Roman"/>
        </w:rPr>
        <w:t>To further translate the UNCRC, UNCEDAW, Lanzarote and Istanbul Conventions, pursuant to Act 172/2012, some Public Prosecutor’s Offices have recently added to their offices a "protected hearing room", which allows them to listen to women and children and, in general, the victims of violence in a more appropriate setting. To this end, the Prosecutors’ Offices have also given clear guidance to the judicial Police on how to collect information. In some offices, we have set up daily shifts of expert consultants, available h/24, to ensure immediate assistance to Police when gathering information from the victim if and when an urgent investigation so requires. For this service, specialized judiciary from larger districts has been assured, by constant and timely contact, even for purely advisory purposes, between the judicial Police and the Coordinator of the pool of specialized prosecutors</w:t>
      </w:r>
      <w:r w:rsidR="00B80FCF">
        <w:rPr>
          <w:rStyle w:val="FootnoteReference"/>
          <w:rFonts w:ascii="Times New Roman" w:hAnsi="Times New Roman" w:cs="Times New Roman"/>
        </w:rPr>
        <w:footnoteReference w:id="8"/>
      </w:r>
      <w:r w:rsidRPr="0062632E">
        <w:rPr>
          <w:rFonts w:ascii="Times New Roman" w:hAnsi="Times New Roman" w:cs="Times New Roman"/>
        </w:rPr>
        <w:t>.</w:t>
      </w:r>
    </w:p>
    <w:p w14:paraId="08C8C7A3" w14:textId="77777777" w:rsidR="00B80FCF" w:rsidRDefault="00B80FCF" w:rsidP="00402596">
      <w:pPr>
        <w:pStyle w:val="ListParagraph"/>
        <w:tabs>
          <w:tab w:val="left" w:pos="0"/>
        </w:tabs>
        <w:ind w:left="0"/>
        <w:jc w:val="both"/>
        <w:rPr>
          <w:rFonts w:ascii="Times New Roman" w:eastAsia="Times New Roman" w:hAnsi="Times New Roman" w:cs="Times New Roman"/>
        </w:rPr>
      </w:pPr>
    </w:p>
    <w:p w14:paraId="5955A35D" w14:textId="199F5B5C" w:rsidR="00402596" w:rsidRPr="0062632E" w:rsidRDefault="00B80FCF" w:rsidP="00402596">
      <w:pPr>
        <w:pStyle w:val="ListParagraph"/>
        <w:tabs>
          <w:tab w:val="left" w:pos="0"/>
        </w:tabs>
        <w:ind w:left="0"/>
        <w:jc w:val="both"/>
        <w:rPr>
          <w:rFonts w:ascii="Times New Roman" w:eastAsia="Calibri" w:hAnsi="Times New Roman" w:cs="Times New Roman"/>
        </w:rPr>
      </w:pPr>
      <w:r>
        <w:rPr>
          <w:rFonts w:ascii="Times New Roman" w:eastAsia="Times New Roman" w:hAnsi="Times New Roman" w:cs="Times New Roman"/>
        </w:rPr>
        <w:tab/>
      </w:r>
      <w:r w:rsidR="00E626CD" w:rsidRPr="0062632E">
        <w:rPr>
          <w:rFonts w:ascii="Times New Roman" w:eastAsia="Times New Roman" w:hAnsi="Times New Roman" w:cs="Times New Roman"/>
        </w:rPr>
        <w:t>In November 2016</w:t>
      </w:r>
      <w:r w:rsidR="00402596" w:rsidRPr="0062632E">
        <w:rPr>
          <w:rFonts w:ascii="Times New Roman" w:eastAsia="Times New Roman" w:hAnsi="Times New Roman" w:cs="Times New Roman"/>
        </w:rPr>
        <w:t>,</w:t>
      </w:r>
      <w:r w:rsidR="00E626CD" w:rsidRPr="0062632E">
        <w:rPr>
          <w:rFonts w:ascii="Times New Roman" w:eastAsia="Times New Roman" w:hAnsi="Times New Roman" w:cs="Times New Roman"/>
        </w:rPr>
        <w:t xml:space="preserve"> two Prime Minister’s Decrees were adopted</w:t>
      </w:r>
      <w:r w:rsidR="00402596" w:rsidRPr="0062632E">
        <w:rPr>
          <w:rFonts w:ascii="Times New Roman" w:eastAsia="Times New Roman" w:hAnsi="Times New Roman" w:cs="Times New Roman"/>
        </w:rPr>
        <w:t xml:space="preserve"> to </w:t>
      </w:r>
      <w:r w:rsidR="00E626CD" w:rsidRPr="0062632E">
        <w:rPr>
          <w:rFonts w:ascii="Times New Roman" w:eastAsia="Times New Roman" w:hAnsi="Times New Roman" w:cs="Times New Roman"/>
        </w:rPr>
        <w:t xml:space="preserve"> strengthening existing shelters</w:t>
      </w:r>
      <w:r w:rsidR="00E626CD" w:rsidRPr="0062632E">
        <w:rPr>
          <w:rFonts w:ascii="Times New Roman" w:hAnsi="Times New Roman" w:cs="Times New Roman"/>
        </w:rPr>
        <w:t xml:space="preserve"> </w:t>
      </w:r>
      <w:r w:rsidR="00E626CD" w:rsidRPr="0062632E">
        <w:rPr>
          <w:rFonts w:ascii="Times New Roman" w:eastAsia="Times New Roman" w:hAnsi="Times New Roman" w:cs="Times New Roman"/>
        </w:rPr>
        <w:t>and services for the assistance and protection of victims of gender-based violence and stalking, and to set up new shelters (18 million Euros). The second Decree, with an allocation of 13 million Euros</w:t>
      </w:r>
      <w:r w:rsidR="00402596" w:rsidRPr="0062632E">
        <w:rPr>
          <w:rFonts w:ascii="Times New Roman" w:eastAsia="Times New Roman" w:hAnsi="Times New Roman" w:cs="Times New Roman"/>
        </w:rPr>
        <w:t xml:space="preserve"> envisages</w:t>
      </w:r>
      <w:r w:rsidR="00E626CD" w:rsidRPr="0062632E">
        <w:rPr>
          <w:rFonts w:ascii="Times New Roman" w:eastAsia="Times New Roman" w:hAnsi="Times New Roman" w:cs="Times New Roman"/>
        </w:rPr>
        <w:t>:</w:t>
      </w:r>
      <w:r w:rsidR="00402596" w:rsidRPr="0062632E">
        <w:rPr>
          <w:rFonts w:ascii="Times New Roman" w:eastAsia="Times New Roman" w:hAnsi="Times New Roman" w:cs="Times New Roman"/>
        </w:rPr>
        <w:t xml:space="preserve"> </w:t>
      </w:r>
      <w:r w:rsidR="00E626CD" w:rsidRPr="0062632E">
        <w:rPr>
          <w:rFonts w:ascii="Times New Roman" w:eastAsia="Calibri" w:hAnsi="Times New Roman" w:cs="Times New Roman"/>
        </w:rPr>
        <w:t>specialised training courses for health and social services</w:t>
      </w:r>
      <w:r w:rsidR="00E626CD" w:rsidRPr="0062632E">
        <w:rPr>
          <w:rFonts w:ascii="Times New Roman" w:hAnsi="Times New Roman" w:cs="Times New Roman"/>
        </w:rPr>
        <w:t xml:space="preserve"> </w:t>
      </w:r>
      <w:r w:rsidR="00E626CD" w:rsidRPr="0062632E">
        <w:rPr>
          <w:rFonts w:ascii="Times New Roman" w:eastAsia="Calibri" w:hAnsi="Times New Roman" w:cs="Times New Roman"/>
        </w:rPr>
        <w:t>staff, also provided</w:t>
      </w:r>
      <w:r w:rsidR="00E626CD" w:rsidRPr="0062632E">
        <w:rPr>
          <w:rFonts w:ascii="Times New Roman" w:hAnsi="Times New Roman" w:cs="Times New Roman"/>
        </w:rPr>
        <w:t xml:space="preserve"> </w:t>
      </w:r>
      <w:r w:rsidR="00E626CD" w:rsidRPr="0062632E">
        <w:rPr>
          <w:rFonts w:ascii="Times New Roman" w:eastAsia="Calibri" w:hAnsi="Times New Roman" w:cs="Times New Roman"/>
        </w:rPr>
        <w:t>by operators involved in antiviolence centers;</w:t>
      </w:r>
      <w:r w:rsidR="00402596" w:rsidRPr="0062632E">
        <w:rPr>
          <w:rFonts w:ascii="Times New Roman" w:eastAsia="Calibri" w:hAnsi="Times New Roman" w:cs="Times New Roman"/>
        </w:rPr>
        <w:t xml:space="preserve"> </w:t>
      </w:r>
      <w:r w:rsidR="00E626CD" w:rsidRPr="0062632E">
        <w:rPr>
          <w:rFonts w:ascii="Times New Roman" w:eastAsia="Calibri" w:hAnsi="Times New Roman" w:cs="Times New Roman"/>
        </w:rPr>
        <w:t>work placement of female victims of violence;</w:t>
      </w:r>
      <w:r w:rsidR="00402596" w:rsidRPr="0062632E">
        <w:rPr>
          <w:rFonts w:ascii="Times New Roman" w:eastAsia="Calibri" w:hAnsi="Times New Roman" w:cs="Times New Roman"/>
        </w:rPr>
        <w:t xml:space="preserve"> assistance </w:t>
      </w:r>
      <w:r w:rsidR="00DD1EDF" w:rsidRPr="0062632E">
        <w:rPr>
          <w:rFonts w:ascii="Times New Roman" w:eastAsia="Calibri" w:hAnsi="Times New Roman" w:cs="Times New Roman"/>
        </w:rPr>
        <w:t xml:space="preserve">aimed at </w:t>
      </w:r>
      <w:r w:rsidR="00E626CD" w:rsidRPr="0062632E">
        <w:rPr>
          <w:rFonts w:ascii="Times New Roman" w:eastAsia="Calibri" w:hAnsi="Times New Roman" w:cs="Times New Roman"/>
        </w:rPr>
        <w:t>providing housing autonomy for female victims of violence;</w:t>
      </w:r>
      <w:r w:rsidR="00402596" w:rsidRPr="0062632E">
        <w:rPr>
          <w:rFonts w:ascii="Times New Roman" w:eastAsia="Calibri" w:hAnsi="Times New Roman" w:cs="Times New Roman"/>
        </w:rPr>
        <w:t xml:space="preserve"> </w:t>
      </w:r>
      <w:r w:rsidR="00E626CD" w:rsidRPr="0062632E">
        <w:rPr>
          <w:rFonts w:ascii="Times New Roman" w:eastAsia="Calibri" w:hAnsi="Times New Roman" w:cs="Times New Roman"/>
        </w:rPr>
        <w:t>implementation of a data-base at regional level on the phenomenon of violence to be centralized in a National Database on gender based violence.</w:t>
      </w:r>
    </w:p>
    <w:p w14:paraId="5DC7075F" w14:textId="77777777" w:rsidR="00DD1EDF" w:rsidRPr="0062632E" w:rsidRDefault="00DD1EDF" w:rsidP="00402596">
      <w:pPr>
        <w:pStyle w:val="ListParagraph"/>
        <w:tabs>
          <w:tab w:val="left" w:pos="0"/>
        </w:tabs>
        <w:ind w:left="0"/>
        <w:jc w:val="both"/>
        <w:rPr>
          <w:rFonts w:ascii="Times New Roman" w:eastAsia="Calibri" w:hAnsi="Times New Roman" w:cs="Times New Roman"/>
        </w:rPr>
      </w:pPr>
      <w:r w:rsidRPr="0062632E">
        <w:rPr>
          <w:rFonts w:ascii="Times New Roman" w:eastAsia="Calibri" w:hAnsi="Times New Roman" w:cs="Times New Roman"/>
        </w:rPr>
        <w:tab/>
      </w:r>
    </w:p>
    <w:p w14:paraId="2E7B79B2" w14:textId="24AA5095" w:rsidR="00DD1EDF" w:rsidRPr="0062632E" w:rsidRDefault="00DD1EDF" w:rsidP="00DD1EDF">
      <w:pPr>
        <w:pStyle w:val="ListParagraph"/>
        <w:tabs>
          <w:tab w:val="left" w:pos="0"/>
        </w:tabs>
        <w:ind w:left="0"/>
        <w:jc w:val="both"/>
        <w:rPr>
          <w:rFonts w:ascii="Times New Roman" w:eastAsia="Calibri" w:hAnsi="Times New Roman" w:cs="Times New Roman"/>
        </w:rPr>
      </w:pPr>
      <w:r w:rsidRPr="0062632E">
        <w:rPr>
          <w:rFonts w:ascii="Times New Roman" w:eastAsia="Calibri" w:hAnsi="Times New Roman" w:cs="Times New Roman"/>
        </w:rPr>
        <w:tab/>
        <w:t>On 11 November 2016, the Department for Equal Opportunities, in collaboration with the Italian Ministry of Education, University and Research, issued a public Call for proposals for the presentation of school educational initiatives on preventing and combating all forms of gender-based violence addressing all public schools on the national territory. The Call for proposals also encouraged the establishment of collaborations between schools and NGOs working in this sector. The total allocated amount is equal to 5 million Euros and the selected projects are now starting thei</w:t>
      </w:r>
      <w:r w:rsidR="003A0CAD">
        <w:rPr>
          <w:rFonts w:ascii="Times New Roman" w:eastAsia="Calibri" w:hAnsi="Times New Roman" w:cs="Times New Roman"/>
        </w:rPr>
        <w:t xml:space="preserve">r activities. </w:t>
      </w:r>
      <w:r w:rsidRPr="0062632E">
        <w:rPr>
          <w:rFonts w:ascii="Times New Roman" w:eastAsia="Calibri" w:hAnsi="Times New Roman" w:cs="Times New Roman"/>
        </w:rPr>
        <w:t>On</w:t>
      </w:r>
      <w:r w:rsidR="00E626CD" w:rsidRPr="0062632E">
        <w:rPr>
          <w:rFonts w:ascii="Times New Roman" w:eastAsia="Calibri" w:hAnsi="Times New Roman" w:cs="Times New Roman"/>
        </w:rPr>
        <w:t xml:space="preserve"> 25 November 2016, five M</w:t>
      </w:r>
      <w:r w:rsidRPr="0062632E">
        <w:rPr>
          <w:rFonts w:ascii="Times New Roman" w:eastAsia="Calibri" w:hAnsi="Times New Roman" w:cs="Times New Roman"/>
        </w:rPr>
        <w:t xml:space="preserve">oUs </w:t>
      </w:r>
      <w:r w:rsidR="00E626CD" w:rsidRPr="0062632E">
        <w:rPr>
          <w:rFonts w:ascii="Times New Roman" w:eastAsia="Calibri" w:hAnsi="Times New Roman" w:cs="Times New Roman"/>
        </w:rPr>
        <w:t xml:space="preserve">between the Department for Equal Opportunities and, respectively, the National Statistics Institute (ISTAT), Ferrovie dello Stato Italiane Group (the national railway company), Poste Italiane (the national post company), the </w:t>
      </w:r>
      <w:r w:rsidR="00E626CD" w:rsidRPr="0062632E">
        <w:rPr>
          <w:rFonts w:ascii="Times New Roman" w:eastAsia="Calibri" w:hAnsi="Times New Roman" w:cs="Times New Roman"/>
          <w:i/>
        </w:rPr>
        <w:t>Carabinieri</w:t>
      </w:r>
      <w:r w:rsidR="00E626CD" w:rsidRPr="0062632E">
        <w:rPr>
          <w:rFonts w:ascii="Times New Roman" w:eastAsia="Calibri" w:hAnsi="Times New Roman" w:cs="Times New Roman"/>
        </w:rPr>
        <w:t xml:space="preserve"> Corps and the State Police, were signed with the aim of developing specific actions supporting the implementation of the Extraordinary Action Plan against sexual and gender-based violence.</w:t>
      </w:r>
      <w:r w:rsidR="00402596" w:rsidRPr="0062632E">
        <w:rPr>
          <w:rFonts w:ascii="Times New Roman" w:eastAsia="Calibri" w:hAnsi="Times New Roman" w:cs="Times New Roman"/>
        </w:rPr>
        <w:t xml:space="preserve"> </w:t>
      </w:r>
      <w:r w:rsidR="00E626CD" w:rsidRPr="0062632E">
        <w:rPr>
          <w:rFonts w:ascii="Times New Roman" w:eastAsia="Calibri" w:hAnsi="Times New Roman" w:cs="Times New Roman"/>
        </w:rPr>
        <w:t xml:space="preserve">On the same occasion, </w:t>
      </w:r>
      <w:r w:rsidRPr="0062632E">
        <w:rPr>
          <w:rFonts w:ascii="Times New Roman" w:eastAsia="Calibri" w:hAnsi="Times New Roman" w:cs="Times New Roman"/>
        </w:rPr>
        <w:t xml:space="preserve">DEO </w:t>
      </w:r>
      <w:r w:rsidR="00E626CD" w:rsidRPr="0062632E">
        <w:rPr>
          <w:rFonts w:ascii="Times New Roman" w:eastAsia="Calibri" w:hAnsi="Times New Roman" w:cs="Times New Roman"/>
        </w:rPr>
        <w:t xml:space="preserve">presented the new communication campaign against gender-based violence entitled “Mettiti nei suoi panni” (Put yourself in her shoes). The TV advert is available at </w:t>
      </w:r>
      <w:hyperlink r:id="rId9" w:history="1">
        <w:r w:rsidR="00E626CD" w:rsidRPr="0062632E">
          <w:rPr>
            <w:rStyle w:val="Hyperlink"/>
            <w:rFonts w:ascii="Times New Roman" w:eastAsia="Calibri" w:hAnsi="Times New Roman" w:cs="Times New Roman"/>
          </w:rPr>
          <w:t>https://www.youtube.com/watch?v=Sgf3BqgqLa0&amp;feature=youtu.be</w:t>
        </w:r>
      </w:hyperlink>
      <w:r w:rsidR="00E626CD" w:rsidRPr="0062632E">
        <w:rPr>
          <w:rFonts w:ascii="Times New Roman" w:eastAsia="Calibri" w:hAnsi="Times New Roman" w:cs="Times New Roman"/>
        </w:rPr>
        <w:t xml:space="preserve"> </w:t>
      </w:r>
    </w:p>
    <w:p w14:paraId="43A4212D" w14:textId="77777777" w:rsidR="00DD1EDF" w:rsidRPr="0062632E" w:rsidRDefault="00DD1EDF" w:rsidP="00DD1EDF">
      <w:pPr>
        <w:pStyle w:val="ListParagraph"/>
        <w:tabs>
          <w:tab w:val="left" w:pos="0"/>
        </w:tabs>
        <w:ind w:left="0"/>
        <w:jc w:val="both"/>
        <w:rPr>
          <w:rFonts w:ascii="Times New Roman" w:eastAsia="Calibri" w:hAnsi="Times New Roman" w:cs="Times New Roman"/>
        </w:rPr>
      </w:pPr>
    </w:p>
    <w:p w14:paraId="79F652CD" w14:textId="31680E14" w:rsidR="00DD1EDF" w:rsidRPr="00B80FCF" w:rsidRDefault="00DD1EDF" w:rsidP="00B80FCF">
      <w:pPr>
        <w:pStyle w:val="ListParagraph"/>
        <w:tabs>
          <w:tab w:val="left" w:pos="0"/>
        </w:tabs>
        <w:ind w:left="0"/>
        <w:jc w:val="both"/>
        <w:rPr>
          <w:rFonts w:ascii="Times New Roman" w:eastAsia="Calibri" w:hAnsi="Times New Roman" w:cs="Times New Roman"/>
        </w:rPr>
      </w:pPr>
      <w:r w:rsidRPr="0062632E">
        <w:rPr>
          <w:rFonts w:ascii="Times New Roman" w:eastAsia="Calibri" w:hAnsi="Times New Roman" w:cs="Times New Roman"/>
        </w:rPr>
        <w:tab/>
        <w:t xml:space="preserve">Additional new legislation includes as follows: </w:t>
      </w:r>
      <w:r w:rsidR="00E626CD" w:rsidRPr="0062632E">
        <w:rPr>
          <w:rFonts w:ascii="Times New Roman" w:eastAsia="Calibri" w:hAnsi="Times New Roman" w:cs="Times New Roman"/>
        </w:rPr>
        <w:t>Legislative Decree No. 80/2015 on “Measures for reconciliation between care, work and family life” envisages, inter alia, the setting up of a special paid leave for working women victims of violence following duly certified protection programs.</w:t>
      </w:r>
      <w:r w:rsidRPr="0062632E">
        <w:rPr>
          <w:rFonts w:ascii="Times New Roman" w:eastAsia="Calibri" w:hAnsi="Times New Roman" w:cs="Times New Roman"/>
        </w:rPr>
        <w:t xml:space="preserve"> A</w:t>
      </w:r>
      <w:r w:rsidR="00E626CD" w:rsidRPr="0062632E">
        <w:rPr>
          <w:rFonts w:ascii="Times New Roman" w:eastAsia="Calibri" w:hAnsi="Times New Roman" w:cs="Times New Roman"/>
        </w:rPr>
        <w:t>ccording to Law No. 124 of 7 August 2015 on the reorganization of Public Administrations, the working woman victim of violence is entitled to ask to move to another Public Administration based in a different Municipality from the one of residence.  The recent Reform of the national education and training system (Law No. 107 of 13 July 2015) provides for, inter alia, the inclusion of education to gender equality, the prevention of gender-based violence and discrimination in the school curricula</w:t>
      </w:r>
      <w:r w:rsidRPr="0062632E">
        <w:rPr>
          <w:rStyle w:val="FootnoteReference"/>
          <w:rFonts w:ascii="Times New Roman" w:eastAsia="Calibri" w:hAnsi="Times New Roman" w:cs="Times New Roman"/>
        </w:rPr>
        <w:footnoteReference w:id="9"/>
      </w:r>
    </w:p>
    <w:p w14:paraId="4B075981" w14:textId="77777777" w:rsidR="0053726F" w:rsidRPr="00EE615B" w:rsidRDefault="0053726F" w:rsidP="00EE615B">
      <w:pPr>
        <w:pStyle w:val="ListParagraph"/>
        <w:jc w:val="both"/>
        <w:rPr>
          <w:rFonts w:ascii="Times New Roman" w:hAnsi="Times New Roman" w:cs="Times New Roman"/>
        </w:rPr>
      </w:pPr>
    </w:p>
    <w:p w14:paraId="4C8C036A" w14:textId="42263E05" w:rsidR="00B80FCF" w:rsidRPr="00B80FCF" w:rsidRDefault="00796973" w:rsidP="00B80FCF">
      <w:pPr>
        <w:pStyle w:val="ListParagraph"/>
        <w:numPr>
          <w:ilvl w:val="0"/>
          <w:numId w:val="18"/>
        </w:numPr>
        <w:jc w:val="both"/>
        <w:rPr>
          <w:rFonts w:ascii="Times New Roman" w:eastAsia="Times New Roman" w:hAnsi="Times New Roman" w:cs="Times New Roman"/>
          <w:b/>
        </w:rPr>
      </w:pPr>
      <w:r w:rsidRPr="00B80FCF">
        <w:rPr>
          <w:rFonts w:ascii="Times New Roman" w:hAnsi="Times New Roman" w:cs="Times New Roman"/>
          <w:b/>
          <w:u w:val="single"/>
        </w:rPr>
        <w:t>Caporalato</w:t>
      </w:r>
      <w:r w:rsidR="00B80FCF">
        <w:rPr>
          <w:rStyle w:val="FootnoteReference"/>
          <w:rFonts w:ascii="Times New Roman" w:hAnsi="Times New Roman" w:cs="Times New Roman"/>
          <w:b/>
          <w:u w:val="single"/>
        </w:rPr>
        <w:footnoteReference w:id="10"/>
      </w:r>
      <w:r w:rsidRPr="00EE615B">
        <w:rPr>
          <w:rFonts w:ascii="Times New Roman" w:hAnsi="Times New Roman" w:cs="Times New Roman"/>
        </w:rPr>
        <w:t xml:space="preserve"> (</w:t>
      </w:r>
      <w:r w:rsidR="00B80FCF">
        <w:rPr>
          <w:rFonts w:ascii="Times New Roman" w:hAnsi="Times New Roman" w:cs="Times New Roman"/>
        </w:rPr>
        <w:t>Situation of Migrant Workers, including children)</w:t>
      </w:r>
    </w:p>
    <w:p w14:paraId="4C3651B9" w14:textId="77777777" w:rsidR="00B80FCF" w:rsidRDefault="00B80FCF" w:rsidP="00EE615B">
      <w:pPr>
        <w:pStyle w:val="HTMLPreformatted"/>
        <w:jc w:val="both"/>
        <w:rPr>
          <w:rFonts w:ascii="Times New Roman" w:eastAsia="Times New Roman" w:hAnsi="Times New Roman" w:cs="Times New Roman"/>
          <w:i/>
          <w:sz w:val="24"/>
          <w:szCs w:val="24"/>
          <w:lang w:val="en-US"/>
        </w:rPr>
      </w:pPr>
    </w:p>
    <w:p w14:paraId="60305E89" w14:textId="4A09FA89" w:rsidR="00B80FCF" w:rsidRDefault="00B80FCF" w:rsidP="00B80FCF">
      <w:pPr>
        <w:pStyle w:val="HTMLPreformatted"/>
        <w:ind w:firstLine="3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w:t>
      </w:r>
      <w:r w:rsidR="003A0CAD">
        <w:rPr>
          <w:rFonts w:ascii="Times New Roman" w:eastAsia="Times New Roman" w:hAnsi="Times New Roman" w:cs="Times New Roman"/>
          <w:sz w:val="24"/>
          <w:szCs w:val="24"/>
          <w:lang w:val="en-GB"/>
        </w:rPr>
        <w:t xml:space="preserve">igrant workers benefit from </w:t>
      </w:r>
      <w:r w:rsidR="00F92376" w:rsidRPr="00B80FCF">
        <w:rPr>
          <w:rFonts w:ascii="Times New Roman" w:eastAsia="Times New Roman" w:hAnsi="Times New Roman" w:cs="Times New Roman"/>
          <w:sz w:val="24"/>
          <w:szCs w:val="24"/>
          <w:lang w:val="en-GB"/>
        </w:rPr>
        <w:t xml:space="preserve">acquired pension and social security rights once all the </w:t>
      </w:r>
      <w:r w:rsidR="003A0CAD">
        <w:rPr>
          <w:rFonts w:ascii="Times New Roman" w:eastAsia="Times New Roman" w:hAnsi="Times New Roman" w:cs="Times New Roman"/>
          <w:sz w:val="24"/>
          <w:szCs w:val="24"/>
          <w:lang w:val="en-GB"/>
        </w:rPr>
        <w:t xml:space="preserve">requirements established by </w:t>
      </w:r>
      <w:r w:rsidR="00F92376" w:rsidRPr="00B80FCF">
        <w:rPr>
          <w:rFonts w:ascii="Times New Roman" w:eastAsia="Times New Roman" w:hAnsi="Times New Roman" w:cs="Times New Roman"/>
          <w:sz w:val="24"/>
          <w:szCs w:val="24"/>
          <w:lang w:val="en-GB"/>
        </w:rPr>
        <w:t>law have been met. This is also possible if they return to their country of origin and even in absence of a reciprocity agreement (Art. 22 par. 13 of Leg. Decree n. 286/98)</w:t>
      </w:r>
      <w:r>
        <w:rPr>
          <w:rStyle w:val="FootnoteReference"/>
          <w:rFonts w:ascii="Times New Roman" w:eastAsia="Times New Roman" w:hAnsi="Times New Roman" w:cs="Times New Roman"/>
          <w:sz w:val="24"/>
          <w:szCs w:val="24"/>
          <w:lang w:val="en-GB"/>
        </w:rPr>
        <w:footnoteReference w:id="11"/>
      </w:r>
      <w:r w:rsidR="00F92376" w:rsidRPr="00B80FCF">
        <w:rPr>
          <w:rFonts w:ascii="Times New Roman" w:eastAsia="Times New Roman" w:hAnsi="Times New Roman" w:cs="Times New Roman"/>
          <w:sz w:val="24"/>
          <w:szCs w:val="24"/>
          <w:lang w:val="en-GB"/>
        </w:rPr>
        <w:t xml:space="preserve">. </w:t>
      </w:r>
    </w:p>
    <w:p w14:paraId="49D068E9" w14:textId="77777777" w:rsidR="00B80FCF" w:rsidRDefault="00B80FCF" w:rsidP="00B80FCF">
      <w:pPr>
        <w:pStyle w:val="HTMLPreformatted"/>
        <w:ind w:firstLine="360"/>
        <w:jc w:val="both"/>
        <w:rPr>
          <w:rFonts w:ascii="Times New Roman" w:eastAsia="Times New Roman" w:hAnsi="Times New Roman" w:cs="Times New Roman"/>
          <w:sz w:val="24"/>
          <w:szCs w:val="24"/>
          <w:lang w:val="en-GB"/>
        </w:rPr>
      </w:pPr>
    </w:p>
    <w:p w14:paraId="6D77C143" w14:textId="77777777" w:rsidR="006C130D" w:rsidRDefault="00F92376" w:rsidP="006C130D">
      <w:pPr>
        <w:pStyle w:val="HTMLPreformatted"/>
        <w:ind w:firstLine="360"/>
        <w:jc w:val="both"/>
        <w:rPr>
          <w:rFonts w:ascii="Times New Roman" w:eastAsia="Times New Roman" w:hAnsi="Times New Roman" w:cs="Times New Roman"/>
          <w:sz w:val="24"/>
          <w:szCs w:val="24"/>
        </w:rPr>
      </w:pPr>
      <w:r w:rsidRPr="00B80FCF">
        <w:rPr>
          <w:rFonts w:ascii="Times New Roman" w:eastAsia="Times New Roman" w:hAnsi="Times New Roman" w:cs="Times New Roman"/>
          <w:sz w:val="24"/>
          <w:szCs w:val="24"/>
        </w:rPr>
        <w:t>Irregular migrant workers can refer to the relevant authorities [i.e. judicial authorities, police, social security offices, provincial labour offices (</w:t>
      </w:r>
      <w:r w:rsidRPr="00B80FCF">
        <w:rPr>
          <w:rFonts w:ascii="Times New Roman" w:eastAsia="Times New Roman" w:hAnsi="Times New Roman" w:cs="Times New Roman"/>
          <w:i/>
          <w:sz w:val="24"/>
          <w:szCs w:val="24"/>
        </w:rPr>
        <w:t>Direzioni Territoriali del Lavoro</w:t>
      </w:r>
      <w:r w:rsidRPr="00B80FCF">
        <w:rPr>
          <w:rFonts w:ascii="Times New Roman" w:eastAsia="Times New Roman" w:hAnsi="Times New Roman" w:cs="Times New Roman"/>
          <w:sz w:val="24"/>
          <w:szCs w:val="24"/>
        </w:rPr>
        <w:t xml:space="preserve">) as well as to trade unions and patronages, to claim the payment of their salary and any social security contributions they are entitled to. In addition to that, art. 22 co. 12-ter of Leg. Decree n. 286/1998, the so called </w:t>
      </w:r>
      <w:r w:rsidRPr="00B80FCF">
        <w:rPr>
          <w:rFonts w:ascii="Times New Roman" w:eastAsia="Times New Roman" w:hAnsi="Times New Roman" w:cs="Times New Roman"/>
          <w:i/>
          <w:sz w:val="24"/>
          <w:szCs w:val="24"/>
        </w:rPr>
        <w:t>Testo Unico Immigrazione</w:t>
      </w:r>
      <w:r w:rsidRPr="00B80FCF">
        <w:rPr>
          <w:rFonts w:ascii="Times New Roman" w:eastAsia="Times New Roman" w:hAnsi="Times New Roman" w:cs="Times New Roman"/>
          <w:sz w:val="24"/>
          <w:szCs w:val="24"/>
        </w:rPr>
        <w:t xml:space="preserve"> (T.U.I.) regulating immigration and the condition of stay applied to foreign citizens, establishes that in case of illegal recruitment the employer is sanctioned by the court to cover the travel cost for the repatriation of the migrant worker.</w:t>
      </w:r>
      <w:r w:rsidR="00B80FCF">
        <w:rPr>
          <w:rFonts w:ascii="Times New Roman" w:eastAsia="Times New Roman" w:hAnsi="Times New Roman" w:cs="Times New Roman"/>
          <w:sz w:val="24"/>
          <w:szCs w:val="24"/>
        </w:rPr>
        <w:t xml:space="preserve"> </w:t>
      </w:r>
      <w:r w:rsidRPr="00B80FCF">
        <w:rPr>
          <w:rFonts w:ascii="Times New Roman" w:eastAsia="Times New Roman" w:hAnsi="Times New Roman" w:cs="Times New Roman"/>
          <w:sz w:val="24"/>
          <w:szCs w:val="24"/>
        </w:rPr>
        <w:t>A migrant worker who brought to the court complaints against the employer and collaborated with the justice during the legal proceeding, is entitled to a residence permit for humanitarian reasons. The permit is valid for 6 months and can be extended for 1 year or for the entire duration of the legal proceeding. It entitles the holder to work (art. 22 co. 12-quater of T.U.I.). In addition to that, on October 18</w:t>
      </w:r>
      <w:r w:rsidRPr="00B80FCF">
        <w:rPr>
          <w:rFonts w:ascii="Times New Roman" w:eastAsia="Times New Roman" w:hAnsi="Times New Roman" w:cs="Times New Roman"/>
          <w:sz w:val="24"/>
          <w:szCs w:val="24"/>
          <w:vertAlign w:val="superscript"/>
        </w:rPr>
        <w:t>th</w:t>
      </w:r>
      <w:r w:rsidRPr="00B80FCF">
        <w:rPr>
          <w:rFonts w:ascii="Times New Roman" w:eastAsia="Times New Roman" w:hAnsi="Times New Roman" w:cs="Times New Roman"/>
          <w:sz w:val="24"/>
          <w:szCs w:val="24"/>
        </w:rPr>
        <w:t xml:space="preserve"> 2016, the Chamber of Deputies approved a new law to combat undeclared work and labour exploitation in agriculture (“</w:t>
      </w:r>
      <w:r w:rsidRPr="00B80FCF">
        <w:rPr>
          <w:rFonts w:ascii="Times New Roman" w:eastAsia="Times New Roman" w:hAnsi="Times New Roman" w:cs="Times New Roman"/>
          <w:i/>
          <w:sz w:val="24"/>
          <w:szCs w:val="24"/>
        </w:rPr>
        <w:t>Legge sul Caporalato</w:t>
      </w:r>
      <w:r w:rsidRPr="00B80FCF">
        <w:rPr>
          <w:rFonts w:ascii="Times New Roman" w:eastAsia="Times New Roman" w:hAnsi="Times New Roman" w:cs="Times New Roman"/>
          <w:sz w:val="24"/>
          <w:szCs w:val="24"/>
        </w:rPr>
        <w:t>”). The new law extended the objectives of the Fund for victims of trafficking (</w:t>
      </w:r>
      <w:r w:rsidRPr="00B80FCF">
        <w:rPr>
          <w:rFonts w:ascii="Times New Roman" w:eastAsia="Times New Roman" w:hAnsi="Times New Roman" w:cs="Times New Roman"/>
          <w:i/>
          <w:sz w:val="24"/>
          <w:szCs w:val="24"/>
        </w:rPr>
        <w:t>Fondo Anti-tratta</w:t>
      </w:r>
      <w:r w:rsidRPr="00B80FCF">
        <w:rPr>
          <w:rFonts w:ascii="Times New Roman" w:eastAsia="Times New Roman" w:hAnsi="Times New Roman" w:cs="Times New Roman"/>
          <w:sz w:val="24"/>
          <w:szCs w:val="24"/>
        </w:rPr>
        <w:t xml:space="preserve">) - foreseen under Law n. 228/2003 - also to victims </w:t>
      </w:r>
      <w:r w:rsidR="00B80FCF" w:rsidRPr="00B80FCF">
        <w:rPr>
          <w:rFonts w:ascii="Times New Roman" w:eastAsia="Times New Roman" w:hAnsi="Times New Roman" w:cs="Times New Roman"/>
          <w:sz w:val="24"/>
          <w:szCs w:val="24"/>
        </w:rPr>
        <w:t>of illegal recruitment and labo</w:t>
      </w:r>
      <w:r w:rsidRPr="00B80FCF">
        <w:rPr>
          <w:rFonts w:ascii="Times New Roman" w:eastAsia="Times New Roman" w:hAnsi="Times New Roman" w:cs="Times New Roman"/>
          <w:sz w:val="24"/>
          <w:szCs w:val="24"/>
        </w:rPr>
        <w:t xml:space="preserve">r exploitation. In accordance with art.18 of T.U.I., the fund finances the implementation of assistance and social integration/protection </w:t>
      </w:r>
      <w:r w:rsidR="00B80FCF" w:rsidRPr="00B80FCF">
        <w:rPr>
          <w:rFonts w:ascii="Times New Roman" w:eastAsia="Times New Roman" w:hAnsi="Times New Roman" w:cs="Times New Roman"/>
          <w:sz w:val="24"/>
          <w:szCs w:val="24"/>
        </w:rPr>
        <w:t>programs in favo</w:t>
      </w:r>
      <w:r w:rsidRPr="00B80FCF">
        <w:rPr>
          <w:rFonts w:ascii="Times New Roman" w:eastAsia="Times New Roman" w:hAnsi="Times New Roman" w:cs="Times New Roman"/>
          <w:sz w:val="24"/>
          <w:szCs w:val="24"/>
        </w:rPr>
        <w:t>r of the victims</w:t>
      </w:r>
      <w:r w:rsidR="00B80FCF" w:rsidRPr="00B80FCF">
        <w:rPr>
          <w:rStyle w:val="FootnoteReference"/>
          <w:rFonts w:ascii="Times New Roman" w:eastAsia="Times New Roman" w:hAnsi="Times New Roman" w:cs="Times New Roman"/>
          <w:sz w:val="24"/>
          <w:szCs w:val="24"/>
        </w:rPr>
        <w:footnoteReference w:id="12"/>
      </w:r>
      <w:r w:rsidRPr="00B80FCF">
        <w:rPr>
          <w:rFonts w:ascii="Times New Roman" w:eastAsia="Times New Roman" w:hAnsi="Times New Roman" w:cs="Times New Roman"/>
          <w:sz w:val="24"/>
          <w:szCs w:val="24"/>
        </w:rPr>
        <w:t>.</w:t>
      </w:r>
    </w:p>
    <w:p w14:paraId="664004C1" w14:textId="37018D26" w:rsidR="00E626CD" w:rsidRPr="006C130D" w:rsidRDefault="00B80FCF" w:rsidP="006C130D">
      <w:pPr>
        <w:pStyle w:val="HTMLPreformatted"/>
        <w:ind w:firstLine="360"/>
        <w:jc w:val="both"/>
        <w:rPr>
          <w:rFonts w:ascii="Times New Roman" w:eastAsia="Times New Roman" w:hAnsi="Times New Roman" w:cs="Times New Roman"/>
          <w:sz w:val="24"/>
          <w:szCs w:val="24"/>
          <w:lang w:val="en-GB"/>
        </w:rPr>
      </w:pPr>
      <w:r w:rsidRPr="006C130D">
        <w:rPr>
          <w:rFonts w:ascii="Times New Roman" w:hAnsi="Times New Roman" w:cs="Times New Roman"/>
          <w:sz w:val="24"/>
          <w:szCs w:val="24"/>
          <w:lang w:val="en-GB"/>
        </w:rPr>
        <w:t>Similarly</w:t>
      </w:r>
      <w:r w:rsidR="006C130D">
        <w:rPr>
          <w:rFonts w:ascii="Times New Roman" w:hAnsi="Times New Roman" w:cs="Times New Roman"/>
          <w:sz w:val="24"/>
          <w:szCs w:val="24"/>
          <w:lang w:val="en-GB"/>
        </w:rPr>
        <w:t>,</w:t>
      </w:r>
      <w:r w:rsidRPr="006C130D">
        <w:rPr>
          <w:rFonts w:ascii="Times New Roman" w:hAnsi="Times New Roman" w:cs="Times New Roman"/>
          <w:sz w:val="24"/>
          <w:szCs w:val="24"/>
          <w:lang w:val="en-GB"/>
        </w:rPr>
        <w:t xml:space="preserve"> the issue of illegal child labor relates also to the administrative sanctions against employers who hire irregular migrant workers</w:t>
      </w:r>
      <w:r w:rsidR="006C130D">
        <w:rPr>
          <w:rStyle w:val="FootnoteReference"/>
          <w:rFonts w:ascii="Times New Roman" w:hAnsi="Times New Roman" w:cs="Times New Roman"/>
          <w:sz w:val="24"/>
          <w:szCs w:val="24"/>
          <w:lang w:val="en-GB"/>
        </w:rPr>
        <w:footnoteReference w:id="13"/>
      </w:r>
      <w:r w:rsidRPr="006C130D">
        <w:rPr>
          <w:rFonts w:ascii="Times New Roman" w:hAnsi="Times New Roman" w:cs="Times New Roman"/>
          <w:sz w:val="24"/>
          <w:szCs w:val="24"/>
          <w:lang w:val="en-GB"/>
        </w:rPr>
        <w:t>. The fight against illegal immigration is a key sector of the Italian labor legislation and the exploitation of illegal migrant workers is subject to criminal prosecution.</w:t>
      </w:r>
      <w:r w:rsidRPr="006C130D">
        <w:rPr>
          <w:rStyle w:val="FootnoteReference"/>
          <w:rFonts w:ascii="Times New Roman" w:hAnsi="Times New Roman" w:cs="Times New Roman"/>
          <w:sz w:val="24"/>
          <w:szCs w:val="24"/>
          <w:lang w:val="en-GB"/>
        </w:rPr>
        <w:footnoteReference w:id="14"/>
      </w:r>
    </w:p>
    <w:p w14:paraId="482E5F6D" w14:textId="0A6FDE52" w:rsidR="00796973" w:rsidRPr="00EF7236" w:rsidRDefault="00796973" w:rsidP="00EE615B">
      <w:pPr>
        <w:pStyle w:val="ListParagraph"/>
        <w:jc w:val="both"/>
        <w:rPr>
          <w:rFonts w:ascii="Times New Roman" w:hAnsi="Times New Roman" w:cs="Times New Roman"/>
          <w:b/>
        </w:rPr>
      </w:pPr>
      <w:r w:rsidRPr="00EE615B">
        <w:rPr>
          <w:rFonts w:ascii="Times New Roman" w:hAnsi="Times New Roman" w:cs="Times New Roman"/>
        </w:rPr>
        <w:t xml:space="preserve"> </w:t>
      </w:r>
    </w:p>
    <w:p w14:paraId="28BA80A4" w14:textId="10005468" w:rsidR="006C130D" w:rsidRPr="006C130D" w:rsidRDefault="00EF7236" w:rsidP="006C130D">
      <w:pPr>
        <w:pStyle w:val="ListParagraph"/>
        <w:numPr>
          <w:ilvl w:val="0"/>
          <w:numId w:val="18"/>
        </w:numPr>
        <w:jc w:val="both"/>
        <w:rPr>
          <w:rFonts w:ascii="Times New Roman" w:hAnsi="Times New Roman" w:cs="Times New Roman"/>
          <w:b/>
          <w:u w:val="single"/>
        </w:rPr>
      </w:pPr>
      <w:r w:rsidRPr="006C130D">
        <w:rPr>
          <w:rFonts w:ascii="Times New Roman" w:hAnsi="Times New Roman" w:cs="Times New Roman"/>
          <w:b/>
          <w:u w:val="single"/>
        </w:rPr>
        <w:t>The so-cal</w:t>
      </w:r>
      <w:r w:rsidR="006C130D" w:rsidRPr="006C130D">
        <w:rPr>
          <w:rFonts w:ascii="Times New Roman" w:hAnsi="Times New Roman" w:cs="Times New Roman"/>
          <w:b/>
          <w:u w:val="single"/>
        </w:rPr>
        <w:t>led Kyenge Decree on citizenship</w:t>
      </w:r>
    </w:p>
    <w:p w14:paraId="1233B9AA" w14:textId="15E5CF99" w:rsidR="00745262" w:rsidRPr="006C130D" w:rsidRDefault="00745262" w:rsidP="006C130D">
      <w:pPr>
        <w:ind w:firstLine="360"/>
        <w:jc w:val="both"/>
        <w:rPr>
          <w:rFonts w:ascii="Times New Roman" w:hAnsi="Times New Roman" w:cs="Times New Roman"/>
          <w:b/>
        </w:rPr>
      </w:pPr>
      <w:r w:rsidRPr="006C130D">
        <w:rPr>
          <w:rFonts w:ascii="Times New Roman" w:hAnsi="Times New Roman" w:cs="Times New Roman"/>
        </w:rPr>
        <w:t xml:space="preserve">Article 16 of the Constitution enshrines the right to freedom of movement. This right, together with the right to reside within State’s borders, the right to leave any country, including one’s own, and the right to return to one’s country and the right to nationality, is considered by the legislation on citizenship (Act 91/1992, Presidential Decrees 572/1993 and 362/1994). Citizenship legislation applies to: Italians who have lost their citizenship and wish to reinstate it; descendents of Italian citizens claiming citizenship; and foreigners applying for Italian citizenship. Law-Decree 69/2013, converted into Act 98/2013, aims at simplifying citizenship acquisition for those who have come of age and cannot prove their constant stay in the Italian territory for the past 18 years, due to administrative failures not directly caused by them but by their parents’ negligence and/or birth register personnel. Its Art. 33 envisages the mandatory use of IT programs by relevant state officers to make this proceeding faster and less expensive. </w:t>
      </w:r>
    </w:p>
    <w:p w14:paraId="5879844F" w14:textId="77777777" w:rsidR="00702BFD" w:rsidRPr="00EE615B" w:rsidRDefault="00702BFD" w:rsidP="006C130D">
      <w:pPr>
        <w:jc w:val="both"/>
        <w:rPr>
          <w:rFonts w:ascii="Times New Roman" w:hAnsi="Times New Roman" w:cs="Times New Roman"/>
        </w:rPr>
      </w:pPr>
    </w:p>
    <w:p w14:paraId="27568168" w14:textId="69A71C3F" w:rsidR="003A0CAD" w:rsidRPr="006C130D" w:rsidRDefault="00EF7236" w:rsidP="006C130D">
      <w:pPr>
        <w:pStyle w:val="ListParagraph"/>
        <w:numPr>
          <w:ilvl w:val="0"/>
          <w:numId w:val="18"/>
        </w:numPr>
        <w:jc w:val="both"/>
        <w:rPr>
          <w:rFonts w:ascii="Times New Roman" w:hAnsi="Times New Roman" w:cs="Times New Roman"/>
          <w:b/>
          <w:color w:val="222222"/>
          <w:u w:val="single"/>
        </w:rPr>
      </w:pPr>
      <w:r w:rsidRPr="006C130D">
        <w:rPr>
          <w:rFonts w:ascii="Times New Roman" w:hAnsi="Times New Roman" w:cs="Times New Roman"/>
          <w:b/>
          <w:u w:val="single"/>
        </w:rPr>
        <w:t xml:space="preserve">UNAR and </w:t>
      </w:r>
      <w:r w:rsidR="00796973" w:rsidRPr="006C130D">
        <w:rPr>
          <w:rFonts w:ascii="Times New Roman" w:hAnsi="Times New Roman" w:cs="Times New Roman"/>
          <w:b/>
          <w:u w:val="single"/>
        </w:rPr>
        <w:t>Masseria del Pozzo</w:t>
      </w:r>
      <w:r w:rsidRPr="006C130D">
        <w:rPr>
          <w:rFonts w:ascii="Times New Roman" w:hAnsi="Times New Roman" w:cs="Times New Roman"/>
          <w:b/>
          <w:u w:val="single"/>
        </w:rPr>
        <w:t xml:space="preserve"> in Giugliano (Roma settlement) </w:t>
      </w:r>
    </w:p>
    <w:p w14:paraId="55F3B7B2" w14:textId="77777777" w:rsidR="006C130D" w:rsidRDefault="009022D7" w:rsidP="006C130D">
      <w:pPr>
        <w:ind w:firstLine="360"/>
        <w:jc w:val="both"/>
        <w:rPr>
          <w:rFonts w:ascii="Times New Roman" w:hAnsi="Times New Roman" w:cs="Times New Roman"/>
          <w:color w:val="222222"/>
          <w:lang w:val="en"/>
        </w:rPr>
      </w:pPr>
      <w:r w:rsidRPr="006C130D">
        <w:rPr>
          <w:rFonts w:ascii="Times New Roman" w:hAnsi="Times New Roman" w:cs="Times New Roman"/>
          <w:color w:val="222222"/>
          <w:lang w:val="en"/>
        </w:rPr>
        <w:t>On the occasion of the International Day of the Roma and Sinti (8 April 2016), UNAR, as the National Contact Point for the realization of the Strategy has convened an inter-institutional working group, made up of: Central Government (Ministry of Interior, Ministry of work and social policy, Ministry of Education, Ministry of Health, Ministry of Transport and Infrastructure), ANCI, ISTAT and the representatives of the metropolitan city of Milan, Naples and Rome.</w:t>
      </w:r>
      <w:r w:rsidR="003A0CAD"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Among the main issues of the working group:</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 xml:space="preserve">1. Strengthening the UNAR's role with regard to its </w:t>
      </w:r>
      <w:r w:rsidRPr="006C130D">
        <w:rPr>
          <w:rFonts w:ascii="Times New Roman" w:hAnsi="Times New Roman" w:cs="Times New Roman"/>
          <w:color w:val="222222"/>
          <w:u w:val="single"/>
          <w:lang w:val="en"/>
        </w:rPr>
        <w:t>coordination</w:t>
      </w:r>
      <w:r w:rsidRPr="006C130D">
        <w:rPr>
          <w:rFonts w:ascii="Times New Roman" w:hAnsi="Times New Roman" w:cs="Times New Roman"/>
          <w:color w:val="222222"/>
          <w:lang w:val="en"/>
        </w:rPr>
        <w:t xml:space="preserve"> of the Strategy activities (with regard to the four axes: educat</w:t>
      </w:r>
      <w:r w:rsidR="00EF7236" w:rsidRPr="006C130D">
        <w:rPr>
          <w:rFonts w:ascii="Times New Roman" w:hAnsi="Times New Roman" w:cs="Times New Roman"/>
          <w:color w:val="222222"/>
          <w:lang w:val="en"/>
        </w:rPr>
        <w:t xml:space="preserve">ion, work, health and housing); </w:t>
      </w:r>
      <w:r w:rsidRPr="006C130D">
        <w:rPr>
          <w:rFonts w:ascii="Times New Roman" w:hAnsi="Times New Roman" w:cs="Times New Roman"/>
          <w:color w:val="222222"/>
          <w:lang w:val="en"/>
        </w:rPr>
        <w:t xml:space="preserve">2. Recognition of the overcoming of the "Roma camps" </w:t>
      </w:r>
      <w:r w:rsidRPr="006C130D">
        <w:rPr>
          <w:rFonts w:ascii="Times New Roman" w:hAnsi="Times New Roman" w:cs="Times New Roman"/>
          <w:color w:val="222222"/>
          <w:u w:val="single"/>
          <w:lang w:val="en"/>
        </w:rPr>
        <w:t>as a priority objective</w:t>
      </w:r>
      <w:r w:rsidRPr="006C130D">
        <w:rPr>
          <w:rFonts w:ascii="Times New Roman" w:hAnsi="Times New Roman" w:cs="Times New Roman"/>
          <w:color w:val="222222"/>
          <w:lang w:val="en"/>
        </w:rPr>
        <w:t xml:space="preserve"> for each action and measure;</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 xml:space="preserve">3. </w:t>
      </w:r>
      <w:r w:rsidRPr="006C130D">
        <w:rPr>
          <w:rFonts w:ascii="Times New Roman" w:hAnsi="Times New Roman" w:cs="Times New Roman"/>
          <w:color w:val="222222"/>
          <w:u w:val="single"/>
          <w:lang w:val="en"/>
        </w:rPr>
        <w:t>Commitment to ensure complementarity in the use of national, regional and local funds</w:t>
      </w:r>
      <w:r w:rsidRPr="006C130D">
        <w:rPr>
          <w:rFonts w:ascii="Times New Roman" w:hAnsi="Times New Roman" w:cs="Times New Roman"/>
          <w:color w:val="222222"/>
          <w:lang w:val="en"/>
        </w:rPr>
        <w:t>, bearing in mind the indications of the European Operational Programmes.</w:t>
      </w:r>
      <w:r w:rsid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Actions and the upcoming measures:</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 xml:space="preserve">The </w:t>
      </w:r>
      <w:r w:rsidRPr="006C130D">
        <w:rPr>
          <w:rFonts w:ascii="Times New Roman" w:hAnsi="Times New Roman" w:cs="Times New Roman"/>
          <w:color w:val="222222"/>
          <w:u w:val="single"/>
          <w:lang w:val="en"/>
        </w:rPr>
        <w:t>NCP continues to analyze and review the overall structure with regard to European and national funds which aim at the implementation of the strategy (with a specific focus to housing</w:t>
      </w:r>
      <w:r w:rsidRPr="006C130D">
        <w:rPr>
          <w:rFonts w:ascii="Times New Roman" w:hAnsi="Times New Roman" w:cs="Times New Roman"/>
          <w:color w:val="222222"/>
          <w:lang w:val="en"/>
        </w:rPr>
        <w:t>).</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There will be the necessary funds to update the research on settlements and to create a monitoring system of the Strategy.</w:t>
      </w:r>
      <w:r w:rsidR="003A0CAD"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With regard to the complexity of the phenomenon, UNAR is finalizing the Guidelines for local authorities in order to clearly highlight the legitimate settlement evacuation procedures (authorized, unauthorized and spontaneous) and relocation of people in full compliance of international guidelines and fundamental human rights. The aim is to give local  authorities a soft law instrument or awareness, to monitor the most critical situations with regard to evictions of RSC and their transfers in the settlements, to propose solutions and procedures in line with international recommendations and human rights.</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Inside the new schedule of the Structural Funds and with reference to the specific PON Program METRO, UNAR sees the opportunity to undertake some key initiatives to overcome the cd. "Roma camps". With the start of 2017 UNAR, under the accountability activities towards the European Commission, has promoted coordination with the Agency for Territorial Cohesion and the metropolitan cities (respectively Managing Authority and Intermediate Bodies of PON Metro) to guarantee:</w:t>
      </w:r>
      <w:r w:rsidR="00EF7236" w:rsidRPr="006C130D">
        <w:rPr>
          <w:rFonts w:ascii="Times New Roman" w:hAnsi="Times New Roman" w:cs="Times New Roman"/>
          <w:color w:val="222222"/>
          <w:lang w:val="en"/>
        </w:rPr>
        <w:t xml:space="preserve"> </w:t>
      </w:r>
      <w:r w:rsidRPr="006C130D">
        <w:rPr>
          <w:rFonts w:ascii="Times New Roman" w:hAnsi="Times New Roman" w:cs="Times New Roman"/>
        </w:rPr>
        <w:t xml:space="preserve">A </w:t>
      </w:r>
      <w:r w:rsidRPr="006C130D">
        <w:rPr>
          <w:rFonts w:ascii="Times New Roman" w:hAnsi="Times New Roman" w:cs="Times New Roman"/>
          <w:u w:val="single"/>
        </w:rPr>
        <w:t>proper use</w:t>
      </w:r>
      <w:r w:rsidRPr="006C130D">
        <w:rPr>
          <w:rFonts w:ascii="Times New Roman" w:hAnsi="Times New Roman" w:cs="Times New Roman"/>
          <w:color w:val="222222"/>
          <w:u w:val="single"/>
          <w:lang w:val="en"/>
        </w:rPr>
        <w:t xml:space="preserve"> of resources for interventions, for all types of financial instrument (PON Inclusion; Pon Metro, Regional PO</w:t>
      </w:r>
      <w:r w:rsidRPr="006C130D">
        <w:rPr>
          <w:rFonts w:ascii="Times New Roman" w:hAnsi="Times New Roman" w:cs="Times New Roman"/>
          <w:color w:val="222222"/>
          <w:lang w:val="en"/>
        </w:rPr>
        <w:t>); The principle of complementarity in the coordination of the interventions;</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The monitoring of online activiti</w:t>
      </w:r>
      <w:r w:rsidR="00EF7236" w:rsidRPr="006C130D">
        <w:rPr>
          <w:rFonts w:ascii="Times New Roman" w:hAnsi="Times New Roman" w:cs="Times New Roman"/>
          <w:color w:val="222222"/>
          <w:lang w:val="en"/>
        </w:rPr>
        <w:t xml:space="preserve">es proposed by the Strategy RSC. </w:t>
      </w:r>
      <w:r w:rsidRPr="006C130D">
        <w:rPr>
          <w:rFonts w:ascii="Times New Roman" w:hAnsi="Times New Roman" w:cs="Times New Roman"/>
          <w:color w:val="222222"/>
          <w:lang w:val="en"/>
        </w:rPr>
        <w:t>This coordination activity was convened during a national meeting (Naples, February 14, 2017), aimed to receive information about the needs of municipalities, in view of the interventions being launched by UNAR, (PON Inclusion in complementarity with the PON Metro).</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It was also established that the Technical Secretariat of the PON City Metropolitan (Metro PON), will be a forum to define the actions, in line with the directions of the City subways. UNAR is closely following the development of actions in strategic documents of the PON Metro, in order to ensure they are in line with the Strategy.</w:t>
      </w:r>
      <w:r w:rsidR="006C130D">
        <w:rPr>
          <w:rFonts w:ascii="Times New Roman" w:hAnsi="Times New Roman" w:cs="Times New Roman"/>
          <w:color w:val="222222"/>
          <w:lang w:val="en"/>
        </w:rPr>
        <w:t xml:space="preserve">   </w:t>
      </w:r>
      <w:r w:rsidRPr="006C130D">
        <w:rPr>
          <w:rFonts w:ascii="Times New Roman" w:hAnsi="Times New Roman" w:cs="Times New Roman"/>
          <w:color w:val="222222"/>
          <w:u w:val="single"/>
          <w:lang w:val="en"/>
        </w:rPr>
        <w:t>UNAR has monitored the situation of the camp in Masseria del Pozzo.</w:t>
      </w:r>
      <w:r w:rsidRPr="006C130D">
        <w:rPr>
          <w:rFonts w:ascii="Times New Roman" w:hAnsi="Times New Roman" w:cs="Times New Roman"/>
          <w:color w:val="222222"/>
          <w:lang w:val="en"/>
        </w:rPr>
        <w:t xml:space="preserve"> The Camp was evacuated, following a judicial order for environmental and health reasons.</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On 4 February, the Prefect of Naples, the President of the Region and the Municipality of Giugliano signed an agreement aimed to provide housing to families, above all to minors, and to assure them inclusion and school education.</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Resources have been allocated by the Ministry of Interior, the Region and the Municipality.</w:t>
      </w:r>
      <w:r w:rsidR="00EF7236" w:rsidRPr="006C130D">
        <w:rPr>
          <w:rFonts w:ascii="Times New Roman" w:hAnsi="Times New Roman" w:cs="Times New Roman"/>
          <w:color w:val="222222"/>
          <w:lang w:val="en"/>
        </w:rPr>
        <w:t xml:space="preserve"> </w:t>
      </w:r>
      <w:r w:rsidRPr="006C130D">
        <w:rPr>
          <w:rFonts w:ascii="Times New Roman" w:hAnsi="Times New Roman" w:cs="Times New Roman"/>
          <w:color w:val="222222"/>
          <w:lang w:val="en"/>
        </w:rPr>
        <w:t>The housing units will be available within the first months of the current year.</w:t>
      </w:r>
      <w:r w:rsidR="00EF7236" w:rsidRPr="006C130D">
        <w:rPr>
          <w:rFonts w:ascii="Times New Roman" w:hAnsi="Times New Roman" w:cs="Times New Roman"/>
          <w:color w:val="222222"/>
          <w:lang w:val="en"/>
        </w:rPr>
        <w:t xml:space="preserve"> </w:t>
      </w:r>
      <w:r w:rsidR="007F6D11" w:rsidRPr="006C130D">
        <w:rPr>
          <w:rFonts w:ascii="Times New Roman" w:eastAsia="Times New Roman" w:hAnsi="Times New Roman" w:cs="Times New Roman"/>
          <w:lang w:val="en-GB" w:eastAsia="it-IT"/>
        </w:rPr>
        <w:t xml:space="preserve">The European Directive n. 2000/43 has provided, for each Member State, the establishment of a body for the implementation of equal treatment. This Directive was implemented by </w:t>
      </w:r>
      <w:r w:rsidR="007F6D11" w:rsidRPr="006C130D">
        <w:rPr>
          <w:rFonts w:ascii="Times New Roman" w:eastAsia="Times New Roman" w:hAnsi="Times New Roman" w:cs="Times New Roman"/>
          <w:u w:val="single"/>
          <w:lang w:val="en-GB" w:eastAsia="it-IT"/>
        </w:rPr>
        <w:t>Legislative Decree 9 July 2003, n. 215</w:t>
      </w:r>
      <w:r w:rsidR="007F6D11" w:rsidRPr="006C130D">
        <w:rPr>
          <w:rFonts w:ascii="Times New Roman" w:eastAsia="Times New Roman" w:hAnsi="Times New Roman" w:cs="Times New Roman"/>
          <w:lang w:val="en-GB" w:eastAsia="it-IT"/>
        </w:rPr>
        <w:t xml:space="preserve">, which has created the Office for the promotion of equal treatment and the removal of discrimination based on racial or ethnic origin (UNAR), </w:t>
      </w:r>
      <w:r w:rsidR="007F6D11" w:rsidRPr="006C130D">
        <w:rPr>
          <w:rFonts w:ascii="Times New Roman" w:eastAsia="Times New Roman" w:hAnsi="Times New Roman" w:cs="Times New Roman"/>
          <w:u w:val="single"/>
          <w:lang w:val="en-GB" w:eastAsia="it-IT"/>
        </w:rPr>
        <w:t>establishing that the Office performs  the task</w:t>
      </w:r>
      <w:r w:rsidR="007F6D11" w:rsidRPr="006C130D">
        <w:rPr>
          <w:rFonts w:ascii="Times New Roman" w:eastAsia="Times New Roman" w:hAnsi="Times New Roman" w:cs="Times New Roman"/>
          <w:lang w:val="en-GB" w:eastAsia="it-IT"/>
        </w:rPr>
        <w:t xml:space="preserve"> “in full independence of judgment and impartiality conditions”. </w:t>
      </w:r>
      <w:r w:rsidR="007F6D11" w:rsidRPr="006C130D">
        <w:rPr>
          <w:rFonts w:ascii="Times New Roman" w:eastAsia="Calibri" w:hAnsi="Times New Roman" w:cs="Times New Roman"/>
          <w:u w:val="single"/>
          <w:lang w:val="en"/>
        </w:rPr>
        <w:t>About financial resources, UNAR</w:t>
      </w:r>
      <w:r w:rsidR="007F6D11" w:rsidRPr="00EF7236">
        <w:rPr>
          <w:rFonts w:ascii="Times New Roman" w:eastAsia="Calibri" w:hAnsi="Times New Roman" w:cs="Times New Roman"/>
          <w:lang w:val="en"/>
        </w:rPr>
        <w:t xml:space="preserve"> has no ordinary budgetary allocations, so it finances part of its operation and its activities through the annual “revolving Fund” (Law 183/1987, art. 5), in application of European Law (no 39/2002) and Legislative decree 215/2003. </w:t>
      </w:r>
      <w:r w:rsidR="007F6D11" w:rsidRPr="00EF7236">
        <w:rPr>
          <w:rFonts w:ascii="Times New Roman" w:eastAsia="Calibri" w:hAnsi="Times New Roman" w:cs="Times New Roman"/>
        </w:rPr>
        <w:t xml:space="preserve">It corresponds to euro </w:t>
      </w:r>
      <w:r w:rsidR="007F6D11" w:rsidRPr="00EF7236">
        <w:rPr>
          <w:rFonts w:ascii="Times New Roman" w:eastAsia="Times New Roman" w:hAnsi="Times New Roman" w:cs="Times New Roman"/>
          <w:bCs/>
          <w:lang w:eastAsia="it-IT"/>
        </w:rPr>
        <w:t>2.035.357,00/</w:t>
      </w:r>
      <w:r w:rsidR="007F6D11" w:rsidRPr="00EF7236">
        <w:rPr>
          <w:rFonts w:ascii="Times New Roman" w:eastAsia="Calibri" w:hAnsi="Times New Roman" w:cs="Times New Roman"/>
          <w:lang w:val="en"/>
        </w:rPr>
        <w:t xml:space="preserve">year. On April 2016 the UNAR Director signed an agreement with the  General Directorate for Inclusion and Social Policies of the Ministry of Labour and Social Policies, in which UNAR is beneficiary of the </w:t>
      </w:r>
      <w:r w:rsidR="007F6D11" w:rsidRPr="00EF7236">
        <w:rPr>
          <w:rFonts w:ascii="Times New Roman" w:eastAsia="Calibri" w:hAnsi="Times New Roman" w:cs="Times New Roman"/>
          <w:u w:val="single"/>
          <w:lang w:val="en"/>
        </w:rPr>
        <w:t>National Operational Programme Inclusion</w:t>
      </w:r>
      <w:r w:rsidR="007F6D11" w:rsidRPr="00EF7236">
        <w:rPr>
          <w:rFonts w:ascii="Times New Roman" w:eastAsia="Calibri" w:hAnsi="Times New Roman" w:cs="Times New Roman"/>
          <w:lang w:val="en"/>
        </w:rPr>
        <w:t xml:space="preserve"> co-founded by European Social Fund.</w:t>
      </w:r>
      <w:r w:rsidR="006C130D">
        <w:rPr>
          <w:rFonts w:ascii="Times New Roman" w:eastAsia="Calibri" w:hAnsi="Times New Roman" w:cs="Times New Roman"/>
          <w:lang w:val="en"/>
        </w:rPr>
        <w:t xml:space="preserve"> </w:t>
      </w:r>
      <w:r w:rsidR="006C130D" w:rsidRPr="00EE615B">
        <w:rPr>
          <w:rFonts w:ascii="Times New Roman" w:eastAsia="Times New Roman" w:hAnsi="Times New Roman" w:cs="Times New Roman"/>
          <w:lang w:val="en-GB" w:eastAsia="it-IT"/>
        </w:rPr>
        <w:t xml:space="preserve">In order to ensure the effectiveness of the protection against discrimination, and help victims to access to </w:t>
      </w:r>
      <w:r w:rsidR="006C130D" w:rsidRPr="006C130D">
        <w:rPr>
          <w:rFonts w:ascii="Times New Roman" w:eastAsia="Times New Roman" w:hAnsi="Times New Roman" w:cs="Times New Roman"/>
          <w:u w:val="single"/>
          <w:lang w:val="en-GB" w:eastAsia="it-IT"/>
        </w:rPr>
        <w:t>justice, in the most significant and problematic cases, the Department for Equal Opportunities and the National Bar Council have undersigned an Agreement, on 30</w:t>
      </w:r>
      <w:r w:rsidR="006C130D" w:rsidRPr="006C130D">
        <w:rPr>
          <w:rFonts w:ascii="Times New Roman" w:eastAsia="Times New Roman" w:hAnsi="Times New Roman" w:cs="Times New Roman"/>
          <w:u w:val="single"/>
          <w:vertAlign w:val="superscript"/>
          <w:lang w:val="en-GB" w:eastAsia="it-IT"/>
        </w:rPr>
        <w:t>th</w:t>
      </w:r>
      <w:r w:rsidR="006C130D" w:rsidRPr="006C130D">
        <w:rPr>
          <w:rFonts w:ascii="Times New Roman" w:eastAsia="Times New Roman" w:hAnsi="Times New Roman" w:cs="Times New Roman"/>
          <w:u w:val="single"/>
          <w:lang w:val="en-GB" w:eastAsia="it-IT"/>
        </w:rPr>
        <w:t>  December 2013, envisaging the establishment of a Solidarity Fund for the legal protection of victims. The Solidarity Fund</w:t>
      </w:r>
      <w:r w:rsidR="006C130D" w:rsidRPr="006C130D">
        <w:rPr>
          <w:rStyle w:val="FootnoteReference"/>
          <w:rFonts w:ascii="Times New Roman" w:eastAsia="Times New Roman" w:hAnsi="Times New Roman" w:cs="Times New Roman"/>
          <w:u w:val="single"/>
          <w:lang w:val="en-GB" w:eastAsia="it-IT"/>
        </w:rPr>
        <w:footnoteReference w:id="15"/>
      </w:r>
      <w:r w:rsidR="007F6D11" w:rsidRPr="006C130D">
        <w:rPr>
          <w:rFonts w:ascii="Times New Roman" w:eastAsia="Times New Roman" w:hAnsi="Times New Roman" w:cs="Times New Roman"/>
          <w:u w:val="single"/>
          <w:lang w:val="en-GB" w:eastAsia="it-IT"/>
        </w:rPr>
        <w:t xml:space="preserve"> provides to anticipate the costs of legal assistance in some proceedings against discriminatory acts (it may be provided a sum of 600 Euros for each instance).</w:t>
      </w:r>
      <w:r w:rsidR="007F6D11" w:rsidRPr="00EE615B">
        <w:rPr>
          <w:rFonts w:ascii="Times New Roman" w:eastAsia="Times New Roman" w:hAnsi="Times New Roman" w:cs="Times New Roman"/>
          <w:lang w:val="en-GB" w:eastAsia="it-IT"/>
        </w:rPr>
        <w:t xml:space="preserve"> This sum must be returned in the case of the victorious outcome of the case, with an unfavorable outcome of the counterparty for costs, w</w:t>
      </w:r>
      <w:r w:rsidR="00EF7236">
        <w:rPr>
          <w:rFonts w:ascii="Times New Roman" w:eastAsia="Times New Roman" w:hAnsi="Times New Roman" w:cs="Times New Roman"/>
          <w:lang w:val="en-GB" w:eastAsia="it-IT"/>
        </w:rPr>
        <w:t xml:space="preserve">ithin one year of the enactment. </w:t>
      </w:r>
      <w:r w:rsidR="007F6D11" w:rsidRPr="00EE615B">
        <w:rPr>
          <w:rFonts w:ascii="Times New Roman" w:eastAsia="Times New Roman" w:hAnsi="Times New Roman" w:cs="Times New Roman"/>
          <w:lang w:val="en-GB" w:eastAsia="it-IT"/>
        </w:rPr>
        <w:t>The eligibility of applications is assessed by the Management Committee</w:t>
      </w:r>
      <w:r w:rsidR="006C130D">
        <w:rPr>
          <w:rStyle w:val="FootnoteReference"/>
          <w:rFonts w:ascii="Times New Roman" w:eastAsia="Times New Roman" w:hAnsi="Times New Roman" w:cs="Times New Roman"/>
          <w:lang w:val="en-GB" w:eastAsia="it-IT"/>
        </w:rPr>
        <w:footnoteReference w:id="16"/>
      </w:r>
      <w:r w:rsidR="006C130D">
        <w:rPr>
          <w:rFonts w:ascii="Times New Roman" w:eastAsia="Times New Roman" w:hAnsi="Times New Roman" w:cs="Times New Roman"/>
          <w:lang w:val="en-GB" w:eastAsia="it-IT"/>
        </w:rPr>
        <w:t>.</w:t>
      </w:r>
    </w:p>
    <w:p w14:paraId="4CDDA09E" w14:textId="77777777" w:rsidR="006C130D" w:rsidRDefault="006C130D" w:rsidP="006C130D">
      <w:pPr>
        <w:ind w:firstLine="360"/>
        <w:jc w:val="both"/>
        <w:rPr>
          <w:rFonts w:ascii="Times New Roman" w:hAnsi="Times New Roman" w:cs="Times New Roman"/>
          <w:color w:val="222222"/>
          <w:lang w:val="en"/>
        </w:rPr>
      </w:pPr>
    </w:p>
    <w:p w14:paraId="20CB0345" w14:textId="77777777" w:rsidR="00EE682F" w:rsidRDefault="00EE682F" w:rsidP="00EE615B">
      <w:pPr>
        <w:jc w:val="both"/>
        <w:rPr>
          <w:rFonts w:ascii="Times New Roman" w:eastAsia="Times New Roman" w:hAnsi="Times New Roman" w:cs="Times New Roman"/>
          <w:b/>
          <w:u w:val="single"/>
          <w:lang w:val="en-GB" w:eastAsia="it-IT"/>
        </w:rPr>
      </w:pPr>
    </w:p>
    <w:p w14:paraId="274934A7" w14:textId="77777777" w:rsidR="00EE682F" w:rsidRDefault="00EE682F" w:rsidP="00EE615B">
      <w:pPr>
        <w:jc w:val="both"/>
        <w:rPr>
          <w:rFonts w:ascii="Times New Roman" w:eastAsia="Times New Roman" w:hAnsi="Times New Roman" w:cs="Times New Roman"/>
          <w:b/>
          <w:u w:val="single"/>
          <w:lang w:val="en-GB" w:eastAsia="it-IT"/>
        </w:rPr>
      </w:pPr>
    </w:p>
    <w:p w14:paraId="3E75A231" w14:textId="77777777" w:rsidR="00EE682F" w:rsidRDefault="00EE682F" w:rsidP="00EE615B">
      <w:pPr>
        <w:jc w:val="both"/>
        <w:rPr>
          <w:rFonts w:ascii="Times New Roman" w:eastAsia="Times New Roman" w:hAnsi="Times New Roman" w:cs="Times New Roman"/>
          <w:b/>
          <w:u w:val="single"/>
          <w:lang w:val="en-GB" w:eastAsia="it-IT"/>
        </w:rPr>
      </w:pPr>
    </w:p>
    <w:p w14:paraId="41DBFC21" w14:textId="77777777" w:rsidR="00EE682F" w:rsidRDefault="00EE682F" w:rsidP="00EE615B">
      <w:pPr>
        <w:jc w:val="both"/>
        <w:rPr>
          <w:rFonts w:ascii="Times New Roman" w:eastAsia="Times New Roman" w:hAnsi="Times New Roman" w:cs="Times New Roman"/>
          <w:b/>
          <w:u w:val="single"/>
          <w:lang w:val="en-GB" w:eastAsia="it-IT"/>
        </w:rPr>
      </w:pPr>
    </w:p>
    <w:p w14:paraId="2F645F06" w14:textId="77777777" w:rsidR="00EE682F" w:rsidRDefault="00EE682F" w:rsidP="00EE615B">
      <w:pPr>
        <w:jc w:val="both"/>
        <w:rPr>
          <w:rFonts w:ascii="Times New Roman" w:eastAsia="Times New Roman" w:hAnsi="Times New Roman" w:cs="Times New Roman"/>
          <w:b/>
          <w:u w:val="single"/>
          <w:lang w:val="en-GB" w:eastAsia="it-IT"/>
        </w:rPr>
      </w:pPr>
    </w:p>
    <w:p w14:paraId="2608BBD5" w14:textId="77777777" w:rsidR="00EE682F" w:rsidRDefault="00EE682F" w:rsidP="00EE615B">
      <w:pPr>
        <w:jc w:val="both"/>
        <w:rPr>
          <w:rFonts w:ascii="Times New Roman" w:eastAsia="Times New Roman" w:hAnsi="Times New Roman" w:cs="Times New Roman"/>
          <w:b/>
          <w:u w:val="single"/>
          <w:lang w:val="en-GB" w:eastAsia="it-IT"/>
        </w:rPr>
      </w:pPr>
    </w:p>
    <w:p w14:paraId="17D5E9EB" w14:textId="4B338279" w:rsidR="0062632E" w:rsidRPr="006C130D" w:rsidRDefault="0062632E" w:rsidP="00EE615B">
      <w:pPr>
        <w:jc w:val="both"/>
        <w:rPr>
          <w:rFonts w:ascii="Times New Roman" w:hAnsi="Times New Roman" w:cs="Times New Roman"/>
          <w:color w:val="222222"/>
          <w:lang w:val="en"/>
        </w:rPr>
      </w:pPr>
      <w:r w:rsidRPr="00EF7236">
        <w:rPr>
          <w:rFonts w:ascii="Times New Roman" w:eastAsia="Times New Roman" w:hAnsi="Times New Roman" w:cs="Times New Roman"/>
          <w:b/>
          <w:u w:val="single"/>
          <w:lang w:val="en-GB" w:eastAsia="it-IT"/>
        </w:rPr>
        <w:t>ANNE</w:t>
      </w:r>
      <w:r w:rsidR="006C130D">
        <w:rPr>
          <w:rFonts w:ascii="Times New Roman" w:eastAsia="Times New Roman" w:hAnsi="Times New Roman" w:cs="Times New Roman"/>
          <w:b/>
          <w:u w:val="single"/>
          <w:lang w:val="en-GB" w:eastAsia="it-IT"/>
        </w:rPr>
        <w:t>X No</w:t>
      </w:r>
      <w:r w:rsidR="00EF7236" w:rsidRPr="00EF7236">
        <w:rPr>
          <w:rFonts w:ascii="Times New Roman" w:eastAsia="Times New Roman" w:hAnsi="Times New Roman" w:cs="Times New Roman"/>
          <w:b/>
          <w:u w:val="single"/>
          <w:lang w:val="en-GB" w:eastAsia="it-IT"/>
        </w:rPr>
        <w:t xml:space="preserve">. </w:t>
      </w:r>
      <w:r w:rsidRPr="00EF7236">
        <w:rPr>
          <w:rFonts w:ascii="Times New Roman" w:eastAsia="Times New Roman" w:hAnsi="Times New Roman" w:cs="Times New Roman"/>
          <w:b/>
          <w:u w:val="single"/>
          <w:lang w:val="en-GB" w:eastAsia="it-IT"/>
        </w:rPr>
        <w:t>1</w:t>
      </w:r>
      <w:r w:rsidR="006C130D">
        <w:rPr>
          <w:rFonts w:ascii="Times New Roman" w:hAnsi="Times New Roman" w:cs="Times New Roman"/>
          <w:color w:val="222222"/>
          <w:lang w:val="en"/>
        </w:rPr>
        <w:t xml:space="preserve"> - </w:t>
      </w:r>
      <w:r w:rsidR="00EF7236" w:rsidRPr="00EF7236">
        <w:rPr>
          <w:rFonts w:ascii="Times New Roman" w:eastAsia="Times New Roman" w:hAnsi="Times New Roman" w:cs="Times New Roman"/>
          <w:b/>
          <w:u w:val="single"/>
          <w:lang w:val="en-GB" w:eastAsia="it-IT"/>
        </w:rPr>
        <w:t>DATA - Violence against women</w:t>
      </w:r>
    </w:p>
    <w:p w14:paraId="2ECBF669" w14:textId="03114E20" w:rsidR="0062632E" w:rsidRPr="00485DA1" w:rsidRDefault="006C130D" w:rsidP="006C130D">
      <w:pPr>
        <w:pStyle w:val="ListParagraph"/>
        <w:tabs>
          <w:tab w:val="left" w:pos="0"/>
        </w:tabs>
        <w:ind w:left="0"/>
        <w:jc w:val="both"/>
        <w:rPr>
          <w:rFonts w:ascii="Times New Roman" w:eastAsia="Calibri" w:hAnsi="Times New Roman" w:cs="Times New Roman"/>
        </w:rPr>
      </w:pPr>
      <w:r>
        <w:rPr>
          <w:rFonts w:ascii="Times New Roman" w:hAnsi="Times New Roman" w:cs="Times New Roman"/>
        </w:rPr>
        <w:tab/>
        <w:t>O</w:t>
      </w:r>
      <w:r w:rsidR="0062632E">
        <w:rPr>
          <w:rFonts w:ascii="Times New Roman" w:eastAsia="Calibri" w:hAnsi="Times New Roman" w:cs="Times New Roman"/>
        </w:rPr>
        <w:t>n 5 June</w:t>
      </w:r>
      <w:r w:rsidR="0062632E" w:rsidRPr="00485DA1">
        <w:rPr>
          <w:rFonts w:ascii="Times New Roman" w:eastAsia="Calibri" w:hAnsi="Times New Roman" w:cs="Times New Roman"/>
        </w:rPr>
        <w:t xml:space="preserve"> 2015, ISTAT released the follow-up survey on violence against women in Ital</w:t>
      </w:r>
      <w:r w:rsidR="0062632E">
        <w:rPr>
          <w:rFonts w:ascii="Times New Roman" w:eastAsia="Calibri" w:hAnsi="Times New Roman" w:cs="Times New Roman"/>
        </w:rPr>
        <w:t xml:space="preserve">y. The results are to be widely </w:t>
      </w:r>
      <w:r w:rsidR="0062632E" w:rsidRPr="00485DA1">
        <w:rPr>
          <w:rFonts w:ascii="Times New Roman" w:eastAsia="Calibri" w:hAnsi="Times New Roman" w:cs="Times New Roman"/>
        </w:rPr>
        <w:t xml:space="preserve">disseminated also among migrant women. ISTAT carried it out in 2014, on a sample of 24.000 women aged 16-70. Estimates indicate the most affected foreign women for citizenship: Romania, Ukraine, Albania, Morocco, Moldavia, China. More specifically, according to the II-ISTAT survey, 6.788,000 women have been victims of some forms of violence, either physical or </w:t>
      </w:r>
      <w:r w:rsidR="0062632E">
        <w:rPr>
          <w:rFonts w:ascii="Times New Roman" w:eastAsia="Calibri" w:hAnsi="Times New Roman" w:cs="Times New Roman"/>
        </w:rPr>
        <w:t>sexual, during their life, equal</w:t>
      </w:r>
      <w:r w:rsidR="0062632E" w:rsidRPr="00485DA1">
        <w:rPr>
          <w:rFonts w:ascii="Times New Roman" w:eastAsia="Calibri" w:hAnsi="Times New Roman" w:cs="Times New Roman"/>
        </w:rPr>
        <w:t xml:space="preserve"> to 31,5% of women aged 16-70; 20,2% has been victim of physical violence; 21% of sexual v</w:t>
      </w:r>
      <w:r w:rsidR="0062632E">
        <w:rPr>
          <w:rFonts w:ascii="Times New Roman" w:eastAsia="Calibri" w:hAnsi="Times New Roman" w:cs="Times New Roman"/>
        </w:rPr>
        <w:t xml:space="preserve">iolence </w:t>
      </w:r>
      <w:r w:rsidR="0062632E" w:rsidRPr="00485DA1">
        <w:rPr>
          <w:rFonts w:ascii="Times New Roman" w:eastAsia="Calibri" w:hAnsi="Times New Roman" w:cs="Times New Roman"/>
        </w:rPr>
        <w:t>and 5,4% of the most serious forms of sexual violence such as rape and attempted rape: 652,000 women have been victims of rape; and 746,000 have been victims of attempted rape. Further</w:t>
      </w:r>
      <w:r w:rsidR="0062632E">
        <w:rPr>
          <w:rFonts w:ascii="Times New Roman" w:eastAsia="Calibri" w:hAnsi="Times New Roman" w:cs="Times New Roman"/>
        </w:rPr>
        <w:t>more</w:t>
      </w:r>
      <w:r w:rsidR="0062632E" w:rsidRPr="00485DA1">
        <w:rPr>
          <w:rFonts w:ascii="Times New Roman" w:eastAsia="Calibri" w:hAnsi="Times New Roman" w:cs="Times New Roman"/>
        </w:rPr>
        <w:t xml:space="preserve">, foreign women are victims of sexual or physical violence on a </w:t>
      </w:r>
      <w:r w:rsidR="0062632E">
        <w:rPr>
          <w:rFonts w:ascii="Times New Roman" w:eastAsia="Calibri" w:hAnsi="Times New Roman" w:cs="Times New Roman"/>
        </w:rPr>
        <w:t>scale similar to Italian women’s</w:t>
      </w:r>
      <w:r w:rsidR="0062632E" w:rsidRPr="00485DA1">
        <w:rPr>
          <w:rFonts w:ascii="Times New Roman" w:eastAsia="Calibri" w:hAnsi="Times New Roman" w:cs="Times New Roman"/>
        </w:rPr>
        <w:t xml:space="preserve">: 31,3% and 31,5%, respectively. However, physical violence is more frequent among the foreigners (25,7% vs. 19,6%), while sexual violence is more common among Italians (21,5% vs. 16,2%). Specifically, foreign women are more exposed to rape and attempted rape (7,7% vs. 5,1%) with Moldavians (37,3%), Romanians (33,9%) and Ukrainians (33,2%) who are the most affected ones. As for the </w:t>
      </w:r>
      <w:r w:rsidR="0062632E">
        <w:rPr>
          <w:rFonts w:ascii="Times New Roman" w:eastAsia="Calibri" w:hAnsi="Times New Roman" w:cs="Times New Roman"/>
        </w:rPr>
        <w:t>perpetrators</w:t>
      </w:r>
      <w:r w:rsidR="0062632E" w:rsidRPr="00485DA1">
        <w:rPr>
          <w:rFonts w:ascii="Times New Roman" w:eastAsia="Calibri" w:hAnsi="Times New Roman" w:cs="Times New Roman"/>
        </w:rPr>
        <w:t>, current and former partners are those who commit the most serious crimes. 62,7% of rapes is committed by the current or the former partner while the authors of sexual assault are in the majority of cases unknown (76,8%). As for the age of the victim, 10,6% of women have been victims of sexual violence prior to the age of 16. Considering VAW-cases against women with children who have been witnessed violence, the rate of children witnessing VAW cases rises to 65,2% compared to the 2006 figure (= 60,3%). As for women’s status, women separated or div</w:t>
      </w:r>
      <w:r w:rsidR="0062632E">
        <w:rPr>
          <w:rFonts w:ascii="Times New Roman" w:eastAsia="Calibri" w:hAnsi="Times New Roman" w:cs="Times New Roman"/>
        </w:rPr>
        <w:t>orced are those far more exposed</w:t>
      </w:r>
      <w:r w:rsidR="0062632E" w:rsidRPr="00485DA1">
        <w:rPr>
          <w:rFonts w:ascii="Times New Roman" w:eastAsia="Calibri" w:hAnsi="Times New Roman" w:cs="Times New Roman"/>
        </w:rPr>
        <w:t xml:space="preserve"> to physical or sexual violence (51,4% vs. 31,5% relating to all other cases). </w:t>
      </w:r>
      <w:r w:rsidR="0062632E">
        <w:rPr>
          <w:rFonts w:ascii="Times New Roman" w:eastAsia="Calibri" w:hAnsi="Times New Roman" w:cs="Times New Roman"/>
        </w:rPr>
        <w:t>O</w:t>
      </w:r>
      <w:r w:rsidR="0062632E" w:rsidRPr="00485DA1">
        <w:rPr>
          <w:rFonts w:ascii="Times New Roman" w:eastAsia="Calibri" w:hAnsi="Times New Roman" w:cs="Times New Roman"/>
        </w:rPr>
        <w:t>f great concern</w:t>
      </w:r>
      <w:r w:rsidR="0062632E">
        <w:rPr>
          <w:rFonts w:ascii="Times New Roman" w:eastAsia="Calibri" w:hAnsi="Times New Roman" w:cs="Times New Roman"/>
        </w:rPr>
        <w:t xml:space="preserve"> remains</w:t>
      </w:r>
      <w:r w:rsidR="0062632E" w:rsidRPr="00485DA1">
        <w:rPr>
          <w:rFonts w:ascii="Times New Roman" w:eastAsia="Calibri" w:hAnsi="Times New Roman" w:cs="Times New Roman"/>
        </w:rPr>
        <w:t xml:space="preserve"> the situation of women with disabilities or diseases. 36% of those women with bad health conditions and 36,6% of those with serious limitations have been victims of physical or sexual violence. The risk to be </w:t>
      </w:r>
      <w:r w:rsidR="0062632E">
        <w:rPr>
          <w:rFonts w:ascii="Times New Roman" w:eastAsia="Calibri" w:hAnsi="Times New Roman" w:cs="Times New Roman"/>
        </w:rPr>
        <w:t>victims of</w:t>
      </w:r>
      <w:r w:rsidR="0062632E" w:rsidRPr="00485DA1">
        <w:rPr>
          <w:rFonts w:ascii="Times New Roman" w:eastAsia="Calibri" w:hAnsi="Times New Roman" w:cs="Times New Roman"/>
        </w:rPr>
        <w:t xml:space="preserve"> rape or attempted rape doubles compared to women without any health problems (10% vs. 4,7%).</w:t>
      </w:r>
      <w:r>
        <w:rPr>
          <w:rFonts w:ascii="Times New Roman" w:eastAsia="Calibri" w:hAnsi="Times New Roman" w:cs="Times New Roman"/>
        </w:rPr>
        <w:t xml:space="preserve"> </w:t>
      </w:r>
      <w:r w:rsidR="0062632E" w:rsidRPr="00485DA1">
        <w:rPr>
          <w:rFonts w:ascii="Times New Roman" w:eastAsia="Calibri" w:hAnsi="Times New Roman" w:cs="Times New Roman"/>
        </w:rPr>
        <w:t>On a positive note, compared to the previous edition-2006, sexual and physical violence cases result to be reduced from 13,3% to 11,3%. This is the result of increased awareness of existing protection tools by women in the first place and the public opinion at large, in addition to an overall social climate of condemnation and no mercy for such crimes. More specifically, physical or sexual violence cases committed by a partner or a former partner is reduced (as for the former, from 5,1% to 4%; as for the latter, from 2,8% to 2%) as well as for cases of VAW perpetrated by non-partners (from 9% to 7,7%). The decline is meaningful when considering cases among female students: reduced from 17,1% to 11,9% in the event of former partners; from 5,3% to 2,4% in the event of current partner; and from 26,5% to 22%, in the event of a non-partner. Significantly reduced are those cases of psychological violence committed by the current partner (from 42,3% to 26,4%), especially when they are not coupled with physical and sexual violence.</w:t>
      </w:r>
      <w:r>
        <w:rPr>
          <w:rFonts w:ascii="Times New Roman" w:eastAsia="Calibri" w:hAnsi="Times New Roman" w:cs="Times New Roman"/>
        </w:rPr>
        <w:t xml:space="preserve"> </w:t>
      </w:r>
      <w:r w:rsidR="0062632E" w:rsidRPr="00485DA1">
        <w:rPr>
          <w:rFonts w:ascii="Times New Roman" w:eastAsia="Calibri" w:hAnsi="Times New Roman" w:cs="Times New Roman"/>
        </w:rPr>
        <w:t>Women are far more aware that they have survived a crime (from 14,3% to 29,6% in case of violence by the partner) and it is reported far more often to the police (from 6,7% to 11,8%). More often, they talk about that with someone (from 67,8% to 75,9%) and look for professional help (from 2,4% to 4,9%). The same applies in the event of violence by a non-partner. Compared to the 2006</w:t>
      </w:r>
      <w:r w:rsidR="0062632E">
        <w:rPr>
          <w:rFonts w:ascii="Times New Roman" w:eastAsia="Calibri" w:hAnsi="Times New Roman" w:cs="Times New Roman"/>
        </w:rPr>
        <w:t xml:space="preserve"> edition</w:t>
      </w:r>
      <w:r w:rsidR="0062632E" w:rsidRPr="00485DA1">
        <w:rPr>
          <w:rFonts w:ascii="Times New Roman" w:eastAsia="Calibri" w:hAnsi="Times New Roman" w:cs="Times New Roman"/>
        </w:rPr>
        <w:t xml:space="preserve">, survivors are far more satisfied with the relevant work carried out by the police. In the event of violence from the current or the former partner, data shows an increase from 9,9% to 28,5%. </w:t>
      </w:r>
      <w:r>
        <w:rPr>
          <w:rFonts w:ascii="Times New Roman" w:eastAsia="Calibri" w:hAnsi="Times New Roman" w:cs="Times New Roman"/>
        </w:rPr>
        <w:t xml:space="preserve">   </w:t>
      </w:r>
      <w:r w:rsidR="0062632E" w:rsidRPr="00485DA1">
        <w:rPr>
          <w:rFonts w:ascii="Times New Roman" w:eastAsia="Calibri" w:hAnsi="Times New Roman" w:cs="Times New Roman"/>
        </w:rPr>
        <w:t xml:space="preserve">Conversely, negative results emerge when considering cases of rape or attempted rape (1,2% in both editions).The forms of violence are far more serious with an increase of those also victims of injuries (from 26,3% to 40,2% when the partner is the </w:t>
      </w:r>
      <w:r w:rsidR="0062632E">
        <w:rPr>
          <w:rFonts w:ascii="Times New Roman" w:eastAsia="Calibri" w:hAnsi="Times New Roman" w:cs="Times New Roman"/>
        </w:rPr>
        <w:t>perpetrator</w:t>
      </w:r>
      <w:r w:rsidR="0062632E" w:rsidRPr="00485DA1">
        <w:rPr>
          <w:rFonts w:ascii="Times New Roman" w:eastAsia="Calibri" w:hAnsi="Times New Roman" w:cs="Times New Roman"/>
        </w:rPr>
        <w:t xml:space="preserve">); and an increasing number of women fearing that their life was in danger (from 18,8% in 2006 to 34,5% in 2014).  Also the forms of violence by a non-partner are more serious. </w:t>
      </w:r>
      <w:r w:rsidR="0062632E">
        <w:rPr>
          <w:rFonts w:ascii="Times New Roman" w:eastAsia="Calibri" w:hAnsi="Times New Roman" w:cs="Times New Roman"/>
        </w:rPr>
        <w:t>3,</w:t>
      </w:r>
      <w:r w:rsidR="0062632E" w:rsidRPr="00485DA1">
        <w:rPr>
          <w:rFonts w:ascii="Times New Roman" w:eastAsia="Calibri" w:hAnsi="Times New Roman" w:cs="Times New Roman"/>
        </w:rPr>
        <w:t xml:space="preserve">466.000 women (=16,1%) have been victims of stalking during lifetime, </w:t>
      </w:r>
      <w:r w:rsidR="0062632E">
        <w:rPr>
          <w:rFonts w:ascii="Times New Roman" w:eastAsia="Calibri" w:hAnsi="Times New Roman" w:cs="Times New Roman"/>
        </w:rPr>
        <w:t>1,</w:t>
      </w:r>
      <w:r w:rsidR="0062632E" w:rsidRPr="00485DA1">
        <w:rPr>
          <w:rFonts w:ascii="Times New Roman" w:eastAsia="Calibri" w:hAnsi="Times New Roman" w:cs="Times New Roman"/>
        </w:rPr>
        <w:t xml:space="preserve">524.000 of whom have been </w:t>
      </w:r>
      <w:r w:rsidR="0062632E">
        <w:rPr>
          <w:rFonts w:ascii="Times New Roman" w:eastAsia="Calibri" w:hAnsi="Times New Roman" w:cs="Times New Roman"/>
        </w:rPr>
        <w:t>victims of their former partner</w:t>
      </w:r>
      <w:r w:rsidR="0062632E" w:rsidRPr="00485DA1">
        <w:rPr>
          <w:rFonts w:ascii="Times New Roman" w:eastAsia="Calibri" w:hAnsi="Times New Roman" w:cs="Times New Roman"/>
        </w:rPr>
        <w:t xml:space="preserve"> and 2,229.000 from person</w:t>
      </w:r>
      <w:r w:rsidR="0062632E">
        <w:rPr>
          <w:rFonts w:ascii="Times New Roman" w:eastAsia="Calibri" w:hAnsi="Times New Roman" w:cs="Times New Roman"/>
        </w:rPr>
        <w:t>s</w:t>
      </w:r>
      <w:r w:rsidR="0062632E" w:rsidRPr="00485DA1">
        <w:rPr>
          <w:rFonts w:ascii="Times New Roman" w:eastAsia="Calibri" w:hAnsi="Times New Roman" w:cs="Times New Roman"/>
        </w:rPr>
        <w:t xml:space="preserve"> </w:t>
      </w:r>
      <w:r w:rsidR="0062632E">
        <w:rPr>
          <w:rFonts w:ascii="Times New Roman" w:eastAsia="Calibri" w:hAnsi="Times New Roman" w:cs="Times New Roman"/>
        </w:rPr>
        <w:t>other than</w:t>
      </w:r>
      <w:r w:rsidR="0062632E" w:rsidRPr="00485DA1">
        <w:rPr>
          <w:rFonts w:ascii="Times New Roman" w:eastAsia="Calibri" w:hAnsi="Times New Roman" w:cs="Times New Roman"/>
        </w:rPr>
        <w:t xml:space="preserve"> the former partner. </w:t>
      </w:r>
    </w:p>
    <w:p w14:paraId="61B8E752" w14:textId="77777777" w:rsidR="0062632E" w:rsidRPr="00485DA1" w:rsidRDefault="0062632E" w:rsidP="0062632E">
      <w:pPr>
        <w:rPr>
          <w:rFonts w:ascii="Times New Roman" w:hAnsi="Times New Roman" w:cs="Times New Roman"/>
        </w:rPr>
      </w:pPr>
    </w:p>
    <w:p w14:paraId="0D8F1214" w14:textId="77777777" w:rsidR="0062632E" w:rsidRDefault="0062632E" w:rsidP="0062632E">
      <w:pPr>
        <w:pStyle w:val="ListParagraph"/>
        <w:jc w:val="both"/>
        <w:rPr>
          <w:rFonts w:ascii="Times New Roman" w:hAnsi="Times New Roman" w:cs="Times New Roman"/>
        </w:rPr>
      </w:pPr>
    </w:p>
    <w:p w14:paraId="15A02E9B" w14:textId="77777777" w:rsidR="0062632E" w:rsidRPr="00EE615B" w:rsidRDefault="0062632E" w:rsidP="00EE615B">
      <w:pPr>
        <w:jc w:val="both"/>
        <w:rPr>
          <w:rFonts w:ascii="Times New Roman" w:eastAsia="Times New Roman" w:hAnsi="Times New Roman" w:cs="Times New Roman"/>
          <w:color w:val="0070C0"/>
          <w:lang w:val="en-GB" w:eastAsia="it-IT"/>
        </w:rPr>
      </w:pPr>
    </w:p>
    <w:p w14:paraId="688DE268" w14:textId="77777777" w:rsidR="007F6D11" w:rsidRPr="00EE615B" w:rsidRDefault="007F6D11" w:rsidP="00EE615B">
      <w:pPr>
        <w:jc w:val="both"/>
        <w:rPr>
          <w:rFonts w:ascii="Times New Roman" w:eastAsia="Times New Roman" w:hAnsi="Times New Roman" w:cs="Times New Roman"/>
          <w:lang w:val="en-GB" w:eastAsia="it-IT"/>
        </w:rPr>
      </w:pPr>
    </w:p>
    <w:p w14:paraId="2633B096" w14:textId="77777777" w:rsidR="007F6D11" w:rsidRPr="00EE615B" w:rsidRDefault="007F6D11" w:rsidP="00EE615B">
      <w:pPr>
        <w:jc w:val="both"/>
        <w:rPr>
          <w:rFonts w:ascii="Times New Roman" w:eastAsia="Times New Roman" w:hAnsi="Times New Roman" w:cs="Times New Roman"/>
          <w:lang w:val="en-GB" w:eastAsia="it-IT"/>
        </w:rPr>
      </w:pPr>
      <w:r w:rsidRPr="00EE615B">
        <w:rPr>
          <w:rFonts w:ascii="Times New Roman" w:hAnsi="Times New Roman" w:cs="Times New Roman"/>
          <w:color w:val="222222"/>
          <w:lang w:val="en"/>
        </w:rPr>
        <w:br/>
      </w:r>
    </w:p>
    <w:p w14:paraId="784730B8" w14:textId="2B98E697" w:rsidR="009A40F7" w:rsidRPr="00EE615B" w:rsidRDefault="00702BFD" w:rsidP="00EE615B">
      <w:pPr>
        <w:ind w:left="360"/>
        <w:jc w:val="both"/>
        <w:rPr>
          <w:rFonts w:ascii="Times New Roman" w:hAnsi="Times New Roman" w:cs="Times New Roman"/>
        </w:rPr>
      </w:pPr>
      <w:r w:rsidRPr="00EE615B">
        <w:rPr>
          <w:rFonts w:ascii="Times New Roman" w:hAnsi="Times New Roman" w:cs="Times New Roman"/>
        </w:rPr>
        <w:t xml:space="preserve"> </w:t>
      </w:r>
    </w:p>
    <w:sectPr w:rsidR="009A40F7" w:rsidRPr="00EE615B" w:rsidSect="0015267D">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698D0A" w14:textId="77777777" w:rsidR="006C130D" w:rsidRDefault="006C130D" w:rsidP="0053726F">
      <w:r>
        <w:separator/>
      </w:r>
    </w:p>
  </w:endnote>
  <w:endnote w:type="continuationSeparator" w:id="0">
    <w:p w14:paraId="6B8BEF56" w14:textId="77777777" w:rsidR="006C130D" w:rsidRDefault="006C130D" w:rsidP="0053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Gothic">
    <w:altName w:val="ＭＳ ゴシック"/>
    <w:charset w:val="80"/>
    <w:family w:val="modern"/>
    <w:pitch w:val="fixed"/>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Consolas">
    <w:panose1 w:val="020B0609020204030204"/>
    <w:charset w:val="00"/>
    <w:family w:val="auto"/>
    <w:pitch w:val="variable"/>
    <w:sig w:usb0="E10002FF" w:usb1="4000FCFF" w:usb2="00000009" w:usb3="00000000" w:csb0="0000019F" w:csb1="00000000"/>
  </w:font>
  <w:font w:name="Titillium-Light">
    <w:altName w:val="Cambria"/>
    <w:panose1 w:val="00000000000000000000"/>
    <w:charset w:val="4D"/>
    <w:family w:val="auto"/>
    <w:notTrueType/>
    <w:pitch w:val="default"/>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38189" w14:textId="77777777" w:rsidR="006C130D" w:rsidRDefault="006C130D" w:rsidP="004025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7A19FA" w14:textId="77777777" w:rsidR="006C130D" w:rsidRDefault="006C130D" w:rsidP="004025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2F149B" w14:textId="77777777" w:rsidR="006C130D" w:rsidRDefault="006C130D" w:rsidP="004025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51C7">
      <w:rPr>
        <w:rStyle w:val="PageNumber"/>
        <w:noProof/>
      </w:rPr>
      <w:t>1</w:t>
    </w:r>
    <w:r>
      <w:rPr>
        <w:rStyle w:val="PageNumber"/>
      </w:rPr>
      <w:fldChar w:fldCharType="end"/>
    </w:r>
  </w:p>
  <w:p w14:paraId="76EDCF1A" w14:textId="77777777" w:rsidR="006C130D" w:rsidRDefault="006C130D" w:rsidP="0040259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5FEB6" w14:textId="77777777" w:rsidR="006C130D" w:rsidRDefault="006C130D" w:rsidP="0053726F">
      <w:r>
        <w:separator/>
      </w:r>
    </w:p>
  </w:footnote>
  <w:footnote w:type="continuationSeparator" w:id="0">
    <w:p w14:paraId="2483A07D" w14:textId="77777777" w:rsidR="006C130D" w:rsidRDefault="006C130D" w:rsidP="0053726F">
      <w:r>
        <w:continuationSeparator/>
      </w:r>
    </w:p>
  </w:footnote>
  <w:footnote w:id="1">
    <w:p w14:paraId="2A24AE38" w14:textId="77777777" w:rsidR="006C130D" w:rsidRPr="00EF7236" w:rsidRDefault="006C130D" w:rsidP="00EF7236">
      <w:pPr>
        <w:rPr>
          <w:rFonts w:ascii="Times New Roman" w:eastAsia="Times New Roman" w:hAnsi="Times New Roman" w:cs="Times New Roman"/>
          <w:sz w:val="16"/>
          <w:szCs w:val="16"/>
          <w:lang w:eastAsia="it-IT"/>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w:t>
      </w:r>
      <w:r w:rsidRPr="00EF7236">
        <w:rPr>
          <w:rFonts w:ascii="Times New Roman" w:eastAsia="Times New Roman" w:hAnsi="Times New Roman" w:cs="Times New Roman"/>
          <w:sz w:val="16"/>
          <w:szCs w:val="16"/>
          <w:lang w:eastAsia="it-IT"/>
        </w:rPr>
        <w:t xml:space="preserve">Corte europea dei diritti dell’uomo, sez. II, </w:t>
      </w:r>
      <w:r w:rsidRPr="00EF7236">
        <w:rPr>
          <w:rFonts w:ascii="Times New Roman" w:eastAsia="Times New Roman" w:hAnsi="Times New Roman" w:cs="Times New Roman"/>
          <w:i/>
          <w:sz w:val="16"/>
          <w:szCs w:val="16"/>
          <w:lang w:eastAsia="it-IT"/>
        </w:rPr>
        <w:t>causa Sharifi ed altri c. Italia e Grecia</w:t>
      </w:r>
      <w:r w:rsidRPr="00EF7236">
        <w:rPr>
          <w:rFonts w:ascii="Times New Roman" w:eastAsia="Times New Roman" w:hAnsi="Times New Roman" w:cs="Times New Roman"/>
          <w:sz w:val="16"/>
          <w:szCs w:val="16"/>
          <w:lang w:eastAsia="it-IT"/>
        </w:rPr>
        <w:t xml:space="preserve">, del 21 ottobre 2014 </w:t>
      </w:r>
      <w:r w:rsidRPr="00EF7236">
        <w:rPr>
          <w:rFonts w:ascii="Times New Roman" w:eastAsia="Times New Roman" w:hAnsi="Times New Roman" w:cs="Times New Roman"/>
          <w:iCs/>
          <w:sz w:val="16"/>
          <w:szCs w:val="16"/>
          <w:lang w:eastAsia="it-IT"/>
        </w:rPr>
        <w:t>(ricorso n. 16643/09)</w:t>
      </w:r>
      <w:r w:rsidRPr="00EF7236">
        <w:rPr>
          <w:rFonts w:ascii="Times New Roman" w:eastAsia="Times New Roman" w:hAnsi="Times New Roman" w:cs="Times New Roman"/>
          <w:sz w:val="16"/>
          <w:szCs w:val="16"/>
          <w:lang w:eastAsia="it-IT"/>
        </w:rPr>
        <w:t>.</w:t>
      </w:r>
    </w:p>
  </w:footnote>
  <w:footnote w:id="2">
    <w:p w14:paraId="2D40B9A5" w14:textId="48728507" w:rsidR="006C130D" w:rsidRPr="00EF7236" w:rsidRDefault="006C130D" w:rsidP="00EF7236">
      <w:pPr>
        <w:pStyle w:val="FootnoteText"/>
        <w:rPr>
          <w:sz w:val="16"/>
          <w:szCs w:val="16"/>
        </w:rPr>
      </w:pPr>
      <w:r w:rsidRPr="00EF7236">
        <w:rPr>
          <w:rStyle w:val="FootnoteReference"/>
          <w:sz w:val="16"/>
          <w:szCs w:val="16"/>
        </w:rPr>
        <w:footnoteRef/>
      </w:r>
      <w:r w:rsidRPr="00EF7236">
        <w:rPr>
          <w:sz w:val="16"/>
          <w:szCs w:val="16"/>
        </w:rPr>
        <w:t xml:space="preserve"> Cfr. con articolo 13, comma 14-ter, del decreto legislativo 286/98 e successive modificazioni. E’ una procedura che può essere adottata dall’autorità di frontiera o dal Questore solo in presenza di accordi o intese bilaterali con altri Stati membri dell’Unione europea entrati in vigore in data anteriore al 13 gennaio 2009.</w:t>
      </w:r>
    </w:p>
  </w:footnote>
  <w:footnote w:id="3">
    <w:p w14:paraId="114CE03B" w14:textId="77777777" w:rsidR="006C130D" w:rsidRPr="00EF7236" w:rsidRDefault="006C130D" w:rsidP="00EF7236">
      <w:pPr>
        <w:pStyle w:val="FootnoteText"/>
        <w:rPr>
          <w:sz w:val="16"/>
          <w:szCs w:val="16"/>
        </w:rPr>
      </w:pPr>
      <w:r w:rsidRPr="00EF7236">
        <w:rPr>
          <w:rStyle w:val="FootnoteReference"/>
          <w:sz w:val="16"/>
          <w:szCs w:val="16"/>
        </w:rPr>
        <w:footnoteRef/>
      </w:r>
      <w:r w:rsidRPr="00EF7236">
        <w:rPr>
          <w:sz w:val="16"/>
          <w:szCs w:val="16"/>
        </w:rPr>
        <w:t xml:space="preserve"> Cfr. con paragrafi 195 e 218 della Sentenza.</w:t>
      </w:r>
    </w:p>
  </w:footnote>
  <w:footnote w:id="4">
    <w:p w14:paraId="66F60842" w14:textId="77777777" w:rsidR="006C130D" w:rsidRPr="00EF7236" w:rsidRDefault="006C130D" w:rsidP="00EF7236">
      <w:pPr>
        <w:pStyle w:val="FootnoteText"/>
        <w:rPr>
          <w:sz w:val="16"/>
          <w:szCs w:val="16"/>
          <w:lang w:val="en-US"/>
        </w:rPr>
      </w:pPr>
      <w:r w:rsidRPr="00EF7236">
        <w:rPr>
          <w:rStyle w:val="FootnoteReference"/>
          <w:sz w:val="16"/>
          <w:szCs w:val="16"/>
        </w:rPr>
        <w:footnoteRef/>
      </w:r>
      <w:r w:rsidRPr="00EF7236">
        <w:rPr>
          <w:sz w:val="16"/>
          <w:szCs w:val="16"/>
          <w:lang w:val="en-US" w:eastAsia="en-US"/>
        </w:rPr>
        <w:t>This innovation is linked to domestic violence since, in most cases, child sexual abuse is perpetrated within the family.</w:t>
      </w:r>
    </w:p>
  </w:footnote>
  <w:footnote w:id="5">
    <w:p w14:paraId="07A7B987" w14:textId="77777777" w:rsidR="006C130D" w:rsidRPr="00EF7236" w:rsidRDefault="006C130D" w:rsidP="00EF7236">
      <w:pPr>
        <w:pStyle w:val="FootnoteText"/>
        <w:rPr>
          <w:sz w:val="16"/>
          <w:szCs w:val="16"/>
        </w:rPr>
      </w:pPr>
      <w:r w:rsidRPr="00EF7236">
        <w:rPr>
          <w:rStyle w:val="FootnoteReference"/>
          <w:sz w:val="16"/>
          <w:szCs w:val="16"/>
        </w:rPr>
        <w:footnoteRef/>
      </w:r>
      <w:r w:rsidRPr="00EF7236">
        <w:rPr>
          <w:sz w:val="16"/>
          <w:szCs w:val="16"/>
        </w:rPr>
        <w:t xml:space="preserve"> CEDAW/C/ITA/CO/6, para.27, b. </w:t>
      </w:r>
    </w:p>
  </w:footnote>
  <w:footnote w:id="6">
    <w:p w14:paraId="48851296" w14:textId="77777777" w:rsidR="006C130D" w:rsidRPr="00EF7236" w:rsidRDefault="006C130D" w:rsidP="00EF7236">
      <w:pPr>
        <w:pStyle w:val="FootnoteText"/>
        <w:rPr>
          <w:sz w:val="16"/>
          <w:szCs w:val="16"/>
        </w:rPr>
      </w:pPr>
      <w:r w:rsidRPr="00EF7236">
        <w:rPr>
          <w:rStyle w:val="FootnoteReference"/>
          <w:sz w:val="16"/>
          <w:szCs w:val="16"/>
        </w:rPr>
        <w:footnoteRef/>
      </w:r>
      <w:r w:rsidRPr="00EF7236">
        <w:rPr>
          <w:sz w:val="16"/>
          <w:szCs w:val="16"/>
        </w:rPr>
        <w:t xml:space="preserve"> CEDAW/C/ITA/CO/6, para.26. </w:t>
      </w:r>
    </w:p>
  </w:footnote>
  <w:footnote w:id="7">
    <w:p w14:paraId="3426D438" w14:textId="77777777" w:rsidR="006C130D" w:rsidRPr="00EF7236" w:rsidRDefault="006C130D" w:rsidP="00EF7236">
      <w:pPr>
        <w:pStyle w:val="FootnoteText"/>
        <w:rPr>
          <w:sz w:val="16"/>
          <w:szCs w:val="16"/>
          <w:lang w:val="en-US"/>
        </w:rPr>
      </w:pPr>
      <w:r w:rsidRPr="00EF7236">
        <w:rPr>
          <w:rStyle w:val="FootnoteReference"/>
          <w:sz w:val="16"/>
          <w:szCs w:val="16"/>
        </w:rPr>
        <w:footnoteRef/>
      </w:r>
      <w:r w:rsidRPr="00EF7236">
        <w:rPr>
          <w:sz w:val="16"/>
          <w:szCs w:val="16"/>
          <w:lang w:val="en-US"/>
        </w:rPr>
        <w:t xml:space="preserve"> </w:t>
      </w:r>
      <w:r w:rsidRPr="00EF7236">
        <w:rPr>
          <w:b/>
          <w:sz w:val="16"/>
          <w:szCs w:val="16"/>
          <w:lang w:val="en-US"/>
        </w:rPr>
        <w:t xml:space="preserve">Significant increase in arrests </w:t>
      </w:r>
      <w:r w:rsidRPr="00EF7236">
        <w:rPr>
          <w:b/>
          <w:i/>
          <w:iCs/>
          <w:sz w:val="16"/>
          <w:szCs w:val="16"/>
          <w:lang w:val="en-US"/>
        </w:rPr>
        <w:t>in flagrante delicto</w:t>
      </w:r>
      <w:r w:rsidRPr="00EF7236">
        <w:rPr>
          <w:b/>
          <w:sz w:val="16"/>
          <w:szCs w:val="16"/>
          <w:lang w:val="en-US"/>
        </w:rPr>
        <w:t xml:space="preserve"> is to be noted with an increase, between 2011-2012, in certain areas, of about 40%</w:t>
      </w:r>
      <w:r w:rsidRPr="00EF7236">
        <w:rPr>
          <w:sz w:val="16"/>
          <w:szCs w:val="16"/>
          <w:lang w:val="en-US"/>
        </w:rPr>
        <w:t xml:space="preserve">. </w:t>
      </w:r>
    </w:p>
  </w:footnote>
  <w:footnote w:id="8">
    <w:p w14:paraId="71780AC2" w14:textId="6C18651F" w:rsidR="006C130D" w:rsidRPr="003A0CAD" w:rsidRDefault="006C130D" w:rsidP="003A0CAD">
      <w:pPr>
        <w:pStyle w:val="ListParagraph"/>
        <w:tabs>
          <w:tab w:val="left" w:pos="0"/>
        </w:tabs>
        <w:ind w:left="0"/>
        <w:jc w:val="both"/>
        <w:rPr>
          <w:rFonts w:ascii="Times New Roman" w:eastAsia="Calibri" w:hAnsi="Times New Roman" w:cs="Times New Roman"/>
          <w:sz w:val="16"/>
          <w:szCs w:val="16"/>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More specifically, </w:t>
      </w:r>
      <w:r w:rsidRPr="00EF7236">
        <w:rPr>
          <w:rFonts w:ascii="Times New Roman" w:eastAsia="Calibri" w:hAnsi="Times New Roman" w:cs="Times New Roman"/>
          <w:sz w:val="16"/>
          <w:szCs w:val="16"/>
        </w:rPr>
        <w:t>Act 119/2013 converting Law-Decree 93/2013 establishing “Urgent provisions on safety and for the fight against gender-based violence, as well as on civil protection and compulsory administration of provinces” addresses both stalking and gender-based violence, which had been already regulated, through three conceptual pillars based on prevention, punishment and protection and by taking into consideration the references to the Istanbul Convention ratified by Italy by Law No 77 of 19 June 2013. As for prevention, the law strengthened the so-called “warning” (</w:t>
      </w:r>
      <w:r w:rsidRPr="00EF7236">
        <w:rPr>
          <w:rFonts w:ascii="Times New Roman" w:eastAsia="Calibri" w:hAnsi="Times New Roman" w:cs="Times New Roman"/>
          <w:i/>
          <w:sz w:val="16"/>
          <w:szCs w:val="16"/>
        </w:rPr>
        <w:t>ammonimento</w:t>
      </w:r>
      <w:r w:rsidRPr="00EF7236">
        <w:rPr>
          <w:rFonts w:ascii="Times New Roman" w:eastAsia="Calibri" w:hAnsi="Times New Roman" w:cs="Times New Roman"/>
          <w:sz w:val="16"/>
          <w:szCs w:val="16"/>
        </w:rPr>
        <w:t xml:space="preserve">), namely the already in force administrative measure which can be requested by the victim to the </w:t>
      </w:r>
      <w:r w:rsidRPr="00EF7236">
        <w:rPr>
          <w:rFonts w:ascii="Times New Roman" w:eastAsia="Calibri" w:hAnsi="Times New Roman" w:cs="Times New Roman"/>
          <w:i/>
          <w:sz w:val="16"/>
          <w:szCs w:val="16"/>
        </w:rPr>
        <w:t>Questore</w:t>
      </w:r>
      <w:r w:rsidRPr="00EF7236">
        <w:rPr>
          <w:rFonts w:ascii="Times New Roman" w:eastAsia="Calibri" w:hAnsi="Times New Roman" w:cs="Times New Roman"/>
          <w:sz w:val="16"/>
          <w:szCs w:val="16"/>
          <w:vertAlign w:val="superscript"/>
        </w:rPr>
        <w:footnoteRef/>
      </w:r>
      <w:r w:rsidRPr="00EF7236">
        <w:rPr>
          <w:rFonts w:ascii="Times New Roman" w:eastAsia="Calibri" w:hAnsi="Times New Roman" w:cs="Times New Roman"/>
          <w:sz w:val="16"/>
          <w:szCs w:val="16"/>
        </w:rPr>
        <w:t>, by providing for the mandatory removal of the violent man from the family house, as well as the gun ban and driving disqualification and the possibility to use electronic tools for the surveillance of perpetrators (electronic tagging). Concerning the punishment of perpetrators, the law introduced new aggravating circumstances. In particular, penalty is increased if children under 18 years of age witness violence as well as if the victim is in a particularly vulnerable situation (if pregnant). Moreover, the idea of femicide is further strengthened by the introduction of the particularly close relationship between the victim and the perpetrator as an aggravating circumstance (e.g. if the perpetrator is the victim’s spouse or partner, also non-cohabiting partner).  In line with the guiding principles established by the Istanbul Convention, the Italian law is aimed at ensuring greater protection for victims both in relation to hearings, which will be protected for vulnerable people, and through a system guaranteeing transparency during ongoing investigations and legal proceedings and envisaging the obligation to inform victims about support services existing at the local level.</w:t>
      </w:r>
      <w:r>
        <w:rPr>
          <w:rFonts w:ascii="Times New Roman" w:eastAsia="Calibri" w:hAnsi="Times New Roman" w:cs="Times New Roman"/>
          <w:sz w:val="16"/>
          <w:szCs w:val="16"/>
        </w:rPr>
        <w:t xml:space="preserve"> </w:t>
      </w:r>
      <w:r w:rsidRPr="00EF7236">
        <w:rPr>
          <w:rFonts w:ascii="Times New Roman" w:eastAsia="Calibri" w:hAnsi="Times New Roman" w:cs="Times New Roman"/>
          <w:sz w:val="16"/>
          <w:szCs w:val="16"/>
        </w:rPr>
        <w:t xml:space="preserve">Furthermore, in compliance with the Istanbul Convention, the law provided for the granting of legal aid also for women victims of domestic violence whose income exceeds the income limits fixed by the national legislation. Protection is also extended to foreign victims, for whom the law introduced the possibility to obtain a humanitarian residence permit, established by Legislative Decree No 286/1998 consolidating the provisions regulating immigration and the rules relating to the status of foreign national. </w:t>
      </w:r>
    </w:p>
  </w:footnote>
  <w:footnote w:id="9">
    <w:p w14:paraId="6611EECE" w14:textId="1A438193" w:rsidR="006C130D" w:rsidRPr="00EF7236" w:rsidRDefault="006C130D" w:rsidP="00EF7236">
      <w:pPr>
        <w:tabs>
          <w:tab w:val="left" w:pos="3410"/>
        </w:tabs>
        <w:jc w:val="both"/>
        <w:rPr>
          <w:rFonts w:ascii="Times New Roman" w:eastAsia="Calibri" w:hAnsi="Times New Roman" w:cs="Times New Roman"/>
          <w:b/>
          <w:sz w:val="16"/>
          <w:szCs w:val="16"/>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w:t>
      </w:r>
      <w:r w:rsidRPr="00EF7236">
        <w:rPr>
          <w:rFonts w:ascii="Times New Roman" w:eastAsia="Calibri" w:hAnsi="Times New Roman" w:cs="Times New Roman"/>
          <w:sz w:val="16"/>
          <w:szCs w:val="16"/>
        </w:rPr>
        <w:t xml:space="preserve">Fighting all forms of discrimination and promoting a culture of respect and inclusion are the main goals of  the </w:t>
      </w:r>
      <w:r w:rsidRPr="00EF7236">
        <w:rPr>
          <w:rFonts w:ascii="Times New Roman" w:eastAsia="Calibri" w:hAnsi="Times New Roman" w:cs="Times New Roman"/>
          <w:b/>
          <w:sz w:val="16"/>
          <w:szCs w:val="16"/>
        </w:rPr>
        <w:t>"National Week against violence and discrimination"</w:t>
      </w:r>
      <w:r w:rsidRPr="00EF7236">
        <w:rPr>
          <w:rFonts w:ascii="Times New Roman" w:eastAsia="Calibri" w:hAnsi="Times New Roman" w:cs="Times New Roman"/>
          <w:sz w:val="16"/>
          <w:szCs w:val="16"/>
        </w:rPr>
        <w:t xml:space="preserve">, which takes place in Italy in October every year. The initiative comes from the implementation of the </w:t>
      </w:r>
      <w:r w:rsidRPr="00EF7236">
        <w:rPr>
          <w:rFonts w:ascii="Times New Roman" w:eastAsia="Calibri" w:hAnsi="Times New Roman" w:cs="Times New Roman"/>
          <w:b/>
          <w:sz w:val="16"/>
          <w:szCs w:val="16"/>
        </w:rPr>
        <w:t>MoU undersigned by the Ministry of Education, University and Research and by the Department for Equal Opportunities of the Presidency of the Council of Ministers.</w:t>
      </w:r>
      <w:r w:rsidRPr="00EF7236">
        <w:rPr>
          <w:rFonts w:ascii="Times New Roman" w:eastAsia="Calibri" w:hAnsi="Times New Roman" w:cs="Times New Roman"/>
          <w:sz w:val="16"/>
          <w:szCs w:val="16"/>
        </w:rPr>
        <w:t xml:space="preserve"> Schools of all levels are asked to undertake courses, awareness-raising, information and training initiatives on the prevention and fight against violence and racism involving teachers, students and parents.  Finally, with a view to increasing awareness on the phenomenon and creating an effective network for the exchange of good practices on the topic at the international level, on 19 November 2013, Italy was the first non-American country to sign </w:t>
      </w:r>
      <w:r w:rsidRPr="00EF7236">
        <w:rPr>
          <w:rFonts w:ascii="Times New Roman" w:eastAsia="Calibri" w:hAnsi="Times New Roman" w:cs="Times New Roman"/>
          <w:b/>
          <w:sz w:val="16"/>
          <w:szCs w:val="16"/>
        </w:rPr>
        <w:t>the Belém do Pará Convention</w:t>
      </w:r>
      <w:r w:rsidRPr="00EF7236">
        <w:rPr>
          <w:rFonts w:ascii="Times New Roman" w:eastAsia="Calibri" w:hAnsi="Times New Roman" w:cs="Times New Roman"/>
          <w:sz w:val="16"/>
          <w:szCs w:val="16"/>
        </w:rPr>
        <w:t xml:space="preserve"> on the prevention, punishment and eradication of violence against women.</w:t>
      </w:r>
    </w:p>
  </w:footnote>
  <w:footnote w:id="10">
    <w:p w14:paraId="50261AEF" w14:textId="029E4D6F" w:rsidR="006C130D" w:rsidRPr="00EF7236" w:rsidRDefault="006C130D" w:rsidP="00EF7236">
      <w:pPr>
        <w:autoSpaceDE w:val="0"/>
        <w:autoSpaceDN w:val="0"/>
        <w:adjustRightInd w:val="0"/>
        <w:jc w:val="both"/>
        <w:rPr>
          <w:rFonts w:ascii="Times New Roman" w:hAnsi="Times New Roman" w:cs="Times New Roman"/>
          <w:sz w:val="16"/>
          <w:szCs w:val="16"/>
          <w:lang w:val="it-IT"/>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w:t>
      </w:r>
      <w:r w:rsidRPr="00EF7236">
        <w:rPr>
          <w:rFonts w:ascii="Times New Roman" w:hAnsi="Times New Roman" w:cs="Times New Roman"/>
          <w:i/>
          <w:sz w:val="16"/>
          <w:szCs w:val="16"/>
          <w:lang w:val="it-IT"/>
        </w:rPr>
        <w:t>Non sempre è agevole la dimostrazione dell'esistenza di irregolarità o addirittura di reati nel lavoro agricolo, ambito economico-produttivo in cui i rapporti di lavoro risentono ancora, in generale, di scarsa tracciabilità e garanzie. In questo quadro generale un cenno merita lo sfruttamento lavorativo dei migranti irregolari cinesi, la cui caratteristica principale è che l’attività criminale è nella quasi totalità compiuta da  soggetti della stessa nazionalità.Alcune specifiche si rinvengono anche nelle regioni meridionali, per lo più coordinate in sede prefettizia ed in collaborazione con gli Ispettorati del Lavoro. In questo ambito si inquadra, ad esempio, il piano di contrasto al fenomeno del “caporalato” nella Piana di Gioia Tauro (RC), che prevede anche mirati controlli presso alcune aziende agricole preventivamente individuate. In Puglia vi è un’azione “sostenuta” di contrasto al fenomeno del caporalato, nell’ambito del “Tavolo interistituzionale per il contrasto al caporalato” presso la Prefettura di Bari. All’esito di un incontro, il 14 marzo 2016, tra i Prefetti della regione, l’ Assessore Regionale al Lavoro ed alla Formazione, il Questore di Bari, i Comandanti Regionali dei Carabinieri, della Guardia di Finanza e del Corpo Forestale dello Stato, il Direttore Territoriale del Lavoro ed  i Direttori regionali dell'INPS e dell'INAIL, è stato proposto, al fine di una più efficace strategia di lotta al “caporalato”, una migliore condivisione dei dati in possesso dei diversi Enti che presiedono ai controlli alle imprese e l’utilizzo del presidio tecnologico del territorio sui percorsi interessati dal trasporto dei lavoratori nelle aree strategiche per lo sviluppo del settore agricolo. Questa iniziativa si inquadra nell’ambito del “Protocollo d'intesa triennale” sottoscritto tra le Prefetture di Bari, Barletta-Andria- Trani, Brindisi, Foggia, Lecce e Taranto e la Regione Puglia il 5 agosto 2013, per una collaborazione interistituzionale contro l'illegalità ed il lavoro sommerso, e della successiva "Convenzione per il coordinamento delle azioni di contrasto all'economia ed al lavoro non regolare in Puglia", firmata tra le medesime parti interessate.</w:t>
      </w:r>
      <w:r w:rsidRPr="00EF7236">
        <w:rPr>
          <w:rFonts w:ascii="Times New Roman" w:hAnsi="Times New Roman" w:cs="Times New Roman"/>
          <w:sz w:val="16"/>
          <w:szCs w:val="16"/>
          <w:lang w:val="it-IT"/>
        </w:rPr>
        <w:t xml:space="preserve"> </w:t>
      </w:r>
    </w:p>
  </w:footnote>
  <w:footnote w:id="11">
    <w:p w14:paraId="63F40BCE" w14:textId="068FDA72" w:rsidR="006C130D" w:rsidRPr="00EF7236" w:rsidRDefault="006C130D" w:rsidP="00EF7236">
      <w:pPr>
        <w:jc w:val="both"/>
        <w:rPr>
          <w:rFonts w:ascii="Times New Roman" w:hAnsi="Times New Roman" w:cs="Times New Roman"/>
          <w:sz w:val="16"/>
          <w:szCs w:val="16"/>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Foreign workers who paid social security contributions in Italy are entitled to the same retirement benefits as of any Italian worker. Non-EU citizens who did not pay any contribution before December 31</w:t>
      </w:r>
      <w:r w:rsidRPr="00EF7236">
        <w:rPr>
          <w:rFonts w:ascii="Times New Roman" w:hAnsi="Times New Roman" w:cs="Times New Roman"/>
          <w:sz w:val="16"/>
          <w:szCs w:val="16"/>
          <w:vertAlign w:val="superscript"/>
        </w:rPr>
        <w:t>st</w:t>
      </w:r>
      <w:r w:rsidRPr="00EF7236">
        <w:rPr>
          <w:rFonts w:ascii="Times New Roman" w:hAnsi="Times New Roman" w:cs="Times New Roman"/>
          <w:sz w:val="16"/>
          <w:szCs w:val="16"/>
        </w:rPr>
        <w:t xml:space="preserve"> 1995 but are included in the social security contributory system, have special treatment and are entitled to receive old-age pension even if their payments do not reach the minimum amounts established by the law [i.e. minimum 20 years of contributions and pension not lower than 1,5 of the value of the social security check (448.09 Euro, as per 2017)]. The age limit for access to old-age pension is the same applied to Italian and EU workers (currently 66 years and 7 months for men and 65 years and 7 months for women, it will be 66 years and 7 months for both sexes starting from 2018). </w:t>
      </w:r>
    </w:p>
  </w:footnote>
  <w:footnote w:id="12">
    <w:p w14:paraId="06D21F14" w14:textId="54392A37" w:rsidR="006C130D" w:rsidRPr="006C130D" w:rsidRDefault="006C130D" w:rsidP="006C130D">
      <w:pPr>
        <w:pStyle w:val="ListParagraph"/>
        <w:shd w:val="clear" w:color="auto" w:fill="FFFFFF"/>
        <w:ind w:left="0"/>
        <w:jc w:val="both"/>
        <w:rPr>
          <w:rFonts w:ascii="Times New Roman" w:eastAsia="Times New Roman" w:hAnsi="Times New Roman" w:cs="Times New Roman"/>
          <w:sz w:val="16"/>
          <w:szCs w:val="16"/>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w:t>
      </w:r>
      <w:r w:rsidRPr="00EF7236">
        <w:rPr>
          <w:rFonts w:ascii="Times New Roman" w:eastAsia="Times New Roman" w:hAnsi="Times New Roman" w:cs="Times New Roman"/>
          <w:sz w:val="16"/>
          <w:szCs w:val="16"/>
        </w:rPr>
        <w:t>Administrative sanctions against employers of irregular migrant workers The fight against illegal migration is a key area of Italian labour legislation and the exploitation of irregular migrant workers is subject to criminal prosecution.In this regard, art. 603bis of the Italian Criminal Code, as amended by the new law approved on October 18</w:t>
      </w:r>
      <w:r w:rsidRPr="00EF7236">
        <w:rPr>
          <w:rFonts w:ascii="Times New Roman" w:eastAsia="Times New Roman" w:hAnsi="Times New Roman" w:cs="Times New Roman"/>
          <w:sz w:val="16"/>
          <w:szCs w:val="16"/>
          <w:vertAlign w:val="superscript"/>
        </w:rPr>
        <w:t>th</w:t>
      </w:r>
      <w:r w:rsidRPr="00EF7236">
        <w:rPr>
          <w:rFonts w:ascii="Times New Roman" w:eastAsia="Times New Roman" w:hAnsi="Times New Roman" w:cs="Times New Roman"/>
          <w:sz w:val="16"/>
          <w:szCs w:val="16"/>
        </w:rPr>
        <w:t xml:space="preserve"> 2016 (“</w:t>
      </w:r>
      <w:r w:rsidRPr="00EF7236">
        <w:rPr>
          <w:rFonts w:ascii="Times New Roman" w:eastAsia="Times New Roman" w:hAnsi="Times New Roman" w:cs="Times New Roman"/>
          <w:i/>
          <w:sz w:val="16"/>
          <w:szCs w:val="16"/>
        </w:rPr>
        <w:t>Legge sul Caporalato</w:t>
      </w:r>
      <w:r w:rsidRPr="00EF7236">
        <w:rPr>
          <w:rFonts w:ascii="Times New Roman" w:eastAsia="Times New Roman" w:hAnsi="Times New Roman" w:cs="Times New Roman"/>
          <w:sz w:val="16"/>
          <w:szCs w:val="16"/>
        </w:rPr>
        <w:t>”), establishes that employers recruiting and exploiting irregular migrant workers are punished with a jail sentence of 1-6 years. They are also sanctioned to pay a fine of 500 – 1,000 Euros for each migrant workers they have recruited and/or employed. When the above crimes are committed using violence or threats the following penalties are applied: 5 to 8 years of jail and a fine of 1,000 – 2,000 Euros for each recruited worker. In addition to that, T.U.I. and its subsequent legislative amendments, provides the following measures against the exploitation of migrant workers:</w:t>
      </w:r>
      <w:r>
        <w:rPr>
          <w:rFonts w:ascii="Times New Roman" w:eastAsia="Times New Roman" w:hAnsi="Times New Roman" w:cs="Times New Roman"/>
          <w:sz w:val="16"/>
          <w:szCs w:val="16"/>
        </w:rPr>
        <w:t xml:space="preserve"> </w:t>
      </w:r>
      <w:r w:rsidRPr="00EF7236">
        <w:rPr>
          <w:rFonts w:ascii="Times New Roman" w:eastAsia="Times New Roman" w:hAnsi="Times New Roman" w:cs="Times New Roman"/>
          <w:sz w:val="16"/>
          <w:szCs w:val="16"/>
        </w:rPr>
        <w:t xml:space="preserve">Employers exploiting irregular migrant workers or facilitating their illegal stay in Italy are punished by up to 4 years of prison and sanctioned to pay a fine of up to 15,493 Euros. If the crime is committed by two or more people, the above penalties are increased by one third (art. 12 c. 5 T.U.I.). Employers recruiting migrant workers with no stay permit, with an expired stay permit for which a request for renewal was not submitted within the deadline established by the law, or with a stay permit that was lifted or annulled, are punished by a minimum of 6 months to a maximum of 3 years of jail and sanctioned to pay a fine of 5,000 Euros for each irregular migrant worker they have employed (art. 22 c. 12 T.U.I.). </w:t>
      </w:r>
      <w:r>
        <w:rPr>
          <w:rFonts w:ascii="Times New Roman" w:eastAsia="Times New Roman" w:hAnsi="Times New Roman" w:cs="Times New Roman"/>
          <w:sz w:val="16"/>
          <w:szCs w:val="16"/>
        </w:rPr>
        <w:t xml:space="preserve"> </w:t>
      </w:r>
      <w:r w:rsidRPr="00EF7236">
        <w:rPr>
          <w:rFonts w:ascii="Times New Roman" w:eastAsia="Times New Roman" w:hAnsi="Times New Roman" w:cs="Times New Roman"/>
          <w:sz w:val="16"/>
          <w:szCs w:val="16"/>
        </w:rPr>
        <w:t>The above penalties are increased from one third to one half (art. 22 c. 12bis T.U.I.) if:</w:t>
      </w:r>
      <w:r>
        <w:rPr>
          <w:rFonts w:ascii="Times New Roman" w:eastAsia="Times New Roman" w:hAnsi="Times New Roman" w:cs="Times New Roman"/>
          <w:sz w:val="16"/>
          <w:szCs w:val="16"/>
        </w:rPr>
        <w:t xml:space="preserve"> </w:t>
      </w:r>
      <w:r w:rsidRPr="00EF7236">
        <w:rPr>
          <w:rFonts w:ascii="Times New Roman" w:eastAsia="Times New Roman" w:hAnsi="Times New Roman" w:cs="Times New Roman"/>
          <w:sz w:val="16"/>
          <w:szCs w:val="16"/>
        </w:rPr>
        <w:t>more than 3 irregular migrant workers have been employed; the irregular migrant workers are minors under the working age;</w:t>
      </w:r>
      <w:r>
        <w:rPr>
          <w:rFonts w:ascii="Times New Roman" w:eastAsia="Times New Roman" w:hAnsi="Times New Roman" w:cs="Times New Roman"/>
          <w:sz w:val="16"/>
          <w:szCs w:val="16"/>
        </w:rPr>
        <w:t xml:space="preserve"> </w:t>
      </w:r>
      <w:r w:rsidRPr="00EF7236">
        <w:rPr>
          <w:rFonts w:ascii="Times New Roman" w:eastAsia="Times New Roman" w:hAnsi="Times New Roman" w:cs="Times New Roman"/>
          <w:sz w:val="16"/>
          <w:szCs w:val="16"/>
        </w:rPr>
        <w:t>the irregular migrant workers were subject to extreme forms of exploitation, as per art. 603bis of the Italian Criminal Code.In addition to that, in order to strengthen the provisions against undeclared work, art. 3 Dl 12/2002, as amended by art. 22 c. 1 Leg. Decree n. 151/2015, provides for a penalty (“</w:t>
      </w:r>
      <w:r w:rsidRPr="00EF7236">
        <w:rPr>
          <w:rFonts w:ascii="Times New Roman" w:eastAsia="Times New Roman" w:hAnsi="Times New Roman" w:cs="Times New Roman"/>
          <w:i/>
          <w:sz w:val="16"/>
          <w:szCs w:val="16"/>
        </w:rPr>
        <w:t>Maxi sanzione</w:t>
      </w:r>
      <w:r w:rsidRPr="00EF7236">
        <w:rPr>
          <w:rFonts w:ascii="Times New Roman" w:eastAsia="Times New Roman" w:hAnsi="Times New Roman" w:cs="Times New Roman"/>
          <w:sz w:val="16"/>
          <w:szCs w:val="16"/>
        </w:rPr>
        <w:t xml:space="preserve">”) in case of employment (NOT FOR DOMESTIC WORKERS) </w:t>
      </w:r>
      <w:r w:rsidRPr="006C130D">
        <w:rPr>
          <w:rFonts w:ascii="Times New Roman" w:eastAsia="Times New Roman" w:hAnsi="Times New Roman" w:cs="Times New Roman"/>
          <w:sz w:val="16"/>
          <w:szCs w:val="16"/>
        </w:rPr>
        <w:t xml:space="preserve">without informing the relevant authorities in accordance with the procedures established by the law in force: for up to 30 days of work, a fine from 1,500 to 9,000 Euros is applied for each irregular  employed worker;  from 30 to 60 days of work, a fine from 3,000 to 18,000 Euros is applied for each irregular employed worker for more than 60 days of work, a fine from 6,000 to 36,000 Euros is applied for each irregular employed worker. </w:t>
      </w:r>
      <w:r w:rsidRPr="006C130D">
        <w:rPr>
          <w:rFonts w:ascii="Times New Roman" w:hAnsi="Times New Roman" w:cs="Times New Roman"/>
          <w:sz w:val="16"/>
          <w:szCs w:val="16"/>
        </w:rPr>
        <w:t>The above-mentioned sanctions are increased by 20 percent in the case of employment of foreign workers in accordance with Article 22, par. 12 of T.U.I., or minors in a not working age (Art. 22 c. 3-quater Leg. Decree n. 151/2015).</w:t>
      </w:r>
    </w:p>
  </w:footnote>
  <w:footnote w:id="13">
    <w:p w14:paraId="08FB8BCD" w14:textId="77777777" w:rsidR="006C130D" w:rsidRDefault="006C130D" w:rsidP="006C130D">
      <w:pPr>
        <w:pStyle w:val="ListParagraph"/>
        <w:ind w:left="0"/>
        <w:jc w:val="both"/>
        <w:rPr>
          <w:rFonts w:ascii="Times New Roman" w:hAnsi="Times New Roman" w:cs="Times New Roman"/>
          <w:sz w:val="16"/>
          <w:szCs w:val="16"/>
          <w:lang w:val="en-GB"/>
        </w:rPr>
      </w:pPr>
      <w:r w:rsidRPr="006C130D">
        <w:rPr>
          <w:rStyle w:val="FootnoteReference"/>
          <w:rFonts w:ascii="Times New Roman" w:hAnsi="Times New Roman" w:cs="Times New Roman"/>
          <w:sz w:val="16"/>
          <w:szCs w:val="16"/>
        </w:rPr>
        <w:footnoteRef/>
      </w:r>
      <w:r w:rsidRPr="006C130D">
        <w:rPr>
          <w:rFonts w:ascii="Times New Roman" w:hAnsi="Times New Roman" w:cs="Times New Roman"/>
          <w:sz w:val="16"/>
          <w:szCs w:val="16"/>
        </w:rPr>
        <w:t xml:space="preserve"> </w:t>
      </w:r>
      <w:r w:rsidRPr="006C130D">
        <w:rPr>
          <w:rFonts w:ascii="Times New Roman" w:hAnsi="Times New Roman" w:cs="Times New Roman"/>
          <w:sz w:val="16"/>
          <w:szCs w:val="16"/>
          <w:lang w:val="en-GB"/>
        </w:rPr>
        <w:t xml:space="preserve">In this regard, Article 603 bis of the Italian Criminal Code, as amended by the new law number 199/2016 ("Law on illegal hiring"), provides that employers who hire and exploit illegal migrant workers are punished with a sentence of 1-6 years. They are also sanctioned to pay a fine from 500 to 1000 Euros for each migrant worker recruited and / or employed. When the above offenses are committed by means of violence or threats the following penalties are applied: 5 to 8 years in prison and a fine of 1000 to 2000 euro for each worker. </w:t>
      </w:r>
    </w:p>
    <w:p w14:paraId="487CA811" w14:textId="5190BEF3" w:rsidR="006C130D" w:rsidRPr="006C130D" w:rsidRDefault="006C130D" w:rsidP="006C130D">
      <w:pPr>
        <w:pStyle w:val="ListParagraph"/>
        <w:ind w:left="0"/>
        <w:jc w:val="both"/>
        <w:rPr>
          <w:rFonts w:ascii="Times New Roman" w:hAnsi="Times New Roman" w:cs="Times New Roman"/>
          <w:i/>
          <w:sz w:val="16"/>
          <w:szCs w:val="16"/>
        </w:rPr>
      </w:pPr>
      <w:r w:rsidRPr="006C130D">
        <w:rPr>
          <w:rFonts w:ascii="Times New Roman" w:hAnsi="Times New Roman" w:cs="Times New Roman"/>
          <w:i/>
          <w:sz w:val="16"/>
          <w:szCs w:val="16"/>
        </w:rPr>
        <w:t>Percorsi per la formazione, il lavoro e l’integrazione dei giovani migranti</w:t>
      </w:r>
      <w:r>
        <w:rPr>
          <w:rFonts w:ascii="Times New Roman" w:hAnsi="Times New Roman" w:cs="Times New Roman"/>
          <w:i/>
          <w:sz w:val="16"/>
          <w:szCs w:val="16"/>
        </w:rPr>
        <w:t xml:space="preserve">. </w:t>
      </w:r>
      <w:r w:rsidRPr="006C130D">
        <w:rPr>
          <w:rFonts w:ascii="Times New Roman" w:hAnsi="Times New Roman" w:cs="Times New Roman"/>
          <w:sz w:val="16"/>
          <w:szCs w:val="16"/>
        </w:rPr>
        <w:t>According to the data collected by the Italian Ministry of Labour and Social Policies 13.862 unaccompanied minors were present on the territory of the State at the date of 30st August 2016. Among them, 797 (5,7%) are females, whereas 13.065 (95,1%) are males. According to the data, most UAMs present in Italy are children aged between 16 and 17 years, while only the 7.8% is aged between 7 and 14 years. The project aims at strengthening integration of unaccompanied children and young migrants entered in the country as unaccompanied children, especially in the light of preventing their social discrimination and their risk to fail in undeclared work activities. The project is based on the definition of an individual integration plan which include a set of integration services aimed at facilitating recipients to access to the labour market (tutoring, coaching, job guidance, etc) and the possibility of attending an internship. The project foresees the realization of a total of 960 internships. To this end, an individual grant will be offered to the 960 recipients in order to enable them to take part to the integration path. The main activities underpinning the measure are the following: Skills profiling and needs assessment; Offering of a personalized set of active labour market policies (tutoring, counselling, career guidance, job orientation, traineeships); Offering of a grant to: intermediary societies providing job orientation and active labour market services (2.000 euros per each individual integration plan), enterprises for tutoring activities (500 euros per each vocational training), beneficiaries for attending vocational trainings (500 euros per month/5 months); Job scouting, job searching, coaching. The call for grant was opened on the 13th of October 2016. About 225 leading proponents have submitted their applications for a total offer of a theoretical amount of about 5787 vocational trainings. 203 internships started as at 31st of December 2016. The project is funded by national fund for migration policies (Fondo Politiche Migratorie FPM) for a total amount of 4.800 euros. The project will be evaluated to verify key conditions of success and its replicability on larger scale throughout all the national territory by using ESF and AMIF.</w:t>
      </w:r>
    </w:p>
    <w:p w14:paraId="71485F67" w14:textId="77777777" w:rsidR="006C130D" w:rsidRPr="006C130D" w:rsidRDefault="006C130D" w:rsidP="006C130D">
      <w:pPr>
        <w:jc w:val="both"/>
        <w:rPr>
          <w:rFonts w:ascii="Times New Roman" w:hAnsi="Times New Roman" w:cs="Times New Roman"/>
          <w:sz w:val="16"/>
          <w:szCs w:val="16"/>
          <w:highlight w:val="yellow"/>
        </w:rPr>
      </w:pPr>
    </w:p>
    <w:p w14:paraId="57C9DAE1" w14:textId="40277B7C" w:rsidR="006C130D" w:rsidRPr="006C130D" w:rsidRDefault="006C130D" w:rsidP="006C130D">
      <w:pPr>
        <w:pStyle w:val="ListParagraph"/>
        <w:numPr>
          <w:ilvl w:val="0"/>
          <w:numId w:val="3"/>
        </w:numPr>
        <w:ind w:left="0"/>
        <w:jc w:val="both"/>
        <w:rPr>
          <w:rFonts w:ascii="Times New Roman" w:hAnsi="Times New Roman" w:cs="Times New Roman"/>
          <w:sz w:val="16"/>
          <w:szCs w:val="16"/>
        </w:rPr>
      </w:pPr>
      <w:r w:rsidRPr="006C130D">
        <w:rPr>
          <w:rFonts w:ascii="Times New Roman" w:hAnsi="Times New Roman" w:cs="Times New Roman"/>
          <w:sz w:val="16"/>
          <w:szCs w:val="16"/>
        </w:rPr>
        <w:t>Unaccompanied Children (UAMs): the Italian experience of “DOWRIES” (DOTI) – (2012-2015)- Central and local Institutions consider the effective and positive integration of UAMs into the Italian society as essential. In this regard, a series of measures have been adopted to support UAMS in their “life project” by empowering their skills and potentials, and enabling them to access to the labour market and become an active member of the society. In this framework, the Ministry of Labour and Social Policies promoted the “DOWRIES Project” which consisted in involving UAMs in phase of transition to adulthood or UAMs who reached adulthood during the 2011-2012 two-year period, in active labour market policies. After a first stage of profiling and tutoring dedicated to each beneficiary, accredited services defined a Personalised Intervention Plan (PIP) of active labour market policies aimed at developing an individual and personalised “life project” on the basis of needs and skills emerged. The Ministry of Labour and Social Policies funded 1,226 PIPS by delivering 910 “work dowries” to accredited services (maximum value of 5,000 euros per each beneficiary took in charge) to support the supply of job orientation services (such as career guidance, language course, apprenticeship, housing orientation, etc.), and 310 “qualifications dowries” (maximum value of 3,000 euros per beneficiary) to minors attending traineeships and professional trainings aimed at facilitating the development of their qualifications. Considering the important results achieved, the Ministry of Labour and Social Policies intends to replicate the project by developing more flexible procedures to take into account the natural mobility of UAMs.</w:t>
      </w:r>
    </w:p>
  </w:footnote>
  <w:footnote w:id="14">
    <w:p w14:paraId="0BC1A9EA" w14:textId="0D1788AB" w:rsidR="006C130D" w:rsidRPr="006C130D" w:rsidRDefault="006C130D" w:rsidP="00EF7236">
      <w:pPr>
        <w:jc w:val="both"/>
        <w:rPr>
          <w:rFonts w:ascii="Times New Roman" w:hAnsi="Times New Roman" w:cs="Times New Roman"/>
          <w:sz w:val="16"/>
          <w:szCs w:val="16"/>
        </w:rPr>
      </w:pPr>
      <w:r w:rsidRPr="00EF7236">
        <w:rPr>
          <w:rStyle w:val="FootnoteReference"/>
          <w:rFonts w:ascii="Times New Roman" w:hAnsi="Times New Roman" w:cs="Times New Roman"/>
          <w:sz w:val="16"/>
          <w:szCs w:val="16"/>
        </w:rPr>
        <w:footnoteRef/>
      </w:r>
      <w:r w:rsidRPr="00EF7236">
        <w:rPr>
          <w:rFonts w:ascii="Times New Roman" w:hAnsi="Times New Roman" w:cs="Times New Roman"/>
          <w:sz w:val="16"/>
          <w:szCs w:val="16"/>
        </w:rPr>
        <w:t xml:space="preserve"> As far as all labor relations involving children under 18 years, Italian and Foreigners, concern, we must refer to the legislation on the protection of child and adolescents labour and in particular to the law n. 977/1967, as amended by Legislative Decree n. 345/1999 and Legislative Decree n. 262/2000.In particular, the minimum age to be admitted to employment for minors, already established in 15 years of age by the article n. 3 of the above law, has been raised to 16 years, at the raise of compulsory education, provided for in Article 1, paragraph 622 of Law no. 296/2006 (Finance Act 2007); today the ban on admission to work until the age of sixteen years is in force, except for the apprenticeship contract for the qualification and professional degree, the upper secondary education and higher technical specialization certificate included in Art.43 of Legislative Decree. N. 81/2015. It is also admitted the possibility of using at work children under 16 years, only referring to certain kinds of activities, subject to a special procedure under Article 4, paragraph 2, of the Law 977/1967 and</w:t>
      </w:r>
      <w:r w:rsidRPr="00EF7236" w:rsidDel="002F56C8">
        <w:rPr>
          <w:rFonts w:ascii="Times New Roman" w:hAnsi="Times New Roman" w:cs="Times New Roman"/>
          <w:sz w:val="16"/>
          <w:szCs w:val="16"/>
        </w:rPr>
        <w:t xml:space="preserve"> </w:t>
      </w:r>
      <w:r w:rsidRPr="00EF7236">
        <w:rPr>
          <w:rFonts w:ascii="Times New Roman" w:hAnsi="Times New Roman" w:cs="Times New Roman"/>
          <w:sz w:val="16"/>
          <w:szCs w:val="16"/>
        </w:rPr>
        <w:t xml:space="preserve">subsequent amendments and additions; the </w:t>
      </w:r>
      <w:r>
        <w:rPr>
          <w:rFonts w:ascii="Times New Roman" w:hAnsi="Times New Roman" w:cs="Times New Roman"/>
          <w:sz w:val="16"/>
          <w:szCs w:val="16"/>
        </w:rPr>
        <w:t>Territorial Directorate of Labo</w:t>
      </w:r>
      <w:r w:rsidRPr="00EF7236">
        <w:rPr>
          <w:rFonts w:ascii="Times New Roman" w:hAnsi="Times New Roman" w:cs="Times New Roman"/>
          <w:sz w:val="16"/>
          <w:szCs w:val="16"/>
        </w:rPr>
        <w:t xml:space="preserve">r (now Territorial Work Inspectorate) could, in fact, allow, under written consent of the holders of parental responsibility, the involvement of children in work activities of a cultural, artistic, sports or advertising activities and in the entertainment industry, as long as these activities do not compromise the security, integrity and physical and psychological development of the child, school attendance or participation in vocational programs or training. Concerning the employment prohibitions of minors in relation to the danger of work processes or tasks, in particular art. 6 of the cited law refers to an attached list (updated by decree of the Labour Ministry in agreement with the Ministry of Health), on tasks and work processes prohibited in relation to the worker’s exposure to harmful agents (physical, biological and chemical) or danger for the safety of the worker; the prohibition of assignment to work involving exposure to risk factors could be waived only for adolescents and for </w:t>
      </w:r>
      <w:r w:rsidRPr="006C130D">
        <w:rPr>
          <w:rFonts w:ascii="Times New Roman" w:hAnsi="Times New Roman" w:cs="Times New Roman"/>
          <w:sz w:val="16"/>
          <w:szCs w:val="16"/>
        </w:rPr>
        <w:t>some didactic reasons, essential for professional training and for the time required for the training; provided that the work is carried out under the supervision of competent trainers also in terms of prevention and protection and respecting all safety and health conditions prescribed by law.</w:t>
      </w:r>
    </w:p>
    <w:p w14:paraId="1FA028F6" w14:textId="77777777" w:rsidR="006C130D" w:rsidRPr="006C130D" w:rsidRDefault="006C130D" w:rsidP="00EF7236">
      <w:pPr>
        <w:jc w:val="both"/>
        <w:rPr>
          <w:rFonts w:ascii="Times New Roman" w:hAnsi="Times New Roman" w:cs="Times New Roman"/>
          <w:sz w:val="16"/>
          <w:szCs w:val="16"/>
        </w:rPr>
      </w:pPr>
    </w:p>
    <w:p w14:paraId="73D59C42" w14:textId="635983DF" w:rsidR="006C130D" w:rsidRPr="006C130D" w:rsidRDefault="006C130D" w:rsidP="00EF7236">
      <w:pPr>
        <w:pStyle w:val="FootnoteText"/>
        <w:rPr>
          <w:sz w:val="16"/>
          <w:szCs w:val="16"/>
          <w:lang w:val="fr-FR"/>
        </w:rPr>
      </w:pPr>
    </w:p>
  </w:footnote>
  <w:footnote w:id="15">
    <w:p w14:paraId="3C81A7D4" w14:textId="77777777" w:rsidR="006C130D" w:rsidRPr="006C130D" w:rsidRDefault="006C130D" w:rsidP="006C130D">
      <w:pPr>
        <w:suppressAutoHyphens/>
        <w:jc w:val="both"/>
        <w:rPr>
          <w:rFonts w:ascii="Times New Roman" w:eastAsia="Times New Roman" w:hAnsi="Times New Roman" w:cs="Times New Roman"/>
          <w:sz w:val="16"/>
          <w:szCs w:val="16"/>
          <w:lang w:val="en-GB" w:eastAsia="it-IT"/>
        </w:rPr>
      </w:pPr>
      <w:r w:rsidRPr="006C130D">
        <w:rPr>
          <w:rStyle w:val="FootnoteReference"/>
          <w:rFonts w:ascii="Times New Roman" w:hAnsi="Times New Roman" w:cs="Times New Roman"/>
          <w:sz w:val="16"/>
          <w:szCs w:val="16"/>
        </w:rPr>
        <w:footnoteRef/>
      </w:r>
      <w:r w:rsidRPr="006C130D">
        <w:rPr>
          <w:rFonts w:ascii="Times New Roman" w:hAnsi="Times New Roman" w:cs="Times New Roman"/>
          <w:sz w:val="16"/>
          <w:szCs w:val="16"/>
        </w:rPr>
        <w:t xml:space="preserve"> </w:t>
      </w:r>
      <w:r w:rsidRPr="006C130D">
        <w:rPr>
          <w:rFonts w:ascii="Times New Roman" w:eastAsia="Times New Roman" w:hAnsi="Times New Roman" w:cs="Times New Roman"/>
          <w:sz w:val="16"/>
          <w:szCs w:val="16"/>
          <w:lang w:val="en-GB" w:eastAsia="it-IT"/>
        </w:rPr>
        <w:t>Since the establishment of the Fund, there have been 35 legal actions financed by the Fund (strategic litigation settlements). In the first year the most of instance was proposed by associations which were dedicated to the support and legal accompaniment of victims of discrimination. In the course of 2015, there was a gradual increase of applications advanced by private entities. In most of the time, applicants turn first to the UNAR Contact Center, that analyzes the case and directs them to the Fund. Disputes largely relate to institutional discrimination. In a few cases they relate disputes between private. For more specific information, please refer to the Regulations of the Solidarity Fund at</w:t>
      </w:r>
    </w:p>
    <w:p w14:paraId="44A953D1" w14:textId="5ECEAE8C" w:rsidR="006C130D" w:rsidRPr="006C130D" w:rsidRDefault="00D851C7" w:rsidP="006C130D">
      <w:pPr>
        <w:suppressAutoHyphens/>
        <w:jc w:val="both"/>
        <w:rPr>
          <w:rFonts w:ascii="Times New Roman" w:eastAsia="Times New Roman" w:hAnsi="Times New Roman" w:cs="Times New Roman"/>
          <w:sz w:val="16"/>
          <w:szCs w:val="16"/>
          <w:lang w:val="en-GB" w:eastAsia="it-IT"/>
        </w:rPr>
      </w:pPr>
      <w:hyperlink r:id="rId1" w:history="1">
        <w:r w:rsidR="006C130D" w:rsidRPr="006C130D">
          <w:rPr>
            <w:rStyle w:val="Hyperlink"/>
            <w:rFonts w:ascii="Times New Roman" w:eastAsia="Times New Roman" w:hAnsi="Times New Roman" w:cs="Times New Roman"/>
            <w:sz w:val="16"/>
            <w:szCs w:val="16"/>
            <w:lang w:val="en-GB" w:eastAsia="it-IT"/>
          </w:rPr>
          <w:t>http://www.consiglionazionaleforense.it/web/cnf/unar1</w:t>
        </w:r>
      </w:hyperlink>
    </w:p>
  </w:footnote>
  <w:footnote w:id="16">
    <w:p w14:paraId="488B92FA" w14:textId="70BEB265" w:rsidR="006C130D" w:rsidRPr="006C130D" w:rsidRDefault="006C130D" w:rsidP="006C130D">
      <w:pPr>
        <w:jc w:val="both"/>
        <w:rPr>
          <w:rFonts w:ascii="Times New Roman" w:eastAsia="Times New Roman" w:hAnsi="Times New Roman" w:cs="Times New Roman"/>
          <w:sz w:val="16"/>
          <w:szCs w:val="16"/>
          <w:lang w:val="en-GB" w:eastAsia="it-IT"/>
        </w:rPr>
      </w:pPr>
      <w:r w:rsidRPr="006C130D">
        <w:rPr>
          <w:rStyle w:val="FootnoteReference"/>
          <w:rFonts w:ascii="Times New Roman" w:hAnsi="Times New Roman" w:cs="Times New Roman"/>
          <w:sz w:val="16"/>
          <w:szCs w:val="16"/>
        </w:rPr>
        <w:footnoteRef/>
      </w:r>
      <w:r w:rsidRPr="006C130D">
        <w:rPr>
          <w:rFonts w:ascii="Times New Roman" w:eastAsia="Times New Roman" w:hAnsi="Times New Roman" w:cs="Times New Roman"/>
          <w:sz w:val="16"/>
          <w:szCs w:val="16"/>
          <w:lang w:val="en-GB" w:eastAsia="it-IT"/>
        </w:rPr>
        <w:t xml:space="preserve"> that is composed of 2 representatives from the Department of Equal Opportunities, 2 representatives from CNF and is chaired by the Director of UNAR (or his delegate). Committee meets at the UNAR, at least every two months. Resolutions are passed by an absolute majority of its members. At equally, the vote of the President ( Director of UNAR) prevails.</w:t>
      </w:r>
    </w:p>
    <w:p w14:paraId="20EF69BA" w14:textId="744CFCCF" w:rsidR="006C130D" w:rsidRPr="006C130D" w:rsidRDefault="006C130D">
      <w:pPr>
        <w:pStyle w:val="FootnoteText"/>
        <w:rPr>
          <w:lang w:val="fr-FR"/>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681C"/>
    <w:multiLevelType w:val="hybridMultilevel"/>
    <w:tmpl w:val="9FFADE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7493E14"/>
    <w:multiLevelType w:val="hybridMultilevel"/>
    <w:tmpl w:val="A9B8738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993810"/>
    <w:multiLevelType w:val="hybridMultilevel"/>
    <w:tmpl w:val="10D627A6"/>
    <w:lvl w:ilvl="0" w:tplc="2C1EF538">
      <w:numFmt w:val="bullet"/>
      <w:lvlText w:val="-"/>
      <w:lvlJc w:val="left"/>
      <w:pPr>
        <w:ind w:left="76" w:hanging="218"/>
      </w:pPr>
      <w:rPr>
        <w:rFonts w:ascii="Times New Roman" w:eastAsia="Times New Roman" w:hAnsi="Times New Roman" w:cs="Times New Roman"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3">
    <w:nsid w:val="07A3277A"/>
    <w:multiLevelType w:val="hybridMultilevel"/>
    <w:tmpl w:val="67C0BD3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B265489"/>
    <w:multiLevelType w:val="hybridMultilevel"/>
    <w:tmpl w:val="EB385C6E"/>
    <w:lvl w:ilvl="0" w:tplc="B5EEE5EA">
      <w:numFmt w:val="bullet"/>
      <w:lvlText w:val="-"/>
      <w:lvlJc w:val="left"/>
      <w:pPr>
        <w:ind w:left="218" w:hanging="360"/>
      </w:pPr>
      <w:rPr>
        <w:rFonts w:ascii="Times New Roman" w:eastAsia="Times New Roman" w:hAnsi="Times New Roman" w:cs="Times New Roman"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5">
    <w:nsid w:val="0ED113BA"/>
    <w:multiLevelType w:val="hybridMultilevel"/>
    <w:tmpl w:val="E91A2F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A2A7A11"/>
    <w:multiLevelType w:val="hybridMultilevel"/>
    <w:tmpl w:val="A3CC4F0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622250E"/>
    <w:multiLevelType w:val="multilevel"/>
    <w:tmpl w:val="64E899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092D6F"/>
    <w:multiLevelType w:val="hybridMultilevel"/>
    <w:tmpl w:val="8B4A3388"/>
    <w:lvl w:ilvl="0" w:tplc="04100017">
      <w:start w:val="1"/>
      <w:numFmt w:val="lowerLetter"/>
      <w:lvlText w:val="%1)"/>
      <w:lvlJc w:val="left"/>
      <w:pPr>
        <w:ind w:left="720" w:hanging="360"/>
      </w:pPr>
      <w:rPr>
        <w:rFonts w:eastAsia="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4514531"/>
    <w:multiLevelType w:val="hybridMultilevel"/>
    <w:tmpl w:val="451A745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A767ED5"/>
    <w:multiLevelType w:val="hybridMultilevel"/>
    <w:tmpl w:val="2FF060FA"/>
    <w:lvl w:ilvl="0" w:tplc="0410000B">
      <w:start w:val="1"/>
      <w:numFmt w:val="bullet"/>
      <w:lvlText w:val=""/>
      <w:lvlJc w:val="left"/>
      <w:pPr>
        <w:tabs>
          <w:tab w:val="num" w:pos="1144"/>
        </w:tabs>
        <w:ind w:left="1144" w:hanging="360"/>
      </w:pPr>
      <w:rPr>
        <w:rFonts w:ascii="Wingdings" w:hAnsi="Wingdings" w:hint="default"/>
      </w:rPr>
    </w:lvl>
    <w:lvl w:ilvl="1" w:tplc="04100003">
      <w:start w:val="1"/>
      <w:numFmt w:val="bullet"/>
      <w:lvlText w:val="o"/>
      <w:lvlJc w:val="left"/>
      <w:pPr>
        <w:tabs>
          <w:tab w:val="num" w:pos="1864"/>
        </w:tabs>
        <w:ind w:left="1864" w:hanging="360"/>
      </w:pPr>
      <w:rPr>
        <w:rFonts w:ascii="Courier New" w:hAnsi="Courier New" w:cs="Courier New" w:hint="default"/>
      </w:rPr>
    </w:lvl>
    <w:lvl w:ilvl="2" w:tplc="04100013">
      <w:start w:val="1"/>
      <w:numFmt w:val="upperRoman"/>
      <w:lvlText w:val="%3."/>
      <w:lvlJc w:val="righ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1">
    <w:nsid w:val="3FD875CB"/>
    <w:multiLevelType w:val="hybridMultilevel"/>
    <w:tmpl w:val="A64EB2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0F3D93"/>
    <w:multiLevelType w:val="hybridMultilevel"/>
    <w:tmpl w:val="BD2A7AEE"/>
    <w:lvl w:ilvl="0" w:tplc="47DA0338">
      <w:start w:val="1"/>
      <w:numFmt w:val="lowerLetter"/>
      <w:lvlText w:val="%1)"/>
      <w:lvlJc w:val="left"/>
      <w:pPr>
        <w:ind w:left="1494" w:hanging="360"/>
      </w:pPr>
      <w:rPr>
        <w:rFonts w:hint="default"/>
        <w:b w:val="0"/>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13">
    <w:nsid w:val="510621EE"/>
    <w:multiLevelType w:val="hybridMultilevel"/>
    <w:tmpl w:val="665EB0EC"/>
    <w:lvl w:ilvl="0" w:tplc="23EA37A0">
      <w:numFmt w:val="bullet"/>
      <w:lvlText w:val="-"/>
      <w:lvlJc w:val="left"/>
      <w:pPr>
        <w:ind w:left="360" w:hanging="360"/>
      </w:pPr>
      <w:rPr>
        <w:rFonts w:ascii="Times New Roman" w:eastAsia="Calibri"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DE36ED"/>
    <w:multiLevelType w:val="hybridMultilevel"/>
    <w:tmpl w:val="2D4C4AE4"/>
    <w:lvl w:ilvl="0" w:tplc="ED64D10A">
      <w:start w:val="1"/>
      <w:numFmt w:val="bullet"/>
      <w:lvlText w:val="-"/>
      <w:lvlJc w:val="left"/>
      <w:pPr>
        <w:ind w:left="720" w:hanging="360"/>
      </w:pPr>
      <w:rPr>
        <w:rFonts w:ascii="Arial" w:eastAsia="Times New Roman" w:hAnsi="Arial" w:cs="Arial" w:hint="default"/>
        <w:color w:val="2222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6C682148"/>
    <w:multiLevelType w:val="hybridMultilevel"/>
    <w:tmpl w:val="E77AD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F87742"/>
    <w:multiLevelType w:val="hybridMultilevel"/>
    <w:tmpl w:val="F8F0B7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A270AF8"/>
    <w:multiLevelType w:val="hybridMultilevel"/>
    <w:tmpl w:val="3252CF0E"/>
    <w:lvl w:ilvl="0" w:tplc="6352A7BA">
      <w:start w:val="3"/>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7"/>
  </w:num>
  <w:num w:numId="4">
    <w:abstractNumId w:val="12"/>
  </w:num>
  <w:num w:numId="5">
    <w:abstractNumId w:val="2"/>
  </w:num>
  <w:num w:numId="6">
    <w:abstractNumId w:val="4"/>
  </w:num>
  <w:num w:numId="7">
    <w:abstractNumId w:val="8"/>
  </w:num>
  <w:num w:numId="8">
    <w:abstractNumId w:val="13"/>
  </w:num>
  <w:num w:numId="9">
    <w:abstractNumId w:val="10"/>
  </w:num>
  <w:num w:numId="10">
    <w:abstractNumId w:val="9"/>
  </w:num>
  <w:num w:numId="11">
    <w:abstractNumId w:val="0"/>
  </w:num>
  <w:num w:numId="12">
    <w:abstractNumId w:val="7"/>
    <w:lvlOverride w:ilvl="1">
      <w:lvl w:ilvl="1">
        <w:numFmt w:val="decimal"/>
        <w:lvlText w:val="%2."/>
        <w:lvlJc w:val="left"/>
      </w:lvl>
    </w:lvlOverride>
  </w:num>
  <w:num w:numId="13">
    <w:abstractNumId w:val="3"/>
  </w:num>
  <w:num w:numId="14">
    <w:abstractNumId w:val="1"/>
  </w:num>
  <w:num w:numId="15">
    <w:abstractNumId w:val="5"/>
  </w:num>
  <w:num w:numId="16">
    <w:abstractNumId w:val="14"/>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7"/>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D2"/>
    <w:rsid w:val="000A1BCF"/>
    <w:rsid w:val="000B2C22"/>
    <w:rsid w:val="0015267D"/>
    <w:rsid w:val="001560EA"/>
    <w:rsid w:val="0017198C"/>
    <w:rsid w:val="00276128"/>
    <w:rsid w:val="002B1A57"/>
    <w:rsid w:val="003107C4"/>
    <w:rsid w:val="00310CE7"/>
    <w:rsid w:val="003A0CAD"/>
    <w:rsid w:val="00402596"/>
    <w:rsid w:val="004C5A27"/>
    <w:rsid w:val="004E3B38"/>
    <w:rsid w:val="0053726F"/>
    <w:rsid w:val="00553808"/>
    <w:rsid w:val="00553FD2"/>
    <w:rsid w:val="005743A6"/>
    <w:rsid w:val="005C7A12"/>
    <w:rsid w:val="0062632E"/>
    <w:rsid w:val="00652813"/>
    <w:rsid w:val="006B21B8"/>
    <w:rsid w:val="006C130D"/>
    <w:rsid w:val="00702BFD"/>
    <w:rsid w:val="00745262"/>
    <w:rsid w:val="00751BB2"/>
    <w:rsid w:val="00796973"/>
    <w:rsid w:val="007F6D11"/>
    <w:rsid w:val="009022D7"/>
    <w:rsid w:val="0096086E"/>
    <w:rsid w:val="009A40F7"/>
    <w:rsid w:val="009B6886"/>
    <w:rsid w:val="00B80FCF"/>
    <w:rsid w:val="00BB706F"/>
    <w:rsid w:val="00BC2EFA"/>
    <w:rsid w:val="00CA081E"/>
    <w:rsid w:val="00CB2A48"/>
    <w:rsid w:val="00D851C7"/>
    <w:rsid w:val="00DD1EDF"/>
    <w:rsid w:val="00E626CD"/>
    <w:rsid w:val="00EE615B"/>
    <w:rsid w:val="00EE682F"/>
    <w:rsid w:val="00EF7236"/>
    <w:rsid w:val="00F41CD4"/>
    <w:rsid w:val="00F923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01AF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3726F"/>
    <w:pPr>
      <w:keepNext/>
      <w:keepLines/>
      <w:spacing w:before="480"/>
      <w:outlineLvl w:val="0"/>
    </w:pPr>
    <w:rPr>
      <w:rFonts w:ascii="Calibri" w:eastAsia="MS Gothic" w:hAnsi="Calibri" w:cs="Calibri"/>
      <w:b/>
      <w:bCs/>
      <w:color w:val="345A8A"/>
      <w:sz w:val="32"/>
      <w:szCs w:val="32"/>
      <w:lang w:val="fr-FR"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973"/>
    <w:pPr>
      <w:ind w:left="720"/>
      <w:contextualSpacing/>
    </w:pPr>
  </w:style>
  <w:style w:type="character" w:customStyle="1" w:styleId="Heading1Char">
    <w:name w:val="Heading 1 Char"/>
    <w:basedOn w:val="DefaultParagraphFont"/>
    <w:link w:val="Heading1"/>
    <w:uiPriority w:val="99"/>
    <w:rsid w:val="0053726F"/>
    <w:rPr>
      <w:rFonts w:ascii="Calibri" w:eastAsia="MS Gothic" w:hAnsi="Calibri" w:cs="Calibri"/>
      <w:b/>
      <w:bCs/>
      <w:color w:val="345A8A"/>
      <w:sz w:val="32"/>
      <w:szCs w:val="32"/>
      <w:lang w:val="fr-FR" w:eastAsia="it-IT"/>
    </w:rPr>
  </w:style>
  <w:style w:type="paragraph" w:styleId="NormalWeb">
    <w:name w:val="Normal (Web)"/>
    <w:basedOn w:val="Normal"/>
    <w:uiPriority w:val="99"/>
    <w:rsid w:val="0053726F"/>
    <w:pPr>
      <w:spacing w:before="100" w:beforeAutospacing="1" w:after="100" w:afterAutospacing="1"/>
    </w:pPr>
    <w:rPr>
      <w:rFonts w:ascii="Times New Roman" w:eastAsia="MS Mincho" w:hAnsi="Times New Roman" w:cs="Times New Roman"/>
      <w:lang w:val="it-IT" w:eastAsia="it-IT"/>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5_G Char"/>
    <w:link w:val="FootnoteText"/>
    <w:locked/>
    <w:rsid w:val="0053726F"/>
    <w:rPr>
      <w:rFonts w:ascii="Times New Roman" w:hAnsi="Times New Roman" w:cs="Times New Roman"/>
      <w:sz w:val="20"/>
      <w:szCs w:val="20"/>
      <w:lang w:val="it-IT" w:eastAsia="it-I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5_G,FA Fu,notefranz"/>
    <w:basedOn w:val="Normal"/>
    <w:link w:val="FootnoteTextChar"/>
    <w:rsid w:val="0053726F"/>
    <w:rPr>
      <w:rFonts w:ascii="Times New Roman" w:hAnsi="Times New Roman" w:cs="Times New Roman"/>
      <w:sz w:val="20"/>
      <w:szCs w:val="20"/>
      <w:lang w:val="it-IT" w:eastAsia="it-IT"/>
    </w:rPr>
  </w:style>
  <w:style w:type="character" w:customStyle="1" w:styleId="FootnoteTextChar1">
    <w:name w:val="Footnote Text Char1"/>
    <w:basedOn w:val="DefaultParagraphFont"/>
    <w:uiPriority w:val="99"/>
    <w:semiHidden/>
    <w:rsid w:val="0053726F"/>
  </w:style>
  <w:style w:type="character" w:styleId="FootnoteReference">
    <w:name w:val="footnote reference"/>
    <w:aliases w:val="Rimando nota a piè di pagina1,Footnote symbol,4_G,referencia nota al pie,Texto de nota al pie,BVI fnr,Ref. de nota al pie2,Nota de pie,Ref,de nota al pie,Pie de pagina,Ref. ...,Ref1,FC,Footnotes refss,ft,Rimando notaOreste"/>
    <w:basedOn w:val="DefaultParagraphFont"/>
    <w:rsid w:val="0053726F"/>
    <w:rPr>
      <w:vertAlign w:val="superscript"/>
    </w:rPr>
  </w:style>
  <w:style w:type="paragraph" w:styleId="HTMLPreformatted">
    <w:name w:val="HTML Preformatted"/>
    <w:basedOn w:val="Normal"/>
    <w:link w:val="HTMLPreformattedChar"/>
    <w:uiPriority w:val="99"/>
    <w:unhideWhenUsed/>
    <w:rsid w:val="00F92376"/>
    <w:pPr>
      <w:widowControl w:val="0"/>
      <w:autoSpaceDE w:val="0"/>
      <w:autoSpaceDN w:val="0"/>
    </w:pPr>
    <w:rPr>
      <w:rFonts w:ascii="Consolas" w:eastAsia="Titillium-Light" w:hAnsi="Consolas" w:cs="Consolas"/>
      <w:sz w:val="20"/>
      <w:szCs w:val="20"/>
      <w:lang w:val="it-IT"/>
    </w:rPr>
  </w:style>
  <w:style w:type="character" w:customStyle="1" w:styleId="HTMLPreformattedChar">
    <w:name w:val="HTML Preformatted Char"/>
    <w:basedOn w:val="DefaultParagraphFont"/>
    <w:link w:val="HTMLPreformatted"/>
    <w:uiPriority w:val="99"/>
    <w:rsid w:val="00F92376"/>
    <w:rPr>
      <w:rFonts w:ascii="Consolas" w:eastAsia="Titillium-Light" w:hAnsi="Consolas" w:cs="Consolas"/>
      <w:sz w:val="20"/>
      <w:szCs w:val="20"/>
      <w:lang w:val="it-IT"/>
    </w:rPr>
  </w:style>
  <w:style w:type="character" w:styleId="Hyperlink">
    <w:name w:val="Hyperlink"/>
    <w:basedOn w:val="DefaultParagraphFont"/>
    <w:uiPriority w:val="99"/>
    <w:unhideWhenUsed/>
    <w:rsid w:val="00E626CD"/>
    <w:rPr>
      <w:color w:val="0000FF" w:themeColor="hyperlink"/>
      <w:u w:val="single"/>
    </w:rPr>
  </w:style>
  <w:style w:type="paragraph" w:styleId="Footer">
    <w:name w:val="footer"/>
    <w:basedOn w:val="Normal"/>
    <w:link w:val="FooterChar"/>
    <w:uiPriority w:val="99"/>
    <w:unhideWhenUsed/>
    <w:rsid w:val="00402596"/>
    <w:pPr>
      <w:tabs>
        <w:tab w:val="center" w:pos="4320"/>
        <w:tab w:val="right" w:pos="8640"/>
      </w:tabs>
    </w:pPr>
  </w:style>
  <w:style w:type="character" w:customStyle="1" w:styleId="FooterChar">
    <w:name w:val="Footer Char"/>
    <w:basedOn w:val="DefaultParagraphFont"/>
    <w:link w:val="Footer"/>
    <w:uiPriority w:val="99"/>
    <w:rsid w:val="00402596"/>
  </w:style>
  <w:style w:type="character" w:styleId="PageNumber">
    <w:name w:val="page number"/>
    <w:basedOn w:val="DefaultParagraphFont"/>
    <w:uiPriority w:val="99"/>
    <w:semiHidden/>
    <w:unhideWhenUsed/>
    <w:rsid w:val="00402596"/>
  </w:style>
  <w:style w:type="character" w:styleId="FollowedHyperlink">
    <w:name w:val="FollowedHyperlink"/>
    <w:basedOn w:val="DefaultParagraphFont"/>
    <w:uiPriority w:val="99"/>
    <w:semiHidden/>
    <w:unhideWhenUsed/>
    <w:rsid w:val="00EF723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3726F"/>
    <w:pPr>
      <w:keepNext/>
      <w:keepLines/>
      <w:spacing w:before="480"/>
      <w:outlineLvl w:val="0"/>
    </w:pPr>
    <w:rPr>
      <w:rFonts w:ascii="Calibri" w:eastAsia="MS Gothic" w:hAnsi="Calibri" w:cs="Calibri"/>
      <w:b/>
      <w:bCs/>
      <w:color w:val="345A8A"/>
      <w:sz w:val="32"/>
      <w:szCs w:val="32"/>
      <w:lang w:val="fr-FR"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973"/>
    <w:pPr>
      <w:ind w:left="720"/>
      <w:contextualSpacing/>
    </w:pPr>
  </w:style>
  <w:style w:type="character" w:customStyle="1" w:styleId="Heading1Char">
    <w:name w:val="Heading 1 Char"/>
    <w:basedOn w:val="DefaultParagraphFont"/>
    <w:link w:val="Heading1"/>
    <w:uiPriority w:val="99"/>
    <w:rsid w:val="0053726F"/>
    <w:rPr>
      <w:rFonts w:ascii="Calibri" w:eastAsia="MS Gothic" w:hAnsi="Calibri" w:cs="Calibri"/>
      <w:b/>
      <w:bCs/>
      <w:color w:val="345A8A"/>
      <w:sz w:val="32"/>
      <w:szCs w:val="32"/>
      <w:lang w:val="fr-FR" w:eastAsia="it-IT"/>
    </w:rPr>
  </w:style>
  <w:style w:type="paragraph" w:styleId="NormalWeb">
    <w:name w:val="Normal (Web)"/>
    <w:basedOn w:val="Normal"/>
    <w:uiPriority w:val="99"/>
    <w:rsid w:val="0053726F"/>
    <w:pPr>
      <w:spacing w:before="100" w:beforeAutospacing="1" w:after="100" w:afterAutospacing="1"/>
    </w:pPr>
    <w:rPr>
      <w:rFonts w:ascii="Times New Roman" w:eastAsia="MS Mincho" w:hAnsi="Times New Roman" w:cs="Times New Roman"/>
      <w:lang w:val="it-IT" w:eastAsia="it-IT"/>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5_G Char"/>
    <w:link w:val="FootnoteText"/>
    <w:locked/>
    <w:rsid w:val="0053726F"/>
    <w:rPr>
      <w:rFonts w:ascii="Times New Roman" w:hAnsi="Times New Roman" w:cs="Times New Roman"/>
      <w:sz w:val="20"/>
      <w:szCs w:val="20"/>
      <w:lang w:val="it-IT" w:eastAsia="it-IT"/>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5_G,FA Fu,notefranz"/>
    <w:basedOn w:val="Normal"/>
    <w:link w:val="FootnoteTextChar"/>
    <w:rsid w:val="0053726F"/>
    <w:rPr>
      <w:rFonts w:ascii="Times New Roman" w:hAnsi="Times New Roman" w:cs="Times New Roman"/>
      <w:sz w:val="20"/>
      <w:szCs w:val="20"/>
      <w:lang w:val="it-IT" w:eastAsia="it-IT"/>
    </w:rPr>
  </w:style>
  <w:style w:type="character" w:customStyle="1" w:styleId="FootnoteTextChar1">
    <w:name w:val="Footnote Text Char1"/>
    <w:basedOn w:val="DefaultParagraphFont"/>
    <w:uiPriority w:val="99"/>
    <w:semiHidden/>
    <w:rsid w:val="0053726F"/>
  </w:style>
  <w:style w:type="character" w:styleId="FootnoteReference">
    <w:name w:val="footnote reference"/>
    <w:aliases w:val="Rimando nota a piè di pagina1,Footnote symbol,4_G,referencia nota al pie,Texto de nota al pie,BVI fnr,Ref. de nota al pie2,Nota de pie,Ref,de nota al pie,Pie de pagina,Ref. ...,Ref1,FC,Footnotes refss,ft,Rimando notaOreste"/>
    <w:basedOn w:val="DefaultParagraphFont"/>
    <w:rsid w:val="0053726F"/>
    <w:rPr>
      <w:vertAlign w:val="superscript"/>
    </w:rPr>
  </w:style>
  <w:style w:type="paragraph" w:styleId="HTMLPreformatted">
    <w:name w:val="HTML Preformatted"/>
    <w:basedOn w:val="Normal"/>
    <w:link w:val="HTMLPreformattedChar"/>
    <w:uiPriority w:val="99"/>
    <w:unhideWhenUsed/>
    <w:rsid w:val="00F92376"/>
    <w:pPr>
      <w:widowControl w:val="0"/>
      <w:autoSpaceDE w:val="0"/>
      <w:autoSpaceDN w:val="0"/>
    </w:pPr>
    <w:rPr>
      <w:rFonts w:ascii="Consolas" w:eastAsia="Titillium-Light" w:hAnsi="Consolas" w:cs="Consolas"/>
      <w:sz w:val="20"/>
      <w:szCs w:val="20"/>
      <w:lang w:val="it-IT"/>
    </w:rPr>
  </w:style>
  <w:style w:type="character" w:customStyle="1" w:styleId="HTMLPreformattedChar">
    <w:name w:val="HTML Preformatted Char"/>
    <w:basedOn w:val="DefaultParagraphFont"/>
    <w:link w:val="HTMLPreformatted"/>
    <w:uiPriority w:val="99"/>
    <w:rsid w:val="00F92376"/>
    <w:rPr>
      <w:rFonts w:ascii="Consolas" w:eastAsia="Titillium-Light" w:hAnsi="Consolas" w:cs="Consolas"/>
      <w:sz w:val="20"/>
      <w:szCs w:val="20"/>
      <w:lang w:val="it-IT"/>
    </w:rPr>
  </w:style>
  <w:style w:type="character" w:styleId="Hyperlink">
    <w:name w:val="Hyperlink"/>
    <w:basedOn w:val="DefaultParagraphFont"/>
    <w:uiPriority w:val="99"/>
    <w:unhideWhenUsed/>
    <w:rsid w:val="00E626CD"/>
    <w:rPr>
      <w:color w:val="0000FF" w:themeColor="hyperlink"/>
      <w:u w:val="single"/>
    </w:rPr>
  </w:style>
  <w:style w:type="paragraph" w:styleId="Footer">
    <w:name w:val="footer"/>
    <w:basedOn w:val="Normal"/>
    <w:link w:val="FooterChar"/>
    <w:uiPriority w:val="99"/>
    <w:unhideWhenUsed/>
    <w:rsid w:val="00402596"/>
    <w:pPr>
      <w:tabs>
        <w:tab w:val="center" w:pos="4320"/>
        <w:tab w:val="right" w:pos="8640"/>
      </w:tabs>
    </w:pPr>
  </w:style>
  <w:style w:type="character" w:customStyle="1" w:styleId="FooterChar">
    <w:name w:val="Footer Char"/>
    <w:basedOn w:val="DefaultParagraphFont"/>
    <w:link w:val="Footer"/>
    <w:uiPriority w:val="99"/>
    <w:rsid w:val="00402596"/>
  </w:style>
  <w:style w:type="character" w:styleId="PageNumber">
    <w:name w:val="page number"/>
    <w:basedOn w:val="DefaultParagraphFont"/>
    <w:uiPriority w:val="99"/>
    <w:semiHidden/>
    <w:unhideWhenUsed/>
    <w:rsid w:val="00402596"/>
  </w:style>
  <w:style w:type="character" w:styleId="FollowedHyperlink">
    <w:name w:val="FollowedHyperlink"/>
    <w:basedOn w:val="DefaultParagraphFont"/>
    <w:uiPriority w:val="99"/>
    <w:semiHidden/>
    <w:unhideWhenUsed/>
    <w:rsid w:val="00EF723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532936">
      <w:bodyDiv w:val="1"/>
      <w:marLeft w:val="0"/>
      <w:marRight w:val="0"/>
      <w:marTop w:val="0"/>
      <w:marBottom w:val="0"/>
      <w:divBdr>
        <w:top w:val="none" w:sz="0" w:space="0" w:color="auto"/>
        <w:left w:val="none" w:sz="0" w:space="0" w:color="auto"/>
        <w:bottom w:val="none" w:sz="0" w:space="0" w:color="auto"/>
        <w:right w:val="none" w:sz="0" w:space="0" w:color="auto"/>
      </w:divBdr>
      <w:divsChild>
        <w:div w:id="1206411504">
          <w:marLeft w:val="0"/>
          <w:marRight w:val="0"/>
          <w:marTop w:val="0"/>
          <w:marBottom w:val="0"/>
          <w:divBdr>
            <w:top w:val="none" w:sz="0" w:space="0" w:color="auto"/>
            <w:left w:val="none" w:sz="0" w:space="0" w:color="auto"/>
            <w:bottom w:val="none" w:sz="0" w:space="0" w:color="auto"/>
            <w:right w:val="none" w:sz="0" w:space="0" w:color="auto"/>
          </w:divBdr>
          <w:divsChild>
            <w:div w:id="968165105">
              <w:marLeft w:val="0"/>
              <w:marRight w:val="0"/>
              <w:marTop w:val="0"/>
              <w:marBottom w:val="0"/>
              <w:divBdr>
                <w:top w:val="none" w:sz="0" w:space="0" w:color="auto"/>
                <w:left w:val="none" w:sz="0" w:space="0" w:color="auto"/>
                <w:bottom w:val="none" w:sz="0" w:space="0" w:color="auto"/>
                <w:right w:val="none" w:sz="0" w:space="0" w:color="auto"/>
              </w:divBdr>
              <w:divsChild>
                <w:div w:id="14138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yperlink" Target="https://www.youtube.com/watch?v=6GB0z_WlqKI&amp;feature=youtu.be" TargetMode="External"/><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Sgf3BqgqLa0&amp;feature=youtu.be"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www.consiglionazionaleforense.it/web/cnf/un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DEA8D1-3F09-4C3B-ABF4-36237427A806}"/>
</file>

<file path=customXml/itemProps2.xml><?xml version="1.0" encoding="utf-8"?>
<ds:datastoreItem xmlns:ds="http://schemas.openxmlformats.org/officeDocument/2006/customXml" ds:itemID="{7442B8E5-4658-41EB-9260-4D93732DC926}"/>
</file>

<file path=customXml/itemProps3.xml><?xml version="1.0" encoding="utf-8"?>
<ds:datastoreItem xmlns:ds="http://schemas.openxmlformats.org/officeDocument/2006/customXml" ds:itemID="{886B49E4-D4E9-4E17-99E6-1CDC78D05AE6}"/>
</file>

<file path=docProps/app.xml><?xml version="1.0" encoding="utf-8"?>
<Properties xmlns="http://schemas.openxmlformats.org/officeDocument/2006/extended-properties" xmlns:vt="http://schemas.openxmlformats.org/officeDocument/2006/docPropsVTypes">
  <Template>Normal.dotm</Template>
  <TotalTime>1</TotalTime>
  <Pages>11</Pages>
  <Words>4425</Words>
  <Characters>25228</Characters>
  <Application>Microsoft Macintosh Word</Application>
  <DocSecurity>0</DocSecurity>
  <Lines>210</Lines>
  <Paragraphs>59</Paragraphs>
  <ScaleCrop>false</ScaleCrop>
  <Company/>
  <LinksUpToDate>false</LinksUpToDate>
  <CharactersWithSpaces>29594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Bova</dc:creator>
  <cp:keywords/>
  <dc:description/>
  <cp:lastModifiedBy>Maja Bova</cp:lastModifiedBy>
  <cp:revision>3</cp:revision>
  <dcterms:created xsi:type="dcterms:W3CDTF">2017-03-14T12:13:00Z</dcterms:created>
  <dcterms:modified xsi:type="dcterms:W3CDTF">2017-03-14T12:14:00Z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