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0330A" w:rsidRDefault="0030330A">
      <w:pPr>
        <w:spacing w:before="120" w:after="120" w:line="240" w:lineRule="auto"/>
        <w:jc w:val="both"/>
        <w:rPr>
          <w:b/>
          <w:color w:val="674EA7"/>
          <w:sz w:val="30"/>
          <w:szCs w:val="30"/>
          <w:u w:val="single"/>
        </w:rPr>
      </w:pPr>
    </w:p>
    <w:p w:rsidR="0030330A" w:rsidRDefault="0030330A">
      <w:pPr>
        <w:spacing w:before="120" w:after="120" w:line="240" w:lineRule="auto"/>
        <w:rPr>
          <w:b/>
          <w:color w:val="674EA7"/>
          <w:sz w:val="30"/>
          <w:szCs w:val="30"/>
          <w:u w:val="single"/>
        </w:rPr>
      </w:pPr>
    </w:p>
    <w:p w:rsidR="0030330A" w:rsidRDefault="0030330A">
      <w:pPr>
        <w:spacing w:before="120" w:after="120" w:line="240" w:lineRule="auto"/>
        <w:jc w:val="both"/>
        <w:rPr>
          <w:b/>
          <w:color w:val="674EA7"/>
          <w:sz w:val="30"/>
          <w:szCs w:val="30"/>
          <w:u w:val="single"/>
        </w:rPr>
      </w:pPr>
    </w:p>
    <w:p w:rsidR="0030330A" w:rsidRDefault="0030330A">
      <w:pPr>
        <w:spacing w:before="120" w:after="120" w:line="240" w:lineRule="auto"/>
        <w:rPr>
          <w:b/>
          <w:color w:val="674EA7"/>
          <w:sz w:val="30"/>
          <w:szCs w:val="30"/>
          <w:u w:val="single"/>
        </w:rPr>
      </w:pPr>
    </w:p>
    <w:p w:rsidR="0030330A" w:rsidRDefault="0030330A">
      <w:pPr>
        <w:spacing w:before="120" w:after="120" w:line="240" w:lineRule="auto"/>
        <w:jc w:val="both"/>
        <w:rPr>
          <w:b/>
          <w:color w:val="674EA7"/>
          <w:sz w:val="30"/>
          <w:szCs w:val="30"/>
          <w:u w:val="single"/>
        </w:rPr>
      </w:pPr>
    </w:p>
    <w:p w:rsidR="0030330A" w:rsidRDefault="0030330A">
      <w:pPr>
        <w:spacing w:before="120" w:after="120" w:line="240" w:lineRule="auto"/>
        <w:rPr>
          <w:b/>
          <w:color w:val="674EA7"/>
          <w:sz w:val="30"/>
          <w:szCs w:val="30"/>
          <w:u w:val="single"/>
        </w:rPr>
      </w:pPr>
    </w:p>
    <w:p w:rsidR="0030330A" w:rsidRDefault="0030330A">
      <w:pPr>
        <w:spacing w:before="120" w:after="120" w:line="240" w:lineRule="auto"/>
        <w:rPr>
          <w:b/>
          <w:color w:val="674EA7"/>
          <w:sz w:val="30"/>
          <w:szCs w:val="30"/>
          <w:u w:val="single"/>
        </w:rPr>
      </w:pPr>
    </w:p>
    <w:p w:rsidR="0030330A" w:rsidRDefault="0030330A">
      <w:pPr>
        <w:spacing w:before="120" w:after="120" w:line="240" w:lineRule="auto"/>
        <w:rPr>
          <w:b/>
          <w:color w:val="674EA7"/>
          <w:sz w:val="30"/>
          <w:szCs w:val="30"/>
          <w:u w:val="single"/>
        </w:rPr>
      </w:pPr>
    </w:p>
    <w:p w:rsidR="0030330A" w:rsidRDefault="0030330A">
      <w:pPr>
        <w:spacing w:before="120" w:after="120" w:line="240" w:lineRule="auto"/>
        <w:rPr>
          <w:b/>
          <w:color w:val="674EA7"/>
          <w:sz w:val="30"/>
          <w:szCs w:val="30"/>
          <w:u w:val="single"/>
        </w:rPr>
      </w:pPr>
    </w:p>
    <w:p w:rsidR="0030330A" w:rsidRDefault="00000000">
      <w:pPr>
        <w:spacing w:before="120" w:after="120" w:line="240" w:lineRule="auto"/>
        <w:ind w:left="-992"/>
        <w:rPr>
          <w:b/>
          <w:sz w:val="12"/>
          <w:szCs w:val="12"/>
        </w:rPr>
      </w:pPr>
      <w:r>
        <w:rPr>
          <w:b/>
          <w:color w:val="674EA7"/>
          <w:sz w:val="32"/>
          <w:szCs w:val="32"/>
          <w:u w:val="single"/>
        </w:rPr>
        <w:t>Contents</w:t>
      </w:r>
      <w:r>
        <w:rPr>
          <w:b/>
          <w:color w:val="674EA7"/>
          <w:sz w:val="30"/>
          <w:szCs w:val="30"/>
          <w:u w:val="single"/>
        </w:rPr>
        <w:t xml:space="preserve"> </w:t>
      </w:r>
    </w:p>
    <w:p w:rsidR="0030330A" w:rsidRDefault="0030330A">
      <w:pPr>
        <w:rPr>
          <w:b/>
          <w:sz w:val="12"/>
          <w:szCs w:val="12"/>
        </w:rPr>
      </w:pPr>
    </w:p>
    <w:p w:rsidR="0030330A" w:rsidRDefault="0030330A">
      <w:pPr>
        <w:rPr>
          <w:b/>
          <w:sz w:val="12"/>
          <w:szCs w:val="12"/>
        </w:rPr>
      </w:pPr>
    </w:p>
    <w:p w:rsidR="0030330A" w:rsidRDefault="0030330A">
      <w:pPr>
        <w:rPr>
          <w:b/>
          <w:sz w:val="12"/>
          <w:szCs w:val="12"/>
        </w:rPr>
      </w:pPr>
    </w:p>
    <w:p w:rsidR="0030330A" w:rsidRDefault="00000000">
      <w:pPr>
        <w:rPr>
          <w:b/>
          <w:sz w:val="4"/>
          <w:szCs w:val="4"/>
        </w:rPr>
      </w:pPr>
      <w:r>
        <w:rPr>
          <w:b/>
          <w:sz w:val="24"/>
          <w:szCs w:val="24"/>
        </w:rPr>
        <w:t>Introduction</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rPr>
        <w:t>1</w:t>
      </w:r>
    </w:p>
    <w:p w:rsidR="0030330A" w:rsidRDefault="00000000">
      <w:pPr>
        <w:numPr>
          <w:ilvl w:val="0"/>
          <w:numId w:val="4"/>
        </w:numPr>
        <w:ind w:left="420" w:hanging="285"/>
        <w:rPr>
          <w:sz w:val="18"/>
          <w:szCs w:val="18"/>
        </w:rPr>
      </w:pPr>
      <w:r>
        <w:rPr>
          <w:sz w:val="20"/>
          <w:szCs w:val="20"/>
        </w:rPr>
        <w:t>Acknowledgements and List of Contributors</w:t>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p>
    <w:p w:rsidR="0030330A" w:rsidRDefault="0030330A">
      <w:pPr>
        <w:ind w:left="720"/>
        <w:rPr>
          <w:b/>
        </w:rPr>
      </w:pPr>
    </w:p>
    <w:p w:rsidR="0030330A" w:rsidRDefault="00000000">
      <w:pPr>
        <w:spacing w:after="5"/>
        <w:rPr>
          <w:b/>
          <w:sz w:val="10"/>
          <w:szCs w:val="10"/>
        </w:rPr>
      </w:pPr>
      <w:r>
        <w:rPr>
          <w:b/>
        </w:rPr>
        <w:t>State Party Implementation  (art. 1, 2, 3, 4, 5)</w:t>
      </w:r>
      <w:r>
        <w:rPr>
          <w:b/>
        </w:rPr>
        <w:tab/>
      </w:r>
      <w:r>
        <w:rPr>
          <w:b/>
        </w:rPr>
        <w:tab/>
      </w:r>
      <w:r>
        <w:rPr>
          <w:b/>
        </w:rPr>
        <w:tab/>
      </w:r>
      <w:r>
        <w:rPr>
          <w:b/>
        </w:rPr>
        <w:tab/>
      </w:r>
      <w:r>
        <w:rPr>
          <w:b/>
        </w:rPr>
        <w:tab/>
      </w:r>
      <w:r>
        <w:rPr>
          <w:b/>
        </w:rPr>
        <w:tab/>
        <w:t>3</w:t>
      </w:r>
    </w:p>
    <w:p w:rsidR="0030330A" w:rsidRDefault="00000000">
      <w:pPr>
        <w:numPr>
          <w:ilvl w:val="0"/>
          <w:numId w:val="2"/>
        </w:numPr>
        <w:ind w:left="425" w:hanging="270"/>
        <w:rPr>
          <w:sz w:val="18"/>
          <w:szCs w:val="18"/>
        </w:rPr>
      </w:pPr>
      <w:r>
        <w:rPr>
          <w:sz w:val="20"/>
          <w:szCs w:val="20"/>
        </w:rPr>
        <w:t>Improving CSO Consultation and Data Collection to implement ICESCR</w:t>
      </w:r>
    </w:p>
    <w:p w:rsidR="0030330A" w:rsidRDefault="0030330A">
      <w:pPr>
        <w:rPr>
          <w:sz w:val="12"/>
          <w:szCs w:val="12"/>
        </w:rPr>
      </w:pPr>
    </w:p>
    <w:p w:rsidR="0030330A" w:rsidRDefault="0030330A">
      <w:pPr>
        <w:ind w:left="720"/>
        <w:jc w:val="both"/>
        <w:rPr>
          <w:sz w:val="12"/>
          <w:szCs w:val="12"/>
        </w:rPr>
      </w:pPr>
    </w:p>
    <w:p w:rsidR="0030330A" w:rsidRDefault="00000000">
      <w:pPr>
        <w:rPr>
          <w:b/>
        </w:rPr>
      </w:pPr>
      <w:r>
        <w:rPr>
          <w:b/>
        </w:rPr>
        <w:t>Employment  (art. 1, 2, 3, 6, 7, 8, 10, 11)</w:t>
      </w:r>
      <w:r>
        <w:rPr>
          <w:b/>
        </w:rPr>
        <w:tab/>
      </w:r>
      <w:r>
        <w:rPr>
          <w:b/>
        </w:rPr>
        <w:tab/>
      </w:r>
      <w:r>
        <w:rPr>
          <w:b/>
        </w:rPr>
        <w:tab/>
      </w:r>
      <w:r>
        <w:rPr>
          <w:b/>
        </w:rPr>
        <w:tab/>
      </w:r>
      <w:r>
        <w:rPr>
          <w:b/>
        </w:rPr>
        <w:tab/>
      </w:r>
      <w:r>
        <w:rPr>
          <w:b/>
        </w:rPr>
        <w:tab/>
      </w:r>
      <w:r>
        <w:rPr>
          <w:b/>
        </w:rPr>
        <w:tab/>
        <w:t>3</w:t>
      </w:r>
    </w:p>
    <w:p w:rsidR="0030330A" w:rsidRDefault="00000000">
      <w:pPr>
        <w:numPr>
          <w:ilvl w:val="0"/>
          <w:numId w:val="6"/>
        </w:numPr>
        <w:ind w:left="425" w:hanging="270"/>
        <w:jc w:val="both"/>
        <w:rPr>
          <w:sz w:val="20"/>
          <w:szCs w:val="20"/>
        </w:rPr>
      </w:pPr>
      <w:r>
        <w:rPr>
          <w:sz w:val="20"/>
          <w:szCs w:val="20"/>
        </w:rPr>
        <w:t xml:space="preserve">Legislation to protect Covenant rights of People of African Descent </w:t>
      </w:r>
    </w:p>
    <w:p w:rsidR="0030330A" w:rsidRDefault="00000000">
      <w:pPr>
        <w:numPr>
          <w:ilvl w:val="0"/>
          <w:numId w:val="6"/>
        </w:numPr>
        <w:ind w:left="425" w:hanging="270"/>
        <w:jc w:val="both"/>
        <w:rPr>
          <w:sz w:val="20"/>
          <w:szCs w:val="20"/>
        </w:rPr>
      </w:pPr>
      <w:r>
        <w:rPr>
          <w:sz w:val="20"/>
          <w:szCs w:val="20"/>
        </w:rPr>
        <w:t>Right to work for ex-offenders of African Descent</w:t>
      </w:r>
    </w:p>
    <w:p w:rsidR="0030330A" w:rsidRDefault="00000000">
      <w:pPr>
        <w:numPr>
          <w:ilvl w:val="0"/>
          <w:numId w:val="6"/>
        </w:numPr>
        <w:ind w:left="425" w:hanging="270"/>
        <w:jc w:val="both"/>
        <w:rPr>
          <w:sz w:val="20"/>
          <w:szCs w:val="20"/>
        </w:rPr>
      </w:pPr>
      <w:r>
        <w:rPr>
          <w:sz w:val="20"/>
          <w:szCs w:val="20"/>
        </w:rPr>
        <w:t xml:space="preserve">Women of African Descent in the UK Criminal Justice System </w:t>
      </w:r>
    </w:p>
    <w:p w:rsidR="0030330A" w:rsidRDefault="0030330A">
      <w:pPr>
        <w:ind w:left="720"/>
        <w:jc w:val="both"/>
        <w:rPr>
          <w:sz w:val="12"/>
          <w:szCs w:val="12"/>
        </w:rPr>
      </w:pPr>
    </w:p>
    <w:p w:rsidR="0030330A" w:rsidRDefault="0030330A">
      <w:pPr>
        <w:rPr>
          <w:b/>
          <w:sz w:val="12"/>
          <w:szCs w:val="12"/>
        </w:rPr>
      </w:pPr>
    </w:p>
    <w:p w:rsidR="0030330A" w:rsidRDefault="00000000">
      <w:pPr>
        <w:rPr>
          <w:sz w:val="16"/>
          <w:szCs w:val="16"/>
        </w:rPr>
      </w:pPr>
      <w:r>
        <w:rPr>
          <w:b/>
        </w:rPr>
        <w:t>Cultural Life  (art. 1, 2, 3, 11, 12, 15)</w:t>
      </w:r>
      <w:r>
        <w:rPr>
          <w:b/>
        </w:rPr>
        <w:tab/>
      </w:r>
      <w:r>
        <w:rPr>
          <w:b/>
        </w:rPr>
        <w:tab/>
      </w:r>
      <w:r>
        <w:rPr>
          <w:b/>
        </w:rPr>
        <w:tab/>
      </w:r>
      <w:r>
        <w:rPr>
          <w:b/>
        </w:rPr>
        <w:tab/>
      </w:r>
      <w:r>
        <w:rPr>
          <w:b/>
        </w:rPr>
        <w:tab/>
      </w:r>
      <w:r>
        <w:rPr>
          <w:b/>
        </w:rPr>
        <w:tab/>
      </w:r>
      <w:r>
        <w:rPr>
          <w:b/>
        </w:rPr>
        <w:tab/>
        <w:t>5</w:t>
      </w:r>
    </w:p>
    <w:p w:rsidR="0030330A" w:rsidRDefault="00000000">
      <w:pPr>
        <w:numPr>
          <w:ilvl w:val="0"/>
          <w:numId w:val="3"/>
        </w:numPr>
        <w:ind w:left="425" w:right="104" w:hanging="270"/>
        <w:jc w:val="both"/>
        <w:rPr>
          <w:sz w:val="20"/>
          <w:szCs w:val="20"/>
        </w:rPr>
      </w:pPr>
      <w:r>
        <w:rPr>
          <w:sz w:val="20"/>
          <w:szCs w:val="20"/>
        </w:rPr>
        <w:t>Criminalisation of the Cultural Expression of People of African Descent</w:t>
      </w:r>
      <w:r>
        <w:rPr>
          <w:b/>
        </w:rPr>
        <w:t xml:space="preserve"> </w:t>
      </w:r>
    </w:p>
    <w:p w:rsidR="0030330A" w:rsidRDefault="00000000">
      <w:pPr>
        <w:numPr>
          <w:ilvl w:val="0"/>
          <w:numId w:val="3"/>
        </w:numPr>
        <w:ind w:left="425" w:hanging="270"/>
        <w:jc w:val="both"/>
        <w:rPr>
          <w:sz w:val="20"/>
          <w:szCs w:val="20"/>
        </w:rPr>
      </w:pPr>
      <w:r>
        <w:rPr>
          <w:sz w:val="20"/>
          <w:szCs w:val="20"/>
        </w:rPr>
        <w:t>Right to Cultural Expression through Social Media</w:t>
      </w:r>
    </w:p>
    <w:p w:rsidR="0030330A" w:rsidRDefault="00000000">
      <w:pPr>
        <w:numPr>
          <w:ilvl w:val="0"/>
          <w:numId w:val="3"/>
        </w:numPr>
        <w:ind w:left="425" w:hanging="270"/>
        <w:jc w:val="both"/>
        <w:rPr>
          <w:sz w:val="20"/>
          <w:szCs w:val="20"/>
        </w:rPr>
      </w:pPr>
      <w:r>
        <w:rPr>
          <w:sz w:val="20"/>
          <w:szCs w:val="20"/>
        </w:rPr>
        <w:t>Representation of People of African Descent in the Public Realm</w:t>
      </w:r>
    </w:p>
    <w:p w:rsidR="0030330A" w:rsidRDefault="00000000">
      <w:pPr>
        <w:numPr>
          <w:ilvl w:val="0"/>
          <w:numId w:val="3"/>
        </w:numPr>
        <w:ind w:left="425" w:hanging="270"/>
        <w:jc w:val="both"/>
        <w:rPr>
          <w:sz w:val="20"/>
          <w:szCs w:val="20"/>
        </w:rPr>
      </w:pPr>
      <w:r>
        <w:rPr>
          <w:sz w:val="20"/>
          <w:szCs w:val="20"/>
        </w:rPr>
        <w:t xml:space="preserve">Discrimination Against Rastafari of African Descent </w:t>
      </w:r>
    </w:p>
    <w:p w:rsidR="0030330A" w:rsidRDefault="0030330A">
      <w:pPr>
        <w:rPr>
          <w:b/>
          <w:sz w:val="12"/>
          <w:szCs w:val="12"/>
        </w:rPr>
      </w:pPr>
    </w:p>
    <w:p w:rsidR="0030330A" w:rsidRDefault="0030330A">
      <w:pPr>
        <w:rPr>
          <w:b/>
          <w:sz w:val="12"/>
          <w:szCs w:val="12"/>
        </w:rPr>
      </w:pPr>
    </w:p>
    <w:p w:rsidR="0030330A" w:rsidRDefault="00000000">
      <w:pPr>
        <w:spacing w:after="16"/>
        <w:ind w:right="104"/>
        <w:rPr>
          <w:b/>
          <w:sz w:val="6"/>
          <w:szCs w:val="6"/>
        </w:rPr>
      </w:pPr>
      <w:r>
        <w:rPr>
          <w:b/>
        </w:rPr>
        <w:t>Children’s Education and Protection  (art. 1, 2, 3, 10, 11, 12, 13)</w:t>
      </w:r>
      <w:r>
        <w:rPr>
          <w:b/>
        </w:rPr>
        <w:tab/>
      </w:r>
      <w:r>
        <w:rPr>
          <w:b/>
        </w:rPr>
        <w:tab/>
      </w:r>
      <w:r>
        <w:rPr>
          <w:b/>
        </w:rPr>
        <w:tab/>
        <w:t>9</w:t>
      </w:r>
    </w:p>
    <w:p w:rsidR="0030330A" w:rsidRDefault="00000000">
      <w:pPr>
        <w:numPr>
          <w:ilvl w:val="0"/>
          <w:numId w:val="5"/>
        </w:numPr>
        <w:ind w:left="425" w:hanging="270"/>
        <w:rPr>
          <w:sz w:val="20"/>
          <w:szCs w:val="20"/>
        </w:rPr>
      </w:pPr>
      <w:r>
        <w:rPr>
          <w:sz w:val="20"/>
          <w:szCs w:val="20"/>
        </w:rPr>
        <w:t>Right to Education that Promotes Dignity, Equality and Self Determination</w:t>
      </w:r>
    </w:p>
    <w:p w:rsidR="0030330A" w:rsidRDefault="00000000">
      <w:pPr>
        <w:numPr>
          <w:ilvl w:val="0"/>
          <w:numId w:val="5"/>
        </w:numPr>
        <w:ind w:left="425" w:hanging="270"/>
        <w:rPr>
          <w:sz w:val="20"/>
          <w:szCs w:val="20"/>
        </w:rPr>
      </w:pPr>
      <w:r>
        <w:rPr>
          <w:sz w:val="20"/>
          <w:szCs w:val="20"/>
        </w:rPr>
        <w:t>Children of African Descent and the School-to-Prison Pipeline</w:t>
      </w:r>
    </w:p>
    <w:p w:rsidR="0030330A" w:rsidRDefault="00000000">
      <w:pPr>
        <w:numPr>
          <w:ilvl w:val="0"/>
          <w:numId w:val="5"/>
        </w:numPr>
        <w:ind w:left="425" w:hanging="270"/>
        <w:rPr>
          <w:sz w:val="20"/>
          <w:szCs w:val="20"/>
        </w:rPr>
      </w:pPr>
      <w:r>
        <w:rPr>
          <w:sz w:val="20"/>
          <w:szCs w:val="20"/>
        </w:rPr>
        <w:t>Safeguarding and Development of Children of African Descent</w:t>
      </w:r>
    </w:p>
    <w:p w:rsidR="0030330A" w:rsidRDefault="00000000">
      <w:pPr>
        <w:numPr>
          <w:ilvl w:val="0"/>
          <w:numId w:val="5"/>
        </w:numPr>
        <w:ind w:left="425" w:hanging="270"/>
        <w:rPr>
          <w:sz w:val="20"/>
          <w:szCs w:val="20"/>
        </w:rPr>
      </w:pPr>
      <w:r>
        <w:rPr>
          <w:sz w:val="20"/>
          <w:szCs w:val="20"/>
        </w:rPr>
        <w:t>Institutional Racism in response to Missing Children of African Descent</w:t>
      </w:r>
    </w:p>
    <w:p w:rsidR="0030330A" w:rsidRDefault="0030330A">
      <w:pPr>
        <w:rPr>
          <w:b/>
          <w:sz w:val="12"/>
          <w:szCs w:val="12"/>
        </w:rPr>
      </w:pPr>
    </w:p>
    <w:p w:rsidR="0030330A" w:rsidRDefault="0030330A">
      <w:pPr>
        <w:rPr>
          <w:b/>
          <w:sz w:val="12"/>
          <w:szCs w:val="12"/>
        </w:rPr>
      </w:pPr>
    </w:p>
    <w:p w:rsidR="0030330A" w:rsidRDefault="00000000">
      <w:pPr>
        <w:spacing w:after="10"/>
        <w:ind w:right="104"/>
        <w:rPr>
          <w:b/>
          <w:sz w:val="6"/>
          <w:szCs w:val="6"/>
        </w:rPr>
      </w:pPr>
      <w:r>
        <w:rPr>
          <w:b/>
        </w:rPr>
        <w:t>Physical and Mental Health  (art. 1, 2, 3, 10, 11, 12)</w:t>
      </w:r>
      <w:r>
        <w:rPr>
          <w:b/>
        </w:rPr>
        <w:tab/>
      </w:r>
      <w:r>
        <w:rPr>
          <w:b/>
        </w:rPr>
        <w:tab/>
      </w:r>
      <w:r>
        <w:rPr>
          <w:b/>
        </w:rPr>
        <w:tab/>
      </w:r>
      <w:r>
        <w:rPr>
          <w:b/>
        </w:rPr>
        <w:tab/>
        <w:t xml:space="preserve">          12</w:t>
      </w:r>
    </w:p>
    <w:p w:rsidR="0030330A" w:rsidRDefault="00000000">
      <w:pPr>
        <w:numPr>
          <w:ilvl w:val="0"/>
          <w:numId w:val="1"/>
        </w:numPr>
        <w:ind w:left="425" w:right="-40" w:hanging="283"/>
        <w:rPr>
          <w:sz w:val="20"/>
          <w:szCs w:val="20"/>
        </w:rPr>
      </w:pPr>
      <w:r>
        <w:rPr>
          <w:sz w:val="20"/>
          <w:szCs w:val="20"/>
        </w:rPr>
        <w:t>Institutional Racism within the UK National Health Service (NHS)</w:t>
      </w:r>
    </w:p>
    <w:p w:rsidR="0030330A" w:rsidRDefault="00000000">
      <w:pPr>
        <w:numPr>
          <w:ilvl w:val="0"/>
          <w:numId w:val="1"/>
        </w:numPr>
        <w:ind w:left="425" w:hanging="285"/>
        <w:jc w:val="both"/>
      </w:pPr>
      <w:r>
        <w:rPr>
          <w:sz w:val="20"/>
          <w:szCs w:val="20"/>
        </w:rPr>
        <w:t>Discrimination Against Elders of African Descent</w:t>
      </w:r>
    </w:p>
    <w:p w:rsidR="0030330A" w:rsidRDefault="0030330A">
      <w:pPr>
        <w:ind w:right="-40"/>
        <w:rPr>
          <w:b/>
          <w:sz w:val="12"/>
          <w:szCs w:val="12"/>
        </w:rPr>
      </w:pPr>
    </w:p>
    <w:p w:rsidR="0030330A" w:rsidRDefault="0030330A">
      <w:pPr>
        <w:ind w:right="-40"/>
        <w:rPr>
          <w:b/>
          <w:sz w:val="12"/>
          <w:szCs w:val="12"/>
        </w:rPr>
      </w:pPr>
    </w:p>
    <w:p w:rsidR="0030330A" w:rsidRDefault="00000000">
      <w:pPr>
        <w:spacing w:after="15"/>
        <w:ind w:right="104"/>
        <w:rPr>
          <w:b/>
          <w:sz w:val="6"/>
          <w:szCs w:val="6"/>
        </w:rPr>
      </w:pPr>
      <w:r>
        <w:rPr>
          <w:b/>
        </w:rPr>
        <w:t>Cultural Development  (art. 1, 2, 3, 6, 10, 11, 15)</w:t>
      </w:r>
      <w:r>
        <w:rPr>
          <w:b/>
        </w:rPr>
        <w:tab/>
      </w:r>
      <w:r>
        <w:rPr>
          <w:b/>
        </w:rPr>
        <w:tab/>
      </w:r>
      <w:r>
        <w:rPr>
          <w:b/>
        </w:rPr>
        <w:tab/>
      </w:r>
      <w:r>
        <w:rPr>
          <w:b/>
        </w:rPr>
        <w:tab/>
      </w:r>
      <w:r>
        <w:rPr>
          <w:b/>
        </w:rPr>
        <w:tab/>
        <w:t xml:space="preserve">          14</w:t>
      </w:r>
    </w:p>
    <w:p w:rsidR="0030330A" w:rsidRDefault="00000000">
      <w:pPr>
        <w:numPr>
          <w:ilvl w:val="0"/>
          <w:numId w:val="1"/>
        </w:numPr>
        <w:ind w:left="425" w:hanging="285"/>
        <w:jc w:val="both"/>
        <w:rPr>
          <w:sz w:val="20"/>
          <w:szCs w:val="20"/>
        </w:rPr>
      </w:pPr>
      <w:r>
        <w:rPr>
          <w:sz w:val="20"/>
          <w:szCs w:val="20"/>
        </w:rPr>
        <w:t>Self Determination and Development of People of African Descent</w:t>
      </w:r>
    </w:p>
    <w:p w:rsidR="0030330A" w:rsidRDefault="0030330A">
      <w:pPr>
        <w:jc w:val="both"/>
        <w:rPr>
          <w:i/>
          <w:sz w:val="12"/>
          <w:szCs w:val="12"/>
        </w:rPr>
      </w:pPr>
    </w:p>
    <w:p w:rsidR="0030330A" w:rsidRDefault="0030330A">
      <w:pPr>
        <w:jc w:val="both"/>
        <w:rPr>
          <w:b/>
          <w:color w:val="674EA7"/>
          <w:sz w:val="12"/>
          <w:szCs w:val="12"/>
          <w:u w:val="single"/>
        </w:rPr>
      </w:pPr>
    </w:p>
    <w:p w:rsidR="0030330A" w:rsidRDefault="00000000">
      <w:pPr>
        <w:ind w:right="-40"/>
        <w:rPr>
          <w:b/>
          <w:color w:val="674EA7"/>
          <w:sz w:val="26"/>
          <w:szCs w:val="26"/>
          <w:u w:val="single"/>
        </w:rPr>
      </w:pPr>
      <w:r>
        <w:rPr>
          <w:b/>
          <w:sz w:val="10"/>
          <w:szCs w:val="10"/>
        </w:rPr>
        <w:tab/>
      </w:r>
      <w:r>
        <w:rPr>
          <w:b/>
          <w:sz w:val="10"/>
          <w:szCs w:val="10"/>
        </w:rPr>
        <w:tab/>
      </w:r>
      <w:r>
        <w:rPr>
          <w:b/>
          <w:sz w:val="10"/>
          <w:szCs w:val="10"/>
        </w:rPr>
        <w:tab/>
      </w:r>
      <w:r>
        <w:rPr>
          <w:b/>
          <w:sz w:val="10"/>
          <w:szCs w:val="10"/>
        </w:rPr>
        <w:tab/>
      </w:r>
      <w:r>
        <w:br w:type="page"/>
      </w:r>
    </w:p>
    <w:p w:rsidR="0030330A" w:rsidRDefault="00000000">
      <w:pPr>
        <w:ind w:right="-40"/>
        <w:rPr>
          <w:sz w:val="20"/>
          <w:szCs w:val="20"/>
        </w:rPr>
      </w:pPr>
      <w:r>
        <w:rPr>
          <w:b/>
          <w:color w:val="674EA7"/>
          <w:sz w:val="26"/>
          <w:szCs w:val="26"/>
          <w:u w:val="single"/>
        </w:rPr>
        <w:lastRenderedPageBreak/>
        <w:t>Introduction</w:t>
      </w:r>
    </w:p>
    <w:p w:rsidR="0030330A" w:rsidRDefault="00000000">
      <w:pPr>
        <w:spacing w:before="120" w:after="120" w:line="240" w:lineRule="auto"/>
        <w:jc w:val="both"/>
        <w:rPr>
          <w:sz w:val="20"/>
          <w:szCs w:val="20"/>
        </w:rPr>
      </w:pPr>
      <w:r>
        <w:rPr>
          <w:sz w:val="20"/>
          <w:szCs w:val="20"/>
        </w:rPr>
        <w:t xml:space="preserve">This UN Shadow Report submission is made on behalf of </w:t>
      </w:r>
      <w:r>
        <w:rPr>
          <w:i/>
          <w:sz w:val="20"/>
          <w:szCs w:val="20"/>
        </w:rPr>
        <w:t>Building Trust Consortium</w:t>
      </w:r>
      <w:r>
        <w:rPr>
          <w:sz w:val="20"/>
          <w:szCs w:val="20"/>
        </w:rPr>
        <w:t xml:space="preserve"> - a civil society organisation (CSO) dedicated to the reparation and self-determination of People of African Descent. </w:t>
      </w:r>
    </w:p>
    <w:p w:rsidR="0030330A" w:rsidRDefault="00000000">
      <w:pPr>
        <w:spacing w:before="120" w:after="120" w:line="240" w:lineRule="auto"/>
        <w:jc w:val="both"/>
        <w:rPr>
          <w:i/>
          <w:sz w:val="20"/>
          <w:szCs w:val="20"/>
        </w:rPr>
      </w:pPr>
      <w:r>
        <w:rPr>
          <w:sz w:val="20"/>
          <w:szCs w:val="20"/>
        </w:rPr>
        <w:t xml:space="preserve">Our aim is to raise awareness of the </w:t>
      </w:r>
      <w:r>
        <w:rPr>
          <w:i/>
          <w:sz w:val="20"/>
          <w:szCs w:val="20"/>
        </w:rPr>
        <w:t>International Covenant on Economic, Social and Cultural Rights</w:t>
      </w:r>
      <w:r>
        <w:rPr>
          <w:sz w:val="20"/>
          <w:szCs w:val="20"/>
        </w:rPr>
        <w:t xml:space="preserve"> </w:t>
      </w:r>
      <w:r>
        <w:rPr>
          <w:i/>
          <w:sz w:val="20"/>
          <w:szCs w:val="20"/>
        </w:rPr>
        <w:t>(ICESCR),</w:t>
      </w:r>
      <w:r>
        <w:rPr>
          <w:sz w:val="20"/>
          <w:szCs w:val="20"/>
        </w:rPr>
        <w:t xml:space="preserve"> and support the work of the </w:t>
      </w:r>
      <w:r>
        <w:rPr>
          <w:i/>
          <w:sz w:val="20"/>
          <w:szCs w:val="20"/>
        </w:rPr>
        <w:t xml:space="preserve">Committee on Economic, Social and Cultural Rights (CESCR), </w:t>
      </w:r>
      <w:r>
        <w:rPr>
          <w:sz w:val="20"/>
          <w:szCs w:val="20"/>
        </w:rPr>
        <w:t>by highlighting violations of Covenant rights of People of African Descent in the UK.</w:t>
      </w:r>
    </w:p>
    <w:p w:rsidR="0030330A" w:rsidRDefault="00000000">
      <w:pPr>
        <w:spacing w:before="120" w:after="120" w:line="240" w:lineRule="auto"/>
        <w:jc w:val="both"/>
        <w:rPr>
          <w:b/>
          <w:color w:val="674EA7"/>
          <w:sz w:val="12"/>
          <w:szCs w:val="12"/>
          <w:u w:val="single"/>
        </w:rPr>
      </w:pPr>
      <w:r>
        <w:rPr>
          <w:sz w:val="20"/>
          <w:szCs w:val="20"/>
        </w:rPr>
        <w:t>This work was produced with the support of CSOs and individuals in the UK who have submitted written and oral evidence. Our submission is not intended to be an exhaustive account. We nevertheless hope our efforts contribute to the CESCR’s 7th Review of the UK’s ICESCR compliance.</w:t>
      </w:r>
    </w:p>
    <w:p w:rsidR="0030330A" w:rsidRDefault="0030330A">
      <w:pPr>
        <w:spacing w:before="240" w:after="240" w:line="240" w:lineRule="auto"/>
        <w:jc w:val="both"/>
        <w:rPr>
          <w:b/>
          <w:color w:val="674EA7"/>
          <w:sz w:val="10"/>
          <w:szCs w:val="10"/>
          <w:u w:val="single"/>
        </w:rPr>
      </w:pPr>
    </w:p>
    <w:p w:rsidR="0030330A" w:rsidRDefault="00000000">
      <w:pPr>
        <w:spacing w:before="240" w:after="240" w:line="240" w:lineRule="auto"/>
        <w:jc w:val="both"/>
        <w:rPr>
          <w:b/>
          <w:i/>
          <w:sz w:val="26"/>
          <w:szCs w:val="26"/>
        </w:rPr>
      </w:pPr>
      <w:r>
        <w:rPr>
          <w:b/>
          <w:color w:val="674EA7"/>
          <w:sz w:val="26"/>
          <w:szCs w:val="26"/>
          <w:u w:val="single"/>
        </w:rPr>
        <w:t>Acknowledgements</w:t>
      </w:r>
      <w:r>
        <w:rPr>
          <w:b/>
          <w:i/>
          <w:sz w:val="26"/>
          <w:szCs w:val="26"/>
        </w:rPr>
        <w:t xml:space="preserve"> </w:t>
      </w:r>
    </w:p>
    <w:p w:rsidR="0030330A" w:rsidRDefault="00000000">
      <w:pPr>
        <w:spacing w:before="240" w:after="240" w:line="240" w:lineRule="auto"/>
        <w:jc w:val="both"/>
        <w:rPr>
          <w:i/>
          <w:sz w:val="20"/>
          <w:szCs w:val="20"/>
        </w:rPr>
      </w:pPr>
      <w:r>
        <w:rPr>
          <w:i/>
          <w:sz w:val="20"/>
          <w:szCs w:val="20"/>
        </w:rPr>
        <w:t xml:space="preserve">This UN Shadow Report was researched and written by Kwesi Ochosi, UN Fellow. </w:t>
      </w:r>
    </w:p>
    <w:p w:rsidR="0030330A" w:rsidRDefault="00000000">
      <w:pPr>
        <w:spacing w:before="240" w:after="240" w:line="240" w:lineRule="auto"/>
        <w:jc w:val="both"/>
        <w:rPr>
          <w:b/>
          <w:color w:val="674EA7"/>
          <w:sz w:val="26"/>
          <w:szCs w:val="26"/>
          <w:u w:val="single"/>
        </w:rPr>
      </w:pPr>
      <w:r>
        <w:rPr>
          <w:sz w:val="20"/>
          <w:szCs w:val="20"/>
        </w:rPr>
        <w:t xml:space="preserve">I would like to thank the staff of the Office of the High Commissioner for Human Rights, and in particular the Coordinator of the 2024 UN Fellowship Programme for People of African Descent. In order for the rights enshrined in the ICESCR to be fully enjoyed by all they must first be widely known and understood. I commend the work of the Fellowship Programme for providing the necessary resources and training to complete this CESCR submission. </w:t>
      </w:r>
    </w:p>
    <w:p w:rsidR="0030330A" w:rsidRDefault="0030330A">
      <w:pPr>
        <w:spacing w:before="240" w:after="240" w:line="240" w:lineRule="auto"/>
        <w:jc w:val="both"/>
        <w:rPr>
          <w:b/>
          <w:color w:val="674EA7"/>
          <w:sz w:val="10"/>
          <w:szCs w:val="10"/>
          <w:u w:val="single"/>
        </w:rPr>
      </w:pPr>
    </w:p>
    <w:p w:rsidR="0030330A" w:rsidRDefault="00000000">
      <w:pPr>
        <w:spacing w:before="240" w:after="240" w:line="240" w:lineRule="auto"/>
        <w:jc w:val="both"/>
        <w:rPr>
          <w:i/>
          <w:sz w:val="20"/>
          <w:szCs w:val="20"/>
        </w:rPr>
      </w:pPr>
      <w:r>
        <w:rPr>
          <w:b/>
          <w:color w:val="674EA7"/>
          <w:sz w:val="26"/>
          <w:szCs w:val="26"/>
          <w:u w:val="single"/>
        </w:rPr>
        <w:t>Contributors</w:t>
      </w:r>
      <w:r>
        <w:rPr>
          <w:i/>
          <w:sz w:val="20"/>
          <w:szCs w:val="20"/>
        </w:rPr>
        <w:t xml:space="preserve"> </w:t>
      </w:r>
    </w:p>
    <w:p w:rsidR="0030330A" w:rsidRDefault="00000000">
      <w:pPr>
        <w:spacing w:before="40" w:after="40" w:line="240" w:lineRule="auto"/>
        <w:jc w:val="both"/>
        <w:rPr>
          <w:sz w:val="20"/>
          <w:szCs w:val="20"/>
        </w:rPr>
      </w:pPr>
      <w:r>
        <w:rPr>
          <w:b/>
          <w:i/>
          <w:sz w:val="20"/>
          <w:szCs w:val="20"/>
        </w:rPr>
        <w:t>Building Trust Consortium</w:t>
      </w:r>
      <w:r>
        <w:rPr>
          <w:i/>
          <w:sz w:val="20"/>
          <w:szCs w:val="20"/>
        </w:rPr>
        <w:t xml:space="preserve"> </w:t>
      </w:r>
      <w:r>
        <w:rPr>
          <w:sz w:val="20"/>
          <w:szCs w:val="20"/>
        </w:rPr>
        <w:t>is a national membership organisation of Pan-Afrikan grassroots groups and activists. We campaign for the full enjoyment of human rights for People of African Descent.</w:t>
      </w:r>
    </w:p>
    <w:p w:rsidR="0030330A" w:rsidRDefault="0030330A">
      <w:pPr>
        <w:spacing w:before="40" w:after="40" w:line="240" w:lineRule="auto"/>
        <w:jc w:val="both"/>
        <w:rPr>
          <w:sz w:val="20"/>
          <w:szCs w:val="20"/>
        </w:rPr>
      </w:pPr>
    </w:p>
    <w:p w:rsidR="0030330A" w:rsidRDefault="00000000">
      <w:pPr>
        <w:spacing w:before="40" w:after="40" w:line="240" w:lineRule="auto"/>
        <w:jc w:val="both"/>
        <w:rPr>
          <w:sz w:val="20"/>
          <w:szCs w:val="20"/>
        </w:rPr>
      </w:pPr>
      <w:r>
        <w:rPr>
          <w:b/>
          <w:i/>
          <w:sz w:val="20"/>
          <w:szCs w:val="20"/>
        </w:rPr>
        <w:t>Manhood Academy Global (MAG)</w:t>
      </w:r>
      <w:r>
        <w:rPr>
          <w:i/>
          <w:sz w:val="20"/>
          <w:szCs w:val="20"/>
        </w:rPr>
        <w:t xml:space="preserve"> </w:t>
      </w:r>
      <w:r>
        <w:rPr>
          <w:sz w:val="20"/>
          <w:szCs w:val="20"/>
        </w:rPr>
        <w:t>is an award-winning, trauma-informed, rites of passage training academy that provides Black children and families with life-changing interventions and opportunities.</w:t>
      </w:r>
    </w:p>
    <w:p w:rsidR="0030330A" w:rsidRDefault="0030330A">
      <w:pPr>
        <w:spacing w:before="40" w:after="40" w:line="240" w:lineRule="auto"/>
        <w:jc w:val="both"/>
        <w:rPr>
          <w:sz w:val="20"/>
          <w:szCs w:val="20"/>
        </w:rPr>
      </w:pPr>
    </w:p>
    <w:p w:rsidR="0030330A" w:rsidRDefault="00000000">
      <w:pPr>
        <w:spacing w:before="40" w:after="40" w:line="240" w:lineRule="auto"/>
        <w:jc w:val="both"/>
        <w:rPr>
          <w:sz w:val="20"/>
          <w:szCs w:val="20"/>
        </w:rPr>
      </w:pPr>
      <w:r>
        <w:rPr>
          <w:b/>
          <w:i/>
          <w:sz w:val="20"/>
          <w:szCs w:val="20"/>
        </w:rPr>
        <w:t xml:space="preserve">Just Education Matters </w:t>
      </w:r>
      <w:r>
        <w:rPr>
          <w:sz w:val="20"/>
          <w:szCs w:val="20"/>
        </w:rPr>
        <w:t>is an African heritage organisation committed to supporting families to tackle inequalities in education, particularly in the area of school exclusions and human rights.</w:t>
      </w:r>
    </w:p>
    <w:p w:rsidR="0030330A" w:rsidRDefault="0030330A">
      <w:pPr>
        <w:spacing w:before="40" w:after="40" w:line="240" w:lineRule="auto"/>
        <w:jc w:val="both"/>
        <w:rPr>
          <w:sz w:val="20"/>
          <w:szCs w:val="20"/>
        </w:rPr>
      </w:pPr>
    </w:p>
    <w:p w:rsidR="0030330A" w:rsidRDefault="00000000">
      <w:pPr>
        <w:spacing w:before="40" w:after="40" w:line="240" w:lineRule="auto"/>
        <w:jc w:val="both"/>
        <w:rPr>
          <w:sz w:val="20"/>
          <w:szCs w:val="20"/>
        </w:rPr>
      </w:pPr>
      <w:r>
        <w:rPr>
          <w:b/>
          <w:i/>
          <w:sz w:val="20"/>
          <w:szCs w:val="20"/>
        </w:rPr>
        <w:t xml:space="preserve">Afrikan Freedom &amp; Reparation Initiative (AFRI) </w:t>
      </w:r>
      <w:r>
        <w:rPr>
          <w:sz w:val="20"/>
          <w:szCs w:val="20"/>
        </w:rPr>
        <w:t>is an Afrikan Heritage community organisation committed to decolonising the public realm and celebrating Afrikan Life in civic spaces.</w:t>
      </w:r>
    </w:p>
    <w:p w:rsidR="0030330A" w:rsidRDefault="0030330A">
      <w:pPr>
        <w:spacing w:before="40" w:after="40" w:line="240" w:lineRule="auto"/>
        <w:jc w:val="both"/>
        <w:rPr>
          <w:sz w:val="20"/>
          <w:szCs w:val="20"/>
        </w:rPr>
      </w:pPr>
    </w:p>
    <w:p w:rsidR="0030330A" w:rsidRDefault="00000000">
      <w:pPr>
        <w:spacing w:before="40" w:after="40" w:line="240" w:lineRule="auto"/>
        <w:jc w:val="both"/>
        <w:rPr>
          <w:sz w:val="20"/>
          <w:szCs w:val="20"/>
        </w:rPr>
      </w:pPr>
      <w:r>
        <w:rPr>
          <w:b/>
          <w:i/>
          <w:sz w:val="20"/>
          <w:szCs w:val="20"/>
        </w:rPr>
        <w:t xml:space="preserve">Black Mama Earth </w:t>
      </w:r>
      <w:r>
        <w:rPr>
          <w:sz w:val="20"/>
          <w:szCs w:val="20"/>
        </w:rPr>
        <w:t xml:space="preserve">is a Rastafari-led civil society organisation that offers chaplaincy support and human rights advocacy to Rastafari in local communities and within UK prisons nationwide </w:t>
      </w:r>
    </w:p>
    <w:p w:rsidR="0030330A" w:rsidRDefault="0030330A">
      <w:pPr>
        <w:spacing w:before="40" w:after="40" w:line="240" w:lineRule="auto"/>
        <w:jc w:val="both"/>
        <w:rPr>
          <w:sz w:val="20"/>
          <w:szCs w:val="20"/>
        </w:rPr>
      </w:pPr>
    </w:p>
    <w:p w:rsidR="0030330A" w:rsidRDefault="00000000">
      <w:pPr>
        <w:spacing w:before="40" w:after="40" w:line="240" w:lineRule="auto"/>
        <w:jc w:val="both"/>
        <w:rPr>
          <w:sz w:val="20"/>
          <w:szCs w:val="20"/>
        </w:rPr>
      </w:pPr>
      <w:r>
        <w:rPr>
          <w:b/>
          <w:i/>
          <w:sz w:val="20"/>
          <w:szCs w:val="20"/>
        </w:rPr>
        <w:t xml:space="preserve">Global Afrikan Congress uk (GACuk) </w:t>
      </w:r>
      <w:r>
        <w:rPr>
          <w:sz w:val="20"/>
          <w:szCs w:val="20"/>
        </w:rPr>
        <w:t xml:space="preserve">is the UK Chapter of Global Afrikan Congress. </w:t>
      </w:r>
      <w:r w:rsidR="00E540A9">
        <w:rPr>
          <w:sz w:val="20"/>
          <w:szCs w:val="20"/>
        </w:rPr>
        <w:t>GACuk</w:t>
      </w:r>
      <w:r>
        <w:rPr>
          <w:sz w:val="20"/>
          <w:szCs w:val="20"/>
        </w:rPr>
        <w:t xml:space="preserve"> is a Pan-Afrikan membership organisation with ECOSOC-status that campaigns for Afrikan reparations.</w:t>
      </w:r>
    </w:p>
    <w:p w:rsidR="0030330A" w:rsidRDefault="0030330A">
      <w:pPr>
        <w:spacing w:before="40" w:after="40" w:line="240" w:lineRule="auto"/>
        <w:jc w:val="both"/>
        <w:rPr>
          <w:sz w:val="20"/>
          <w:szCs w:val="20"/>
        </w:rPr>
      </w:pPr>
    </w:p>
    <w:p w:rsidR="0030330A" w:rsidRDefault="00000000">
      <w:pPr>
        <w:spacing w:before="40" w:after="40" w:line="240" w:lineRule="auto"/>
        <w:jc w:val="both"/>
        <w:rPr>
          <w:sz w:val="20"/>
          <w:szCs w:val="20"/>
        </w:rPr>
      </w:pPr>
      <w:r>
        <w:rPr>
          <w:b/>
          <w:i/>
          <w:sz w:val="20"/>
          <w:szCs w:val="20"/>
        </w:rPr>
        <w:t>Ife Thompson</w:t>
      </w:r>
      <w:r>
        <w:rPr>
          <w:i/>
          <w:sz w:val="20"/>
          <w:szCs w:val="20"/>
        </w:rPr>
        <w:t xml:space="preserve"> </w:t>
      </w:r>
      <w:r>
        <w:rPr>
          <w:sz w:val="20"/>
          <w:szCs w:val="20"/>
        </w:rPr>
        <w:t xml:space="preserve">is a Barrister, Movement Lawyer, UN Fellow, and Founder of BLAM UK and Black Protest Legal Support UK. She campaigns for the rights of people of African Descent in the UK. </w:t>
      </w:r>
    </w:p>
    <w:p w:rsidR="0030330A" w:rsidRDefault="0030330A">
      <w:pPr>
        <w:spacing w:before="40" w:after="40" w:line="240" w:lineRule="auto"/>
        <w:jc w:val="both"/>
        <w:rPr>
          <w:sz w:val="20"/>
          <w:szCs w:val="20"/>
        </w:rPr>
      </w:pPr>
    </w:p>
    <w:p w:rsidR="0030330A" w:rsidRDefault="00000000">
      <w:pPr>
        <w:spacing w:before="40" w:after="40" w:line="240" w:lineRule="auto"/>
        <w:jc w:val="both"/>
        <w:rPr>
          <w:sz w:val="20"/>
          <w:szCs w:val="20"/>
        </w:rPr>
      </w:pPr>
      <w:r>
        <w:rPr>
          <w:b/>
          <w:i/>
          <w:sz w:val="20"/>
          <w:szCs w:val="20"/>
        </w:rPr>
        <w:t>Jen Harris</w:t>
      </w:r>
      <w:r>
        <w:rPr>
          <w:i/>
          <w:sz w:val="20"/>
          <w:szCs w:val="20"/>
        </w:rPr>
        <w:t xml:space="preserve"> </w:t>
      </w:r>
      <w:r>
        <w:rPr>
          <w:sz w:val="20"/>
          <w:szCs w:val="20"/>
        </w:rPr>
        <w:t>is a PhD Researcher, social innovator and Criminal Justice Sector practitioner with a keen interest in Policing, Black communities and Critical perspectives.</w:t>
      </w:r>
    </w:p>
    <w:p w:rsidR="0030330A" w:rsidRDefault="0030330A">
      <w:pPr>
        <w:spacing w:before="40" w:after="40" w:line="240" w:lineRule="auto"/>
        <w:jc w:val="both"/>
        <w:rPr>
          <w:b/>
          <w:i/>
          <w:sz w:val="20"/>
          <w:szCs w:val="20"/>
        </w:rPr>
      </w:pPr>
    </w:p>
    <w:p w:rsidR="0030330A" w:rsidRDefault="00000000">
      <w:pPr>
        <w:spacing w:before="40" w:after="40" w:line="240" w:lineRule="auto"/>
        <w:ind w:right="-40"/>
        <w:jc w:val="both"/>
        <w:rPr>
          <w:b/>
          <w:i/>
          <w:sz w:val="10"/>
          <w:szCs w:val="10"/>
        </w:rPr>
      </w:pPr>
      <w:r>
        <w:rPr>
          <w:b/>
          <w:i/>
          <w:sz w:val="20"/>
          <w:szCs w:val="20"/>
        </w:rPr>
        <w:t>Abigail Shaw</w:t>
      </w:r>
      <w:r>
        <w:rPr>
          <w:i/>
          <w:sz w:val="20"/>
          <w:szCs w:val="20"/>
        </w:rPr>
        <w:t xml:space="preserve"> </w:t>
      </w:r>
      <w:r>
        <w:rPr>
          <w:sz w:val="20"/>
          <w:szCs w:val="20"/>
        </w:rPr>
        <w:t>is an early career researcher, PhD Student in Criminology &amp; Lecturer at the University of Nottingham with a primary focus on Black women's experiences of the Criminal Justice System.</w:t>
      </w:r>
    </w:p>
    <w:p w:rsidR="0030330A" w:rsidRDefault="0030330A">
      <w:pPr>
        <w:spacing w:before="40" w:after="40" w:line="240" w:lineRule="auto"/>
        <w:jc w:val="both"/>
        <w:rPr>
          <w:b/>
          <w:i/>
          <w:sz w:val="10"/>
          <w:szCs w:val="10"/>
        </w:rPr>
      </w:pPr>
    </w:p>
    <w:p w:rsidR="0030330A" w:rsidRDefault="00000000">
      <w:pPr>
        <w:spacing w:before="40" w:after="40" w:line="240" w:lineRule="auto"/>
        <w:jc w:val="both"/>
        <w:rPr>
          <w:sz w:val="20"/>
          <w:szCs w:val="20"/>
        </w:rPr>
      </w:pPr>
      <w:r>
        <w:rPr>
          <w:b/>
          <w:i/>
          <w:sz w:val="20"/>
          <w:szCs w:val="20"/>
        </w:rPr>
        <w:t xml:space="preserve">Kwesi Ochosi </w:t>
      </w:r>
      <w:r>
        <w:rPr>
          <w:sz w:val="20"/>
          <w:szCs w:val="20"/>
        </w:rPr>
        <w:t xml:space="preserve">is a Reparation Advocate, UN Fellow, and </w:t>
      </w:r>
      <w:r w:rsidR="00B01D20">
        <w:rPr>
          <w:sz w:val="20"/>
          <w:szCs w:val="20"/>
        </w:rPr>
        <w:t>c</w:t>
      </w:r>
      <w:r>
        <w:rPr>
          <w:sz w:val="20"/>
          <w:szCs w:val="20"/>
        </w:rPr>
        <w:t xml:space="preserve">o-founder of Building Trust Consortium. He campaigns for the empowerment and self-determination of People of African Descent worldwide. </w:t>
      </w:r>
    </w:p>
    <w:p w:rsidR="0030330A" w:rsidRDefault="0030330A">
      <w:pPr>
        <w:spacing w:before="40" w:after="40" w:line="240" w:lineRule="auto"/>
        <w:ind w:right="-45"/>
        <w:jc w:val="both"/>
        <w:rPr>
          <w:sz w:val="20"/>
          <w:szCs w:val="20"/>
        </w:rPr>
      </w:pPr>
    </w:p>
    <w:p w:rsidR="0030330A" w:rsidRDefault="00000000">
      <w:pPr>
        <w:rPr>
          <w:sz w:val="18"/>
          <w:szCs w:val="18"/>
        </w:rPr>
      </w:pPr>
      <w:r>
        <w:br w:type="page"/>
      </w:r>
    </w:p>
    <w:p w:rsidR="0030330A" w:rsidRDefault="00000000">
      <w:pPr>
        <w:rPr>
          <w:sz w:val="20"/>
          <w:szCs w:val="20"/>
        </w:rPr>
      </w:pPr>
      <w:r>
        <w:rPr>
          <w:b/>
          <w:color w:val="674EA7"/>
          <w:sz w:val="26"/>
          <w:szCs w:val="26"/>
          <w:u w:val="single"/>
        </w:rPr>
        <w:lastRenderedPageBreak/>
        <w:t xml:space="preserve">State Party Implementation of the Covenant  (art. 1, 2, 3, 4, 5) </w:t>
      </w:r>
    </w:p>
    <w:p w:rsidR="0030330A" w:rsidRDefault="0030330A">
      <w:pPr>
        <w:jc w:val="both"/>
        <w:rPr>
          <w:b/>
          <w:sz w:val="12"/>
          <w:szCs w:val="12"/>
          <w:u w:val="single"/>
        </w:rPr>
      </w:pPr>
    </w:p>
    <w:p w:rsidR="0030330A" w:rsidRDefault="0030330A">
      <w:pPr>
        <w:jc w:val="both"/>
        <w:rPr>
          <w:b/>
          <w:sz w:val="12"/>
          <w:szCs w:val="12"/>
          <w:u w:val="single"/>
        </w:rPr>
      </w:pPr>
    </w:p>
    <w:p w:rsidR="0030330A" w:rsidRDefault="00000000">
      <w:pPr>
        <w:jc w:val="both"/>
        <w:rPr>
          <w:b/>
        </w:rPr>
      </w:pPr>
      <w:r>
        <w:rPr>
          <w:b/>
        </w:rPr>
        <w:t>Improving CSO Consultation and Data Collection to implement ICESCR</w:t>
      </w:r>
    </w:p>
    <w:p w:rsidR="0030330A" w:rsidRDefault="00000000">
      <w:pPr>
        <w:jc w:val="both"/>
        <w:rPr>
          <w:sz w:val="16"/>
          <w:szCs w:val="16"/>
        </w:rPr>
      </w:pPr>
      <w:r>
        <w:rPr>
          <w:sz w:val="18"/>
          <w:szCs w:val="18"/>
        </w:rPr>
        <w:t xml:space="preserve"> </w:t>
      </w:r>
    </w:p>
    <w:p w:rsidR="0030330A" w:rsidRDefault="00000000">
      <w:pPr>
        <w:numPr>
          <w:ilvl w:val="0"/>
          <w:numId w:val="7"/>
        </w:numPr>
        <w:jc w:val="both"/>
      </w:pPr>
      <w:r>
        <w:rPr>
          <w:sz w:val="20"/>
          <w:szCs w:val="20"/>
        </w:rPr>
        <w:t>There has been insufficient consultation with People of African Descent in relation to the UK’s CESCR Review</w:t>
      </w:r>
      <w:r>
        <w:rPr>
          <w:sz w:val="20"/>
          <w:szCs w:val="20"/>
          <w:vertAlign w:val="superscript"/>
        </w:rPr>
        <w:footnoteReference w:id="1"/>
      </w:r>
      <w:r>
        <w:rPr>
          <w:sz w:val="20"/>
          <w:szCs w:val="20"/>
        </w:rPr>
        <w:t>. This undermines the efforts of civil society to address institutional racism</w:t>
      </w:r>
      <w:r>
        <w:rPr>
          <w:sz w:val="20"/>
          <w:szCs w:val="20"/>
          <w:vertAlign w:val="superscript"/>
        </w:rPr>
        <w:footnoteReference w:id="2"/>
      </w:r>
      <w:r>
        <w:rPr>
          <w:sz w:val="20"/>
          <w:szCs w:val="20"/>
        </w:rPr>
        <w:t>.</w:t>
      </w:r>
    </w:p>
    <w:p w:rsidR="0030330A" w:rsidRDefault="00000000">
      <w:pPr>
        <w:jc w:val="both"/>
        <w:rPr>
          <w:sz w:val="10"/>
          <w:szCs w:val="10"/>
        </w:rPr>
      </w:pPr>
      <w:r>
        <w:rPr>
          <w:sz w:val="10"/>
          <w:szCs w:val="10"/>
        </w:rPr>
        <w:t xml:space="preserve"> </w:t>
      </w:r>
    </w:p>
    <w:p w:rsidR="0030330A" w:rsidRDefault="00000000">
      <w:pPr>
        <w:numPr>
          <w:ilvl w:val="1"/>
          <w:numId w:val="7"/>
        </w:numPr>
        <w:jc w:val="both"/>
      </w:pPr>
      <w:r>
        <w:rPr>
          <w:sz w:val="20"/>
          <w:szCs w:val="20"/>
        </w:rPr>
        <w:t xml:space="preserve">In its efforts to increase awareness of ICESCR among People of African Descent in the UK, the State Party must acknowledge that the “Black community” is not monolithic and should not be treated as such. People of African Descent represent a broad group that ranges from those born in the UK to those seeking asylum. The racial  inequalities they face are equally diverse in their nature and cause. </w:t>
      </w:r>
    </w:p>
    <w:p w:rsidR="0030330A" w:rsidRDefault="00000000">
      <w:pPr>
        <w:numPr>
          <w:ilvl w:val="1"/>
          <w:numId w:val="7"/>
        </w:numPr>
        <w:jc w:val="both"/>
      </w:pPr>
      <w:r>
        <w:rPr>
          <w:sz w:val="20"/>
          <w:szCs w:val="20"/>
        </w:rPr>
        <w:t xml:space="preserve">The State Party must be encouraged to sufficiently and meaningfully consult with “Black-led” CSOs that are truly representative of the diversity within their community. </w:t>
      </w:r>
      <w:r w:rsidR="00E540A9">
        <w:rPr>
          <w:sz w:val="20"/>
          <w:szCs w:val="20"/>
        </w:rPr>
        <w:t>Otherwise,</w:t>
      </w:r>
      <w:r>
        <w:rPr>
          <w:sz w:val="20"/>
          <w:szCs w:val="20"/>
        </w:rPr>
        <w:t xml:space="preserve"> the enjoyment of Covenant rights by People of African Descent will continue to be curtailed, and the work of the CESCR will ultimately be undermined.</w:t>
      </w:r>
      <w:r>
        <w:rPr>
          <w:sz w:val="20"/>
          <w:szCs w:val="20"/>
          <w:vertAlign w:val="superscript"/>
        </w:rPr>
        <w:footnoteReference w:id="3"/>
      </w:r>
      <w:r>
        <w:rPr>
          <w:sz w:val="20"/>
          <w:szCs w:val="20"/>
        </w:rPr>
        <w:t xml:space="preserve"> </w:t>
      </w:r>
    </w:p>
    <w:p w:rsidR="0030330A" w:rsidRDefault="00000000">
      <w:pPr>
        <w:numPr>
          <w:ilvl w:val="1"/>
          <w:numId w:val="7"/>
        </w:numPr>
        <w:jc w:val="both"/>
      </w:pPr>
      <w:r>
        <w:rPr>
          <w:sz w:val="20"/>
          <w:szCs w:val="20"/>
        </w:rPr>
        <w:t>Section 9 of the UK’s response</w:t>
      </w:r>
      <w:r>
        <w:rPr>
          <w:sz w:val="20"/>
          <w:szCs w:val="20"/>
          <w:vertAlign w:val="superscript"/>
        </w:rPr>
        <w:footnoteReference w:id="4"/>
      </w:r>
      <w:r>
        <w:rPr>
          <w:sz w:val="20"/>
          <w:szCs w:val="20"/>
        </w:rPr>
        <w:t xml:space="preserve"> to Paragraph 5 of the List of Issues Report (LOIR)</w:t>
      </w:r>
      <w:r>
        <w:rPr>
          <w:sz w:val="20"/>
          <w:szCs w:val="20"/>
          <w:vertAlign w:val="superscript"/>
        </w:rPr>
        <w:footnoteReference w:id="5"/>
      </w:r>
      <w:r>
        <w:rPr>
          <w:sz w:val="20"/>
          <w:szCs w:val="20"/>
        </w:rPr>
        <w:t xml:space="preserve"> falls short of its aims. The enjoyment of Covenant rights varies widely between ethnic </w:t>
      </w:r>
      <w:r w:rsidR="00E540A9">
        <w:rPr>
          <w:sz w:val="20"/>
          <w:szCs w:val="20"/>
        </w:rPr>
        <w:t>communities;</w:t>
      </w:r>
      <w:r>
        <w:rPr>
          <w:sz w:val="20"/>
          <w:szCs w:val="20"/>
        </w:rPr>
        <w:t xml:space="preserve"> </w:t>
      </w:r>
      <w:r w:rsidR="00E540A9">
        <w:rPr>
          <w:sz w:val="20"/>
          <w:szCs w:val="20"/>
        </w:rPr>
        <w:t>therefore,</w:t>
      </w:r>
      <w:r>
        <w:rPr>
          <w:sz w:val="20"/>
          <w:szCs w:val="20"/>
        </w:rPr>
        <w:t xml:space="preserve"> the lived-experience of People of African Descent must not be conflated with other groups. The UK must commit to collecting disaggregated data. This is an established obligation and right within the UN Anti-Racism Framework. </w:t>
      </w:r>
    </w:p>
    <w:p w:rsidR="0030330A" w:rsidRDefault="0030330A">
      <w:pPr>
        <w:jc w:val="both"/>
        <w:rPr>
          <w:sz w:val="16"/>
          <w:szCs w:val="16"/>
        </w:rPr>
      </w:pPr>
    </w:p>
    <w:p w:rsidR="0030330A" w:rsidRDefault="0030330A">
      <w:pPr>
        <w:spacing w:line="240" w:lineRule="auto"/>
        <w:rPr>
          <w:sz w:val="16"/>
          <w:szCs w:val="16"/>
        </w:rPr>
      </w:pPr>
    </w:p>
    <w:p w:rsidR="0030330A" w:rsidRDefault="00000000">
      <w:pPr>
        <w:spacing w:line="240" w:lineRule="auto"/>
        <w:rPr>
          <w:b/>
        </w:rPr>
      </w:pPr>
      <w:r>
        <w:rPr>
          <w:b/>
        </w:rPr>
        <w:t>QUESTIONS FOR THE STATE PARTY</w:t>
      </w:r>
    </w:p>
    <w:p w:rsidR="0030330A" w:rsidRDefault="0030330A">
      <w:pPr>
        <w:spacing w:line="240" w:lineRule="auto"/>
        <w:rPr>
          <w:sz w:val="16"/>
          <w:szCs w:val="16"/>
        </w:rPr>
      </w:pPr>
    </w:p>
    <w:p w:rsidR="0030330A" w:rsidRDefault="00000000">
      <w:pPr>
        <w:numPr>
          <w:ilvl w:val="0"/>
          <w:numId w:val="7"/>
        </w:numPr>
        <w:jc w:val="both"/>
      </w:pPr>
      <w:r>
        <w:rPr>
          <w:sz w:val="20"/>
          <w:szCs w:val="20"/>
        </w:rPr>
        <w:t>The State Party’s preference for using conflated ethnic categories limits the Committees ability to assess the progressive realisation of Covenant rights for People of African Descent</w:t>
      </w:r>
      <w:r>
        <w:rPr>
          <w:sz w:val="20"/>
          <w:szCs w:val="20"/>
          <w:vertAlign w:val="superscript"/>
        </w:rPr>
        <w:footnoteReference w:id="6"/>
      </w:r>
      <w:r>
        <w:rPr>
          <w:sz w:val="20"/>
          <w:szCs w:val="20"/>
        </w:rPr>
        <w:t xml:space="preserve">. Will the UK commit to collecting and sharing disaggregated data in relation to its obligations?  </w:t>
      </w:r>
    </w:p>
    <w:p w:rsidR="0030330A" w:rsidRDefault="0030330A">
      <w:pPr>
        <w:ind w:left="720"/>
        <w:rPr>
          <w:sz w:val="12"/>
          <w:szCs w:val="12"/>
        </w:rPr>
      </w:pPr>
    </w:p>
    <w:p w:rsidR="0030330A" w:rsidRDefault="00000000">
      <w:pPr>
        <w:numPr>
          <w:ilvl w:val="0"/>
          <w:numId w:val="7"/>
        </w:numPr>
      </w:pPr>
      <w:r>
        <w:rPr>
          <w:sz w:val="20"/>
          <w:szCs w:val="20"/>
        </w:rPr>
        <w:t xml:space="preserve">The preference of the State Party to conflate different ethnic groups in its data collection has contributed to insufficient consultation with People of African Descent. What steps will the UK take to consult directly with CSOs that are led by and for People of African Descent? </w:t>
      </w:r>
    </w:p>
    <w:p w:rsidR="0030330A" w:rsidRDefault="0030330A">
      <w:pPr>
        <w:spacing w:line="240" w:lineRule="auto"/>
        <w:rPr>
          <w:sz w:val="16"/>
          <w:szCs w:val="16"/>
        </w:rPr>
      </w:pPr>
    </w:p>
    <w:p w:rsidR="0030330A" w:rsidRDefault="0030330A">
      <w:pPr>
        <w:rPr>
          <w:b/>
          <w:color w:val="674EA7"/>
          <w:sz w:val="16"/>
          <w:szCs w:val="16"/>
          <w:u w:val="single"/>
        </w:rPr>
      </w:pPr>
    </w:p>
    <w:p w:rsidR="0030330A" w:rsidRDefault="00000000">
      <w:pPr>
        <w:rPr>
          <w:b/>
          <w:color w:val="674EA7"/>
          <w:sz w:val="26"/>
          <w:szCs w:val="26"/>
          <w:u w:val="single"/>
        </w:rPr>
      </w:pPr>
      <w:r>
        <w:rPr>
          <w:b/>
          <w:color w:val="674EA7"/>
          <w:sz w:val="26"/>
          <w:szCs w:val="26"/>
          <w:u w:val="single"/>
        </w:rPr>
        <w:t>Employment  (art. 1, 2, 3, 6, 7, 8, 10, 11)</w:t>
      </w:r>
    </w:p>
    <w:p w:rsidR="0030330A" w:rsidRDefault="0030330A">
      <w:pPr>
        <w:rPr>
          <w:b/>
          <w:color w:val="674EA7"/>
          <w:sz w:val="12"/>
          <w:szCs w:val="12"/>
          <w:u w:val="single"/>
        </w:rPr>
      </w:pPr>
    </w:p>
    <w:p w:rsidR="0030330A" w:rsidRDefault="0030330A">
      <w:pPr>
        <w:spacing w:line="240" w:lineRule="auto"/>
        <w:jc w:val="both"/>
        <w:rPr>
          <w:rFonts w:ascii="Calibri" w:eastAsia="Calibri" w:hAnsi="Calibri" w:cs="Calibri"/>
          <w:sz w:val="12"/>
          <w:szCs w:val="12"/>
        </w:rPr>
      </w:pPr>
    </w:p>
    <w:p w:rsidR="0030330A" w:rsidRDefault="00000000">
      <w:pPr>
        <w:spacing w:line="240" w:lineRule="auto"/>
        <w:jc w:val="both"/>
        <w:rPr>
          <w:b/>
        </w:rPr>
      </w:pPr>
      <w:r>
        <w:rPr>
          <w:b/>
        </w:rPr>
        <w:t xml:space="preserve">Legislation to protect the Covenant rights of People of African Descent </w:t>
      </w:r>
    </w:p>
    <w:p w:rsidR="0030330A" w:rsidRDefault="0030330A">
      <w:pPr>
        <w:spacing w:line="240" w:lineRule="auto"/>
        <w:jc w:val="both"/>
        <w:rPr>
          <w:b/>
          <w:sz w:val="16"/>
          <w:szCs w:val="16"/>
        </w:rPr>
      </w:pPr>
    </w:p>
    <w:p w:rsidR="0030330A" w:rsidRDefault="00000000">
      <w:pPr>
        <w:numPr>
          <w:ilvl w:val="0"/>
          <w:numId w:val="7"/>
        </w:numPr>
        <w:jc w:val="both"/>
      </w:pPr>
      <w:r>
        <w:rPr>
          <w:sz w:val="20"/>
          <w:szCs w:val="20"/>
        </w:rPr>
        <w:t>Section 9 (para 55)</w:t>
      </w:r>
      <w:r>
        <w:rPr>
          <w:sz w:val="20"/>
          <w:szCs w:val="20"/>
          <w:vertAlign w:val="superscript"/>
        </w:rPr>
        <w:footnoteReference w:id="7"/>
      </w:r>
      <w:r>
        <w:rPr>
          <w:sz w:val="20"/>
          <w:szCs w:val="20"/>
        </w:rPr>
        <w:t xml:space="preserve"> of the State Party’s response to Paragraph 9 of the LOIR</w:t>
      </w:r>
      <w:r>
        <w:rPr>
          <w:sz w:val="20"/>
          <w:szCs w:val="20"/>
          <w:vertAlign w:val="superscript"/>
        </w:rPr>
        <w:footnoteReference w:id="8"/>
      </w:r>
      <w:r>
        <w:rPr>
          <w:sz w:val="20"/>
          <w:szCs w:val="20"/>
        </w:rPr>
        <w:t xml:space="preserve"> is a commitment to enact the “Socio-Economic Duty” described in Section 1 of the Equality Act 2010</w:t>
      </w:r>
      <w:r>
        <w:rPr>
          <w:sz w:val="20"/>
          <w:szCs w:val="20"/>
          <w:vertAlign w:val="superscript"/>
        </w:rPr>
        <w:footnoteReference w:id="9"/>
      </w:r>
      <w:r>
        <w:rPr>
          <w:sz w:val="20"/>
          <w:szCs w:val="20"/>
        </w:rPr>
        <w:t>. This pledge is welcomed, as People of African Descent in the UK are disproportionately impacted by socio-economic inequality. However:</w:t>
      </w:r>
    </w:p>
    <w:p w:rsidR="0030330A" w:rsidRDefault="0030330A">
      <w:pPr>
        <w:ind w:left="1440"/>
        <w:jc w:val="both"/>
        <w:rPr>
          <w:sz w:val="10"/>
          <w:szCs w:val="10"/>
        </w:rPr>
      </w:pPr>
    </w:p>
    <w:p w:rsidR="0030330A" w:rsidRDefault="00000000">
      <w:pPr>
        <w:numPr>
          <w:ilvl w:val="1"/>
          <w:numId w:val="7"/>
        </w:numPr>
        <w:jc w:val="both"/>
      </w:pPr>
      <w:r>
        <w:rPr>
          <w:sz w:val="20"/>
          <w:szCs w:val="20"/>
        </w:rPr>
        <w:t>Section 149 of the Equality Act</w:t>
      </w:r>
      <w:r>
        <w:rPr>
          <w:sz w:val="20"/>
          <w:szCs w:val="20"/>
          <w:vertAlign w:val="superscript"/>
        </w:rPr>
        <w:footnoteReference w:id="10"/>
      </w:r>
      <w:r>
        <w:rPr>
          <w:sz w:val="20"/>
          <w:szCs w:val="20"/>
        </w:rPr>
        <w:t xml:space="preserve"> already includes the more comprehensive “Public Sector Equality Duty”, which has been in effect since 2011 and applies to nine protected characteristics, including race, class and gender. To genuinely achieve equality, the UK must commit a clear plan of action that will deliver the progressive realisation of Covenant rights specifically for People of African Descent.</w:t>
      </w:r>
      <w:r>
        <w:t xml:space="preserve"> </w:t>
      </w:r>
    </w:p>
    <w:p w:rsidR="0030330A" w:rsidRDefault="0030330A">
      <w:pPr>
        <w:jc w:val="both"/>
        <w:rPr>
          <w:sz w:val="12"/>
          <w:szCs w:val="12"/>
        </w:rPr>
      </w:pPr>
    </w:p>
    <w:p w:rsidR="0030330A" w:rsidRDefault="00000000">
      <w:pPr>
        <w:numPr>
          <w:ilvl w:val="0"/>
          <w:numId w:val="7"/>
        </w:numPr>
        <w:jc w:val="both"/>
      </w:pPr>
      <w:r>
        <w:rPr>
          <w:sz w:val="20"/>
          <w:szCs w:val="20"/>
        </w:rPr>
        <w:t>In Section 20 (para 133-4)</w:t>
      </w:r>
      <w:r>
        <w:rPr>
          <w:sz w:val="20"/>
          <w:szCs w:val="20"/>
          <w:vertAlign w:val="superscript"/>
        </w:rPr>
        <w:footnoteReference w:id="11"/>
      </w:r>
      <w:r>
        <w:rPr>
          <w:sz w:val="20"/>
          <w:szCs w:val="20"/>
        </w:rPr>
        <w:t xml:space="preserve"> of the UK’s response to the LOIR, there is a commitment to create a new enforcement body (the “Fair Work Agency”). This is a welcome step. However:</w:t>
      </w:r>
    </w:p>
    <w:p w:rsidR="0030330A" w:rsidRDefault="0030330A">
      <w:pPr>
        <w:ind w:left="720"/>
        <w:jc w:val="both"/>
        <w:rPr>
          <w:sz w:val="10"/>
          <w:szCs w:val="10"/>
        </w:rPr>
      </w:pPr>
    </w:p>
    <w:p w:rsidR="0030330A" w:rsidRDefault="00000000">
      <w:pPr>
        <w:numPr>
          <w:ilvl w:val="1"/>
          <w:numId w:val="7"/>
        </w:numPr>
        <w:jc w:val="both"/>
      </w:pPr>
      <w:r>
        <w:rPr>
          <w:sz w:val="20"/>
          <w:szCs w:val="20"/>
        </w:rPr>
        <w:t>For this new body to fully address the issues raised in Para 12-25 of the LOIR</w:t>
      </w:r>
      <w:r>
        <w:rPr>
          <w:sz w:val="20"/>
          <w:szCs w:val="20"/>
          <w:vertAlign w:val="superscript"/>
        </w:rPr>
        <w:footnoteReference w:id="12"/>
      </w:r>
      <w:r>
        <w:rPr>
          <w:sz w:val="20"/>
          <w:szCs w:val="20"/>
        </w:rPr>
        <w:t>, the State Party must also provide fully disaggregated data that goes beyond their pledge to introduce mandatory ethnicity pay reporting (“Replies to CESCR”, Section 13)</w:t>
      </w:r>
      <w:r>
        <w:rPr>
          <w:sz w:val="20"/>
          <w:szCs w:val="20"/>
          <w:vertAlign w:val="superscript"/>
        </w:rPr>
        <w:footnoteReference w:id="13"/>
      </w:r>
      <w:r>
        <w:rPr>
          <w:sz w:val="20"/>
          <w:szCs w:val="20"/>
        </w:rPr>
        <w:t xml:space="preserve">. </w:t>
      </w:r>
    </w:p>
    <w:p w:rsidR="0030330A" w:rsidRDefault="00000000">
      <w:pPr>
        <w:numPr>
          <w:ilvl w:val="1"/>
          <w:numId w:val="7"/>
        </w:numPr>
        <w:jc w:val="both"/>
      </w:pPr>
      <w:r>
        <w:rPr>
          <w:sz w:val="20"/>
          <w:szCs w:val="20"/>
        </w:rPr>
        <w:t xml:space="preserve">Ethnic minorities experience varying degrees of racial discrimination in the UK. If the State Party continues to conflate the data it collects, there will be no way for CESCR to meaningfully analyse the “progressive realisation” of Covenant implementation </w:t>
      </w:r>
    </w:p>
    <w:p w:rsidR="0030330A" w:rsidRDefault="0030330A">
      <w:pPr>
        <w:jc w:val="both"/>
        <w:rPr>
          <w:sz w:val="16"/>
          <w:szCs w:val="16"/>
        </w:rPr>
      </w:pPr>
    </w:p>
    <w:p w:rsidR="0030330A" w:rsidRDefault="0030330A">
      <w:pPr>
        <w:jc w:val="both"/>
        <w:rPr>
          <w:sz w:val="16"/>
          <w:szCs w:val="16"/>
        </w:rPr>
      </w:pPr>
    </w:p>
    <w:p w:rsidR="0030330A" w:rsidRDefault="00000000">
      <w:pPr>
        <w:jc w:val="both"/>
        <w:rPr>
          <w:b/>
        </w:rPr>
      </w:pPr>
      <w:r>
        <w:rPr>
          <w:b/>
        </w:rPr>
        <w:t xml:space="preserve">Right to work for ex-offenders of African Descent in the UK </w:t>
      </w:r>
    </w:p>
    <w:p w:rsidR="0030330A" w:rsidRDefault="0030330A">
      <w:pPr>
        <w:jc w:val="both"/>
        <w:rPr>
          <w:b/>
          <w:sz w:val="16"/>
          <w:szCs w:val="16"/>
        </w:rPr>
      </w:pPr>
    </w:p>
    <w:p w:rsidR="0030330A" w:rsidRDefault="00000000">
      <w:pPr>
        <w:numPr>
          <w:ilvl w:val="0"/>
          <w:numId w:val="7"/>
        </w:numPr>
        <w:jc w:val="both"/>
      </w:pPr>
      <w:r>
        <w:rPr>
          <w:sz w:val="20"/>
          <w:szCs w:val="20"/>
        </w:rPr>
        <w:t>Article 6 of the ICESCR</w:t>
      </w:r>
      <w:r>
        <w:rPr>
          <w:sz w:val="20"/>
          <w:szCs w:val="20"/>
          <w:vertAlign w:val="superscript"/>
        </w:rPr>
        <w:footnoteReference w:id="14"/>
      </w:r>
      <w:r>
        <w:rPr>
          <w:sz w:val="20"/>
          <w:szCs w:val="20"/>
        </w:rPr>
        <w:t xml:space="preserve"> guarantees the right to work, and this extends to all ex-offenders in the UK. Ensuring gainful employment is essential for the rehabilitation of ex-offenders back into British society. The right to work is also supported by other ICESCR Articles, including the right to education, health, family and participation in cultural life.</w:t>
      </w:r>
    </w:p>
    <w:p w:rsidR="0030330A" w:rsidRDefault="0030330A">
      <w:pPr>
        <w:ind w:left="720"/>
        <w:jc w:val="both"/>
        <w:rPr>
          <w:sz w:val="10"/>
          <w:szCs w:val="10"/>
        </w:rPr>
      </w:pPr>
    </w:p>
    <w:p w:rsidR="0030330A" w:rsidRDefault="00000000">
      <w:pPr>
        <w:numPr>
          <w:ilvl w:val="1"/>
          <w:numId w:val="7"/>
        </w:numPr>
        <w:jc w:val="both"/>
      </w:pPr>
      <w:r>
        <w:rPr>
          <w:sz w:val="20"/>
          <w:szCs w:val="20"/>
        </w:rPr>
        <w:t xml:space="preserve">Covenant rights are especially relevant for ex-offenders of African Descent, who have historically been disproportionately represented in the British criminal justice system. </w:t>
      </w:r>
    </w:p>
    <w:p w:rsidR="0030330A" w:rsidRDefault="00E540A9">
      <w:pPr>
        <w:numPr>
          <w:ilvl w:val="1"/>
          <w:numId w:val="7"/>
        </w:numPr>
        <w:jc w:val="both"/>
      </w:pPr>
      <w:r>
        <w:rPr>
          <w:sz w:val="20"/>
          <w:szCs w:val="20"/>
        </w:rPr>
        <w:t>Unfortunately, racial disparity in the prison system continues to worsen: For example, Children of African Descent currently constitute 30% of the UK prison population, despite only representing 4% of the general population</w:t>
      </w:r>
      <w:r>
        <w:rPr>
          <w:sz w:val="20"/>
          <w:szCs w:val="20"/>
          <w:vertAlign w:val="superscript"/>
        </w:rPr>
        <w:footnoteReference w:id="15"/>
      </w:r>
      <w:r>
        <w:rPr>
          <w:sz w:val="20"/>
          <w:szCs w:val="20"/>
        </w:rPr>
        <w:t xml:space="preserve">. </w:t>
      </w:r>
    </w:p>
    <w:p w:rsidR="0030330A" w:rsidRDefault="00000000">
      <w:pPr>
        <w:numPr>
          <w:ilvl w:val="1"/>
          <w:numId w:val="7"/>
        </w:numPr>
        <w:jc w:val="both"/>
      </w:pPr>
      <w:r>
        <w:rPr>
          <w:sz w:val="20"/>
          <w:szCs w:val="20"/>
        </w:rPr>
        <w:t xml:space="preserve">To ensure that the right to work is  enjoyed by all, the lack of rehabilitation support for ex-offenders must be addressed, as well as the structural racism that perpetuates the disproportionate number of People of African Descent in the prison population. </w:t>
      </w:r>
    </w:p>
    <w:p w:rsidR="0030330A" w:rsidRDefault="0030330A">
      <w:pPr>
        <w:spacing w:line="240" w:lineRule="auto"/>
        <w:rPr>
          <w:b/>
          <w:sz w:val="16"/>
          <w:szCs w:val="16"/>
          <w:u w:val="single"/>
        </w:rPr>
      </w:pPr>
    </w:p>
    <w:p w:rsidR="0030330A" w:rsidRDefault="0030330A">
      <w:pPr>
        <w:spacing w:line="240" w:lineRule="auto"/>
        <w:rPr>
          <w:b/>
          <w:sz w:val="16"/>
          <w:szCs w:val="16"/>
          <w:u w:val="single"/>
        </w:rPr>
      </w:pPr>
    </w:p>
    <w:p w:rsidR="0030330A" w:rsidRDefault="00000000">
      <w:pPr>
        <w:spacing w:line="240" w:lineRule="auto"/>
        <w:jc w:val="both"/>
        <w:rPr>
          <w:b/>
        </w:rPr>
      </w:pPr>
      <w:r>
        <w:rPr>
          <w:b/>
        </w:rPr>
        <w:t xml:space="preserve">Women of African Descent in the UK Criminal Justice System </w:t>
      </w:r>
    </w:p>
    <w:p w:rsidR="0030330A" w:rsidRDefault="0030330A">
      <w:pPr>
        <w:rPr>
          <w:b/>
          <w:sz w:val="16"/>
          <w:szCs w:val="16"/>
          <w:u w:val="single"/>
        </w:rPr>
      </w:pPr>
    </w:p>
    <w:p w:rsidR="0030330A" w:rsidRDefault="00000000">
      <w:pPr>
        <w:numPr>
          <w:ilvl w:val="0"/>
          <w:numId w:val="7"/>
        </w:numPr>
        <w:jc w:val="both"/>
      </w:pPr>
      <w:r>
        <w:rPr>
          <w:sz w:val="20"/>
          <w:szCs w:val="20"/>
        </w:rPr>
        <w:t>Structural racism in the UK criminal justice system has an intersectional impact on the Covenant rights of women of African Descent in relation to their right to work. This applies to their experiences as both ex-offenders and staff within the criminal justice system</w:t>
      </w:r>
      <w:r>
        <w:rPr>
          <w:sz w:val="20"/>
          <w:szCs w:val="20"/>
          <w:vertAlign w:val="superscript"/>
        </w:rPr>
        <w:footnoteReference w:id="16"/>
      </w:r>
      <w:r>
        <w:rPr>
          <w:sz w:val="20"/>
          <w:szCs w:val="20"/>
        </w:rPr>
        <w:t xml:space="preserve">. </w:t>
      </w:r>
    </w:p>
    <w:p w:rsidR="0030330A" w:rsidRDefault="0030330A">
      <w:pPr>
        <w:ind w:left="1440"/>
        <w:jc w:val="both"/>
        <w:rPr>
          <w:sz w:val="10"/>
          <w:szCs w:val="10"/>
        </w:rPr>
      </w:pPr>
    </w:p>
    <w:p w:rsidR="0030330A" w:rsidRDefault="00000000">
      <w:pPr>
        <w:numPr>
          <w:ilvl w:val="1"/>
          <w:numId w:val="7"/>
        </w:numPr>
        <w:jc w:val="both"/>
      </w:pPr>
      <w:r>
        <w:rPr>
          <w:sz w:val="20"/>
          <w:szCs w:val="20"/>
        </w:rPr>
        <w:t xml:space="preserve">The extent of Covenant right violations </w:t>
      </w:r>
      <w:r w:rsidR="00E540A9">
        <w:rPr>
          <w:sz w:val="20"/>
          <w:szCs w:val="20"/>
        </w:rPr>
        <w:t>is</w:t>
      </w:r>
      <w:r>
        <w:rPr>
          <w:sz w:val="20"/>
          <w:szCs w:val="20"/>
        </w:rPr>
        <w:t xml:space="preserve"> unknown due to the lack of disaggregated data. The racial dynamics behind this negation of Black women’s experiences have direct parallels to other discriminatory functioning of the criminal justice system</w:t>
      </w:r>
      <w:r>
        <w:rPr>
          <w:sz w:val="20"/>
          <w:szCs w:val="20"/>
          <w:vertAlign w:val="superscript"/>
        </w:rPr>
        <w:footnoteReference w:id="17"/>
      </w:r>
      <w:r>
        <w:rPr>
          <w:sz w:val="20"/>
          <w:szCs w:val="20"/>
        </w:rPr>
        <w:t xml:space="preserve">. </w:t>
      </w:r>
    </w:p>
    <w:p w:rsidR="0030330A" w:rsidRDefault="00000000">
      <w:pPr>
        <w:numPr>
          <w:ilvl w:val="1"/>
          <w:numId w:val="7"/>
        </w:numPr>
        <w:jc w:val="both"/>
      </w:pPr>
      <w:r>
        <w:rPr>
          <w:sz w:val="20"/>
          <w:szCs w:val="20"/>
        </w:rPr>
        <w:t>From the available data, we know that girls and women of African Descent are three times more likely to be strip searched</w:t>
      </w:r>
      <w:r>
        <w:rPr>
          <w:sz w:val="20"/>
          <w:szCs w:val="20"/>
          <w:vertAlign w:val="superscript"/>
        </w:rPr>
        <w:footnoteReference w:id="18"/>
      </w:r>
      <w:r>
        <w:rPr>
          <w:sz w:val="20"/>
          <w:szCs w:val="20"/>
        </w:rPr>
        <w:t>, and twice as likely to be arrested</w:t>
      </w:r>
      <w:r>
        <w:rPr>
          <w:sz w:val="20"/>
          <w:szCs w:val="20"/>
          <w:vertAlign w:val="superscript"/>
        </w:rPr>
        <w:footnoteReference w:id="19"/>
      </w:r>
      <w:r>
        <w:rPr>
          <w:sz w:val="20"/>
          <w:szCs w:val="20"/>
        </w:rPr>
        <w:t>, respectively, than their white counterparts. LIkewise, we know that People of African Descent are seven times more likely to die in police custody than white people</w:t>
      </w:r>
      <w:r>
        <w:rPr>
          <w:sz w:val="20"/>
          <w:szCs w:val="20"/>
          <w:vertAlign w:val="superscript"/>
        </w:rPr>
        <w:footnoteReference w:id="20"/>
      </w:r>
      <w:r>
        <w:rPr>
          <w:sz w:val="20"/>
          <w:szCs w:val="20"/>
        </w:rPr>
        <w:t xml:space="preserve">. </w:t>
      </w:r>
    </w:p>
    <w:p w:rsidR="0030330A" w:rsidRDefault="00000000">
      <w:pPr>
        <w:numPr>
          <w:ilvl w:val="1"/>
          <w:numId w:val="7"/>
        </w:numPr>
        <w:jc w:val="both"/>
      </w:pPr>
      <w:r>
        <w:rPr>
          <w:sz w:val="20"/>
          <w:szCs w:val="20"/>
        </w:rPr>
        <w:t>Women of African Descent are more likely to experience discrimination in recruitment, promotion and equal pay in the criminal justice system. This explains why only one woman of African Descent holds a senior role across the entire British police force, and why prison officers are less likely to be women of African Descent</w:t>
      </w:r>
      <w:r>
        <w:rPr>
          <w:sz w:val="20"/>
          <w:szCs w:val="20"/>
          <w:vertAlign w:val="superscript"/>
        </w:rPr>
        <w:footnoteReference w:id="21"/>
      </w:r>
      <w:r>
        <w:rPr>
          <w:sz w:val="20"/>
          <w:szCs w:val="20"/>
        </w:rPr>
        <w:t xml:space="preserve">. </w:t>
      </w:r>
    </w:p>
    <w:p w:rsidR="0030330A" w:rsidRDefault="00000000">
      <w:pPr>
        <w:numPr>
          <w:ilvl w:val="1"/>
          <w:numId w:val="7"/>
        </w:numPr>
        <w:jc w:val="both"/>
      </w:pPr>
      <w:r>
        <w:rPr>
          <w:sz w:val="20"/>
          <w:szCs w:val="20"/>
        </w:rPr>
        <w:t xml:space="preserve">Women of African Descent find themselves overrepresented and underrepresented at the same time within the British criminal justice system. Yet they remain invisible in the </w:t>
      </w:r>
      <w:r>
        <w:rPr>
          <w:sz w:val="20"/>
          <w:szCs w:val="20"/>
        </w:rPr>
        <w:lastRenderedPageBreak/>
        <w:t>equality data collected by the UK government. One of the root causes behind this injustice is the curtailment of Covenant rights, particularly the right to work</w:t>
      </w:r>
      <w:r>
        <w:rPr>
          <w:sz w:val="20"/>
          <w:szCs w:val="20"/>
          <w:vertAlign w:val="superscript"/>
        </w:rPr>
        <w:footnoteReference w:id="22"/>
      </w:r>
      <w:r>
        <w:rPr>
          <w:sz w:val="20"/>
          <w:szCs w:val="20"/>
        </w:rPr>
        <w:t xml:space="preserve">. </w:t>
      </w:r>
    </w:p>
    <w:p w:rsidR="0030330A" w:rsidRDefault="00000000">
      <w:pPr>
        <w:numPr>
          <w:ilvl w:val="1"/>
          <w:numId w:val="7"/>
        </w:numPr>
        <w:jc w:val="both"/>
      </w:pPr>
      <w:r>
        <w:rPr>
          <w:sz w:val="20"/>
          <w:szCs w:val="20"/>
        </w:rPr>
        <w:t>Although the UK’s CESCR Report</w:t>
      </w:r>
      <w:r>
        <w:rPr>
          <w:sz w:val="20"/>
          <w:szCs w:val="20"/>
          <w:vertAlign w:val="superscript"/>
        </w:rPr>
        <w:footnoteReference w:id="23"/>
      </w:r>
      <w:r>
        <w:rPr>
          <w:sz w:val="20"/>
          <w:szCs w:val="20"/>
        </w:rPr>
        <w:t xml:space="preserve"> and Response Report to the LOIR</w:t>
      </w:r>
      <w:r>
        <w:rPr>
          <w:sz w:val="20"/>
          <w:szCs w:val="20"/>
          <w:vertAlign w:val="superscript"/>
        </w:rPr>
        <w:footnoteReference w:id="24"/>
      </w:r>
      <w:r>
        <w:rPr>
          <w:sz w:val="20"/>
          <w:szCs w:val="20"/>
        </w:rPr>
        <w:t xml:space="preserve"> are silent on these matters, concrete steps must be taken now to enfranchise women of African Descent in relation to their involvement with the British criminal justice system. Until Women of African Descent adequately occupy senior </w:t>
      </w:r>
      <w:r w:rsidR="00E540A9">
        <w:rPr>
          <w:sz w:val="20"/>
          <w:szCs w:val="20"/>
        </w:rPr>
        <w:t>decision-making</w:t>
      </w:r>
      <w:r>
        <w:rPr>
          <w:sz w:val="20"/>
          <w:szCs w:val="20"/>
        </w:rPr>
        <w:t xml:space="preserve"> positions in the UK, the intersecting effects of misogynoir and adultification will continue to reinforce the structural racism that criminalises women and girls from this community</w:t>
      </w:r>
      <w:r>
        <w:rPr>
          <w:sz w:val="20"/>
          <w:szCs w:val="20"/>
          <w:vertAlign w:val="superscript"/>
        </w:rPr>
        <w:footnoteReference w:id="25"/>
      </w:r>
      <w:r>
        <w:rPr>
          <w:sz w:val="20"/>
          <w:szCs w:val="20"/>
        </w:rPr>
        <w:t>.</w:t>
      </w:r>
      <w:r>
        <w:t xml:space="preserve"> </w:t>
      </w:r>
    </w:p>
    <w:p w:rsidR="0030330A" w:rsidRDefault="0030330A">
      <w:pPr>
        <w:spacing w:line="240" w:lineRule="auto"/>
        <w:jc w:val="both"/>
        <w:rPr>
          <w:b/>
          <w:sz w:val="16"/>
          <w:szCs w:val="16"/>
          <w:u w:val="single"/>
        </w:rPr>
      </w:pPr>
    </w:p>
    <w:p w:rsidR="0030330A" w:rsidRDefault="0030330A">
      <w:pPr>
        <w:spacing w:line="240" w:lineRule="auto"/>
        <w:jc w:val="both"/>
        <w:rPr>
          <w:b/>
          <w:sz w:val="16"/>
          <w:szCs w:val="16"/>
          <w:u w:val="single"/>
        </w:rPr>
      </w:pPr>
    </w:p>
    <w:p w:rsidR="0030330A" w:rsidRDefault="00000000">
      <w:pPr>
        <w:jc w:val="both"/>
        <w:rPr>
          <w:b/>
        </w:rPr>
      </w:pPr>
      <w:r>
        <w:rPr>
          <w:b/>
        </w:rPr>
        <w:t>QUESTIONS FOR THE STATE PARTY</w:t>
      </w:r>
    </w:p>
    <w:p w:rsidR="0030330A" w:rsidRDefault="0030330A">
      <w:pPr>
        <w:jc w:val="both"/>
        <w:rPr>
          <w:sz w:val="16"/>
          <w:szCs w:val="16"/>
        </w:rPr>
      </w:pPr>
    </w:p>
    <w:p w:rsidR="0030330A" w:rsidRDefault="00000000">
      <w:pPr>
        <w:numPr>
          <w:ilvl w:val="0"/>
          <w:numId w:val="7"/>
        </w:numPr>
        <w:jc w:val="both"/>
      </w:pPr>
      <w:r>
        <w:rPr>
          <w:sz w:val="20"/>
          <w:szCs w:val="20"/>
        </w:rPr>
        <w:t>The Public Sector Equality Duty was introduced back in 2011</w:t>
      </w:r>
      <w:r>
        <w:rPr>
          <w:sz w:val="20"/>
          <w:szCs w:val="20"/>
          <w:vertAlign w:val="superscript"/>
        </w:rPr>
        <w:footnoteReference w:id="26"/>
      </w:r>
      <w:r>
        <w:rPr>
          <w:sz w:val="20"/>
          <w:szCs w:val="20"/>
        </w:rPr>
        <w:t xml:space="preserve">. Has the UK government collected any disaggregated data that can demonstrate the specific progress made  in ending the racial discrimination faced by People of African Descent in relation to UK public bodies? </w:t>
      </w:r>
    </w:p>
    <w:p w:rsidR="0030330A" w:rsidRDefault="0030330A">
      <w:pPr>
        <w:ind w:left="720"/>
        <w:jc w:val="both"/>
        <w:rPr>
          <w:sz w:val="2"/>
          <w:szCs w:val="2"/>
        </w:rPr>
      </w:pPr>
    </w:p>
    <w:p w:rsidR="0030330A" w:rsidRDefault="00000000">
      <w:pPr>
        <w:numPr>
          <w:ilvl w:val="0"/>
          <w:numId w:val="7"/>
        </w:numPr>
        <w:jc w:val="both"/>
      </w:pPr>
      <w:r>
        <w:rPr>
          <w:sz w:val="20"/>
          <w:szCs w:val="20"/>
        </w:rPr>
        <w:t>The State Party has failed to collect adequate data that specifically evidences the progress being made to ensure the Covenant rights of People of African Descent. How will the UK address this in relation to the enactment of the Socio-Economic Duty of the Equality Act</w:t>
      </w:r>
      <w:r>
        <w:rPr>
          <w:sz w:val="20"/>
          <w:szCs w:val="20"/>
          <w:vertAlign w:val="superscript"/>
        </w:rPr>
        <w:footnoteReference w:id="27"/>
      </w:r>
      <w:r>
        <w:rPr>
          <w:sz w:val="20"/>
          <w:szCs w:val="20"/>
        </w:rPr>
        <w:t xml:space="preserve"> - and in particular, will the State Party commit to collecting comprehensively disaggregated data ahead of the launch of the new Fair Work Agency</w:t>
      </w:r>
      <w:r>
        <w:rPr>
          <w:sz w:val="20"/>
          <w:szCs w:val="20"/>
          <w:vertAlign w:val="superscript"/>
        </w:rPr>
        <w:footnoteReference w:id="28"/>
      </w:r>
      <w:r>
        <w:rPr>
          <w:sz w:val="20"/>
          <w:szCs w:val="20"/>
        </w:rPr>
        <w:t xml:space="preserve"> - and if not, why not? </w:t>
      </w:r>
    </w:p>
    <w:p w:rsidR="0030330A" w:rsidRDefault="0030330A">
      <w:pPr>
        <w:ind w:left="720"/>
        <w:jc w:val="both"/>
        <w:rPr>
          <w:sz w:val="2"/>
          <w:szCs w:val="2"/>
        </w:rPr>
      </w:pPr>
    </w:p>
    <w:p w:rsidR="0030330A" w:rsidRDefault="00000000">
      <w:pPr>
        <w:numPr>
          <w:ilvl w:val="0"/>
          <w:numId w:val="7"/>
        </w:numPr>
        <w:jc w:val="both"/>
      </w:pPr>
      <w:r>
        <w:rPr>
          <w:sz w:val="20"/>
          <w:szCs w:val="20"/>
        </w:rPr>
        <w:t>Institutional racism contributes to the disproportionate number of ex-offenders of African Descent. What steps are being taken to support their rehabilitation in relation to work?</w:t>
      </w:r>
    </w:p>
    <w:p w:rsidR="0030330A" w:rsidRDefault="0030330A">
      <w:pPr>
        <w:ind w:left="720"/>
        <w:jc w:val="both"/>
        <w:rPr>
          <w:sz w:val="2"/>
          <w:szCs w:val="2"/>
        </w:rPr>
      </w:pPr>
    </w:p>
    <w:p w:rsidR="0030330A" w:rsidRDefault="00000000">
      <w:pPr>
        <w:numPr>
          <w:ilvl w:val="0"/>
          <w:numId w:val="7"/>
        </w:numPr>
        <w:jc w:val="both"/>
      </w:pPr>
      <w:r>
        <w:rPr>
          <w:sz w:val="20"/>
          <w:szCs w:val="20"/>
        </w:rPr>
        <w:t>Institutional racism within the criminal justice system extends to staff and personnel or African Descent. What steps is the UK government taking to eradicate the specific racism faced by People of African Descent within UK public bodies - and will the government commit to collecting disaggregated data to measure their progress on this specific matter?</w:t>
      </w:r>
    </w:p>
    <w:p w:rsidR="0030330A" w:rsidRDefault="0030330A">
      <w:pPr>
        <w:rPr>
          <w:b/>
          <w:sz w:val="16"/>
          <w:szCs w:val="16"/>
          <w:u w:val="single"/>
        </w:rPr>
      </w:pPr>
    </w:p>
    <w:p w:rsidR="0030330A" w:rsidRDefault="0030330A">
      <w:pPr>
        <w:rPr>
          <w:b/>
          <w:sz w:val="16"/>
          <w:szCs w:val="16"/>
          <w:u w:val="single"/>
        </w:rPr>
      </w:pPr>
    </w:p>
    <w:p w:rsidR="0030330A" w:rsidRDefault="00000000">
      <w:pPr>
        <w:spacing w:line="235" w:lineRule="auto"/>
        <w:jc w:val="both"/>
        <w:rPr>
          <w:b/>
          <w:color w:val="674EA7"/>
          <w:sz w:val="26"/>
          <w:szCs w:val="26"/>
          <w:u w:val="single"/>
        </w:rPr>
      </w:pPr>
      <w:r>
        <w:rPr>
          <w:b/>
          <w:color w:val="674EA7"/>
          <w:sz w:val="26"/>
          <w:szCs w:val="26"/>
          <w:u w:val="single"/>
        </w:rPr>
        <w:t xml:space="preserve">Cultural Life  (art. 1, 2, 3, 11, 12, 15) </w:t>
      </w:r>
    </w:p>
    <w:p w:rsidR="0030330A" w:rsidRDefault="0030330A">
      <w:pPr>
        <w:spacing w:line="235" w:lineRule="auto"/>
        <w:jc w:val="both"/>
        <w:rPr>
          <w:b/>
          <w:sz w:val="12"/>
          <w:szCs w:val="12"/>
        </w:rPr>
      </w:pPr>
    </w:p>
    <w:p w:rsidR="0030330A" w:rsidRDefault="0030330A">
      <w:pPr>
        <w:spacing w:line="235" w:lineRule="auto"/>
        <w:jc w:val="both"/>
        <w:rPr>
          <w:b/>
          <w:sz w:val="12"/>
          <w:szCs w:val="12"/>
        </w:rPr>
      </w:pPr>
    </w:p>
    <w:p w:rsidR="0030330A" w:rsidRDefault="00000000">
      <w:pPr>
        <w:spacing w:line="235" w:lineRule="auto"/>
        <w:jc w:val="both"/>
        <w:rPr>
          <w:b/>
        </w:rPr>
      </w:pPr>
      <w:r>
        <w:rPr>
          <w:b/>
        </w:rPr>
        <w:t xml:space="preserve">Criminalisation of the Cultural Expression of People of African Descent </w:t>
      </w:r>
    </w:p>
    <w:p w:rsidR="0030330A" w:rsidRDefault="0030330A">
      <w:pPr>
        <w:spacing w:line="235" w:lineRule="auto"/>
        <w:jc w:val="both"/>
        <w:rPr>
          <w:b/>
          <w:sz w:val="16"/>
          <w:szCs w:val="16"/>
        </w:rPr>
      </w:pPr>
    </w:p>
    <w:p w:rsidR="0030330A" w:rsidRDefault="00000000">
      <w:pPr>
        <w:numPr>
          <w:ilvl w:val="0"/>
          <w:numId w:val="7"/>
        </w:numPr>
        <w:jc w:val="both"/>
      </w:pPr>
      <w:r>
        <w:rPr>
          <w:sz w:val="20"/>
          <w:szCs w:val="20"/>
        </w:rPr>
        <w:t>Freedom of expression is a fundamental human right, as enshrined in UDHR Article 19</w:t>
      </w:r>
      <w:r>
        <w:rPr>
          <w:sz w:val="20"/>
          <w:szCs w:val="20"/>
          <w:vertAlign w:val="superscript"/>
        </w:rPr>
        <w:footnoteReference w:id="29"/>
      </w:r>
      <w:r>
        <w:rPr>
          <w:sz w:val="20"/>
          <w:szCs w:val="20"/>
        </w:rPr>
        <w:t>, and ICESCR Article 15</w:t>
      </w:r>
      <w:r>
        <w:rPr>
          <w:sz w:val="20"/>
          <w:szCs w:val="20"/>
          <w:vertAlign w:val="superscript"/>
        </w:rPr>
        <w:footnoteReference w:id="30"/>
      </w:r>
      <w:r>
        <w:rPr>
          <w:sz w:val="20"/>
          <w:szCs w:val="20"/>
        </w:rPr>
        <w:t xml:space="preserve">. </w:t>
      </w:r>
      <w:r w:rsidR="00E540A9">
        <w:rPr>
          <w:sz w:val="20"/>
          <w:szCs w:val="20"/>
        </w:rPr>
        <w:t>However,</w:t>
      </w:r>
      <w:r>
        <w:rPr>
          <w:sz w:val="20"/>
          <w:szCs w:val="20"/>
        </w:rPr>
        <w:t xml:space="preserve"> in the UK there is an increasing trend of domestic anti-racism legislation being weaponised against minoritised communities to suppress their culturally-informed use of language</w:t>
      </w:r>
      <w:r>
        <w:rPr>
          <w:sz w:val="20"/>
          <w:szCs w:val="20"/>
          <w:vertAlign w:val="superscript"/>
        </w:rPr>
        <w:footnoteReference w:id="31"/>
      </w:r>
      <w:r>
        <w:rPr>
          <w:sz w:val="20"/>
          <w:szCs w:val="20"/>
        </w:rPr>
        <w:t>. People of African Descent are the primary targets of this form of prosecution, especially in response to making political criticisms. This is increasingly occurring even when “the N-word” is against other People of African Descent, despite this word being widely acknowledged as a reclaimed slur</w:t>
      </w:r>
      <w:r>
        <w:rPr>
          <w:sz w:val="20"/>
          <w:szCs w:val="20"/>
          <w:vertAlign w:val="superscript"/>
        </w:rPr>
        <w:footnoteReference w:id="32"/>
      </w:r>
      <w:r>
        <w:rPr>
          <w:sz w:val="20"/>
          <w:szCs w:val="20"/>
        </w:rPr>
        <w:t xml:space="preserve">. Institutional racism is a well-established fact within British policing and the Crown Prosecution Service. These institutions are responsible for taking the respective steps of arresting and charging People of African Descent for their use of language. Until racism is uprooted from all public bodies, the Covenant rights of People of African Descent will continue to be denied. </w:t>
      </w:r>
    </w:p>
    <w:p w:rsidR="0030330A" w:rsidRDefault="0030330A">
      <w:pPr>
        <w:jc w:val="both"/>
        <w:rPr>
          <w:sz w:val="10"/>
          <w:szCs w:val="10"/>
        </w:rPr>
      </w:pPr>
    </w:p>
    <w:p w:rsidR="0030330A" w:rsidRDefault="00000000">
      <w:pPr>
        <w:numPr>
          <w:ilvl w:val="1"/>
          <w:numId w:val="7"/>
        </w:numPr>
        <w:jc w:val="both"/>
      </w:pPr>
      <w:r>
        <w:rPr>
          <w:sz w:val="20"/>
          <w:szCs w:val="20"/>
        </w:rPr>
        <w:t>One major contributing factor is the disproportionate lack of British Judges of African Descent. According to UK government statistics only 1.3% of court judges are “black”, whereas 4.4% of the working age population are “black”.</w:t>
      </w:r>
      <w:r>
        <w:rPr>
          <w:sz w:val="20"/>
          <w:szCs w:val="20"/>
          <w:vertAlign w:val="superscript"/>
        </w:rPr>
        <w:footnoteReference w:id="33"/>
      </w:r>
      <w:r>
        <w:rPr>
          <w:sz w:val="20"/>
          <w:szCs w:val="20"/>
        </w:rPr>
        <w:t xml:space="preserve"> </w:t>
      </w:r>
    </w:p>
    <w:p w:rsidR="0030330A" w:rsidRDefault="00000000">
      <w:pPr>
        <w:numPr>
          <w:ilvl w:val="1"/>
          <w:numId w:val="7"/>
        </w:numPr>
        <w:jc w:val="both"/>
      </w:pPr>
      <w:r>
        <w:rPr>
          <w:sz w:val="20"/>
          <w:szCs w:val="20"/>
        </w:rPr>
        <w:lastRenderedPageBreak/>
        <w:t>A further factor is the lack of lawyers with lived-experience and/or sufficient linguistic expertise to challenge the racist perceptions of British courts. Although lawyers have access to linguistic experts, they typically lack the cultural competence to avail themselves of their expertise. As a result, British courts reinforce racial inequality due to their lack of cultural nuance to fairly try each case brought before them</w:t>
      </w:r>
      <w:r>
        <w:rPr>
          <w:sz w:val="20"/>
          <w:szCs w:val="20"/>
          <w:vertAlign w:val="superscript"/>
        </w:rPr>
        <w:footnoteReference w:id="34"/>
      </w:r>
      <w:r>
        <w:rPr>
          <w:sz w:val="20"/>
          <w:szCs w:val="20"/>
        </w:rPr>
        <w:t xml:space="preserve">. </w:t>
      </w:r>
    </w:p>
    <w:p w:rsidR="0030330A" w:rsidRDefault="00000000">
      <w:pPr>
        <w:numPr>
          <w:ilvl w:val="1"/>
          <w:numId w:val="7"/>
        </w:numPr>
        <w:jc w:val="both"/>
      </w:pPr>
      <w:r>
        <w:rPr>
          <w:sz w:val="20"/>
          <w:szCs w:val="20"/>
        </w:rPr>
        <w:t>Crown and Magistrate cases are unreported in the UK. Without disaggregated data it is impossible to assess the extent of the issue, as many cases “go under the radar”</w:t>
      </w:r>
      <w:r>
        <w:rPr>
          <w:sz w:val="20"/>
          <w:szCs w:val="20"/>
          <w:vertAlign w:val="superscript"/>
        </w:rPr>
        <w:footnoteReference w:id="35"/>
      </w:r>
      <w:r>
        <w:rPr>
          <w:sz w:val="20"/>
          <w:szCs w:val="20"/>
        </w:rPr>
        <w:t xml:space="preserve">. </w:t>
      </w:r>
    </w:p>
    <w:p w:rsidR="0030330A" w:rsidRDefault="00000000">
      <w:pPr>
        <w:numPr>
          <w:ilvl w:val="1"/>
          <w:numId w:val="7"/>
        </w:numPr>
        <w:jc w:val="both"/>
      </w:pPr>
      <w:r>
        <w:rPr>
          <w:sz w:val="20"/>
          <w:szCs w:val="20"/>
        </w:rPr>
        <w:t>Children of African Descent are also being prosecuted for their use of the N-word. A quarter of the examples provided for this report involved school children of African Descent who used the N-word to address another student of African Descent</w:t>
      </w:r>
      <w:r>
        <w:rPr>
          <w:sz w:val="20"/>
          <w:szCs w:val="20"/>
          <w:vertAlign w:val="superscript"/>
        </w:rPr>
        <w:footnoteReference w:id="36"/>
      </w:r>
      <w:r>
        <w:rPr>
          <w:sz w:val="20"/>
          <w:szCs w:val="20"/>
        </w:rPr>
        <w:t xml:space="preserve">. </w:t>
      </w:r>
    </w:p>
    <w:p w:rsidR="0030330A" w:rsidRDefault="00000000">
      <w:pPr>
        <w:numPr>
          <w:ilvl w:val="1"/>
          <w:numId w:val="7"/>
        </w:numPr>
        <w:jc w:val="both"/>
      </w:pPr>
      <w:r>
        <w:rPr>
          <w:sz w:val="20"/>
          <w:szCs w:val="20"/>
        </w:rPr>
        <w:t>Based on the direct and/or anecdotal evidence provided for this report, more than 60% of the prosecutions cited involved women of African Descent</w:t>
      </w:r>
      <w:r>
        <w:rPr>
          <w:sz w:val="20"/>
          <w:szCs w:val="20"/>
          <w:vertAlign w:val="superscript"/>
        </w:rPr>
        <w:footnoteReference w:id="37"/>
      </w:r>
      <w:r>
        <w:rPr>
          <w:sz w:val="20"/>
          <w:szCs w:val="20"/>
        </w:rPr>
        <w:t>.</w:t>
      </w:r>
    </w:p>
    <w:p w:rsidR="0030330A" w:rsidRDefault="00000000">
      <w:pPr>
        <w:numPr>
          <w:ilvl w:val="1"/>
          <w:numId w:val="7"/>
        </w:numPr>
        <w:jc w:val="both"/>
      </w:pPr>
      <w:r>
        <w:rPr>
          <w:sz w:val="20"/>
          <w:szCs w:val="20"/>
        </w:rPr>
        <w:t>According to the National Black Police Association, the use of anti-racism legislation to suppress the cultural expressions of People of African Descent is directly linked to the increase in racially motivated crimes reported in the UK following Brexit</w:t>
      </w:r>
      <w:r>
        <w:rPr>
          <w:sz w:val="20"/>
          <w:szCs w:val="20"/>
          <w:vertAlign w:val="superscript"/>
        </w:rPr>
        <w:footnoteReference w:id="38"/>
      </w:r>
      <w:r>
        <w:t>.</w:t>
      </w:r>
    </w:p>
    <w:p w:rsidR="0030330A" w:rsidRDefault="0030330A">
      <w:pPr>
        <w:spacing w:line="235" w:lineRule="auto"/>
        <w:ind w:left="1440"/>
        <w:jc w:val="both"/>
        <w:rPr>
          <w:b/>
          <w:sz w:val="16"/>
          <w:szCs w:val="16"/>
          <w:u w:val="single"/>
        </w:rPr>
      </w:pPr>
    </w:p>
    <w:p w:rsidR="0030330A" w:rsidRDefault="0030330A">
      <w:pPr>
        <w:spacing w:line="235" w:lineRule="auto"/>
        <w:jc w:val="both"/>
        <w:rPr>
          <w:b/>
          <w:sz w:val="16"/>
          <w:szCs w:val="16"/>
        </w:rPr>
      </w:pPr>
    </w:p>
    <w:p w:rsidR="0030330A" w:rsidRDefault="00000000">
      <w:pPr>
        <w:jc w:val="both"/>
        <w:rPr>
          <w:b/>
        </w:rPr>
      </w:pPr>
      <w:r>
        <w:rPr>
          <w:b/>
        </w:rPr>
        <w:t xml:space="preserve">Right to Cultural Expression through Social Media </w:t>
      </w:r>
    </w:p>
    <w:p w:rsidR="0030330A" w:rsidRDefault="0030330A">
      <w:pPr>
        <w:rPr>
          <w:sz w:val="16"/>
          <w:szCs w:val="16"/>
        </w:rPr>
      </w:pPr>
    </w:p>
    <w:p w:rsidR="0030330A" w:rsidRDefault="00000000">
      <w:pPr>
        <w:numPr>
          <w:ilvl w:val="0"/>
          <w:numId w:val="7"/>
        </w:numPr>
        <w:jc w:val="both"/>
      </w:pPr>
      <w:r>
        <w:rPr>
          <w:sz w:val="20"/>
          <w:szCs w:val="20"/>
        </w:rPr>
        <w:t xml:space="preserve">Article 15 of the ICESCR guarantees the right to take part in cultural life. This Covenant right implicitly applies to the right to access the internet. Social media and other online spaces enable People of African Descent in the UK to access inclusive safe spaces where community can be built and cultural expression can be enjoyed. This is particularly true for People of African Descent who are women, and/or identify as LGBTQIA+. The State Party has a responsibility to ensure this Covenant right is enjoyed by People of African Descent. Any curtailment of this right constitutes a denial of Article 15 ICESCR, and Article 19 UDHR. </w:t>
      </w:r>
    </w:p>
    <w:p w:rsidR="0030330A" w:rsidRDefault="0030330A">
      <w:pPr>
        <w:jc w:val="both"/>
        <w:rPr>
          <w:sz w:val="10"/>
          <w:szCs w:val="10"/>
        </w:rPr>
      </w:pPr>
    </w:p>
    <w:p w:rsidR="0030330A" w:rsidRDefault="00000000">
      <w:pPr>
        <w:numPr>
          <w:ilvl w:val="1"/>
          <w:numId w:val="7"/>
        </w:numPr>
        <w:jc w:val="both"/>
      </w:pPr>
      <w:r>
        <w:rPr>
          <w:sz w:val="20"/>
          <w:szCs w:val="20"/>
        </w:rPr>
        <w:t xml:space="preserve">These online spaces have become a powerful tool of resistance for People of African Descent. UK-based activists are able to spread awareness about human rights, and express their opposition to racial injustices, including police brutality, state violence and deaths in custody. People of African Descent are able to use these Covenant rights to heighten visibility of their lived-experience, and push-back against racialised disenfranchisement by influencing both social attitude and government policy. </w:t>
      </w:r>
    </w:p>
    <w:p w:rsidR="0030330A" w:rsidRDefault="00000000">
      <w:pPr>
        <w:numPr>
          <w:ilvl w:val="1"/>
          <w:numId w:val="7"/>
        </w:numPr>
        <w:jc w:val="both"/>
      </w:pPr>
      <w:r>
        <w:rPr>
          <w:sz w:val="20"/>
          <w:szCs w:val="20"/>
        </w:rPr>
        <w:t>Despite these developments, Women of African Descent in the UK continue to face disproportionate online abuse and threats in comparison to the rest of the population</w:t>
      </w:r>
      <w:r>
        <w:rPr>
          <w:sz w:val="20"/>
          <w:szCs w:val="20"/>
          <w:vertAlign w:val="superscript"/>
        </w:rPr>
        <w:footnoteReference w:id="39"/>
      </w:r>
      <w:r>
        <w:rPr>
          <w:sz w:val="20"/>
          <w:szCs w:val="20"/>
        </w:rPr>
        <w:t>. A study by Glitch found 9000 more “highly toxic” posts about Black women than white women in their data set, revealing the centrality of race to the abuse they received and how they are perceived. This online misogynoir also underpinned racialised homophobic and transphobic abuse</w:t>
      </w:r>
      <w:r>
        <w:rPr>
          <w:sz w:val="20"/>
          <w:szCs w:val="20"/>
          <w:vertAlign w:val="superscript"/>
        </w:rPr>
        <w:footnoteReference w:id="40"/>
      </w:r>
      <w:r>
        <w:rPr>
          <w:sz w:val="20"/>
          <w:szCs w:val="20"/>
        </w:rPr>
        <w:t xml:space="preserve">. </w:t>
      </w:r>
    </w:p>
    <w:p w:rsidR="0030330A" w:rsidRDefault="00000000">
      <w:pPr>
        <w:numPr>
          <w:ilvl w:val="1"/>
          <w:numId w:val="7"/>
        </w:numPr>
        <w:jc w:val="both"/>
      </w:pPr>
      <w:r>
        <w:rPr>
          <w:sz w:val="20"/>
          <w:szCs w:val="20"/>
        </w:rPr>
        <w:t>The UK government has been slow to respond to the online abuse of People of African Descent. However, following the increase of online affinity spaces throughout and following the covid 19 pandemic, the 2023 Online Safety Act was introduced. Section 15-16 of the Act places a legal obligation on websites and app developers who provide “category 1 services” to enable service users to “increase their control” over content that is “abusive” and targets” protected characteristics, including race</w:t>
      </w:r>
      <w:r>
        <w:rPr>
          <w:sz w:val="20"/>
          <w:szCs w:val="20"/>
          <w:vertAlign w:val="superscript"/>
        </w:rPr>
        <w:footnoteReference w:id="41"/>
      </w:r>
      <w:r>
        <w:rPr>
          <w:sz w:val="20"/>
          <w:szCs w:val="20"/>
        </w:rPr>
        <w:t>.</w:t>
      </w:r>
    </w:p>
    <w:p w:rsidR="0030330A" w:rsidRDefault="00000000">
      <w:pPr>
        <w:numPr>
          <w:ilvl w:val="1"/>
          <w:numId w:val="7"/>
        </w:numPr>
        <w:jc w:val="both"/>
      </w:pPr>
      <w:r>
        <w:rPr>
          <w:sz w:val="20"/>
          <w:szCs w:val="20"/>
        </w:rPr>
        <w:t>The Online Safety Act is a welcome development but it fails to sufficiently address racialised online abuse. More must be done to enforce the Covenant rights of People of African Descent, particularly women and those who identify as LGBTQIA+</w:t>
      </w:r>
      <w:r>
        <w:rPr>
          <w:sz w:val="20"/>
          <w:szCs w:val="20"/>
          <w:vertAlign w:val="superscript"/>
        </w:rPr>
        <w:footnoteReference w:id="42"/>
      </w:r>
    </w:p>
    <w:p w:rsidR="0030330A" w:rsidRDefault="0030330A">
      <w:pPr>
        <w:spacing w:line="240" w:lineRule="auto"/>
        <w:rPr>
          <w:sz w:val="16"/>
          <w:szCs w:val="16"/>
        </w:rPr>
      </w:pPr>
    </w:p>
    <w:p w:rsidR="0030330A" w:rsidRDefault="0030330A">
      <w:pPr>
        <w:spacing w:line="240" w:lineRule="auto"/>
        <w:rPr>
          <w:sz w:val="16"/>
          <w:szCs w:val="16"/>
        </w:rPr>
      </w:pPr>
    </w:p>
    <w:p w:rsidR="0030330A" w:rsidRDefault="00000000">
      <w:pPr>
        <w:jc w:val="both"/>
        <w:rPr>
          <w:sz w:val="20"/>
          <w:szCs w:val="20"/>
        </w:rPr>
      </w:pPr>
      <w:r>
        <w:rPr>
          <w:b/>
        </w:rPr>
        <w:lastRenderedPageBreak/>
        <w:t>Representation of People of African Descent in the Public Realm</w:t>
      </w:r>
    </w:p>
    <w:p w:rsidR="0030330A" w:rsidRDefault="0030330A">
      <w:pPr>
        <w:jc w:val="both"/>
        <w:rPr>
          <w:sz w:val="16"/>
          <w:szCs w:val="16"/>
        </w:rPr>
      </w:pPr>
    </w:p>
    <w:p w:rsidR="0030330A" w:rsidRDefault="00000000">
      <w:pPr>
        <w:numPr>
          <w:ilvl w:val="0"/>
          <w:numId w:val="7"/>
        </w:numPr>
        <w:jc w:val="both"/>
      </w:pPr>
      <w:r>
        <w:rPr>
          <w:sz w:val="20"/>
          <w:szCs w:val="20"/>
        </w:rPr>
        <w:t>Civic space in the UK is disappearing in tandem with the encroachment on Covenant rights, particularly  in relation to political participation, freedom of expression and cultural life</w:t>
      </w:r>
      <w:r>
        <w:rPr>
          <w:sz w:val="20"/>
          <w:szCs w:val="20"/>
          <w:vertAlign w:val="superscript"/>
        </w:rPr>
        <w:footnoteReference w:id="43"/>
      </w:r>
      <w:r>
        <w:rPr>
          <w:sz w:val="20"/>
          <w:szCs w:val="20"/>
        </w:rPr>
        <w:t>. This is especially true for Human Rights Defenders of African Descent who use civic space to            express ideas and values that hold the government to account. Politicised public art is a powerful means to mobilise the population, raise awareness of grievances and aspirations, and influence government policy. People of African Descent who work  in the civic space rely                                                                                                                                                                                                                                                                                                                                                      on Covenant rights for protection in their work, including the right to peaceful assembly and non-discrimination, and the enjoyment of cultural and  social life.</w:t>
      </w:r>
    </w:p>
    <w:p w:rsidR="0030330A" w:rsidRDefault="0030330A">
      <w:pPr>
        <w:jc w:val="both"/>
        <w:rPr>
          <w:sz w:val="10"/>
          <w:szCs w:val="10"/>
        </w:rPr>
      </w:pPr>
    </w:p>
    <w:p w:rsidR="0030330A" w:rsidRDefault="00000000">
      <w:pPr>
        <w:numPr>
          <w:ilvl w:val="1"/>
          <w:numId w:val="7"/>
        </w:numPr>
        <w:jc w:val="both"/>
      </w:pPr>
      <w:r>
        <w:rPr>
          <w:sz w:val="20"/>
          <w:szCs w:val="20"/>
        </w:rPr>
        <w:t>Holding The Flame (HTF)</w:t>
      </w:r>
      <w:r>
        <w:rPr>
          <w:sz w:val="20"/>
          <w:szCs w:val="20"/>
          <w:vertAlign w:val="superscript"/>
        </w:rPr>
        <w:footnoteReference w:id="44"/>
      </w:r>
      <w:r>
        <w:rPr>
          <w:sz w:val="20"/>
          <w:szCs w:val="20"/>
        </w:rPr>
        <w:t xml:space="preserve"> is an augmented reality statue depicting Marcia Rigg, a Human Rights Defender</w:t>
      </w:r>
      <w:r>
        <w:rPr>
          <w:sz w:val="20"/>
          <w:szCs w:val="20"/>
          <w:vertAlign w:val="superscript"/>
        </w:rPr>
        <w:footnoteReference w:id="45"/>
      </w:r>
      <w:r>
        <w:rPr>
          <w:sz w:val="20"/>
          <w:szCs w:val="20"/>
        </w:rPr>
        <w:t xml:space="preserve"> and member of the United Families and Friends Campaign (UFFC)</w:t>
      </w:r>
      <w:r>
        <w:rPr>
          <w:sz w:val="20"/>
          <w:szCs w:val="20"/>
          <w:vertAlign w:val="superscript"/>
        </w:rPr>
        <w:footnoteReference w:id="46"/>
      </w:r>
      <w:r>
        <w:rPr>
          <w:sz w:val="20"/>
          <w:szCs w:val="20"/>
        </w:rPr>
        <w:t>. HTF stands outside Brixton Police Station in London in memory of Marcia’s brother Sean Rigg, who died in Brixton in 2008 because of excessive and unnecessary use of force by police officers during a medical crisis</w:t>
      </w:r>
      <w:r>
        <w:rPr>
          <w:sz w:val="20"/>
          <w:szCs w:val="20"/>
          <w:vertAlign w:val="superscript"/>
        </w:rPr>
        <w:footnoteReference w:id="47"/>
      </w:r>
      <w:r>
        <w:rPr>
          <w:sz w:val="20"/>
          <w:szCs w:val="20"/>
        </w:rPr>
        <w:t xml:space="preserve">. HTF is a defiant piece of civic art, and a public declaration of the right to self-determination and justice for People of African Descent and all victims of injustice. </w:t>
      </w:r>
    </w:p>
    <w:p w:rsidR="0030330A" w:rsidRDefault="00000000">
      <w:pPr>
        <w:numPr>
          <w:ilvl w:val="1"/>
          <w:numId w:val="7"/>
        </w:numPr>
        <w:jc w:val="both"/>
      </w:pPr>
      <w:r>
        <w:rPr>
          <w:sz w:val="20"/>
          <w:szCs w:val="20"/>
        </w:rPr>
        <w:t>HTF was ideated by Kwesi Ochosi, commissioned by 81 Acts, designed by Marcia Rigg, produced by Aswarm, and installed by local stakeholders in 2021 with funding from Arts Council England and Heritage Fund. HTF was intended to be the first of a series of augmented reality statues that depict Human Rights Defenders from across the UK. The aim was to eventually commission physical statues in honour of the thousands of victims of state violence. However, an intersection of structural, institutional and interpersonal racism has delayed these plans - and this reflects the threat to civic space in the UK and the erosion of Covenant rights.</w:t>
      </w:r>
    </w:p>
    <w:p w:rsidR="0030330A" w:rsidRDefault="00000000">
      <w:pPr>
        <w:numPr>
          <w:ilvl w:val="1"/>
          <w:numId w:val="7"/>
        </w:numPr>
        <w:jc w:val="both"/>
      </w:pPr>
      <w:r>
        <w:rPr>
          <w:sz w:val="20"/>
          <w:szCs w:val="20"/>
        </w:rPr>
        <w:t>Following the far-right backlash to the UK BLM movement and the stakeholders of HTF</w:t>
      </w:r>
      <w:r>
        <w:rPr>
          <w:sz w:val="20"/>
          <w:szCs w:val="20"/>
          <w:vertAlign w:val="superscript"/>
        </w:rPr>
        <w:footnoteReference w:id="48"/>
      </w:r>
      <w:r>
        <w:rPr>
          <w:sz w:val="20"/>
          <w:szCs w:val="20"/>
        </w:rPr>
        <w:t>, Arts Council England announced that any work which was “overtly political and activist” would “be perceived as being in conflict with the purposes of public funding culture”. After a public outcry</w:t>
      </w:r>
      <w:r>
        <w:rPr>
          <w:sz w:val="20"/>
          <w:szCs w:val="20"/>
          <w:vertAlign w:val="superscript"/>
        </w:rPr>
        <w:footnoteReference w:id="49"/>
      </w:r>
      <w:r>
        <w:rPr>
          <w:sz w:val="20"/>
          <w:szCs w:val="20"/>
        </w:rPr>
        <w:t>, Arts Council England reconsidered, and confirmed it will not withdraw funding from organisations or individuals who make work that is political. The Chair of the Charity Commission went further and publicly defended the right of civil society organisations (CSO) to campaign, and encouraged them  not to shy away from addressing difficult or controversial issues</w:t>
      </w:r>
      <w:r>
        <w:rPr>
          <w:sz w:val="20"/>
          <w:szCs w:val="20"/>
          <w:vertAlign w:val="superscript"/>
        </w:rPr>
        <w:footnoteReference w:id="50"/>
      </w:r>
      <w:r>
        <w:rPr>
          <w:sz w:val="20"/>
          <w:szCs w:val="20"/>
        </w:rPr>
        <w:t>.</w:t>
      </w:r>
    </w:p>
    <w:p w:rsidR="0030330A" w:rsidRDefault="0030330A">
      <w:pPr>
        <w:spacing w:line="240" w:lineRule="auto"/>
        <w:jc w:val="both"/>
        <w:rPr>
          <w:b/>
          <w:sz w:val="16"/>
          <w:szCs w:val="16"/>
          <w:u w:val="single"/>
        </w:rPr>
      </w:pPr>
    </w:p>
    <w:p w:rsidR="0030330A" w:rsidRDefault="0030330A">
      <w:pPr>
        <w:spacing w:line="240" w:lineRule="auto"/>
        <w:jc w:val="both"/>
        <w:rPr>
          <w:b/>
          <w:sz w:val="16"/>
          <w:szCs w:val="16"/>
          <w:u w:val="single"/>
        </w:rPr>
      </w:pPr>
    </w:p>
    <w:p w:rsidR="0030330A" w:rsidRDefault="00000000">
      <w:pPr>
        <w:shd w:val="clear" w:color="auto" w:fill="FFFFFF"/>
        <w:rPr>
          <w:b/>
          <w:sz w:val="20"/>
          <w:szCs w:val="20"/>
        </w:rPr>
      </w:pPr>
      <w:r>
        <w:rPr>
          <w:b/>
        </w:rPr>
        <w:t>Discrimination Against Rastafari of African Descent</w:t>
      </w:r>
      <w:r>
        <w:rPr>
          <w:b/>
          <w:sz w:val="20"/>
          <w:szCs w:val="20"/>
        </w:rPr>
        <w:t xml:space="preserve"> </w:t>
      </w:r>
    </w:p>
    <w:p w:rsidR="0030330A" w:rsidRDefault="0030330A">
      <w:pPr>
        <w:shd w:val="clear" w:color="auto" w:fill="FFFFFF"/>
        <w:rPr>
          <w:b/>
          <w:sz w:val="16"/>
          <w:szCs w:val="16"/>
        </w:rPr>
      </w:pPr>
    </w:p>
    <w:p w:rsidR="0030330A" w:rsidRDefault="00000000">
      <w:pPr>
        <w:numPr>
          <w:ilvl w:val="0"/>
          <w:numId w:val="7"/>
        </w:numPr>
        <w:shd w:val="clear" w:color="auto" w:fill="FFFFFF"/>
        <w:jc w:val="both"/>
      </w:pPr>
      <w:r>
        <w:rPr>
          <w:sz w:val="20"/>
          <w:szCs w:val="20"/>
        </w:rPr>
        <w:t>Institutional racism faced by People of African Descent in the UK is compounded by religious discrimination for members of the Rastafari community</w:t>
      </w:r>
      <w:r>
        <w:rPr>
          <w:sz w:val="20"/>
          <w:szCs w:val="20"/>
          <w:vertAlign w:val="superscript"/>
        </w:rPr>
        <w:footnoteReference w:id="51"/>
      </w:r>
      <w:r>
        <w:rPr>
          <w:sz w:val="20"/>
          <w:szCs w:val="20"/>
        </w:rPr>
        <w:t>. Although this form of racial inequality violates the Covenant right to freedom to take part in cultural life</w:t>
      </w:r>
      <w:r>
        <w:rPr>
          <w:sz w:val="20"/>
          <w:szCs w:val="20"/>
          <w:vertAlign w:val="superscript"/>
        </w:rPr>
        <w:footnoteReference w:id="52"/>
      </w:r>
      <w:r>
        <w:rPr>
          <w:sz w:val="20"/>
          <w:szCs w:val="20"/>
        </w:rPr>
        <w:t>, it has persisted</w:t>
      </w:r>
      <w:r>
        <w:rPr>
          <w:sz w:val="20"/>
          <w:szCs w:val="20"/>
          <w:vertAlign w:val="superscript"/>
        </w:rPr>
        <w:footnoteReference w:id="53"/>
      </w:r>
      <w:r>
        <w:rPr>
          <w:sz w:val="20"/>
          <w:szCs w:val="20"/>
        </w:rPr>
        <w:t xml:space="preserve"> in UK education, healthcare, prisons and other institutions ever since Rastafari arrived in Britain from Jamaica and other Caribbean nations 70 years ago.</w:t>
      </w:r>
    </w:p>
    <w:p w:rsidR="0030330A" w:rsidRDefault="0030330A">
      <w:pPr>
        <w:shd w:val="clear" w:color="auto" w:fill="FFFFFF"/>
        <w:ind w:left="1440"/>
        <w:jc w:val="both"/>
        <w:rPr>
          <w:sz w:val="10"/>
          <w:szCs w:val="10"/>
        </w:rPr>
      </w:pPr>
    </w:p>
    <w:p w:rsidR="0030330A" w:rsidRDefault="00000000">
      <w:pPr>
        <w:numPr>
          <w:ilvl w:val="1"/>
          <w:numId w:val="7"/>
        </w:numPr>
        <w:shd w:val="clear" w:color="auto" w:fill="FFFFFF"/>
        <w:jc w:val="both"/>
      </w:pPr>
      <w:r>
        <w:rPr>
          <w:sz w:val="20"/>
          <w:szCs w:val="20"/>
        </w:rPr>
        <w:t>Lord Avebury, Lord Hylton and others lobbied in Parliament in the early 1980s for Rastafari to be recognised as a faith within Prisons</w:t>
      </w:r>
      <w:r>
        <w:rPr>
          <w:sz w:val="20"/>
          <w:szCs w:val="20"/>
          <w:vertAlign w:val="superscript"/>
        </w:rPr>
        <w:footnoteReference w:id="54"/>
      </w:r>
      <w:r>
        <w:rPr>
          <w:sz w:val="20"/>
          <w:szCs w:val="20"/>
        </w:rPr>
        <w:t>, and therefore a protected characteristic. Yet as recently as 2013</w:t>
      </w:r>
      <w:r>
        <w:rPr>
          <w:sz w:val="20"/>
          <w:szCs w:val="20"/>
          <w:vertAlign w:val="superscript"/>
        </w:rPr>
        <w:footnoteReference w:id="55"/>
      </w:r>
      <w:r>
        <w:rPr>
          <w:sz w:val="20"/>
          <w:szCs w:val="20"/>
        </w:rPr>
        <w:t xml:space="preserve">, Rastafari of African Descent were forced to </w:t>
      </w:r>
      <w:r>
        <w:rPr>
          <w:sz w:val="20"/>
          <w:szCs w:val="20"/>
        </w:rPr>
        <w:lastRenderedPageBreak/>
        <w:t>take legal action for the right to observe Holy Days and ensure that Rastafari was registered as a religion on the National Offender Management System (NOMS).</w:t>
      </w:r>
    </w:p>
    <w:p w:rsidR="0030330A" w:rsidRDefault="00000000">
      <w:pPr>
        <w:numPr>
          <w:ilvl w:val="1"/>
          <w:numId w:val="7"/>
        </w:numPr>
        <w:shd w:val="clear" w:color="auto" w:fill="FFFFFF"/>
        <w:jc w:val="both"/>
      </w:pPr>
      <w:r>
        <w:rPr>
          <w:sz w:val="20"/>
          <w:szCs w:val="20"/>
        </w:rPr>
        <w:t>Relative to their small number</w:t>
      </w:r>
      <w:r>
        <w:rPr>
          <w:sz w:val="20"/>
          <w:szCs w:val="20"/>
          <w:vertAlign w:val="superscript"/>
        </w:rPr>
        <w:footnoteReference w:id="56"/>
      </w:r>
      <w:r>
        <w:rPr>
          <w:sz w:val="20"/>
          <w:szCs w:val="20"/>
        </w:rPr>
        <w:t xml:space="preserve"> within the wider Black population</w:t>
      </w:r>
      <w:r>
        <w:rPr>
          <w:sz w:val="20"/>
          <w:szCs w:val="20"/>
          <w:vertAlign w:val="superscript"/>
        </w:rPr>
        <w:footnoteReference w:id="57"/>
      </w:r>
      <w:r>
        <w:rPr>
          <w:sz w:val="20"/>
          <w:szCs w:val="20"/>
        </w:rPr>
        <w:t xml:space="preserve"> (</w:t>
      </w:r>
      <w:r w:rsidR="00E540A9">
        <w:rPr>
          <w:sz w:val="20"/>
          <w:szCs w:val="20"/>
        </w:rPr>
        <w:t>approx.</w:t>
      </w:r>
      <w:r>
        <w:rPr>
          <w:sz w:val="20"/>
          <w:szCs w:val="20"/>
        </w:rPr>
        <w:t xml:space="preserve"> 1 in 420), Rastafari of African Descent are disproportionately among the number of people who either die in UK prisons and healthcare institutions, or due to the actions of the state. Disaggregated data isn’t collected</w:t>
      </w:r>
      <w:r>
        <w:rPr>
          <w:sz w:val="20"/>
          <w:szCs w:val="20"/>
          <w:vertAlign w:val="superscript"/>
        </w:rPr>
        <w:footnoteReference w:id="58"/>
      </w:r>
      <w:r>
        <w:rPr>
          <w:sz w:val="20"/>
          <w:szCs w:val="20"/>
        </w:rPr>
        <w:t>. But from the available data starting in 1978</w:t>
      </w:r>
      <w:r>
        <w:rPr>
          <w:sz w:val="20"/>
          <w:szCs w:val="20"/>
          <w:vertAlign w:val="superscript"/>
        </w:rPr>
        <w:footnoteReference w:id="59"/>
      </w:r>
      <w:r>
        <w:rPr>
          <w:sz w:val="20"/>
          <w:szCs w:val="20"/>
        </w:rPr>
        <w:t>, Richard Campbell</w:t>
      </w:r>
      <w:r>
        <w:rPr>
          <w:sz w:val="20"/>
          <w:szCs w:val="20"/>
          <w:vertAlign w:val="superscript"/>
        </w:rPr>
        <w:footnoteReference w:id="60"/>
      </w:r>
      <w:r>
        <w:rPr>
          <w:sz w:val="20"/>
          <w:szCs w:val="20"/>
        </w:rPr>
        <w:t>, Rocky Bennett</w:t>
      </w:r>
      <w:r>
        <w:rPr>
          <w:sz w:val="20"/>
          <w:szCs w:val="20"/>
          <w:vertAlign w:val="superscript"/>
        </w:rPr>
        <w:footnoteReference w:id="61"/>
      </w:r>
      <w:r>
        <w:rPr>
          <w:sz w:val="20"/>
          <w:szCs w:val="20"/>
        </w:rPr>
        <w:t xml:space="preserve"> and Errol Graham</w:t>
      </w:r>
      <w:r>
        <w:rPr>
          <w:sz w:val="20"/>
          <w:szCs w:val="20"/>
          <w:vertAlign w:val="superscript"/>
        </w:rPr>
        <w:footnoteReference w:id="62"/>
      </w:r>
      <w:r>
        <w:rPr>
          <w:sz w:val="20"/>
          <w:szCs w:val="20"/>
        </w:rPr>
        <w:t xml:space="preserve"> are well publicised cases.</w:t>
      </w:r>
    </w:p>
    <w:p w:rsidR="0030330A" w:rsidRDefault="00000000">
      <w:pPr>
        <w:numPr>
          <w:ilvl w:val="1"/>
          <w:numId w:val="7"/>
        </w:numPr>
        <w:shd w:val="clear" w:color="auto" w:fill="FFFFFF"/>
        <w:jc w:val="both"/>
      </w:pPr>
      <w:r>
        <w:rPr>
          <w:sz w:val="20"/>
          <w:szCs w:val="20"/>
        </w:rPr>
        <w:t>Discrimination against Rastafari children of African Descent within UK education is a violation of their Covenant rights to a cultural life outside of school. Despite national legislation, some schools adopt policies that lead to children with locs being removed from class and even permanently excluded. This is part of a wider pattern of discrimination against all forms of natural afro hair</w:t>
      </w:r>
      <w:r>
        <w:rPr>
          <w:sz w:val="20"/>
          <w:szCs w:val="20"/>
          <w:vertAlign w:val="superscript"/>
        </w:rPr>
        <w:footnoteReference w:id="63"/>
      </w:r>
      <w:r>
        <w:rPr>
          <w:sz w:val="20"/>
          <w:szCs w:val="20"/>
        </w:rPr>
        <w:t>. In response to these racist policies, students of African Descent staged a mass walk-out of school in 2021</w:t>
      </w:r>
      <w:r>
        <w:rPr>
          <w:sz w:val="20"/>
          <w:szCs w:val="20"/>
          <w:vertAlign w:val="superscript"/>
        </w:rPr>
        <w:footnoteReference w:id="64"/>
      </w:r>
      <w:r>
        <w:rPr>
          <w:sz w:val="20"/>
          <w:szCs w:val="20"/>
        </w:rPr>
        <w:t>, while the family of Chikayzea Flanders were supported by a NHRI to take legal action to defend Covenant rights, following demands from his school to cut his locs in 2018</w:t>
      </w:r>
      <w:r>
        <w:rPr>
          <w:sz w:val="20"/>
          <w:szCs w:val="20"/>
          <w:vertAlign w:val="superscript"/>
        </w:rPr>
        <w:footnoteReference w:id="65"/>
      </w:r>
    </w:p>
    <w:p w:rsidR="0030330A" w:rsidRDefault="0030330A">
      <w:pPr>
        <w:rPr>
          <w:b/>
          <w:sz w:val="16"/>
          <w:szCs w:val="16"/>
        </w:rPr>
      </w:pPr>
    </w:p>
    <w:p w:rsidR="0030330A" w:rsidRDefault="0030330A">
      <w:pPr>
        <w:rPr>
          <w:b/>
          <w:sz w:val="16"/>
          <w:szCs w:val="16"/>
        </w:rPr>
      </w:pPr>
    </w:p>
    <w:p w:rsidR="0030330A" w:rsidRDefault="00000000">
      <w:pPr>
        <w:rPr>
          <w:b/>
        </w:rPr>
      </w:pPr>
      <w:r>
        <w:rPr>
          <w:b/>
        </w:rPr>
        <w:t>QUESTIONS FOR THE STATE PARTY</w:t>
      </w:r>
    </w:p>
    <w:p w:rsidR="0030330A" w:rsidRDefault="0030330A">
      <w:pPr>
        <w:rPr>
          <w:b/>
          <w:sz w:val="16"/>
          <w:szCs w:val="16"/>
        </w:rPr>
      </w:pPr>
    </w:p>
    <w:p w:rsidR="0030330A" w:rsidRDefault="00000000">
      <w:pPr>
        <w:numPr>
          <w:ilvl w:val="0"/>
          <w:numId w:val="7"/>
        </w:numPr>
        <w:jc w:val="both"/>
      </w:pPr>
      <w:r>
        <w:rPr>
          <w:sz w:val="20"/>
          <w:szCs w:val="20"/>
        </w:rPr>
        <w:t xml:space="preserve">The increasing criminalisation of People of African Descent’s cultural expression is a clear violation of their Covenant rights. What steps is the UK government taking to ensure that this worrying trend is reversed - and how will progress be measured? </w:t>
      </w:r>
    </w:p>
    <w:p w:rsidR="0030330A" w:rsidRDefault="0030330A">
      <w:pPr>
        <w:ind w:left="720"/>
        <w:jc w:val="both"/>
        <w:rPr>
          <w:sz w:val="4"/>
          <w:szCs w:val="4"/>
        </w:rPr>
      </w:pPr>
    </w:p>
    <w:p w:rsidR="0030330A" w:rsidRDefault="00000000">
      <w:pPr>
        <w:numPr>
          <w:ilvl w:val="0"/>
          <w:numId w:val="7"/>
        </w:numPr>
        <w:jc w:val="both"/>
      </w:pPr>
      <w:r>
        <w:rPr>
          <w:sz w:val="20"/>
          <w:szCs w:val="20"/>
        </w:rPr>
        <w:t xml:space="preserve">The criminalisation of ethnic minorities exercising their Covenant right to cultural expression is facilitated by institutional racism within British policing and the Crown Prosecution Service. What steps will the UK government take to ensure that public body officials possess the cultural competence and anti-racism awareness to defend the Covenant right of People of African Descent to freedom of expression  - and how will progress be measured? </w:t>
      </w:r>
    </w:p>
    <w:p w:rsidR="0030330A" w:rsidRDefault="0030330A">
      <w:pPr>
        <w:ind w:left="720"/>
        <w:jc w:val="both"/>
        <w:rPr>
          <w:sz w:val="4"/>
          <w:szCs w:val="4"/>
        </w:rPr>
      </w:pPr>
    </w:p>
    <w:p w:rsidR="0030330A" w:rsidRDefault="00000000">
      <w:pPr>
        <w:numPr>
          <w:ilvl w:val="0"/>
          <w:numId w:val="7"/>
        </w:numPr>
        <w:jc w:val="both"/>
      </w:pPr>
      <w:r>
        <w:rPr>
          <w:sz w:val="20"/>
          <w:szCs w:val="20"/>
        </w:rPr>
        <w:t xml:space="preserve">In regards to the introduction of the Online Safety Act, what steps is the UK government taking to ensure that Section 15-16 is fully enforced, and that the owners of category 1 social media sites and apps are fully held accountable for the specific online racist and misogynistic abuse experienced by People of African Descent - and how will progress be measured? </w:t>
      </w:r>
    </w:p>
    <w:p w:rsidR="0030330A" w:rsidRDefault="0030330A">
      <w:pPr>
        <w:ind w:left="720"/>
        <w:jc w:val="both"/>
        <w:rPr>
          <w:sz w:val="4"/>
          <w:szCs w:val="4"/>
        </w:rPr>
      </w:pPr>
    </w:p>
    <w:p w:rsidR="0030330A" w:rsidRDefault="00000000">
      <w:pPr>
        <w:numPr>
          <w:ilvl w:val="0"/>
          <w:numId w:val="7"/>
        </w:numPr>
        <w:jc w:val="both"/>
      </w:pPr>
      <w:r>
        <w:rPr>
          <w:sz w:val="20"/>
          <w:szCs w:val="20"/>
        </w:rPr>
        <w:t xml:space="preserve">In regard to efforts being made to eliminate online racial abuse, will the UK government commit to collecting disaggregated data to demonstrate how many investigations and convictions have been made in relation to the specific and disproportionate racial and gender-based abuse experienced online by women of African Descent?  </w:t>
      </w:r>
    </w:p>
    <w:p w:rsidR="0030330A" w:rsidRDefault="0030330A">
      <w:pPr>
        <w:spacing w:line="235" w:lineRule="auto"/>
        <w:jc w:val="both"/>
        <w:rPr>
          <w:b/>
          <w:sz w:val="4"/>
          <w:szCs w:val="4"/>
          <w:u w:val="single"/>
        </w:rPr>
      </w:pPr>
    </w:p>
    <w:p w:rsidR="0030330A" w:rsidRDefault="00000000">
      <w:pPr>
        <w:numPr>
          <w:ilvl w:val="0"/>
          <w:numId w:val="7"/>
        </w:numPr>
        <w:jc w:val="both"/>
      </w:pPr>
      <w:r>
        <w:rPr>
          <w:sz w:val="20"/>
          <w:szCs w:val="20"/>
        </w:rPr>
        <w:t xml:space="preserve">Will the State Party reaffirm the Covenant right to political participation, freedom of expression and cultural life, and commit itself to financially resource, support and defend the rights of People of African Descent in civic spaces against all threats and encroachment? </w:t>
      </w:r>
    </w:p>
    <w:p w:rsidR="0030330A" w:rsidRDefault="0030330A">
      <w:pPr>
        <w:ind w:left="720"/>
        <w:jc w:val="both"/>
        <w:rPr>
          <w:sz w:val="6"/>
          <w:szCs w:val="6"/>
        </w:rPr>
      </w:pPr>
    </w:p>
    <w:p w:rsidR="0030330A" w:rsidRDefault="00000000">
      <w:pPr>
        <w:numPr>
          <w:ilvl w:val="0"/>
          <w:numId w:val="7"/>
        </w:numPr>
        <w:jc w:val="both"/>
      </w:pPr>
      <w:r>
        <w:rPr>
          <w:sz w:val="20"/>
          <w:szCs w:val="20"/>
        </w:rPr>
        <w:t>The Rastafari community in the UK has withstood racial oppression at the hands of the British State since their arrival in the late 1950s. When will the State Party meet its longstanding international obligations to guarantee the Covenant rights of all Rastafari to cultural life?</w:t>
      </w:r>
    </w:p>
    <w:p w:rsidR="0030330A" w:rsidRDefault="0030330A">
      <w:pPr>
        <w:ind w:left="720"/>
        <w:jc w:val="both"/>
        <w:rPr>
          <w:sz w:val="6"/>
          <w:szCs w:val="6"/>
        </w:rPr>
      </w:pPr>
    </w:p>
    <w:p w:rsidR="0030330A" w:rsidRDefault="00000000">
      <w:pPr>
        <w:numPr>
          <w:ilvl w:val="0"/>
          <w:numId w:val="7"/>
        </w:numPr>
        <w:jc w:val="both"/>
      </w:pPr>
      <w:r>
        <w:rPr>
          <w:sz w:val="20"/>
          <w:szCs w:val="20"/>
        </w:rPr>
        <w:t xml:space="preserve">The racial disproportionately of deaths in state institutions, and following contact with agents of the state, continues to persist. In line with recommendations made by INQUEST, will the State Party make a time-bound public commitment to end the deaths, disproportionate use of force, and broader ill treatment of People of African Descent at the hands of the state? </w:t>
      </w:r>
    </w:p>
    <w:p w:rsidR="0030330A" w:rsidRDefault="0030330A">
      <w:pPr>
        <w:jc w:val="both"/>
        <w:rPr>
          <w:sz w:val="6"/>
          <w:szCs w:val="6"/>
        </w:rPr>
      </w:pPr>
    </w:p>
    <w:p w:rsidR="0030330A" w:rsidRDefault="00000000">
      <w:pPr>
        <w:numPr>
          <w:ilvl w:val="0"/>
          <w:numId w:val="7"/>
        </w:numPr>
        <w:jc w:val="both"/>
      </w:pPr>
      <w:r>
        <w:rPr>
          <w:sz w:val="20"/>
          <w:szCs w:val="20"/>
        </w:rPr>
        <w:lastRenderedPageBreak/>
        <w:t xml:space="preserve">State oppression of children of African Descent is increasing, as evidenced from the growing number of Black students in Pupil Referral Units, and the increasing disproportionality of young Black people in prison. What steps is the State Party taking to implement all of its international obligations to protect children of African Descent from state harm? </w:t>
      </w:r>
    </w:p>
    <w:p w:rsidR="0030330A" w:rsidRDefault="0030330A">
      <w:pPr>
        <w:spacing w:line="235" w:lineRule="auto"/>
        <w:jc w:val="both"/>
        <w:rPr>
          <w:b/>
          <w:sz w:val="16"/>
          <w:szCs w:val="16"/>
          <w:u w:val="single"/>
        </w:rPr>
      </w:pPr>
    </w:p>
    <w:p w:rsidR="0030330A" w:rsidRDefault="0030330A">
      <w:pPr>
        <w:rPr>
          <w:b/>
          <w:color w:val="674EA7"/>
          <w:sz w:val="16"/>
          <w:szCs w:val="16"/>
          <w:u w:val="single"/>
        </w:rPr>
      </w:pPr>
    </w:p>
    <w:p w:rsidR="0030330A" w:rsidRDefault="00000000">
      <w:pPr>
        <w:rPr>
          <w:b/>
          <w:color w:val="674EA7"/>
          <w:sz w:val="26"/>
          <w:szCs w:val="26"/>
          <w:u w:val="single"/>
        </w:rPr>
      </w:pPr>
      <w:r>
        <w:rPr>
          <w:b/>
          <w:color w:val="674EA7"/>
          <w:sz w:val="26"/>
          <w:szCs w:val="26"/>
          <w:u w:val="single"/>
        </w:rPr>
        <w:t xml:space="preserve">Children’s Education and Protection  (art. 1, 2, 3, 10, 11, 12, 13) </w:t>
      </w:r>
    </w:p>
    <w:p w:rsidR="0030330A" w:rsidRDefault="0030330A">
      <w:pPr>
        <w:spacing w:line="235" w:lineRule="auto"/>
        <w:jc w:val="both"/>
        <w:rPr>
          <w:sz w:val="12"/>
          <w:szCs w:val="12"/>
        </w:rPr>
      </w:pPr>
    </w:p>
    <w:p w:rsidR="0030330A" w:rsidRDefault="0030330A">
      <w:pPr>
        <w:spacing w:line="235" w:lineRule="auto"/>
        <w:jc w:val="both"/>
        <w:rPr>
          <w:sz w:val="12"/>
          <w:szCs w:val="12"/>
        </w:rPr>
      </w:pPr>
    </w:p>
    <w:p w:rsidR="0030330A" w:rsidRDefault="00000000">
      <w:pPr>
        <w:rPr>
          <w:sz w:val="18"/>
          <w:szCs w:val="18"/>
        </w:rPr>
      </w:pPr>
      <w:r>
        <w:rPr>
          <w:b/>
        </w:rPr>
        <w:t>Right to Education that Promotes Dignity and Self Determination</w:t>
      </w:r>
    </w:p>
    <w:p w:rsidR="0030330A" w:rsidRDefault="0030330A">
      <w:pPr>
        <w:spacing w:line="240" w:lineRule="auto"/>
        <w:rPr>
          <w:sz w:val="16"/>
          <w:szCs w:val="16"/>
        </w:rPr>
      </w:pPr>
    </w:p>
    <w:p w:rsidR="0030330A" w:rsidRDefault="00000000">
      <w:pPr>
        <w:numPr>
          <w:ilvl w:val="0"/>
          <w:numId w:val="7"/>
        </w:numPr>
        <w:jc w:val="both"/>
      </w:pPr>
      <w:r>
        <w:rPr>
          <w:sz w:val="20"/>
          <w:szCs w:val="20"/>
        </w:rPr>
        <w:t xml:space="preserve">Compulsory education in British schools is denying children of African Descent their Covenant right to an education that promotes dignity, equality and self-determination. Rather than ensuring their full development to participate effectively in a free society, the UK schools are an institutional barrier that historically contributes to the socio-political construction of People of African Descent as a disadvantaged and exploited class. Successive UK </w:t>
      </w:r>
      <w:r w:rsidR="00E540A9">
        <w:rPr>
          <w:sz w:val="20"/>
          <w:szCs w:val="20"/>
        </w:rPr>
        <w:t>Governments</w:t>
      </w:r>
      <w:r>
        <w:rPr>
          <w:sz w:val="20"/>
          <w:szCs w:val="20"/>
        </w:rPr>
        <w:t xml:space="preserve"> have admitted to the deep-rooted racism that perpetually undermines the academic outcomes of children of African Descent by establishing low expectations of their potential. But concrete steps are never taken to destroy these dynamics and ensure that Covenant rights are truly defended and enjoyed. Until radical statutory measures are adopted with this urgent aim in mind, future generations will continue to be targeted and sabotaged by a historically racist school system that continues to knowingly cause lifelong harm. </w:t>
      </w:r>
    </w:p>
    <w:p w:rsidR="0030330A" w:rsidRDefault="0030330A">
      <w:pPr>
        <w:ind w:left="720"/>
        <w:jc w:val="both"/>
        <w:rPr>
          <w:sz w:val="10"/>
          <w:szCs w:val="10"/>
        </w:rPr>
      </w:pPr>
    </w:p>
    <w:p w:rsidR="0030330A" w:rsidRDefault="00000000">
      <w:pPr>
        <w:numPr>
          <w:ilvl w:val="1"/>
          <w:numId w:val="7"/>
        </w:numPr>
        <w:jc w:val="both"/>
      </w:pPr>
      <w:r>
        <w:rPr>
          <w:sz w:val="20"/>
          <w:szCs w:val="20"/>
        </w:rPr>
        <w:t>The low expectations of children of African Descent in UK schools is compounded by the longstanding underrepresentation and disenfranchisement of teachers of African Descent within British education. Children of African Descent in England represent 5.4% of all primary school students, and 6.1% of all secondary school students</w:t>
      </w:r>
      <w:r>
        <w:rPr>
          <w:sz w:val="20"/>
          <w:szCs w:val="20"/>
          <w:vertAlign w:val="superscript"/>
        </w:rPr>
        <w:footnoteReference w:id="66"/>
      </w:r>
      <w:r>
        <w:rPr>
          <w:sz w:val="20"/>
          <w:szCs w:val="20"/>
        </w:rPr>
        <w:t>. Yet teachers of African Descent in England only represent 3% of all school teachers, 1.7% of all deputy headteachers, and 1.4% of all headteachers</w:t>
      </w:r>
      <w:r>
        <w:rPr>
          <w:sz w:val="20"/>
          <w:szCs w:val="20"/>
          <w:vertAlign w:val="superscript"/>
        </w:rPr>
        <w:footnoteReference w:id="67"/>
      </w:r>
      <w:r>
        <w:rPr>
          <w:sz w:val="20"/>
          <w:szCs w:val="20"/>
        </w:rPr>
        <w:t>. Non-disaggregated data from the NASUWT Teachers Union suggests that 37% of all ethnic minority teachers in the UK felt that racism within the workplace was increasing, but 55% had been directly undermined by colleagues whenever they attempted to challenge it</w:t>
      </w:r>
      <w:r>
        <w:rPr>
          <w:sz w:val="20"/>
          <w:szCs w:val="20"/>
          <w:vertAlign w:val="superscript"/>
        </w:rPr>
        <w:footnoteReference w:id="68"/>
      </w:r>
      <w:r>
        <w:rPr>
          <w:sz w:val="20"/>
          <w:szCs w:val="20"/>
        </w:rPr>
        <w:t>. To put this into wider context, 85.1% of all teachers, and 92.5% of all headteachers in England are white, despite this demographic only representing 70.8% of the working age population</w:t>
      </w:r>
      <w:r>
        <w:rPr>
          <w:sz w:val="20"/>
          <w:szCs w:val="20"/>
          <w:vertAlign w:val="superscript"/>
        </w:rPr>
        <w:footnoteReference w:id="69"/>
      </w:r>
      <w:r>
        <w:rPr>
          <w:sz w:val="20"/>
          <w:szCs w:val="20"/>
        </w:rPr>
        <w:t xml:space="preserve">. While Black teachers alone shouldn’t be expected to solve institutional racism from the ground up, a representative teaching faculty is nevertheless essential to addressing the intersectional factors that have historically prevented children of African Descent from fully enjoying their Covenant right to an education that truly promotes their social, economic and cultural well-being. </w:t>
      </w:r>
    </w:p>
    <w:p w:rsidR="0030330A" w:rsidRDefault="00000000">
      <w:pPr>
        <w:numPr>
          <w:ilvl w:val="1"/>
          <w:numId w:val="7"/>
        </w:numPr>
        <w:jc w:val="both"/>
      </w:pPr>
      <w:r>
        <w:rPr>
          <w:sz w:val="20"/>
          <w:szCs w:val="20"/>
        </w:rPr>
        <w:t>The UK government’s efforts to defend the right to education for People of African Descent are woefully less intentional and impactful than the approach of the devolved Scottish government</w:t>
      </w:r>
      <w:r>
        <w:rPr>
          <w:sz w:val="20"/>
          <w:szCs w:val="20"/>
          <w:vertAlign w:val="superscript"/>
        </w:rPr>
        <w:footnoteReference w:id="70"/>
      </w:r>
      <w:r>
        <w:rPr>
          <w:sz w:val="20"/>
          <w:szCs w:val="20"/>
        </w:rPr>
        <w:t xml:space="preserve">. Whereas Scotland has comprehensively consolidated its efforts to implement the right to education within new national frameworks, the disorganised approach of the UK has created an increasingly decentralised and poorly structured education system. This fragmented mash-up consists of: the Department for Education (DfE); Ofsted; local authorities; NHRIs; the National Education Union (NEU); advocacy bodies like Liberty and Amnesty International UK; community advocates and campaigners; and individual schools and academies. This random collective has effectively been tasked to deliver the implementation of countless human rights obligations without a central framework to guide them. Moreover, in the absence of real leadership, clarity of objectives, and government oversight, the education policy of the </w:t>
      </w:r>
      <w:r>
        <w:rPr>
          <w:sz w:val="20"/>
          <w:szCs w:val="20"/>
        </w:rPr>
        <w:lastRenderedPageBreak/>
        <w:t xml:space="preserve">UK is ultimately being swayed by </w:t>
      </w:r>
      <w:r>
        <w:rPr>
          <w:rFonts w:ascii="Calibri" w:eastAsia="Calibri" w:hAnsi="Calibri" w:cs="Calibri"/>
        </w:rPr>
        <w:t xml:space="preserve">populist debates and led by </w:t>
      </w:r>
      <w:r>
        <w:rPr>
          <w:sz w:val="20"/>
          <w:szCs w:val="20"/>
        </w:rPr>
        <w:t xml:space="preserve">political pandering, both of which are increasingly leaning to the far right. There is great danger in the UK’s </w:t>
      </w:r>
      <w:r>
        <w:rPr>
          <w:rFonts w:ascii="Calibri" w:eastAsia="Calibri" w:hAnsi="Calibri" w:cs="Calibri"/>
        </w:rPr>
        <w:t xml:space="preserve">lack of a single, comprehensive anti-racism framework that is as explicitly focused and widely implemented as Scotland's. This longstanding situation is indicative of the lack of urgency shown by successive UK </w:t>
      </w:r>
      <w:r w:rsidR="00E540A9">
        <w:rPr>
          <w:rFonts w:ascii="Calibri" w:eastAsia="Calibri" w:hAnsi="Calibri" w:cs="Calibri"/>
        </w:rPr>
        <w:t>governments</w:t>
      </w:r>
      <w:r>
        <w:rPr>
          <w:rFonts w:ascii="Calibri" w:eastAsia="Calibri" w:hAnsi="Calibri" w:cs="Calibri"/>
        </w:rPr>
        <w:t xml:space="preserve"> to end the harm caused to children of African Descent, and ensure the enjoyment of their full  human rights.</w:t>
      </w:r>
    </w:p>
    <w:p w:rsidR="0030330A" w:rsidRDefault="0030330A">
      <w:pPr>
        <w:jc w:val="both"/>
        <w:rPr>
          <w:b/>
          <w:sz w:val="16"/>
          <w:szCs w:val="16"/>
        </w:rPr>
      </w:pPr>
    </w:p>
    <w:p w:rsidR="0030330A" w:rsidRDefault="0030330A">
      <w:pPr>
        <w:jc w:val="both"/>
        <w:rPr>
          <w:b/>
          <w:sz w:val="16"/>
          <w:szCs w:val="16"/>
        </w:rPr>
      </w:pPr>
    </w:p>
    <w:p w:rsidR="0030330A" w:rsidRDefault="00000000">
      <w:pPr>
        <w:jc w:val="both"/>
        <w:rPr>
          <w:b/>
        </w:rPr>
      </w:pPr>
      <w:r>
        <w:rPr>
          <w:b/>
        </w:rPr>
        <w:t>Children of African Descent and the School-to-Prison Pipeline</w:t>
      </w:r>
    </w:p>
    <w:p w:rsidR="0030330A" w:rsidRDefault="0030330A">
      <w:pPr>
        <w:rPr>
          <w:sz w:val="16"/>
          <w:szCs w:val="16"/>
        </w:rPr>
      </w:pPr>
    </w:p>
    <w:p w:rsidR="0030330A" w:rsidRDefault="00000000">
      <w:pPr>
        <w:numPr>
          <w:ilvl w:val="0"/>
          <w:numId w:val="7"/>
        </w:numPr>
        <w:jc w:val="both"/>
      </w:pPr>
      <w:r>
        <w:rPr>
          <w:sz w:val="20"/>
          <w:szCs w:val="20"/>
        </w:rPr>
        <w:t>The school-to-prison pipeline faced by children of African Descent is a clear violation of their Covenant rights. Freedom of Information (FOI) requests have revealed that nearly 1000 police officers are currently operating within UK schools, typically in communities where People of African Descent predominantly live</w:t>
      </w:r>
      <w:r>
        <w:rPr>
          <w:sz w:val="20"/>
          <w:szCs w:val="20"/>
          <w:vertAlign w:val="superscript"/>
        </w:rPr>
        <w:footnoteReference w:id="71"/>
      </w:r>
      <w:r>
        <w:rPr>
          <w:sz w:val="20"/>
          <w:szCs w:val="20"/>
        </w:rPr>
        <w:t xml:space="preserve">. Officers assigned to schools are known as “Safer Schools Police Officers” (SSPOs), and the arrangements between police authorities and schools are called “Safer Schools Partnerships” (SSP). Despite widespread opposition to their presence, there are plans to increase the number of SSPOs in schools. </w:t>
      </w:r>
    </w:p>
    <w:p w:rsidR="0030330A" w:rsidRDefault="0030330A">
      <w:pPr>
        <w:rPr>
          <w:sz w:val="10"/>
          <w:szCs w:val="10"/>
        </w:rPr>
      </w:pPr>
    </w:p>
    <w:p w:rsidR="0030330A" w:rsidRDefault="00000000">
      <w:pPr>
        <w:numPr>
          <w:ilvl w:val="1"/>
          <w:numId w:val="7"/>
        </w:numPr>
        <w:jc w:val="both"/>
      </w:pPr>
      <w:r>
        <w:rPr>
          <w:sz w:val="20"/>
          <w:szCs w:val="20"/>
        </w:rPr>
        <w:t>The case of Child Q brought this issue into the public eye</w:t>
      </w:r>
      <w:r>
        <w:rPr>
          <w:sz w:val="20"/>
          <w:szCs w:val="20"/>
          <w:vertAlign w:val="superscript"/>
        </w:rPr>
        <w:footnoteReference w:id="72"/>
      </w:r>
      <w:r>
        <w:rPr>
          <w:sz w:val="20"/>
          <w:szCs w:val="20"/>
        </w:rPr>
        <w:t xml:space="preserve">, when a </w:t>
      </w:r>
      <w:r w:rsidR="00E540A9">
        <w:rPr>
          <w:sz w:val="20"/>
          <w:szCs w:val="20"/>
        </w:rPr>
        <w:t>15-year-old</w:t>
      </w:r>
      <w:r>
        <w:rPr>
          <w:sz w:val="20"/>
          <w:szCs w:val="20"/>
        </w:rPr>
        <w:t xml:space="preserve"> girl of African Descent was strip searched in her school, without an appropriate adult present, while she was on her period. This case demonstrates the extent to which race determines police actions, and evidences the prevalence of ‘adultification bias’, This incident isn’t isolated. Over 9000 children were strip searched by the Met Police over a </w:t>
      </w:r>
      <w:r w:rsidR="00E540A9">
        <w:rPr>
          <w:sz w:val="20"/>
          <w:szCs w:val="20"/>
        </w:rPr>
        <w:t>five-year</w:t>
      </w:r>
      <w:r>
        <w:rPr>
          <w:sz w:val="20"/>
          <w:szCs w:val="20"/>
        </w:rPr>
        <w:t xml:space="preserve"> period. Nearly all were boys, and 60% were of African Descent</w:t>
      </w:r>
      <w:r>
        <w:rPr>
          <w:sz w:val="20"/>
          <w:szCs w:val="20"/>
          <w:vertAlign w:val="superscript"/>
        </w:rPr>
        <w:footnoteReference w:id="73"/>
      </w:r>
      <w:r>
        <w:rPr>
          <w:sz w:val="20"/>
          <w:szCs w:val="20"/>
        </w:rPr>
        <w:t xml:space="preserve">. </w:t>
      </w:r>
    </w:p>
    <w:p w:rsidR="0030330A" w:rsidRDefault="00000000">
      <w:pPr>
        <w:numPr>
          <w:ilvl w:val="1"/>
          <w:numId w:val="7"/>
        </w:numPr>
        <w:jc w:val="both"/>
      </w:pPr>
      <w:r>
        <w:rPr>
          <w:sz w:val="20"/>
          <w:szCs w:val="20"/>
        </w:rPr>
        <w:t>Depending on the details of each SSP agreement, some SSPOs have been assigned the same disciplinary powers as school staff. This means that police officers in UK schools can make direct interventions in a child’s education, remove them from classes, issue detentions, and initiate suspension and permanent exclusion policies</w:t>
      </w:r>
      <w:r>
        <w:rPr>
          <w:sz w:val="20"/>
          <w:szCs w:val="20"/>
          <w:vertAlign w:val="superscript"/>
        </w:rPr>
        <w:footnoteReference w:id="74"/>
      </w:r>
      <w:r>
        <w:rPr>
          <w:sz w:val="20"/>
          <w:szCs w:val="20"/>
        </w:rPr>
        <w:t>.</w:t>
      </w:r>
    </w:p>
    <w:p w:rsidR="0030330A" w:rsidRDefault="00000000">
      <w:pPr>
        <w:numPr>
          <w:ilvl w:val="1"/>
          <w:numId w:val="7"/>
        </w:numPr>
        <w:jc w:val="both"/>
      </w:pPr>
      <w:r>
        <w:rPr>
          <w:sz w:val="20"/>
          <w:szCs w:val="20"/>
        </w:rPr>
        <w:t xml:space="preserve">While there is no evidence that police officers in schools help to increase student safety, their presence is demonstrably an escalation of the over-policing that communities of African Descent have experienced for generations. It also compounds the institutional racism that children of African Descent already experience - they are already six times more likely to be permanently excluded from school. </w:t>
      </w:r>
    </w:p>
    <w:p w:rsidR="0030330A" w:rsidRDefault="0030330A">
      <w:pPr>
        <w:spacing w:line="235" w:lineRule="auto"/>
        <w:jc w:val="both"/>
        <w:rPr>
          <w:b/>
          <w:sz w:val="16"/>
          <w:szCs w:val="16"/>
        </w:rPr>
      </w:pPr>
    </w:p>
    <w:p w:rsidR="0030330A" w:rsidRDefault="0030330A">
      <w:pPr>
        <w:spacing w:line="235" w:lineRule="auto"/>
        <w:jc w:val="both"/>
        <w:rPr>
          <w:b/>
          <w:sz w:val="16"/>
          <w:szCs w:val="16"/>
        </w:rPr>
      </w:pPr>
    </w:p>
    <w:p w:rsidR="0030330A" w:rsidRDefault="00000000">
      <w:pPr>
        <w:spacing w:line="235" w:lineRule="auto"/>
        <w:jc w:val="both"/>
        <w:rPr>
          <w:b/>
        </w:rPr>
      </w:pPr>
      <w:r>
        <w:rPr>
          <w:b/>
        </w:rPr>
        <w:t xml:space="preserve">Safeguarding and Personal Development of Children of African Descent </w:t>
      </w:r>
    </w:p>
    <w:p w:rsidR="0030330A" w:rsidRDefault="0030330A">
      <w:pPr>
        <w:spacing w:line="235" w:lineRule="auto"/>
        <w:jc w:val="both"/>
        <w:rPr>
          <w:sz w:val="16"/>
          <w:szCs w:val="16"/>
        </w:rPr>
      </w:pPr>
    </w:p>
    <w:p w:rsidR="0030330A" w:rsidRDefault="00000000">
      <w:pPr>
        <w:numPr>
          <w:ilvl w:val="0"/>
          <w:numId w:val="7"/>
        </w:numPr>
        <w:jc w:val="both"/>
      </w:pPr>
      <w:r>
        <w:rPr>
          <w:sz w:val="20"/>
          <w:szCs w:val="20"/>
        </w:rPr>
        <w:t>Children of African Descent in the UK are disproportionately faced with the intersectional challenge of inter-communal violence, police harassment, and fragmented family dynamics. These issues are compounded by a lack of statutory support due to austerity measures that disproportionately cut public services in Black communities, like libraries and youth centres</w:t>
      </w:r>
      <w:r>
        <w:rPr>
          <w:sz w:val="20"/>
          <w:szCs w:val="20"/>
          <w:vertAlign w:val="superscript"/>
        </w:rPr>
        <w:footnoteReference w:id="75"/>
      </w:r>
      <w:r>
        <w:rPr>
          <w:sz w:val="20"/>
          <w:szCs w:val="20"/>
        </w:rPr>
        <w:t xml:space="preserve">. </w:t>
      </w:r>
    </w:p>
    <w:p w:rsidR="0030330A" w:rsidRDefault="0030330A">
      <w:pPr>
        <w:ind w:left="720"/>
        <w:jc w:val="both"/>
        <w:rPr>
          <w:sz w:val="10"/>
          <w:szCs w:val="10"/>
        </w:rPr>
      </w:pPr>
    </w:p>
    <w:p w:rsidR="0030330A" w:rsidRDefault="00000000">
      <w:pPr>
        <w:numPr>
          <w:ilvl w:val="1"/>
          <w:numId w:val="7"/>
        </w:numPr>
        <w:jc w:val="both"/>
      </w:pPr>
      <w:r>
        <w:rPr>
          <w:sz w:val="20"/>
          <w:szCs w:val="20"/>
        </w:rPr>
        <w:t>Manhood Academy Global (MAG)</w:t>
      </w:r>
      <w:r>
        <w:rPr>
          <w:sz w:val="20"/>
          <w:szCs w:val="20"/>
          <w:vertAlign w:val="superscript"/>
        </w:rPr>
        <w:footnoteReference w:id="76"/>
      </w:r>
      <w:r>
        <w:rPr>
          <w:sz w:val="20"/>
          <w:szCs w:val="20"/>
        </w:rPr>
        <w:t xml:space="preserve"> is a leading CSO that provides community-led interventions for families and children of African Descent. Services include personal development, supplementary education, mental health counselling, conflict resolution and emergency first aid training. MAG recognises the challenges faced by young people due to structural racism, and works to support them become future leaders capable of contributing to the betterment of their community and wider society.</w:t>
      </w:r>
    </w:p>
    <w:p w:rsidR="0030330A" w:rsidRDefault="00000000">
      <w:pPr>
        <w:numPr>
          <w:ilvl w:val="1"/>
          <w:numId w:val="7"/>
        </w:numPr>
        <w:jc w:val="both"/>
      </w:pPr>
      <w:r>
        <w:rPr>
          <w:sz w:val="20"/>
          <w:szCs w:val="20"/>
        </w:rPr>
        <w:t>As part of MAG’s 2024 work programme, the 12 week “My Life Matters” (MLM) Programme worked with 67 children of African Descent in London aged between 13-</w:t>
      </w:r>
      <w:r>
        <w:rPr>
          <w:sz w:val="20"/>
          <w:szCs w:val="20"/>
        </w:rPr>
        <w:lastRenderedPageBreak/>
        <w:t>17</w:t>
      </w:r>
      <w:r>
        <w:rPr>
          <w:sz w:val="20"/>
          <w:szCs w:val="20"/>
          <w:vertAlign w:val="superscript"/>
        </w:rPr>
        <w:footnoteReference w:id="77"/>
      </w:r>
      <w:r>
        <w:rPr>
          <w:sz w:val="20"/>
          <w:szCs w:val="20"/>
        </w:rPr>
        <w:t>. Approx 90% of participants had direct experience of police harassment; 80% had direct knowledge of youth violence or were in close proximity to violent crime. 65% had experience of mental health issues, either personally or in their family</w:t>
      </w:r>
      <w:r>
        <w:rPr>
          <w:sz w:val="20"/>
          <w:szCs w:val="20"/>
          <w:vertAlign w:val="superscript"/>
        </w:rPr>
        <w:footnoteReference w:id="78"/>
      </w:r>
      <w:r>
        <w:rPr>
          <w:sz w:val="20"/>
          <w:szCs w:val="20"/>
        </w:rPr>
        <w:t xml:space="preserve">. </w:t>
      </w:r>
    </w:p>
    <w:p w:rsidR="0030330A" w:rsidRDefault="00000000">
      <w:pPr>
        <w:numPr>
          <w:ilvl w:val="1"/>
          <w:numId w:val="7"/>
        </w:numPr>
        <w:jc w:val="both"/>
      </w:pPr>
      <w:r>
        <w:rPr>
          <w:sz w:val="20"/>
          <w:szCs w:val="20"/>
        </w:rPr>
        <w:t>The social and personal issues identified by MAG are caused by structural racism in the UK. In particular, the disproportionate impact of austerity measures demonstrates the State Party’s failure to ensure universal enjoyment of Covenant rights.</w:t>
      </w:r>
    </w:p>
    <w:p w:rsidR="0030330A" w:rsidRDefault="0030330A">
      <w:pPr>
        <w:ind w:left="1440"/>
        <w:jc w:val="both"/>
        <w:rPr>
          <w:sz w:val="16"/>
          <w:szCs w:val="16"/>
        </w:rPr>
      </w:pPr>
    </w:p>
    <w:p w:rsidR="0030330A" w:rsidRDefault="0030330A">
      <w:pPr>
        <w:jc w:val="both"/>
        <w:rPr>
          <w:b/>
          <w:sz w:val="16"/>
          <w:szCs w:val="16"/>
        </w:rPr>
      </w:pPr>
    </w:p>
    <w:p w:rsidR="0030330A" w:rsidRDefault="00000000">
      <w:pPr>
        <w:jc w:val="both"/>
        <w:rPr>
          <w:b/>
        </w:rPr>
      </w:pPr>
      <w:r>
        <w:rPr>
          <w:b/>
        </w:rPr>
        <w:t>Institutional racism in response to missing children in the UK</w:t>
      </w:r>
    </w:p>
    <w:p w:rsidR="0030330A" w:rsidRDefault="0030330A">
      <w:pPr>
        <w:jc w:val="both"/>
        <w:rPr>
          <w:sz w:val="16"/>
          <w:szCs w:val="16"/>
        </w:rPr>
      </w:pPr>
    </w:p>
    <w:p w:rsidR="0030330A" w:rsidRDefault="00000000">
      <w:pPr>
        <w:numPr>
          <w:ilvl w:val="0"/>
          <w:numId w:val="7"/>
        </w:numPr>
        <w:jc w:val="both"/>
      </w:pPr>
      <w:r>
        <w:rPr>
          <w:sz w:val="20"/>
          <w:szCs w:val="20"/>
        </w:rPr>
        <w:t>Children of African Descent are disproportionately more likely to go missing. Statistics show that 16% of all missing children in the UK are of African Descent, despite only constituting 6% of the population. There are also racial disparities in the response of public bodies when children of African Descent are reported missing. They are more likely to be reported missing for longer periods of time, and are less likely to be found. There are currently no government initiatives to address this issue, and no efforts to collect specific data to assess the causes of this racial disparity. Instead, the issue is primarily considered a matter for the criminal justice system, and children of African Descent are stereotyped and subjected to adultification. This fuels their mistrust of public services and contributes to a worsening situation</w:t>
      </w:r>
      <w:r>
        <w:rPr>
          <w:sz w:val="20"/>
          <w:szCs w:val="20"/>
          <w:vertAlign w:val="superscript"/>
        </w:rPr>
        <w:footnoteReference w:id="79"/>
      </w:r>
      <w:r>
        <w:rPr>
          <w:sz w:val="20"/>
          <w:szCs w:val="20"/>
        </w:rPr>
        <w:t xml:space="preserve">. </w:t>
      </w:r>
    </w:p>
    <w:p w:rsidR="0030330A" w:rsidRDefault="0030330A">
      <w:pPr>
        <w:ind w:left="1440"/>
        <w:jc w:val="both"/>
        <w:rPr>
          <w:sz w:val="10"/>
          <w:szCs w:val="10"/>
        </w:rPr>
      </w:pPr>
    </w:p>
    <w:p w:rsidR="0030330A" w:rsidRDefault="00000000">
      <w:pPr>
        <w:numPr>
          <w:ilvl w:val="1"/>
          <w:numId w:val="7"/>
        </w:numPr>
        <w:jc w:val="both"/>
      </w:pPr>
      <w:r>
        <w:rPr>
          <w:sz w:val="20"/>
          <w:szCs w:val="20"/>
        </w:rPr>
        <w:t>As part of their 2024 work programme, Manhood Academy Global (MAG) organised the Missing Black Child Conference</w:t>
      </w:r>
      <w:r>
        <w:rPr>
          <w:sz w:val="20"/>
          <w:szCs w:val="20"/>
          <w:vertAlign w:val="superscript"/>
        </w:rPr>
        <w:footnoteReference w:id="80"/>
      </w:r>
      <w:r>
        <w:rPr>
          <w:sz w:val="20"/>
          <w:szCs w:val="20"/>
        </w:rPr>
        <w:t xml:space="preserve"> in partnership with the national NGO “Missing People”, local government representatives, concerned parents and young people.</w:t>
      </w:r>
    </w:p>
    <w:p w:rsidR="0030330A" w:rsidRDefault="00000000">
      <w:pPr>
        <w:numPr>
          <w:ilvl w:val="1"/>
          <w:numId w:val="7"/>
        </w:numPr>
        <w:jc w:val="both"/>
      </w:pPr>
      <w:r>
        <w:rPr>
          <w:sz w:val="20"/>
          <w:szCs w:val="20"/>
        </w:rPr>
        <w:t xml:space="preserve">MAG found that the root cause of this racial disparity was the structural discrimination faced by children of African Descent. Racial bias in safeguarding and risk assessment results in Black children in schools and social service institutions being less likely to be seen as vulnerable and more likely to be criminalised than supported. </w:t>
      </w:r>
    </w:p>
    <w:p w:rsidR="0030330A" w:rsidRDefault="00000000">
      <w:pPr>
        <w:numPr>
          <w:ilvl w:val="1"/>
          <w:numId w:val="7"/>
        </w:numPr>
        <w:jc w:val="both"/>
      </w:pPr>
      <w:r>
        <w:rPr>
          <w:sz w:val="20"/>
          <w:szCs w:val="20"/>
        </w:rPr>
        <w:t xml:space="preserve">Racial bias and discrimination also </w:t>
      </w:r>
      <w:r w:rsidR="00E540A9">
        <w:rPr>
          <w:sz w:val="20"/>
          <w:szCs w:val="20"/>
        </w:rPr>
        <w:t>extend</w:t>
      </w:r>
      <w:r>
        <w:rPr>
          <w:sz w:val="20"/>
          <w:szCs w:val="20"/>
        </w:rPr>
        <w:t xml:space="preserve"> to parents, who are typically seen as either neglectful, or overbearing, and viewed as being less deserving of public body resources. All of these factors contribute to children of African Descent being less likely to be found than missing children from other </w:t>
      </w:r>
      <w:r w:rsidR="00E540A9">
        <w:rPr>
          <w:sz w:val="20"/>
          <w:szCs w:val="20"/>
        </w:rPr>
        <w:t>communities</w:t>
      </w:r>
      <w:r>
        <w:rPr>
          <w:sz w:val="20"/>
          <w:szCs w:val="20"/>
        </w:rPr>
        <w:t xml:space="preserve">. </w:t>
      </w:r>
    </w:p>
    <w:p w:rsidR="0030330A" w:rsidRDefault="0030330A">
      <w:pPr>
        <w:ind w:left="1440"/>
        <w:jc w:val="both"/>
        <w:rPr>
          <w:sz w:val="16"/>
          <w:szCs w:val="16"/>
        </w:rPr>
      </w:pPr>
    </w:p>
    <w:p w:rsidR="0030330A" w:rsidRDefault="0030330A">
      <w:pPr>
        <w:rPr>
          <w:sz w:val="16"/>
          <w:szCs w:val="16"/>
        </w:rPr>
      </w:pPr>
    </w:p>
    <w:p w:rsidR="0030330A" w:rsidRDefault="00000000">
      <w:pPr>
        <w:rPr>
          <w:b/>
        </w:rPr>
      </w:pPr>
      <w:r>
        <w:rPr>
          <w:b/>
        </w:rPr>
        <w:t>QUESTIONS FOR THE STATE PARTY</w:t>
      </w:r>
    </w:p>
    <w:p w:rsidR="0030330A" w:rsidRDefault="0030330A">
      <w:pPr>
        <w:jc w:val="both"/>
        <w:rPr>
          <w:b/>
          <w:sz w:val="16"/>
          <w:szCs w:val="16"/>
        </w:rPr>
      </w:pPr>
    </w:p>
    <w:p w:rsidR="0030330A" w:rsidRDefault="00000000">
      <w:pPr>
        <w:numPr>
          <w:ilvl w:val="0"/>
          <w:numId w:val="7"/>
        </w:numPr>
        <w:jc w:val="both"/>
      </w:pPr>
      <w:r>
        <w:rPr>
          <w:sz w:val="20"/>
          <w:szCs w:val="20"/>
        </w:rPr>
        <w:t>Will the UK government commit to a time-bound public commitment to provide all necessary resources to increase the number of teachers of African Descent at all levels of seniority in British schools in line with the Black student population in the UK - if not, why not?</w:t>
      </w:r>
    </w:p>
    <w:p w:rsidR="0030330A" w:rsidRDefault="0030330A">
      <w:pPr>
        <w:ind w:left="720"/>
        <w:jc w:val="both"/>
        <w:rPr>
          <w:sz w:val="8"/>
          <w:szCs w:val="8"/>
        </w:rPr>
      </w:pPr>
    </w:p>
    <w:p w:rsidR="0030330A" w:rsidRDefault="00000000">
      <w:pPr>
        <w:numPr>
          <w:ilvl w:val="0"/>
          <w:numId w:val="7"/>
        </w:numPr>
        <w:jc w:val="both"/>
      </w:pPr>
      <w:r>
        <w:rPr>
          <w:sz w:val="20"/>
          <w:szCs w:val="20"/>
        </w:rPr>
        <w:t>The devolved Scottish government has surpassed the UK in its commitment to anti-racism, as demonstrated by: the Race Equality Framework for Scotland 2030; the Race Equality Action Plan 2021; the Anti-Racism in Education Working Group; the Anti-Racist Employment Strategy; the Cross Justice Working Group on Race Data and Evidence; the Stop and Search Code of Practice; and the Participation Framework</w:t>
      </w:r>
      <w:r>
        <w:rPr>
          <w:sz w:val="20"/>
          <w:szCs w:val="20"/>
          <w:vertAlign w:val="superscript"/>
        </w:rPr>
        <w:footnoteReference w:id="81"/>
      </w:r>
      <w:r>
        <w:rPr>
          <w:sz w:val="20"/>
          <w:szCs w:val="20"/>
        </w:rPr>
        <w:t xml:space="preserve">. In light of the progressive realisation of Covent rights across the border, when will the State Party commit to end the suffering it causes to children of African Descent, and make a time-bound public commitment to implement a radical plan of action to eliminate all forms of racial discrimination in the UK? </w:t>
      </w:r>
    </w:p>
    <w:p w:rsidR="0030330A" w:rsidRDefault="0030330A">
      <w:pPr>
        <w:ind w:left="720"/>
        <w:jc w:val="both"/>
        <w:rPr>
          <w:sz w:val="8"/>
          <w:szCs w:val="8"/>
        </w:rPr>
      </w:pPr>
    </w:p>
    <w:p w:rsidR="0030330A" w:rsidRDefault="00000000">
      <w:pPr>
        <w:numPr>
          <w:ilvl w:val="0"/>
          <w:numId w:val="7"/>
        </w:numPr>
        <w:jc w:val="both"/>
      </w:pPr>
      <w:r>
        <w:rPr>
          <w:sz w:val="20"/>
          <w:szCs w:val="20"/>
        </w:rPr>
        <w:t xml:space="preserve">The presence of police officers in UK schools is a safeguarding risk, and the demonstrable harm caused to children of African Descent is  a clear violation of Covenant rights. Will the UK </w:t>
      </w:r>
      <w:r>
        <w:rPr>
          <w:sz w:val="20"/>
          <w:szCs w:val="20"/>
        </w:rPr>
        <w:lastRenderedPageBreak/>
        <w:t>government commit to dismantling the school-to-prison pipeline - and swiftly remove all police from UK schools, thereby ending their power to strip search children?</w:t>
      </w:r>
    </w:p>
    <w:p w:rsidR="0030330A" w:rsidRDefault="0030330A">
      <w:pPr>
        <w:jc w:val="both"/>
        <w:rPr>
          <w:sz w:val="8"/>
          <w:szCs w:val="8"/>
        </w:rPr>
      </w:pPr>
    </w:p>
    <w:p w:rsidR="0030330A" w:rsidRDefault="00000000">
      <w:pPr>
        <w:numPr>
          <w:ilvl w:val="0"/>
          <w:numId w:val="7"/>
        </w:numPr>
        <w:jc w:val="both"/>
      </w:pPr>
      <w:r>
        <w:rPr>
          <w:sz w:val="20"/>
          <w:szCs w:val="20"/>
        </w:rPr>
        <w:t xml:space="preserve">In light of the perverted use of strip search on children of African Descent, when will the UK commit to establishing an independent mechanism to lead investigations into all allegations of racial profiling, stop-and-search, strip-searches, and excessive use of force by British police - and ensure that perpetrators are prosecuted and punished, and that victims have access to effective remedies and adequate reparations? </w:t>
      </w:r>
    </w:p>
    <w:p w:rsidR="0030330A" w:rsidRDefault="0030330A">
      <w:pPr>
        <w:jc w:val="both"/>
        <w:rPr>
          <w:sz w:val="8"/>
          <w:szCs w:val="8"/>
        </w:rPr>
      </w:pPr>
    </w:p>
    <w:p w:rsidR="0030330A" w:rsidRDefault="00000000">
      <w:pPr>
        <w:numPr>
          <w:ilvl w:val="0"/>
          <w:numId w:val="7"/>
        </w:numPr>
        <w:jc w:val="both"/>
      </w:pPr>
      <w:r>
        <w:rPr>
          <w:sz w:val="20"/>
          <w:szCs w:val="20"/>
        </w:rPr>
        <w:t xml:space="preserve">Austerity policies of consecutive governments have disproportionately impacted the Covenant rights of People of African Descent. When will the UK government acknowledge the disproportionate damage caused to communities of African Descent, commit to providing the necessary reparative statutory funding to restore public services, and establish new community-led services and youth facilities - and how will progress be measured? </w:t>
      </w:r>
    </w:p>
    <w:p w:rsidR="0030330A" w:rsidRDefault="0030330A">
      <w:pPr>
        <w:jc w:val="both"/>
        <w:rPr>
          <w:sz w:val="8"/>
          <w:szCs w:val="8"/>
        </w:rPr>
      </w:pPr>
    </w:p>
    <w:p w:rsidR="0030330A" w:rsidRDefault="00000000">
      <w:pPr>
        <w:numPr>
          <w:ilvl w:val="0"/>
          <w:numId w:val="7"/>
        </w:numPr>
        <w:jc w:val="both"/>
      </w:pPr>
      <w:r>
        <w:rPr>
          <w:sz w:val="20"/>
          <w:szCs w:val="20"/>
        </w:rPr>
        <w:t>The racial disparity in responses to missing children of African Descent is a culmination of institutional racism in schools and the UK police force. The socio-economic and racialised factors behind poor educational outcomes, safeguarding failures, school exclusion, underemployment, non-existing youth facilities and community services, and increased contact with institutionally racist police officers, are all violations of Covenant rights and the UN Convention on the Rights of the Child. How does the State Party intend to address these intersecting issues within public bodies, and support families and community leaders to tackle the root causes behind the disproportionate number of missing children of African Descent?</w:t>
      </w:r>
    </w:p>
    <w:p w:rsidR="0030330A" w:rsidRDefault="0030330A">
      <w:pPr>
        <w:jc w:val="both"/>
        <w:rPr>
          <w:sz w:val="8"/>
          <w:szCs w:val="8"/>
        </w:rPr>
      </w:pPr>
    </w:p>
    <w:p w:rsidR="0030330A" w:rsidRDefault="00000000">
      <w:pPr>
        <w:numPr>
          <w:ilvl w:val="0"/>
          <w:numId w:val="7"/>
        </w:numPr>
        <w:jc w:val="both"/>
      </w:pPr>
      <w:r>
        <w:rPr>
          <w:sz w:val="20"/>
          <w:szCs w:val="20"/>
        </w:rPr>
        <w:t>Children of African Descent with special educational needs (SEN) and special educational needs and disabilities (SEND) are facing compounded and racialised inequalities in the UK. Pupils with SEN and SEND account for nearly half of all permanent and fixed term exclusions, and Black school boys with Caribbean heritage and SEN are 168 times more likely to be permanently excluded from school than a white British girl without SEN or SEND</w:t>
      </w:r>
      <w:r>
        <w:rPr>
          <w:sz w:val="20"/>
          <w:szCs w:val="20"/>
          <w:vertAlign w:val="superscript"/>
        </w:rPr>
        <w:footnoteReference w:id="82"/>
      </w:r>
      <w:r>
        <w:rPr>
          <w:sz w:val="20"/>
          <w:szCs w:val="20"/>
        </w:rPr>
        <w:t>. What urgent measures are the State Party implementing to ensure all pupils of African Descent with SEN and SEND enjoy their Covenant rights free from discrimination against both their race, and educational needs and/or disabilities, as outlined in ICESCR General Comment No. 5</w:t>
      </w:r>
      <w:r>
        <w:rPr>
          <w:sz w:val="20"/>
          <w:szCs w:val="20"/>
          <w:vertAlign w:val="superscript"/>
        </w:rPr>
        <w:footnoteReference w:id="83"/>
      </w:r>
      <w:r>
        <w:rPr>
          <w:sz w:val="20"/>
          <w:szCs w:val="20"/>
        </w:rPr>
        <w:t xml:space="preserve">? </w:t>
      </w:r>
    </w:p>
    <w:p w:rsidR="0030330A" w:rsidRDefault="0030330A">
      <w:pPr>
        <w:rPr>
          <w:b/>
          <w:sz w:val="16"/>
          <w:szCs w:val="16"/>
          <w:u w:val="single"/>
        </w:rPr>
      </w:pPr>
    </w:p>
    <w:p w:rsidR="0030330A" w:rsidRDefault="0030330A">
      <w:pPr>
        <w:rPr>
          <w:b/>
          <w:sz w:val="16"/>
          <w:szCs w:val="16"/>
          <w:u w:val="single"/>
        </w:rPr>
      </w:pPr>
    </w:p>
    <w:p w:rsidR="0030330A" w:rsidRDefault="00000000">
      <w:pPr>
        <w:rPr>
          <w:b/>
          <w:color w:val="674EA7"/>
          <w:sz w:val="26"/>
          <w:szCs w:val="26"/>
          <w:u w:val="single"/>
        </w:rPr>
      </w:pPr>
      <w:r>
        <w:rPr>
          <w:b/>
          <w:color w:val="674EA7"/>
          <w:sz w:val="26"/>
          <w:szCs w:val="26"/>
          <w:u w:val="single"/>
        </w:rPr>
        <w:t xml:space="preserve">Physical and Mental Health  (art 1, 2, 3, 10, 11, 12) </w:t>
      </w:r>
    </w:p>
    <w:p w:rsidR="0030330A" w:rsidRDefault="0030330A">
      <w:pPr>
        <w:jc w:val="both"/>
        <w:rPr>
          <w:sz w:val="12"/>
          <w:szCs w:val="12"/>
        </w:rPr>
      </w:pPr>
    </w:p>
    <w:p w:rsidR="0030330A" w:rsidRDefault="0030330A">
      <w:pPr>
        <w:rPr>
          <w:sz w:val="12"/>
          <w:szCs w:val="12"/>
        </w:rPr>
      </w:pPr>
    </w:p>
    <w:p w:rsidR="0030330A" w:rsidRDefault="00000000">
      <w:pPr>
        <w:rPr>
          <w:b/>
        </w:rPr>
      </w:pPr>
      <w:r>
        <w:rPr>
          <w:b/>
        </w:rPr>
        <w:t xml:space="preserve">Institutional Racism within the UK National Health Service (NHS) </w:t>
      </w:r>
    </w:p>
    <w:p w:rsidR="0030330A" w:rsidRDefault="0030330A">
      <w:pPr>
        <w:rPr>
          <w:b/>
          <w:sz w:val="16"/>
          <w:szCs w:val="16"/>
          <w:u w:val="single"/>
        </w:rPr>
      </w:pPr>
    </w:p>
    <w:p w:rsidR="0030330A" w:rsidRDefault="00000000">
      <w:pPr>
        <w:numPr>
          <w:ilvl w:val="0"/>
          <w:numId w:val="7"/>
        </w:numPr>
        <w:jc w:val="both"/>
      </w:pPr>
      <w:r>
        <w:rPr>
          <w:color w:val="040202"/>
          <w:sz w:val="20"/>
          <w:szCs w:val="20"/>
        </w:rPr>
        <w:t>The institutional racism faced by women and men of African Descent within UK healthcare is well-documented: For example, Black women are up to four times more likely than white women to die in childbirth</w:t>
      </w:r>
      <w:r>
        <w:rPr>
          <w:color w:val="040202"/>
          <w:sz w:val="20"/>
          <w:szCs w:val="20"/>
          <w:vertAlign w:val="superscript"/>
        </w:rPr>
        <w:footnoteReference w:id="84"/>
      </w:r>
      <w:r>
        <w:rPr>
          <w:color w:val="040202"/>
          <w:sz w:val="20"/>
          <w:szCs w:val="20"/>
        </w:rPr>
        <w:t>; and Black men are up to four times more likely to be detained under the Mental Health Act than their white counterparts</w:t>
      </w:r>
      <w:r>
        <w:rPr>
          <w:color w:val="040202"/>
          <w:sz w:val="20"/>
          <w:szCs w:val="20"/>
          <w:vertAlign w:val="superscript"/>
        </w:rPr>
        <w:footnoteReference w:id="85"/>
      </w:r>
      <w:r>
        <w:rPr>
          <w:color w:val="040202"/>
          <w:sz w:val="20"/>
          <w:szCs w:val="20"/>
        </w:rPr>
        <w:t>. To address these overwhelming disparities, the Patient and Carer Race Equality Framework (PCREF) has been introduced to empower impacted communities to shape the service they receive</w:t>
      </w:r>
      <w:r>
        <w:rPr>
          <w:color w:val="040202"/>
          <w:sz w:val="20"/>
          <w:szCs w:val="20"/>
          <w:vertAlign w:val="superscript"/>
        </w:rPr>
        <w:footnoteReference w:id="86"/>
      </w:r>
      <w:r>
        <w:rPr>
          <w:color w:val="040202"/>
          <w:sz w:val="20"/>
          <w:szCs w:val="20"/>
        </w:rPr>
        <w:t xml:space="preserve">. </w:t>
      </w:r>
    </w:p>
    <w:p w:rsidR="0030330A" w:rsidRDefault="0030330A">
      <w:pPr>
        <w:ind w:left="1440"/>
        <w:rPr>
          <w:color w:val="040202"/>
          <w:sz w:val="10"/>
          <w:szCs w:val="10"/>
        </w:rPr>
      </w:pPr>
    </w:p>
    <w:p w:rsidR="0030330A" w:rsidRDefault="00000000">
      <w:pPr>
        <w:numPr>
          <w:ilvl w:val="1"/>
          <w:numId w:val="7"/>
        </w:numPr>
        <w:jc w:val="both"/>
      </w:pPr>
      <w:r>
        <w:rPr>
          <w:color w:val="040202"/>
          <w:sz w:val="20"/>
          <w:szCs w:val="20"/>
        </w:rPr>
        <w:t xml:space="preserve">PCREF is an anti-racism framework that provides a participatory and transparent mechanism for impacted communities to drive improvements in healthcare access, experience and outcomes. Although PCREF is only a pilot initiative, it provides a potential means for People of African Descent to develop a comprehensive strategy across all NHS sectors that will ensure the enjoyment of their Covenant rights. </w:t>
      </w:r>
    </w:p>
    <w:p w:rsidR="0030330A" w:rsidRDefault="00000000">
      <w:pPr>
        <w:numPr>
          <w:ilvl w:val="1"/>
          <w:numId w:val="7"/>
        </w:numPr>
        <w:jc w:val="both"/>
      </w:pPr>
      <w:r>
        <w:rPr>
          <w:color w:val="040202"/>
          <w:sz w:val="20"/>
          <w:szCs w:val="20"/>
        </w:rPr>
        <w:t xml:space="preserve">PCREF adopts an evidence-based approach, which integrates community-led research and provides oversight of all decision-making related to services received by People of African Descent. It also ensures mandatory anti-racism training for all NHS </w:t>
      </w:r>
      <w:r>
        <w:rPr>
          <w:color w:val="040202"/>
          <w:sz w:val="20"/>
          <w:szCs w:val="20"/>
        </w:rPr>
        <w:lastRenderedPageBreak/>
        <w:t>staff. If involvement at all stages can be maintained, PCREF has the potential to ensure that People of African Descent in the UK equally enjoy their Covenant rights.</w:t>
      </w:r>
    </w:p>
    <w:p w:rsidR="0030330A" w:rsidRDefault="00000000">
      <w:pPr>
        <w:numPr>
          <w:ilvl w:val="1"/>
          <w:numId w:val="7"/>
        </w:numPr>
        <w:jc w:val="both"/>
      </w:pPr>
      <w:r>
        <w:rPr>
          <w:sz w:val="20"/>
          <w:szCs w:val="20"/>
        </w:rPr>
        <w:t>Men of African Descent are eight times more likely to receive Community Treatment Orders (CTOs) than white men. CTOs involve treatment being delivered in the local community rather than within a specialised institution. This often results in substandard care that prioritises drug prescriptions rather than psychological or psychosocial treatment</w:t>
      </w:r>
      <w:r>
        <w:rPr>
          <w:sz w:val="20"/>
          <w:szCs w:val="20"/>
          <w:vertAlign w:val="superscript"/>
        </w:rPr>
        <w:footnoteReference w:id="87"/>
      </w:r>
      <w:r>
        <w:rPr>
          <w:sz w:val="20"/>
          <w:szCs w:val="20"/>
        </w:rPr>
        <w:t xml:space="preserve">. The prevalence of CTOs </w:t>
      </w:r>
      <w:r w:rsidR="00E540A9">
        <w:rPr>
          <w:sz w:val="20"/>
          <w:szCs w:val="20"/>
        </w:rPr>
        <w:t>contributes</w:t>
      </w:r>
      <w:r>
        <w:rPr>
          <w:sz w:val="20"/>
          <w:szCs w:val="20"/>
        </w:rPr>
        <w:t xml:space="preserve"> to Black men being nearly four times more likely to be detained by the police under the Mental Health Act.</w:t>
      </w:r>
    </w:p>
    <w:p w:rsidR="0030330A" w:rsidRDefault="00000000">
      <w:pPr>
        <w:numPr>
          <w:ilvl w:val="1"/>
          <w:numId w:val="7"/>
        </w:numPr>
        <w:jc w:val="both"/>
      </w:pPr>
      <w:r>
        <w:rPr>
          <w:sz w:val="20"/>
          <w:szCs w:val="20"/>
        </w:rPr>
        <w:t xml:space="preserve">The State Party’s response to these reports typically </w:t>
      </w:r>
      <w:r w:rsidR="00E540A9">
        <w:rPr>
          <w:sz w:val="20"/>
          <w:szCs w:val="20"/>
        </w:rPr>
        <w:t>involves</w:t>
      </w:r>
      <w:r>
        <w:rPr>
          <w:sz w:val="20"/>
          <w:szCs w:val="20"/>
        </w:rPr>
        <w:t xml:space="preserve"> mandated “culturally competence” training for healthcare staff. But this is clearly ineffective and stronger steps must be taken. INQUEST is the only UK charity providing expertise on state related deaths and their investigation. In their 2024 report “I Can’t Breathe”</w:t>
      </w:r>
      <w:r>
        <w:rPr>
          <w:sz w:val="20"/>
          <w:szCs w:val="20"/>
          <w:vertAlign w:val="superscript"/>
        </w:rPr>
        <w:footnoteReference w:id="88"/>
      </w:r>
      <w:r>
        <w:rPr>
          <w:sz w:val="20"/>
          <w:szCs w:val="20"/>
        </w:rPr>
        <w:t xml:space="preserve">, they call for alternatives to policing when immediate responses to mental health crises are required. An example of this approach </w:t>
      </w:r>
      <w:r w:rsidR="00E540A9">
        <w:rPr>
          <w:sz w:val="20"/>
          <w:szCs w:val="20"/>
        </w:rPr>
        <w:t>is</w:t>
      </w:r>
      <w:r>
        <w:rPr>
          <w:sz w:val="20"/>
          <w:szCs w:val="20"/>
        </w:rPr>
        <w:t xml:space="preserve"> the successful “triage pilot schemes” that reduce direct police contact with vulnerable people by mandating that medical professionals are present whenever police officers respond to mental health crises</w:t>
      </w:r>
      <w:r>
        <w:rPr>
          <w:sz w:val="20"/>
          <w:szCs w:val="20"/>
          <w:vertAlign w:val="superscript"/>
        </w:rPr>
        <w:footnoteReference w:id="89"/>
      </w:r>
      <w:r>
        <w:rPr>
          <w:sz w:val="20"/>
          <w:szCs w:val="20"/>
        </w:rPr>
        <w:t xml:space="preserve">. </w:t>
      </w:r>
    </w:p>
    <w:p w:rsidR="0030330A" w:rsidRDefault="0030330A">
      <w:pPr>
        <w:spacing w:line="240" w:lineRule="auto"/>
        <w:rPr>
          <w:b/>
          <w:sz w:val="16"/>
          <w:szCs w:val="16"/>
        </w:rPr>
      </w:pPr>
    </w:p>
    <w:p w:rsidR="0030330A" w:rsidRDefault="0030330A">
      <w:pPr>
        <w:spacing w:line="240" w:lineRule="auto"/>
        <w:rPr>
          <w:b/>
          <w:sz w:val="16"/>
          <w:szCs w:val="16"/>
        </w:rPr>
      </w:pPr>
    </w:p>
    <w:p w:rsidR="0030330A" w:rsidRDefault="00000000">
      <w:pPr>
        <w:rPr>
          <w:sz w:val="18"/>
          <w:szCs w:val="18"/>
        </w:rPr>
      </w:pPr>
      <w:r>
        <w:rPr>
          <w:b/>
        </w:rPr>
        <w:t>Discrimination Against Elders of African Descent</w:t>
      </w:r>
    </w:p>
    <w:p w:rsidR="0030330A" w:rsidRDefault="0030330A">
      <w:pPr>
        <w:rPr>
          <w:sz w:val="16"/>
          <w:szCs w:val="16"/>
        </w:rPr>
      </w:pPr>
    </w:p>
    <w:p w:rsidR="0030330A" w:rsidRDefault="00000000">
      <w:pPr>
        <w:numPr>
          <w:ilvl w:val="0"/>
          <w:numId w:val="7"/>
        </w:numPr>
        <w:jc w:val="both"/>
      </w:pPr>
      <w:r>
        <w:rPr>
          <w:sz w:val="20"/>
          <w:szCs w:val="20"/>
        </w:rPr>
        <w:t>Racism in UK healthcare is a well-documented fact. What is less well-known is the impact of accumulated inequality on the health of elderly People of African Descent. However, even in the absence of disaggregated data on health inequalities in later life, there is still ample evidence from government sources of the stark inequalities that begin in childhood and continue into later life. Compounded socio-economic inequalities invariably contribute to poorer health outcomes in later life. The consequences of suffering structural racism at the hands of multiple institutions can rightly be described as “weathering”.</w:t>
      </w:r>
      <w:r>
        <w:rPr>
          <w:color w:val="333333"/>
          <w:sz w:val="20"/>
          <w:szCs w:val="20"/>
        </w:rPr>
        <w:t xml:space="preserve"> </w:t>
      </w:r>
    </w:p>
    <w:p w:rsidR="0030330A" w:rsidRDefault="0030330A">
      <w:pPr>
        <w:ind w:left="720"/>
        <w:jc w:val="both"/>
        <w:rPr>
          <w:color w:val="333333"/>
          <w:sz w:val="10"/>
          <w:szCs w:val="10"/>
        </w:rPr>
      </w:pPr>
    </w:p>
    <w:p w:rsidR="0030330A" w:rsidRDefault="00000000">
      <w:pPr>
        <w:numPr>
          <w:ilvl w:val="1"/>
          <w:numId w:val="7"/>
        </w:numPr>
        <w:jc w:val="both"/>
      </w:pPr>
      <w:r>
        <w:rPr>
          <w:sz w:val="20"/>
          <w:szCs w:val="20"/>
        </w:rPr>
        <w:t>Arguably, this process of cumulative damage suffered by all elders of African Descent begins with the shocking statistic that Black women in the UK are four times more likely to die during pregnancy, labour or postpartum. According to the substantive 2022 report by Five X More</w:t>
      </w:r>
      <w:r>
        <w:rPr>
          <w:sz w:val="20"/>
          <w:szCs w:val="20"/>
          <w:vertAlign w:val="superscript"/>
        </w:rPr>
        <w:footnoteReference w:id="90"/>
      </w:r>
      <w:r>
        <w:rPr>
          <w:sz w:val="20"/>
          <w:szCs w:val="20"/>
        </w:rPr>
        <w:t>, institutional factors like racially discriminatory attitudes held by healthcare staff, combined with a lack of clinical knowledge about the anatomy and physiology of women of African Descent, and racially based assumptions about pain tolerance, education level and relationship status, all contribute to negative clinical, emotional, and psychological outcomes.</w:t>
      </w:r>
    </w:p>
    <w:p w:rsidR="0030330A" w:rsidRDefault="00000000">
      <w:pPr>
        <w:numPr>
          <w:ilvl w:val="1"/>
          <w:numId w:val="7"/>
        </w:numPr>
        <w:jc w:val="both"/>
      </w:pPr>
      <w:r>
        <w:rPr>
          <w:sz w:val="20"/>
          <w:szCs w:val="20"/>
        </w:rPr>
        <w:t>The fate of People of African Descent in later life has been a topic of debate among British Parliamentarians for over forty years. In the wake of the Brixton Uprising against police violence in 1981, members of both Houses of Parliament cautioned that the “The West Indian age structure may not yet have been very much studied… [but those] who arrived in Britain during the 1950s and 1960s will be reaching retirement age by or before the year 2000… we shall then find ourselves with numerous West Indian pensioners. There is time available now to make plans for this rather novel situation, but it is essential that serious thought should be given to this without further delay”</w:t>
      </w:r>
      <w:r>
        <w:rPr>
          <w:sz w:val="20"/>
          <w:szCs w:val="20"/>
          <w:vertAlign w:val="superscript"/>
        </w:rPr>
        <w:footnoteReference w:id="91"/>
      </w:r>
      <w:r>
        <w:rPr>
          <w:sz w:val="20"/>
          <w:szCs w:val="20"/>
        </w:rPr>
        <w:t>. Given the gross inequalities faced by elders of African Descent today, including the so-called Windrush Scandal, the disproportionate impacts of Covid 19, and the increase in State Pension Age for women, it is clear that the UK government has exercised total disregard for human rights obligations, including the duty to ensure equal enjoyment of Covenant rights.</w:t>
      </w:r>
    </w:p>
    <w:p w:rsidR="0030330A" w:rsidRDefault="00000000">
      <w:pPr>
        <w:numPr>
          <w:ilvl w:val="1"/>
          <w:numId w:val="7"/>
        </w:numPr>
        <w:jc w:val="both"/>
      </w:pPr>
      <w:r>
        <w:rPr>
          <w:sz w:val="20"/>
          <w:szCs w:val="20"/>
        </w:rPr>
        <w:t xml:space="preserve">The Covenant obliges the UK government to adopt protective measures for the most vulnerable and disadvantaged groups in society, which arguably includes elderly women and men of African Descent. As this duty is expected to be met with the </w:t>
      </w:r>
      <w:r>
        <w:rPr>
          <w:sz w:val="20"/>
          <w:szCs w:val="20"/>
        </w:rPr>
        <w:lastRenderedPageBreak/>
        <w:t xml:space="preserve">maximum extent of available resources, protective statutory measures should range from collecting and presenting substantive disaggregated data, to developing comprehensive frameworks to eliminate the myriad of socio-economic disparities that characterise later life for elderly people of African Descent. The extent of the UK’s obligations </w:t>
      </w:r>
      <w:r w:rsidR="00E540A9">
        <w:rPr>
          <w:sz w:val="20"/>
          <w:szCs w:val="20"/>
        </w:rPr>
        <w:t>is</w:t>
      </w:r>
      <w:r>
        <w:rPr>
          <w:sz w:val="20"/>
          <w:szCs w:val="20"/>
        </w:rPr>
        <w:t xml:space="preserve"> detailed further in General Comment No. 6</w:t>
      </w:r>
      <w:r>
        <w:rPr>
          <w:sz w:val="20"/>
          <w:szCs w:val="20"/>
          <w:vertAlign w:val="superscript"/>
        </w:rPr>
        <w:footnoteReference w:id="92"/>
      </w:r>
      <w:r>
        <w:rPr>
          <w:sz w:val="20"/>
          <w:szCs w:val="20"/>
        </w:rPr>
        <w:t>However, despite the substantial body of obligations and recommendations, there is a longstanding lack of political will to ensure their implementation. This results in people of African Descent facing violations of their Covenant rights on a daily basis.</w:t>
      </w:r>
    </w:p>
    <w:p w:rsidR="0030330A" w:rsidRDefault="0030330A">
      <w:pPr>
        <w:jc w:val="both"/>
        <w:rPr>
          <w:sz w:val="16"/>
          <w:szCs w:val="16"/>
        </w:rPr>
      </w:pPr>
    </w:p>
    <w:p w:rsidR="0030330A" w:rsidRDefault="0030330A">
      <w:pPr>
        <w:jc w:val="both"/>
        <w:rPr>
          <w:sz w:val="16"/>
          <w:szCs w:val="16"/>
        </w:rPr>
      </w:pPr>
    </w:p>
    <w:p w:rsidR="0030330A" w:rsidRDefault="00000000">
      <w:pPr>
        <w:jc w:val="both"/>
        <w:rPr>
          <w:b/>
          <w:color w:val="674EA7"/>
          <w:sz w:val="26"/>
          <w:szCs w:val="26"/>
          <w:u w:val="single"/>
        </w:rPr>
      </w:pPr>
      <w:r>
        <w:rPr>
          <w:b/>
          <w:color w:val="674EA7"/>
          <w:sz w:val="26"/>
          <w:szCs w:val="26"/>
          <w:u w:val="single"/>
        </w:rPr>
        <w:t xml:space="preserve">Cultural Development  (art. 1, 2, 3, 6, 10, 11, 15) </w:t>
      </w:r>
    </w:p>
    <w:p w:rsidR="0030330A" w:rsidRDefault="0030330A">
      <w:pPr>
        <w:jc w:val="both"/>
        <w:rPr>
          <w:b/>
          <w:sz w:val="12"/>
          <w:szCs w:val="12"/>
        </w:rPr>
      </w:pPr>
    </w:p>
    <w:p w:rsidR="0030330A" w:rsidRDefault="0030330A">
      <w:pPr>
        <w:jc w:val="both"/>
        <w:rPr>
          <w:b/>
          <w:sz w:val="12"/>
          <w:szCs w:val="12"/>
        </w:rPr>
      </w:pPr>
    </w:p>
    <w:p w:rsidR="0030330A" w:rsidRDefault="00000000">
      <w:pPr>
        <w:jc w:val="both"/>
        <w:rPr>
          <w:b/>
        </w:rPr>
      </w:pPr>
      <w:r>
        <w:rPr>
          <w:b/>
        </w:rPr>
        <w:t>Structural Racism and the Development of Families of African Descent</w:t>
      </w:r>
    </w:p>
    <w:p w:rsidR="0030330A" w:rsidRDefault="0030330A">
      <w:pPr>
        <w:jc w:val="both"/>
        <w:rPr>
          <w:sz w:val="16"/>
          <w:szCs w:val="16"/>
        </w:rPr>
      </w:pPr>
    </w:p>
    <w:p w:rsidR="0030330A" w:rsidRDefault="00000000">
      <w:pPr>
        <w:numPr>
          <w:ilvl w:val="0"/>
          <w:numId w:val="7"/>
        </w:numPr>
        <w:jc w:val="both"/>
      </w:pPr>
      <w:r>
        <w:rPr>
          <w:sz w:val="20"/>
          <w:szCs w:val="20"/>
        </w:rPr>
        <w:t>Human rights defenders of African Descent stand at the front line of efforts to challenge racism and racial injustices in British society, particularly in the education and employment sectors. They possess the relevant knowledge and lived experiences to suggest steps towards the full implementation and enjoyment of Covenant rights for their broad community.</w:t>
      </w:r>
    </w:p>
    <w:p w:rsidR="0030330A" w:rsidRDefault="00000000">
      <w:pPr>
        <w:ind w:left="720"/>
        <w:jc w:val="both"/>
        <w:rPr>
          <w:sz w:val="10"/>
          <w:szCs w:val="10"/>
        </w:rPr>
      </w:pPr>
      <w:r>
        <w:rPr>
          <w:sz w:val="10"/>
          <w:szCs w:val="10"/>
        </w:rPr>
        <w:t xml:space="preserve"> </w:t>
      </w:r>
    </w:p>
    <w:p w:rsidR="0030330A" w:rsidRDefault="00000000">
      <w:pPr>
        <w:numPr>
          <w:ilvl w:val="1"/>
          <w:numId w:val="7"/>
        </w:numPr>
        <w:jc w:val="both"/>
      </w:pPr>
      <w:r>
        <w:rPr>
          <w:sz w:val="20"/>
          <w:szCs w:val="20"/>
        </w:rPr>
        <w:t>Over the past decade, coinciding with the first IDPAD</w:t>
      </w:r>
      <w:r>
        <w:rPr>
          <w:sz w:val="20"/>
          <w:szCs w:val="20"/>
          <w:vertAlign w:val="superscript"/>
        </w:rPr>
        <w:footnoteReference w:id="93"/>
      </w:r>
      <w:r>
        <w:rPr>
          <w:sz w:val="20"/>
          <w:szCs w:val="20"/>
        </w:rPr>
        <w:t>, human rights defenders in the UK have faced substantial challenges. Austerity measures had a disproportionate impact, exacerbating existing racial disparities and limiting capacity to address systemic issues. Both the UN Working Group of Experts on People of African Descent, and the UN Committee on the Elimination of Racial Discrimination, have highlighted how such economic policies have deepened social inequalities in the UK.</w:t>
      </w:r>
    </w:p>
    <w:p w:rsidR="0030330A" w:rsidRDefault="00000000">
      <w:pPr>
        <w:numPr>
          <w:ilvl w:val="1"/>
          <w:numId w:val="7"/>
        </w:numPr>
        <w:jc w:val="both"/>
      </w:pPr>
      <w:r>
        <w:rPr>
          <w:sz w:val="20"/>
          <w:szCs w:val="20"/>
        </w:rPr>
        <w:t>The rise of British far-right movements, and the resurgence of overt racism, has been supported by the complacency and political pandering of mainstream political parties.  Events such as the August 2024 racist riots</w:t>
      </w:r>
      <w:r>
        <w:rPr>
          <w:sz w:val="20"/>
          <w:szCs w:val="20"/>
          <w:vertAlign w:val="superscript"/>
        </w:rPr>
        <w:footnoteReference w:id="94"/>
      </w:r>
      <w:r>
        <w:rPr>
          <w:sz w:val="20"/>
          <w:szCs w:val="20"/>
        </w:rPr>
        <w:t xml:space="preserve"> illustrated the persistent threat of racial violence to all racialised communities - and highlighted the need for intercommunity solidarity to redouble our collective efforts to defend the Covenant rights for everyone.</w:t>
      </w:r>
    </w:p>
    <w:p w:rsidR="0030330A" w:rsidRDefault="00000000">
      <w:pPr>
        <w:numPr>
          <w:ilvl w:val="1"/>
          <w:numId w:val="7"/>
        </w:numPr>
        <w:jc w:val="both"/>
      </w:pPr>
      <w:r>
        <w:rPr>
          <w:sz w:val="20"/>
          <w:szCs w:val="20"/>
        </w:rPr>
        <w:t>Institutional racism in the workplace perpetuates socio-economic inequality and poverty. As detailed in this report, these racial disparities are deeply entrenched, with People of African Descent disproportionately affected. The destructive impact of unemployment on family stability and well-being are significant. To combat these barriers, there is an urgent need for the creation of self-sufficient Black-led industries.</w:t>
      </w:r>
    </w:p>
    <w:p w:rsidR="0030330A" w:rsidRDefault="00000000">
      <w:pPr>
        <w:numPr>
          <w:ilvl w:val="1"/>
          <w:numId w:val="7"/>
        </w:numPr>
        <w:jc w:val="both"/>
      </w:pPr>
      <w:r>
        <w:rPr>
          <w:sz w:val="20"/>
          <w:szCs w:val="20"/>
        </w:rPr>
        <w:t xml:space="preserve">Education is another site of systemic racism, with children of African Descent disproportionately impacted. As detailed in this report, educational inequality contributes to the cycle of underachievement, underemployment and incarceration, widely referred to as the school-to-prison pipeline. To counteract these systemic failures, there is an urgent need for ambitious, community-led educational initiatives. </w:t>
      </w:r>
    </w:p>
    <w:p w:rsidR="0030330A" w:rsidRDefault="00000000">
      <w:pPr>
        <w:numPr>
          <w:ilvl w:val="1"/>
          <w:numId w:val="7"/>
        </w:numPr>
        <w:jc w:val="both"/>
      </w:pPr>
      <w:r>
        <w:rPr>
          <w:sz w:val="20"/>
          <w:szCs w:val="20"/>
        </w:rPr>
        <w:t>Despite the stark challenges detailed in this report, civil society organisations led by People of African Descent have responded to systemic failures of public institutions with effective intergenerational strategies. There has been an emphasis on continuing the development of community-led education and health initiatives, and creating new employment and enterprise opportunities. Looking forward, there is a growing need for People of African Descent to secure greater input into public spending decisions in order to achieve long-term equity. This includes eliminating the inequities in statutory resource allocation that perpetuate systemic disadvantages. Community-led initiatives enjoyed great success in the 1980s, largely due to new statutory funding in response to nationwide Uprisings by People of African Descent. Today, it is essential for People of African Descent to work intergenerationally to gain control over public spending to address systemic inequities. This is the only real way forward today.</w:t>
      </w:r>
    </w:p>
    <w:p w:rsidR="0030330A" w:rsidRDefault="0030330A">
      <w:pPr>
        <w:jc w:val="both"/>
        <w:rPr>
          <w:b/>
          <w:sz w:val="16"/>
          <w:szCs w:val="16"/>
        </w:rPr>
      </w:pPr>
    </w:p>
    <w:p w:rsidR="0030330A" w:rsidRDefault="0030330A">
      <w:pPr>
        <w:jc w:val="both"/>
        <w:rPr>
          <w:b/>
          <w:sz w:val="16"/>
          <w:szCs w:val="16"/>
        </w:rPr>
      </w:pPr>
    </w:p>
    <w:p w:rsidR="0030330A" w:rsidRDefault="00000000">
      <w:pPr>
        <w:spacing w:line="240" w:lineRule="auto"/>
        <w:rPr>
          <w:b/>
          <w:sz w:val="18"/>
          <w:szCs w:val="18"/>
        </w:rPr>
      </w:pPr>
      <w:r>
        <w:rPr>
          <w:b/>
        </w:rPr>
        <w:t>QUESTIONS FOR THE STATE PARTY</w:t>
      </w:r>
    </w:p>
    <w:p w:rsidR="0030330A" w:rsidRDefault="0030330A">
      <w:pPr>
        <w:ind w:left="720"/>
        <w:jc w:val="both"/>
        <w:rPr>
          <w:sz w:val="16"/>
          <w:szCs w:val="16"/>
        </w:rPr>
      </w:pPr>
    </w:p>
    <w:p w:rsidR="0030330A" w:rsidRDefault="00000000">
      <w:pPr>
        <w:numPr>
          <w:ilvl w:val="0"/>
          <w:numId w:val="7"/>
        </w:numPr>
        <w:jc w:val="both"/>
      </w:pPr>
      <w:r>
        <w:rPr>
          <w:sz w:val="20"/>
          <w:szCs w:val="20"/>
        </w:rPr>
        <w:t>PCREF mandates representative consultation to ensure that NHS mental health services for People of African Descent are guided by that community. What data is being collected to assess the progress of PCREF, and what resources will the State Party commit to ensure it becomes a permanent and fully-funded element of NHS services nationwide?</w:t>
      </w:r>
    </w:p>
    <w:p w:rsidR="0030330A" w:rsidRDefault="0030330A">
      <w:pPr>
        <w:ind w:left="720"/>
        <w:jc w:val="both"/>
        <w:rPr>
          <w:sz w:val="10"/>
          <w:szCs w:val="10"/>
        </w:rPr>
      </w:pPr>
    </w:p>
    <w:p w:rsidR="0030330A" w:rsidRDefault="00000000">
      <w:pPr>
        <w:numPr>
          <w:ilvl w:val="0"/>
          <w:numId w:val="7"/>
        </w:numPr>
        <w:jc w:val="both"/>
      </w:pPr>
      <w:r>
        <w:rPr>
          <w:sz w:val="20"/>
          <w:szCs w:val="20"/>
        </w:rPr>
        <w:t xml:space="preserve">By empowering People of African Descent to lead institutional change, PCREF exemplifies a direct and reparative approach to eliminating racism. In order to ensure Covenant rights, will the State Party commit to introducing initiatives like PCREF into other UK public bodies, including those related to education, employment, housing, policing and public life? </w:t>
      </w:r>
    </w:p>
    <w:p w:rsidR="0030330A" w:rsidRDefault="0030330A">
      <w:pPr>
        <w:jc w:val="both"/>
        <w:rPr>
          <w:sz w:val="10"/>
          <w:szCs w:val="10"/>
        </w:rPr>
      </w:pPr>
    </w:p>
    <w:p w:rsidR="0030330A" w:rsidRDefault="00000000">
      <w:pPr>
        <w:numPr>
          <w:ilvl w:val="0"/>
          <w:numId w:val="7"/>
        </w:numPr>
        <w:jc w:val="both"/>
      </w:pPr>
      <w:r>
        <w:rPr>
          <w:sz w:val="20"/>
          <w:szCs w:val="20"/>
        </w:rPr>
        <w:t>The 2017 Angiolini Report</w:t>
      </w:r>
      <w:r>
        <w:rPr>
          <w:sz w:val="20"/>
          <w:szCs w:val="20"/>
          <w:vertAlign w:val="superscript"/>
        </w:rPr>
        <w:footnoteReference w:id="95"/>
      </w:r>
      <w:r>
        <w:rPr>
          <w:sz w:val="20"/>
          <w:szCs w:val="20"/>
        </w:rPr>
        <w:t xml:space="preserve"> has comprehensively called for healthcare professionals to take primary responsibility for all contact with patients or members of the public in a heightened physical or mental state, or experiencing a mental health crisis, and not police officers. The introduction of triage pilot schemes across the West Midlands led to immediate improvements in outcomes for people suffering mental health crises, particularly those of African Descent.  When will the State Party commit to a sustainably funded national roll out of these street triage schemes on a permanent basis, as a real means to guarantee Covenant rights, and ensure that police are no longer first responders to those in mental health crisis? </w:t>
      </w:r>
    </w:p>
    <w:p w:rsidR="0030330A" w:rsidRDefault="0030330A">
      <w:pPr>
        <w:jc w:val="both"/>
        <w:rPr>
          <w:sz w:val="10"/>
          <w:szCs w:val="10"/>
        </w:rPr>
      </w:pPr>
    </w:p>
    <w:p w:rsidR="0030330A" w:rsidRDefault="00000000">
      <w:pPr>
        <w:numPr>
          <w:ilvl w:val="0"/>
          <w:numId w:val="7"/>
        </w:numPr>
        <w:jc w:val="both"/>
      </w:pPr>
      <w:r>
        <w:rPr>
          <w:sz w:val="20"/>
          <w:szCs w:val="20"/>
        </w:rPr>
        <w:t>The State Party has failed to robustly collect meaningful “use of force” data on a standardised basis in order to draw out patterns and devise national strategies to address discrimination. As recommended by the 2017 Angiolini Report</w:t>
      </w:r>
      <w:r>
        <w:rPr>
          <w:sz w:val="20"/>
          <w:szCs w:val="20"/>
          <w:vertAlign w:val="superscript"/>
        </w:rPr>
        <w:footnoteReference w:id="96"/>
      </w:r>
      <w:r>
        <w:rPr>
          <w:sz w:val="20"/>
          <w:szCs w:val="20"/>
        </w:rPr>
        <w:t xml:space="preserve">, the outcomes of this analysis should be made public. In light of the Covenant rights violations disproportionately experienced by People of African Descent in healthcare settings or experiencing mental health crises, will the UK government commit to implementing this as an essential step towards ending racial disparities in the use of police force, and deaths following contact with the police? </w:t>
      </w:r>
    </w:p>
    <w:p w:rsidR="0030330A" w:rsidRDefault="0030330A">
      <w:pPr>
        <w:jc w:val="both"/>
        <w:rPr>
          <w:sz w:val="10"/>
          <w:szCs w:val="10"/>
        </w:rPr>
      </w:pPr>
    </w:p>
    <w:p w:rsidR="0030330A" w:rsidRDefault="00000000">
      <w:pPr>
        <w:numPr>
          <w:ilvl w:val="0"/>
          <w:numId w:val="7"/>
        </w:numPr>
        <w:jc w:val="both"/>
      </w:pPr>
      <w:r>
        <w:rPr>
          <w:sz w:val="20"/>
          <w:szCs w:val="20"/>
        </w:rPr>
        <w:t xml:space="preserve">The ongoing refusal by the State Party to implement reparative measures to protect the Covenant rights of People of African Descent dates back to the 1999 MacPherson Report and its finding of institutional racism in UK public bodies. Will the State Party commit to establishing a new independent body - with a mandate and oversight from civil society - to implement all recommendations on racism and discrimination in relation to UK public bodies? </w:t>
      </w:r>
    </w:p>
    <w:p w:rsidR="0030330A" w:rsidRDefault="0030330A">
      <w:pPr>
        <w:ind w:left="720"/>
        <w:jc w:val="both"/>
        <w:rPr>
          <w:sz w:val="10"/>
          <w:szCs w:val="10"/>
        </w:rPr>
      </w:pPr>
    </w:p>
    <w:p w:rsidR="0030330A" w:rsidRDefault="00000000">
      <w:pPr>
        <w:numPr>
          <w:ilvl w:val="0"/>
          <w:numId w:val="7"/>
        </w:numPr>
      </w:pPr>
      <w:r>
        <w:rPr>
          <w:sz w:val="20"/>
          <w:szCs w:val="20"/>
        </w:rPr>
        <w:t xml:space="preserve">The incoming UK government has commissioned newly </w:t>
      </w:r>
      <w:r w:rsidR="00E540A9">
        <w:rPr>
          <w:sz w:val="20"/>
          <w:szCs w:val="20"/>
        </w:rPr>
        <w:t>ennobled</w:t>
      </w:r>
      <w:r>
        <w:rPr>
          <w:sz w:val="20"/>
          <w:szCs w:val="20"/>
        </w:rPr>
        <w:t xml:space="preserve"> Lord Darzi to complete an independent investigation into the NHS. But the </w:t>
      </w:r>
      <w:r>
        <w:rPr>
          <w:i/>
          <w:sz w:val="20"/>
          <w:szCs w:val="20"/>
        </w:rPr>
        <w:t>2024 Lord Darzi Report</w:t>
      </w:r>
      <w:r>
        <w:rPr>
          <w:i/>
          <w:sz w:val="20"/>
          <w:szCs w:val="20"/>
          <w:vertAlign w:val="superscript"/>
        </w:rPr>
        <w:footnoteReference w:id="97"/>
      </w:r>
      <w:r>
        <w:rPr>
          <w:i/>
          <w:sz w:val="20"/>
          <w:szCs w:val="20"/>
        </w:rPr>
        <w:t xml:space="preserve"> </w:t>
      </w:r>
      <w:r>
        <w:rPr>
          <w:sz w:val="20"/>
          <w:szCs w:val="20"/>
        </w:rPr>
        <w:t>makes no mention of the historical and well documented  racial disparities that contribute to institutional racism in the NHS. This is a regressive development. What steps will the State Party take to ensure full enjoyment of Covenant rights for People of African Descent in relation to UK healthcare?</w:t>
      </w:r>
    </w:p>
    <w:p w:rsidR="0030330A" w:rsidRDefault="0030330A">
      <w:pPr>
        <w:jc w:val="both"/>
        <w:rPr>
          <w:i/>
          <w:sz w:val="10"/>
          <w:szCs w:val="10"/>
        </w:rPr>
      </w:pPr>
    </w:p>
    <w:p w:rsidR="0030330A" w:rsidRDefault="00000000">
      <w:pPr>
        <w:numPr>
          <w:ilvl w:val="0"/>
          <w:numId w:val="7"/>
        </w:numPr>
        <w:jc w:val="both"/>
      </w:pPr>
      <w:r>
        <w:rPr>
          <w:sz w:val="20"/>
          <w:szCs w:val="20"/>
        </w:rPr>
        <w:t xml:space="preserve">The 2003 Rocky Bennett Inquiry recommended the creation of a National Director for Mental Health and Ethnicity. This step was only actioned in 2021, when the position of </w:t>
      </w:r>
      <w:r>
        <w:rPr>
          <w:i/>
          <w:sz w:val="20"/>
          <w:szCs w:val="20"/>
        </w:rPr>
        <w:t>National Director for Healthcare Inequalities Improvement</w:t>
      </w:r>
      <w:r>
        <w:rPr>
          <w:sz w:val="20"/>
          <w:szCs w:val="20"/>
        </w:rPr>
        <w:t xml:space="preserve"> was established in response to the grossly disproportionate impact of Covid 19 on racialised minorities. What steps has the State Party taken to ensure this new NHS Directorship will use all available resources to </w:t>
      </w:r>
      <w:r w:rsidR="00E540A9">
        <w:rPr>
          <w:sz w:val="20"/>
          <w:szCs w:val="20"/>
        </w:rPr>
        <w:t>fulfil</w:t>
      </w:r>
      <w:r>
        <w:rPr>
          <w:sz w:val="20"/>
          <w:szCs w:val="20"/>
        </w:rPr>
        <w:t xml:space="preserve"> its obligation to ensure the full enjoyment of Covenant rights for People of African Descent?</w:t>
      </w:r>
    </w:p>
    <w:sectPr w:rsidR="0030330A">
      <w:headerReference w:type="default" r:id="rId7"/>
      <w:footerReference w:type="default" r:id="rId8"/>
      <w:headerReference w:type="first" r:id="rId9"/>
      <w:footerReference w:type="first" r:id="rId10"/>
      <w:pgSz w:w="11909" w:h="16834"/>
      <w:pgMar w:top="1133" w:right="1440" w:bottom="114"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936F2" w:rsidRDefault="00A936F2">
      <w:pPr>
        <w:spacing w:line="240" w:lineRule="auto"/>
      </w:pPr>
      <w:r>
        <w:separator/>
      </w:r>
    </w:p>
  </w:endnote>
  <w:endnote w:type="continuationSeparator" w:id="0">
    <w:p w:rsidR="00A936F2" w:rsidRDefault="00A936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0330A" w:rsidRDefault="00000000">
    <w:pPr>
      <w:jc w:val="right"/>
    </w:pPr>
    <w:r>
      <w:fldChar w:fldCharType="begin"/>
    </w:r>
    <w:r>
      <w:instrText>PAGE</w:instrText>
    </w:r>
    <w:r>
      <w:fldChar w:fldCharType="separate"/>
    </w:r>
    <w:r w:rsidR="00E540A9">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0330A" w:rsidRDefault="0030330A">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936F2" w:rsidRDefault="00A936F2">
      <w:pPr>
        <w:spacing w:line="240" w:lineRule="auto"/>
      </w:pPr>
      <w:r>
        <w:separator/>
      </w:r>
    </w:p>
  </w:footnote>
  <w:footnote w:type="continuationSeparator" w:id="0">
    <w:p w:rsidR="00A936F2" w:rsidRDefault="00A936F2">
      <w:pPr>
        <w:spacing w:line="240" w:lineRule="auto"/>
      </w:pPr>
      <w:r>
        <w:continuationSeparator/>
      </w:r>
    </w:p>
  </w:footnote>
  <w:footnote w:id="1">
    <w:p w:rsidR="0030330A" w:rsidRPr="00E540A9" w:rsidRDefault="00000000">
      <w:pPr>
        <w:spacing w:line="240" w:lineRule="auto"/>
        <w:rPr>
          <w:i/>
          <w:color w:val="674EA7"/>
          <w:sz w:val="12"/>
          <w:szCs w:val="12"/>
        </w:rPr>
      </w:pPr>
      <w:r w:rsidRPr="00E540A9">
        <w:rPr>
          <w:sz w:val="12"/>
          <w:szCs w:val="12"/>
          <w:vertAlign w:val="superscript"/>
        </w:rPr>
        <w:footnoteRef/>
      </w:r>
      <w:r w:rsidRPr="00E540A9">
        <w:rPr>
          <w:color w:val="674EA7"/>
          <w:sz w:val="12"/>
          <w:szCs w:val="12"/>
        </w:rPr>
        <w:t xml:space="preserve"> </w:t>
      </w:r>
      <w:hyperlink r:id="rId1">
        <w:r w:rsidR="0030330A" w:rsidRPr="00E540A9">
          <w:rPr>
            <w:color w:val="674EA7"/>
            <w:sz w:val="12"/>
            <w:szCs w:val="12"/>
            <w:u w:val="single"/>
          </w:rPr>
          <w:t>https://www.ohchr.org/en/instruments-mechanisms/instruments/international-covenant-economic-social-and-cultural-rights</w:t>
        </w:r>
      </w:hyperlink>
    </w:p>
  </w:footnote>
  <w:footnote w:id="2">
    <w:p w:rsidR="0030330A" w:rsidRPr="00E540A9" w:rsidRDefault="00000000">
      <w:pPr>
        <w:spacing w:line="240" w:lineRule="auto"/>
        <w:rPr>
          <w:sz w:val="12"/>
          <w:szCs w:val="12"/>
        </w:rPr>
      </w:pPr>
      <w:r w:rsidRPr="00E540A9">
        <w:rPr>
          <w:sz w:val="12"/>
          <w:szCs w:val="12"/>
          <w:vertAlign w:val="superscript"/>
        </w:rPr>
        <w:footnoteRef/>
      </w:r>
      <w:r w:rsidRPr="00E540A9">
        <w:rPr>
          <w:i/>
          <w:color w:val="674EA7"/>
          <w:sz w:val="12"/>
          <w:szCs w:val="12"/>
        </w:rPr>
        <w:t xml:space="preserve">Kwesi Ochosi (2024), Race On The Agenda (ROTA) RCRP Report of Education and Employment </w:t>
      </w:r>
    </w:p>
  </w:footnote>
  <w:footnote w:id="3">
    <w:p w:rsidR="0030330A" w:rsidRPr="00E540A9" w:rsidRDefault="00000000">
      <w:pPr>
        <w:spacing w:line="240" w:lineRule="auto"/>
        <w:rPr>
          <w:i/>
          <w:color w:val="674EA7"/>
          <w:sz w:val="12"/>
          <w:szCs w:val="12"/>
        </w:rPr>
      </w:pPr>
      <w:r w:rsidRPr="00E540A9">
        <w:rPr>
          <w:sz w:val="12"/>
          <w:szCs w:val="12"/>
          <w:vertAlign w:val="superscript"/>
        </w:rPr>
        <w:footnoteRef/>
      </w:r>
      <w:r w:rsidRPr="00E540A9">
        <w:rPr>
          <w:i/>
          <w:color w:val="674EA7"/>
          <w:sz w:val="12"/>
          <w:szCs w:val="12"/>
        </w:rPr>
        <w:t>Kwesi Ochosi (2024), loc. cit.</w:t>
      </w:r>
    </w:p>
  </w:footnote>
  <w:footnote w:id="4">
    <w:p w:rsidR="0030330A" w:rsidRPr="00E540A9" w:rsidRDefault="00000000">
      <w:pPr>
        <w:spacing w:line="240" w:lineRule="auto"/>
        <w:rPr>
          <w:color w:val="674EA7"/>
          <w:sz w:val="12"/>
          <w:szCs w:val="12"/>
        </w:rPr>
      </w:pPr>
      <w:r w:rsidRPr="00E540A9">
        <w:rPr>
          <w:sz w:val="12"/>
          <w:szCs w:val="12"/>
          <w:vertAlign w:val="superscript"/>
        </w:rPr>
        <w:footnoteRef/>
      </w:r>
      <w:hyperlink r:id="rId2">
        <w:r w:rsidR="0030330A" w:rsidRPr="00E540A9">
          <w:rPr>
            <w:color w:val="674EA7"/>
            <w:sz w:val="12"/>
            <w:szCs w:val="12"/>
            <w:u w:val="single"/>
          </w:rPr>
          <w:t>https://docstore.ohchr.org/SelfServices/FilesHandler.ashx?enc=4slQ6QSmlBEDzFEovLCuW3XRinAE8KCBFoqOHNz%2FvuBqT1A21jS%2FqAXfWlINUtDTv6VjdDloHCALz12%2F8bg2Gkcjju8Rc8%2F8DwvHCta3KL%2BPUJlfBJI0%2BZMMV3SahPHu</w:t>
        </w:r>
      </w:hyperlink>
    </w:p>
  </w:footnote>
  <w:footnote w:id="5">
    <w:p w:rsidR="0030330A" w:rsidRPr="00E540A9" w:rsidRDefault="00000000">
      <w:pPr>
        <w:spacing w:line="240" w:lineRule="auto"/>
        <w:rPr>
          <w:color w:val="674EA7"/>
          <w:sz w:val="12"/>
          <w:szCs w:val="12"/>
        </w:rPr>
      </w:pPr>
      <w:r w:rsidRPr="00E540A9">
        <w:rPr>
          <w:sz w:val="12"/>
          <w:szCs w:val="12"/>
          <w:vertAlign w:val="superscript"/>
        </w:rPr>
        <w:footnoteRef/>
      </w:r>
      <w:hyperlink r:id="rId3">
        <w:r w:rsidR="0030330A" w:rsidRPr="00E540A9">
          <w:rPr>
            <w:color w:val="674EA7"/>
            <w:sz w:val="12"/>
            <w:szCs w:val="12"/>
            <w:u w:val="single"/>
          </w:rPr>
          <w:t>https://docstore.ohchr.org/SelfServices/FilesHandler.ashx?enc=4slQ6QSmlBEDzFEovLCuW3XRinAE8KCBFoqOHNz%2FvuA8gWnkDtMaQRPpczgpoNYnx4%2BF33QcKEJudfH36CovyC%2BAZrop7A%2FsI%2BnNH9m4QwnZ%2BcIG1FUmFCEDCXgbRQqb</w:t>
        </w:r>
      </w:hyperlink>
    </w:p>
  </w:footnote>
  <w:footnote w:id="6">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hyperlink r:id="rId4">
        <w:r w:rsidR="0030330A" w:rsidRPr="00E540A9">
          <w:rPr>
            <w:color w:val="674EA7"/>
            <w:sz w:val="12"/>
            <w:szCs w:val="12"/>
            <w:u w:val="single"/>
          </w:rPr>
          <w:t>https://www.nhsrho.org/news/survey-finds-bame-bme-and-ethnic-minority-not-representative/</w:t>
        </w:r>
      </w:hyperlink>
    </w:p>
  </w:footnote>
  <w:footnote w:id="7">
    <w:p w:rsidR="0030330A" w:rsidRPr="00E540A9" w:rsidRDefault="00000000">
      <w:pPr>
        <w:spacing w:line="240" w:lineRule="auto"/>
        <w:rPr>
          <w:color w:val="674EA7"/>
          <w:sz w:val="12"/>
          <w:szCs w:val="12"/>
        </w:rPr>
      </w:pPr>
      <w:r w:rsidRPr="00E540A9">
        <w:rPr>
          <w:sz w:val="12"/>
          <w:szCs w:val="12"/>
          <w:vertAlign w:val="superscript"/>
        </w:rPr>
        <w:footnoteRef/>
      </w:r>
      <w:hyperlink r:id="rId5">
        <w:r w:rsidR="0030330A" w:rsidRPr="00E540A9">
          <w:rPr>
            <w:color w:val="674EA7"/>
            <w:sz w:val="12"/>
            <w:szCs w:val="12"/>
            <w:u w:val="single"/>
          </w:rPr>
          <w:t>https://docstore.ohchr.org/SelfServices/FilesHandler.ashx?enc=4slQ6QSmlBEDzFEovLCuW3XRinAE8KCBFoqOHNz%2FvuBqT1A21jS%2FqAXfWlINUtDTv6VjdDloHCALz12%2F8bg2Gkcjju8Rc8%2F8DwvHCta3KL%2BPUJlfBJI0%2BZMMV3SahPHu</w:t>
        </w:r>
      </w:hyperlink>
    </w:p>
  </w:footnote>
  <w:footnote w:id="8">
    <w:p w:rsidR="0030330A" w:rsidRPr="00E540A9" w:rsidRDefault="00000000">
      <w:pPr>
        <w:spacing w:line="240" w:lineRule="auto"/>
        <w:rPr>
          <w:color w:val="674EA7"/>
          <w:sz w:val="12"/>
          <w:szCs w:val="12"/>
        </w:rPr>
      </w:pPr>
      <w:r w:rsidRPr="00E540A9">
        <w:rPr>
          <w:sz w:val="12"/>
          <w:szCs w:val="12"/>
          <w:vertAlign w:val="superscript"/>
        </w:rPr>
        <w:footnoteRef/>
      </w:r>
      <w:hyperlink r:id="rId6">
        <w:r w:rsidR="0030330A" w:rsidRPr="00E540A9">
          <w:rPr>
            <w:color w:val="674EA7"/>
            <w:sz w:val="12"/>
            <w:szCs w:val="12"/>
            <w:u w:val="single"/>
          </w:rPr>
          <w:t>https://docstore.ohchr.org/SelfServices/FilesHandler.ashx?enc=4slQ6QSmlBEDzFEovLCuW3XRinAE8KCBFoqOHNz%2FvuA8gWnkDtMaQRPpczgpoNYnx4%2BF33QcKEJudfH36CovyC%2BAZrop7A%2FsI%2BnNH9m4QwnZ%2BcIG1FUmFCEDCXgbRQqb</w:t>
        </w:r>
      </w:hyperlink>
    </w:p>
  </w:footnote>
  <w:footnote w:id="9">
    <w:p w:rsidR="0030330A" w:rsidRPr="00E540A9" w:rsidRDefault="00000000">
      <w:pPr>
        <w:spacing w:line="240" w:lineRule="auto"/>
        <w:rPr>
          <w:color w:val="674EA7"/>
          <w:sz w:val="12"/>
          <w:szCs w:val="12"/>
        </w:rPr>
      </w:pPr>
      <w:r w:rsidRPr="00E540A9">
        <w:rPr>
          <w:sz w:val="12"/>
          <w:szCs w:val="12"/>
          <w:vertAlign w:val="superscript"/>
        </w:rPr>
        <w:footnoteRef/>
      </w:r>
      <w:hyperlink r:id="rId7">
        <w:r w:rsidR="0030330A" w:rsidRPr="00E540A9">
          <w:rPr>
            <w:color w:val="674EA7"/>
            <w:sz w:val="12"/>
            <w:szCs w:val="12"/>
            <w:u w:val="single"/>
          </w:rPr>
          <w:t>https://www.legislation.gov.uk/ukpga/2010/15/contents</w:t>
        </w:r>
      </w:hyperlink>
    </w:p>
  </w:footnote>
  <w:footnote w:id="10">
    <w:p w:rsidR="0030330A" w:rsidRPr="00E540A9" w:rsidRDefault="00000000">
      <w:pPr>
        <w:spacing w:line="240" w:lineRule="auto"/>
        <w:rPr>
          <w:color w:val="674EA7"/>
          <w:sz w:val="12"/>
          <w:szCs w:val="12"/>
        </w:rPr>
      </w:pPr>
      <w:r w:rsidRPr="00E540A9">
        <w:rPr>
          <w:sz w:val="12"/>
          <w:szCs w:val="12"/>
          <w:vertAlign w:val="superscript"/>
        </w:rPr>
        <w:footnoteRef/>
      </w:r>
      <w:hyperlink r:id="rId8">
        <w:r w:rsidR="0030330A" w:rsidRPr="00E540A9">
          <w:rPr>
            <w:color w:val="674EA7"/>
            <w:sz w:val="12"/>
            <w:szCs w:val="12"/>
            <w:u w:val="single"/>
          </w:rPr>
          <w:t>https://www.legislation.gov.uk/ukpga/2010/15/contents</w:t>
        </w:r>
      </w:hyperlink>
    </w:p>
  </w:footnote>
  <w:footnote w:id="11">
    <w:p w:rsidR="0030330A" w:rsidRPr="00E540A9" w:rsidRDefault="00000000">
      <w:pPr>
        <w:spacing w:line="240" w:lineRule="auto"/>
        <w:rPr>
          <w:color w:val="674EA7"/>
          <w:sz w:val="12"/>
          <w:szCs w:val="12"/>
        </w:rPr>
      </w:pPr>
      <w:r w:rsidRPr="00E540A9">
        <w:rPr>
          <w:sz w:val="12"/>
          <w:szCs w:val="12"/>
          <w:vertAlign w:val="superscript"/>
        </w:rPr>
        <w:footnoteRef/>
      </w:r>
      <w:hyperlink r:id="rId9">
        <w:r w:rsidR="0030330A" w:rsidRPr="00E540A9">
          <w:rPr>
            <w:color w:val="674EA7"/>
            <w:sz w:val="12"/>
            <w:szCs w:val="12"/>
            <w:u w:val="single"/>
          </w:rPr>
          <w:t>https://docstore.ohchr.org/SelfServices/FilesHandler.ashx?enc=4slQ6QSmlBEDzFEovLCuW3XRinAE8KCBFoqOHNz%2FvuBqT1A21jS%2FqAXfWlINUtDTv6VjdDloHCALz12%2F8bg2Gkcjju8Rc8%2F8DwvHCta3KL%2BPUJlfBJI0%2BZMMV3SahPHu</w:t>
        </w:r>
      </w:hyperlink>
    </w:p>
  </w:footnote>
  <w:footnote w:id="12">
    <w:p w:rsidR="0030330A" w:rsidRPr="00E540A9" w:rsidRDefault="00000000">
      <w:pPr>
        <w:spacing w:line="240" w:lineRule="auto"/>
        <w:rPr>
          <w:color w:val="674EA7"/>
          <w:sz w:val="12"/>
          <w:szCs w:val="12"/>
        </w:rPr>
      </w:pPr>
      <w:r w:rsidRPr="00E540A9">
        <w:rPr>
          <w:sz w:val="12"/>
          <w:szCs w:val="12"/>
          <w:vertAlign w:val="superscript"/>
        </w:rPr>
        <w:footnoteRef/>
      </w:r>
      <w:hyperlink r:id="rId10">
        <w:r w:rsidR="0030330A" w:rsidRPr="00E540A9">
          <w:rPr>
            <w:color w:val="674EA7"/>
            <w:sz w:val="12"/>
            <w:szCs w:val="12"/>
            <w:u w:val="single"/>
          </w:rPr>
          <w:t>https://docstore.ohchr.org/SelfServices/FilesHandler.ashx?enc=4slQ6QSmlBEDzFEovLCuW3XRinAE8KCBFoqOHNz%2FvuA8gWnkDtMaQRPpczgpoNYnx4%2BF33QcKEJudfH36CovyC%2BAZrop7A%2FsI%2BnNH9m4QwnZ%2BcIG1FUmFCEDCXgbRQqb</w:t>
        </w:r>
      </w:hyperlink>
    </w:p>
  </w:footnote>
  <w:footnote w:id="13">
    <w:p w:rsidR="0030330A" w:rsidRPr="00E540A9" w:rsidRDefault="00000000">
      <w:pPr>
        <w:spacing w:line="240" w:lineRule="auto"/>
        <w:rPr>
          <w:color w:val="674EA7"/>
          <w:sz w:val="12"/>
          <w:szCs w:val="12"/>
        </w:rPr>
      </w:pPr>
      <w:r w:rsidRPr="00E540A9">
        <w:rPr>
          <w:sz w:val="12"/>
          <w:szCs w:val="12"/>
          <w:vertAlign w:val="superscript"/>
        </w:rPr>
        <w:footnoteRef/>
      </w:r>
      <w:hyperlink r:id="rId11">
        <w:r w:rsidR="0030330A" w:rsidRPr="00E540A9">
          <w:rPr>
            <w:color w:val="674EA7"/>
            <w:sz w:val="12"/>
            <w:szCs w:val="12"/>
            <w:u w:val="single"/>
          </w:rPr>
          <w:t>https://docstore.ohchr.org/SelfServices/FilesHandler.ashx?enc=4slQ6QSmlBEDzFEovLCuW3XRinAE8KCBFoqOHNz%2FvuBqT1A21jS%2FqAXfWlINUtDTv6VjdDloHCALz12%2F8bg2Gkcjju8Rc8%2F8DwvHCta3KL%2BPUJlfBJI0%2BZMMV3SahPHu</w:t>
        </w:r>
      </w:hyperlink>
    </w:p>
  </w:footnote>
  <w:footnote w:id="14">
    <w:p w:rsidR="0030330A" w:rsidRPr="00E540A9" w:rsidRDefault="00000000">
      <w:pPr>
        <w:spacing w:line="240" w:lineRule="auto"/>
        <w:rPr>
          <w:color w:val="674EA7"/>
          <w:sz w:val="12"/>
          <w:szCs w:val="12"/>
        </w:rPr>
      </w:pPr>
      <w:r w:rsidRPr="00E540A9">
        <w:rPr>
          <w:sz w:val="12"/>
          <w:szCs w:val="12"/>
          <w:vertAlign w:val="superscript"/>
        </w:rPr>
        <w:footnoteRef/>
      </w:r>
      <w:hyperlink r:id="rId12">
        <w:r w:rsidR="0030330A" w:rsidRPr="00E540A9">
          <w:rPr>
            <w:color w:val="674EA7"/>
            <w:sz w:val="12"/>
            <w:szCs w:val="12"/>
            <w:u w:val="single"/>
          </w:rPr>
          <w:t>https://www.ohchr.org/en/instruments-mechanisms/instruments/international-covenant-economic-social-and-cultural-rights</w:t>
        </w:r>
      </w:hyperlink>
    </w:p>
  </w:footnote>
  <w:footnote w:id="15">
    <w:p w:rsidR="0030330A" w:rsidRPr="00E540A9" w:rsidRDefault="00000000">
      <w:pPr>
        <w:spacing w:line="240" w:lineRule="auto"/>
        <w:rPr>
          <w:color w:val="674EA7"/>
          <w:sz w:val="12"/>
          <w:szCs w:val="12"/>
        </w:rPr>
      </w:pPr>
      <w:r w:rsidRPr="00E540A9">
        <w:rPr>
          <w:sz w:val="12"/>
          <w:szCs w:val="12"/>
          <w:vertAlign w:val="superscript"/>
        </w:rPr>
        <w:footnoteRef/>
      </w:r>
      <w:hyperlink r:id="rId13">
        <w:r w:rsidR="0030330A" w:rsidRPr="00E540A9">
          <w:rPr>
            <w:color w:val="674EA7"/>
            <w:sz w:val="12"/>
            <w:szCs w:val="12"/>
            <w:u w:val="single"/>
          </w:rPr>
          <w:t>https://www.gov.uk/government/statistics/ethnicity-and-the-criminal-justice-system-2022/statistics-on-ethnicity-and-the-criminal-justice-system-2022-html</w:t>
        </w:r>
      </w:hyperlink>
    </w:p>
  </w:footnote>
  <w:footnote w:id="16">
    <w:p w:rsidR="0030330A" w:rsidRPr="00E540A9" w:rsidRDefault="00000000">
      <w:pPr>
        <w:spacing w:line="240" w:lineRule="auto"/>
        <w:rPr>
          <w:i/>
          <w:sz w:val="12"/>
          <w:szCs w:val="12"/>
        </w:rPr>
      </w:pPr>
      <w:r w:rsidRPr="00E540A9">
        <w:rPr>
          <w:sz w:val="12"/>
          <w:szCs w:val="12"/>
          <w:vertAlign w:val="superscript"/>
        </w:rPr>
        <w:footnoteRef/>
      </w:r>
      <w:r w:rsidRPr="00E540A9">
        <w:rPr>
          <w:color w:val="674EA7"/>
          <w:sz w:val="12"/>
          <w:szCs w:val="12"/>
        </w:rPr>
        <w:t xml:space="preserve"> </w:t>
      </w:r>
      <w:r w:rsidRPr="00E540A9">
        <w:rPr>
          <w:i/>
          <w:color w:val="674EA7"/>
          <w:sz w:val="12"/>
          <w:szCs w:val="12"/>
        </w:rPr>
        <w:t>Shaw A and Harris J (2023), Invisibility, Black Women and the Criminal Justice System, British Society of Criminology Conference: Criminology in Times of Transition, Glasgow June 2023</w:t>
      </w:r>
    </w:p>
  </w:footnote>
  <w:footnote w:id="17">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r w:rsidRPr="00E540A9">
        <w:rPr>
          <w:i/>
          <w:color w:val="674EA7"/>
          <w:sz w:val="12"/>
          <w:szCs w:val="12"/>
        </w:rPr>
        <w:t>Shaw A and Harris J (2023), loc. cit</w:t>
      </w:r>
      <w:r w:rsidRPr="00E540A9">
        <w:rPr>
          <w:color w:val="674EA7"/>
          <w:sz w:val="12"/>
          <w:szCs w:val="12"/>
        </w:rPr>
        <w:t>.</w:t>
      </w:r>
    </w:p>
  </w:footnote>
  <w:footnote w:id="18">
    <w:p w:rsidR="0030330A" w:rsidRPr="00E540A9" w:rsidRDefault="00000000">
      <w:pPr>
        <w:spacing w:line="240" w:lineRule="auto"/>
        <w:rPr>
          <w:sz w:val="12"/>
          <w:szCs w:val="12"/>
        </w:rPr>
      </w:pPr>
      <w:r w:rsidRPr="00E540A9">
        <w:rPr>
          <w:sz w:val="12"/>
          <w:szCs w:val="12"/>
          <w:vertAlign w:val="superscript"/>
        </w:rPr>
        <w:footnoteRef/>
      </w:r>
      <w:hyperlink r:id="rId14">
        <w:r w:rsidR="0030330A" w:rsidRPr="00E540A9">
          <w:rPr>
            <w:color w:val="674EA7"/>
            <w:sz w:val="12"/>
            <w:szCs w:val="12"/>
            <w:u w:val="single"/>
          </w:rPr>
          <w:t>https://libertyinvestigates.org.uk/articles/black-girls-nearly-three-times-more-likely-to-be-subjected-to-most-invasive-strip-search/</w:t>
        </w:r>
      </w:hyperlink>
    </w:p>
  </w:footnote>
  <w:footnote w:id="19">
    <w:p w:rsidR="0030330A" w:rsidRPr="00E540A9" w:rsidRDefault="00000000">
      <w:pPr>
        <w:spacing w:line="240" w:lineRule="auto"/>
        <w:rPr>
          <w:sz w:val="12"/>
          <w:szCs w:val="12"/>
        </w:rPr>
      </w:pPr>
      <w:r w:rsidRPr="00E540A9">
        <w:rPr>
          <w:sz w:val="12"/>
          <w:szCs w:val="12"/>
          <w:vertAlign w:val="superscript"/>
        </w:rPr>
        <w:footnoteRef/>
      </w:r>
      <w:hyperlink r:id="rId15">
        <w:r w:rsidR="0030330A" w:rsidRPr="00E540A9">
          <w:rPr>
            <w:color w:val="674EA7"/>
            <w:sz w:val="12"/>
            <w:szCs w:val="12"/>
            <w:u w:val="single"/>
          </w:rPr>
          <w:t>https://assets.publishing.service.gov.uk/government/uploads/system/uploads/attachment_data/file/639261/bame-disproportionality-in-the-cjs.pdf</w:t>
        </w:r>
      </w:hyperlink>
    </w:p>
  </w:footnote>
  <w:footnote w:id="20">
    <w:p w:rsidR="0030330A" w:rsidRPr="00E540A9" w:rsidRDefault="00000000">
      <w:pPr>
        <w:spacing w:line="240" w:lineRule="auto"/>
        <w:rPr>
          <w:color w:val="674EA7"/>
          <w:sz w:val="12"/>
          <w:szCs w:val="12"/>
        </w:rPr>
      </w:pPr>
      <w:r w:rsidRPr="00E540A9">
        <w:rPr>
          <w:sz w:val="12"/>
          <w:szCs w:val="12"/>
          <w:vertAlign w:val="superscript"/>
        </w:rPr>
        <w:footnoteRef/>
      </w:r>
      <w:hyperlink r:id="rId16">
        <w:r w:rsidR="0030330A" w:rsidRPr="00E540A9">
          <w:rPr>
            <w:color w:val="674EA7"/>
            <w:sz w:val="12"/>
            <w:szCs w:val="12"/>
            <w:u w:val="single"/>
          </w:rPr>
          <w:t>https://www.inquest.org.uk/Handlers/Download.ashx?IDMF=edfc7c01-e7bb-4a17-9c33-8628905460e6</w:t>
        </w:r>
      </w:hyperlink>
    </w:p>
  </w:footnote>
  <w:footnote w:id="21">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r w:rsidRPr="00E540A9">
        <w:rPr>
          <w:i/>
          <w:color w:val="674EA7"/>
          <w:sz w:val="12"/>
          <w:szCs w:val="12"/>
        </w:rPr>
        <w:t>Shaw A and Harris J (2023), loc. cit</w:t>
      </w:r>
      <w:r w:rsidRPr="00E540A9">
        <w:rPr>
          <w:color w:val="674EA7"/>
          <w:sz w:val="12"/>
          <w:szCs w:val="12"/>
        </w:rPr>
        <w:t>.</w:t>
      </w:r>
    </w:p>
  </w:footnote>
  <w:footnote w:id="22">
    <w:p w:rsidR="0030330A" w:rsidRPr="00E540A9" w:rsidRDefault="00000000">
      <w:pPr>
        <w:spacing w:line="240" w:lineRule="auto"/>
        <w:rPr>
          <w:i/>
          <w:color w:val="674EA7"/>
          <w:sz w:val="12"/>
          <w:szCs w:val="12"/>
        </w:rPr>
      </w:pPr>
      <w:r w:rsidRPr="00E540A9">
        <w:rPr>
          <w:sz w:val="12"/>
          <w:szCs w:val="12"/>
          <w:vertAlign w:val="superscript"/>
        </w:rPr>
        <w:footnoteRef/>
      </w:r>
      <w:r w:rsidRPr="00E540A9">
        <w:rPr>
          <w:color w:val="674EA7"/>
          <w:sz w:val="12"/>
          <w:szCs w:val="12"/>
        </w:rPr>
        <w:t xml:space="preserve"> </w:t>
      </w:r>
      <w:r w:rsidRPr="00E540A9">
        <w:rPr>
          <w:i/>
          <w:color w:val="674EA7"/>
          <w:sz w:val="12"/>
          <w:szCs w:val="12"/>
        </w:rPr>
        <w:t>Shaw A and Harris J (2023), loc. cit</w:t>
      </w:r>
      <w:r w:rsidRPr="00E540A9">
        <w:rPr>
          <w:color w:val="674EA7"/>
          <w:sz w:val="12"/>
          <w:szCs w:val="12"/>
        </w:rPr>
        <w:t>.</w:t>
      </w:r>
    </w:p>
  </w:footnote>
  <w:footnote w:id="23">
    <w:p w:rsidR="0030330A" w:rsidRPr="00E540A9" w:rsidRDefault="00000000">
      <w:pPr>
        <w:spacing w:line="240" w:lineRule="auto"/>
        <w:rPr>
          <w:color w:val="674EA7"/>
          <w:sz w:val="12"/>
          <w:szCs w:val="12"/>
        </w:rPr>
      </w:pPr>
      <w:r w:rsidRPr="00E540A9">
        <w:rPr>
          <w:sz w:val="12"/>
          <w:szCs w:val="12"/>
          <w:vertAlign w:val="superscript"/>
        </w:rPr>
        <w:footnoteRef/>
      </w:r>
      <w:hyperlink r:id="rId17">
        <w:r w:rsidR="0030330A" w:rsidRPr="00E540A9">
          <w:rPr>
            <w:color w:val="674EA7"/>
            <w:sz w:val="12"/>
            <w:szCs w:val="12"/>
            <w:u w:val="single"/>
          </w:rPr>
          <w:t>https://assets.publishing.service.gov.uk/media/62861e2ed3bf7f1f46f9b6b2/icesrc-uk-7-periodic-report-may-2022.pdf</w:t>
        </w:r>
      </w:hyperlink>
    </w:p>
  </w:footnote>
  <w:footnote w:id="24">
    <w:p w:rsidR="0030330A" w:rsidRPr="00E540A9" w:rsidRDefault="00000000">
      <w:pPr>
        <w:spacing w:line="240" w:lineRule="auto"/>
        <w:rPr>
          <w:sz w:val="12"/>
          <w:szCs w:val="12"/>
        </w:rPr>
      </w:pPr>
      <w:r w:rsidRPr="00E540A9">
        <w:rPr>
          <w:sz w:val="12"/>
          <w:szCs w:val="12"/>
          <w:vertAlign w:val="superscript"/>
        </w:rPr>
        <w:footnoteRef/>
      </w:r>
      <w:hyperlink r:id="rId18">
        <w:r w:rsidR="0030330A" w:rsidRPr="00E540A9">
          <w:rPr>
            <w:color w:val="674EA7"/>
            <w:sz w:val="12"/>
            <w:szCs w:val="12"/>
            <w:u w:val="single"/>
          </w:rPr>
          <w:t>https://docstore.ohchr.org/SelfServices/FilesHandler.ashx?enc=4slQ6QSmlBEDzFEovLCuW3XRinAE8KCBFoqOHNz%2FvuA8gWnkDtMaQRPpczgpoNYnx4%2BF33QcKEJudfH36CovyC%2BAZrop7A%2FsI%2BnNH9m4QwnZ%2BcIG1FUmFCEDCXgbRQqb</w:t>
        </w:r>
      </w:hyperlink>
    </w:p>
  </w:footnote>
  <w:footnote w:id="25">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r w:rsidRPr="00E540A9">
        <w:rPr>
          <w:i/>
          <w:color w:val="674EA7"/>
          <w:sz w:val="12"/>
          <w:szCs w:val="12"/>
        </w:rPr>
        <w:t>Shaw A and Harris J (2023), loc. cit</w:t>
      </w:r>
      <w:r w:rsidRPr="00E540A9">
        <w:rPr>
          <w:color w:val="674EA7"/>
          <w:sz w:val="12"/>
          <w:szCs w:val="12"/>
        </w:rPr>
        <w:t>.</w:t>
      </w:r>
    </w:p>
  </w:footnote>
  <w:footnote w:id="26">
    <w:p w:rsidR="0030330A" w:rsidRPr="00E540A9" w:rsidRDefault="00000000">
      <w:pPr>
        <w:spacing w:line="240" w:lineRule="auto"/>
        <w:rPr>
          <w:sz w:val="12"/>
          <w:szCs w:val="12"/>
        </w:rPr>
      </w:pPr>
      <w:r w:rsidRPr="00E540A9">
        <w:rPr>
          <w:sz w:val="12"/>
          <w:szCs w:val="12"/>
          <w:vertAlign w:val="superscript"/>
        </w:rPr>
        <w:footnoteRef/>
      </w:r>
      <w:hyperlink r:id="rId19">
        <w:r w:rsidR="0030330A" w:rsidRPr="00E540A9">
          <w:rPr>
            <w:color w:val="674EA7"/>
            <w:sz w:val="12"/>
            <w:szCs w:val="12"/>
            <w:u w:val="single"/>
          </w:rPr>
          <w:t>https://www.legislation.gov.uk/ukpga/2010/15/contents</w:t>
        </w:r>
      </w:hyperlink>
    </w:p>
  </w:footnote>
  <w:footnote w:id="27">
    <w:p w:rsidR="0030330A" w:rsidRPr="00E540A9" w:rsidRDefault="00000000">
      <w:pPr>
        <w:spacing w:line="240" w:lineRule="auto"/>
        <w:rPr>
          <w:sz w:val="12"/>
          <w:szCs w:val="12"/>
        </w:rPr>
      </w:pPr>
      <w:r w:rsidRPr="00E540A9">
        <w:rPr>
          <w:sz w:val="12"/>
          <w:szCs w:val="12"/>
          <w:vertAlign w:val="superscript"/>
        </w:rPr>
        <w:footnoteRef/>
      </w:r>
      <w:hyperlink r:id="rId20">
        <w:r w:rsidR="0030330A" w:rsidRPr="00E540A9">
          <w:rPr>
            <w:color w:val="674EA7"/>
            <w:sz w:val="12"/>
            <w:szCs w:val="12"/>
            <w:u w:val="single"/>
          </w:rPr>
          <w:t>https://www.legislation.gov.uk/ukpga/2010/15/contents</w:t>
        </w:r>
      </w:hyperlink>
    </w:p>
  </w:footnote>
  <w:footnote w:id="28">
    <w:p w:rsidR="0030330A" w:rsidRPr="00E540A9" w:rsidRDefault="00000000">
      <w:pPr>
        <w:spacing w:line="240" w:lineRule="auto"/>
        <w:rPr>
          <w:sz w:val="12"/>
          <w:szCs w:val="12"/>
        </w:rPr>
      </w:pPr>
      <w:r w:rsidRPr="00E540A9">
        <w:rPr>
          <w:sz w:val="12"/>
          <w:szCs w:val="12"/>
          <w:vertAlign w:val="superscript"/>
        </w:rPr>
        <w:footnoteRef/>
      </w:r>
      <w:hyperlink r:id="rId21">
        <w:r w:rsidR="0030330A" w:rsidRPr="00E540A9">
          <w:rPr>
            <w:color w:val="674EA7"/>
            <w:sz w:val="12"/>
            <w:szCs w:val="12"/>
            <w:u w:val="single"/>
          </w:rPr>
          <w:t>https://docstore.ohchr.org/SelfServices/FilesHandler.ashx?enc=4slQ6QSmlBEDzFEovLCuW3XRinAE8KCBFoqOHNz%2FvuBqT1A21jS%2FqAXfWlINUtDTv6VjdDloHCALz12%2F8bg2Gkcjju8Rc8%2F8DwvHCta3KL%2BPUJlfBJI0%2BZMMV3SahPHu</w:t>
        </w:r>
      </w:hyperlink>
    </w:p>
  </w:footnote>
  <w:footnote w:id="29">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hyperlink r:id="rId22">
        <w:r w:rsidR="0030330A" w:rsidRPr="00E540A9">
          <w:rPr>
            <w:color w:val="674EA7"/>
            <w:sz w:val="12"/>
            <w:szCs w:val="12"/>
            <w:u w:val="single"/>
          </w:rPr>
          <w:t>https://www.ohchr.org/en/human-rights/universal-declaration/translations/english</w:t>
        </w:r>
      </w:hyperlink>
    </w:p>
  </w:footnote>
  <w:footnote w:id="30">
    <w:p w:rsidR="0030330A" w:rsidRPr="00E540A9" w:rsidRDefault="00000000">
      <w:pPr>
        <w:spacing w:line="240" w:lineRule="auto"/>
        <w:rPr>
          <w:sz w:val="12"/>
          <w:szCs w:val="12"/>
        </w:rPr>
      </w:pPr>
      <w:r w:rsidRPr="00E540A9">
        <w:rPr>
          <w:sz w:val="12"/>
          <w:szCs w:val="12"/>
          <w:vertAlign w:val="superscript"/>
        </w:rPr>
        <w:footnoteRef/>
      </w:r>
      <w:hyperlink r:id="rId23">
        <w:r w:rsidR="0030330A" w:rsidRPr="00E540A9">
          <w:rPr>
            <w:color w:val="674EA7"/>
            <w:sz w:val="12"/>
            <w:szCs w:val="12"/>
            <w:u w:val="single"/>
          </w:rPr>
          <w:t>https://www.ohchr.org/en/instruments-mechanisms/instruments/international-covenant-economic-social-and-cultural-rights</w:t>
        </w:r>
      </w:hyperlink>
    </w:p>
  </w:footnote>
  <w:footnote w:id="31">
    <w:p w:rsidR="0030330A" w:rsidRPr="00E540A9" w:rsidRDefault="00000000">
      <w:pPr>
        <w:spacing w:line="240" w:lineRule="auto"/>
        <w:rPr>
          <w:i/>
          <w:color w:val="674EA7"/>
          <w:sz w:val="12"/>
          <w:szCs w:val="12"/>
        </w:rPr>
      </w:pPr>
      <w:r w:rsidRPr="00E540A9">
        <w:rPr>
          <w:sz w:val="12"/>
          <w:szCs w:val="12"/>
          <w:vertAlign w:val="superscript"/>
        </w:rPr>
        <w:footnoteRef/>
      </w:r>
      <w:r w:rsidRPr="00E540A9">
        <w:rPr>
          <w:i/>
          <w:color w:val="674EA7"/>
          <w:sz w:val="12"/>
          <w:szCs w:val="12"/>
        </w:rPr>
        <w:t xml:space="preserve">Nels Abbey (2024) </w:t>
      </w:r>
      <w:hyperlink r:id="rId24">
        <w:r w:rsidR="0030330A" w:rsidRPr="00E540A9">
          <w:rPr>
            <w:i/>
            <w:color w:val="674EA7"/>
            <w:sz w:val="12"/>
            <w:szCs w:val="12"/>
            <w:u w:val="single"/>
          </w:rPr>
          <w:t>https://thelead.uk/why-was-black-man-put-trial-using-raccoon-emoji</w:t>
        </w:r>
      </w:hyperlink>
    </w:p>
  </w:footnote>
  <w:footnote w:id="32">
    <w:p w:rsidR="0030330A" w:rsidRPr="00E540A9" w:rsidRDefault="00000000">
      <w:pPr>
        <w:spacing w:line="240" w:lineRule="auto"/>
        <w:rPr>
          <w:i/>
          <w:sz w:val="12"/>
          <w:szCs w:val="12"/>
        </w:rPr>
      </w:pPr>
      <w:r w:rsidRPr="00E540A9">
        <w:rPr>
          <w:sz w:val="12"/>
          <w:szCs w:val="12"/>
          <w:vertAlign w:val="superscript"/>
        </w:rPr>
        <w:footnoteRef/>
      </w:r>
      <w:r w:rsidRPr="00E540A9">
        <w:rPr>
          <w:i/>
          <w:color w:val="674EA7"/>
          <w:sz w:val="12"/>
          <w:szCs w:val="12"/>
        </w:rPr>
        <w:t>Nels Abbey (2024), loc. cit.</w:t>
      </w:r>
    </w:p>
  </w:footnote>
  <w:footnote w:id="33">
    <w:p w:rsidR="0030330A" w:rsidRPr="00E540A9" w:rsidRDefault="00000000">
      <w:pPr>
        <w:spacing w:line="240" w:lineRule="auto"/>
        <w:rPr>
          <w:color w:val="674EA7"/>
          <w:sz w:val="12"/>
          <w:szCs w:val="12"/>
        </w:rPr>
      </w:pPr>
      <w:r w:rsidRPr="00E540A9">
        <w:rPr>
          <w:sz w:val="12"/>
          <w:szCs w:val="12"/>
          <w:vertAlign w:val="superscript"/>
        </w:rPr>
        <w:footnoteRef/>
      </w:r>
      <w:hyperlink r:id="rId25">
        <w:r w:rsidR="0030330A" w:rsidRPr="00E540A9">
          <w:rPr>
            <w:color w:val="674EA7"/>
            <w:sz w:val="12"/>
            <w:szCs w:val="12"/>
            <w:u w:val="single"/>
          </w:rPr>
          <w:t>https://www.ethnicity-facts-figures.service.gov.uk/workforce-and-business/workforce-diversity/judges-and-non-legal-members-of-courts-and-tribunals-in-the-workforce/latest/</w:t>
        </w:r>
      </w:hyperlink>
    </w:p>
  </w:footnote>
  <w:footnote w:id="34">
    <w:p w:rsidR="0030330A" w:rsidRPr="00E540A9" w:rsidRDefault="00000000">
      <w:pPr>
        <w:spacing w:line="240" w:lineRule="auto"/>
        <w:rPr>
          <w:i/>
          <w:color w:val="674EA7"/>
          <w:sz w:val="12"/>
          <w:szCs w:val="12"/>
        </w:rPr>
      </w:pPr>
      <w:r w:rsidRPr="00E540A9">
        <w:rPr>
          <w:sz w:val="12"/>
          <w:szCs w:val="12"/>
          <w:vertAlign w:val="superscript"/>
        </w:rPr>
        <w:footnoteRef/>
      </w:r>
      <w:r w:rsidRPr="00E540A9">
        <w:rPr>
          <w:i/>
          <w:color w:val="674EA7"/>
          <w:sz w:val="12"/>
          <w:szCs w:val="12"/>
        </w:rPr>
        <w:t>I</w:t>
      </w:r>
      <w:hyperlink r:id="rId26">
        <w:r w:rsidR="0030330A" w:rsidRPr="00E540A9">
          <w:rPr>
            <w:i/>
            <w:color w:val="674EA7"/>
            <w:sz w:val="12"/>
            <w:szCs w:val="12"/>
          </w:rPr>
          <w:t>fe Thompson, Barrister (2025</w:t>
        </w:r>
      </w:hyperlink>
      <w:r w:rsidRPr="00E540A9">
        <w:rPr>
          <w:i/>
          <w:color w:val="674EA7"/>
          <w:sz w:val="12"/>
          <w:szCs w:val="12"/>
        </w:rPr>
        <w:t>)</w:t>
      </w:r>
    </w:p>
  </w:footnote>
  <w:footnote w:id="35">
    <w:p w:rsidR="0030330A" w:rsidRPr="00E540A9" w:rsidRDefault="00000000">
      <w:pPr>
        <w:spacing w:line="240" w:lineRule="auto"/>
        <w:rPr>
          <w:i/>
          <w:color w:val="674EA7"/>
          <w:sz w:val="12"/>
          <w:szCs w:val="12"/>
        </w:rPr>
      </w:pPr>
      <w:r w:rsidRPr="00E540A9">
        <w:rPr>
          <w:sz w:val="12"/>
          <w:szCs w:val="12"/>
          <w:vertAlign w:val="superscript"/>
        </w:rPr>
        <w:footnoteRef/>
      </w:r>
      <w:r w:rsidRPr="00E540A9">
        <w:rPr>
          <w:i/>
          <w:color w:val="674EA7"/>
          <w:sz w:val="12"/>
          <w:szCs w:val="12"/>
        </w:rPr>
        <w:t>I</w:t>
      </w:r>
      <w:hyperlink r:id="rId27">
        <w:r w:rsidR="0030330A" w:rsidRPr="00E540A9">
          <w:rPr>
            <w:i/>
            <w:color w:val="674EA7"/>
            <w:sz w:val="12"/>
            <w:szCs w:val="12"/>
          </w:rPr>
          <w:t>fe Thompson, Barrister (2025</w:t>
        </w:r>
      </w:hyperlink>
      <w:r w:rsidRPr="00E540A9">
        <w:rPr>
          <w:i/>
          <w:color w:val="674EA7"/>
          <w:sz w:val="12"/>
          <w:szCs w:val="12"/>
        </w:rPr>
        <w:t>), loc. cit.</w:t>
      </w:r>
    </w:p>
  </w:footnote>
  <w:footnote w:id="36">
    <w:p w:rsidR="0030330A" w:rsidRPr="00E540A9" w:rsidRDefault="00000000">
      <w:pPr>
        <w:spacing w:line="240" w:lineRule="auto"/>
        <w:rPr>
          <w:i/>
          <w:color w:val="674EA7"/>
          <w:sz w:val="12"/>
          <w:szCs w:val="12"/>
        </w:rPr>
      </w:pPr>
      <w:r w:rsidRPr="00E540A9">
        <w:rPr>
          <w:sz w:val="12"/>
          <w:szCs w:val="12"/>
          <w:vertAlign w:val="superscript"/>
        </w:rPr>
        <w:footnoteRef/>
      </w:r>
      <w:r w:rsidRPr="00E540A9">
        <w:rPr>
          <w:i/>
          <w:color w:val="674EA7"/>
          <w:sz w:val="12"/>
          <w:szCs w:val="12"/>
        </w:rPr>
        <w:t>I</w:t>
      </w:r>
      <w:hyperlink r:id="rId28">
        <w:r w:rsidR="0030330A" w:rsidRPr="00E540A9">
          <w:rPr>
            <w:i/>
            <w:color w:val="674EA7"/>
            <w:sz w:val="12"/>
            <w:szCs w:val="12"/>
          </w:rPr>
          <w:t>fe Thompson, Barrister (2025</w:t>
        </w:r>
      </w:hyperlink>
      <w:r w:rsidRPr="00E540A9">
        <w:rPr>
          <w:i/>
          <w:color w:val="674EA7"/>
          <w:sz w:val="12"/>
          <w:szCs w:val="12"/>
        </w:rPr>
        <w:t>), loc. cit.</w:t>
      </w:r>
    </w:p>
  </w:footnote>
  <w:footnote w:id="37">
    <w:p w:rsidR="0030330A" w:rsidRPr="00E540A9" w:rsidRDefault="00000000">
      <w:pPr>
        <w:spacing w:line="240" w:lineRule="auto"/>
        <w:rPr>
          <w:i/>
          <w:color w:val="674EA7"/>
          <w:sz w:val="12"/>
          <w:szCs w:val="12"/>
        </w:rPr>
      </w:pPr>
      <w:r w:rsidRPr="00E540A9">
        <w:rPr>
          <w:sz w:val="12"/>
          <w:szCs w:val="12"/>
          <w:vertAlign w:val="superscript"/>
        </w:rPr>
        <w:footnoteRef/>
      </w:r>
      <w:r w:rsidRPr="00E540A9">
        <w:rPr>
          <w:i/>
          <w:sz w:val="12"/>
          <w:szCs w:val="12"/>
        </w:rPr>
        <w:t>I</w:t>
      </w:r>
      <w:hyperlink r:id="rId29">
        <w:r w:rsidR="0030330A" w:rsidRPr="00E540A9">
          <w:rPr>
            <w:i/>
            <w:color w:val="674EA7"/>
            <w:sz w:val="12"/>
            <w:szCs w:val="12"/>
          </w:rPr>
          <w:t>fe Thompson, Barrister (2025</w:t>
        </w:r>
      </w:hyperlink>
      <w:r w:rsidRPr="00E540A9">
        <w:rPr>
          <w:i/>
          <w:color w:val="674EA7"/>
          <w:sz w:val="12"/>
          <w:szCs w:val="12"/>
        </w:rPr>
        <w:t>), loc. cit.</w:t>
      </w:r>
    </w:p>
  </w:footnote>
  <w:footnote w:id="38">
    <w:p w:rsidR="0030330A" w:rsidRPr="00E540A9" w:rsidRDefault="00000000">
      <w:pPr>
        <w:spacing w:line="240" w:lineRule="auto"/>
        <w:rPr>
          <w:color w:val="674EA7"/>
          <w:sz w:val="12"/>
          <w:szCs w:val="12"/>
        </w:rPr>
      </w:pPr>
      <w:r w:rsidRPr="00E540A9">
        <w:rPr>
          <w:sz w:val="12"/>
          <w:szCs w:val="12"/>
          <w:vertAlign w:val="superscript"/>
        </w:rPr>
        <w:footnoteRef/>
      </w:r>
      <w:hyperlink r:id="rId30">
        <w:r w:rsidR="0030330A" w:rsidRPr="00E540A9">
          <w:rPr>
            <w:color w:val="674EA7"/>
            <w:sz w:val="12"/>
            <w:szCs w:val="12"/>
            <w:u w:val="single"/>
          </w:rPr>
          <w:t>https://www.independent.co.uk/news/uk/home-news/daffy-duck-racism-meme-cococut-emoji-b2544218.html</w:t>
        </w:r>
      </w:hyperlink>
    </w:p>
  </w:footnote>
  <w:footnote w:id="39">
    <w:p w:rsidR="0030330A" w:rsidRPr="00E540A9" w:rsidRDefault="00000000">
      <w:pPr>
        <w:spacing w:line="240" w:lineRule="auto"/>
        <w:rPr>
          <w:i/>
          <w:color w:val="674EA7"/>
          <w:sz w:val="12"/>
          <w:szCs w:val="12"/>
        </w:rPr>
      </w:pPr>
      <w:r w:rsidRPr="00E540A9">
        <w:rPr>
          <w:sz w:val="12"/>
          <w:szCs w:val="12"/>
          <w:vertAlign w:val="superscript"/>
        </w:rPr>
        <w:footnoteRef/>
      </w:r>
      <w:r w:rsidRPr="00E540A9">
        <w:rPr>
          <w:i/>
          <w:color w:val="674EA7"/>
          <w:sz w:val="12"/>
          <w:szCs w:val="12"/>
        </w:rPr>
        <w:t xml:space="preserve"> Shaw A and Harris J (2024), Exploring Affinity Spaces in Addressing Online Abuse Against Black Women, Beyond Conventional Police Responses within the Gender, Crime and Violence Roundtable, American Society of Criminology Annual Meeting, San Francisco November 2024</w:t>
      </w:r>
    </w:p>
  </w:footnote>
  <w:footnote w:id="40">
    <w:p w:rsidR="0030330A" w:rsidRPr="00E540A9" w:rsidRDefault="00000000">
      <w:pPr>
        <w:spacing w:line="240" w:lineRule="auto"/>
        <w:jc w:val="both"/>
        <w:rPr>
          <w:i/>
          <w:color w:val="674EA7"/>
          <w:sz w:val="12"/>
          <w:szCs w:val="12"/>
        </w:rPr>
      </w:pPr>
      <w:r w:rsidRPr="00E540A9">
        <w:rPr>
          <w:sz w:val="12"/>
          <w:szCs w:val="12"/>
          <w:vertAlign w:val="superscript"/>
        </w:rPr>
        <w:footnoteRef/>
      </w:r>
      <w:r w:rsidRPr="00E540A9">
        <w:rPr>
          <w:i/>
          <w:color w:val="674EA7"/>
          <w:sz w:val="12"/>
          <w:szCs w:val="12"/>
        </w:rPr>
        <w:t xml:space="preserve">Glitch, UK (2023) “The Digital Misogynoir Report: Ending the dehumanising of Black women on social media” </w:t>
      </w:r>
      <w:hyperlink r:id="rId31">
        <w:r w:rsidR="0030330A" w:rsidRPr="00E540A9">
          <w:rPr>
            <w:i/>
            <w:color w:val="674EA7"/>
            <w:sz w:val="12"/>
            <w:szCs w:val="12"/>
            <w:u w:val="single"/>
          </w:rPr>
          <w:t>www.glitchcharity.co.uk/research</w:t>
        </w:r>
      </w:hyperlink>
    </w:p>
  </w:footnote>
  <w:footnote w:id="41">
    <w:p w:rsidR="0030330A" w:rsidRPr="00E540A9" w:rsidRDefault="00000000">
      <w:pPr>
        <w:spacing w:line="240" w:lineRule="auto"/>
        <w:jc w:val="both"/>
        <w:rPr>
          <w:i/>
          <w:color w:val="674EA7"/>
          <w:sz w:val="12"/>
          <w:szCs w:val="12"/>
        </w:rPr>
      </w:pPr>
      <w:r w:rsidRPr="00E540A9">
        <w:rPr>
          <w:sz w:val="12"/>
          <w:szCs w:val="12"/>
          <w:vertAlign w:val="superscript"/>
        </w:rPr>
        <w:footnoteRef/>
      </w:r>
      <w:r w:rsidRPr="00E540A9">
        <w:rPr>
          <w:i/>
          <w:color w:val="674EA7"/>
          <w:sz w:val="12"/>
          <w:szCs w:val="12"/>
        </w:rPr>
        <w:t xml:space="preserve">Shaw A and Harris J (2024), loc. cit. </w:t>
      </w:r>
    </w:p>
  </w:footnote>
  <w:footnote w:id="42">
    <w:p w:rsidR="0030330A" w:rsidRPr="00E540A9" w:rsidRDefault="00000000">
      <w:pPr>
        <w:spacing w:line="240" w:lineRule="auto"/>
        <w:jc w:val="both"/>
        <w:rPr>
          <w:sz w:val="12"/>
          <w:szCs w:val="12"/>
        </w:rPr>
      </w:pPr>
      <w:r w:rsidRPr="00E540A9">
        <w:rPr>
          <w:sz w:val="12"/>
          <w:szCs w:val="12"/>
          <w:vertAlign w:val="superscript"/>
        </w:rPr>
        <w:footnoteRef/>
      </w:r>
      <w:r w:rsidRPr="00E540A9">
        <w:rPr>
          <w:i/>
          <w:color w:val="674EA7"/>
          <w:sz w:val="12"/>
          <w:szCs w:val="12"/>
        </w:rPr>
        <w:t xml:space="preserve">Shaw A and Harris J (2024), loc. cit. </w:t>
      </w:r>
    </w:p>
  </w:footnote>
  <w:footnote w:id="43">
    <w:p w:rsidR="0030330A" w:rsidRPr="00E540A9" w:rsidRDefault="00000000">
      <w:pPr>
        <w:spacing w:line="240" w:lineRule="auto"/>
        <w:rPr>
          <w:color w:val="674EA7"/>
          <w:sz w:val="12"/>
          <w:szCs w:val="12"/>
        </w:rPr>
      </w:pPr>
      <w:r w:rsidRPr="00E540A9">
        <w:rPr>
          <w:sz w:val="12"/>
          <w:szCs w:val="12"/>
          <w:vertAlign w:val="superscript"/>
        </w:rPr>
        <w:footnoteRef/>
      </w:r>
      <w:hyperlink r:id="rId32">
        <w:r w:rsidR="0030330A" w:rsidRPr="00E540A9">
          <w:rPr>
            <w:color w:val="674EA7"/>
            <w:sz w:val="12"/>
            <w:szCs w:val="12"/>
            <w:u w:val="single"/>
          </w:rPr>
          <w:t>https://www.un.org/youthenvoy/wp-content/uploads/2021/06/Global-Report-on-Protecting.-Young-People-in-Civic-Space.pdf</w:t>
        </w:r>
      </w:hyperlink>
    </w:p>
  </w:footnote>
  <w:footnote w:id="44">
    <w:p w:rsidR="0030330A" w:rsidRPr="00E540A9" w:rsidRDefault="00000000">
      <w:pPr>
        <w:spacing w:line="240" w:lineRule="auto"/>
        <w:rPr>
          <w:color w:val="674EA7"/>
          <w:sz w:val="12"/>
          <w:szCs w:val="12"/>
        </w:rPr>
      </w:pPr>
      <w:r w:rsidRPr="00E540A9">
        <w:rPr>
          <w:sz w:val="12"/>
          <w:szCs w:val="12"/>
          <w:vertAlign w:val="superscript"/>
        </w:rPr>
        <w:footnoteRef/>
      </w:r>
      <w:hyperlink r:id="rId33">
        <w:r w:rsidR="0030330A" w:rsidRPr="00E540A9">
          <w:rPr>
            <w:color w:val="674EA7"/>
            <w:sz w:val="12"/>
            <w:szCs w:val="12"/>
            <w:u w:val="single"/>
          </w:rPr>
          <w:t>https://www.london.gov.uk/programmes-strategies/arts-and-culture/diversity-public-realm/london-unseen-amplifying-community-histories-public-realm/holding-flame-new-form-public-statue-speaks-us-all</w:t>
        </w:r>
      </w:hyperlink>
    </w:p>
  </w:footnote>
  <w:footnote w:id="45">
    <w:p w:rsidR="0030330A" w:rsidRPr="00E540A9" w:rsidRDefault="00000000">
      <w:pPr>
        <w:spacing w:line="240" w:lineRule="auto"/>
        <w:rPr>
          <w:color w:val="674EA7"/>
          <w:sz w:val="12"/>
          <w:szCs w:val="12"/>
        </w:rPr>
      </w:pPr>
      <w:r w:rsidRPr="00E540A9">
        <w:rPr>
          <w:sz w:val="12"/>
          <w:szCs w:val="12"/>
          <w:vertAlign w:val="superscript"/>
        </w:rPr>
        <w:footnoteRef/>
      </w:r>
      <w:hyperlink r:id="rId34">
        <w:r w:rsidR="0030330A" w:rsidRPr="00E540A9">
          <w:rPr>
            <w:color w:val="674EA7"/>
            <w:sz w:val="12"/>
            <w:szCs w:val="12"/>
            <w:u w:val="single"/>
          </w:rPr>
          <w:t>https://www.ohchr.org/en/stories/2023/10/participation-key-ending-systemic-racism</w:t>
        </w:r>
      </w:hyperlink>
    </w:p>
  </w:footnote>
  <w:footnote w:id="46">
    <w:p w:rsidR="0030330A" w:rsidRPr="00E540A9" w:rsidRDefault="00000000">
      <w:pPr>
        <w:spacing w:line="240" w:lineRule="auto"/>
        <w:rPr>
          <w:color w:val="674EA7"/>
          <w:sz w:val="12"/>
          <w:szCs w:val="12"/>
        </w:rPr>
      </w:pPr>
      <w:r w:rsidRPr="00E540A9">
        <w:rPr>
          <w:sz w:val="12"/>
          <w:szCs w:val="12"/>
          <w:vertAlign w:val="superscript"/>
        </w:rPr>
        <w:footnoteRef/>
      </w:r>
      <w:hyperlink r:id="rId35">
        <w:r w:rsidR="0030330A" w:rsidRPr="00E540A9">
          <w:rPr>
            <w:color w:val="674EA7"/>
            <w:sz w:val="12"/>
            <w:szCs w:val="12"/>
            <w:u w:val="single"/>
          </w:rPr>
          <w:t>https://uffcampaign.org/</w:t>
        </w:r>
      </w:hyperlink>
    </w:p>
  </w:footnote>
  <w:footnote w:id="47">
    <w:p w:rsidR="0030330A" w:rsidRPr="00E540A9" w:rsidRDefault="00000000">
      <w:pPr>
        <w:spacing w:line="240" w:lineRule="auto"/>
        <w:rPr>
          <w:color w:val="674EA7"/>
          <w:sz w:val="12"/>
          <w:szCs w:val="12"/>
        </w:rPr>
      </w:pPr>
      <w:r w:rsidRPr="00E540A9">
        <w:rPr>
          <w:sz w:val="12"/>
          <w:szCs w:val="12"/>
          <w:vertAlign w:val="superscript"/>
        </w:rPr>
        <w:footnoteRef/>
      </w:r>
      <w:hyperlink r:id="rId36">
        <w:r w:rsidR="0030330A" w:rsidRPr="00E540A9">
          <w:rPr>
            <w:color w:val="674EA7"/>
            <w:sz w:val="12"/>
            <w:szCs w:val="12"/>
            <w:u w:val="single"/>
          </w:rPr>
          <w:t>https://www.inquest.org.uk/sean-rigg-iopc-apology</w:t>
        </w:r>
      </w:hyperlink>
    </w:p>
  </w:footnote>
  <w:footnote w:id="48">
    <w:p w:rsidR="0030330A" w:rsidRPr="00E540A9" w:rsidRDefault="00000000">
      <w:pPr>
        <w:spacing w:line="240" w:lineRule="auto"/>
        <w:rPr>
          <w:color w:val="674EA7"/>
          <w:sz w:val="12"/>
          <w:szCs w:val="12"/>
        </w:rPr>
      </w:pPr>
      <w:r w:rsidRPr="00E540A9">
        <w:rPr>
          <w:sz w:val="12"/>
          <w:szCs w:val="12"/>
          <w:vertAlign w:val="superscript"/>
        </w:rPr>
        <w:footnoteRef/>
      </w:r>
      <w:hyperlink r:id="rId37">
        <w:r w:rsidR="0030330A" w:rsidRPr="00E540A9">
          <w:rPr>
            <w:color w:val="674EA7"/>
            <w:sz w:val="12"/>
            <w:szCs w:val="12"/>
            <w:u w:val="single"/>
          </w:rPr>
          <w:t>https://www.ubele.org/news/an-update-from-81-acts-of-exuberant-defiance</w:t>
        </w:r>
      </w:hyperlink>
    </w:p>
  </w:footnote>
  <w:footnote w:id="49">
    <w:p w:rsidR="0030330A" w:rsidRPr="00E540A9" w:rsidRDefault="00000000">
      <w:pPr>
        <w:spacing w:line="240" w:lineRule="auto"/>
        <w:rPr>
          <w:color w:val="674EA7"/>
          <w:sz w:val="12"/>
          <w:szCs w:val="12"/>
        </w:rPr>
      </w:pPr>
      <w:r w:rsidRPr="00E540A9">
        <w:rPr>
          <w:sz w:val="12"/>
          <w:szCs w:val="12"/>
          <w:vertAlign w:val="superscript"/>
        </w:rPr>
        <w:footnoteRef/>
      </w:r>
      <w:hyperlink r:id="rId38">
        <w:r w:rsidR="0030330A" w:rsidRPr="00E540A9">
          <w:rPr>
            <w:color w:val="674EA7"/>
            <w:sz w:val="12"/>
            <w:szCs w:val="12"/>
            <w:u w:val="single"/>
          </w:rPr>
          <w:t>https://www.theartnewspaper.com/2024/02/15/arts-council-england-under-fire-over-new-policy</w:t>
        </w:r>
      </w:hyperlink>
    </w:p>
  </w:footnote>
  <w:footnote w:id="50">
    <w:p w:rsidR="0030330A" w:rsidRPr="00E540A9" w:rsidRDefault="00000000">
      <w:pPr>
        <w:spacing w:line="240" w:lineRule="auto"/>
        <w:rPr>
          <w:color w:val="674EA7"/>
          <w:sz w:val="12"/>
          <w:szCs w:val="12"/>
        </w:rPr>
      </w:pPr>
      <w:r w:rsidRPr="00E540A9">
        <w:rPr>
          <w:sz w:val="12"/>
          <w:szCs w:val="12"/>
          <w:vertAlign w:val="superscript"/>
        </w:rPr>
        <w:footnoteRef/>
      </w:r>
      <w:hyperlink r:id="rId39">
        <w:r w:rsidR="0030330A" w:rsidRPr="00E540A9">
          <w:rPr>
            <w:color w:val="674EA7"/>
            <w:sz w:val="12"/>
            <w:szCs w:val="12"/>
            <w:u w:val="single"/>
          </w:rPr>
          <w:t>https://www.bond.org.uk/wp-content/uploads/2024/07/Bond_UK-Civic-Space_FINAL.pdf</w:t>
        </w:r>
      </w:hyperlink>
    </w:p>
  </w:footnote>
  <w:footnote w:id="51">
    <w:p w:rsidR="0030330A" w:rsidRPr="00E540A9" w:rsidRDefault="00000000">
      <w:pPr>
        <w:spacing w:line="240" w:lineRule="auto"/>
        <w:rPr>
          <w:i/>
          <w:color w:val="674EA7"/>
          <w:sz w:val="12"/>
          <w:szCs w:val="12"/>
        </w:rPr>
      </w:pPr>
      <w:r w:rsidRPr="00E540A9">
        <w:rPr>
          <w:sz w:val="12"/>
          <w:szCs w:val="12"/>
          <w:vertAlign w:val="superscript"/>
        </w:rPr>
        <w:footnoteRef/>
      </w:r>
      <w:r w:rsidRPr="00E540A9">
        <w:rPr>
          <w:i/>
          <w:color w:val="674EA7"/>
          <w:sz w:val="12"/>
          <w:szCs w:val="12"/>
        </w:rPr>
        <w:t xml:space="preserve"> “Rastafari” is the preferred noun used by followers of Rastafari spirituality and philosophy, not “Rastafarian”  </w:t>
      </w:r>
      <w:hyperlink r:id="rId40">
        <w:r w:rsidR="0030330A" w:rsidRPr="00E540A9">
          <w:rPr>
            <w:i/>
            <w:color w:val="674EA7"/>
            <w:sz w:val="12"/>
            <w:szCs w:val="12"/>
            <w:u w:val="single"/>
          </w:rPr>
          <w:t>https://minorityrights.org/communities/rastafarians/</w:t>
        </w:r>
      </w:hyperlink>
    </w:p>
    <w:p w:rsidR="0030330A" w:rsidRPr="00E540A9" w:rsidRDefault="0030330A">
      <w:pPr>
        <w:spacing w:line="240" w:lineRule="auto"/>
        <w:rPr>
          <w:sz w:val="12"/>
          <w:szCs w:val="12"/>
        </w:rPr>
      </w:pPr>
    </w:p>
  </w:footnote>
  <w:footnote w:id="52">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hyperlink r:id="rId41">
        <w:r w:rsidR="0030330A" w:rsidRPr="00E540A9">
          <w:rPr>
            <w:color w:val="674EA7"/>
            <w:sz w:val="12"/>
            <w:szCs w:val="12"/>
            <w:u w:val="single"/>
          </w:rPr>
          <w:t>https://www.refworld.org/legal/general/cescr/2009/en/83710</w:t>
        </w:r>
      </w:hyperlink>
    </w:p>
  </w:footnote>
  <w:footnote w:id="53">
    <w:p w:rsidR="0030330A" w:rsidRPr="00E540A9" w:rsidRDefault="00000000">
      <w:pPr>
        <w:spacing w:line="240" w:lineRule="auto"/>
        <w:rPr>
          <w:color w:val="674EA7"/>
          <w:sz w:val="12"/>
          <w:szCs w:val="12"/>
        </w:rPr>
      </w:pPr>
      <w:r w:rsidRPr="00E540A9">
        <w:rPr>
          <w:sz w:val="12"/>
          <w:szCs w:val="12"/>
          <w:vertAlign w:val="superscript"/>
        </w:rPr>
        <w:footnoteRef/>
      </w:r>
      <w:hyperlink r:id="rId42">
        <w:r w:rsidR="0030330A" w:rsidRPr="00E540A9">
          <w:rPr>
            <w:color w:val="674EA7"/>
            <w:sz w:val="12"/>
            <w:szCs w:val="12"/>
            <w:u w:val="single"/>
          </w:rPr>
          <w:t>https://hansard.parliament.uk/lords/1999-10-14/debates/e1064e8a-8823-4b20-bf01-cc3fa8f4a191/Rastafari</w:t>
        </w:r>
      </w:hyperlink>
    </w:p>
  </w:footnote>
  <w:footnote w:id="54">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hyperlink r:id="rId43">
        <w:r w:rsidR="0030330A" w:rsidRPr="00E540A9">
          <w:rPr>
            <w:color w:val="674EA7"/>
            <w:sz w:val="12"/>
            <w:szCs w:val="12"/>
            <w:u w:val="single"/>
          </w:rPr>
          <w:t>https://api.parliament.uk/historic-hansard/lords/1982/feb/04/brixton-disorders-the-scarman-report</w:t>
        </w:r>
      </w:hyperlink>
    </w:p>
  </w:footnote>
  <w:footnote w:id="55">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hyperlink r:id="rId44">
        <w:r w:rsidR="0030330A" w:rsidRPr="00E540A9">
          <w:rPr>
            <w:color w:val="674EA7"/>
            <w:sz w:val="12"/>
            <w:szCs w:val="12"/>
            <w:u w:val="single"/>
          </w:rPr>
          <w:t>https://archive.voice-online.co.uk/article/rastafarian-holy-days-now-honoured-prisons</w:t>
        </w:r>
      </w:hyperlink>
    </w:p>
  </w:footnote>
  <w:footnote w:id="56">
    <w:p w:rsidR="0030330A" w:rsidRPr="00E540A9" w:rsidRDefault="00000000">
      <w:pPr>
        <w:spacing w:line="240" w:lineRule="auto"/>
        <w:rPr>
          <w:color w:val="674EA7"/>
          <w:sz w:val="12"/>
          <w:szCs w:val="12"/>
        </w:rPr>
      </w:pPr>
      <w:r w:rsidRPr="00E540A9">
        <w:rPr>
          <w:sz w:val="12"/>
          <w:szCs w:val="12"/>
          <w:vertAlign w:val="superscript"/>
        </w:rPr>
        <w:footnoteRef/>
      </w:r>
      <w:hyperlink r:id="rId45">
        <w:r w:rsidR="0030330A" w:rsidRPr="00E540A9">
          <w:rPr>
            <w:color w:val="674EA7"/>
            <w:sz w:val="12"/>
            <w:szCs w:val="12"/>
            <w:u w:val="single"/>
          </w:rPr>
          <w:t>https://www.ons.gov.uk/peoplepopulationandcommunity/culturalidentity/religion/bulletins/religionenglandandwales/census2021</w:t>
        </w:r>
      </w:hyperlink>
    </w:p>
  </w:footnote>
  <w:footnote w:id="57">
    <w:p w:rsidR="0030330A" w:rsidRPr="00E540A9" w:rsidRDefault="00000000">
      <w:pPr>
        <w:spacing w:line="240" w:lineRule="auto"/>
        <w:rPr>
          <w:color w:val="674EA7"/>
          <w:sz w:val="12"/>
          <w:szCs w:val="12"/>
        </w:rPr>
      </w:pPr>
      <w:r w:rsidRPr="00E540A9">
        <w:rPr>
          <w:sz w:val="12"/>
          <w:szCs w:val="12"/>
          <w:vertAlign w:val="superscript"/>
        </w:rPr>
        <w:footnoteRef/>
      </w:r>
      <w:hyperlink r:id="rId46">
        <w:r w:rsidR="0030330A" w:rsidRPr="00E540A9">
          <w:rPr>
            <w:color w:val="674EA7"/>
            <w:sz w:val="12"/>
            <w:szCs w:val="12"/>
            <w:u w:val="single"/>
          </w:rPr>
          <w:t>https://www.ethnicity-facts-figures.service.gov.uk/uk-population-by-ethnicity/national-and-regional-populations/population-of-england-and-wales/latest/</w:t>
        </w:r>
      </w:hyperlink>
    </w:p>
  </w:footnote>
  <w:footnote w:id="58">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hyperlink r:id="rId47">
        <w:r w:rsidR="0030330A" w:rsidRPr="00E540A9">
          <w:rPr>
            <w:color w:val="674EA7"/>
            <w:sz w:val="12"/>
            <w:szCs w:val="12"/>
            <w:u w:val="single"/>
          </w:rPr>
          <w:t>https://assets.publishing.service.gov.uk/media/5a7589e2e5274a4f4677eeb7/deaths-in-custody.pdf</w:t>
        </w:r>
      </w:hyperlink>
    </w:p>
  </w:footnote>
  <w:footnote w:id="59">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hyperlink r:id="rId48">
        <w:r w:rsidR="0030330A" w:rsidRPr="00E540A9">
          <w:rPr>
            <w:color w:val="674EA7"/>
            <w:sz w:val="12"/>
            <w:szCs w:val="12"/>
            <w:u w:val="single"/>
          </w:rPr>
          <w:t>https://irr.org.uk/article/black-deaths-in-custody/</w:t>
        </w:r>
      </w:hyperlink>
    </w:p>
  </w:footnote>
  <w:footnote w:id="60">
    <w:p w:rsidR="0030330A" w:rsidRPr="00E540A9" w:rsidRDefault="00000000">
      <w:pPr>
        <w:spacing w:line="240" w:lineRule="auto"/>
        <w:rPr>
          <w:color w:val="674EA7"/>
          <w:sz w:val="12"/>
          <w:szCs w:val="12"/>
        </w:rPr>
      </w:pPr>
      <w:r w:rsidRPr="00E540A9">
        <w:rPr>
          <w:sz w:val="12"/>
          <w:szCs w:val="12"/>
          <w:vertAlign w:val="superscript"/>
        </w:rPr>
        <w:footnoteRef/>
      </w:r>
      <w:hyperlink r:id="rId49">
        <w:r w:rsidR="0030330A" w:rsidRPr="00E540A9">
          <w:rPr>
            <w:color w:val="674EA7"/>
            <w:sz w:val="12"/>
            <w:szCs w:val="12"/>
            <w:u w:val="single"/>
          </w:rPr>
          <w:t>https://hansard.parliament.uk/Commons/1980-08-08/debates/48279ab9-c881-4b7c-88e8-a893c1aeeb1b/RichardCampbell(DeathInCustody)</w:t>
        </w:r>
      </w:hyperlink>
    </w:p>
  </w:footnote>
  <w:footnote w:id="61">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hyperlink r:id="rId50">
        <w:r w:rsidR="0030330A" w:rsidRPr="00E540A9">
          <w:rPr>
            <w:color w:val="674EA7"/>
            <w:sz w:val="12"/>
            <w:szCs w:val="12"/>
            <w:u w:val="single"/>
          </w:rPr>
          <w:t>http://image.guardian.co.uk/sys-files/Society/documents/2004/02/12/Bennett.pdf</w:t>
        </w:r>
      </w:hyperlink>
    </w:p>
  </w:footnote>
  <w:footnote w:id="62">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hyperlink r:id="rId51">
        <w:r w:rsidR="0030330A" w:rsidRPr="00E540A9">
          <w:rPr>
            <w:color w:val="674EA7"/>
            <w:sz w:val="12"/>
            <w:szCs w:val="12"/>
            <w:u w:val="single"/>
          </w:rPr>
          <w:t>https://www.disabilitynewsservice.com/mps-raise-concerns-over-dwp-death-evidence-cover-up/</w:t>
        </w:r>
      </w:hyperlink>
    </w:p>
  </w:footnote>
  <w:footnote w:id="63">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hyperlink r:id="rId52">
        <w:r w:rsidR="0030330A" w:rsidRPr="00E540A9">
          <w:rPr>
            <w:color w:val="674EA7"/>
            <w:sz w:val="12"/>
            <w:szCs w:val="12"/>
            <w:u w:val="single"/>
          </w:rPr>
          <w:t>https://www.worldafroday.com/wp-content/uploads/2022/09/WADHairEqualityReport2019a.pdf</w:t>
        </w:r>
      </w:hyperlink>
    </w:p>
  </w:footnote>
  <w:footnote w:id="64">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hyperlink r:id="rId53">
        <w:r w:rsidR="0030330A" w:rsidRPr="00E540A9">
          <w:rPr>
            <w:color w:val="674EA7"/>
            <w:sz w:val="12"/>
            <w:szCs w:val="12"/>
            <w:u w:val="single"/>
          </w:rPr>
          <w:t>https://www.bbc.co.uk/news/uk-england-london-56594570</w:t>
        </w:r>
      </w:hyperlink>
    </w:p>
  </w:footnote>
  <w:footnote w:id="65">
    <w:p w:rsidR="0030330A" w:rsidRPr="00E540A9" w:rsidRDefault="00000000">
      <w:pPr>
        <w:spacing w:line="240" w:lineRule="auto"/>
        <w:rPr>
          <w:color w:val="674EA7"/>
          <w:sz w:val="12"/>
          <w:szCs w:val="12"/>
        </w:rPr>
      </w:pPr>
      <w:r w:rsidRPr="00E540A9">
        <w:rPr>
          <w:sz w:val="12"/>
          <w:szCs w:val="12"/>
          <w:vertAlign w:val="superscript"/>
        </w:rPr>
        <w:footnoteRef/>
      </w:r>
      <w:hyperlink r:id="rId54">
        <w:r w:rsidR="0030330A" w:rsidRPr="00E540A9">
          <w:rPr>
            <w:color w:val="674EA7"/>
            <w:sz w:val="12"/>
            <w:szCs w:val="12"/>
            <w:u w:val="single"/>
          </w:rPr>
          <w:t>https://www.theguardian.com/education/2018/sep/12/london-school-that-told-boy-to-cut-off-dreadlocks-backs-down</w:t>
        </w:r>
      </w:hyperlink>
    </w:p>
  </w:footnote>
  <w:footnote w:id="66">
    <w:p w:rsidR="0030330A" w:rsidRPr="00E540A9" w:rsidRDefault="00000000">
      <w:pPr>
        <w:spacing w:line="240" w:lineRule="auto"/>
        <w:rPr>
          <w:color w:val="674EA7"/>
          <w:sz w:val="12"/>
          <w:szCs w:val="12"/>
        </w:rPr>
      </w:pPr>
      <w:r w:rsidRPr="00E540A9">
        <w:rPr>
          <w:sz w:val="12"/>
          <w:szCs w:val="12"/>
          <w:vertAlign w:val="superscript"/>
        </w:rPr>
        <w:footnoteRef/>
      </w:r>
      <w:hyperlink r:id="rId55">
        <w:r w:rsidR="0030330A" w:rsidRPr="00E540A9">
          <w:rPr>
            <w:color w:val="674EA7"/>
            <w:sz w:val="12"/>
            <w:szCs w:val="12"/>
            <w:u w:val="single"/>
          </w:rPr>
          <w:t>https://explore-education-statistics.service.gov.uk/find-statistics/school-pupils-and-their-characteristics</w:t>
        </w:r>
      </w:hyperlink>
    </w:p>
  </w:footnote>
  <w:footnote w:id="67">
    <w:p w:rsidR="0030330A" w:rsidRPr="00E540A9" w:rsidRDefault="00000000">
      <w:pPr>
        <w:spacing w:line="240" w:lineRule="auto"/>
        <w:rPr>
          <w:color w:val="674EA7"/>
          <w:sz w:val="12"/>
          <w:szCs w:val="12"/>
        </w:rPr>
      </w:pPr>
      <w:r w:rsidRPr="00E540A9">
        <w:rPr>
          <w:sz w:val="12"/>
          <w:szCs w:val="12"/>
          <w:vertAlign w:val="superscript"/>
        </w:rPr>
        <w:footnoteRef/>
      </w:r>
      <w:hyperlink r:id="rId56">
        <w:r w:rsidR="0030330A" w:rsidRPr="00E540A9">
          <w:rPr>
            <w:color w:val="674EA7"/>
            <w:sz w:val="12"/>
            <w:szCs w:val="12"/>
            <w:u w:val="single"/>
          </w:rPr>
          <w:t>https://www.ethnicity-facts-figures.service.gov.uk/workforce-and-business/workforce-diversity/school-teacher-workforce/latest/</w:t>
        </w:r>
      </w:hyperlink>
    </w:p>
  </w:footnote>
  <w:footnote w:id="68">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hyperlink r:id="rId57">
        <w:r w:rsidR="0030330A" w:rsidRPr="00E540A9">
          <w:rPr>
            <w:color w:val="674EA7"/>
            <w:sz w:val="12"/>
            <w:szCs w:val="12"/>
            <w:u w:val="single"/>
          </w:rPr>
          <w:t>https://www.nasuwt.org.uk/static/uploaded/cf0990b8-17ba-430c-91b9caaa064d1bbf.pdf</w:t>
        </w:r>
      </w:hyperlink>
    </w:p>
  </w:footnote>
  <w:footnote w:id="69">
    <w:p w:rsidR="0030330A" w:rsidRPr="00E540A9" w:rsidRDefault="00000000">
      <w:pPr>
        <w:spacing w:line="240" w:lineRule="auto"/>
        <w:rPr>
          <w:color w:val="674EA7"/>
          <w:sz w:val="12"/>
          <w:szCs w:val="12"/>
        </w:rPr>
      </w:pPr>
      <w:r w:rsidRPr="00E540A9">
        <w:rPr>
          <w:sz w:val="12"/>
          <w:szCs w:val="12"/>
          <w:vertAlign w:val="superscript"/>
        </w:rPr>
        <w:footnoteRef/>
      </w:r>
      <w:hyperlink r:id="rId58">
        <w:r w:rsidR="0030330A" w:rsidRPr="00E540A9">
          <w:rPr>
            <w:color w:val="674EA7"/>
            <w:sz w:val="12"/>
            <w:szCs w:val="12"/>
            <w:u w:val="single"/>
          </w:rPr>
          <w:t>https://www.ethnicity-facts-figures.service.gov.uk/workforce-and-business/workforce-diversity/school-teacher-workforce/latest/</w:t>
        </w:r>
      </w:hyperlink>
    </w:p>
  </w:footnote>
  <w:footnote w:id="70">
    <w:p w:rsidR="0030330A" w:rsidRPr="00E540A9" w:rsidRDefault="00000000">
      <w:pPr>
        <w:spacing w:line="240" w:lineRule="auto"/>
        <w:rPr>
          <w:color w:val="674EA7"/>
          <w:sz w:val="12"/>
          <w:szCs w:val="12"/>
        </w:rPr>
      </w:pPr>
      <w:r w:rsidRPr="00E540A9">
        <w:rPr>
          <w:sz w:val="12"/>
          <w:szCs w:val="12"/>
          <w:vertAlign w:val="superscript"/>
        </w:rPr>
        <w:footnoteRef/>
      </w:r>
      <w:hyperlink r:id="rId59">
        <w:r w:rsidR="0030330A" w:rsidRPr="00E540A9">
          <w:rPr>
            <w:color w:val="674EA7"/>
            <w:sz w:val="12"/>
            <w:szCs w:val="12"/>
            <w:u w:val="single"/>
          </w:rPr>
          <w:t>https://www.gov.scot/binaries/content/documents/govscot/publications/progress-report/2023/06/anti-racism-scotland-progress-review-2023/documents/anti-racism-scotland-progress-review-2023-race-equality-framework-immediate-priorities-plan/anti-racism-scotland-progress-review-2023-race-equality-framework-immediate-priorities-plan/govscot%3Adocument/anti-racism-scotland-progress-review-2023-race-equality-framework-immediate-priorities-plan.pdf</w:t>
        </w:r>
      </w:hyperlink>
    </w:p>
  </w:footnote>
  <w:footnote w:id="71">
    <w:p w:rsidR="0030330A" w:rsidRPr="00E540A9" w:rsidRDefault="00000000">
      <w:pPr>
        <w:spacing w:line="240" w:lineRule="auto"/>
        <w:rPr>
          <w:color w:val="674EA7"/>
          <w:sz w:val="12"/>
          <w:szCs w:val="12"/>
        </w:rPr>
      </w:pPr>
      <w:r w:rsidRPr="00E540A9">
        <w:rPr>
          <w:sz w:val="12"/>
          <w:szCs w:val="12"/>
          <w:vertAlign w:val="superscript"/>
        </w:rPr>
        <w:footnoteRef/>
      </w:r>
      <w:hyperlink r:id="rId60">
        <w:r w:rsidR="0030330A" w:rsidRPr="00E540A9">
          <w:rPr>
            <w:color w:val="674EA7"/>
            <w:sz w:val="12"/>
            <w:szCs w:val="12"/>
            <w:u w:val="single"/>
          </w:rPr>
          <w:t>https://cdn.prod.website-files.com/61488f992b58e687f1108c7c/63c027251c4ddb3581daa9fb_Safer%20Schools%20Officers%20Briefing%20-%20FINAL.pdf</w:t>
        </w:r>
      </w:hyperlink>
    </w:p>
  </w:footnote>
  <w:footnote w:id="72">
    <w:p w:rsidR="0030330A" w:rsidRPr="00E540A9" w:rsidRDefault="00000000">
      <w:pPr>
        <w:spacing w:line="240" w:lineRule="auto"/>
        <w:rPr>
          <w:color w:val="674EA7"/>
          <w:sz w:val="12"/>
          <w:szCs w:val="12"/>
        </w:rPr>
      </w:pPr>
      <w:r w:rsidRPr="00E540A9">
        <w:rPr>
          <w:sz w:val="12"/>
          <w:szCs w:val="12"/>
          <w:vertAlign w:val="superscript"/>
        </w:rPr>
        <w:footnoteRef/>
      </w:r>
      <w:hyperlink r:id="rId61">
        <w:r w:rsidR="0030330A" w:rsidRPr="00E540A9">
          <w:rPr>
            <w:color w:val="674EA7"/>
            <w:sz w:val="12"/>
            <w:szCs w:val="12"/>
            <w:u w:val="single"/>
          </w:rPr>
          <w:t>https://commonslibrary.parliament.uk/child-q-and-the-law-on-strip-search/</w:t>
        </w:r>
      </w:hyperlink>
    </w:p>
  </w:footnote>
  <w:footnote w:id="73">
    <w:p w:rsidR="0030330A" w:rsidRPr="00E540A9" w:rsidRDefault="00000000">
      <w:pPr>
        <w:spacing w:line="240" w:lineRule="auto"/>
        <w:rPr>
          <w:color w:val="674EA7"/>
          <w:sz w:val="12"/>
          <w:szCs w:val="12"/>
        </w:rPr>
      </w:pPr>
      <w:r w:rsidRPr="00E540A9">
        <w:rPr>
          <w:sz w:val="12"/>
          <w:szCs w:val="12"/>
          <w:vertAlign w:val="superscript"/>
        </w:rPr>
        <w:footnoteRef/>
      </w:r>
      <w:hyperlink r:id="rId62">
        <w:r w:rsidR="0030330A" w:rsidRPr="00E540A9">
          <w:rPr>
            <w:color w:val="674EA7"/>
            <w:sz w:val="12"/>
            <w:szCs w:val="12"/>
            <w:u w:val="single"/>
          </w:rPr>
          <w:t>https://www.theguardian.com/uk-news/2022/apr/01/met-police-urged-to-admit-racism-after-strip-search-of-black-girl-in-hackney</w:t>
        </w:r>
      </w:hyperlink>
    </w:p>
  </w:footnote>
  <w:footnote w:id="74">
    <w:p w:rsidR="0030330A" w:rsidRPr="00E540A9" w:rsidRDefault="00000000">
      <w:pPr>
        <w:spacing w:line="240" w:lineRule="auto"/>
        <w:rPr>
          <w:color w:val="674EA7"/>
          <w:sz w:val="12"/>
          <w:szCs w:val="12"/>
        </w:rPr>
      </w:pPr>
      <w:r w:rsidRPr="00E540A9">
        <w:rPr>
          <w:sz w:val="12"/>
          <w:szCs w:val="12"/>
          <w:vertAlign w:val="superscript"/>
        </w:rPr>
        <w:footnoteRef/>
      </w:r>
      <w:hyperlink r:id="rId63" w:anchor=":~:text=Safer%20Schools%20Police%20Officers%20('SSPOs,particular%20school%20(or%20schools).">
        <w:r w:rsidR="0030330A" w:rsidRPr="00E540A9">
          <w:rPr>
            <w:color w:val="674EA7"/>
            <w:sz w:val="12"/>
            <w:szCs w:val="12"/>
            <w:u w:val="single"/>
          </w:rPr>
          <w:t>https://www.libertyhumanrights.org.uk/advice_information/is-it-legal-for-a-police-officer-to-be-in-my-school/#:~:text=</w:t>
        </w:r>
      </w:hyperlink>
      <w:hyperlink r:id="rId64" w:anchor=":~:text=Safer%20Schools%20Police%20Officers%20('SSPOs,particular%20school%20(or%20schools).">
        <w:r w:rsidR="0030330A" w:rsidRPr="00E540A9">
          <w:rPr>
            <w:color w:val="674EA7"/>
            <w:sz w:val="12"/>
            <w:szCs w:val="12"/>
            <w:u w:val="single"/>
          </w:rPr>
          <w:t>Safer%20Schools%20Police%20Officers%20</w:t>
        </w:r>
      </w:hyperlink>
      <w:hyperlink r:id="rId65" w:anchor=":~:text=Safer%20Schools%20Police%20Officers%20('SSPOs,particular%20school%20(or%20schools).">
        <w:r w:rsidR="0030330A" w:rsidRPr="00E540A9">
          <w:rPr>
            <w:color w:val="674EA7"/>
            <w:sz w:val="12"/>
            <w:szCs w:val="12"/>
            <w:u w:val="single"/>
          </w:rPr>
          <w:t>('SSPOs,particular%20school%20(or%20schools)</w:t>
        </w:r>
      </w:hyperlink>
    </w:p>
  </w:footnote>
  <w:footnote w:id="75">
    <w:p w:rsidR="0030330A" w:rsidRPr="00E540A9" w:rsidRDefault="00000000">
      <w:pPr>
        <w:spacing w:line="240" w:lineRule="auto"/>
        <w:rPr>
          <w:color w:val="674EA7"/>
          <w:sz w:val="12"/>
          <w:szCs w:val="12"/>
        </w:rPr>
      </w:pPr>
      <w:r w:rsidRPr="00E540A9">
        <w:rPr>
          <w:sz w:val="12"/>
          <w:szCs w:val="12"/>
          <w:vertAlign w:val="superscript"/>
        </w:rPr>
        <w:footnoteRef/>
      </w:r>
      <w:hyperlink r:id="rId66">
        <w:r w:rsidR="0030330A" w:rsidRPr="00E540A9">
          <w:rPr>
            <w:color w:val="674EA7"/>
            <w:sz w:val="12"/>
            <w:szCs w:val="12"/>
            <w:u w:val="single"/>
          </w:rPr>
          <w:t>https://nya.org.uk/wp-content/uploads/2024/02/NYA-Report-The-social-cost-of-youth-work-cuts-%E2%80%93-Preventing-youth-offending-through-youth-work.pdf</w:t>
        </w:r>
      </w:hyperlink>
    </w:p>
  </w:footnote>
  <w:footnote w:id="76">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hyperlink r:id="rId67">
        <w:r w:rsidR="0030330A" w:rsidRPr="00E540A9">
          <w:rPr>
            <w:color w:val="674EA7"/>
            <w:sz w:val="12"/>
            <w:szCs w:val="12"/>
            <w:u w:val="single"/>
          </w:rPr>
          <w:t>https://www.manhoodacademyglobal.com/</w:t>
        </w:r>
      </w:hyperlink>
    </w:p>
  </w:footnote>
  <w:footnote w:id="77">
    <w:p w:rsidR="0030330A" w:rsidRPr="00E540A9" w:rsidRDefault="00000000">
      <w:pPr>
        <w:spacing w:line="240" w:lineRule="auto"/>
        <w:rPr>
          <w:color w:val="674EA7"/>
          <w:sz w:val="12"/>
          <w:szCs w:val="12"/>
        </w:rPr>
      </w:pPr>
      <w:r w:rsidRPr="00E540A9">
        <w:rPr>
          <w:sz w:val="12"/>
          <w:szCs w:val="12"/>
          <w:vertAlign w:val="superscript"/>
        </w:rPr>
        <w:footnoteRef/>
      </w:r>
      <w:hyperlink r:id="rId68">
        <w:r w:rsidR="0030330A" w:rsidRPr="00E540A9">
          <w:rPr>
            <w:color w:val="674EA7"/>
            <w:sz w:val="12"/>
            <w:szCs w:val="12"/>
            <w:u w:val="single"/>
          </w:rPr>
          <w:t>https://youngbrentfoundation.org.uk/news/entry/empowering-tomorrows-leaders-the-collaborative-journey-of-manhood-academy-global-ofob</w:t>
        </w:r>
      </w:hyperlink>
    </w:p>
  </w:footnote>
  <w:footnote w:id="78">
    <w:p w:rsidR="0030330A" w:rsidRPr="00E540A9" w:rsidRDefault="00000000">
      <w:pPr>
        <w:spacing w:line="240" w:lineRule="auto"/>
        <w:rPr>
          <w:color w:val="674EA7"/>
          <w:sz w:val="12"/>
          <w:szCs w:val="12"/>
        </w:rPr>
      </w:pPr>
      <w:r w:rsidRPr="00E540A9">
        <w:rPr>
          <w:sz w:val="12"/>
          <w:szCs w:val="12"/>
          <w:vertAlign w:val="superscript"/>
        </w:rPr>
        <w:footnoteRef/>
      </w:r>
      <w:hyperlink r:id="rId69">
        <w:r w:rsidR="0030330A" w:rsidRPr="00E540A9">
          <w:rPr>
            <w:color w:val="674EA7"/>
            <w:sz w:val="12"/>
            <w:szCs w:val="12"/>
            <w:u w:val="single"/>
          </w:rPr>
          <w:t>https://uploads.strikinglycdn.com/files/38386bb0-8e90-43b5-85d2-f83be7e00ec1/Impact%20Report_%20My%20Life%20Matters%20Programme%20%20(2).pdf</w:t>
        </w:r>
      </w:hyperlink>
    </w:p>
  </w:footnote>
  <w:footnote w:id="79">
    <w:p w:rsidR="0030330A" w:rsidRPr="00E540A9" w:rsidRDefault="00000000">
      <w:pPr>
        <w:spacing w:line="240" w:lineRule="auto"/>
        <w:rPr>
          <w:color w:val="674EA7"/>
          <w:sz w:val="12"/>
          <w:szCs w:val="12"/>
        </w:rPr>
      </w:pPr>
      <w:r w:rsidRPr="00E540A9">
        <w:rPr>
          <w:sz w:val="12"/>
          <w:szCs w:val="12"/>
          <w:vertAlign w:val="superscript"/>
        </w:rPr>
        <w:footnoteRef/>
      </w:r>
      <w:hyperlink r:id="rId70">
        <w:r w:rsidR="0030330A" w:rsidRPr="00E540A9">
          <w:rPr>
            <w:color w:val="674EA7"/>
            <w:sz w:val="12"/>
            <w:szCs w:val="12"/>
            <w:u w:val="single"/>
          </w:rPr>
          <w:t>https://www.missingpeople.org.uk/for-professionals/policy-and-research/information-and-research/research-about-missing/experiences-of-black-missing-children-and-their-parents</w:t>
        </w:r>
      </w:hyperlink>
    </w:p>
  </w:footnote>
  <w:footnote w:id="80">
    <w:p w:rsidR="0030330A" w:rsidRPr="00E540A9" w:rsidRDefault="00000000">
      <w:pPr>
        <w:spacing w:line="240" w:lineRule="auto"/>
        <w:rPr>
          <w:color w:val="674EA7"/>
          <w:sz w:val="12"/>
          <w:szCs w:val="12"/>
        </w:rPr>
      </w:pPr>
      <w:r w:rsidRPr="00E540A9">
        <w:rPr>
          <w:sz w:val="12"/>
          <w:szCs w:val="12"/>
          <w:vertAlign w:val="superscript"/>
        </w:rPr>
        <w:footnoteRef/>
      </w:r>
      <w:hyperlink r:id="rId71">
        <w:r w:rsidR="0030330A" w:rsidRPr="00E540A9">
          <w:rPr>
            <w:color w:val="674EA7"/>
            <w:sz w:val="12"/>
            <w:szCs w:val="12"/>
            <w:u w:val="single"/>
          </w:rPr>
          <w:t>https://www.manhoodacademyglobal.com/blog/missing-black-children</w:t>
        </w:r>
      </w:hyperlink>
    </w:p>
  </w:footnote>
  <w:footnote w:id="81">
    <w:p w:rsidR="0030330A" w:rsidRPr="00E540A9" w:rsidRDefault="00000000">
      <w:pPr>
        <w:spacing w:line="240" w:lineRule="auto"/>
        <w:rPr>
          <w:sz w:val="12"/>
          <w:szCs w:val="12"/>
        </w:rPr>
      </w:pPr>
      <w:r w:rsidRPr="00E540A9">
        <w:rPr>
          <w:sz w:val="12"/>
          <w:szCs w:val="12"/>
          <w:vertAlign w:val="superscript"/>
        </w:rPr>
        <w:footnoteRef/>
      </w:r>
      <w:hyperlink r:id="rId72">
        <w:r w:rsidR="0030330A" w:rsidRPr="00E540A9">
          <w:rPr>
            <w:color w:val="674EA7"/>
            <w:sz w:val="12"/>
            <w:szCs w:val="12"/>
            <w:u w:val="single"/>
          </w:rPr>
          <w:t>https://www.gov.scot/binaries/content/documents/govscot/publications/progress-report/2023/06/anti-racism-scotland-progress-review-2023/documents/anti-racism-scotland-progress-review-2023-race-equality-framework-immediate-priorities-plan/anti-racism-scotland-progress-review-2023-race-equality-framework-immediate-priorities-plan/govscot%3Adocument/anti-racism-scotland-progress-review-2023-race-equality-framework-immediate-priorities-plan.pdf</w:t>
        </w:r>
      </w:hyperlink>
    </w:p>
  </w:footnote>
  <w:footnote w:id="82">
    <w:p w:rsidR="0030330A" w:rsidRPr="00E540A9" w:rsidRDefault="00000000">
      <w:pPr>
        <w:spacing w:line="240" w:lineRule="auto"/>
        <w:rPr>
          <w:color w:val="674EA7"/>
          <w:sz w:val="12"/>
          <w:szCs w:val="12"/>
        </w:rPr>
      </w:pPr>
      <w:r w:rsidRPr="00E540A9">
        <w:rPr>
          <w:sz w:val="12"/>
          <w:szCs w:val="12"/>
          <w:vertAlign w:val="superscript"/>
        </w:rPr>
        <w:footnoteRef/>
      </w:r>
      <w:hyperlink r:id="rId73">
        <w:r w:rsidR="0030330A" w:rsidRPr="00E540A9">
          <w:rPr>
            <w:color w:val="674EA7"/>
            <w:sz w:val="12"/>
            <w:szCs w:val="12"/>
            <w:u w:val="single"/>
          </w:rPr>
          <w:t>https://www.tes.com/magazine/archive/black-caribbean-fsm-boy-send-168-times-more-likely-be-permanently-excluded-white-british</w:t>
        </w:r>
      </w:hyperlink>
    </w:p>
  </w:footnote>
  <w:footnote w:id="83">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https://www.refworld.org/legal/general/cescr/1994/en/20796</w:t>
      </w:r>
    </w:p>
  </w:footnote>
  <w:footnote w:id="84">
    <w:p w:rsidR="0030330A" w:rsidRPr="00E540A9" w:rsidRDefault="00000000">
      <w:pPr>
        <w:spacing w:line="240" w:lineRule="auto"/>
        <w:rPr>
          <w:color w:val="674EA7"/>
          <w:sz w:val="12"/>
          <w:szCs w:val="12"/>
        </w:rPr>
      </w:pPr>
      <w:r w:rsidRPr="00E540A9">
        <w:rPr>
          <w:sz w:val="12"/>
          <w:szCs w:val="12"/>
          <w:vertAlign w:val="superscript"/>
        </w:rPr>
        <w:footnoteRef/>
      </w:r>
      <w:hyperlink r:id="rId74">
        <w:r w:rsidR="0030330A" w:rsidRPr="00E540A9">
          <w:rPr>
            <w:color w:val="674EA7"/>
            <w:sz w:val="12"/>
            <w:szCs w:val="12"/>
            <w:u w:val="single"/>
          </w:rPr>
          <w:t>https://fivexmore.org/blackmereport</w:t>
        </w:r>
      </w:hyperlink>
    </w:p>
  </w:footnote>
  <w:footnote w:id="85">
    <w:p w:rsidR="0030330A" w:rsidRPr="00E540A9" w:rsidRDefault="00000000">
      <w:pPr>
        <w:spacing w:line="240" w:lineRule="auto"/>
        <w:rPr>
          <w:color w:val="674EA7"/>
          <w:sz w:val="12"/>
          <w:szCs w:val="12"/>
        </w:rPr>
      </w:pPr>
      <w:r w:rsidRPr="00E540A9">
        <w:rPr>
          <w:sz w:val="12"/>
          <w:szCs w:val="12"/>
          <w:vertAlign w:val="superscript"/>
        </w:rPr>
        <w:footnoteRef/>
      </w:r>
      <w:hyperlink r:id="rId75">
        <w:r w:rsidR="0030330A" w:rsidRPr="00E540A9">
          <w:rPr>
            <w:color w:val="674EA7"/>
            <w:sz w:val="12"/>
            <w:szCs w:val="12"/>
            <w:u w:val="single"/>
          </w:rPr>
          <w:t>https://www.cqc.org.uk/publications/major-report/state-care/2023-2024/areas-of-concern/bmmh</w:t>
        </w:r>
      </w:hyperlink>
    </w:p>
  </w:footnote>
  <w:footnote w:id="86">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hyperlink r:id="rId76">
        <w:r w:rsidR="0030330A" w:rsidRPr="00E540A9">
          <w:rPr>
            <w:color w:val="674EA7"/>
            <w:sz w:val="12"/>
            <w:szCs w:val="12"/>
            <w:u w:val="single"/>
          </w:rPr>
          <w:t>https://www.england.nhs.uk/mental-health/advancing-mental-health-equalities/pcref/</w:t>
        </w:r>
      </w:hyperlink>
    </w:p>
  </w:footnote>
  <w:footnote w:id="87">
    <w:p w:rsidR="0030330A" w:rsidRPr="00E540A9" w:rsidRDefault="00000000">
      <w:pPr>
        <w:spacing w:line="240" w:lineRule="auto"/>
        <w:rPr>
          <w:sz w:val="12"/>
          <w:szCs w:val="12"/>
        </w:rPr>
      </w:pPr>
      <w:r w:rsidRPr="00E540A9">
        <w:rPr>
          <w:sz w:val="12"/>
          <w:szCs w:val="12"/>
          <w:vertAlign w:val="superscript"/>
        </w:rPr>
        <w:footnoteRef/>
      </w:r>
      <w:r w:rsidRPr="00E540A9">
        <w:rPr>
          <w:color w:val="674EA7"/>
          <w:sz w:val="12"/>
          <w:szCs w:val="12"/>
        </w:rPr>
        <w:t xml:space="preserve"> </w:t>
      </w:r>
      <w:hyperlink r:id="rId77">
        <w:r w:rsidR="0030330A" w:rsidRPr="00E540A9">
          <w:rPr>
            <w:color w:val="674EA7"/>
            <w:sz w:val="12"/>
            <w:szCs w:val="12"/>
            <w:u w:val="single"/>
          </w:rPr>
          <w:t>https://www.rota.org.uk/2014/09/01/community-treatment-orders</w:t>
        </w:r>
      </w:hyperlink>
    </w:p>
  </w:footnote>
  <w:footnote w:id="88">
    <w:p w:rsidR="0030330A" w:rsidRPr="00E540A9" w:rsidRDefault="00000000">
      <w:pPr>
        <w:spacing w:line="240" w:lineRule="auto"/>
        <w:rPr>
          <w:sz w:val="12"/>
          <w:szCs w:val="12"/>
        </w:rPr>
      </w:pPr>
      <w:r w:rsidRPr="00E540A9">
        <w:rPr>
          <w:sz w:val="12"/>
          <w:szCs w:val="12"/>
          <w:vertAlign w:val="superscript"/>
        </w:rPr>
        <w:footnoteRef/>
      </w:r>
      <w:hyperlink r:id="rId78">
        <w:r w:rsidR="0030330A" w:rsidRPr="00E540A9">
          <w:rPr>
            <w:color w:val="674EA7"/>
            <w:sz w:val="12"/>
            <w:szCs w:val="12"/>
            <w:u w:val="single"/>
          </w:rPr>
          <w:t>https://www.inquest.org.uk/Handlers/Download.ashx?IDMF=edfc7c01-e7bb-4a17-9c33-8628905460e6</w:t>
        </w:r>
      </w:hyperlink>
    </w:p>
  </w:footnote>
  <w:footnote w:id="89">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hyperlink r:id="rId79">
        <w:r w:rsidR="0030330A" w:rsidRPr="00E540A9">
          <w:rPr>
            <w:color w:val="674EA7"/>
            <w:sz w:val="12"/>
            <w:szCs w:val="12"/>
            <w:u w:val="single"/>
          </w:rPr>
          <w:t>https://mikeypowell-campaign.org.uk/2018/07/06/mental-health-triage-scheme-recognised-internationally/</w:t>
        </w:r>
      </w:hyperlink>
    </w:p>
  </w:footnote>
  <w:footnote w:id="90">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hyperlink r:id="rId80">
        <w:r w:rsidR="0030330A" w:rsidRPr="00E540A9">
          <w:rPr>
            <w:color w:val="674EA7"/>
            <w:sz w:val="12"/>
            <w:szCs w:val="12"/>
            <w:u w:val="single"/>
          </w:rPr>
          <w:t>https://fivexmore.org/blackmereport</w:t>
        </w:r>
      </w:hyperlink>
    </w:p>
  </w:footnote>
  <w:footnote w:id="91">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hyperlink r:id="rId81">
        <w:r w:rsidR="0030330A" w:rsidRPr="00E540A9">
          <w:rPr>
            <w:color w:val="674EA7"/>
            <w:sz w:val="12"/>
            <w:szCs w:val="12"/>
            <w:u w:val="single"/>
          </w:rPr>
          <w:t>https://api.parliament.uk/historic-hansard/lords/1982/oct/26/the-scarman-report-brixton-disorders</w:t>
        </w:r>
      </w:hyperlink>
    </w:p>
  </w:footnote>
  <w:footnote w:id="92">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hyperlink r:id="rId82">
        <w:r w:rsidR="0030330A" w:rsidRPr="00E540A9">
          <w:rPr>
            <w:color w:val="674EA7"/>
            <w:sz w:val="12"/>
            <w:szCs w:val="12"/>
            <w:u w:val="single"/>
          </w:rPr>
          <w:t>https://www.refworld.org/legal/general/cescr/1995/en/27839</w:t>
        </w:r>
      </w:hyperlink>
    </w:p>
  </w:footnote>
  <w:footnote w:id="93">
    <w:p w:rsidR="0030330A" w:rsidRPr="00E540A9" w:rsidRDefault="00000000">
      <w:pPr>
        <w:spacing w:line="240" w:lineRule="auto"/>
        <w:rPr>
          <w:color w:val="674EA7"/>
          <w:sz w:val="12"/>
          <w:szCs w:val="12"/>
        </w:rPr>
      </w:pPr>
      <w:r w:rsidRPr="00E540A9">
        <w:rPr>
          <w:sz w:val="12"/>
          <w:szCs w:val="12"/>
          <w:vertAlign w:val="superscript"/>
        </w:rPr>
        <w:footnoteRef/>
      </w:r>
      <w:r w:rsidRPr="00E540A9">
        <w:rPr>
          <w:color w:val="674EA7"/>
          <w:sz w:val="12"/>
          <w:szCs w:val="12"/>
        </w:rPr>
        <w:t xml:space="preserve"> </w:t>
      </w:r>
      <w:hyperlink r:id="rId83">
        <w:r w:rsidR="0030330A" w:rsidRPr="00E540A9">
          <w:rPr>
            <w:color w:val="674EA7"/>
            <w:sz w:val="12"/>
            <w:szCs w:val="12"/>
            <w:u w:val="single"/>
          </w:rPr>
          <w:t>https://www.un.org/en/observances/decade-people-african-descent</w:t>
        </w:r>
      </w:hyperlink>
    </w:p>
  </w:footnote>
  <w:footnote w:id="94">
    <w:p w:rsidR="0030330A" w:rsidRPr="00E540A9" w:rsidRDefault="00000000">
      <w:pPr>
        <w:spacing w:line="240" w:lineRule="auto"/>
        <w:rPr>
          <w:color w:val="674EA7"/>
          <w:sz w:val="12"/>
          <w:szCs w:val="12"/>
        </w:rPr>
      </w:pPr>
      <w:r w:rsidRPr="00E540A9">
        <w:rPr>
          <w:sz w:val="12"/>
          <w:szCs w:val="12"/>
          <w:vertAlign w:val="superscript"/>
        </w:rPr>
        <w:footnoteRef/>
      </w:r>
      <w:hyperlink r:id="rId84">
        <w:r w:rsidR="0030330A" w:rsidRPr="00E540A9">
          <w:rPr>
            <w:color w:val="674EA7"/>
            <w:sz w:val="12"/>
            <w:szCs w:val="12"/>
            <w:u w:val="single"/>
          </w:rPr>
          <w:t>https://www.bbc.co.uk/news/articles/ckg55we5n3xo</w:t>
        </w:r>
      </w:hyperlink>
    </w:p>
  </w:footnote>
  <w:footnote w:id="95">
    <w:p w:rsidR="0030330A" w:rsidRPr="00E540A9" w:rsidRDefault="00000000">
      <w:pPr>
        <w:spacing w:line="240" w:lineRule="auto"/>
        <w:rPr>
          <w:color w:val="674EA7"/>
          <w:sz w:val="12"/>
          <w:szCs w:val="12"/>
        </w:rPr>
      </w:pPr>
      <w:r w:rsidRPr="00E540A9">
        <w:rPr>
          <w:sz w:val="12"/>
          <w:szCs w:val="12"/>
          <w:vertAlign w:val="superscript"/>
        </w:rPr>
        <w:footnoteRef/>
      </w:r>
      <w:hyperlink r:id="rId85">
        <w:r w:rsidR="0030330A" w:rsidRPr="00E540A9">
          <w:rPr>
            <w:color w:val="674EA7"/>
            <w:sz w:val="12"/>
            <w:szCs w:val="12"/>
            <w:u w:val="single"/>
          </w:rPr>
          <w:t>https://assets.publishing.service.gov.uk/government/uploads/system/uploads/attachment_data/file/655401/Report_of_Angiolini_Review_ISBN_Accessible.pdf</w:t>
        </w:r>
      </w:hyperlink>
    </w:p>
  </w:footnote>
  <w:footnote w:id="96">
    <w:p w:rsidR="0030330A" w:rsidRPr="00E540A9" w:rsidRDefault="00000000">
      <w:pPr>
        <w:spacing w:line="240" w:lineRule="auto"/>
        <w:rPr>
          <w:sz w:val="12"/>
          <w:szCs w:val="12"/>
        </w:rPr>
      </w:pPr>
      <w:r w:rsidRPr="00E540A9">
        <w:rPr>
          <w:sz w:val="12"/>
          <w:szCs w:val="12"/>
          <w:vertAlign w:val="superscript"/>
        </w:rPr>
        <w:footnoteRef/>
      </w:r>
      <w:hyperlink r:id="rId86">
        <w:r w:rsidR="0030330A" w:rsidRPr="00E540A9">
          <w:rPr>
            <w:color w:val="674EA7"/>
            <w:sz w:val="12"/>
            <w:szCs w:val="12"/>
            <w:u w:val="single"/>
          </w:rPr>
          <w:t>https://assets.publishing.service.gov.uk/government/uploads/system/uploads/attachment_data/file/655401/Report_of_Angiolini_Review_ISBN_Accessible.pdf</w:t>
        </w:r>
      </w:hyperlink>
    </w:p>
  </w:footnote>
  <w:footnote w:id="97">
    <w:p w:rsidR="0030330A" w:rsidRPr="00E540A9" w:rsidRDefault="00000000">
      <w:pPr>
        <w:spacing w:line="240" w:lineRule="auto"/>
        <w:rPr>
          <w:color w:val="674EA7"/>
          <w:sz w:val="12"/>
          <w:szCs w:val="12"/>
        </w:rPr>
      </w:pPr>
      <w:r w:rsidRPr="00E540A9">
        <w:rPr>
          <w:sz w:val="12"/>
          <w:szCs w:val="12"/>
          <w:vertAlign w:val="superscript"/>
        </w:rPr>
        <w:footnoteRef/>
      </w:r>
      <w:hyperlink r:id="rId87">
        <w:r w:rsidR="0030330A" w:rsidRPr="00E540A9">
          <w:rPr>
            <w:color w:val="674EA7"/>
            <w:sz w:val="12"/>
            <w:szCs w:val="12"/>
            <w:u w:val="single"/>
          </w:rPr>
          <w:t>https://assets.publishing.service.gov.uk/media/66f42ae630536cb92748271f/Lord-Darzi-Independent-Investigation-of-the-National-Health-Service-in-England-Updated-25-September.pdf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0330A" w:rsidRDefault="0030330A">
    <w:pPr>
      <w:spacing w:before="120" w:after="120" w:line="240" w:lineRule="auto"/>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0330A" w:rsidRDefault="00000000">
    <w:r>
      <w:rPr>
        <w:noProof/>
      </w:rPr>
      <mc:AlternateContent>
        <mc:Choice Requires="wpg">
          <w:drawing>
            <wp:anchor distT="114300" distB="114300" distL="114300" distR="114300" simplePos="0" relativeHeight="251658240" behindDoc="1" locked="0" layoutInCell="1" hidden="0" allowOverlap="1">
              <wp:simplePos x="0" y="0"/>
              <wp:positionH relativeFrom="page">
                <wp:posOffset>0</wp:posOffset>
              </wp:positionH>
              <wp:positionV relativeFrom="page">
                <wp:posOffset>-11575</wp:posOffset>
              </wp:positionV>
              <wp:extent cx="7608997" cy="3014671"/>
              <wp:effectExtent l="0" t="0" r="11430" b="8255"/>
              <wp:wrapNone/>
              <wp:docPr id="1" name="Group 1"/>
              <wp:cNvGraphicFramePr/>
              <a:graphic xmlns:a="http://schemas.openxmlformats.org/drawingml/2006/main">
                <a:graphicData uri="http://schemas.microsoft.com/office/word/2010/wordprocessingGroup">
                  <wpg:wgp>
                    <wpg:cNvGrpSpPr/>
                    <wpg:grpSpPr>
                      <a:xfrm>
                        <a:off x="0" y="0"/>
                        <a:ext cx="7608997" cy="3014671"/>
                        <a:chOff x="-30450" y="0"/>
                        <a:chExt cx="7650600" cy="3027900"/>
                      </a:xfrm>
                    </wpg:grpSpPr>
                    <wps:wsp>
                      <wps:cNvPr id="764938556" name="Rectangle 764938556"/>
                      <wps:cNvSpPr/>
                      <wps:spPr>
                        <a:xfrm>
                          <a:off x="-30450" y="0"/>
                          <a:ext cx="7650600" cy="3027900"/>
                        </a:xfrm>
                        <a:prstGeom prst="rect">
                          <a:avLst/>
                        </a:prstGeom>
                        <a:solidFill>
                          <a:srgbClr val="674EA7"/>
                        </a:solidFill>
                        <a:ln w="9525" cap="flat" cmpd="sng">
                          <a:solidFill>
                            <a:srgbClr val="000000"/>
                          </a:solidFill>
                          <a:prstDash val="solid"/>
                          <a:round/>
                          <a:headEnd type="none" w="sm" len="sm"/>
                          <a:tailEnd type="none" w="sm" len="sm"/>
                        </a:ln>
                      </wps:spPr>
                      <wps:txbx>
                        <w:txbxContent>
                          <w:p w:rsidR="0030330A" w:rsidRDefault="0030330A">
                            <w:pPr>
                              <w:spacing w:line="240" w:lineRule="auto"/>
                              <w:jc w:val="center"/>
                              <w:textDirection w:val="btLr"/>
                            </w:pPr>
                          </w:p>
                        </w:txbxContent>
                      </wps:txbx>
                      <wps:bodyPr spcFirstLastPara="1" wrap="square" lIns="91425" tIns="91425" rIns="91425" bIns="91425" anchor="ctr" anchorCtr="0">
                        <a:noAutofit/>
                      </wps:bodyPr>
                    </wps:wsp>
                    <wps:wsp>
                      <wps:cNvPr id="796285930" name="Text Box 796285930"/>
                      <wps:cNvSpPr txBox="1"/>
                      <wps:spPr>
                        <a:xfrm>
                          <a:off x="172450" y="624625"/>
                          <a:ext cx="2849100" cy="1058700"/>
                        </a:xfrm>
                        <a:prstGeom prst="rect">
                          <a:avLst/>
                        </a:prstGeom>
                        <a:noFill/>
                        <a:ln>
                          <a:noFill/>
                        </a:ln>
                      </wps:spPr>
                      <wps:txbx>
                        <w:txbxContent>
                          <w:p w:rsidR="0030330A" w:rsidRDefault="00000000">
                            <w:pPr>
                              <w:spacing w:line="240" w:lineRule="auto"/>
                              <w:textDirection w:val="btLr"/>
                            </w:pPr>
                            <w:r>
                              <w:rPr>
                                <w:b/>
                                <w:i/>
                                <w:color w:val="FFFFFF"/>
                                <w:sz w:val="28"/>
                              </w:rPr>
                              <w:t xml:space="preserve">Shadow Report </w:t>
                            </w:r>
                          </w:p>
                          <w:p w:rsidR="0030330A" w:rsidRDefault="00000000">
                            <w:pPr>
                              <w:spacing w:line="240" w:lineRule="auto"/>
                              <w:textDirection w:val="btLr"/>
                            </w:pPr>
                            <w:r>
                              <w:rPr>
                                <w:b/>
                                <w:i/>
                                <w:color w:val="FFFFFF"/>
                                <w:sz w:val="28"/>
                              </w:rPr>
                              <w:t xml:space="preserve">to the UN Committee </w:t>
                            </w:r>
                          </w:p>
                          <w:p w:rsidR="0030330A" w:rsidRDefault="00000000">
                            <w:pPr>
                              <w:spacing w:line="240" w:lineRule="auto"/>
                              <w:textDirection w:val="btLr"/>
                            </w:pPr>
                            <w:r>
                              <w:rPr>
                                <w:b/>
                                <w:i/>
                                <w:color w:val="FFFFFF"/>
                                <w:sz w:val="28"/>
                              </w:rPr>
                              <w:t xml:space="preserve">on Economic, Social </w:t>
                            </w:r>
                          </w:p>
                          <w:p w:rsidR="0030330A" w:rsidRDefault="00000000">
                            <w:pPr>
                              <w:spacing w:line="240" w:lineRule="auto"/>
                              <w:textDirection w:val="btLr"/>
                            </w:pPr>
                            <w:r>
                              <w:rPr>
                                <w:b/>
                                <w:i/>
                                <w:color w:val="FFFFFF"/>
                                <w:sz w:val="28"/>
                              </w:rPr>
                              <w:t>&amp; Cultural Rights</w:t>
                            </w:r>
                          </w:p>
                          <w:p w:rsidR="0030330A" w:rsidRDefault="0030330A">
                            <w:pPr>
                              <w:spacing w:line="240" w:lineRule="auto"/>
                              <w:textDirection w:val="btLr"/>
                            </w:pPr>
                          </w:p>
                        </w:txbxContent>
                      </wps:txbx>
                      <wps:bodyPr spcFirstLastPara="1" wrap="square" lIns="91425" tIns="91425" rIns="91425" bIns="91425" anchor="t" anchorCtr="0">
                        <a:noAutofit/>
                      </wps:bodyPr>
                    </wps:wsp>
                    <wps:wsp>
                      <wps:cNvPr id="2041250187" name="Text Box 2041250187"/>
                      <wps:cNvSpPr txBox="1"/>
                      <wps:spPr>
                        <a:xfrm>
                          <a:off x="4491419" y="1559475"/>
                          <a:ext cx="3127844" cy="345012"/>
                        </a:xfrm>
                        <a:prstGeom prst="rect">
                          <a:avLst/>
                        </a:prstGeom>
                        <a:noFill/>
                        <a:ln>
                          <a:noFill/>
                        </a:ln>
                      </wps:spPr>
                      <wps:txbx>
                        <w:txbxContent>
                          <w:p w:rsidR="0030330A" w:rsidRDefault="0030330A">
                            <w:pPr>
                              <w:spacing w:line="240" w:lineRule="auto"/>
                              <w:textDirection w:val="btLr"/>
                            </w:pPr>
                          </w:p>
                        </w:txbxContent>
                      </wps:txbx>
                      <wps:bodyPr spcFirstLastPara="1" wrap="square" lIns="91425" tIns="91425" rIns="91425" bIns="91425" anchor="t" anchorCtr="0">
                        <a:spAutoFit/>
                      </wps:bodyPr>
                    </wps:wsp>
                    <wps:wsp>
                      <wps:cNvPr id="1228501465" name="Text Box 1228501465"/>
                      <wps:cNvSpPr txBox="1"/>
                      <wps:spPr>
                        <a:xfrm>
                          <a:off x="5497653" y="148592"/>
                          <a:ext cx="1901100" cy="1240651"/>
                        </a:xfrm>
                        <a:prstGeom prst="rect">
                          <a:avLst/>
                        </a:prstGeom>
                        <a:noFill/>
                        <a:ln>
                          <a:noFill/>
                        </a:ln>
                      </wps:spPr>
                      <wps:txbx>
                        <w:txbxContent>
                          <w:p w:rsidR="0030330A" w:rsidRDefault="00000000">
                            <w:pPr>
                              <w:spacing w:line="240" w:lineRule="auto"/>
                              <w:jc w:val="right"/>
                              <w:textDirection w:val="btLr"/>
                            </w:pPr>
                            <w:r>
                              <w:rPr>
                                <w:b/>
                                <w:color w:val="FFFFFF"/>
                                <w:sz w:val="32"/>
                              </w:rPr>
                              <w:t xml:space="preserve">BUILDING TRUST </w:t>
                            </w:r>
                          </w:p>
                          <w:p w:rsidR="0030330A" w:rsidRDefault="00000000">
                            <w:pPr>
                              <w:spacing w:line="240" w:lineRule="auto"/>
                              <w:jc w:val="right"/>
                              <w:textDirection w:val="btLr"/>
                            </w:pPr>
                            <w:r>
                              <w:rPr>
                                <w:b/>
                                <w:color w:val="FFFFFF"/>
                                <w:sz w:val="32"/>
                              </w:rPr>
                              <w:t>CONSORTIUM</w:t>
                            </w:r>
                          </w:p>
                        </w:txbxContent>
                      </wps:txbx>
                      <wps:bodyPr spcFirstLastPara="1" wrap="square" lIns="91425" tIns="91425" rIns="91425" bIns="91425" anchor="t" anchorCtr="0">
                        <a:noAutofit/>
                      </wps:bodyPr>
                    </wps:wsp>
                    <wps:wsp>
                      <wps:cNvPr id="1012371896" name="Text Box 1012371896"/>
                      <wps:cNvSpPr txBox="1"/>
                      <wps:spPr>
                        <a:xfrm>
                          <a:off x="172450" y="2290925"/>
                          <a:ext cx="5894700" cy="650100"/>
                        </a:xfrm>
                        <a:prstGeom prst="rect">
                          <a:avLst/>
                        </a:prstGeom>
                        <a:noFill/>
                        <a:ln>
                          <a:noFill/>
                        </a:ln>
                      </wps:spPr>
                      <wps:txbx>
                        <w:txbxContent>
                          <w:p w:rsidR="0030330A" w:rsidRDefault="00000000">
                            <w:pPr>
                              <w:spacing w:line="240" w:lineRule="auto"/>
                              <w:textDirection w:val="btLr"/>
                            </w:pPr>
                            <w:r>
                              <w:rPr>
                                <w:color w:val="FFFFFF"/>
                                <w:sz w:val="16"/>
                              </w:rPr>
                              <w:t xml:space="preserve">Submitted on behalf of </w:t>
                            </w:r>
                          </w:p>
                          <w:p w:rsidR="0030330A" w:rsidRDefault="00000000">
                            <w:pPr>
                              <w:spacing w:line="240" w:lineRule="auto"/>
                              <w:textDirection w:val="btLr"/>
                            </w:pPr>
                            <w:r>
                              <w:rPr>
                                <w:b/>
                                <w:color w:val="FFFFFF"/>
                                <w:sz w:val="16"/>
                              </w:rPr>
                              <w:t xml:space="preserve">African Heritage </w:t>
                            </w:r>
                            <w:r>
                              <w:rPr>
                                <w:color w:val="FFFFFF"/>
                                <w:sz w:val="16"/>
                              </w:rPr>
                              <w:t xml:space="preserve">Civil Society </w:t>
                            </w:r>
                          </w:p>
                          <w:p w:rsidR="0030330A" w:rsidRDefault="00000000">
                            <w:pPr>
                              <w:spacing w:line="240" w:lineRule="auto"/>
                              <w:textDirection w:val="btLr"/>
                            </w:pPr>
                            <w:r>
                              <w:rPr>
                                <w:color w:val="FFFFFF"/>
                                <w:sz w:val="16"/>
                              </w:rPr>
                              <w:t>Organisations and Advocates in the UK</w:t>
                            </w:r>
                          </w:p>
                        </w:txbxContent>
                      </wps:txbx>
                      <wps:bodyPr spcFirstLastPara="1" wrap="square" lIns="91425" tIns="91425" rIns="91425" bIns="91425" anchor="t" anchorCtr="0">
                        <a:noAutofit/>
                      </wps:bodyPr>
                    </wps:wsp>
                    <wps:wsp>
                      <wps:cNvPr id="1579008974" name="Text Box 1579008974"/>
                      <wps:cNvSpPr txBox="1"/>
                      <wps:spPr>
                        <a:xfrm>
                          <a:off x="157450" y="1621400"/>
                          <a:ext cx="2879100" cy="436500"/>
                        </a:xfrm>
                        <a:prstGeom prst="rect">
                          <a:avLst/>
                        </a:prstGeom>
                        <a:noFill/>
                        <a:ln>
                          <a:noFill/>
                        </a:ln>
                      </wps:spPr>
                      <wps:txbx>
                        <w:txbxContent>
                          <w:p w:rsidR="0030330A" w:rsidRDefault="00000000">
                            <w:pPr>
                              <w:spacing w:line="240" w:lineRule="auto"/>
                              <w:textDirection w:val="btLr"/>
                            </w:pPr>
                            <w:r>
                              <w:rPr>
                                <w:b/>
                                <w:i/>
                                <w:color w:val="FFFFFF"/>
                                <w:sz w:val="18"/>
                              </w:rPr>
                              <w:t>CESCR 7th Review of the United Kingdom</w:t>
                            </w:r>
                          </w:p>
                          <w:p w:rsidR="0030330A" w:rsidRDefault="0030330A">
                            <w:pPr>
                              <w:spacing w:line="240" w:lineRule="auto"/>
                              <w:textDirection w:val="btLr"/>
                            </w:pPr>
                          </w:p>
                        </w:txbxContent>
                      </wps:txbx>
                      <wps:bodyPr spcFirstLastPara="1" wrap="square" lIns="91425" tIns="91425" rIns="91425" bIns="91425" anchor="t" anchorCtr="0">
                        <a:noAutofit/>
                      </wps:bodyPr>
                    </wps:wsp>
                  </wpg:wgp>
                </a:graphicData>
              </a:graphic>
            </wp:anchor>
          </w:drawing>
        </mc:Choice>
        <mc:Fallback>
          <w:pict>
            <v:group id="Group 1" o:spid="_x0000_s1026" style="position:absolute;margin-left:0;margin-top:-.9pt;width:599.15pt;height:237.4pt;z-index:-251658240;mso-wrap-distance-top:9pt;mso-wrap-distance-bottom:9pt;mso-position-horizontal-relative:page;mso-position-vertical-relative:page" coordorigin="-304" coordsize="76506,302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">
              <v:rect id="Rectangle 764938556" o:spid="_x0000_s1027" style="position:absolute;left:-304;width:76505;height:3027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" fillcolor="#674ea7">
                <v:stroke startarrowwidth="narrow" startarrowlength="short" endarrowwidth="narrow" endarrowlength="short" joinstyle="round"/>
                <v:textbox inset="2.53958mm,2.53958mm,2.53958mm,2.53958mm">
                  <w:txbxContent>
                    <w:p w:rsidR="0030330A" w:rsidRDefault="0030330A">
                      <w:pPr>
                        <w:spacing w:line="240" w:lineRule="auto"/>
                        <w:jc w:val="center"/>
                        <w:textDirection w:val="btLr"/>
                      </w:pPr>
                    </w:p>
                  </w:txbxContent>
                </v:textbox>
              </v:rect>
              <v:shapetype id="_x0000_t202" coordsize="21600,21600" o:spt="202" path="m,l,21600r21600,l21600,xe">
                <v:stroke joinstyle="miter"/>
                <v:path gradientshapeok="t" o:connecttype="rect"/>
              </v:shapetype>
              <v:shape id="Text Box 796285930" o:spid="_x0000_s1028" type="#_x0000_t202" style="position:absolute;left:1724;top:6246;width:28491;height:105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" filled="f" stroked="f">
                <v:textbox inset="2.53958mm,2.53958mm,2.53958mm,2.53958mm">
                  <w:txbxContent>
                    <w:p w:rsidR="0030330A" w:rsidRDefault="00000000">
                      <w:pPr>
                        <w:spacing w:line="240" w:lineRule="auto"/>
                        <w:textDirection w:val="btLr"/>
                      </w:pPr>
                      <w:r>
                        <w:rPr>
                          <w:b/>
                          <w:i/>
                          <w:color w:val="FFFFFF"/>
                          <w:sz w:val="28"/>
                        </w:rPr>
                        <w:t xml:space="preserve">Shadow Report </w:t>
                      </w:r>
                    </w:p>
                    <w:p w:rsidR="0030330A" w:rsidRDefault="00000000">
                      <w:pPr>
                        <w:spacing w:line="240" w:lineRule="auto"/>
                        <w:textDirection w:val="btLr"/>
                      </w:pPr>
                      <w:r>
                        <w:rPr>
                          <w:b/>
                          <w:i/>
                          <w:color w:val="FFFFFF"/>
                          <w:sz w:val="28"/>
                        </w:rPr>
                        <w:t xml:space="preserve">to the UN Committee </w:t>
                      </w:r>
                    </w:p>
                    <w:p w:rsidR="0030330A" w:rsidRDefault="00000000">
                      <w:pPr>
                        <w:spacing w:line="240" w:lineRule="auto"/>
                        <w:textDirection w:val="btLr"/>
                      </w:pPr>
                      <w:r>
                        <w:rPr>
                          <w:b/>
                          <w:i/>
                          <w:color w:val="FFFFFF"/>
                          <w:sz w:val="28"/>
                        </w:rPr>
                        <w:t xml:space="preserve">on Economic, Social </w:t>
                      </w:r>
                    </w:p>
                    <w:p w:rsidR="0030330A" w:rsidRDefault="00000000">
                      <w:pPr>
                        <w:spacing w:line="240" w:lineRule="auto"/>
                        <w:textDirection w:val="btLr"/>
                      </w:pPr>
                      <w:r>
                        <w:rPr>
                          <w:b/>
                          <w:i/>
                          <w:color w:val="FFFFFF"/>
                          <w:sz w:val="28"/>
                        </w:rPr>
                        <w:t>&amp; Cultural Rights</w:t>
                      </w:r>
                    </w:p>
                    <w:p w:rsidR="0030330A" w:rsidRDefault="0030330A">
                      <w:pPr>
                        <w:spacing w:line="240" w:lineRule="auto"/>
                        <w:textDirection w:val="btLr"/>
                      </w:pPr>
                    </w:p>
                  </w:txbxContent>
                </v:textbox>
              </v:shape>
              <v:shape id="Text Box 2041250187" o:spid="_x0000_s1029" type="#_x0000_t202" style="position:absolute;left:44914;top:15594;width:31278;height:34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" filled="f" stroked="f">
                <v:textbox style="mso-fit-shape-to-text:t" inset="2.53958mm,2.53958mm,2.53958mm,2.53958mm">
                  <w:txbxContent>
                    <w:p w:rsidR="0030330A" w:rsidRDefault="0030330A">
                      <w:pPr>
                        <w:spacing w:line="240" w:lineRule="auto"/>
                        <w:textDirection w:val="btLr"/>
                      </w:pPr>
                    </w:p>
                  </w:txbxContent>
                </v:textbox>
              </v:shape>
              <v:shape id="Text Box 1228501465" o:spid="_x0000_s1030" type="#_x0000_t202" style="position:absolute;left:54976;top:1485;width:19011;height:1240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" filled="f" stroked="f">
                <v:textbox inset="2.53958mm,2.53958mm,2.53958mm,2.53958mm">
                  <w:txbxContent>
                    <w:p w:rsidR="0030330A" w:rsidRDefault="00000000">
                      <w:pPr>
                        <w:spacing w:line="240" w:lineRule="auto"/>
                        <w:jc w:val="right"/>
                        <w:textDirection w:val="btLr"/>
                      </w:pPr>
                      <w:r>
                        <w:rPr>
                          <w:b/>
                          <w:color w:val="FFFFFF"/>
                          <w:sz w:val="32"/>
                        </w:rPr>
                        <w:t xml:space="preserve">BUILDING TRUST </w:t>
                      </w:r>
                    </w:p>
                    <w:p w:rsidR="0030330A" w:rsidRDefault="00000000">
                      <w:pPr>
                        <w:spacing w:line="240" w:lineRule="auto"/>
                        <w:jc w:val="right"/>
                        <w:textDirection w:val="btLr"/>
                      </w:pPr>
                      <w:r>
                        <w:rPr>
                          <w:b/>
                          <w:color w:val="FFFFFF"/>
                          <w:sz w:val="32"/>
                        </w:rPr>
                        <w:t>CONSORTIUM</w:t>
                      </w:r>
                    </w:p>
                  </w:txbxContent>
                </v:textbox>
              </v:shape>
              <v:shape id="Text Box 1012371896" o:spid="_x0000_s1031" type="#_x0000_t202" style="position:absolute;left:1724;top:22909;width:58947;height:65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" filled="f" stroked="f">
                <v:textbox inset="2.53958mm,2.53958mm,2.53958mm,2.53958mm">
                  <w:txbxContent>
                    <w:p w:rsidR="0030330A" w:rsidRDefault="00000000">
                      <w:pPr>
                        <w:spacing w:line="240" w:lineRule="auto"/>
                        <w:textDirection w:val="btLr"/>
                      </w:pPr>
                      <w:r>
                        <w:rPr>
                          <w:color w:val="FFFFFF"/>
                          <w:sz w:val="16"/>
                        </w:rPr>
                        <w:t xml:space="preserve">Submitted on behalf of </w:t>
                      </w:r>
                    </w:p>
                    <w:p w:rsidR="0030330A" w:rsidRDefault="00000000">
                      <w:pPr>
                        <w:spacing w:line="240" w:lineRule="auto"/>
                        <w:textDirection w:val="btLr"/>
                      </w:pPr>
                      <w:r>
                        <w:rPr>
                          <w:b/>
                          <w:color w:val="FFFFFF"/>
                          <w:sz w:val="16"/>
                        </w:rPr>
                        <w:t xml:space="preserve">African Heritage </w:t>
                      </w:r>
                      <w:r>
                        <w:rPr>
                          <w:color w:val="FFFFFF"/>
                          <w:sz w:val="16"/>
                        </w:rPr>
                        <w:t xml:space="preserve">Civil Society </w:t>
                      </w:r>
                    </w:p>
                    <w:p w:rsidR="0030330A" w:rsidRDefault="00000000">
                      <w:pPr>
                        <w:spacing w:line="240" w:lineRule="auto"/>
                        <w:textDirection w:val="btLr"/>
                      </w:pPr>
                      <w:r>
                        <w:rPr>
                          <w:color w:val="FFFFFF"/>
                          <w:sz w:val="16"/>
                        </w:rPr>
                        <w:t>Organisations and Advocates in the UK</w:t>
                      </w:r>
                    </w:p>
                  </w:txbxContent>
                </v:textbox>
              </v:shape>
              <v:shape id="Text Box 1579008974" o:spid="_x0000_s1032" type="#_x0000_t202" style="position:absolute;left:1574;top:16214;width:28791;height:43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" filled="f" stroked="f">
                <v:textbox inset="2.53958mm,2.53958mm,2.53958mm,2.53958mm">
                  <w:txbxContent>
                    <w:p w:rsidR="0030330A" w:rsidRDefault="00000000">
                      <w:pPr>
                        <w:spacing w:line="240" w:lineRule="auto"/>
                        <w:textDirection w:val="btLr"/>
                      </w:pPr>
                      <w:r>
                        <w:rPr>
                          <w:b/>
                          <w:i/>
                          <w:color w:val="FFFFFF"/>
                          <w:sz w:val="18"/>
                        </w:rPr>
                        <w:t>CESCR 7th Review of the United Kingdom</w:t>
                      </w:r>
                    </w:p>
                    <w:p w:rsidR="0030330A" w:rsidRDefault="0030330A">
                      <w:pPr>
                        <w:spacing w:line="240" w:lineRule="auto"/>
                        <w:textDirection w:val="btLr"/>
                      </w:pP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87307"/>
    <w:multiLevelType w:val="multilevel"/>
    <w:tmpl w:val="27C4F2AE"/>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CE27EB"/>
    <w:multiLevelType w:val="multilevel"/>
    <w:tmpl w:val="5E961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815CBE"/>
    <w:multiLevelType w:val="multilevel"/>
    <w:tmpl w:val="3F4A44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1440649"/>
    <w:multiLevelType w:val="multilevel"/>
    <w:tmpl w:val="B12213CC"/>
    <w:lvl w:ilvl="0">
      <w:start w:val="1"/>
      <w:numFmt w:val="decimal"/>
      <w:lvlText w:val="%1."/>
      <w:lvlJc w:val="left"/>
      <w:pPr>
        <w:ind w:left="720" w:hanging="360"/>
      </w:pPr>
      <w:rPr>
        <w:rFonts w:ascii="Arial" w:eastAsia="Arial" w:hAnsi="Arial" w:cs="Arial"/>
        <w:b/>
        <w:color w:val="674EA7"/>
        <w:sz w:val="24"/>
        <w:szCs w:val="24"/>
        <w:u w:val="none"/>
      </w:rPr>
    </w:lvl>
    <w:lvl w:ilvl="1">
      <w:start w:val="1"/>
      <w:numFmt w:val="lowerLetter"/>
      <w:lvlText w:val="%2."/>
      <w:lvlJc w:val="left"/>
      <w:pPr>
        <w:ind w:left="1440" w:hanging="360"/>
      </w:pPr>
      <w:rPr>
        <w:rFonts w:ascii="Arial" w:eastAsia="Arial" w:hAnsi="Arial" w:cs="Arial"/>
        <w:b/>
        <w:color w:val="674EA7"/>
        <w:sz w:val="22"/>
        <w:szCs w:val="22"/>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EAE77A7"/>
    <w:multiLevelType w:val="multilevel"/>
    <w:tmpl w:val="47E82674"/>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F6D1857"/>
    <w:multiLevelType w:val="multilevel"/>
    <w:tmpl w:val="DD3A7F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E950154"/>
    <w:multiLevelType w:val="multilevel"/>
    <w:tmpl w:val="6978976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43878464">
    <w:abstractNumId w:val="0"/>
  </w:num>
  <w:num w:numId="2" w16cid:durableId="1421831218">
    <w:abstractNumId w:val="5"/>
  </w:num>
  <w:num w:numId="3" w16cid:durableId="716128329">
    <w:abstractNumId w:val="1"/>
  </w:num>
  <w:num w:numId="4" w16cid:durableId="1598295973">
    <w:abstractNumId w:val="4"/>
  </w:num>
  <w:num w:numId="5" w16cid:durableId="299506407">
    <w:abstractNumId w:val="6"/>
  </w:num>
  <w:num w:numId="6" w16cid:durableId="1165896391">
    <w:abstractNumId w:val="2"/>
  </w:num>
  <w:num w:numId="7" w16cid:durableId="12503903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30A"/>
    <w:rsid w:val="002874CA"/>
    <w:rsid w:val="002D1B20"/>
    <w:rsid w:val="0030330A"/>
    <w:rsid w:val="003F0E4E"/>
    <w:rsid w:val="00A936F2"/>
    <w:rsid w:val="00B01D20"/>
    <w:rsid w:val="00E540A9"/>
    <w:rsid w:val="00EE5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11A783F3-E155-1D47-8B9D-BB01E0E23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540A9"/>
    <w:pPr>
      <w:tabs>
        <w:tab w:val="center" w:pos="4513"/>
        <w:tab w:val="right" w:pos="9026"/>
      </w:tabs>
      <w:spacing w:line="240" w:lineRule="auto"/>
    </w:pPr>
  </w:style>
  <w:style w:type="character" w:customStyle="1" w:styleId="HeaderChar">
    <w:name w:val="Header Char"/>
    <w:basedOn w:val="DefaultParagraphFont"/>
    <w:link w:val="Header"/>
    <w:uiPriority w:val="99"/>
    <w:rsid w:val="00E540A9"/>
  </w:style>
  <w:style w:type="paragraph" w:styleId="Footer">
    <w:name w:val="footer"/>
    <w:basedOn w:val="Normal"/>
    <w:link w:val="FooterChar"/>
    <w:uiPriority w:val="99"/>
    <w:unhideWhenUsed/>
    <w:rsid w:val="00E540A9"/>
    <w:pPr>
      <w:tabs>
        <w:tab w:val="center" w:pos="4513"/>
        <w:tab w:val="right" w:pos="9026"/>
      </w:tabs>
      <w:spacing w:line="240" w:lineRule="auto"/>
    </w:pPr>
  </w:style>
  <w:style w:type="character" w:customStyle="1" w:styleId="FooterChar">
    <w:name w:val="Footer Char"/>
    <w:basedOn w:val="DefaultParagraphFont"/>
    <w:link w:val="Footer"/>
    <w:uiPriority w:val="99"/>
    <w:rsid w:val="00E54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26" Type="http://schemas.openxmlformats.org/officeDocument/2006/relationships/hyperlink" Target="https://www.ethnicity-facts-figures.service.gov.uk/workforce-and-business/workforce-diversity/judges-and-non-legal-members-of-courts-and-tribunals-in-the-workforce/latest/" TargetMode="External"/><Relationship Id="rId21" Type="http://schemas.openxmlformats.org/officeDocument/2006/relationships/hyperlink" Target="https://docstore.ohchr.org/SelfServices/FilesHandler.ashx?enc=4slQ6QSmlBEDzFEovLCuW3XRinAE8KCBFoqOHNz%2FvuBqT1A21jS%2FqAXfWlINUtDTv6VjdDloHCALz12%2F8bg2Gkcjju8Rc8%2F8DwvHCta3KL%2BPUJlfBJI0%2BZMMV3SahPHu" TargetMode="External"/><Relationship Id="rId42" Type="http://schemas.openxmlformats.org/officeDocument/2006/relationships/hyperlink" Target="https://hansard.parliament.uk/lords/1999-10-14/debates/e1064e8a-8823-4b20-bf01-cc3fa8f4a191/Rastafari" TargetMode="External"/><Relationship Id="rId47" Type="http://schemas.openxmlformats.org/officeDocument/2006/relationships/hyperlink" Target="https://assets.publishing.service.gov.uk/media/5a7589e2e5274a4f4677eeb7/deaths-in-custody.pdf" TargetMode="External"/><Relationship Id="rId63" Type="http://schemas.openxmlformats.org/officeDocument/2006/relationships/hyperlink" Target="https://www.libertyhumanrights.org.uk/advice_information/is-it-legal-for-a-police-officer-to-be-in-my-school/" TargetMode="External"/><Relationship Id="rId68" Type="http://schemas.openxmlformats.org/officeDocument/2006/relationships/hyperlink" Target="https://youngbrentfoundation.org.uk/news/entry/empowering-tomorrows-leaders-the-collaborative-journey-of-manhood-academy-global-ofob" TargetMode="External"/><Relationship Id="rId84" Type="http://schemas.openxmlformats.org/officeDocument/2006/relationships/hyperlink" Target="https://www.bbc.co.uk/news/articles/ckg55we5n3xo" TargetMode="External"/><Relationship Id="rId16" Type="http://schemas.openxmlformats.org/officeDocument/2006/relationships/hyperlink" Target="https://www.inquest.org.uk/Handlers/Download.ashx?IDMF=edfc7c01-e7bb-4a17-9c33-8628905460e6" TargetMode="External"/><Relationship Id="rId11" Type="http://schemas.openxmlformats.org/officeDocument/2006/relationships/hyperlink" Target="https://docstore.ohchr.org/SelfServices/FilesHandler.ashx?enc=4slQ6QSmlBEDzFEovLCuW3XRinAE8KCBFoqOHNz%2FvuBqT1A21jS%2FqAXfWlINUtDTv6VjdDloHCALz12%2F8bg2Gkcjju8Rc8%2F8DwvHCta3KL%2BPUJlfBJI0%2BZMMV3SahPHu" TargetMode="External"/><Relationship Id="rId32" Type="http://schemas.openxmlformats.org/officeDocument/2006/relationships/hyperlink" Target="https://www.un.org/youthenvoy/wp-content/uploads/2021/06/Global-Report-on-Protecting.-Young-People-in-Civic-Space.pdf" TargetMode="External"/><Relationship Id="rId37" Type="http://schemas.openxmlformats.org/officeDocument/2006/relationships/hyperlink" Target="https://www.ubele.org/news/an-update-from-81-acts-of-exuberant-defiance" TargetMode="External"/><Relationship Id="rId53" Type="http://schemas.openxmlformats.org/officeDocument/2006/relationships/hyperlink" Target="https://www.bbc.co.uk/news/uk-england-london-56594570" TargetMode="External"/><Relationship Id="rId58" Type="http://schemas.openxmlformats.org/officeDocument/2006/relationships/hyperlink" Target="https://www.ethnicity-facts-figures.service.gov.uk/workforce-and-business/workforce-diversity/school-teacher-workforce/latest/" TargetMode="External"/><Relationship Id="rId74" Type="http://schemas.openxmlformats.org/officeDocument/2006/relationships/hyperlink" Target="https://fivexmore.org/blackmereport" TargetMode="External"/><Relationship Id="rId79" Type="http://schemas.openxmlformats.org/officeDocument/2006/relationships/hyperlink" Target="https://mikeypowell-campaign.org.uk/2018/07/06/mental-health-triage-scheme-recognised-internationally/" TargetMode="External"/><Relationship Id="rId5" Type="http://schemas.openxmlformats.org/officeDocument/2006/relationships/hyperlink" Target="https://docstore.ohchr.org/SelfServices/FilesHandler.ashx?enc=4slQ6QSmlBEDzFEovLCuW3XRinAE8KCBFoqOHNz%2FvuBqT1A21jS%2FqAXfWlINUtDTv6VjdDloHCALz12%2F8bg2Gkcjju8Rc8%2F8DwvHCta3KL%2BPUJlfBJI0%2BZMMV3SahPHu" TargetMode="External"/><Relationship Id="rId19" Type="http://schemas.openxmlformats.org/officeDocument/2006/relationships/hyperlink" Target="https://www.legislation.gov.uk/ukpga/2010/15/contents" TargetMode="External"/><Relationship Id="rId14" Type="http://schemas.openxmlformats.org/officeDocument/2006/relationships/hyperlink" Target="https://libertyinvestigates.org.uk/articles/black-girls-nearly-three-times-more-likely-to-be-subjected-to-most-invasive-strip-search/" TargetMode="External"/><Relationship Id="rId22" Type="http://schemas.openxmlformats.org/officeDocument/2006/relationships/hyperlink" Target="https://www.ohchr.org/en/human-rights/universal-declaration/translations/english" TargetMode="External"/><Relationship Id="rId27" Type="http://schemas.openxmlformats.org/officeDocument/2006/relationships/hyperlink" Target="https://www.ethnicity-facts-figures.service.gov.uk/workforce-and-business/workforce-diversity/judges-and-non-legal-members-of-courts-and-tribunals-in-the-workforce/latest/" TargetMode="External"/><Relationship Id="rId30" Type="http://schemas.openxmlformats.org/officeDocument/2006/relationships/hyperlink" Target="https://www.independent.co.uk/news/uk/home-news/daffy-duck-racism-meme-cococut-emoji-b2544218.html" TargetMode="External"/><Relationship Id="rId35" Type="http://schemas.openxmlformats.org/officeDocument/2006/relationships/hyperlink" Target="https://uffcampaign.org/" TargetMode="External"/><Relationship Id="rId43" Type="http://schemas.openxmlformats.org/officeDocument/2006/relationships/hyperlink" Target="https://api.parliament.uk/historic-hansard/lords/1982/feb/04/brixton-disorders-the-scarman-report" TargetMode="External"/><Relationship Id="rId48" Type="http://schemas.openxmlformats.org/officeDocument/2006/relationships/hyperlink" Target="https://irr.org.uk/article/black-deaths-in-custody/" TargetMode="External"/><Relationship Id="rId56" Type="http://schemas.openxmlformats.org/officeDocument/2006/relationships/hyperlink" Target="https://www.ethnicity-facts-figures.service.gov.uk/workforce-and-business/workforce-diversity/school-teacher-workforce/latest/" TargetMode="External"/><Relationship Id="rId64" Type="http://schemas.openxmlformats.org/officeDocument/2006/relationships/hyperlink" Target="https://www.libertyhumanrights.org.uk/advice_information/is-it-legal-for-a-police-officer-to-be-in-my-school/" TargetMode="External"/><Relationship Id="rId69" Type="http://schemas.openxmlformats.org/officeDocument/2006/relationships/hyperlink" Target="https://uploads.strikinglycdn.com/files/38386bb0-8e90-43b5-85d2-f83be7e00ec1/Impact%20Report_%20My%20Life%20Matters%20Programme%20%20(2).pdf" TargetMode="External"/><Relationship Id="rId77" Type="http://schemas.openxmlformats.org/officeDocument/2006/relationships/hyperlink" Target="https://www.rota.org.uk/2014/09/01/community-treatment-orders/.%20psychological%20or%20psychosocial%20treatment" TargetMode="External"/><Relationship Id="rId8" Type="http://schemas.openxmlformats.org/officeDocument/2006/relationships/hyperlink" Target="https://www.legislation.gov.uk/ukpga/2010/15/contents" TargetMode="External"/><Relationship Id="rId51" Type="http://schemas.openxmlformats.org/officeDocument/2006/relationships/hyperlink" Target="https://www.disabilitynewsservice.com/mps-raise-concerns-over-dwp-death-evidence-cover-up/" TargetMode="External"/><Relationship Id="rId72" Type="http://schemas.openxmlformats.org/officeDocument/2006/relationships/hyperlink" Target="https://www.gov.scot/binaries/content/documents/govscot/publications/progress-report/2023/06/anti-racism-scotland-progress-review-2023/documents/anti-racism-scotland-progress-review-2023-race-equality-framework-immediate-priorities-plan/anti-racism-scotland-progress-review-2023-race-equality-framework-immediate-priorities-plan/govscot%3Adocument/anti-racism-scotland-progress-review-2023-race-equality-framework-immediate-priorities-plan.pdf" TargetMode="External"/><Relationship Id="rId80" Type="http://schemas.openxmlformats.org/officeDocument/2006/relationships/hyperlink" Target="https://fivexmore.org/blackmereport" TargetMode="External"/><Relationship Id="rId85" Type="http://schemas.openxmlformats.org/officeDocument/2006/relationships/hyperlink" Target="https://assets.publishing.service.gov.uk/government/uploads/system/uploads/attachment_data/file/655401/Report_of_Angiolini_Review_ISBN_Accessible.pdf" TargetMode="External"/><Relationship Id="rId3" Type="http://schemas.openxmlformats.org/officeDocument/2006/relationships/hyperlink" Target="https://docstore.ohchr.org/SelfServices/FilesHandler.ashx?enc=4slQ6QSmlBEDzFEovLCuW3XRinAE8KCBFoqOHNz%2FvuA8gWnkDtMaQRPpczgpoNYnx4%2BF33QcKEJudfH36CovyC%2BAZrop7A%2FsI%2BnNH9m4QwnZ%2BcIG1FUmFCEDCXgbRQqb" TargetMode="External"/><Relationship Id="rId12" Type="http://schemas.openxmlformats.org/officeDocument/2006/relationships/hyperlink" Target="https://www.ohchr.org/en/instruments-mechanisms/instruments/international-covenant-economic-social-and-cultural-rights" TargetMode="External"/><Relationship Id="rId17" Type="http://schemas.openxmlformats.org/officeDocument/2006/relationships/hyperlink" Target="https://assets.publishing.service.gov.uk/media/62861e2ed3bf7f1f46f9b6b2/icesrc-uk-7-periodic-report-may-2022.pdf" TargetMode="External"/><Relationship Id="rId25" Type="http://schemas.openxmlformats.org/officeDocument/2006/relationships/hyperlink" Target="https://www.ethnicity-facts-figures.service.gov.uk/workforce-and-business/workforce-diversity/judges-and-non-legal-members-of-courts-and-tribunals-in-the-workforce/latest/" TargetMode="External"/><Relationship Id="rId33" Type="http://schemas.openxmlformats.org/officeDocument/2006/relationships/hyperlink" Target="https://www.london.gov.uk/programmes-strategies/arts-and-culture/diversity-public-realm/london-unseen-amplifying-community-histories-public-realm/holding-flame-new-form-public-statue-speaks-us-all" TargetMode="External"/><Relationship Id="rId38" Type="http://schemas.openxmlformats.org/officeDocument/2006/relationships/hyperlink" Target="https://www.theartnewspaper.com/2024/02/15/arts-council-england-under-fire-over-new-policy" TargetMode="External"/><Relationship Id="rId46" Type="http://schemas.openxmlformats.org/officeDocument/2006/relationships/hyperlink" Target="https://www.ethnicity-facts-figures.service.gov.uk/uk-population-by-ethnicity/national-and-regional-populations/population-of-england-and-wales/latest/" TargetMode="External"/><Relationship Id="rId59" Type="http://schemas.openxmlformats.org/officeDocument/2006/relationships/hyperlink" Target="https://www.gov.scot/binaries/content/documents/govscot/publications/progress-report/2023/06/anti-racism-scotland-progress-review-2023/documents/anti-racism-scotland-progress-review-2023-race-equality-framework-immediate-priorities-plan/anti-racism-scotland-progress-review-2023-race-equality-framework-immediate-priorities-plan/govscot%3Adocument/anti-racism-scotland-progress-review-2023-race-equality-framework-immediate-priorities-plan.pdf" TargetMode="External"/><Relationship Id="rId67" Type="http://schemas.openxmlformats.org/officeDocument/2006/relationships/hyperlink" Target="https://www.manhoodacademyglobal.com/" TargetMode="External"/><Relationship Id="rId20" Type="http://schemas.openxmlformats.org/officeDocument/2006/relationships/hyperlink" Target="https://www.legislation.gov.uk/ukpga/2010/15/contents" TargetMode="External"/><Relationship Id="rId41" Type="http://schemas.openxmlformats.org/officeDocument/2006/relationships/hyperlink" Target="https://www.refworld.org/legal/general/cescr/2009/en/83710" TargetMode="External"/><Relationship Id="rId54" Type="http://schemas.openxmlformats.org/officeDocument/2006/relationships/hyperlink" Target="https://www.theguardian.com/education/2018/sep/12/london-school-that-told-boy-to-cut-off-dreadlocks-backs-down" TargetMode="External"/><Relationship Id="rId62" Type="http://schemas.openxmlformats.org/officeDocument/2006/relationships/hyperlink" Target="https://www.theguardian.com/uk-news/2022/apr/01/met-police-urged-to-admit-racism-after-strip-search-of-black-girl-in-hackney" TargetMode="External"/><Relationship Id="rId70" Type="http://schemas.openxmlformats.org/officeDocument/2006/relationships/hyperlink" Target="https://www.missingpeople.org.uk/for-professionals/policy-and-research/information-and-research/research-about-missing/experiences-of-black-missing-children-and-their-parents" TargetMode="External"/><Relationship Id="rId75" Type="http://schemas.openxmlformats.org/officeDocument/2006/relationships/hyperlink" Target="https://www.cqc.org.uk/publications/major-report/state-care/2023-2024/areas-of-concern/bmmh" TargetMode="External"/><Relationship Id="rId83" Type="http://schemas.openxmlformats.org/officeDocument/2006/relationships/hyperlink" Target="https://www.un.org/en/observances/decade-people-african-descent" TargetMode="External"/><Relationship Id="rId1" Type="http://schemas.openxmlformats.org/officeDocument/2006/relationships/hyperlink" Target="https://www.ohchr.org/en/instruments-mechanisms/instruments/international-covenant-economic-social-and-cultural-rights" TargetMode="External"/><Relationship Id="rId6" Type="http://schemas.openxmlformats.org/officeDocument/2006/relationships/hyperlink" Target="https://docstore.ohchr.org/SelfServices/FilesHandler.ashx?enc=4slQ6QSmlBEDzFEovLCuW3XRinAE8KCBFoqOHNz%2FvuA8gWnkDtMaQRPpczgpoNYnx4%2BF33QcKEJudfH36CovyC%2BAZrop7A%2FsI%2BnNH9m4QwnZ%2BcIG1FUmFCEDCXgbRQqb" TargetMode="External"/><Relationship Id="rId15" Type="http://schemas.openxmlformats.org/officeDocument/2006/relationships/hyperlink" Target="https://assets.publishing.service.gov.uk/government/uploads/system/uploads/attachment_data/file/639261/bame-disproportionality-in-the-cjs.pdf" TargetMode="External"/><Relationship Id="rId23" Type="http://schemas.openxmlformats.org/officeDocument/2006/relationships/hyperlink" Target="https://www.ohchr.org/en/instruments-mechanisms/instruments/international-covenant-economic-social-and-cultural-rights" TargetMode="External"/><Relationship Id="rId28" Type="http://schemas.openxmlformats.org/officeDocument/2006/relationships/hyperlink" Target="https://www.ethnicity-facts-figures.service.gov.uk/workforce-and-business/workforce-diversity/judges-and-non-legal-members-of-courts-and-tribunals-in-the-workforce/latest/" TargetMode="External"/><Relationship Id="rId36" Type="http://schemas.openxmlformats.org/officeDocument/2006/relationships/hyperlink" Target="https://www.inquest.org.uk/sean-rigg-iopc-apology" TargetMode="External"/><Relationship Id="rId49" Type="http://schemas.openxmlformats.org/officeDocument/2006/relationships/hyperlink" Target="https://hansard.parliament.uk/Commons/1980-08-08/debates/48279ab9-c881-4b7c-88e8-a893c1aeeb1b/RichardCampbell(DeathInCustody)" TargetMode="External"/><Relationship Id="rId57" Type="http://schemas.openxmlformats.org/officeDocument/2006/relationships/hyperlink" Target="https://www.nasuwt.org.uk/static/uploaded/cf0990b8-17ba-430c-91b9caaa064d1bbf.pdf" TargetMode="External"/><Relationship Id="rId10" Type="http://schemas.openxmlformats.org/officeDocument/2006/relationships/hyperlink" Target="https://docstore.ohchr.org/SelfServices/FilesHandler.ashx?enc=4slQ6QSmlBEDzFEovLCuW3XRinAE8KCBFoqOHNz%2FvuA8gWnkDtMaQRPpczgpoNYnx4%2BF33QcKEJudfH36CovyC%2BAZrop7A%2FsI%2BnNH9m4QwnZ%2BcIG1FUmFCEDCXgbRQqb" TargetMode="External"/><Relationship Id="rId31" Type="http://schemas.openxmlformats.org/officeDocument/2006/relationships/hyperlink" Target="http://www.glitchcharity.co.uk/research" TargetMode="External"/><Relationship Id="rId44" Type="http://schemas.openxmlformats.org/officeDocument/2006/relationships/hyperlink" Target="https://archive.voice-online.co.uk/article/rastafarian-holy-days-now-honoured-prisons" TargetMode="External"/><Relationship Id="rId52" Type="http://schemas.openxmlformats.org/officeDocument/2006/relationships/hyperlink" Target="https://www.worldafroday.com/wp-content/uploads/2022/09/WADHairEqualityReport2019a.pdf" TargetMode="External"/><Relationship Id="rId60" Type="http://schemas.openxmlformats.org/officeDocument/2006/relationships/hyperlink" Target="https://cdn.prod.website-files.com/61488f992b58e687f1108c7c/63c027251c4ddb3581daa9fb_Safer%20Schools%20Officers%20Briefing%20-%20FINAL.pdf" TargetMode="External"/><Relationship Id="rId65" Type="http://schemas.openxmlformats.org/officeDocument/2006/relationships/hyperlink" Target="https://www.libertyhumanrights.org.uk/advice_information/is-it-legal-for-a-police-officer-to-be-in-my-school/" TargetMode="External"/><Relationship Id="rId73" Type="http://schemas.openxmlformats.org/officeDocument/2006/relationships/hyperlink" Target="https://www.tes.com/magazine/archive/black-caribbean-fsm-boy-send-168-times-more-likely-be-permanently-excluded-white-british" TargetMode="External"/><Relationship Id="rId78" Type="http://schemas.openxmlformats.org/officeDocument/2006/relationships/hyperlink" Target="https://www.inquest.org.uk/Handlers/Download.ashx?IDMF=edfc7c01-e7bb-4a17-9c33-8628905460e6" TargetMode="External"/><Relationship Id="rId81" Type="http://schemas.openxmlformats.org/officeDocument/2006/relationships/hyperlink" Target="https://api.parliament.uk/historic-hansard/lords/1982/oct/26/the-scarman-report-brixton-disorders" TargetMode="External"/><Relationship Id="rId86" Type="http://schemas.openxmlformats.org/officeDocument/2006/relationships/hyperlink" Target="https://assets.publishing.service.gov.uk/government/uploads/system/uploads/attachment_data/file/655401/Report_of_Angiolini_Review_ISBN_Accessible.pdf" TargetMode="External"/><Relationship Id="rId4" Type="http://schemas.openxmlformats.org/officeDocument/2006/relationships/hyperlink" Target="https://www.nhsrho.org/news/survey-finds-bame-bme-and-ethnic-minority-not-representative/" TargetMode="External"/><Relationship Id="rId9" Type="http://schemas.openxmlformats.org/officeDocument/2006/relationships/hyperlink" Target="https://docstore.ohchr.org/SelfServices/FilesHandler.ashx?enc=4slQ6QSmlBEDzFEovLCuW3XRinAE8KCBFoqOHNz%2FvuBqT1A21jS%2FqAXfWlINUtDTv6VjdDloHCALz12%2F8bg2Gkcjju8Rc8%2F8DwvHCta3KL%2BPUJlfBJI0%2BZMMV3SahPHu" TargetMode="External"/><Relationship Id="rId13" Type="http://schemas.openxmlformats.org/officeDocument/2006/relationships/hyperlink" Target="https://www.gov.uk/government/statistics/ethnicity-and-the-criminal-justice-system-2022/statistics-on-ethnicity-and-the-criminal-justice-system-2022-html" TargetMode="External"/><Relationship Id="rId18" Type="http://schemas.openxmlformats.org/officeDocument/2006/relationships/hyperlink" Target="https://docstore.ohchr.org/SelfServices/FilesHandler.ashx?enc=4slQ6QSmlBEDzFEovLCuW3XRinAE8KCBFoqOHNz%2FvuA8gWnkDtMaQRPpczgpoNYnx4%2BF33QcKEJudfH36CovyC%2BAZrop7A%2FsI%2BnNH9m4QwnZ%2BcIG1FUmFCEDCXgbRQqb" TargetMode="External"/><Relationship Id="rId39" Type="http://schemas.openxmlformats.org/officeDocument/2006/relationships/hyperlink" Target="https://www.bond.org.uk/wp-content/uploads/2024/07/Bond_UK-Civic-Space_FINAL.pdf" TargetMode="External"/><Relationship Id="rId34" Type="http://schemas.openxmlformats.org/officeDocument/2006/relationships/hyperlink" Target="https://www.ohchr.org/en/stories/2023/10/participation-key-ending-systemic-racism" TargetMode="External"/><Relationship Id="rId50" Type="http://schemas.openxmlformats.org/officeDocument/2006/relationships/hyperlink" Target="http://image.guardian.co.uk/sys-files/Society/documents/2004/02/12/Bennett.pdf" TargetMode="External"/><Relationship Id="rId55" Type="http://schemas.openxmlformats.org/officeDocument/2006/relationships/hyperlink" Target="https://explore-education-statistics.service.gov.uk/find-statistics/school-pupils-and-their-characteristics" TargetMode="External"/><Relationship Id="rId76" Type="http://schemas.openxmlformats.org/officeDocument/2006/relationships/hyperlink" Target="https://www.england.nhs.uk/mental-health/advancing-mental-health-equalities/pcref/" TargetMode="External"/><Relationship Id="rId7" Type="http://schemas.openxmlformats.org/officeDocument/2006/relationships/hyperlink" Target="https://www.legislation.gov.uk/ukpga/2010/15/contents" TargetMode="External"/><Relationship Id="rId71" Type="http://schemas.openxmlformats.org/officeDocument/2006/relationships/hyperlink" Target="https://www.manhoodacademyglobal.com/blog/missing-black-children" TargetMode="External"/><Relationship Id="rId2" Type="http://schemas.openxmlformats.org/officeDocument/2006/relationships/hyperlink" Target="https://docstore.ohchr.org/SelfServices/FilesHandler.ashx?enc=4slQ6QSmlBEDzFEovLCuW3XRinAE8KCBFoqOHNz%2FvuBqT1A21jS%2FqAXfWlINUtDTv6VjdDloHCALz12%2F8bg2Gkcjju8Rc8%2F8DwvHCta3KL%2BPUJlfBJI0%2BZMMV3SahPHu" TargetMode="External"/><Relationship Id="rId29" Type="http://schemas.openxmlformats.org/officeDocument/2006/relationships/hyperlink" Target="https://www.ethnicity-facts-figures.service.gov.uk/workforce-and-business/workforce-diversity/judges-and-non-legal-members-of-courts-and-tribunals-in-the-workforce/latest/" TargetMode="External"/><Relationship Id="rId24" Type="http://schemas.openxmlformats.org/officeDocument/2006/relationships/hyperlink" Target="https://thelead.uk/why-was-black-man-put-trial-using-raccoon-emoji" TargetMode="External"/><Relationship Id="rId40" Type="http://schemas.openxmlformats.org/officeDocument/2006/relationships/hyperlink" Target="https://minorityrights.org/communities/rastafarians/" TargetMode="External"/><Relationship Id="rId45" Type="http://schemas.openxmlformats.org/officeDocument/2006/relationships/hyperlink" Target="https://www.ons.gov.uk/peoplepopulationandcommunity/culturalidentity/religion/bulletins/religionenglandandwales/census2021" TargetMode="External"/><Relationship Id="rId66" Type="http://schemas.openxmlformats.org/officeDocument/2006/relationships/hyperlink" Target="https://nya.org.uk/wp-content/uploads/2024/02/NYA-Report-The-social-cost-of-youth-work-cuts-%E2%80%93-Preventing-youth-offending-through-youth-work.pdf" TargetMode="External"/><Relationship Id="rId87" Type="http://schemas.openxmlformats.org/officeDocument/2006/relationships/hyperlink" Target="https://assets.publishing.service.gov.uk/media/66f42ae630536cb92748271f/Lord-Darzi-Independent-Investigation-of-the-National-Health-Service-in-England-Updated-25-September.pdf" TargetMode="External"/><Relationship Id="rId61" Type="http://schemas.openxmlformats.org/officeDocument/2006/relationships/hyperlink" Target="https://commonslibrary.parliament.uk/child-q-and-the-law-on-strip-search/" TargetMode="External"/><Relationship Id="rId82" Type="http://schemas.openxmlformats.org/officeDocument/2006/relationships/hyperlink" Target="https://www.refworld.org/legal/general/cescr/1995/en/278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7609</Words>
  <Characters>43377</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Kwesi Ochosi</cp:lastModifiedBy>
  <cp:revision>2</cp:revision>
  <dcterms:created xsi:type="dcterms:W3CDTF">2025-01-15T15:53:00Z</dcterms:created>
  <dcterms:modified xsi:type="dcterms:W3CDTF">2025-01-15T15:53:00Z</dcterms:modified>
</cp:coreProperties>
</file>