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7B583" w14:textId="77777777" w:rsidR="0022559C" w:rsidRDefault="00000000">
      <w:pPr>
        <w:pStyle w:val="Textoindependiente"/>
        <w:ind w:left="634" w:firstLine="0"/>
        <w:jc w:val="left"/>
        <w:rPr>
          <w:rFonts w:ascii="Times New Roman"/>
          <w:sz w:val="20"/>
        </w:rPr>
      </w:pPr>
      <w:r>
        <w:rPr>
          <w:rFonts w:ascii="Times New Roman"/>
          <w:noProof/>
          <w:sz w:val="20"/>
        </w:rPr>
        <w:drawing>
          <wp:inline distT="0" distB="0" distL="0" distR="0" wp14:anchorId="45854FEC" wp14:editId="2657E195">
            <wp:extent cx="6693420" cy="57835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6693420" cy="578357"/>
                    </a:xfrm>
                    <a:prstGeom prst="rect">
                      <a:avLst/>
                    </a:prstGeom>
                  </pic:spPr>
                </pic:pic>
              </a:graphicData>
            </a:graphic>
          </wp:inline>
        </w:drawing>
      </w:r>
    </w:p>
    <w:p w14:paraId="3C3B4951" w14:textId="77777777" w:rsidR="0022559C" w:rsidRDefault="00000000">
      <w:pPr>
        <w:pStyle w:val="Textoindependiente"/>
        <w:spacing w:before="1"/>
        <w:ind w:left="0" w:firstLine="0"/>
        <w:jc w:val="left"/>
        <w:rPr>
          <w:rFonts w:ascii="Times New Roman"/>
        </w:rPr>
      </w:pPr>
      <w:r>
        <w:rPr>
          <w:noProof/>
        </w:rPr>
        <w:drawing>
          <wp:anchor distT="0" distB="0" distL="0" distR="0" simplePos="0" relativeHeight="251658240" behindDoc="0" locked="0" layoutInCell="1" allowOverlap="1" wp14:anchorId="1475EA99" wp14:editId="0AB59E6A">
            <wp:simplePos x="0" y="0"/>
            <wp:positionH relativeFrom="page">
              <wp:posOffset>301350</wp:posOffset>
            </wp:positionH>
            <wp:positionV relativeFrom="paragraph">
              <wp:posOffset>186244</wp:posOffset>
            </wp:positionV>
            <wp:extent cx="7257500" cy="681418"/>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7257500" cy="681418"/>
                    </a:xfrm>
                    <a:prstGeom prst="rect">
                      <a:avLst/>
                    </a:prstGeom>
                  </pic:spPr>
                </pic:pic>
              </a:graphicData>
            </a:graphic>
          </wp:anchor>
        </w:drawing>
      </w:r>
    </w:p>
    <w:p w14:paraId="49788363" w14:textId="77777777" w:rsidR="0022559C" w:rsidRDefault="0022559C">
      <w:pPr>
        <w:pStyle w:val="Textoindependiente"/>
        <w:ind w:left="0" w:firstLine="0"/>
        <w:jc w:val="left"/>
        <w:rPr>
          <w:rFonts w:ascii="Times New Roman"/>
          <w:sz w:val="20"/>
        </w:rPr>
      </w:pPr>
    </w:p>
    <w:p w14:paraId="2F555A70" w14:textId="77777777" w:rsidR="0022559C" w:rsidRDefault="0022559C">
      <w:pPr>
        <w:pStyle w:val="Textoindependiente"/>
        <w:ind w:left="0" w:firstLine="0"/>
        <w:jc w:val="left"/>
        <w:rPr>
          <w:rFonts w:ascii="Times New Roman"/>
          <w:sz w:val="20"/>
        </w:rPr>
      </w:pPr>
    </w:p>
    <w:p w14:paraId="787B3C9F" w14:textId="77777777" w:rsidR="0022559C" w:rsidRDefault="0022559C">
      <w:pPr>
        <w:pStyle w:val="Textoindependiente"/>
        <w:ind w:left="0" w:firstLine="0"/>
        <w:jc w:val="left"/>
        <w:rPr>
          <w:rFonts w:ascii="Times New Roman"/>
          <w:sz w:val="20"/>
        </w:rPr>
      </w:pPr>
    </w:p>
    <w:p w14:paraId="2AD199F9" w14:textId="77777777" w:rsidR="0022559C" w:rsidRDefault="0022559C">
      <w:pPr>
        <w:pStyle w:val="Textoindependiente"/>
        <w:ind w:left="0" w:firstLine="0"/>
        <w:jc w:val="left"/>
        <w:rPr>
          <w:rFonts w:ascii="Times New Roman"/>
          <w:sz w:val="20"/>
        </w:rPr>
      </w:pPr>
    </w:p>
    <w:p w14:paraId="460CA2D3" w14:textId="77777777" w:rsidR="0022559C" w:rsidRDefault="00000000">
      <w:pPr>
        <w:pStyle w:val="Ttulo"/>
      </w:pPr>
      <w:r>
        <w:rPr>
          <w:color w:val="C00000"/>
        </w:rPr>
        <w:t>Situación de la salud y derechos sexuales y derechos</w:t>
      </w:r>
      <w:r>
        <w:rPr>
          <w:color w:val="C00000"/>
          <w:spacing w:val="-88"/>
        </w:rPr>
        <w:t xml:space="preserve"> </w:t>
      </w:r>
      <w:r>
        <w:rPr>
          <w:color w:val="C00000"/>
        </w:rPr>
        <w:t>reproductivos</w:t>
      </w:r>
      <w:r>
        <w:rPr>
          <w:color w:val="C00000"/>
          <w:spacing w:val="-4"/>
        </w:rPr>
        <w:t xml:space="preserve"> </w:t>
      </w:r>
      <w:r>
        <w:rPr>
          <w:color w:val="C00000"/>
        </w:rPr>
        <w:t>en Guatemala</w:t>
      </w:r>
    </w:p>
    <w:p w14:paraId="75849F34" w14:textId="631B36B4" w:rsidR="00F75FE2" w:rsidRDefault="00F75FE2">
      <w:pPr>
        <w:spacing w:before="161"/>
        <w:ind w:left="1342" w:right="1470"/>
        <w:jc w:val="both"/>
        <w:rPr>
          <w:b/>
          <w:sz w:val="32"/>
        </w:rPr>
      </w:pPr>
      <w:r>
        <w:rPr>
          <w:b/>
          <w:sz w:val="32"/>
        </w:rPr>
        <w:t>Lista de temas sugeridos presentada al Grupo de trabajo sobre el Informe de Guatemala.</w:t>
      </w:r>
    </w:p>
    <w:p w14:paraId="260E8C0E" w14:textId="77777777" w:rsidR="00F75FE2" w:rsidRDefault="00F75FE2">
      <w:pPr>
        <w:spacing w:before="161"/>
        <w:ind w:left="1342" w:right="1470"/>
        <w:jc w:val="both"/>
        <w:rPr>
          <w:b/>
          <w:sz w:val="32"/>
        </w:rPr>
      </w:pPr>
    </w:p>
    <w:p w14:paraId="6D65B30A" w14:textId="77777777" w:rsidR="00F75FE2" w:rsidRPr="00F75FE2" w:rsidRDefault="00F75FE2" w:rsidP="00F75FE2">
      <w:pPr>
        <w:pStyle w:val="Ttulo"/>
        <w:rPr>
          <w:color w:val="C00000"/>
          <w:sz w:val="32"/>
          <w:szCs w:val="32"/>
        </w:rPr>
      </w:pPr>
      <w:r w:rsidRPr="00F75FE2">
        <w:rPr>
          <w:color w:val="C00000"/>
          <w:sz w:val="32"/>
          <w:szCs w:val="32"/>
        </w:rPr>
        <w:t xml:space="preserve">Comité para la Eliminación de la Discriminación contra la Mujer </w:t>
      </w:r>
    </w:p>
    <w:p w14:paraId="6DCF496C" w14:textId="75558895" w:rsidR="0022559C" w:rsidRPr="00867A5B" w:rsidRDefault="00A34F9B">
      <w:pPr>
        <w:spacing w:before="161"/>
        <w:ind w:left="1342" w:right="1470"/>
        <w:jc w:val="both"/>
        <w:rPr>
          <w:b/>
          <w:sz w:val="28"/>
          <w:szCs w:val="20"/>
        </w:rPr>
      </w:pPr>
      <w:r w:rsidRPr="00867A5B">
        <w:rPr>
          <w:b/>
          <w:sz w:val="28"/>
          <w:szCs w:val="20"/>
        </w:rPr>
        <w:t xml:space="preserve">85 </w:t>
      </w:r>
      <w:proofErr w:type="gramStart"/>
      <w:r w:rsidRPr="00867A5B">
        <w:rPr>
          <w:b/>
          <w:sz w:val="28"/>
          <w:szCs w:val="20"/>
        </w:rPr>
        <w:t>Grupo</w:t>
      </w:r>
      <w:proofErr w:type="gramEnd"/>
      <w:r w:rsidRPr="00867A5B">
        <w:rPr>
          <w:b/>
          <w:sz w:val="28"/>
          <w:szCs w:val="20"/>
        </w:rPr>
        <w:t xml:space="preserve"> de Trabajo Previo al Período de Sesiones (PSWG) de la CEDAW</w:t>
      </w:r>
    </w:p>
    <w:p w14:paraId="4440AD18" w14:textId="6D2D7B05" w:rsidR="0022559C" w:rsidRPr="00867A5B" w:rsidRDefault="00F75FE2">
      <w:pPr>
        <w:spacing w:before="159"/>
        <w:ind w:left="1342"/>
        <w:jc w:val="both"/>
        <w:rPr>
          <w:sz w:val="24"/>
          <w:szCs w:val="20"/>
        </w:rPr>
      </w:pPr>
      <w:r w:rsidRPr="00867A5B">
        <w:rPr>
          <w:spacing w:val="-3"/>
          <w:sz w:val="24"/>
          <w:szCs w:val="20"/>
        </w:rPr>
        <w:t>31 de octubre al 04</w:t>
      </w:r>
      <w:r w:rsidR="00000000" w:rsidRPr="00867A5B">
        <w:rPr>
          <w:spacing w:val="-3"/>
          <w:sz w:val="24"/>
          <w:szCs w:val="20"/>
        </w:rPr>
        <w:t xml:space="preserve"> </w:t>
      </w:r>
      <w:r w:rsidRPr="00867A5B">
        <w:rPr>
          <w:sz w:val="24"/>
          <w:szCs w:val="20"/>
        </w:rPr>
        <w:t>noviembre</w:t>
      </w:r>
      <w:r w:rsidR="00000000" w:rsidRPr="00867A5B">
        <w:rPr>
          <w:spacing w:val="-3"/>
          <w:sz w:val="24"/>
          <w:szCs w:val="20"/>
        </w:rPr>
        <w:t xml:space="preserve"> </w:t>
      </w:r>
      <w:r w:rsidR="00000000" w:rsidRPr="00867A5B">
        <w:rPr>
          <w:sz w:val="24"/>
          <w:szCs w:val="20"/>
        </w:rPr>
        <w:t>202</w:t>
      </w:r>
      <w:r w:rsidR="00A34F9B" w:rsidRPr="00867A5B">
        <w:rPr>
          <w:sz w:val="24"/>
          <w:szCs w:val="20"/>
        </w:rPr>
        <w:t>2</w:t>
      </w:r>
    </w:p>
    <w:p w14:paraId="003D4B1D" w14:textId="04D55B3E" w:rsidR="0022559C" w:rsidRDefault="00435790">
      <w:pPr>
        <w:pStyle w:val="Textoindependiente"/>
        <w:ind w:left="0" w:firstLine="0"/>
        <w:jc w:val="left"/>
        <w:rPr>
          <w:sz w:val="28"/>
        </w:rPr>
      </w:pPr>
      <w:r>
        <w:rPr>
          <w:noProof/>
        </w:rPr>
        <w:drawing>
          <wp:anchor distT="0" distB="0" distL="0" distR="0" simplePos="0" relativeHeight="15729152" behindDoc="0" locked="0" layoutInCell="1" allowOverlap="1" wp14:anchorId="748B1023" wp14:editId="1DA6A74A">
            <wp:simplePos x="0" y="0"/>
            <wp:positionH relativeFrom="page">
              <wp:posOffset>4432935</wp:posOffset>
            </wp:positionH>
            <wp:positionV relativeFrom="paragraph">
              <wp:posOffset>4657</wp:posOffset>
            </wp:positionV>
            <wp:extent cx="3129882" cy="2962183"/>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a:off x="0" y="0"/>
                      <a:ext cx="3129882" cy="2962183"/>
                    </a:xfrm>
                    <a:prstGeom prst="rect">
                      <a:avLst/>
                    </a:prstGeom>
                  </pic:spPr>
                </pic:pic>
              </a:graphicData>
            </a:graphic>
            <wp14:sizeRelH relativeFrom="margin">
              <wp14:pctWidth>0</wp14:pctWidth>
            </wp14:sizeRelH>
            <wp14:sizeRelV relativeFrom="margin">
              <wp14:pctHeight>0</wp14:pctHeight>
            </wp14:sizeRelV>
          </wp:anchor>
        </w:drawing>
      </w:r>
    </w:p>
    <w:p w14:paraId="5BC7F7CF" w14:textId="77777777" w:rsidR="0022559C" w:rsidRDefault="0022559C">
      <w:pPr>
        <w:pStyle w:val="Textoindependiente"/>
        <w:spacing w:before="3"/>
        <w:ind w:left="0" w:firstLine="0"/>
        <w:jc w:val="left"/>
        <w:rPr>
          <w:sz w:val="27"/>
        </w:rPr>
      </w:pPr>
    </w:p>
    <w:p w14:paraId="217A9A91" w14:textId="3217A944" w:rsidR="0022559C" w:rsidRDefault="00F75FE2">
      <w:pPr>
        <w:pStyle w:val="Ttulo1"/>
        <w:ind w:right="6057"/>
        <w:jc w:val="both"/>
      </w:pPr>
      <w:r>
        <w:rPr>
          <w:color w:val="C00000"/>
        </w:rPr>
        <w:t xml:space="preserve">La presente lista de temas sugeridos </w:t>
      </w:r>
      <w:r w:rsidR="00000000">
        <w:rPr>
          <w:color w:val="C00000"/>
        </w:rPr>
        <w:t>es</w:t>
      </w:r>
      <w:r w:rsidR="00000000">
        <w:rPr>
          <w:color w:val="C00000"/>
          <w:spacing w:val="1"/>
        </w:rPr>
        <w:t xml:space="preserve"> </w:t>
      </w:r>
      <w:proofErr w:type="gramStart"/>
      <w:r w:rsidR="00000000">
        <w:rPr>
          <w:color w:val="C00000"/>
        </w:rPr>
        <w:t>presentado</w:t>
      </w:r>
      <w:proofErr w:type="gramEnd"/>
      <w:r w:rsidR="00000000">
        <w:rPr>
          <w:color w:val="C00000"/>
          <w:spacing w:val="1"/>
        </w:rPr>
        <w:t xml:space="preserve"> </w:t>
      </w:r>
      <w:r w:rsidR="00000000">
        <w:rPr>
          <w:color w:val="C00000"/>
        </w:rPr>
        <w:t>por</w:t>
      </w:r>
      <w:r w:rsidR="00000000">
        <w:rPr>
          <w:color w:val="C00000"/>
          <w:spacing w:val="1"/>
        </w:rPr>
        <w:t xml:space="preserve"> </w:t>
      </w:r>
      <w:r w:rsidR="00000000">
        <w:rPr>
          <w:color w:val="C00000"/>
        </w:rPr>
        <w:t>la</w:t>
      </w:r>
      <w:r w:rsidR="00000000">
        <w:rPr>
          <w:color w:val="C00000"/>
          <w:spacing w:val="1"/>
        </w:rPr>
        <w:t xml:space="preserve"> </w:t>
      </w:r>
      <w:r w:rsidR="00000000">
        <w:rPr>
          <w:color w:val="C00000"/>
        </w:rPr>
        <w:t>Comunidad</w:t>
      </w:r>
      <w:r w:rsidR="00000000">
        <w:rPr>
          <w:color w:val="C00000"/>
          <w:spacing w:val="1"/>
        </w:rPr>
        <w:t xml:space="preserve"> </w:t>
      </w:r>
      <w:r w:rsidR="00000000">
        <w:rPr>
          <w:color w:val="C00000"/>
        </w:rPr>
        <w:t>de</w:t>
      </w:r>
      <w:r w:rsidR="00000000">
        <w:rPr>
          <w:color w:val="C00000"/>
          <w:spacing w:val="1"/>
        </w:rPr>
        <w:t xml:space="preserve"> </w:t>
      </w:r>
      <w:r w:rsidR="00000000">
        <w:rPr>
          <w:color w:val="C00000"/>
        </w:rPr>
        <w:t>Acción</w:t>
      </w:r>
      <w:r w:rsidR="00000000">
        <w:rPr>
          <w:color w:val="C00000"/>
          <w:spacing w:val="1"/>
        </w:rPr>
        <w:t xml:space="preserve"> </w:t>
      </w:r>
      <w:r w:rsidR="00000000">
        <w:rPr>
          <w:color w:val="C00000"/>
        </w:rPr>
        <w:t>del</w:t>
      </w:r>
      <w:r w:rsidR="00000000">
        <w:rPr>
          <w:color w:val="C00000"/>
          <w:spacing w:val="1"/>
        </w:rPr>
        <w:t xml:space="preserve"> </w:t>
      </w:r>
      <w:r w:rsidR="00000000">
        <w:rPr>
          <w:color w:val="C00000"/>
        </w:rPr>
        <w:t>Programa</w:t>
      </w:r>
      <w:r w:rsidR="00000000">
        <w:rPr>
          <w:color w:val="C00000"/>
          <w:spacing w:val="1"/>
        </w:rPr>
        <w:t xml:space="preserve"> </w:t>
      </w:r>
      <w:proofErr w:type="spellStart"/>
      <w:r w:rsidR="00000000">
        <w:rPr>
          <w:color w:val="C00000"/>
        </w:rPr>
        <w:t>We</w:t>
      </w:r>
      <w:proofErr w:type="spellEnd"/>
      <w:r w:rsidR="00000000">
        <w:rPr>
          <w:color w:val="C00000"/>
          <w:spacing w:val="1"/>
        </w:rPr>
        <w:t xml:space="preserve"> </w:t>
      </w:r>
      <w:r w:rsidR="00000000">
        <w:rPr>
          <w:color w:val="C00000"/>
        </w:rPr>
        <w:t>Lead/Nosotras</w:t>
      </w:r>
      <w:r w:rsidR="00000000">
        <w:rPr>
          <w:color w:val="C00000"/>
          <w:spacing w:val="-1"/>
        </w:rPr>
        <w:t xml:space="preserve"> </w:t>
      </w:r>
      <w:r w:rsidR="00000000">
        <w:rPr>
          <w:color w:val="C00000"/>
        </w:rPr>
        <w:t>Lideramos</w:t>
      </w:r>
      <w:r w:rsidR="00000000">
        <w:rPr>
          <w:color w:val="C00000"/>
          <w:spacing w:val="-3"/>
        </w:rPr>
        <w:t xml:space="preserve"> </w:t>
      </w:r>
      <w:r w:rsidR="00000000">
        <w:rPr>
          <w:color w:val="C00000"/>
        </w:rPr>
        <w:t>en</w:t>
      </w:r>
      <w:r w:rsidR="00000000">
        <w:rPr>
          <w:color w:val="C00000"/>
          <w:spacing w:val="-2"/>
        </w:rPr>
        <w:t xml:space="preserve"> </w:t>
      </w:r>
      <w:r w:rsidR="00000000">
        <w:rPr>
          <w:color w:val="C00000"/>
        </w:rPr>
        <w:t>Guatemala.</w:t>
      </w:r>
    </w:p>
    <w:p w14:paraId="450F8566" w14:textId="7F7D7BC2" w:rsidR="00435790" w:rsidRDefault="00000000" w:rsidP="00435790">
      <w:pPr>
        <w:pStyle w:val="Textoindependiente"/>
        <w:spacing w:before="162"/>
        <w:ind w:left="1342" w:right="5119" w:firstLine="0"/>
      </w:pPr>
      <w:r>
        <w:t>Esta coalición, conformada por organizaciones</w:t>
      </w:r>
      <w:r>
        <w:rPr>
          <w:spacing w:val="1"/>
        </w:rPr>
        <w:t xml:space="preserve"> </w:t>
      </w:r>
      <w:r>
        <w:t>de</w:t>
      </w:r>
      <w:r>
        <w:rPr>
          <w:spacing w:val="1"/>
        </w:rPr>
        <w:t xml:space="preserve"> </w:t>
      </w:r>
      <w:r>
        <w:t>sociedad</w:t>
      </w:r>
      <w:r>
        <w:rPr>
          <w:spacing w:val="1"/>
        </w:rPr>
        <w:t xml:space="preserve"> </w:t>
      </w:r>
      <w:r>
        <w:t>civil</w:t>
      </w:r>
      <w:r>
        <w:rPr>
          <w:spacing w:val="1"/>
        </w:rPr>
        <w:t xml:space="preserve"> </w:t>
      </w:r>
      <w:r>
        <w:t>y</w:t>
      </w:r>
      <w:r>
        <w:rPr>
          <w:spacing w:val="1"/>
        </w:rPr>
        <w:t xml:space="preserve"> </w:t>
      </w:r>
      <w:r>
        <w:t>colectivas</w:t>
      </w:r>
      <w:r>
        <w:rPr>
          <w:spacing w:val="1"/>
        </w:rPr>
        <w:t xml:space="preserve"> </w:t>
      </w:r>
      <w:r>
        <w:t>de</w:t>
      </w:r>
      <w:r>
        <w:rPr>
          <w:spacing w:val="1"/>
        </w:rPr>
        <w:t xml:space="preserve"> </w:t>
      </w:r>
      <w:r>
        <w:t>mujeres</w:t>
      </w:r>
      <w:r>
        <w:rPr>
          <w:spacing w:val="1"/>
        </w:rPr>
        <w:t xml:space="preserve"> </w:t>
      </w:r>
      <w:r>
        <w:t>diversas que trabajan en el fortalecimiento y</w:t>
      </w:r>
      <w:r>
        <w:rPr>
          <w:spacing w:val="1"/>
        </w:rPr>
        <w:t xml:space="preserve"> </w:t>
      </w:r>
      <w:r>
        <w:t>posicionamiento de la participación política de</w:t>
      </w:r>
      <w:r>
        <w:rPr>
          <w:spacing w:val="1"/>
        </w:rPr>
        <w:t xml:space="preserve"> </w:t>
      </w:r>
      <w:r>
        <w:t>las</w:t>
      </w:r>
      <w:r>
        <w:rPr>
          <w:spacing w:val="1"/>
        </w:rPr>
        <w:t xml:space="preserve"> </w:t>
      </w:r>
      <w:r>
        <w:t>mujeres</w:t>
      </w:r>
      <w:r>
        <w:rPr>
          <w:spacing w:val="1"/>
        </w:rPr>
        <w:t xml:space="preserve"> </w:t>
      </w:r>
      <w:r>
        <w:t>jóvenes</w:t>
      </w:r>
      <w:r>
        <w:rPr>
          <w:spacing w:val="1"/>
        </w:rPr>
        <w:t xml:space="preserve"> </w:t>
      </w:r>
      <w:r>
        <w:t>cuya</w:t>
      </w:r>
      <w:r>
        <w:rPr>
          <w:spacing w:val="1"/>
        </w:rPr>
        <w:t xml:space="preserve"> </w:t>
      </w:r>
      <w:r>
        <w:t>salud</w:t>
      </w:r>
      <w:r>
        <w:rPr>
          <w:spacing w:val="1"/>
        </w:rPr>
        <w:t xml:space="preserve"> </w:t>
      </w:r>
      <w:r>
        <w:t>y</w:t>
      </w:r>
      <w:r>
        <w:rPr>
          <w:spacing w:val="1"/>
        </w:rPr>
        <w:t xml:space="preserve"> </w:t>
      </w:r>
      <w:r>
        <w:t>derechos</w:t>
      </w:r>
      <w:r>
        <w:rPr>
          <w:spacing w:val="1"/>
        </w:rPr>
        <w:t xml:space="preserve"> </w:t>
      </w:r>
      <w:r>
        <w:t>sexuales y reproductivos están desatendidos. A</w:t>
      </w:r>
      <w:r>
        <w:rPr>
          <w:spacing w:val="-47"/>
        </w:rPr>
        <w:t xml:space="preserve"> </w:t>
      </w:r>
      <w:r>
        <w:t>través de este informe, se aborda la situación</w:t>
      </w:r>
      <w:r>
        <w:rPr>
          <w:spacing w:val="1"/>
        </w:rPr>
        <w:t xml:space="preserve"> </w:t>
      </w:r>
      <w:r>
        <w:t>particular de los derechos sexuales y derechos</w:t>
      </w:r>
      <w:r>
        <w:rPr>
          <w:spacing w:val="1"/>
        </w:rPr>
        <w:t xml:space="preserve"> </w:t>
      </w:r>
      <w:r>
        <w:t>reproductivos</w:t>
      </w:r>
      <w:r>
        <w:rPr>
          <w:spacing w:val="1"/>
        </w:rPr>
        <w:t xml:space="preserve"> </w:t>
      </w:r>
      <w:r>
        <w:t>de</w:t>
      </w:r>
      <w:r>
        <w:rPr>
          <w:spacing w:val="1"/>
        </w:rPr>
        <w:t xml:space="preserve"> </w:t>
      </w:r>
      <w:r>
        <w:t>las</w:t>
      </w:r>
      <w:r>
        <w:rPr>
          <w:spacing w:val="1"/>
        </w:rPr>
        <w:t xml:space="preserve"> </w:t>
      </w:r>
      <w:r>
        <w:t>mujeres</w:t>
      </w:r>
      <w:r>
        <w:rPr>
          <w:spacing w:val="1"/>
        </w:rPr>
        <w:t xml:space="preserve"> </w:t>
      </w:r>
      <w:r>
        <w:t>jóvenes</w:t>
      </w:r>
      <w:r>
        <w:rPr>
          <w:spacing w:val="1"/>
        </w:rPr>
        <w:t xml:space="preserve"> </w:t>
      </w:r>
      <w:r>
        <w:t>y</w:t>
      </w:r>
      <w:r>
        <w:rPr>
          <w:spacing w:val="-47"/>
        </w:rPr>
        <w:t xml:space="preserve"> </w:t>
      </w:r>
      <w:r>
        <w:t>adolescentes</w:t>
      </w:r>
      <w:r>
        <w:rPr>
          <w:spacing w:val="1"/>
        </w:rPr>
        <w:t xml:space="preserve"> </w:t>
      </w:r>
      <w:r>
        <w:t>en</w:t>
      </w:r>
      <w:r>
        <w:rPr>
          <w:spacing w:val="1"/>
        </w:rPr>
        <w:t xml:space="preserve"> </w:t>
      </w:r>
      <w:r>
        <w:t>Guatemala</w:t>
      </w:r>
      <w:r>
        <w:rPr>
          <w:spacing w:val="1"/>
        </w:rPr>
        <w:t xml:space="preserve"> </w:t>
      </w:r>
      <w:r>
        <w:t>poniendo</w:t>
      </w:r>
      <w:r>
        <w:rPr>
          <w:spacing w:val="1"/>
        </w:rPr>
        <w:t xml:space="preserve"> </w:t>
      </w:r>
      <w:r>
        <w:t>en</w:t>
      </w:r>
      <w:r>
        <w:rPr>
          <w:spacing w:val="1"/>
        </w:rPr>
        <w:t xml:space="preserve"> </w:t>
      </w:r>
      <w:r>
        <w:t>el</w:t>
      </w:r>
      <w:r>
        <w:rPr>
          <w:spacing w:val="1"/>
        </w:rPr>
        <w:t xml:space="preserve"> </w:t>
      </w:r>
      <w:r>
        <w:t>centro a las Titulares de Derechos -</w:t>
      </w:r>
      <w:proofErr w:type="spellStart"/>
      <w:r>
        <w:t>TdD</w:t>
      </w:r>
      <w:proofErr w:type="spellEnd"/>
      <w:r>
        <w:t>- que</w:t>
      </w:r>
      <w:r>
        <w:rPr>
          <w:spacing w:val="1"/>
        </w:rPr>
        <w:t xml:space="preserve"> </w:t>
      </w:r>
      <w:r>
        <w:t>integran</w:t>
      </w:r>
      <w:r>
        <w:rPr>
          <w:spacing w:val="-2"/>
        </w:rPr>
        <w:t xml:space="preserve"> </w:t>
      </w:r>
      <w:r>
        <w:t>el</w:t>
      </w:r>
      <w:r>
        <w:rPr>
          <w:spacing w:val="-1"/>
        </w:rPr>
        <w:t xml:space="preserve"> </w:t>
      </w:r>
      <w:r>
        <w:t>programa:</w:t>
      </w:r>
      <w:r>
        <w:rPr>
          <w:spacing w:val="-3"/>
        </w:rPr>
        <w:t xml:space="preserve"> </w:t>
      </w:r>
      <w:r>
        <w:t>las que viven</w:t>
      </w:r>
      <w:r>
        <w:rPr>
          <w:spacing w:val="-3"/>
        </w:rPr>
        <w:t xml:space="preserve"> </w:t>
      </w:r>
      <w:r>
        <w:t>con</w:t>
      </w:r>
      <w:r>
        <w:rPr>
          <w:spacing w:val="-5"/>
        </w:rPr>
        <w:t xml:space="preserve"> </w:t>
      </w:r>
      <w:r>
        <w:t>VIH; las</w:t>
      </w:r>
      <w:r w:rsidR="00F75FE2">
        <w:t xml:space="preserve"> </w:t>
      </w:r>
      <w:r>
        <w:t>que</w:t>
      </w:r>
      <w:r>
        <w:rPr>
          <w:spacing w:val="-7"/>
        </w:rPr>
        <w:t xml:space="preserve"> </w:t>
      </w:r>
      <w:r>
        <w:t>se</w:t>
      </w:r>
      <w:r>
        <w:rPr>
          <w:spacing w:val="-8"/>
        </w:rPr>
        <w:t xml:space="preserve"> </w:t>
      </w:r>
      <w:r>
        <w:t>identifican</w:t>
      </w:r>
      <w:r>
        <w:rPr>
          <w:spacing w:val="-9"/>
        </w:rPr>
        <w:t xml:space="preserve"> </w:t>
      </w:r>
      <w:r>
        <w:t>como</w:t>
      </w:r>
      <w:r>
        <w:rPr>
          <w:spacing w:val="-7"/>
        </w:rPr>
        <w:t xml:space="preserve"> </w:t>
      </w:r>
      <w:r>
        <w:t>lesbianas,</w:t>
      </w:r>
      <w:r>
        <w:rPr>
          <w:spacing w:val="-8"/>
        </w:rPr>
        <w:t xml:space="preserve"> </w:t>
      </w:r>
      <w:r>
        <w:t>bisexuales,</w:t>
      </w:r>
      <w:r>
        <w:rPr>
          <w:spacing w:val="-10"/>
        </w:rPr>
        <w:t xml:space="preserve"> </w:t>
      </w:r>
      <w:r>
        <w:t>trans</w:t>
      </w:r>
      <w:r>
        <w:rPr>
          <w:spacing w:val="-8"/>
        </w:rPr>
        <w:t xml:space="preserve"> </w:t>
      </w:r>
      <w:r>
        <w:t>o</w:t>
      </w:r>
      <w:r>
        <w:rPr>
          <w:spacing w:val="-7"/>
        </w:rPr>
        <w:t xml:space="preserve"> </w:t>
      </w:r>
      <w:r>
        <w:t>intersex</w:t>
      </w:r>
      <w:r>
        <w:rPr>
          <w:spacing w:val="-8"/>
        </w:rPr>
        <w:t xml:space="preserve"> </w:t>
      </w:r>
      <w:r>
        <w:t>-LBTI-;</w:t>
      </w:r>
      <w:r>
        <w:rPr>
          <w:spacing w:val="-7"/>
        </w:rPr>
        <w:t xml:space="preserve"> </w:t>
      </w:r>
      <w:r>
        <w:t>las</w:t>
      </w:r>
      <w:r>
        <w:rPr>
          <w:spacing w:val="-8"/>
        </w:rPr>
        <w:t xml:space="preserve"> </w:t>
      </w:r>
      <w:r>
        <w:t>que</w:t>
      </w:r>
    </w:p>
    <w:p w14:paraId="4633C5F6" w14:textId="0C01BC4A" w:rsidR="0022559C" w:rsidRDefault="00000000">
      <w:pPr>
        <w:pStyle w:val="Textoindependiente"/>
        <w:spacing w:before="1"/>
        <w:ind w:left="1342" w:right="1454" w:firstLine="0"/>
      </w:pPr>
      <w:r>
        <w:t>viven</w:t>
      </w:r>
      <w:r>
        <w:rPr>
          <w:spacing w:val="-9"/>
        </w:rPr>
        <w:t xml:space="preserve"> </w:t>
      </w:r>
      <w:r>
        <w:t>con</w:t>
      </w:r>
      <w:r>
        <w:rPr>
          <w:spacing w:val="-9"/>
        </w:rPr>
        <w:t xml:space="preserve"> </w:t>
      </w:r>
      <w:r>
        <w:t>discapacidad</w:t>
      </w:r>
      <w:r>
        <w:rPr>
          <w:spacing w:val="-47"/>
        </w:rPr>
        <w:t xml:space="preserve"> </w:t>
      </w:r>
      <w:r>
        <w:t>y las que son migrantes o han sido afectadas por el desplazamiento. Lo anterior desde una mirada</w:t>
      </w:r>
      <w:r>
        <w:rPr>
          <w:spacing w:val="1"/>
        </w:rPr>
        <w:t xml:space="preserve"> </w:t>
      </w:r>
      <w:r>
        <w:t>interseccional</w:t>
      </w:r>
      <w:r>
        <w:rPr>
          <w:spacing w:val="-1"/>
        </w:rPr>
        <w:t xml:space="preserve"> </w:t>
      </w:r>
      <w:r>
        <w:t>que</w:t>
      </w:r>
      <w:r>
        <w:rPr>
          <w:spacing w:val="-2"/>
        </w:rPr>
        <w:t xml:space="preserve"> </w:t>
      </w:r>
      <w:r>
        <w:t>reconoce</w:t>
      </w:r>
      <w:r>
        <w:rPr>
          <w:spacing w:val="1"/>
        </w:rPr>
        <w:t xml:space="preserve"> </w:t>
      </w:r>
      <w:r>
        <w:t>sus</w:t>
      </w:r>
      <w:r>
        <w:rPr>
          <w:spacing w:val="-3"/>
        </w:rPr>
        <w:t xml:space="preserve"> </w:t>
      </w:r>
      <w:r>
        <w:t>múltiples</w:t>
      </w:r>
      <w:r>
        <w:rPr>
          <w:spacing w:val="-2"/>
        </w:rPr>
        <w:t xml:space="preserve"> </w:t>
      </w:r>
      <w:r>
        <w:t>experiencias e identidades.</w:t>
      </w:r>
    </w:p>
    <w:p w14:paraId="1AF5A0B1" w14:textId="77777777" w:rsidR="0022559C" w:rsidRDefault="0022559C">
      <w:pPr>
        <w:jc w:val="both"/>
        <w:sectPr w:rsidR="0022559C">
          <w:footerReference w:type="default" r:id="rId10"/>
          <w:type w:val="continuous"/>
          <w:pgSz w:w="12240" w:h="15840"/>
          <w:pgMar w:top="1080" w:right="240" w:bottom="1380" w:left="360" w:header="720" w:footer="1199" w:gutter="0"/>
          <w:pgNumType w:start="1"/>
          <w:cols w:space="720"/>
        </w:sectPr>
      </w:pPr>
    </w:p>
    <w:p w14:paraId="588DEB99" w14:textId="29989CFD" w:rsidR="00A34F9B" w:rsidRPr="00435790" w:rsidRDefault="00435790" w:rsidP="00435790">
      <w:pPr>
        <w:widowControl/>
        <w:autoSpaceDE/>
        <w:autoSpaceDN/>
        <w:spacing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lastRenderedPageBreak/>
        <w:t xml:space="preserve">Este documento es presentado por la coalición </w:t>
      </w:r>
      <w:proofErr w:type="spellStart"/>
      <w:r w:rsidRPr="00435790">
        <w:rPr>
          <w:rFonts w:ascii="Times New Roman" w:eastAsia="Arial" w:hAnsi="Times New Roman" w:cs="Times New Roman"/>
          <w:sz w:val="24"/>
          <w:szCs w:val="24"/>
          <w:lang w:val="es-GT" w:eastAsia="es-MX"/>
        </w:rPr>
        <w:t>WeLead</w:t>
      </w:r>
      <w:proofErr w:type="spellEnd"/>
      <w:r w:rsidRPr="00435790">
        <w:rPr>
          <w:rFonts w:ascii="Times New Roman" w:eastAsia="Arial" w:hAnsi="Times New Roman" w:cs="Times New Roman"/>
          <w:sz w:val="24"/>
          <w:szCs w:val="24"/>
          <w:lang w:val="es-GT" w:eastAsia="es-MX"/>
        </w:rPr>
        <w:t>. En ella participan organizaciones de sociedad civil y colectivas de mujeres diversas que trabajan en el fortalecimiento y el posicionamiento de la participación política de las mujeres jóvenes cuyas demandas han sido desatendidas por el Estado.  Desde una mirada plural e interseccional que reconoce las múltiples experiencias e identidades, este informe se enfoca en la situación particular de los derechos sexuales y reproductivos de las mujeres jóvenes y adolescentes en Guatemala, poniendo al centro a las Titulares de Derechos -</w:t>
      </w:r>
      <w:proofErr w:type="spellStart"/>
      <w:r w:rsidRPr="00435790">
        <w:rPr>
          <w:rFonts w:ascii="Times New Roman" w:eastAsia="Arial" w:hAnsi="Times New Roman" w:cs="Times New Roman"/>
          <w:sz w:val="24"/>
          <w:szCs w:val="24"/>
          <w:lang w:val="es-GT" w:eastAsia="es-MX"/>
        </w:rPr>
        <w:t>TdD</w:t>
      </w:r>
      <w:proofErr w:type="spellEnd"/>
      <w:r w:rsidRPr="00435790">
        <w:rPr>
          <w:rFonts w:ascii="Times New Roman" w:eastAsia="Arial" w:hAnsi="Times New Roman" w:cs="Times New Roman"/>
          <w:sz w:val="24"/>
          <w:szCs w:val="24"/>
          <w:lang w:val="es-GT" w:eastAsia="es-MX"/>
        </w:rPr>
        <w:t>- que integran el programa: las que viven con VIH; las que se identifican como lesbianas, bisexuales, trans o intersex -LBTI-; las que viven con discapacidad y las que son migrantes o han sido afectadas por el desplazamiento. El objeto de esta presentación es asistir al Comité en la elaboración de la Lista de Asuntos para la implementación de la Convención sobre la Eliminación de Todas las Formas de Discriminación contra la Mujer por parte del Estado Guatemalteco.</w:t>
      </w:r>
    </w:p>
    <w:p w14:paraId="5ECB67BB" w14:textId="77777777" w:rsidR="00435790" w:rsidRPr="00435790" w:rsidRDefault="00435790" w:rsidP="00435790">
      <w:pPr>
        <w:widowControl/>
        <w:autoSpaceDE/>
        <w:autoSpaceDN/>
        <w:spacing w:after="240" w:line="360" w:lineRule="auto"/>
        <w:jc w:val="both"/>
        <w:rPr>
          <w:rFonts w:ascii="Times New Roman" w:hAnsi="Times New Roman" w:cs="Times New Roman"/>
          <w:b/>
          <w:sz w:val="24"/>
          <w:szCs w:val="24"/>
          <w:lang w:val="es-GT" w:eastAsia="es-MX"/>
        </w:rPr>
      </w:pPr>
    </w:p>
    <w:p w14:paraId="69B54D5A" w14:textId="43D70B5C" w:rsidR="00A34F9B" w:rsidRPr="00435790" w:rsidRDefault="00A34F9B" w:rsidP="00435790">
      <w:pPr>
        <w:widowControl/>
        <w:numPr>
          <w:ilvl w:val="0"/>
          <w:numId w:val="5"/>
        </w:numPr>
        <w:autoSpaceDE/>
        <w:autoSpaceDN/>
        <w:spacing w:after="240" w:line="360" w:lineRule="auto"/>
        <w:ind w:left="425"/>
        <w:jc w:val="both"/>
        <w:rPr>
          <w:rFonts w:ascii="Times New Roman" w:hAnsi="Times New Roman" w:cs="Times New Roman"/>
          <w:b/>
          <w:sz w:val="24"/>
          <w:szCs w:val="24"/>
          <w:lang w:val="es-GT" w:eastAsia="es-MX"/>
        </w:rPr>
      </w:pPr>
      <w:r w:rsidRPr="00435790">
        <w:rPr>
          <w:rFonts w:ascii="Times New Roman" w:hAnsi="Times New Roman" w:cs="Times New Roman"/>
          <w:b/>
          <w:sz w:val="24"/>
          <w:szCs w:val="24"/>
          <w:lang w:val="es-GT" w:eastAsia="es-MX"/>
        </w:rPr>
        <w:t>INTRODUCCIÓN Y CONTEXTO DE LAS MUJERES EN GUATEMALA</w:t>
      </w:r>
    </w:p>
    <w:p w14:paraId="6B656A5B" w14:textId="707C72AE"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Guatemala está habitada por 14, 901, 286 personas, de las </w:t>
      </w:r>
      <w:r w:rsidR="00435790" w:rsidRPr="00435790">
        <w:rPr>
          <w:rFonts w:ascii="Times New Roman" w:eastAsia="Arial" w:hAnsi="Times New Roman" w:cs="Times New Roman"/>
          <w:sz w:val="24"/>
          <w:szCs w:val="24"/>
          <w:lang w:val="es-GT" w:eastAsia="es-MX"/>
        </w:rPr>
        <w:t>cuales, 7</w:t>
      </w:r>
      <w:r w:rsidRPr="00435790">
        <w:rPr>
          <w:rFonts w:ascii="Times New Roman" w:eastAsia="Arial" w:hAnsi="Times New Roman" w:cs="Times New Roman"/>
          <w:sz w:val="24"/>
          <w:szCs w:val="24"/>
          <w:lang w:val="es-GT" w:eastAsia="es-MX"/>
        </w:rPr>
        <w:t>, 678, 190 son mujeres. Respecto al pueblo de pertenencia, el 41.74% se identifica como maya, el 55.95% como ladina, 1.75% como xinka, y el 0.18%, el 0.13% y el 0.25% como afrodescendiente, garífuna y extranjera respectivamente. Asimismo, el país se encuentra sostenido principalmente por personas jóvenes, sólo respecto a la población femenina, el ​​33.84% tienen entre 13 y 29 años</w:t>
      </w:r>
      <w:r w:rsidRPr="00435790">
        <w:rPr>
          <w:rFonts w:ascii="Times New Roman" w:eastAsia="Arial" w:hAnsi="Times New Roman" w:cs="Times New Roman"/>
          <w:sz w:val="24"/>
          <w:szCs w:val="24"/>
          <w:vertAlign w:val="superscript"/>
          <w:lang w:val="es-GT" w:eastAsia="es-MX"/>
        </w:rPr>
        <w:footnoteReference w:id="1"/>
      </w:r>
      <w:r w:rsidRPr="00435790">
        <w:rPr>
          <w:rFonts w:ascii="Times New Roman" w:eastAsia="Arial" w:hAnsi="Times New Roman" w:cs="Times New Roman"/>
          <w:sz w:val="24"/>
          <w:szCs w:val="24"/>
          <w:lang w:val="es-GT" w:eastAsia="es-MX"/>
        </w:rPr>
        <w:t xml:space="preserve">. </w:t>
      </w:r>
      <w:sdt>
        <w:sdtPr>
          <w:rPr>
            <w:rFonts w:ascii="Times New Roman" w:hAnsi="Times New Roman" w:cs="Times New Roman"/>
            <w:sz w:val="24"/>
            <w:szCs w:val="24"/>
            <w:lang w:val="es-GT" w:eastAsia="es-MX"/>
          </w:rPr>
          <w:tag w:val="goog_rdk_0"/>
          <w:id w:val="-704246935"/>
        </w:sdtPr>
        <w:sdtContent>
          <w:r w:rsidRPr="00435790">
            <w:rPr>
              <w:rFonts w:ascii="Times New Roman" w:eastAsia="Arial" w:hAnsi="Times New Roman" w:cs="Times New Roman"/>
              <w:sz w:val="24"/>
              <w:szCs w:val="24"/>
              <w:lang w:val="es-GT" w:eastAsia="es-MX"/>
            </w:rPr>
            <w:t xml:space="preserve">Según datos nacionales, el 10.4% de la población </w:t>
          </w:r>
          <w:r w:rsidR="00435790" w:rsidRPr="00435790">
            <w:rPr>
              <w:rFonts w:ascii="Times New Roman" w:eastAsia="Arial" w:hAnsi="Times New Roman" w:cs="Times New Roman"/>
              <w:sz w:val="24"/>
              <w:szCs w:val="24"/>
              <w:lang w:val="es-GT" w:eastAsia="es-MX"/>
            </w:rPr>
            <w:t>guatemalteca</w:t>
          </w:r>
          <w:r w:rsidRPr="00435790">
            <w:rPr>
              <w:rFonts w:ascii="Times New Roman" w:eastAsia="Arial" w:hAnsi="Times New Roman" w:cs="Times New Roman"/>
              <w:sz w:val="24"/>
              <w:szCs w:val="24"/>
              <w:lang w:val="es-GT" w:eastAsia="es-MX"/>
            </w:rPr>
            <w:t xml:space="preserve"> tiene alguna discapacidad – es decir, 1,408,736 personas, de las cuales el 53% son mujeres. </w:t>
          </w:r>
        </w:sdtContent>
      </w:sdt>
      <w:r w:rsidRPr="00435790">
        <w:rPr>
          <w:rFonts w:ascii="Times New Roman" w:hAnsi="Times New Roman" w:cs="Times New Roman"/>
          <w:sz w:val="24"/>
          <w:szCs w:val="24"/>
          <w:lang w:val="es-GT" w:eastAsia="es-MX"/>
        </w:rPr>
        <w:t>Asimismo, las mujeres con discapacidad en edad reproductiva tienen menos probabilidad de haber buscado cuidados prenatales en su último embarazo que las mujeres sin discapacidad</w:t>
      </w:r>
      <w:r w:rsidRPr="00435790">
        <w:rPr>
          <w:rFonts w:ascii="Times New Roman" w:hAnsi="Times New Roman" w:cs="Times New Roman"/>
          <w:sz w:val="24"/>
          <w:szCs w:val="24"/>
          <w:vertAlign w:val="superscript"/>
          <w:lang w:val="es-GT" w:eastAsia="es-MX"/>
        </w:rPr>
        <w:footnoteReference w:id="2"/>
      </w:r>
      <w:r w:rsidRPr="00435790">
        <w:rPr>
          <w:rFonts w:ascii="Times New Roman" w:hAnsi="Times New Roman" w:cs="Times New Roman"/>
          <w:sz w:val="24"/>
          <w:szCs w:val="24"/>
          <w:lang w:val="es-GT" w:eastAsia="es-MX"/>
        </w:rPr>
        <w:t>.</w:t>
      </w:r>
    </w:p>
    <w:p w14:paraId="2CAE1E25"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Referente a la situación específica de las mujeres jóvenes de los grupos de titulares de derechos priorizados, se ha hecho evidente que las condiciones de vida son afectadas por la constante desigualdad, el racismo, la violencia</w:t>
      </w:r>
      <w:sdt>
        <w:sdtPr>
          <w:rPr>
            <w:rFonts w:ascii="Times New Roman" w:hAnsi="Times New Roman" w:cs="Times New Roman"/>
            <w:sz w:val="24"/>
            <w:szCs w:val="24"/>
            <w:lang w:val="es-GT" w:eastAsia="es-MX"/>
          </w:rPr>
          <w:tag w:val="goog_rdk_1"/>
          <w:id w:val="12581223"/>
        </w:sdtPr>
        <w:sdtContent>
          <w:r w:rsidRPr="00435790">
            <w:rPr>
              <w:rFonts w:ascii="Times New Roman" w:eastAsia="Arial" w:hAnsi="Times New Roman" w:cs="Times New Roman"/>
              <w:sz w:val="24"/>
              <w:szCs w:val="24"/>
              <w:lang w:val="es-GT" w:eastAsia="es-MX"/>
            </w:rPr>
            <w:t>, el capacitismo</w:t>
          </w:r>
        </w:sdtContent>
      </w:sdt>
      <w:r w:rsidRPr="00435790">
        <w:rPr>
          <w:rFonts w:ascii="Times New Roman" w:eastAsia="Arial" w:hAnsi="Times New Roman" w:cs="Times New Roman"/>
          <w:sz w:val="24"/>
          <w:szCs w:val="24"/>
          <w:lang w:val="es-GT" w:eastAsia="es-MX"/>
        </w:rPr>
        <w:t xml:space="preserve"> y la exclusión a las que </w:t>
      </w:r>
      <w:r w:rsidRPr="00435790">
        <w:rPr>
          <w:rFonts w:ascii="Times New Roman" w:eastAsia="Arial" w:hAnsi="Times New Roman" w:cs="Times New Roman"/>
          <w:sz w:val="24"/>
          <w:szCs w:val="24"/>
          <w:lang w:val="es-GT" w:eastAsia="es-MX"/>
        </w:rPr>
        <w:lastRenderedPageBreak/>
        <w:t xml:space="preserve">son expuestas de manera reiterada. Esta situación implica que existan riesgos de sufrir distintas manifestaciones y grados de violencia, violencia sexual, de género, discriminación y lesbo-bi-trans-intersexfobia. </w:t>
      </w:r>
      <w:sdt>
        <w:sdtPr>
          <w:rPr>
            <w:rFonts w:ascii="Times New Roman" w:hAnsi="Times New Roman" w:cs="Times New Roman"/>
            <w:sz w:val="24"/>
            <w:szCs w:val="24"/>
            <w:lang w:val="es-GT" w:eastAsia="es-MX"/>
          </w:rPr>
          <w:tag w:val="goog_rdk_2"/>
          <w:id w:val="1642226433"/>
        </w:sdtPr>
        <w:sdtContent>
          <w:r w:rsidRPr="00435790">
            <w:rPr>
              <w:rFonts w:ascii="Times New Roman" w:eastAsia="Arial" w:hAnsi="Times New Roman" w:cs="Times New Roman"/>
              <w:sz w:val="24"/>
              <w:szCs w:val="24"/>
              <w:lang w:val="es-GT" w:eastAsia="es-MX"/>
            </w:rPr>
            <w:t xml:space="preserve">Algunas enfrentan violencias específicas, como las mujeres con discapacidad y las mujeres con VIH que son comúnmente esterilizadas sin su consentimiento. </w:t>
          </w:r>
        </w:sdtContent>
      </w:sdt>
    </w:p>
    <w:p w14:paraId="2EC7394D"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Aunque se han aprobado leyes, políticas y programas en el marco del proceso constitucional y en cumplimiento a marcos internacionales como la Convención sobre la Eliminación de todas las Formas de Discriminación contra la Mujer -CEDAW- para garantizar los derechos de las mujeres en todas las etapas de su vida, existen retroceos y retos en la realidad objetiva. Un ejemplo es el incremento de las violencias hacia ellas, la inclusión de normativa que vulnera el ejercicio de derechos y libertades y refuerzan los mandatos del género.  En los últimos cinco años se ha establecido una tendencia regresiva especialmente en los derechos sexuales y reproductivos de las mujeres.</w:t>
      </w:r>
    </w:p>
    <w:p w14:paraId="6CC9D9D5" w14:textId="77777777" w:rsidR="00CE4C09" w:rsidRPr="00435790" w:rsidRDefault="00CE4C09" w:rsidP="00435790">
      <w:pPr>
        <w:widowControl/>
        <w:autoSpaceDE/>
        <w:autoSpaceDN/>
        <w:spacing w:after="240" w:line="360" w:lineRule="auto"/>
        <w:ind w:left="720"/>
        <w:jc w:val="both"/>
        <w:rPr>
          <w:rFonts w:ascii="Times New Roman" w:hAnsi="Times New Roman" w:cs="Times New Roman"/>
          <w:b/>
          <w:sz w:val="24"/>
          <w:szCs w:val="24"/>
          <w:lang w:val="es-GT" w:eastAsia="es-MX"/>
        </w:rPr>
      </w:pPr>
    </w:p>
    <w:p w14:paraId="1688D3EC" w14:textId="3E09C284" w:rsidR="00A34F9B" w:rsidRPr="00435790" w:rsidRDefault="00A34F9B" w:rsidP="00435790">
      <w:pPr>
        <w:widowControl/>
        <w:numPr>
          <w:ilvl w:val="0"/>
          <w:numId w:val="5"/>
        </w:numPr>
        <w:autoSpaceDE/>
        <w:autoSpaceDN/>
        <w:spacing w:after="240" w:line="360" w:lineRule="auto"/>
        <w:ind w:left="425"/>
        <w:jc w:val="both"/>
        <w:rPr>
          <w:rFonts w:ascii="Times New Roman" w:hAnsi="Times New Roman" w:cs="Times New Roman"/>
          <w:b/>
          <w:sz w:val="24"/>
          <w:szCs w:val="24"/>
          <w:lang w:val="es-GT" w:eastAsia="es-MX"/>
        </w:rPr>
      </w:pPr>
      <w:r w:rsidRPr="00435790">
        <w:rPr>
          <w:rFonts w:ascii="Times New Roman" w:hAnsi="Times New Roman" w:cs="Times New Roman"/>
          <w:b/>
          <w:sz w:val="24"/>
          <w:szCs w:val="24"/>
          <w:lang w:val="es-GT" w:eastAsia="es-MX"/>
        </w:rPr>
        <w:t>ARTÍCULO 1. DISCRIMINACIÓN</w:t>
      </w:r>
    </w:p>
    <w:p w14:paraId="1A36CD1E" w14:textId="17782A2E"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Aunque el Estado de Guatemala afirma en su Décimo informe periódico</w:t>
      </w:r>
      <w:r w:rsidRPr="00435790">
        <w:rPr>
          <w:rFonts w:ascii="Times New Roman" w:eastAsia="Arial" w:hAnsi="Times New Roman" w:cs="Times New Roman"/>
          <w:sz w:val="24"/>
          <w:szCs w:val="24"/>
          <w:vertAlign w:val="superscript"/>
          <w:lang w:val="es-GT" w:eastAsia="es-MX"/>
        </w:rPr>
        <w:footnoteReference w:id="3"/>
      </w:r>
      <w:r w:rsidRPr="00435790">
        <w:rPr>
          <w:rFonts w:ascii="Times New Roman" w:eastAsia="Arial" w:hAnsi="Times New Roman" w:cs="Times New Roman"/>
          <w:sz w:val="24"/>
          <w:szCs w:val="24"/>
          <w:lang w:val="es-GT" w:eastAsia="es-MX"/>
        </w:rPr>
        <w:t xml:space="preserve">, ha reconocido la aplicación del derecho a la no discriminación de las mujeres en el ordenamiento jurídico, recientemente ha existido un ímpetu por </w:t>
      </w:r>
      <w:proofErr w:type="spellStart"/>
      <w:r w:rsidRPr="00435790">
        <w:rPr>
          <w:rFonts w:ascii="Times New Roman" w:eastAsia="Arial" w:hAnsi="Times New Roman" w:cs="Times New Roman"/>
          <w:sz w:val="24"/>
          <w:szCs w:val="24"/>
          <w:lang w:val="es-GT" w:eastAsia="es-MX"/>
        </w:rPr>
        <w:t>amalgarmar</w:t>
      </w:r>
      <w:proofErr w:type="spellEnd"/>
      <w:r w:rsidRPr="00435790">
        <w:rPr>
          <w:rFonts w:ascii="Times New Roman" w:eastAsia="Arial" w:hAnsi="Times New Roman" w:cs="Times New Roman"/>
          <w:sz w:val="24"/>
          <w:szCs w:val="24"/>
          <w:lang w:val="es-GT" w:eastAsia="es-MX"/>
        </w:rPr>
        <w:t xml:space="preserve"> discursos discriminatorios con las acciones políticas. Especialmente, estos han sido apuntalados por grupos religiosos conservadores que están insertos en las instituciones gubernamentales o mantienen vínculos con ellas.</w:t>
      </w:r>
    </w:p>
    <w:p w14:paraId="4367BD35"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En 2017, algunos diputados y algunas diputadas del Congreso de la República en conjunto con la Coordinadora Evangélica Nacional de </w:t>
      </w:r>
      <w:proofErr w:type="gramStart"/>
      <w:r w:rsidRPr="00435790">
        <w:rPr>
          <w:rFonts w:ascii="Times New Roman" w:eastAsia="Arial" w:hAnsi="Times New Roman" w:cs="Times New Roman"/>
          <w:sz w:val="24"/>
          <w:szCs w:val="24"/>
          <w:lang w:val="es-GT" w:eastAsia="es-MX"/>
        </w:rPr>
        <w:t>Guatemala,</w:t>
      </w:r>
      <w:proofErr w:type="gramEnd"/>
      <w:r w:rsidRPr="00435790">
        <w:rPr>
          <w:rFonts w:ascii="Times New Roman" w:eastAsia="Arial" w:hAnsi="Times New Roman" w:cs="Times New Roman"/>
          <w:sz w:val="24"/>
          <w:szCs w:val="24"/>
          <w:lang w:val="es-GT" w:eastAsia="es-MX"/>
        </w:rPr>
        <w:t xml:space="preserve"> presentaron la Iniciativa No. 5272 </w:t>
      </w:r>
      <w:r w:rsidRPr="00435790">
        <w:rPr>
          <w:rFonts w:ascii="Times New Roman" w:eastAsia="Arial" w:hAnsi="Times New Roman" w:cs="Times New Roman"/>
          <w:b/>
          <w:i/>
          <w:sz w:val="24"/>
          <w:szCs w:val="24"/>
          <w:lang w:val="es-GT" w:eastAsia="es-MX"/>
        </w:rPr>
        <w:t xml:space="preserve">“Ley de Protección a la Vida y la Familia” </w:t>
      </w:r>
      <w:r w:rsidRPr="00435790">
        <w:rPr>
          <w:rFonts w:ascii="Times New Roman" w:eastAsia="Arial" w:hAnsi="Times New Roman" w:cs="Times New Roman"/>
          <w:sz w:val="24"/>
          <w:szCs w:val="24"/>
          <w:lang w:val="es-GT" w:eastAsia="es-MX"/>
        </w:rPr>
        <w:t>(Decreto 18-2022)</w:t>
      </w:r>
      <w:r w:rsidRPr="00435790">
        <w:rPr>
          <w:rFonts w:ascii="Times New Roman" w:eastAsia="Arial" w:hAnsi="Times New Roman" w:cs="Times New Roman"/>
          <w:sz w:val="24"/>
          <w:szCs w:val="24"/>
          <w:vertAlign w:val="superscript"/>
          <w:lang w:val="es-GT" w:eastAsia="es-MX"/>
        </w:rPr>
        <w:footnoteReference w:id="4"/>
      </w:r>
      <w:r w:rsidRPr="00435790">
        <w:rPr>
          <w:rFonts w:ascii="Times New Roman" w:eastAsia="Arial" w:hAnsi="Times New Roman" w:cs="Times New Roman"/>
          <w:sz w:val="24"/>
          <w:szCs w:val="24"/>
          <w:lang w:val="es-GT" w:eastAsia="es-MX"/>
        </w:rPr>
        <w:t xml:space="preserve">.  Esta legalizaba el ejercicio de la violencia y la discriminación contra la población LGBTIQ+, bajo el reconocimiento de la diversidad sexual como incompatible a la naturaleza humana. </w:t>
      </w:r>
      <w:r w:rsidRPr="00435790">
        <w:rPr>
          <w:rFonts w:ascii="Times New Roman" w:eastAsia="Arial" w:hAnsi="Times New Roman" w:cs="Times New Roman"/>
          <w:sz w:val="24"/>
          <w:szCs w:val="24"/>
          <w:lang w:val="es-GT" w:eastAsia="es-MX"/>
        </w:rPr>
        <w:lastRenderedPageBreak/>
        <w:t xml:space="preserve">Además, instalaba reformas al Código Penal guatemalteco para aumentar las penas por aborto, conceptualizar el </w:t>
      </w:r>
      <w:sdt>
        <w:sdtPr>
          <w:rPr>
            <w:rFonts w:ascii="Times New Roman" w:hAnsi="Times New Roman" w:cs="Times New Roman"/>
            <w:sz w:val="24"/>
            <w:szCs w:val="24"/>
            <w:lang w:val="es-GT" w:eastAsia="es-MX"/>
          </w:rPr>
          <w:tag w:val="goog_rdk_3"/>
          <w:id w:val="-786048902"/>
        </w:sdtPr>
        <w:sdtContent>
          <w:r w:rsidRPr="00435790">
            <w:rPr>
              <w:rFonts w:ascii="Times New Roman" w:eastAsia="Arial" w:hAnsi="Times New Roman" w:cs="Times New Roman"/>
              <w:sz w:val="24"/>
              <w:szCs w:val="24"/>
              <w:lang w:val="es-GT" w:eastAsia="es-MX"/>
            </w:rPr>
            <w:t>aborto</w:t>
          </w:r>
        </w:sdtContent>
      </w:sdt>
      <w:sdt>
        <w:sdtPr>
          <w:rPr>
            <w:rFonts w:ascii="Times New Roman" w:hAnsi="Times New Roman" w:cs="Times New Roman"/>
            <w:sz w:val="24"/>
            <w:szCs w:val="24"/>
            <w:lang w:val="es-GT" w:eastAsia="es-MX"/>
          </w:rPr>
          <w:tag w:val="goog_rdk_4"/>
          <w:id w:val="595212992"/>
          <w:showingPlcHdr/>
        </w:sdtPr>
        <w:sdtContent>
          <w:r w:rsidRPr="00435790">
            <w:rPr>
              <w:rFonts w:ascii="Times New Roman" w:hAnsi="Times New Roman" w:cs="Times New Roman"/>
              <w:sz w:val="24"/>
              <w:szCs w:val="24"/>
              <w:lang w:val="es-GT" w:eastAsia="es-MX"/>
            </w:rPr>
            <w:t xml:space="preserve">     </w:t>
          </w:r>
        </w:sdtContent>
      </w:sdt>
      <w:r w:rsidRPr="00435790">
        <w:rPr>
          <w:rFonts w:ascii="Times New Roman" w:eastAsia="Arial" w:hAnsi="Times New Roman" w:cs="Times New Roman"/>
          <w:sz w:val="24"/>
          <w:szCs w:val="24"/>
          <w:lang w:val="es-GT" w:eastAsia="es-MX"/>
        </w:rPr>
        <w:t>espontáneo como delito y penalizar cualquier tipo de información pública o privada sobre aborto y Educación Integral en Sexualidad (EIS).</w:t>
      </w:r>
    </w:p>
    <w:p w14:paraId="7DD274C4"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Esta iniciativa fue aprobada el día 8 de marzo de 2022, durante la conmemoración del </w:t>
      </w:r>
      <w:r w:rsidRPr="00435790">
        <w:rPr>
          <w:rFonts w:ascii="Times New Roman" w:eastAsia="Arial" w:hAnsi="Times New Roman" w:cs="Times New Roman"/>
          <w:b/>
          <w:i/>
          <w:sz w:val="24"/>
          <w:szCs w:val="24"/>
          <w:lang w:val="es-GT" w:eastAsia="es-MX"/>
        </w:rPr>
        <w:t>“Día Internacional de la Mujer”,</w:t>
      </w:r>
      <w:r w:rsidRPr="00435790">
        <w:rPr>
          <w:rFonts w:ascii="Times New Roman" w:eastAsia="Arial" w:hAnsi="Times New Roman" w:cs="Times New Roman"/>
          <w:sz w:val="24"/>
          <w:szCs w:val="24"/>
          <w:lang w:val="es-GT" w:eastAsia="es-MX"/>
        </w:rPr>
        <w:t xml:space="preserve"> con 119 votos en el Congreso de la República bajo el Decreto 18-2022 “Ley de Protección a la Vida y la Familia”. Ante la presión ciudadana nacional, de la comunidad internacional y los llamados de varios comités de DDHH de las Naciones Unidas al Estado, el mismo fue archivado y quedó sin vigencia una semana después.</w:t>
      </w:r>
    </w:p>
    <w:p w14:paraId="0DD66D3B" w14:textId="57EBA944"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En septiembre de 2021, 19 diputados y diputadas del Congreso de la </w:t>
      </w:r>
      <w:proofErr w:type="gramStart"/>
      <w:r w:rsidRPr="00435790">
        <w:rPr>
          <w:rFonts w:ascii="Times New Roman" w:eastAsia="Arial" w:hAnsi="Times New Roman" w:cs="Times New Roman"/>
          <w:sz w:val="24"/>
          <w:szCs w:val="24"/>
          <w:lang w:val="es-GT" w:eastAsia="es-MX"/>
        </w:rPr>
        <w:t>República,</w:t>
      </w:r>
      <w:proofErr w:type="gramEnd"/>
      <w:r w:rsidRPr="00435790">
        <w:rPr>
          <w:rFonts w:ascii="Times New Roman" w:eastAsia="Arial" w:hAnsi="Times New Roman" w:cs="Times New Roman"/>
          <w:sz w:val="24"/>
          <w:szCs w:val="24"/>
          <w:lang w:val="es-GT" w:eastAsia="es-MX"/>
        </w:rPr>
        <w:t xml:space="preserve"> impulsaron: </w:t>
      </w:r>
      <w:r w:rsidRPr="00435790">
        <w:rPr>
          <w:rFonts w:ascii="Times New Roman" w:eastAsia="Arial" w:hAnsi="Times New Roman" w:cs="Times New Roman"/>
          <w:b/>
          <w:i/>
          <w:sz w:val="24"/>
          <w:szCs w:val="24"/>
          <w:lang w:val="es-GT" w:eastAsia="es-MX"/>
        </w:rPr>
        <w:t>la iniciativa 5940</w:t>
      </w:r>
      <w:r w:rsidRPr="00435790">
        <w:rPr>
          <w:rFonts w:ascii="Times New Roman" w:eastAsia="Arial" w:hAnsi="Times New Roman" w:cs="Times New Roman"/>
          <w:sz w:val="24"/>
          <w:szCs w:val="24"/>
          <w:lang w:val="es-GT" w:eastAsia="es-MX"/>
        </w:rPr>
        <w:t xml:space="preserve"> </w:t>
      </w:r>
      <w:r w:rsidRPr="00435790">
        <w:rPr>
          <w:rFonts w:ascii="Times New Roman" w:eastAsia="Arial" w:hAnsi="Times New Roman" w:cs="Times New Roman"/>
          <w:b/>
          <w:i/>
          <w:sz w:val="24"/>
          <w:szCs w:val="24"/>
          <w:lang w:val="es-GT" w:eastAsia="es-MX"/>
        </w:rPr>
        <w:t>“Ley para Garantizar la Protección Integral de la Niñez y Adolescencia contra los Trastornos de la Identidad de Género</w:t>
      </w:r>
      <w:r w:rsidRPr="00435790">
        <w:rPr>
          <w:rFonts w:ascii="Times New Roman" w:eastAsia="Arial" w:hAnsi="Times New Roman" w:cs="Times New Roman"/>
          <w:i/>
          <w:sz w:val="24"/>
          <w:szCs w:val="24"/>
          <w:lang w:val="es-GT" w:eastAsia="es-MX"/>
        </w:rPr>
        <w:t>”</w:t>
      </w:r>
      <w:r w:rsidRPr="00435790">
        <w:rPr>
          <w:rFonts w:ascii="Times New Roman" w:eastAsia="Arial" w:hAnsi="Times New Roman" w:cs="Times New Roman"/>
          <w:sz w:val="24"/>
          <w:szCs w:val="24"/>
          <w:lang w:val="es-GT" w:eastAsia="es-MX"/>
        </w:rPr>
        <w:t>,</w:t>
      </w:r>
      <w:r w:rsidRPr="00435790">
        <w:rPr>
          <w:rFonts w:ascii="Times New Roman" w:eastAsia="Arial" w:hAnsi="Times New Roman" w:cs="Times New Roman"/>
          <w:sz w:val="24"/>
          <w:szCs w:val="24"/>
          <w:vertAlign w:val="superscript"/>
          <w:lang w:val="es-GT" w:eastAsia="es-MX"/>
        </w:rPr>
        <w:footnoteReference w:id="5"/>
      </w:r>
      <w:r w:rsidRPr="00435790">
        <w:rPr>
          <w:rFonts w:ascii="Times New Roman" w:eastAsia="Arial" w:hAnsi="Times New Roman" w:cs="Times New Roman"/>
          <w:sz w:val="24"/>
          <w:szCs w:val="24"/>
          <w:lang w:val="es-GT" w:eastAsia="es-MX"/>
        </w:rPr>
        <w:t xml:space="preserve"> que apunta a sostener discursos de odio </w:t>
      </w:r>
      <w:r w:rsidR="00435790" w:rsidRPr="00435790">
        <w:rPr>
          <w:rFonts w:ascii="Times New Roman" w:eastAsia="Arial" w:hAnsi="Times New Roman" w:cs="Times New Roman"/>
          <w:sz w:val="24"/>
          <w:szCs w:val="24"/>
          <w:lang w:val="es-GT" w:eastAsia="es-MX"/>
        </w:rPr>
        <w:t>y patologiza</w:t>
      </w:r>
      <w:r w:rsidRPr="00435790">
        <w:rPr>
          <w:rFonts w:ascii="Times New Roman" w:eastAsia="Arial" w:hAnsi="Times New Roman" w:cs="Times New Roman"/>
          <w:sz w:val="24"/>
          <w:szCs w:val="24"/>
          <w:lang w:val="es-GT" w:eastAsia="es-MX"/>
        </w:rPr>
        <w:t xml:space="preserve"> a las personas trans. En su artículo 14, reconoce que la niñez y adolescencia no puede asumir el género como distinto a sus genitales. Asimismo, clasifica como “pornográfico” (artículos 59 y 60) cualquier contenido que visibilice la experiencia de personas trans en programas de educación sexual o medios de comunicación.</w:t>
      </w:r>
    </w:p>
    <w:p w14:paraId="762924CE"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En octubre de 2021, el Estado de Guatemala se adhiere al </w:t>
      </w:r>
      <w:r w:rsidRPr="00435790">
        <w:rPr>
          <w:rFonts w:ascii="Times New Roman" w:eastAsia="Arial" w:hAnsi="Times New Roman" w:cs="Times New Roman"/>
          <w:b/>
          <w:i/>
          <w:sz w:val="24"/>
          <w:szCs w:val="24"/>
          <w:lang w:val="es-GT" w:eastAsia="es-MX"/>
        </w:rPr>
        <w:t>“Consenso de Ginebra para Promover la Salud de la Mujer y la Promoción de la Familia”</w:t>
      </w:r>
      <w:r w:rsidRPr="00435790">
        <w:rPr>
          <w:rFonts w:ascii="Times New Roman" w:eastAsia="Arial" w:hAnsi="Times New Roman" w:cs="Times New Roman"/>
          <w:sz w:val="24"/>
          <w:szCs w:val="24"/>
          <w:lang w:val="es-GT" w:eastAsia="es-MX"/>
        </w:rPr>
        <w:t>. Esta acción representó para el Gobierno una oportunidad para manifestarse desde su postura conservadora frente a la comunidad internacional y posicionarse en contra de la agenda de derechos humanos de las mujeres y de los derechos sexuales y reproductivos, especialmente frente a los esfuerzos que se han desarrollado por garantizar servicios de aborto seguro. Sin embargo, desde la legislación y el marco político se han contravenido los esfuerzos y todos los caminos de posibilidad para garantizar el acceso a aborto legal y seguro.</w:t>
      </w:r>
    </w:p>
    <w:p w14:paraId="2375F1C4" w14:textId="77777777" w:rsidR="00A34F9B" w:rsidRPr="00435790" w:rsidRDefault="00000000"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sdt>
        <w:sdtPr>
          <w:rPr>
            <w:rFonts w:ascii="Times New Roman" w:hAnsi="Times New Roman" w:cs="Times New Roman"/>
            <w:sz w:val="24"/>
            <w:szCs w:val="24"/>
            <w:lang w:val="es-GT" w:eastAsia="es-MX"/>
          </w:rPr>
          <w:tag w:val="goog_rdk_5"/>
          <w:id w:val="875347726"/>
        </w:sdtPr>
        <w:sdtContent/>
      </w:sdt>
      <w:sdt>
        <w:sdtPr>
          <w:rPr>
            <w:rFonts w:ascii="Times New Roman" w:hAnsi="Times New Roman" w:cs="Times New Roman"/>
            <w:sz w:val="24"/>
            <w:szCs w:val="24"/>
            <w:lang w:val="es-GT" w:eastAsia="es-MX"/>
          </w:rPr>
          <w:tag w:val="goog_rdk_6"/>
          <w:id w:val="-734701796"/>
        </w:sdtPr>
        <w:sdtContent/>
      </w:sdt>
      <w:r w:rsidR="00A34F9B" w:rsidRPr="00435790">
        <w:rPr>
          <w:rFonts w:ascii="Times New Roman" w:hAnsi="Times New Roman" w:cs="Times New Roman"/>
          <w:sz w:val="24"/>
          <w:szCs w:val="24"/>
          <w:lang w:val="es-GT" w:eastAsia="es-MX"/>
        </w:rPr>
        <w:t>Pese a que e</w:t>
      </w:r>
      <w:r w:rsidR="00A34F9B" w:rsidRPr="00435790">
        <w:rPr>
          <w:rFonts w:ascii="Times New Roman" w:eastAsia="Arial" w:hAnsi="Times New Roman" w:cs="Times New Roman"/>
          <w:sz w:val="24"/>
          <w:szCs w:val="24"/>
          <w:lang w:val="es-GT" w:eastAsia="es-MX"/>
        </w:rPr>
        <w:t>l MINEDUC reportó que a través del programa EIS y sus fascículos de VIH</w:t>
      </w:r>
      <w:r w:rsidR="00A34F9B" w:rsidRPr="00435790">
        <w:rPr>
          <w:rFonts w:ascii="Times New Roman" w:eastAsia="Arial" w:hAnsi="Times New Roman" w:cs="Times New Roman"/>
          <w:sz w:val="24"/>
          <w:szCs w:val="24"/>
          <w:vertAlign w:val="superscript"/>
          <w:lang w:val="es-GT" w:eastAsia="es-MX"/>
        </w:rPr>
        <w:footnoteReference w:id="6"/>
      </w:r>
      <w:r w:rsidR="00A34F9B" w:rsidRPr="00435790">
        <w:rPr>
          <w:rFonts w:ascii="Times New Roman" w:eastAsia="Arial" w:hAnsi="Times New Roman" w:cs="Times New Roman"/>
          <w:sz w:val="24"/>
          <w:szCs w:val="24"/>
          <w:lang w:val="es-GT" w:eastAsia="es-MX"/>
        </w:rPr>
        <w:t xml:space="preserve">, aborda la no discriminación y la atención del acoso escolar homofóbico o </w:t>
      </w:r>
      <w:proofErr w:type="gramStart"/>
      <w:r w:rsidR="00A34F9B" w:rsidRPr="00435790">
        <w:rPr>
          <w:rFonts w:ascii="Times New Roman" w:eastAsia="Arial" w:hAnsi="Times New Roman" w:cs="Times New Roman"/>
          <w:sz w:val="24"/>
          <w:szCs w:val="24"/>
          <w:lang w:val="es-GT" w:eastAsia="es-MX"/>
        </w:rPr>
        <w:t>bullying</w:t>
      </w:r>
      <w:proofErr w:type="gramEnd"/>
      <w:r w:rsidR="00A34F9B" w:rsidRPr="00435790">
        <w:rPr>
          <w:rFonts w:ascii="Times New Roman" w:eastAsia="Arial" w:hAnsi="Times New Roman" w:cs="Times New Roman"/>
          <w:sz w:val="24"/>
          <w:szCs w:val="24"/>
          <w:lang w:val="es-GT" w:eastAsia="es-MX"/>
        </w:rPr>
        <w:t>, la práctica evidencia que no existen protocolos ni enfoques que aborden este tipo de violencia por cuestión de orientación sexual, identidad de género y expresión de género.</w:t>
      </w:r>
    </w:p>
    <w:p w14:paraId="7EC8BAA6"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Actualmente está vigente la </w:t>
      </w:r>
      <w:r w:rsidRPr="00435790">
        <w:rPr>
          <w:rFonts w:ascii="Times New Roman" w:eastAsia="Arial" w:hAnsi="Times New Roman" w:cs="Times New Roman"/>
          <w:b/>
          <w:i/>
          <w:sz w:val="24"/>
          <w:szCs w:val="24"/>
          <w:lang w:val="es-GT" w:eastAsia="es-MX"/>
        </w:rPr>
        <w:t>Política de Protección a la Vida y la Institucionalidad de la Familia</w:t>
      </w:r>
      <w:r w:rsidRPr="00435790">
        <w:rPr>
          <w:rFonts w:ascii="Times New Roman" w:eastAsia="Arial" w:hAnsi="Times New Roman" w:cs="Times New Roman"/>
          <w:sz w:val="24"/>
          <w:szCs w:val="24"/>
          <w:lang w:val="es-GT" w:eastAsia="es-MX"/>
        </w:rPr>
        <w:t xml:space="preserve"> </w:t>
      </w:r>
      <w:r w:rsidRPr="00435790">
        <w:rPr>
          <w:rFonts w:ascii="Times New Roman" w:eastAsia="Arial" w:hAnsi="Times New Roman" w:cs="Times New Roman"/>
          <w:b/>
          <w:i/>
          <w:sz w:val="24"/>
          <w:szCs w:val="24"/>
          <w:lang w:val="es-GT" w:eastAsia="es-MX"/>
        </w:rPr>
        <w:t>(2021-2032)</w:t>
      </w:r>
      <w:r w:rsidRPr="00435790">
        <w:rPr>
          <w:rFonts w:ascii="Times New Roman" w:eastAsia="Arial" w:hAnsi="Times New Roman" w:cs="Times New Roman"/>
          <w:sz w:val="24"/>
          <w:szCs w:val="24"/>
          <w:lang w:val="es-GT" w:eastAsia="es-MX"/>
        </w:rPr>
        <w:t xml:space="preserve"> que fue aprobada el 20 de julio de 2021, en la que su objetivo principal es la prohibición de la educación sexual y el acceso a información sobre diversidad sexual, lo que atenta fuertemente al sistema educativo y a miles de niñas, adolescentes y jóvenes que tienen derecho a acceder a información y a visibilizar la escuela como un espacio seguro.</w:t>
      </w:r>
    </w:p>
    <w:p w14:paraId="75AD7953"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El 9 de febrero de 2022, el Congreso de la República aprobó el </w:t>
      </w:r>
      <w:r w:rsidRPr="00435790">
        <w:rPr>
          <w:rFonts w:ascii="Times New Roman" w:eastAsia="Arial" w:hAnsi="Times New Roman" w:cs="Times New Roman"/>
          <w:b/>
          <w:i/>
          <w:sz w:val="24"/>
          <w:szCs w:val="24"/>
          <w:lang w:val="es-GT" w:eastAsia="es-MX"/>
        </w:rPr>
        <w:t>Decreto 9-2022, para nombrar el 9 de marzo de cada año como el “Día por la Vida y la Familia”</w:t>
      </w:r>
      <w:r w:rsidRPr="00435790">
        <w:rPr>
          <w:rFonts w:ascii="Times New Roman" w:eastAsia="Arial" w:hAnsi="Times New Roman" w:cs="Times New Roman"/>
          <w:sz w:val="24"/>
          <w:szCs w:val="24"/>
          <w:lang w:val="es-GT" w:eastAsia="es-MX"/>
        </w:rPr>
        <w:t>, en el que se establece que todas las instituciones gubernamentales deben realizar actividades en la que se destaquen la importancia del respeto a la vida y a la familia, el No al aborto y el No a la violencia. El 9 de marzo de este año, se realizó la primera acción pública nombrando a Guatemala como la</w:t>
      </w:r>
      <w:r w:rsidRPr="00435790">
        <w:rPr>
          <w:rFonts w:ascii="Times New Roman" w:eastAsia="Arial" w:hAnsi="Times New Roman" w:cs="Times New Roman"/>
          <w:i/>
          <w:sz w:val="24"/>
          <w:szCs w:val="24"/>
          <w:lang w:val="es-GT" w:eastAsia="es-MX"/>
        </w:rPr>
        <w:t xml:space="preserve"> </w:t>
      </w:r>
      <w:r w:rsidRPr="00435790">
        <w:rPr>
          <w:rFonts w:ascii="Times New Roman" w:eastAsia="Arial" w:hAnsi="Times New Roman" w:cs="Times New Roman"/>
          <w:b/>
          <w:i/>
          <w:sz w:val="24"/>
          <w:szCs w:val="24"/>
          <w:lang w:val="es-GT" w:eastAsia="es-MX"/>
        </w:rPr>
        <w:t>“Capital Provida de Iberoamérica”</w:t>
      </w:r>
      <w:r w:rsidRPr="00435790">
        <w:rPr>
          <w:rFonts w:ascii="Times New Roman" w:eastAsia="Arial" w:hAnsi="Times New Roman" w:cs="Times New Roman"/>
          <w:sz w:val="24"/>
          <w:szCs w:val="24"/>
          <w:lang w:val="es-GT" w:eastAsia="es-MX"/>
        </w:rPr>
        <w:t xml:space="preserve">.  Esta actividad se realizó en el marco del Congreso Iberoamericano de la Vida y la Familia, liderado por varias organizaciones religiosas de la región. El contenido simbólico de esta </w:t>
      </w:r>
      <w:proofErr w:type="gramStart"/>
      <w:r w:rsidRPr="00435790">
        <w:rPr>
          <w:rFonts w:ascii="Times New Roman" w:eastAsia="Arial" w:hAnsi="Times New Roman" w:cs="Times New Roman"/>
          <w:sz w:val="24"/>
          <w:szCs w:val="24"/>
          <w:lang w:val="es-GT" w:eastAsia="es-MX"/>
        </w:rPr>
        <w:t>acción,</w:t>
      </w:r>
      <w:proofErr w:type="gramEnd"/>
      <w:r w:rsidRPr="00435790">
        <w:rPr>
          <w:rFonts w:ascii="Times New Roman" w:eastAsia="Arial" w:hAnsi="Times New Roman" w:cs="Times New Roman"/>
          <w:sz w:val="24"/>
          <w:szCs w:val="24"/>
          <w:lang w:val="es-GT" w:eastAsia="es-MX"/>
        </w:rPr>
        <w:t xml:space="preserve"> otorga un campo de control discursivo altamente religioso al Estado, que puede minar las posibilidades de poner en agenda pública, temas vinculados a libertades y derechos sociales, especialmente en relación a mujeres y población LGBTIQ+. </w:t>
      </w:r>
    </w:p>
    <w:p w14:paraId="1B144B48" w14:textId="035F5016"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Es evidente </w:t>
      </w:r>
      <w:r w:rsidR="00435790" w:rsidRPr="00435790">
        <w:rPr>
          <w:rFonts w:ascii="Times New Roman" w:eastAsia="Arial" w:hAnsi="Times New Roman" w:cs="Times New Roman"/>
          <w:sz w:val="24"/>
          <w:szCs w:val="24"/>
          <w:lang w:val="es-GT" w:eastAsia="es-MX"/>
        </w:rPr>
        <w:t>que,</w:t>
      </w:r>
      <w:r w:rsidRPr="00435790">
        <w:rPr>
          <w:rFonts w:ascii="Times New Roman" w:eastAsia="Arial" w:hAnsi="Times New Roman" w:cs="Times New Roman"/>
          <w:sz w:val="24"/>
          <w:szCs w:val="24"/>
          <w:lang w:val="es-GT" w:eastAsia="es-MX"/>
        </w:rPr>
        <w:t xml:space="preserve"> durante los últimos años, el Estado ha adoptado una narrativa conservadora para impulsar acciones que restringen el acceso a los derechos sexuales y reproductivos de las mujeres jóvenes. </w:t>
      </w:r>
      <w:r w:rsidR="00435790" w:rsidRPr="00435790">
        <w:rPr>
          <w:rFonts w:ascii="Times New Roman" w:eastAsia="Arial" w:hAnsi="Times New Roman" w:cs="Times New Roman"/>
          <w:sz w:val="24"/>
          <w:szCs w:val="24"/>
          <w:lang w:val="es-GT" w:eastAsia="es-MX"/>
        </w:rPr>
        <w:t>La promulgación de leyes regresivas aumenta</w:t>
      </w:r>
      <w:r w:rsidRPr="00435790">
        <w:rPr>
          <w:rFonts w:ascii="Times New Roman" w:eastAsia="Arial" w:hAnsi="Times New Roman" w:cs="Times New Roman"/>
          <w:sz w:val="24"/>
          <w:szCs w:val="24"/>
          <w:lang w:val="es-GT" w:eastAsia="es-MX"/>
        </w:rPr>
        <w:t xml:space="preserve"> el control sobre los cuerpos de las mujeres jóvenes en su diversidad y restringen el espacio para la participación y manifestación social, </w:t>
      </w:r>
      <w:r w:rsidR="00435790" w:rsidRPr="00435790">
        <w:rPr>
          <w:rFonts w:ascii="Times New Roman" w:eastAsia="Arial" w:hAnsi="Times New Roman" w:cs="Times New Roman"/>
          <w:sz w:val="24"/>
          <w:szCs w:val="24"/>
          <w:lang w:val="es-GT" w:eastAsia="es-MX"/>
        </w:rPr>
        <w:t>como la</w:t>
      </w:r>
      <w:r w:rsidRPr="00435790">
        <w:rPr>
          <w:rFonts w:ascii="Times New Roman" w:eastAsia="Arial" w:hAnsi="Times New Roman" w:cs="Times New Roman"/>
          <w:sz w:val="24"/>
          <w:szCs w:val="24"/>
          <w:lang w:val="es-GT" w:eastAsia="es-MX"/>
        </w:rPr>
        <w:t xml:space="preserve"> </w:t>
      </w:r>
      <w:r w:rsidRPr="00435790">
        <w:rPr>
          <w:rFonts w:ascii="Times New Roman" w:eastAsia="Arial" w:hAnsi="Times New Roman" w:cs="Times New Roman"/>
          <w:b/>
          <w:i/>
          <w:sz w:val="24"/>
          <w:szCs w:val="24"/>
          <w:lang w:val="es-GT" w:eastAsia="es-MX"/>
        </w:rPr>
        <w:t xml:space="preserve">Ley de </w:t>
      </w:r>
      <w:proofErr w:type="spellStart"/>
      <w:r w:rsidRPr="00435790">
        <w:rPr>
          <w:rFonts w:ascii="Times New Roman" w:eastAsia="Arial" w:hAnsi="Times New Roman" w:cs="Times New Roman"/>
          <w:b/>
          <w:i/>
          <w:sz w:val="24"/>
          <w:szCs w:val="24"/>
          <w:lang w:val="es-GT" w:eastAsia="es-MX"/>
        </w:rPr>
        <w:t>ONGs</w:t>
      </w:r>
      <w:proofErr w:type="spellEnd"/>
      <w:r w:rsidRPr="00435790">
        <w:rPr>
          <w:rFonts w:ascii="Times New Roman" w:eastAsia="Arial" w:hAnsi="Times New Roman" w:cs="Times New Roman"/>
          <w:b/>
          <w:i/>
          <w:sz w:val="24"/>
          <w:szCs w:val="24"/>
          <w:lang w:val="es-GT" w:eastAsia="es-MX"/>
        </w:rPr>
        <w:t>, Decreto No. 4-2020,</w:t>
      </w:r>
      <w:r w:rsidRPr="00435790">
        <w:rPr>
          <w:rFonts w:ascii="Times New Roman" w:eastAsia="Arial" w:hAnsi="Times New Roman" w:cs="Times New Roman"/>
          <w:sz w:val="24"/>
          <w:szCs w:val="24"/>
          <w:lang w:val="es-GT" w:eastAsia="es-MX"/>
        </w:rPr>
        <w:t xml:space="preserve"> que busca controlar toda acción de </w:t>
      </w:r>
      <w:proofErr w:type="gramStart"/>
      <w:r w:rsidRPr="00435790">
        <w:rPr>
          <w:rFonts w:ascii="Times New Roman" w:eastAsia="Arial" w:hAnsi="Times New Roman" w:cs="Times New Roman"/>
          <w:sz w:val="24"/>
          <w:szCs w:val="24"/>
          <w:lang w:val="es-GT" w:eastAsia="es-MX"/>
        </w:rPr>
        <w:t>las sociedad civil</w:t>
      </w:r>
      <w:proofErr w:type="gramEnd"/>
      <w:r w:rsidRPr="00435790">
        <w:rPr>
          <w:rFonts w:ascii="Times New Roman" w:eastAsia="Arial" w:hAnsi="Times New Roman" w:cs="Times New Roman"/>
          <w:sz w:val="24"/>
          <w:szCs w:val="24"/>
          <w:lang w:val="es-GT" w:eastAsia="es-MX"/>
        </w:rPr>
        <w:t xml:space="preserve"> que vaya en contra del “orden </w:t>
      </w:r>
      <w:r w:rsidRPr="00435790">
        <w:rPr>
          <w:rFonts w:ascii="Times New Roman" w:eastAsia="Arial" w:hAnsi="Times New Roman" w:cs="Times New Roman"/>
          <w:sz w:val="24"/>
          <w:szCs w:val="24"/>
          <w:lang w:val="es-GT" w:eastAsia="es-MX"/>
        </w:rPr>
        <w:lastRenderedPageBreak/>
        <w:t>público”, criminalizando a los movimientos sociales, a las activistas y defensoras de derechos humanos.</w:t>
      </w:r>
    </w:p>
    <w:p w14:paraId="7498D2CF"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En mayo de 2022 se presentó la </w:t>
      </w:r>
      <w:r w:rsidRPr="00435790">
        <w:rPr>
          <w:rFonts w:ascii="Times New Roman" w:eastAsia="Arial" w:hAnsi="Times New Roman" w:cs="Times New Roman"/>
          <w:b/>
          <w:i/>
          <w:sz w:val="24"/>
          <w:szCs w:val="24"/>
          <w:lang w:val="es-GT" w:eastAsia="es-MX"/>
        </w:rPr>
        <w:t>iniciativa 6076 “Ley para el Fortalecimiento de las Fuerzas de Seguridad Pública y del Ejército de Guatemala</w:t>
      </w:r>
      <w:r w:rsidRPr="00435790">
        <w:rPr>
          <w:rFonts w:ascii="Times New Roman" w:eastAsia="Arial" w:hAnsi="Times New Roman" w:cs="Times New Roman"/>
          <w:b/>
          <w:i/>
          <w:sz w:val="24"/>
          <w:szCs w:val="24"/>
          <w:vertAlign w:val="superscript"/>
          <w:lang w:val="es-GT" w:eastAsia="es-MX"/>
        </w:rPr>
        <w:footnoteReference w:id="7"/>
      </w:r>
      <w:r w:rsidRPr="00435790">
        <w:rPr>
          <w:rFonts w:ascii="Times New Roman" w:eastAsia="Arial" w:hAnsi="Times New Roman" w:cs="Times New Roman"/>
          <w:b/>
          <w:i/>
          <w:sz w:val="24"/>
          <w:szCs w:val="24"/>
          <w:lang w:val="es-GT" w:eastAsia="es-MX"/>
        </w:rPr>
        <w:t xml:space="preserve">”. </w:t>
      </w:r>
      <w:r w:rsidRPr="00435790">
        <w:rPr>
          <w:rFonts w:ascii="Times New Roman" w:eastAsia="Arial" w:hAnsi="Times New Roman" w:cs="Times New Roman"/>
          <w:sz w:val="24"/>
          <w:szCs w:val="24"/>
          <w:lang w:val="es-GT" w:eastAsia="es-MX"/>
        </w:rPr>
        <w:t xml:space="preserve">Esto contraviene gravemente el ejercicio de derechos sociales y libertades políticas, poniendo en riesgo el trabajo de las mujeres activistas, pues faculta a las Fuerzas Armadas tomar medidas autoritarias para evitar cualquier tipo de manifestación. Aunque el 24 de agosto de la junta directiva del Congreso de la República decidió </w:t>
      </w:r>
      <w:r w:rsidRPr="00435790">
        <w:rPr>
          <w:rFonts w:ascii="Times New Roman" w:eastAsia="Arial" w:hAnsi="Times New Roman" w:cs="Times New Roman"/>
          <w:i/>
          <w:sz w:val="24"/>
          <w:szCs w:val="24"/>
          <w:lang w:val="es-GT" w:eastAsia="es-MX"/>
        </w:rPr>
        <w:t>engavetarla</w:t>
      </w:r>
      <w:r w:rsidRPr="00435790">
        <w:rPr>
          <w:rFonts w:ascii="Times New Roman" w:eastAsia="Arial" w:hAnsi="Times New Roman" w:cs="Times New Roman"/>
          <w:i/>
          <w:sz w:val="24"/>
          <w:szCs w:val="24"/>
          <w:vertAlign w:val="superscript"/>
          <w:lang w:val="es-GT" w:eastAsia="es-MX"/>
        </w:rPr>
        <w:footnoteReference w:id="8"/>
      </w:r>
      <w:r w:rsidRPr="00435790">
        <w:rPr>
          <w:rFonts w:ascii="Times New Roman" w:eastAsia="Arial" w:hAnsi="Times New Roman" w:cs="Times New Roman"/>
          <w:i/>
          <w:sz w:val="24"/>
          <w:szCs w:val="24"/>
          <w:lang w:val="es-GT" w:eastAsia="es-MX"/>
        </w:rPr>
        <w:t xml:space="preserve"> </w:t>
      </w:r>
      <w:r w:rsidRPr="00435790">
        <w:rPr>
          <w:rFonts w:ascii="Times New Roman" w:eastAsia="Arial" w:hAnsi="Times New Roman" w:cs="Times New Roman"/>
          <w:sz w:val="24"/>
          <w:szCs w:val="24"/>
          <w:lang w:val="es-GT" w:eastAsia="es-MX"/>
        </w:rPr>
        <w:t>(figura que jurídicamente no existe) es una amenaza latente el imponer acciones represivas para las personas. Sin embargo, poco después el diputado Julio Lainfiesta de la UCN recordó que en cualquier momento pueden requerir su aprobación en tercera lectura</w:t>
      </w:r>
      <w:r w:rsidRPr="00435790">
        <w:rPr>
          <w:rFonts w:ascii="Times New Roman" w:eastAsia="Arial" w:hAnsi="Times New Roman" w:cs="Times New Roman"/>
          <w:sz w:val="24"/>
          <w:szCs w:val="24"/>
          <w:vertAlign w:val="superscript"/>
          <w:lang w:val="es-GT" w:eastAsia="es-MX"/>
        </w:rPr>
        <w:footnoteReference w:id="9"/>
      </w:r>
      <w:r w:rsidRPr="00435790">
        <w:rPr>
          <w:rFonts w:ascii="Times New Roman" w:eastAsia="Arial" w:hAnsi="Times New Roman" w:cs="Times New Roman"/>
          <w:sz w:val="24"/>
          <w:szCs w:val="24"/>
          <w:lang w:val="es-GT" w:eastAsia="es-MX"/>
        </w:rPr>
        <w:t>.</w:t>
      </w:r>
    </w:p>
    <w:p w14:paraId="25DC3E3F"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Al respecto, es importante recordar al Estado de Guatemala el compromiso de generar acciones que respondan y vayan alineadas a las recomendaciones que este comité ha realizado, pues tal y como se establece en el párrafo 25 de las Recomendaciones Generales de este Comité “la no discriminaciónpor razón de sexo, garantizada en el artículo 2 numeral 2 del Pacto, y la igualdad de las mujeres, garantizada en el artículo 3, requiere eliminar no sólo la discriminación directa, sino también la indirecta, y asegurar la igualdad formal y sustantiva”.</w:t>
      </w:r>
    </w:p>
    <w:p w14:paraId="0D4CB1DC" w14:textId="02BE4454"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La discriminación afecta de forma diferenciada a las mujeres, interseccionando diversas categorías que definen sus vidas. En Guatemala se reporta que la discriminación hacia personas trans en </w:t>
      </w:r>
      <w:r w:rsidR="00435790" w:rsidRPr="00435790">
        <w:rPr>
          <w:rFonts w:ascii="Times New Roman" w:eastAsia="Arial" w:hAnsi="Times New Roman" w:cs="Times New Roman"/>
          <w:sz w:val="24"/>
          <w:szCs w:val="24"/>
          <w:lang w:val="es-GT" w:eastAsia="es-MX"/>
        </w:rPr>
        <w:t>2021</w:t>
      </w:r>
      <w:r w:rsidRPr="00435790">
        <w:rPr>
          <w:rFonts w:ascii="Times New Roman" w:eastAsia="Arial" w:hAnsi="Times New Roman" w:cs="Times New Roman"/>
          <w:sz w:val="24"/>
          <w:szCs w:val="24"/>
          <w:lang w:val="es-GT" w:eastAsia="es-MX"/>
        </w:rPr>
        <w:t xml:space="preserve"> alcanzó el 59%, y en el 9% de los casos, estos hechos de violencia y discriminación ocurren en servicios de salud. Asimismo, las posibilidades de acceder a mecanismos de denuncia y justicia reparativa son limitadas. En el país se reportó que el 72% de las personas trans agredidas no iniciaron ningún proceso, especialmente por la poca confianza en el sistema de justicia.</w:t>
      </w:r>
    </w:p>
    <w:sdt>
      <w:sdtPr>
        <w:rPr>
          <w:rFonts w:ascii="Times New Roman" w:hAnsi="Times New Roman" w:cs="Times New Roman"/>
          <w:sz w:val="24"/>
          <w:szCs w:val="24"/>
          <w:lang w:val="es-GT" w:eastAsia="es-MX"/>
        </w:rPr>
        <w:tag w:val="goog_rdk_7"/>
        <w:id w:val="-1037504128"/>
      </w:sdtPr>
      <w:sdtContent>
        <w:p w14:paraId="18C39869" w14:textId="77777777" w:rsidR="008E30B9"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En el caso de las mujeres migrantes, mujeres que viven con VIH y/o con alguna discapacidad, la falta de datos estadísticos oficiales limita la comprensión de la discriminación que enfrentan. Sin embargo, varias investigaciones demuestran que la discriminación interseccional les afecta de manera desproporcionada y que no cuentan con mecanismos para acceder a la justicia. Aunque la legislación reconoce la discriminación por motivo de discapacidad, solamente se ha logrado una sentencia condenatoria por discapacidad. Eso demuestra que el tema continúa poco abordado. </w:t>
          </w:r>
        </w:p>
        <w:p w14:paraId="524FF686" w14:textId="5A701432" w:rsidR="00A34F9B" w:rsidRPr="00435790" w:rsidRDefault="00000000" w:rsidP="00435790">
          <w:pPr>
            <w:widowControl/>
            <w:autoSpaceDE/>
            <w:autoSpaceDN/>
            <w:spacing w:before="200" w:after="240" w:line="360" w:lineRule="auto"/>
            <w:ind w:left="283"/>
            <w:jc w:val="both"/>
            <w:rPr>
              <w:rFonts w:ascii="Times New Roman" w:eastAsia="Arial" w:hAnsi="Times New Roman" w:cs="Times New Roman"/>
              <w:sz w:val="24"/>
              <w:szCs w:val="24"/>
              <w:lang w:val="es-GT" w:eastAsia="es-MX"/>
            </w:rPr>
          </w:pPr>
        </w:p>
      </w:sdtContent>
    </w:sdt>
    <w:p w14:paraId="7753BDDB" w14:textId="77777777" w:rsidR="008E30B9" w:rsidRPr="00435790" w:rsidRDefault="008E30B9" w:rsidP="00435790">
      <w:pPr>
        <w:spacing w:after="200" w:line="360" w:lineRule="auto"/>
        <w:jc w:val="both"/>
        <w:rPr>
          <w:rFonts w:ascii="Times New Roman" w:eastAsia="Times New Roman" w:hAnsi="Times New Roman" w:cs="Times New Roman"/>
          <w:b/>
          <w:bCs/>
          <w:color w:val="222222"/>
          <w:sz w:val="24"/>
          <w:szCs w:val="24"/>
        </w:rPr>
      </w:pPr>
      <w:bookmarkStart w:id="0" w:name="_Hlk115694665"/>
      <w:r w:rsidRPr="00435790">
        <w:rPr>
          <w:rFonts w:ascii="Times New Roman" w:eastAsia="Times New Roman" w:hAnsi="Times New Roman" w:cs="Times New Roman"/>
          <w:b/>
          <w:bCs/>
          <w:color w:val="222222"/>
          <w:sz w:val="24"/>
          <w:szCs w:val="24"/>
        </w:rPr>
        <w:t>Preguntas al Estado de Guatemala</w:t>
      </w:r>
    </w:p>
    <w:p w14:paraId="4D2627B5" w14:textId="443314DB" w:rsidR="008E30B9" w:rsidRPr="00435790" w:rsidRDefault="008E30B9" w:rsidP="00435790">
      <w:pPr>
        <w:pStyle w:val="Prrafodelista"/>
        <w:numPr>
          <w:ilvl w:val="0"/>
          <w:numId w:val="4"/>
        </w:numPr>
        <w:spacing w:after="20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¿Qué medidas tomará el Estado de Guatemala para evitar legislación y políticas regresivas y discriminatorias a los derechos sexuales y reproductivos de las mujeres jóvenes LBTIQ+ y que se oponen a los estándares internacionales de Derechos Humanos?</w:t>
      </w:r>
    </w:p>
    <w:p w14:paraId="7F50D108" w14:textId="77777777" w:rsidR="008E30B9" w:rsidRPr="00435790" w:rsidRDefault="008E30B9" w:rsidP="00435790">
      <w:pPr>
        <w:pStyle w:val="Prrafodelista"/>
        <w:numPr>
          <w:ilvl w:val="0"/>
          <w:numId w:val="4"/>
        </w:numPr>
        <w:spacing w:after="20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 xml:space="preserve">¿Qué medidas tomará el Estado de Guatemala para eliminar el acoso escolar contra las niñas y adolescentes LBTIQ+? </w:t>
      </w:r>
    </w:p>
    <w:p w14:paraId="5897F35D" w14:textId="3C32AE2D" w:rsidR="008E30B9" w:rsidRPr="00435790" w:rsidRDefault="008E30B9" w:rsidP="00435790">
      <w:pPr>
        <w:pStyle w:val="Prrafodelista"/>
        <w:numPr>
          <w:ilvl w:val="0"/>
          <w:numId w:val="4"/>
        </w:numPr>
        <w:spacing w:after="20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¿De qué forma el Estado de Guatemala garantizará que sus políticas públicas tengan un enfoque interseccional que aborde las distintas opresiones que enfrentan los distintos grupos de mujeres jóvenes?</w:t>
      </w:r>
    </w:p>
    <w:bookmarkEnd w:id="0"/>
    <w:p w14:paraId="60B155F5" w14:textId="77777777" w:rsidR="00A34F9B" w:rsidRPr="00435790" w:rsidRDefault="00A34F9B" w:rsidP="00435790">
      <w:pPr>
        <w:widowControl/>
        <w:autoSpaceDE/>
        <w:autoSpaceDN/>
        <w:spacing w:after="240" w:line="360" w:lineRule="auto"/>
        <w:jc w:val="both"/>
        <w:rPr>
          <w:rFonts w:ascii="Times New Roman" w:hAnsi="Times New Roman" w:cs="Times New Roman"/>
          <w:b/>
          <w:sz w:val="24"/>
          <w:szCs w:val="24"/>
          <w:lang w:val="es-GT" w:eastAsia="es-MX"/>
        </w:rPr>
      </w:pPr>
    </w:p>
    <w:p w14:paraId="1D6AF087" w14:textId="7750172A" w:rsidR="00A34F9B" w:rsidRPr="00435790" w:rsidRDefault="00A34F9B" w:rsidP="00435790">
      <w:pPr>
        <w:widowControl/>
        <w:numPr>
          <w:ilvl w:val="0"/>
          <w:numId w:val="5"/>
        </w:numPr>
        <w:autoSpaceDE/>
        <w:autoSpaceDN/>
        <w:spacing w:after="240" w:line="360" w:lineRule="auto"/>
        <w:ind w:left="425"/>
        <w:jc w:val="both"/>
        <w:rPr>
          <w:rFonts w:ascii="Times New Roman" w:hAnsi="Times New Roman" w:cs="Times New Roman"/>
          <w:b/>
          <w:sz w:val="24"/>
          <w:szCs w:val="24"/>
          <w:lang w:val="es-GT" w:eastAsia="es-MX"/>
        </w:rPr>
      </w:pPr>
      <w:r w:rsidRPr="00435790">
        <w:rPr>
          <w:rFonts w:ascii="Times New Roman" w:hAnsi="Times New Roman" w:cs="Times New Roman"/>
          <w:b/>
          <w:sz w:val="24"/>
          <w:szCs w:val="24"/>
          <w:lang w:val="es-GT" w:eastAsia="es-MX"/>
        </w:rPr>
        <w:t>ARTÍCULO 2. MEDIDAS DE POLÍTICA</w:t>
      </w:r>
    </w:p>
    <w:p w14:paraId="2A9A1BBF" w14:textId="77777777" w:rsidR="00A34F9B" w:rsidRPr="00435790" w:rsidRDefault="00A34F9B" w:rsidP="00435790">
      <w:pPr>
        <w:widowControl/>
        <w:numPr>
          <w:ilvl w:val="0"/>
          <w:numId w:val="4"/>
        </w:numPr>
        <w:autoSpaceDE/>
        <w:autoSpaceDN/>
        <w:spacing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Las mujeres guatemaltecas nos encontramos expuestas a múltiples formas de violencia y discriminación, poniendo en riesgo el ejercicio de nuestros derechos, especialmente, el derecho a vivir nuestra sexualidad en plenitud. Pese a la necesidad latente de la respuesta del Estado de Guatemala a la atención de las demandas de todas las personas según su identidad sexual, política y jurídicamente continúa al margen de esta labor. Desde 2012, la Asamblea General de la Organización de Estados Americanos, hizo un llamado en su resolución A/RES 2721 (XLII-O/12) a condenar la discriminación contra personas por motivos de orientación sexual e identidad de género, e instar a los Estados dentro de los </w:t>
      </w:r>
      <w:r w:rsidRPr="00435790">
        <w:rPr>
          <w:rFonts w:ascii="Times New Roman" w:eastAsia="Arial" w:hAnsi="Times New Roman" w:cs="Times New Roman"/>
          <w:sz w:val="24"/>
          <w:szCs w:val="24"/>
          <w:lang w:val="es-GT" w:eastAsia="es-MX"/>
        </w:rPr>
        <w:lastRenderedPageBreak/>
        <w:t>parámetros de las instituciones jurídicas de sus sistemas a eliminar las barreras que enfrentan las lesbianas, los gays y las personas bisexuales, trans e intersex (LGTBI). Sin embargo, Guatemala no ha implementado operativamente en sus directrices políticas dicha resolución.</w:t>
      </w:r>
    </w:p>
    <w:p w14:paraId="75274AC5" w14:textId="5B38B15F" w:rsidR="00A34F9B" w:rsidRPr="00435790" w:rsidRDefault="00A34F9B" w:rsidP="00435790">
      <w:pPr>
        <w:widowControl/>
        <w:numPr>
          <w:ilvl w:val="0"/>
          <w:numId w:val="4"/>
        </w:numPr>
        <w:autoSpaceDE/>
        <w:autoSpaceDN/>
        <w:spacing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Como parte del reconocimiento las múltiples agencias en las que se desenvuelven las mujeres en Guatemala, la discriminación las ha afectado de formas muy diversas. Las mujeres jóvenes con </w:t>
      </w:r>
      <w:r w:rsidR="00435790" w:rsidRPr="00435790">
        <w:rPr>
          <w:rFonts w:ascii="Times New Roman" w:eastAsia="Arial" w:hAnsi="Times New Roman" w:cs="Times New Roman"/>
          <w:sz w:val="24"/>
          <w:szCs w:val="24"/>
          <w:lang w:val="es-GT" w:eastAsia="es-MX"/>
        </w:rPr>
        <w:t>discapacidad</w:t>
      </w:r>
      <w:r w:rsidRPr="00435790">
        <w:rPr>
          <w:rFonts w:ascii="Times New Roman" w:eastAsia="Arial" w:hAnsi="Times New Roman" w:cs="Times New Roman"/>
          <w:sz w:val="24"/>
          <w:szCs w:val="24"/>
          <w:lang w:val="es-GT" w:eastAsia="es-MX"/>
        </w:rPr>
        <w:t xml:space="preserve"> se enfrentan a un doble tipo de ella. La oficina del Procurador de Derechos Humanos en </w:t>
      </w:r>
      <w:r w:rsidR="00435790" w:rsidRPr="00435790">
        <w:rPr>
          <w:rFonts w:ascii="Times New Roman" w:eastAsia="Arial" w:hAnsi="Times New Roman" w:cs="Times New Roman"/>
          <w:sz w:val="24"/>
          <w:szCs w:val="24"/>
          <w:lang w:val="es-GT" w:eastAsia="es-MX"/>
        </w:rPr>
        <w:t>Guatemala</w:t>
      </w:r>
      <w:r w:rsidRPr="00435790">
        <w:rPr>
          <w:rFonts w:ascii="Times New Roman" w:eastAsia="Arial" w:hAnsi="Times New Roman" w:cs="Times New Roman"/>
          <w:sz w:val="24"/>
          <w:szCs w:val="24"/>
          <w:lang w:val="es-GT" w:eastAsia="es-MX"/>
        </w:rPr>
        <w:t xml:space="preserve"> ha registrado 412 denuncias de violación a los derechos humanos en personas con discapacidad, de 2017 a 2021. De las cuales, 127 corresponden a mujeres y 184 a hombres. El resto de los casos no registra el sexo de la persona denunciante</w:t>
      </w:r>
      <w:r w:rsidRPr="00435790">
        <w:rPr>
          <w:rFonts w:ascii="Times New Roman" w:eastAsia="Arial" w:hAnsi="Times New Roman" w:cs="Times New Roman"/>
          <w:sz w:val="24"/>
          <w:szCs w:val="24"/>
          <w:vertAlign w:val="superscript"/>
          <w:lang w:val="es-GT" w:eastAsia="es-MX"/>
        </w:rPr>
        <w:footnoteReference w:id="10"/>
      </w:r>
      <w:r w:rsidRPr="00435790">
        <w:rPr>
          <w:rFonts w:ascii="Times New Roman" w:eastAsia="Arial" w:hAnsi="Times New Roman" w:cs="Times New Roman"/>
          <w:sz w:val="24"/>
          <w:szCs w:val="24"/>
          <w:lang w:val="es-GT" w:eastAsia="es-MX"/>
        </w:rPr>
        <w:t xml:space="preserve">. </w:t>
      </w:r>
    </w:p>
    <w:p w14:paraId="27DBF155" w14:textId="034E1AE5" w:rsidR="008E30B9" w:rsidRPr="00435790" w:rsidRDefault="008E30B9"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El Estado de Guatemala en su décimo Informe periódico</w:t>
      </w:r>
      <w:r w:rsidRPr="00435790">
        <w:rPr>
          <w:rFonts w:ascii="Times New Roman" w:eastAsia="Arial" w:hAnsi="Times New Roman" w:cs="Times New Roman"/>
          <w:sz w:val="24"/>
          <w:szCs w:val="24"/>
          <w:vertAlign w:val="superscript"/>
          <w:lang w:val="es-GT" w:eastAsia="es-MX"/>
        </w:rPr>
        <w:footnoteReference w:id="11"/>
      </w:r>
      <w:r w:rsidRPr="00435790">
        <w:rPr>
          <w:rFonts w:ascii="Times New Roman" w:eastAsia="Arial" w:hAnsi="Times New Roman" w:cs="Times New Roman"/>
          <w:sz w:val="24"/>
          <w:szCs w:val="24"/>
          <w:lang w:val="es-GT" w:eastAsia="es-MX"/>
        </w:rPr>
        <w:t xml:space="preserve">, afirma que cumple con </w:t>
      </w:r>
      <w:r w:rsidR="00435790" w:rsidRPr="00435790">
        <w:rPr>
          <w:rFonts w:ascii="Times New Roman" w:eastAsia="Arial" w:hAnsi="Times New Roman" w:cs="Times New Roman"/>
          <w:sz w:val="24"/>
          <w:szCs w:val="24"/>
          <w:lang w:val="es-GT" w:eastAsia="es-MX"/>
        </w:rPr>
        <w:t>el artículo</w:t>
      </w:r>
      <w:r w:rsidRPr="00435790">
        <w:rPr>
          <w:rFonts w:ascii="Times New Roman" w:eastAsia="Arial" w:hAnsi="Times New Roman" w:cs="Times New Roman"/>
          <w:sz w:val="24"/>
          <w:szCs w:val="24"/>
          <w:lang w:val="es-GT" w:eastAsia="es-MX"/>
        </w:rPr>
        <w:t xml:space="preserve"> 104 de la </w:t>
      </w:r>
      <w:r w:rsidRPr="00435790">
        <w:rPr>
          <w:rFonts w:ascii="Times New Roman" w:eastAsia="Arial" w:hAnsi="Times New Roman" w:cs="Times New Roman"/>
          <w:i/>
          <w:sz w:val="24"/>
          <w:szCs w:val="24"/>
          <w:lang w:val="es-GT" w:eastAsia="es-MX"/>
        </w:rPr>
        <w:t>Ley del Presupuesto General de Ingresos y Egresos</w:t>
      </w:r>
      <w:r w:rsidRPr="00435790">
        <w:rPr>
          <w:rFonts w:ascii="Times New Roman" w:eastAsia="Arial" w:hAnsi="Times New Roman" w:cs="Times New Roman"/>
          <w:sz w:val="24"/>
          <w:szCs w:val="24"/>
          <w:lang w:val="es-GT" w:eastAsia="es-MX"/>
        </w:rPr>
        <w:t xml:space="preserve"> </w:t>
      </w:r>
      <w:r w:rsidRPr="00435790">
        <w:rPr>
          <w:rFonts w:ascii="Times New Roman" w:eastAsia="Arial" w:hAnsi="Times New Roman" w:cs="Times New Roman"/>
          <w:i/>
          <w:sz w:val="24"/>
          <w:szCs w:val="24"/>
          <w:lang w:val="es-GT" w:eastAsia="es-MX"/>
        </w:rPr>
        <w:t>del Estado</w:t>
      </w:r>
      <w:r w:rsidRPr="00435790">
        <w:rPr>
          <w:rFonts w:ascii="Times New Roman" w:eastAsia="Arial" w:hAnsi="Times New Roman" w:cs="Times New Roman"/>
          <w:sz w:val="24"/>
          <w:szCs w:val="24"/>
          <w:lang w:val="es-GT" w:eastAsia="es-MX"/>
        </w:rPr>
        <w:t xml:space="preserve"> (Decreto 25-2018), a través del cual el Ministerio de Gobernación -MINGOB- asigna presupuesto al Grupo Guatemalteco de Mujeres -GGM-, para la atención integral de las mujeres sobrevivientes de la violencia en los CAIMUS</w:t>
      </w:r>
      <w:r w:rsidRPr="00435790">
        <w:rPr>
          <w:rFonts w:ascii="Times New Roman" w:eastAsia="Arial" w:hAnsi="Times New Roman" w:cs="Times New Roman"/>
          <w:sz w:val="24"/>
          <w:szCs w:val="24"/>
          <w:vertAlign w:val="superscript"/>
          <w:lang w:val="es-GT" w:eastAsia="es-MX"/>
        </w:rPr>
        <w:footnoteReference w:id="12"/>
      </w:r>
      <w:r w:rsidRPr="00435790">
        <w:rPr>
          <w:rFonts w:ascii="Times New Roman" w:eastAsia="Arial" w:hAnsi="Times New Roman" w:cs="Times New Roman"/>
          <w:sz w:val="24"/>
          <w:szCs w:val="24"/>
          <w:lang w:val="es-GT" w:eastAsia="es-MX"/>
        </w:rPr>
        <w:t>. Sin embargo, durante los últimos gobiernos de turno, se han hecho esfuerzos para debilitar financieramente a estos centros. Tal como en el proyecto de presupuesto general para 2022, en el que se buscaba dejar a los CAIMUS sin los 9 millones de quetzales que les corresponden por normativa</w:t>
      </w:r>
      <w:r w:rsidRPr="00435790">
        <w:rPr>
          <w:rFonts w:ascii="Times New Roman" w:eastAsia="Arial" w:hAnsi="Times New Roman" w:cs="Times New Roman"/>
          <w:sz w:val="24"/>
          <w:szCs w:val="24"/>
          <w:vertAlign w:val="superscript"/>
          <w:lang w:val="es-GT" w:eastAsia="es-MX"/>
        </w:rPr>
        <w:footnoteReference w:id="13"/>
      </w:r>
      <w:r w:rsidRPr="00435790">
        <w:rPr>
          <w:rFonts w:ascii="Times New Roman" w:eastAsia="Arial" w:hAnsi="Times New Roman" w:cs="Times New Roman"/>
          <w:sz w:val="24"/>
          <w:szCs w:val="24"/>
          <w:lang w:val="es-GT" w:eastAsia="es-MX"/>
        </w:rPr>
        <w:t>.</w:t>
      </w:r>
    </w:p>
    <w:p w14:paraId="7CA6D8E6" w14:textId="77777777" w:rsidR="008E30B9" w:rsidRPr="00435790" w:rsidRDefault="008E30B9" w:rsidP="00435790">
      <w:pPr>
        <w:widowControl/>
        <w:autoSpaceDE/>
        <w:autoSpaceDN/>
        <w:spacing w:after="240" w:line="360" w:lineRule="auto"/>
        <w:ind w:left="283"/>
        <w:jc w:val="both"/>
        <w:rPr>
          <w:rFonts w:ascii="Times New Roman" w:eastAsia="Arial" w:hAnsi="Times New Roman" w:cs="Times New Roman"/>
          <w:sz w:val="24"/>
          <w:szCs w:val="24"/>
          <w:lang w:val="es-GT" w:eastAsia="es-MX"/>
        </w:rPr>
      </w:pPr>
    </w:p>
    <w:p w14:paraId="3CE1E903" w14:textId="77777777" w:rsidR="008E30B9" w:rsidRPr="00435790" w:rsidRDefault="008E30B9" w:rsidP="00435790">
      <w:pPr>
        <w:spacing w:after="200" w:line="360" w:lineRule="auto"/>
        <w:jc w:val="both"/>
        <w:rPr>
          <w:rFonts w:ascii="Times New Roman" w:eastAsia="Times New Roman" w:hAnsi="Times New Roman" w:cs="Times New Roman"/>
          <w:b/>
          <w:bCs/>
          <w:color w:val="222222"/>
          <w:sz w:val="24"/>
          <w:szCs w:val="24"/>
        </w:rPr>
      </w:pPr>
      <w:r w:rsidRPr="00435790">
        <w:rPr>
          <w:rFonts w:ascii="Times New Roman" w:eastAsia="Times New Roman" w:hAnsi="Times New Roman" w:cs="Times New Roman"/>
          <w:b/>
          <w:bCs/>
          <w:color w:val="222222"/>
          <w:sz w:val="24"/>
          <w:szCs w:val="24"/>
        </w:rPr>
        <w:t>Preguntas al Estado de Guatemala</w:t>
      </w:r>
    </w:p>
    <w:p w14:paraId="41B4DD06" w14:textId="77777777" w:rsidR="008E30B9" w:rsidRPr="00435790" w:rsidRDefault="008E30B9" w:rsidP="00435790">
      <w:pPr>
        <w:pStyle w:val="Prrafodelista"/>
        <w:numPr>
          <w:ilvl w:val="0"/>
          <w:numId w:val="4"/>
        </w:numPr>
        <w:spacing w:before="240"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¿Cómo implementará el Estado de Guatemala las directrices de la OEA para eliminar las barreras jurídicas que enfrentan las mujeres LBTIQ+ al momento de que sus derechos sean reconocidos sin discriminación?</w:t>
      </w:r>
    </w:p>
    <w:p w14:paraId="52900D37" w14:textId="77777777" w:rsidR="008E30B9" w:rsidRPr="00435790" w:rsidRDefault="008E30B9" w:rsidP="00435790">
      <w:pPr>
        <w:pStyle w:val="Prrafodelista"/>
        <w:spacing w:before="240" w:after="240" w:line="360" w:lineRule="auto"/>
        <w:rPr>
          <w:rFonts w:ascii="Times New Roman" w:eastAsia="Times New Roman" w:hAnsi="Times New Roman" w:cs="Times New Roman"/>
          <w:color w:val="222222"/>
          <w:sz w:val="24"/>
          <w:szCs w:val="24"/>
        </w:rPr>
      </w:pPr>
    </w:p>
    <w:p w14:paraId="72B67CAD" w14:textId="4E76805A" w:rsidR="008E30B9" w:rsidRPr="00435790" w:rsidRDefault="008E30B9" w:rsidP="00435790">
      <w:pPr>
        <w:pStyle w:val="Prrafodelista"/>
        <w:numPr>
          <w:ilvl w:val="0"/>
          <w:numId w:val="4"/>
        </w:numPr>
        <w:spacing w:before="240"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¿Qué medidas tomará el Estado de Guatemala para eliminar la discriminación que enfrentan las mujeres con discapacidad respecto de su salud sexual y reproductiva?</w:t>
      </w:r>
    </w:p>
    <w:p w14:paraId="09DEAB65" w14:textId="119B5B9D" w:rsidR="008E30B9" w:rsidRPr="00435790" w:rsidRDefault="008E30B9" w:rsidP="00435790">
      <w:pPr>
        <w:pStyle w:val="Prrafodelista"/>
        <w:numPr>
          <w:ilvl w:val="0"/>
          <w:numId w:val="4"/>
        </w:numPr>
        <w:spacing w:before="240"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¿Cómo garantizará el Estado de Guatemala la producción de información desagregada, confiable y actualizada respecto de los derechos de las mujeres jóvenes con discapacidad, migrantes, viviendo con VIH y que se identifican como LBTIQ+?</w:t>
      </w:r>
    </w:p>
    <w:p w14:paraId="43530786" w14:textId="2923D80B" w:rsidR="008E30B9" w:rsidRPr="00435790" w:rsidRDefault="008E30B9" w:rsidP="00435790">
      <w:pPr>
        <w:pStyle w:val="Prrafodelista"/>
        <w:numPr>
          <w:ilvl w:val="0"/>
          <w:numId w:val="4"/>
        </w:numPr>
        <w:spacing w:before="240"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¿Qué medidas tomará el Estado de Guatemala para garantizar los derechos sexuales y reproductivos de las mujeres, especialmente la erradicación de la práctica de la esterilización forzada de las jóvenes y adolescentes, con discapacidad y viviendo con VIH?</w:t>
      </w:r>
    </w:p>
    <w:p w14:paraId="635471CD" w14:textId="77777777" w:rsidR="008E30B9" w:rsidRPr="00435790" w:rsidRDefault="008E30B9" w:rsidP="00435790">
      <w:pPr>
        <w:pStyle w:val="Prrafodelista"/>
        <w:numPr>
          <w:ilvl w:val="0"/>
          <w:numId w:val="4"/>
        </w:numPr>
        <w:spacing w:before="240"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 xml:space="preserve">¿Cómo garantizará el Estado de Guatemala el financiamiento adecuado a los CAIMUS para garantizar los derechos de las mujeres sobrevivientes de violencia y al mismo tiempo cumplir con la Ley de Presupuesto? </w:t>
      </w:r>
    </w:p>
    <w:p w14:paraId="2101C5F5" w14:textId="77777777" w:rsidR="00CE4C09" w:rsidRPr="00435790" w:rsidRDefault="00CE4C09" w:rsidP="00435790">
      <w:pPr>
        <w:widowControl/>
        <w:autoSpaceDE/>
        <w:autoSpaceDN/>
        <w:spacing w:after="240" w:line="360" w:lineRule="auto"/>
        <w:jc w:val="both"/>
        <w:rPr>
          <w:rFonts w:ascii="Times New Roman" w:eastAsia="Arial" w:hAnsi="Times New Roman" w:cs="Times New Roman"/>
          <w:sz w:val="24"/>
          <w:szCs w:val="24"/>
          <w:lang w:val="es-GT" w:eastAsia="es-MX"/>
        </w:rPr>
      </w:pPr>
    </w:p>
    <w:p w14:paraId="7C9F24B1" w14:textId="508D408C" w:rsidR="00A34F9B" w:rsidRPr="00435790" w:rsidRDefault="00A34F9B" w:rsidP="00435790">
      <w:pPr>
        <w:widowControl/>
        <w:numPr>
          <w:ilvl w:val="0"/>
          <w:numId w:val="5"/>
        </w:numPr>
        <w:autoSpaceDE/>
        <w:autoSpaceDN/>
        <w:spacing w:after="240" w:line="360" w:lineRule="auto"/>
        <w:ind w:left="425"/>
        <w:jc w:val="both"/>
        <w:rPr>
          <w:rFonts w:ascii="Times New Roman" w:hAnsi="Times New Roman" w:cs="Times New Roman"/>
          <w:b/>
          <w:sz w:val="24"/>
          <w:szCs w:val="24"/>
          <w:lang w:val="es-GT" w:eastAsia="es-MX"/>
        </w:rPr>
      </w:pPr>
      <w:r w:rsidRPr="00435790">
        <w:rPr>
          <w:rFonts w:ascii="Times New Roman" w:hAnsi="Times New Roman" w:cs="Times New Roman"/>
          <w:b/>
          <w:sz w:val="24"/>
          <w:szCs w:val="24"/>
          <w:lang w:val="es-GT" w:eastAsia="es-MX"/>
        </w:rPr>
        <w:t>ARTÍCULO 5. FUNCIONES ESTEREOTIPADAS Y PREJUICIOS</w:t>
      </w:r>
    </w:p>
    <w:p w14:paraId="0915168B"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Las necesidades de las mujeres con discapacidad en torno a los derechos sexuales y </w:t>
      </w:r>
      <w:proofErr w:type="gramStart"/>
      <w:r w:rsidRPr="00435790">
        <w:rPr>
          <w:rFonts w:ascii="Times New Roman" w:eastAsia="Arial" w:hAnsi="Times New Roman" w:cs="Times New Roman"/>
          <w:sz w:val="24"/>
          <w:szCs w:val="24"/>
          <w:lang w:val="es-GT" w:eastAsia="es-MX"/>
        </w:rPr>
        <w:t>reproductivos,</w:t>
      </w:r>
      <w:proofErr w:type="gramEnd"/>
      <w:r w:rsidRPr="00435790">
        <w:rPr>
          <w:rFonts w:ascii="Times New Roman" w:eastAsia="Arial" w:hAnsi="Times New Roman" w:cs="Times New Roman"/>
          <w:sz w:val="24"/>
          <w:szCs w:val="24"/>
          <w:lang w:val="es-GT" w:eastAsia="es-MX"/>
        </w:rPr>
        <w:t xml:space="preserve"> son con frecuencia ignoradas por el Estado. Su vida está atravesada por diversos estereotipos alrededor de su vida sexual. Existen reportes</w:t>
      </w:r>
      <w:r w:rsidRPr="00435790">
        <w:rPr>
          <w:rFonts w:ascii="Times New Roman" w:eastAsia="Arial" w:hAnsi="Times New Roman" w:cs="Times New Roman"/>
          <w:sz w:val="24"/>
          <w:szCs w:val="24"/>
          <w:vertAlign w:val="superscript"/>
          <w:lang w:val="es-GT" w:eastAsia="es-MX"/>
        </w:rPr>
        <w:footnoteReference w:id="14"/>
      </w:r>
      <w:r w:rsidRPr="00435790">
        <w:rPr>
          <w:rFonts w:ascii="Times New Roman" w:eastAsia="Arial" w:hAnsi="Times New Roman" w:cs="Times New Roman"/>
          <w:sz w:val="24"/>
          <w:szCs w:val="24"/>
          <w:lang w:val="es-GT" w:eastAsia="es-MX"/>
        </w:rPr>
        <w:t xml:space="preserve"> que alertan sobre la frecuencia con la que se practican las esterilizaciones forzadas en mujeres con discapacidad. Las cifras son más altas en personas con sordoceguera, discapacidad múltiple, intelectual o psicosocial. Esto vulnera su derecho a la autonomía corporal y las coloca en mayor riesgo de ser víctimas de violencia sexual continuada. Debido a que la pertenencia a un grupo indígena es otro factor de riesgo ante las esterilizaciones involuntarias, las mujeres indígenas con discapacidad son aún más vulnerables.</w:t>
      </w:r>
      <w:sdt>
        <w:sdtPr>
          <w:rPr>
            <w:rFonts w:ascii="Times New Roman" w:hAnsi="Times New Roman" w:cs="Times New Roman"/>
            <w:sz w:val="24"/>
            <w:szCs w:val="24"/>
            <w:lang w:val="es-GT" w:eastAsia="es-MX"/>
          </w:rPr>
          <w:tag w:val="goog_rdk_9"/>
          <w:id w:val="-1205094204"/>
        </w:sdtPr>
        <w:sdtContent>
          <w:sdt>
            <w:sdtPr>
              <w:rPr>
                <w:rFonts w:ascii="Times New Roman" w:hAnsi="Times New Roman" w:cs="Times New Roman"/>
                <w:sz w:val="24"/>
                <w:szCs w:val="24"/>
                <w:lang w:val="es-GT" w:eastAsia="es-MX"/>
              </w:rPr>
              <w:tag w:val="goog_rdk_10"/>
              <w:id w:val="-2041116335"/>
            </w:sdtPr>
            <w:sdtContent/>
          </w:sdt>
          <w:r w:rsidRPr="00435790">
            <w:rPr>
              <w:rFonts w:ascii="Times New Roman" w:eastAsia="Arial" w:hAnsi="Times New Roman" w:cs="Times New Roman"/>
              <w:sz w:val="24"/>
              <w:szCs w:val="24"/>
              <w:lang w:val="es-GT" w:eastAsia="es-MX"/>
            </w:rPr>
            <w:t xml:space="preserve"> La </w:t>
          </w:r>
          <w:r w:rsidRPr="00435790">
            <w:rPr>
              <w:rFonts w:ascii="Times New Roman" w:eastAsia="Arial" w:hAnsi="Times New Roman" w:cs="Times New Roman"/>
              <w:sz w:val="24"/>
              <w:szCs w:val="24"/>
              <w:lang w:val="es-GT" w:eastAsia="es-MX"/>
            </w:rPr>
            <w:lastRenderedPageBreak/>
            <w:t xml:space="preserve">legislación actual no reconoce la esterilización forzada como un tipo de violencia y quienes participan de la misma la practican con impunidad. </w:t>
          </w:r>
        </w:sdtContent>
      </w:sdt>
    </w:p>
    <w:p w14:paraId="0FCE83A2"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En 2019, la Secretaría Contra la Violencia Sexual, Explotación y Trata de Personas -SVET-</w:t>
      </w:r>
      <w:r w:rsidRPr="00435790">
        <w:rPr>
          <w:rFonts w:ascii="Times New Roman" w:eastAsia="Arial" w:hAnsi="Times New Roman" w:cs="Times New Roman"/>
          <w:sz w:val="24"/>
          <w:szCs w:val="24"/>
          <w:vertAlign w:val="superscript"/>
          <w:lang w:val="es-GT" w:eastAsia="es-MX"/>
        </w:rPr>
        <w:footnoteReference w:id="15"/>
      </w:r>
      <w:r w:rsidRPr="00435790">
        <w:rPr>
          <w:rFonts w:ascii="Times New Roman" w:eastAsia="Arial" w:hAnsi="Times New Roman" w:cs="Times New Roman"/>
          <w:sz w:val="24"/>
          <w:szCs w:val="24"/>
          <w:lang w:val="es-GT" w:eastAsia="es-MX"/>
        </w:rPr>
        <w:t>, reportó 4,019 casos de violencia sexual contra mujeres entre 15 y 29 años. Para el mismo rango etario, se registraron 3,303 en 2020 y 4,241 en 2021. Además, en estos tres años se identificó que los porcentajes más altos de estos casos se concentran en niñas y adolescentes entre 10 y 19 años.</w:t>
      </w:r>
    </w:p>
    <w:p w14:paraId="009CAA50"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El Ministerio Público -MP-</w:t>
      </w:r>
      <w:r w:rsidRPr="00435790">
        <w:rPr>
          <w:rFonts w:ascii="Times New Roman" w:eastAsia="Arial" w:hAnsi="Times New Roman" w:cs="Times New Roman"/>
          <w:sz w:val="24"/>
          <w:szCs w:val="24"/>
          <w:vertAlign w:val="superscript"/>
          <w:lang w:val="es-GT" w:eastAsia="es-MX"/>
        </w:rPr>
        <w:footnoteReference w:id="16"/>
      </w:r>
      <w:r w:rsidRPr="00435790">
        <w:rPr>
          <w:rFonts w:ascii="Times New Roman" w:eastAsia="Arial" w:hAnsi="Times New Roman" w:cs="Times New Roman"/>
          <w:sz w:val="24"/>
          <w:szCs w:val="24"/>
          <w:lang w:val="es-GT" w:eastAsia="es-MX"/>
        </w:rPr>
        <w:t>, reporta que el 66% de las alertas Isabel-Claudina por desaparición de mujeres que continuaban activas al 31 de diciembre de 2021, se encontraban en edades de 18 a 29 años. Además, en 2020 se registraron 3,263 denuncias por violencia contra la mujer. Sin embargo, en el portal estadístico del Observatorio de las Mujeres del MP, se reunieron 54,914 denuncias de este tipo; esto permite identificar inconsistencias en el tratamiento de datos oficiales, pues la problemática sigue en escalada. A julio de 2022, en este mismo sitio en línea se registran 27,659 sobrevivientes de este tipo de violencia.</w:t>
      </w:r>
    </w:p>
    <w:p w14:paraId="153E5E16"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Aunque el Estado de Guatemala en su cuarto informe periódico del CDESC en 2019, reportó acciones sobre la No Discriminación en proceso de capacitación a personal de la Policía Nacional Civil -PNC- para eliminar la violencia y discriminación a personas LGTBI, desafortunadamente, la falta de datos</w:t>
      </w:r>
      <w:r w:rsidRPr="00435790">
        <w:rPr>
          <w:rFonts w:ascii="Times New Roman" w:eastAsia="Arial" w:hAnsi="Times New Roman" w:cs="Times New Roman"/>
          <w:sz w:val="24"/>
          <w:szCs w:val="24"/>
          <w:vertAlign w:val="superscript"/>
          <w:lang w:val="es-GT" w:eastAsia="es-MX"/>
        </w:rPr>
        <w:footnoteReference w:id="17"/>
      </w:r>
      <w:r w:rsidRPr="00435790">
        <w:rPr>
          <w:rFonts w:ascii="Times New Roman" w:eastAsia="Arial" w:hAnsi="Times New Roman" w:cs="Times New Roman"/>
          <w:sz w:val="24"/>
          <w:szCs w:val="24"/>
          <w:lang w:val="es-GT" w:eastAsia="es-MX"/>
        </w:rPr>
        <w:t xml:space="preserve"> y de voluntad política para incorporar categorías diferenciadas por población, invisibilizan la forma particular en la que la violencia se manifiesta. Al respecto, no se pueden contextualizar con certeza las distintas amenazas que enfrentan las mujeres LBTI. Según datos de Grupo de Apoyo Xela</w:t>
      </w:r>
      <w:r w:rsidRPr="00435790">
        <w:rPr>
          <w:rFonts w:ascii="Times New Roman" w:eastAsia="Arial" w:hAnsi="Times New Roman" w:cs="Times New Roman"/>
          <w:sz w:val="24"/>
          <w:szCs w:val="24"/>
          <w:vertAlign w:val="superscript"/>
          <w:lang w:val="es-GT" w:eastAsia="es-MX"/>
        </w:rPr>
        <w:footnoteReference w:id="18"/>
      </w:r>
      <w:r w:rsidRPr="00435790">
        <w:rPr>
          <w:rFonts w:ascii="Times New Roman" w:eastAsia="Arial" w:hAnsi="Times New Roman" w:cs="Times New Roman"/>
          <w:sz w:val="24"/>
          <w:szCs w:val="24"/>
          <w:lang w:val="es-GT" w:eastAsia="es-MX"/>
        </w:rPr>
        <w:t xml:space="preserve">, de 949 denuncias registradas que fueron interpuestas ante el MP por abusos y violencias a personas de la comunidad LGBTIQ+, únicamente un 1.8% (17) de los casos denunciados </w:t>
      </w:r>
      <w:r w:rsidRPr="00435790">
        <w:rPr>
          <w:rFonts w:ascii="Times New Roman" w:eastAsia="Arial" w:hAnsi="Times New Roman" w:cs="Times New Roman"/>
          <w:sz w:val="24"/>
          <w:szCs w:val="24"/>
          <w:lang w:val="es-GT" w:eastAsia="es-MX"/>
        </w:rPr>
        <w:lastRenderedPageBreak/>
        <w:t>llegaron a sentencia, mientras que un 28% (270) de los casos, se encontraban en investigación.</w:t>
      </w:r>
    </w:p>
    <w:p w14:paraId="14AC2D1D"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Según datos del Censo de 2018, 179,081 personas entre 13 y 30 años son migrantes recientes. De ellas, 56.76% son mujeres (101,643). Aún así, Guatemala no produce datos estadísticos confiables y diferenciados por identidad de género, edad, etnia u orientación sexual que permitan evaluar a profundidad la situación de la violencia contra mujeres migrantes.</w:t>
      </w:r>
    </w:p>
    <w:p w14:paraId="2C4B7C94" w14:textId="441C3CAC"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Las mujeres migrantes jóvenes se enfrentan a formas específicas de violencia, dentro de las cuales destaca </w:t>
      </w:r>
      <w:r w:rsidR="00435790" w:rsidRPr="00435790">
        <w:rPr>
          <w:rFonts w:ascii="Times New Roman" w:eastAsia="Arial" w:hAnsi="Times New Roman" w:cs="Times New Roman"/>
          <w:sz w:val="24"/>
          <w:szCs w:val="24"/>
          <w:lang w:val="es-GT" w:eastAsia="es-MX"/>
        </w:rPr>
        <w:t>la violencia</w:t>
      </w:r>
      <w:r w:rsidRPr="00435790">
        <w:rPr>
          <w:rFonts w:ascii="Times New Roman" w:eastAsia="Arial" w:hAnsi="Times New Roman" w:cs="Times New Roman"/>
          <w:sz w:val="24"/>
          <w:szCs w:val="24"/>
          <w:lang w:val="es-GT" w:eastAsia="es-MX"/>
        </w:rPr>
        <w:t xml:space="preserve"> sexual. En un estudio publicado por el Fondo de Población de las Naciones Unidas -UNFPA- y el Instituto Centroamericano de Estudios Sociales y Desarrollo INCEDES-</w:t>
      </w:r>
      <w:r w:rsidRPr="00435790">
        <w:rPr>
          <w:rFonts w:ascii="Times New Roman" w:eastAsia="Arial" w:hAnsi="Times New Roman" w:cs="Times New Roman"/>
          <w:sz w:val="24"/>
          <w:szCs w:val="24"/>
          <w:vertAlign w:val="superscript"/>
          <w:lang w:val="es-GT" w:eastAsia="es-MX"/>
        </w:rPr>
        <w:footnoteReference w:id="19"/>
      </w:r>
      <w:r w:rsidRPr="00435790">
        <w:rPr>
          <w:rFonts w:ascii="Times New Roman" w:eastAsia="Arial" w:hAnsi="Times New Roman" w:cs="Times New Roman"/>
          <w:sz w:val="24"/>
          <w:szCs w:val="24"/>
          <w:lang w:val="es-GT" w:eastAsia="es-MX"/>
        </w:rPr>
        <w:t>, la persepción de riesgo probable de ocurrencia de violencia contra las mujeres en la migración aparece en todas las etapas de su ciclo de vida con una percepción de riesgo muy grave (5.2 de 10) en la adolescencia y juventud. De estas, la violencia sexual es percibida como la segunda con los índices más altos (7 de 10). Quienes perciben mayor riesgo son las mujeres trans, seguidas de las mujeres lesbianas. A pesar de esto, el Estado de Guatemala no ha implementado mecanismos eficaces para atender el riesgo de violencia, especialmente violencia sexual, que se ejerce en contra las mujeres migrantes.</w:t>
      </w:r>
    </w:p>
    <w:p w14:paraId="66F6FD16"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En las observaciones finales</w:t>
      </w:r>
      <w:r w:rsidRPr="00435790">
        <w:rPr>
          <w:rFonts w:ascii="Times New Roman" w:eastAsia="Arial" w:hAnsi="Times New Roman" w:cs="Times New Roman"/>
          <w:sz w:val="24"/>
          <w:szCs w:val="24"/>
          <w:vertAlign w:val="superscript"/>
          <w:lang w:val="es-GT" w:eastAsia="es-MX"/>
        </w:rPr>
        <w:footnoteReference w:id="20"/>
      </w:r>
      <w:r w:rsidRPr="00435790">
        <w:rPr>
          <w:rFonts w:ascii="Times New Roman" w:eastAsia="Arial" w:hAnsi="Times New Roman" w:cs="Times New Roman"/>
          <w:sz w:val="24"/>
          <w:szCs w:val="24"/>
          <w:lang w:val="es-GT" w:eastAsia="es-MX"/>
        </w:rPr>
        <w:t xml:space="preserve"> sobre el tercer informe periódico de Guatemala ante el CDESC, se remitió la recomendación para reforzar y ampliar los programas de asesoramiento jurídico, asignando los recursos necesarios a los juzgados y tribunales de femicidio y otras formas de violencia contra la mujer. Durante los primeros meses de 2022 según datos del Observatorio de violencia contra la mujer del MP</w:t>
      </w:r>
      <w:r w:rsidRPr="00435790">
        <w:rPr>
          <w:rFonts w:ascii="Times New Roman" w:eastAsia="Arial" w:hAnsi="Times New Roman" w:cs="Times New Roman"/>
          <w:sz w:val="24"/>
          <w:szCs w:val="24"/>
          <w:vertAlign w:val="superscript"/>
          <w:lang w:val="es-GT" w:eastAsia="es-MX"/>
        </w:rPr>
        <w:footnoteReference w:id="21"/>
      </w:r>
      <w:r w:rsidRPr="00435790">
        <w:rPr>
          <w:rFonts w:ascii="Times New Roman" w:eastAsia="Arial" w:hAnsi="Times New Roman" w:cs="Times New Roman"/>
          <w:sz w:val="24"/>
          <w:szCs w:val="24"/>
          <w:lang w:val="es-GT" w:eastAsia="es-MX"/>
        </w:rPr>
        <w:t xml:space="preserve">, se han reportado 45,996 víctimas de delitos contra mujeres y niñez; 4,938 víctimas de violencia sexual y 29,402 víctimas de violencia contra las mujeres; lo que significa que Guatemala sigue destacándose como un lugar inseguro para las mujeres. A pesar de estas cifras, estas </w:t>
      </w:r>
      <w:r w:rsidRPr="00435790">
        <w:rPr>
          <w:rFonts w:ascii="Times New Roman" w:eastAsia="Arial" w:hAnsi="Times New Roman" w:cs="Times New Roman"/>
          <w:sz w:val="24"/>
          <w:szCs w:val="24"/>
          <w:lang w:val="es-GT" w:eastAsia="es-MX"/>
        </w:rPr>
        <w:lastRenderedPageBreak/>
        <w:t>formas de violencia siguen siendo desestimadas por las autoridades del Estado, tal es el caso del viceministro del Ministerio de Gobernación -MINGOB-, quien públicamente reconoció que las muertes violentas de las mujeres son en realidad “crímenes pasionales”</w:t>
      </w:r>
      <w:r w:rsidRPr="00435790">
        <w:rPr>
          <w:rFonts w:ascii="Times New Roman" w:eastAsia="Arial" w:hAnsi="Times New Roman" w:cs="Times New Roman"/>
          <w:sz w:val="24"/>
          <w:szCs w:val="24"/>
          <w:vertAlign w:val="superscript"/>
          <w:lang w:val="es-GT" w:eastAsia="es-MX"/>
        </w:rPr>
        <w:footnoteReference w:id="22"/>
      </w:r>
      <w:r w:rsidRPr="00435790">
        <w:rPr>
          <w:rFonts w:ascii="Times New Roman" w:eastAsia="Arial" w:hAnsi="Times New Roman" w:cs="Times New Roman"/>
          <w:sz w:val="24"/>
          <w:szCs w:val="24"/>
          <w:lang w:val="es-GT" w:eastAsia="es-MX"/>
        </w:rPr>
        <w:t>.</w:t>
      </w:r>
    </w:p>
    <w:p w14:paraId="2C5829D8"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La violencia sexual es una realidad para las mujeres jóvenes en Guatemala. El Instituto Nacional de Ciencias Forenses -INACIF- registró en 2021 un total de 7,251 casos de delitos sexuales en mujeres, de los cuales el 33.4% de los casos registrados fueron en mujeres jóvenes entre los 15 a 29 años y el 5.7% en mujeres adultas entre los 30 a 64 años</w:t>
      </w:r>
      <w:r w:rsidRPr="00435790">
        <w:rPr>
          <w:rFonts w:ascii="Times New Roman" w:eastAsia="Arial" w:hAnsi="Times New Roman" w:cs="Times New Roman"/>
          <w:sz w:val="24"/>
          <w:szCs w:val="24"/>
          <w:vertAlign w:val="superscript"/>
          <w:lang w:val="es-GT" w:eastAsia="es-MX"/>
        </w:rPr>
        <w:footnoteReference w:id="23"/>
      </w:r>
      <w:r w:rsidRPr="00435790">
        <w:rPr>
          <w:rFonts w:ascii="Times New Roman" w:eastAsia="Arial" w:hAnsi="Times New Roman" w:cs="Times New Roman"/>
          <w:sz w:val="24"/>
          <w:szCs w:val="24"/>
          <w:lang w:val="es-GT" w:eastAsia="es-MX"/>
        </w:rPr>
        <w:t xml:space="preserve">. </w:t>
      </w:r>
    </w:p>
    <w:p w14:paraId="557358D2" w14:textId="6460EEF0" w:rsidR="00C03F66" w:rsidRPr="00435790" w:rsidRDefault="00C03F66" w:rsidP="00435790">
      <w:pPr>
        <w:spacing w:after="240" w:line="360" w:lineRule="auto"/>
        <w:jc w:val="both"/>
        <w:rPr>
          <w:rFonts w:ascii="Times New Roman" w:eastAsia="Times New Roman" w:hAnsi="Times New Roman" w:cs="Times New Roman"/>
          <w:b/>
          <w:bCs/>
          <w:color w:val="222222"/>
          <w:sz w:val="24"/>
          <w:szCs w:val="24"/>
        </w:rPr>
      </w:pPr>
      <w:r w:rsidRPr="00435790">
        <w:rPr>
          <w:rFonts w:ascii="Times New Roman" w:eastAsia="Times New Roman" w:hAnsi="Times New Roman" w:cs="Times New Roman"/>
          <w:b/>
          <w:bCs/>
          <w:color w:val="222222"/>
          <w:sz w:val="24"/>
          <w:szCs w:val="24"/>
        </w:rPr>
        <w:t>Preguntas al Estado de Guatemala</w:t>
      </w:r>
    </w:p>
    <w:p w14:paraId="77949200" w14:textId="504A7B2C" w:rsidR="00C03F66" w:rsidRPr="00435790" w:rsidRDefault="00C03F66" w:rsidP="00435790">
      <w:pPr>
        <w:pStyle w:val="Prrafodelista"/>
        <w:numPr>
          <w:ilvl w:val="0"/>
          <w:numId w:val="4"/>
        </w:numPr>
        <w:spacing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 xml:space="preserve">¿Qué medidas tomará el Estado de Guatemala para eliminar los prejuicios y estereotipos existentes en torno a las capacidades de las mujeres con discapacidad y que viven con VIH para decidir sobre su salud sexual y reproductiva y para evitar prácticas violatorias de sus derechos como las esterilizaciones forzadas entre otras? </w:t>
      </w:r>
    </w:p>
    <w:p w14:paraId="3B04FD6D" w14:textId="77777777" w:rsidR="00435790" w:rsidRDefault="00C03F66" w:rsidP="00435790">
      <w:pPr>
        <w:pStyle w:val="Prrafodelista"/>
        <w:numPr>
          <w:ilvl w:val="0"/>
          <w:numId w:val="4"/>
        </w:numPr>
        <w:spacing w:before="240"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Reconociendo que la interdicción se utiliza como vía para la esterilización forzada de las mujeres con discapacidad, ¿qué medidas tomará el Estado de Guatemala para promover la garantía de su capacidad jurídica y la no institucionalización?</w:t>
      </w:r>
    </w:p>
    <w:p w14:paraId="77E3F539" w14:textId="4605AD6E" w:rsidR="00C03F66" w:rsidRPr="00435790" w:rsidRDefault="00C03F66" w:rsidP="00435790">
      <w:pPr>
        <w:pStyle w:val="Prrafodelista"/>
        <w:numPr>
          <w:ilvl w:val="0"/>
          <w:numId w:val="4"/>
        </w:numPr>
        <w:spacing w:before="240"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 xml:space="preserve">¿Qué medidas concretas tomará el Estado de Guatemala para reducir las altas tasas de violencia contra las mujeres? </w:t>
      </w:r>
    </w:p>
    <w:p w14:paraId="7F437D25" w14:textId="77777777" w:rsidR="00C03F66" w:rsidRPr="00435790" w:rsidRDefault="00C03F66" w:rsidP="00435790">
      <w:pPr>
        <w:pStyle w:val="Prrafodelista"/>
        <w:numPr>
          <w:ilvl w:val="0"/>
          <w:numId w:val="4"/>
        </w:numPr>
        <w:spacing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¿Cuáles medidas tomará el Estado de Guatemala para resolver para garantizar procesos de justicia y reparación a las mujeres sobrevivientes de violencia?</w:t>
      </w:r>
    </w:p>
    <w:p w14:paraId="4D4A1464" w14:textId="77777777" w:rsidR="00A34F9B" w:rsidRPr="00435790" w:rsidRDefault="00A34F9B" w:rsidP="00435790">
      <w:pPr>
        <w:widowControl/>
        <w:autoSpaceDE/>
        <w:autoSpaceDN/>
        <w:spacing w:after="240" w:line="360" w:lineRule="auto"/>
        <w:ind w:left="720"/>
        <w:jc w:val="both"/>
        <w:rPr>
          <w:rFonts w:ascii="Times New Roman" w:hAnsi="Times New Roman" w:cs="Times New Roman"/>
          <w:b/>
          <w:sz w:val="24"/>
          <w:szCs w:val="24"/>
          <w:lang w:val="es-GT" w:eastAsia="es-MX"/>
        </w:rPr>
      </w:pPr>
    </w:p>
    <w:p w14:paraId="62DEA9E9" w14:textId="31DEEC82" w:rsidR="00A34F9B" w:rsidRPr="00435790" w:rsidRDefault="00A34F9B" w:rsidP="00435790">
      <w:pPr>
        <w:widowControl/>
        <w:numPr>
          <w:ilvl w:val="0"/>
          <w:numId w:val="5"/>
        </w:numPr>
        <w:autoSpaceDE/>
        <w:autoSpaceDN/>
        <w:spacing w:after="240" w:line="360" w:lineRule="auto"/>
        <w:ind w:left="425"/>
        <w:jc w:val="both"/>
        <w:rPr>
          <w:rFonts w:ascii="Times New Roman" w:hAnsi="Times New Roman" w:cs="Times New Roman"/>
          <w:b/>
          <w:sz w:val="24"/>
          <w:szCs w:val="24"/>
          <w:lang w:val="es-GT" w:eastAsia="es-MX"/>
        </w:rPr>
      </w:pPr>
      <w:r w:rsidRPr="00435790">
        <w:rPr>
          <w:rFonts w:ascii="Times New Roman" w:hAnsi="Times New Roman" w:cs="Times New Roman"/>
          <w:b/>
          <w:sz w:val="24"/>
          <w:szCs w:val="24"/>
          <w:lang w:val="es-GT" w:eastAsia="es-MX"/>
        </w:rPr>
        <w:lastRenderedPageBreak/>
        <w:t>ARTÍCULO 6. TRATA Y EXPLOTACIÓN SEXUAL</w:t>
      </w:r>
    </w:p>
    <w:p w14:paraId="13293E04" w14:textId="77777777" w:rsidR="00A34F9B" w:rsidRPr="00435790" w:rsidRDefault="00A34F9B" w:rsidP="00435790">
      <w:pPr>
        <w:widowControl/>
        <w:numPr>
          <w:ilvl w:val="0"/>
          <w:numId w:val="4"/>
        </w:numPr>
        <w:autoSpaceDE/>
        <w:autoSpaceDN/>
        <w:spacing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De enero a octubre de 2021, la SVET registró 224 denuncias por trata de personas y 336 casos agravados. De estos 217 correspondían a sobrevivientes mujeres</w:t>
      </w:r>
      <w:r w:rsidRPr="00435790">
        <w:rPr>
          <w:rFonts w:ascii="Times New Roman" w:eastAsia="Arial" w:hAnsi="Times New Roman" w:cs="Times New Roman"/>
          <w:sz w:val="24"/>
          <w:szCs w:val="24"/>
          <w:vertAlign w:val="superscript"/>
          <w:lang w:val="es-GT" w:eastAsia="es-MX"/>
        </w:rPr>
        <w:footnoteReference w:id="24"/>
      </w:r>
      <w:r w:rsidRPr="00435790">
        <w:rPr>
          <w:rFonts w:ascii="Times New Roman" w:eastAsia="Arial" w:hAnsi="Times New Roman" w:cs="Times New Roman"/>
          <w:sz w:val="24"/>
          <w:szCs w:val="24"/>
          <w:lang w:val="es-GT" w:eastAsia="es-MX"/>
        </w:rPr>
        <w:t>. A su vez, del 1 de enero al 30 de julio, esta institución contabilizaba 5 mil 642 denuncias de por violencia sexual ante el MP y 1 mil 989 frente al Organismo Judicial (OJ). Sobre explotación sexual, registraba 117 denuncias ante el MP, 94 casos ingresados al OJ y 53 sentencias emitidas por este último. Respecto al delito de trata de personas, el MP registraba 139 denuncias, la PNCl 244 y el OJ registraba 9 casos</w:t>
      </w:r>
      <w:r w:rsidRPr="00435790">
        <w:rPr>
          <w:rFonts w:ascii="Times New Roman" w:eastAsia="Arial" w:hAnsi="Times New Roman" w:cs="Times New Roman"/>
          <w:sz w:val="24"/>
          <w:szCs w:val="24"/>
          <w:vertAlign w:val="superscript"/>
          <w:lang w:val="es-GT" w:eastAsia="es-MX"/>
        </w:rPr>
        <w:footnoteReference w:id="25"/>
      </w:r>
      <w:r w:rsidRPr="00435790">
        <w:rPr>
          <w:rFonts w:ascii="Times New Roman" w:eastAsia="Arial" w:hAnsi="Times New Roman" w:cs="Times New Roman"/>
          <w:sz w:val="24"/>
          <w:szCs w:val="24"/>
          <w:lang w:val="es-GT" w:eastAsia="es-MX"/>
        </w:rPr>
        <w:t xml:space="preserve">. </w:t>
      </w:r>
    </w:p>
    <w:p w14:paraId="303CE849" w14:textId="77777777" w:rsidR="00A34F9B" w:rsidRPr="00435790" w:rsidRDefault="00A34F9B" w:rsidP="00435790">
      <w:pPr>
        <w:widowControl/>
        <w:numPr>
          <w:ilvl w:val="0"/>
          <w:numId w:val="4"/>
        </w:numPr>
        <w:autoSpaceDE/>
        <w:autoSpaceDN/>
        <w:spacing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Los embarazos forzados son una forma de violencia sexual y tratos inhumanos y degradantes que se ha normalizado en el país y que vulneran los derechos de las niñas y mujeres jóvenes. Desde 2018 hasta mayo de 2022, el MSPAS registró 334,963 embarazadas entre 15 y 18 años. Sin embargo, en 2021, este ministerio únicamente reportó que el 7.53% de los casos de mortalidad materna en 2021 correspondían a abortos y amenazas de aborto.</w:t>
      </w:r>
    </w:p>
    <w:p w14:paraId="2BA80147"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highlight w:val="white"/>
          <w:lang w:val="es-GT" w:eastAsia="es-MX"/>
        </w:rPr>
        <w:t>Aunque Guatemala se comprometió a “establecer una política de protección de los niños y los adolescentes con miras a protegerlos mejor contra los actos de violencia y los delitos cometidos contra ellos, así como en relación con el elevado número de embarazos precoces”</w:t>
      </w:r>
      <w:r w:rsidRPr="00435790">
        <w:rPr>
          <w:rFonts w:ascii="Times New Roman" w:eastAsia="Arial" w:hAnsi="Times New Roman" w:cs="Times New Roman"/>
          <w:sz w:val="24"/>
          <w:szCs w:val="24"/>
          <w:highlight w:val="white"/>
          <w:vertAlign w:val="superscript"/>
          <w:lang w:val="es-GT" w:eastAsia="es-MX"/>
        </w:rPr>
        <w:footnoteReference w:id="26"/>
      </w:r>
      <w:r w:rsidRPr="00435790">
        <w:rPr>
          <w:rFonts w:ascii="Times New Roman" w:eastAsia="Arial" w:hAnsi="Times New Roman" w:cs="Times New Roman"/>
          <w:sz w:val="24"/>
          <w:szCs w:val="24"/>
          <w:highlight w:val="white"/>
          <w:lang w:val="es-GT" w:eastAsia="es-MX"/>
        </w:rPr>
        <w:t>, en estos tres años, se identificó que los porcentajes más altos de estos casos se concentran en niñas y adolescentes entre 10 y 19 años. Según el MINEDUC</w:t>
      </w:r>
      <w:r w:rsidRPr="00435790">
        <w:rPr>
          <w:rFonts w:ascii="Times New Roman" w:eastAsia="Arial" w:hAnsi="Times New Roman" w:cs="Times New Roman"/>
          <w:sz w:val="24"/>
          <w:szCs w:val="24"/>
          <w:highlight w:val="white"/>
          <w:vertAlign w:val="superscript"/>
          <w:lang w:val="es-GT" w:eastAsia="es-MX"/>
        </w:rPr>
        <w:footnoteReference w:id="27"/>
      </w:r>
      <w:r w:rsidRPr="00435790">
        <w:rPr>
          <w:rFonts w:ascii="Times New Roman" w:eastAsia="Arial" w:hAnsi="Times New Roman" w:cs="Times New Roman"/>
          <w:sz w:val="24"/>
          <w:szCs w:val="24"/>
          <w:highlight w:val="white"/>
          <w:lang w:val="es-GT" w:eastAsia="es-MX"/>
        </w:rPr>
        <w:t>, de 2018 a 2021, 454 niñas y adolescentes abandonaron sus estudios debido a embarazos.</w:t>
      </w:r>
    </w:p>
    <w:p w14:paraId="6745C294"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highlight w:val="white"/>
          <w:lang w:val="es-GT" w:eastAsia="es-MX"/>
        </w:rPr>
      </w:pPr>
      <w:r w:rsidRPr="00435790">
        <w:rPr>
          <w:rFonts w:ascii="Times New Roman" w:eastAsia="Arial" w:hAnsi="Times New Roman" w:cs="Times New Roman"/>
          <w:sz w:val="24"/>
          <w:szCs w:val="24"/>
          <w:highlight w:val="white"/>
          <w:lang w:val="es-GT" w:eastAsia="es-MX"/>
        </w:rPr>
        <w:t xml:space="preserve">A pesar de los alarmantes datos sobre niñas y adolescentes forzadas a llevar adelante un embarazo, las respuestas del Estado no han sido satisfactorias. El programa VIDA del MIDES, normativamente se define como un programa de transferencias monetarias para promover la asistencia a los servicios de salud de las niñas y adolescentes embarazadas o madres, menores de 14 años, víctimas de violencia sexual, cuyos casos hayan sido </w:t>
      </w:r>
      <w:r w:rsidRPr="00435790">
        <w:rPr>
          <w:rFonts w:ascii="Times New Roman" w:eastAsia="Arial" w:hAnsi="Times New Roman" w:cs="Times New Roman"/>
          <w:sz w:val="24"/>
          <w:szCs w:val="24"/>
          <w:highlight w:val="white"/>
          <w:lang w:val="es-GT" w:eastAsia="es-MX"/>
        </w:rPr>
        <w:lastRenderedPageBreak/>
        <w:t>judicializados</w:t>
      </w:r>
      <w:r w:rsidRPr="00435790">
        <w:rPr>
          <w:rFonts w:ascii="Times New Roman" w:eastAsia="Arial" w:hAnsi="Times New Roman" w:cs="Times New Roman"/>
          <w:sz w:val="24"/>
          <w:szCs w:val="24"/>
          <w:lang w:val="es-GT" w:eastAsia="es-MX"/>
        </w:rPr>
        <w:t>. Sin embargo, solamente 117 niñas y adolescentes fueron usuarias del programa en 2019, 164 en 2020 y 179 en 2021</w:t>
      </w:r>
      <w:r w:rsidRPr="00435790">
        <w:rPr>
          <w:rFonts w:ascii="Times New Roman" w:eastAsia="Arial" w:hAnsi="Times New Roman" w:cs="Times New Roman"/>
          <w:sz w:val="24"/>
          <w:szCs w:val="24"/>
          <w:vertAlign w:val="superscript"/>
          <w:lang w:val="es-GT" w:eastAsia="es-MX"/>
        </w:rPr>
        <w:footnoteReference w:id="28"/>
      </w:r>
      <w:r w:rsidRPr="00435790">
        <w:rPr>
          <w:rFonts w:ascii="Times New Roman" w:eastAsia="Arial" w:hAnsi="Times New Roman" w:cs="Times New Roman"/>
          <w:sz w:val="24"/>
          <w:szCs w:val="24"/>
          <w:lang w:val="es-GT" w:eastAsia="es-MX"/>
        </w:rPr>
        <w:t>.</w:t>
      </w:r>
      <w:r w:rsidRPr="00435790">
        <w:rPr>
          <w:rFonts w:ascii="Times New Roman" w:eastAsia="Arial" w:hAnsi="Times New Roman" w:cs="Times New Roman"/>
          <w:sz w:val="24"/>
          <w:szCs w:val="24"/>
          <w:highlight w:val="white"/>
          <w:lang w:val="es-GT" w:eastAsia="es-MX"/>
        </w:rPr>
        <w:t xml:space="preserve"> Aunque en cualquiera de los casos, las niñas y adolescentes no deberían ser madres, el acceso de justicia para aquellas que han iniciado algún proceso judicial, tampoco es pronta ni pertinente. </w:t>
      </w:r>
    </w:p>
    <w:p w14:paraId="7A469409"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highlight w:val="white"/>
          <w:lang w:val="es-GT" w:eastAsia="es-MX"/>
        </w:rPr>
      </w:pPr>
      <w:r w:rsidRPr="00435790">
        <w:rPr>
          <w:rFonts w:ascii="Times New Roman" w:eastAsia="Arial" w:hAnsi="Times New Roman" w:cs="Times New Roman"/>
          <w:sz w:val="24"/>
          <w:szCs w:val="24"/>
          <w:highlight w:val="white"/>
          <w:lang w:val="es-GT" w:eastAsia="es-MX"/>
        </w:rPr>
        <w:t xml:space="preserve">Una deuda pendiente del Estado de Guatemala es la creación de condiciones que garanticen las maternidades deseadas y pleno goce de los derechos sexuales y reproductivos. Tal y como plantea la recomendación general Nº 24 adoptada por el comité CEDAW, respecto a dar prioridad a la prevención del embarazo no deseado mediante la planificación de la familia y la educación sexual. Con lo que se añade, la posibilidad y necesidad de enmendar la legislación que castigue el aborto. Las organizaciones, colectivas y mujeres jóvenes en Guatemala continúan exigiendo al Estado la despenalización del aborto en el país para que las mujeres puedan acceder de forma segura a este servicio y a abrir puertas para que las niñas, adolescentes, mujeres y personas gestantes decidan sobre su cuerpo y se garantice una verdadera calidad de vida. </w:t>
      </w:r>
    </w:p>
    <w:p w14:paraId="6685029B" w14:textId="77777777" w:rsidR="00C11785" w:rsidRPr="00435790" w:rsidRDefault="00C11785" w:rsidP="00435790">
      <w:pPr>
        <w:spacing w:after="240" w:line="360" w:lineRule="auto"/>
        <w:jc w:val="both"/>
        <w:rPr>
          <w:rFonts w:ascii="Times New Roman" w:eastAsia="Times New Roman" w:hAnsi="Times New Roman" w:cs="Times New Roman"/>
          <w:b/>
          <w:bCs/>
          <w:color w:val="222222"/>
          <w:sz w:val="24"/>
          <w:szCs w:val="24"/>
        </w:rPr>
      </w:pPr>
      <w:r w:rsidRPr="00435790">
        <w:rPr>
          <w:rFonts w:ascii="Times New Roman" w:eastAsia="Times New Roman" w:hAnsi="Times New Roman" w:cs="Times New Roman"/>
          <w:b/>
          <w:bCs/>
          <w:color w:val="222222"/>
          <w:sz w:val="24"/>
          <w:szCs w:val="24"/>
        </w:rPr>
        <w:t>Preguntas al Estado de Guatemala</w:t>
      </w:r>
    </w:p>
    <w:p w14:paraId="17C1DE43" w14:textId="77777777" w:rsidR="00C11785" w:rsidRPr="00435790" w:rsidRDefault="00C11785" w:rsidP="00435790">
      <w:pPr>
        <w:pStyle w:val="Prrafodelista"/>
        <w:numPr>
          <w:ilvl w:val="0"/>
          <w:numId w:val="4"/>
        </w:numPr>
        <w:spacing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 xml:space="preserve">¿Qué medidas concretas y efectivas tomará el Estado de Guatemala reducir los alarmantes índices de embarazos de niñas y adolescentes producto de la explotación y abuso sexual? </w:t>
      </w:r>
    </w:p>
    <w:p w14:paraId="269532AF" w14:textId="77777777" w:rsidR="00435790" w:rsidRDefault="00C11785" w:rsidP="00435790">
      <w:pPr>
        <w:pStyle w:val="Prrafodelista"/>
        <w:numPr>
          <w:ilvl w:val="0"/>
          <w:numId w:val="4"/>
        </w:numPr>
        <w:spacing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¿Qué medidas está adoptando el Estado para la despenalización del aborto?</w:t>
      </w:r>
    </w:p>
    <w:p w14:paraId="3BAE6534" w14:textId="04E721FF" w:rsidR="00C11785" w:rsidRDefault="00C11785" w:rsidP="00435790">
      <w:pPr>
        <w:pStyle w:val="Prrafodelista"/>
        <w:numPr>
          <w:ilvl w:val="0"/>
          <w:numId w:val="4"/>
        </w:numPr>
        <w:spacing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¿Qué medidas concretas y efectivas está tomando el Estado de Guatemala para asegurar procesos de justicia y reparación digna para las niñas, adolescentes y jóvenes víctimas de violencia sexual</w:t>
      </w:r>
      <w:r w:rsidR="00435790">
        <w:rPr>
          <w:rFonts w:ascii="Times New Roman" w:eastAsia="Times New Roman" w:hAnsi="Times New Roman" w:cs="Times New Roman"/>
          <w:color w:val="222222"/>
          <w:sz w:val="24"/>
          <w:szCs w:val="24"/>
        </w:rPr>
        <w:t>, incluidos los resultados del impacto del Programa Vida</w:t>
      </w:r>
      <w:r w:rsidRPr="00435790">
        <w:rPr>
          <w:rFonts w:ascii="Times New Roman" w:eastAsia="Times New Roman" w:hAnsi="Times New Roman" w:cs="Times New Roman"/>
          <w:color w:val="222222"/>
          <w:sz w:val="24"/>
          <w:szCs w:val="24"/>
        </w:rPr>
        <w:t>?</w:t>
      </w:r>
    </w:p>
    <w:p w14:paraId="320FD4FB" w14:textId="77777777" w:rsidR="00435790" w:rsidRPr="00435790" w:rsidRDefault="00435790" w:rsidP="00435790">
      <w:pPr>
        <w:pStyle w:val="Prrafodelista"/>
        <w:spacing w:after="240" w:line="360" w:lineRule="auto"/>
        <w:ind w:left="283" w:firstLine="0"/>
        <w:rPr>
          <w:rFonts w:ascii="Times New Roman" w:eastAsia="Times New Roman" w:hAnsi="Times New Roman" w:cs="Times New Roman"/>
          <w:color w:val="222222"/>
          <w:sz w:val="24"/>
          <w:szCs w:val="24"/>
        </w:rPr>
      </w:pPr>
    </w:p>
    <w:p w14:paraId="162E7FAE" w14:textId="77777777" w:rsidR="00A34F9B" w:rsidRPr="00435790" w:rsidRDefault="00A34F9B" w:rsidP="00435790">
      <w:pPr>
        <w:widowControl/>
        <w:numPr>
          <w:ilvl w:val="0"/>
          <w:numId w:val="5"/>
        </w:numPr>
        <w:autoSpaceDE/>
        <w:autoSpaceDN/>
        <w:spacing w:after="240" w:line="360" w:lineRule="auto"/>
        <w:ind w:left="425"/>
        <w:jc w:val="both"/>
        <w:rPr>
          <w:rFonts w:ascii="Times New Roman" w:hAnsi="Times New Roman" w:cs="Times New Roman"/>
          <w:b/>
          <w:sz w:val="24"/>
          <w:szCs w:val="24"/>
          <w:lang w:val="es-GT" w:eastAsia="es-MX"/>
        </w:rPr>
      </w:pPr>
      <w:r w:rsidRPr="00435790">
        <w:rPr>
          <w:rFonts w:ascii="Times New Roman" w:hAnsi="Times New Roman" w:cs="Times New Roman"/>
          <w:b/>
          <w:sz w:val="24"/>
          <w:szCs w:val="24"/>
          <w:lang w:val="es-GT" w:eastAsia="es-MX"/>
        </w:rPr>
        <w:t>ARTÍCULO 10. EDUCACIÓN</w:t>
      </w:r>
    </w:p>
    <w:p w14:paraId="39787B84" w14:textId="4B611114"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La EIS es un derecho humano incluido en la amplia garantía del acceso a educación en general, pues también debe orientarse hacia el pleno desarrollo de la personalidad humana </w:t>
      </w:r>
      <w:r w:rsidRPr="00435790">
        <w:rPr>
          <w:rFonts w:ascii="Times New Roman" w:eastAsia="Arial" w:hAnsi="Times New Roman" w:cs="Times New Roman"/>
          <w:sz w:val="24"/>
          <w:szCs w:val="24"/>
          <w:lang w:val="es-GT" w:eastAsia="es-MX"/>
        </w:rPr>
        <w:lastRenderedPageBreak/>
        <w:t xml:space="preserve">y del sentido de su dignidad. A pesar de que el marco legal y político nacional e internacional reconoce el derecho a EIS y se sostiene sobre el principio de universalidad de los derechos humanos, el Estado de Guatemala continúa relegando su compromiso con la garantía de </w:t>
      </w:r>
      <w:r w:rsidR="00435790" w:rsidRPr="00435790">
        <w:rPr>
          <w:rFonts w:ascii="Times New Roman" w:eastAsia="Arial" w:hAnsi="Times New Roman" w:cs="Times New Roman"/>
          <w:sz w:val="24"/>
          <w:szCs w:val="24"/>
          <w:lang w:val="es-GT" w:eastAsia="es-MX"/>
        </w:rPr>
        <w:t>esta</w:t>
      </w:r>
      <w:r w:rsidRPr="00435790">
        <w:rPr>
          <w:rFonts w:ascii="Times New Roman" w:eastAsia="Arial" w:hAnsi="Times New Roman" w:cs="Times New Roman"/>
          <w:sz w:val="24"/>
          <w:szCs w:val="24"/>
          <w:lang w:val="es-GT" w:eastAsia="es-MX"/>
        </w:rPr>
        <w:t xml:space="preserve">. En el 2021, se aprobó </w:t>
      </w:r>
      <w:r w:rsidR="00435790" w:rsidRPr="00435790">
        <w:rPr>
          <w:rFonts w:ascii="Times New Roman" w:eastAsia="Arial" w:hAnsi="Times New Roman" w:cs="Times New Roman"/>
          <w:sz w:val="24"/>
          <w:szCs w:val="24"/>
          <w:lang w:val="es-GT" w:eastAsia="es-MX"/>
        </w:rPr>
        <w:t>la Política</w:t>
      </w:r>
      <w:r w:rsidRPr="00435790">
        <w:rPr>
          <w:rFonts w:ascii="Times New Roman" w:eastAsia="Arial" w:hAnsi="Times New Roman" w:cs="Times New Roman"/>
          <w:sz w:val="24"/>
          <w:szCs w:val="24"/>
          <w:lang w:val="es-GT" w:eastAsia="es-MX"/>
        </w:rPr>
        <w:t xml:space="preserve"> Pública de Protección a la Vida y la Institucionalidad de la Familia, que abiertamente prohíbe cualquier tipo de educación en sexualidad que ponga en cuestión los valores tradicionales. Esta política, que estará vigente hasta 2032, representa una amenaza evidente a los derechos humanos y a la dignidad de las mujeres jóvenes titulares de derechos.</w:t>
      </w:r>
    </w:p>
    <w:p w14:paraId="5E274CA2"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La EIS se concibe también como una herramienta para identificar y prevenir la violencia en espacios educativos, pero al ser un derecho negado por el Estado, también se corre el riesgo de no garantizar espacios educativos seguros libres de violencia y acoso sexual. Aunque los datos oficiales constantemente presentan inconsistencias, el MINEDUC</w:t>
      </w:r>
      <w:r w:rsidRPr="00435790">
        <w:rPr>
          <w:rFonts w:ascii="Times New Roman" w:eastAsia="Arial" w:hAnsi="Times New Roman" w:cs="Times New Roman"/>
          <w:sz w:val="24"/>
          <w:szCs w:val="24"/>
          <w:vertAlign w:val="superscript"/>
          <w:lang w:val="es-GT" w:eastAsia="es-MX"/>
        </w:rPr>
        <w:footnoteReference w:id="29"/>
      </w:r>
      <w:r w:rsidRPr="00435790">
        <w:rPr>
          <w:rFonts w:ascii="Times New Roman" w:eastAsia="Arial" w:hAnsi="Times New Roman" w:cs="Times New Roman"/>
          <w:sz w:val="24"/>
          <w:szCs w:val="24"/>
          <w:lang w:val="es-GT" w:eastAsia="es-MX"/>
        </w:rPr>
        <w:t xml:space="preserve"> reportó 39 casos de violencia en espacios educativos de 2018 a 2021. Estas cifras esconden detrás el silencio con el que se vive la violencia en estos ambientes y que vulneran directamente el derecho a vidas dignas y educación.</w:t>
      </w:r>
    </w:p>
    <w:p w14:paraId="24B3C48F"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Técnicamente, para atender esta realidad, se creó un </w:t>
      </w:r>
      <w:r w:rsidRPr="00435790">
        <w:rPr>
          <w:rFonts w:ascii="Times New Roman" w:eastAsia="Arial" w:hAnsi="Times New Roman" w:cs="Times New Roman"/>
          <w:i/>
          <w:sz w:val="24"/>
          <w:szCs w:val="24"/>
          <w:lang w:val="es-GT" w:eastAsia="es-MX"/>
        </w:rPr>
        <w:t>“Protocolo de identificación, atención y referencia de casos de violencia dentro del sistema educativo nacional”</w:t>
      </w:r>
      <w:r w:rsidRPr="00435790">
        <w:rPr>
          <w:rFonts w:ascii="Times New Roman" w:eastAsia="Arial" w:hAnsi="Times New Roman" w:cs="Times New Roman"/>
          <w:sz w:val="24"/>
          <w:szCs w:val="24"/>
          <w:lang w:val="es-GT" w:eastAsia="es-MX"/>
        </w:rPr>
        <w:t xml:space="preserve">; Y en 2011, se aprobó la </w:t>
      </w:r>
      <w:r w:rsidRPr="00435790">
        <w:rPr>
          <w:rFonts w:ascii="Times New Roman" w:eastAsia="Arial" w:hAnsi="Times New Roman" w:cs="Times New Roman"/>
          <w:i/>
          <w:sz w:val="24"/>
          <w:szCs w:val="24"/>
          <w:lang w:val="es-GT" w:eastAsia="es-MX"/>
        </w:rPr>
        <w:t>“Guía para la prevención del acoso escolar (</w:t>
      </w:r>
      <w:proofErr w:type="gramStart"/>
      <w:r w:rsidRPr="00435790">
        <w:rPr>
          <w:rFonts w:ascii="Times New Roman" w:eastAsia="Arial" w:hAnsi="Times New Roman" w:cs="Times New Roman"/>
          <w:i/>
          <w:sz w:val="24"/>
          <w:szCs w:val="24"/>
          <w:lang w:val="es-GT" w:eastAsia="es-MX"/>
        </w:rPr>
        <w:t>bullying</w:t>
      </w:r>
      <w:proofErr w:type="gramEnd"/>
      <w:r w:rsidRPr="00435790">
        <w:rPr>
          <w:rFonts w:ascii="Times New Roman" w:eastAsia="Arial" w:hAnsi="Times New Roman" w:cs="Times New Roman"/>
          <w:i/>
          <w:sz w:val="24"/>
          <w:szCs w:val="24"/>
          <w:lang w:val="es-GT" w:eastAsia="es-MX"/>
        </w:rPr>
        <w:t>)”.</w:t>
      </w:r>
      <w:r w:rsidRPr="00435790">
        <w:rPr>
          <w:rFonts w:ascii="Times New Roman" w:eastAsia="Arial" w:hAnsi="Times New Roman" w:cs="Times New Roman"/>
          <w:sz w:val="24"/>
          <w:szCs w:val="24"/>
          <w:lang w:val="es-GT" w:eastAsia="es-MX"/>
        </w:rPr>
        <w:t xml:space="preserve"> Ambos documentos tienen como fin brindar herramientas a docentes, directores y supervisores para frenar el acoso y la violencia en espacios escolares, incluyendo la violencia sexual y la discriminación. Sin embargo, estos están desactualizados y en la realidad no se implementan, porque existe un generalizado desconocimiento por parte del personal que tiene a su cargo la implementación. </w:t>
      </w:r>
    </w:p>
    <w:p w14:paraId="1F887665"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En 2020, el MSPAS y el MINEDUC ratificaron el convenio de cooperación interinstitucional Prevenir con Educación 2021-2025. Por medio de este acuerdo, el Estado de Guatemala asumió el compromiso de incluir EIS (aunque no incluye temas de orientación sexual ni identidad y expresión de género) en los programas escolares y brindar servicios de salud sexual y reproductiva diferenciados a jóvenes y adolescentes. </w:t>
      </w:r>
      <w:r w:rsidRPr="00435790">
        <w:rPr>
          <w:rFonts w:ascii="Times New Roman" w:eastAsia="Arial" w:hAnsi="Times New Roman" w:cs="Times New Roman"/>
          <w:sz w:val="24"/>
          <w:szCs w:val="24"/>
          <w:lang w:val="es-GT" w:eastAsia="es-MX"/>
        </w:rPr>
        <w:lastRenderedPageBreak/>
        <w:t>A pesar de que esta iniciativa se impulsó desde 2008, los avances para alcanzar los objetivos de dicho acuerdo han sido escasos, especialmente por parte del MINEDUC. Catorce años después, sigue sin ser garantizado el acceso a EIS y los servicios de salud sexual y reproductiva son muy limitados.</w:t>
      </w:r>
    </w:p>
    <w:p w14:paraId="5132CF5E" w14:textId="77777777"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Además, el Estado de Guatemala asegura, en sus </w:t>
      </w:r>
      <w:r w:rsidRPr="00435790">
        <w:rPr>
          <w:rFonts w:ascii="Times New Roman" w:eastAsia="Arial" w:hAnsi="Times New Roman" w:cs="Times New Roman"/>
          <w:i/>
          <w:sz w:val="24"/>
          <w:szCs w:val="24"/>
          <w:lang w:val="es-GT" w:eastAsia="es-MX"/>
        </w:rPr>
        <w:t>Respuestas de Guatemala a la lista de cuestiones relativa a su cuarto informe periódico</w:t>
      </w:r>
      <w:r w:rsidRPr="00435790">
        <w:rPr>
          <w:rFonts w:ascii="Times New Roman" w:eastAsia="Arial" w:hAnsi="Times New Roman" w:cs="Times New Roman"/>
          <w:i/>
          <w:sz w:val="24"/>
          <w:szCs w:val="24"/>
          <w:vertAlign w:val="superscript"/>
          <w:lang w:val="es-GT" w:eastAsia="es-MX"/>
        </w:rPr>
        <w:footnoteReference w:id="30"/>
      </w:r>
      <w:r w:rsidRPr="00435790">
        <w:rPr>
          <w:rFonts w:ascii="Times New Roman" w:eastAsia="Arial" w:hAnsi="Times New Roman" w:cs="Times New Roman"/>
          <w:sz w:val="24"/>
          <w:szCs w:val="24"/>
          <w:lang w:val="es-GT" w:eastAsia="es-MX"/>
        </w:rPr>
        <w:t xml:space="preserve">, que la </w:t>
      </w:r>
      <w:r w:rsidRPr="00435790">
        <w:rPr>
          <w:rFonts w:ascii="Times New Roman" w:eastAsia="Arial" w:hAnsi="Times New Roman" w:cs="Times New Roman"/>
          <w:i/>
          <w:sz w:val="24"/>
          <w:szCs w:val="24"/>
          <w:lang w:val="es-GT" w:eastAsia="es-MX"/>
        </w:rPr>
        <w:t>Estrategia Nacional de Educación para la Convivencia Pacífica y Prevención de Violencia,</w:t>
      </w:r>
      <w:r w:rsidRPr="00435790">
        <w:rPr>
          <w:rFonts w:ascii="Times New Roman" w:eastAsia="Arial" w:hAnsi="Times New Roman" w:cs="Times New Roman"/>
          <w:sz w:val="24"/>
          <w:szCs w:val="24"/>
          <w:lang w:val="es-GT" w:eastAsia="es-MX"/>
        </w:rPr>
        <w:t xml:space="preserve"> es la forma más pertinente de prevenir, atender y resarcir la violencia y el acoso sexual en los centros educativos, sin embargo, esta mayoritariamente se concentra en capacitaciones que no arrojan resultados significativos. Además, esta culminó en 2020 y, no se cuentan con mecanismos de actualización ni evaluación. Resulta inadmisible que el Estado responda a la lista de cuestiones del Comité DESC, con este argumento. </w:t>
      </w:r>
    </w:p>
    <w:p w14:paraId="254A1859" w14:textId="0A85084A" w:rsidR="00A34F9B" w:rsidRPr="00435790" w:rsidRDefault="00A34F9B"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lang w:val="es-GT" w:eastAsia="es-MX"/>
        </w:rPr>
        <w:t xml:space="preserve">Es preocupante que la mayoría de las acciones relacionadas a EIS, estén vinculadas a instituciones con trayectoria cuestionable. Tales como el MIDES y el MINGOB. Pese a que los embarazos forzados en niñas y adolescentes son una forma de violencia, desde la óptica de estas instituciones se les trata como violencia y crimen común, dejando por lado la integralidad con la que debe atenderse. De tal cuenta, el MIDES reporta que las acciones vinculadas a prevención de embarazos en adolescentes se concentran en charlas informativas sobre el PLANEA. Esto se realiza mediante el </w:t>
      </w:r>
      <w:r w:rsidR="00435790" w:rsidRPr="00435790">
        <w:rPr>
          <w:rFonts w:ascii="Times New Roman" w:eastAsia="Arial" w:hAnsi="Times New Roman" w:cs="Times New Roman"/>
          <w:sz w:val="24"/>
          <w:szCs w:val="24"/>
          <w:lang w:val="es-GT" w:eastAsia="es-MX"/>
        </w:rPr>
        <w:t>programa “</w:t>
      </w:r>
      <w:r w:rsidRPr="00435790">
        <w:rPr>
          <w:rFonts w:ascii="Times New Roman" w:eastAsia="Arial" w:hAnsi="Times New Roman" w:cs="Times New Roman"/>
          <w:sz w:val="24"/>
          <w:szCs w:val="24"/>
          <w:lang w:val="es-GT" w:eastAsia="es-MX"/>
        </w:rPr>
        <w:t>Jóvenes protagonistas”, en el proyecto “Jóvenes en contra del consumo de drogas, educación integral en sexualidad y prevención de embarazos en adolescentes”. De enero a junio de 2022, solamente se han registrado 23 personas inscritas en el proyecto. Además de ser insuficiente la estrategia, se demuestra que existe poca cobertura en las responsabilidades asumidas por el MIDES en el marco del PLANEA</w:t>
      </w:r>
      <w:r w:rsidRPr="00435790">
        <w:rPr>
          <w:rFonts w:ascii="Times New Roman" w:eastAsia="Arial" w:hAnsi="Times New Roman" w:cs="Times New Roman"/>
          <w:sz w:val="24"/>
          <w:szCs w:val="24"/>
          <w:vertAlign w:val="superscript"/>
          <w:lang w:val="es-GT" w:eastAsia="es-MX"/>
        </w:rPr>
        <w:footnoteReference w:id="31"/>
      </w:r>
      <w:r w:rsidRPr="00435790">
        <w:rPr>
          <w:rFonts w:ascii="Times New Roman" w:eastAsia="Arial" w:hAnsi="Times New Roman" w:cs="Times New Roman"/>
          <w:sz w:val="24"/>
          <w:szCs w:val="24"/>
          <w:lang w:val="es-GT" w:eastAsia="es-MX"/>
        </w:rPr>
        <w:t xml:space="preserve">. </w:t>
      </w:r>
    </w:p>
    <w:p w14:paraId="4ED733DA" w14:textId="6160E10A" w:rsidR="00A34F9B" w:rsidRPr="00435790" w:rsidRDefault="00000000" w:rsidP="00435790">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sdt>
        <w:sdtPr>
          <w:rPr>
            <w:rFonts w:ascii="Times New Roman" w:hAnsi="Times New Roman" w:cs="Times New Roman"/>
            <w:sz w:val="24"/>
            <w:szCs w:val="24"/>
            <w:lang w:val="es-GT" w:eastAsia="es-MX"/>
          </w:rPr>
          <w:tag w:val="goog_rdk_11"/>
          <w:id w:val="1627280945"/>
        </w:sdtPr>
        <w:sdtContent/>
      </w:sdt>
      <w:sdt>
        <w:sdtPr>
          <w:rPr>
            <w:rFonts w:ascii="Times New Roman" w:hAnsi="Times New Roman" w:cs="Times New Roman"/>
            <w:sz w:val="24"/>
            <w:szCs w:val="24"/>
            <w:lang w:val="es-GT" w:eastAsia="es-MX"/>
          </w:rPr>
          <w:tag w:val="goog_rdk_12"/>
          <w:id w:val="-643046720"/>
        </w:sdtPr>
        <w:sdtContent/>
      </w:sdt>
      <w:r w:rsidR="00A34F9B" w:rsidRPr="00435790">
        <w:rPr>
          <w:rFonts w:ascii="Times New Roman" w:eastAsia="Arial" w:hAnsi="Times New Roman" w:cs="Times New Roman"/>
          <w:sz w:val="24"/>
          <w:szCs w:val="24"/>
          <w:lang w:val="es-GT" w:eastAsia="es-MX"/>
        </w:rPr>
        <w:t>El MINEDUC registra 4,326,810 personas con discapacidad inscritas en los centros educativos del sistema público. De ellas, 1,707,142 son mujeres</w:t>
      </w:r>
      <w:sdt>
        <w:sdtPr>
          <w:rPr>
            <w:rFonts w:ascii="Times New Roman" w:hAnsi="Times New Roman" w:cs="Times New Roman"/>
            <w:sz w:val="24"/>
            <w:szCs w:val="24"/>
            <w:lang w:val="es-GT" w:eastAsia="es-MX"/>
          </w:rPr>
          <w:tag w:val="goog_rdk_13"/>
          <w:id w:val="2026447064"/>
        </w:sdtPr>
        <w:sdtContent>
          <w:r w:rsidR="00A34F9B" w:rsidRPr="00435790">
            <w:rPr>
              <w:rFonts w:ascii="Times New Roman" w:eastAsia="Arial" w:hAnsi="Times New Roman" w:cs="Times New Roman"/>
              <w:sz w:val="24"/>
              <w:szCs w:val="24"/>
              <w:lang w:val="es-GT" w:eastAsia="es-MX"/>
            </w:rPr>
            <w:t xml:space="preserve">. Así mismo, la Encuesta Nacional de Discapacidad demuestra que es más probable que las niñas con discapacidad </w:t>
          </w:r>
          <w:r w:rsidR="00A34F9B" w:rsidRPr="00435790">
            <w:rPr>
              <w:rFonts w:ascii="Times New Roman" w:eastAsia="Arial" w:hAnsi="Times New Roman" w:cs="Times New Roman"/>
              <w:sz w:val="24"/>
              <w:szCs w:val="24"/>
              <w:lang w:val="es-GT" w:eastAsia="es-MX"/>
            </w:rPr>
            <w:lastRenderedPageBreak/>
            <w:t xml:space="preserve">no asistan a la escuela que las niñas sin discapacidad - mientras no se evidencia tal diferencia entre niños con y sin discapacidad. </w:t>
          </w:r>
        </w:sdtContent>
      </w:sdt>
    </w:p>
    <w:p w14:paraId="23A45CE9" w14:textId="77777777" w:rsidR="00F75FE2" w:rsidRPr="00435790" w:rsidRDefault="00F75FE2" w:rsidP="00435790">
      <w:pPr>
        <w:spacing w:after="240" w:line="360" w:lineRule="auto"/>
        <w:jc w:val="both"/>
        <w:rPr>
          <w:rFonts w:ascii="Times New Roman" w:eastAsia="Times New Roman" w:hAnsi="Times New Roman" w:cs="Times New Roman"/>
          <w:b/>
          <w:bCs/>
          <w:color w:val="222222"/>
          <w:sz w:val="24"/>
          <w:szCs w:val="24"/>
        </w:rPr>
      </w:pPr>
      <w:bookmarkStart w:id="1" w:name="_Hlk115703658"/>
      <w:r w:rsidRPr="00435790">
        <w:rPr>
          <w:rFonts w:ascii="Times New Roman" w:eastAsia="Times New Roman" w:hAnsi="Times New Roman" w:cs="Times New Roman"/>
          <w:b/>
          <w:bCs/>
          <w:color w:val="222222"/>
          <w:sz w:val="24"/>
          <w:szCs w:val="24"/>
        </w:rPr>
        <w:t>Preguntas al Estado de Guatemala</w:t>
      </w:r>
    </w:p>
    <w:p w14:paraId="738D0E2A" w14:textId="77777777" w:rsidR="00F75FE2" w:rsidRPr="00435790" w:rsidRDefault="00F75FE2" w:rsidP="00867A5B">
      <w:pPr>
        <w:pStyle w:val="Prrafodelista"/>
        <w:numPr>
          <w:ilvl w:val="0"/>
          <w:numId w:val="4"/>
        </w:numPr>
        <w:spacing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 xml:space="preserve">¿Qué acciones tomará el Estado de Guatemala para cumplir con su compromiso de garantizar la Educación Integral en Sexualidad en todo el territorio guatemalteco y en todos los niveles de su sistema educativo con información científica, laica, objetiva y centrada en estándares internacionales de derechos humanos, particularmente de la niñez y adolescencia? </w:t>
      </w:r>
    </w:p>
    <w:p w14:paraId="1B05B850" w14:textId="41FF8700" w:rsidR="00F75FE2" w:rsidRPr="00867A5B" w:rsidRDefault="00F75FE2" w:rsidP="00867A5B">
      <w:pPr>
        <w:pStyle w:val="Prrafodelista"/>
        <w:numPr>
          <w:ilvl w:val="0"/>
          <w:numId w:val="4"/>
        </w:numPr>
        <w:spacing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¿Cómo ha garantizado la actualización de protocolos contra acoso sexual en espacios educativos a las libertades y derechos basados en la orientación sexual e identidad de género?</w:t>
      </w:r>
    </w:p>
    <w:p w14:paraId="56D978EE" w14:textId="53191CF6" w:rsidR="00F75FE2" w:rsidRPr="00867A5B" w:rsidRDefault="00F75FE2" w:rsidP="00867A5B">
      <w:pPr>
        <w:pStyle w:val="Prrafodelista"/>
        <w:numPr>
          <w:ilvl w:val="0"/>
          <w:numId w:val="4"/>
        </w:numPr>
        <w:spacing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 xml:space="preserve">¿Qué medidas concretas tomará el Estado de Guatemala para facilitar y garantizar el acceso a la educación de niñas y adolescentes con discapacidad en el marco de la deserción escolar causada por la Pandemia de Covid-19? </w:t>
      </w:r>
    </w:p>
    <w:p w14:paraId="1DCB846F" w14:textId="591F2BD5" w:rsidR="00F75FE2" w:rsidRDefault="00F75FE2" w:rsidP="00867A5B">
      <w:pPr>
        <w:pStyle w:val="Prrafodelista"/>
        <w:numPr>
          <w:ilvl w:val="0"/>
          <w:numId w:val="4"/>
        </w:numPr>
        <w:spacing w:after="240" w:line="360" w:lineRule="auto"/>
        <w:rPr>
          <w:rFonts w:ascii="Times New Roman" w:eastAsia="Times New Roman" w:hAnsi="Times New Roman" w:cs="Times New Roman"/>
          <w:color w:val="222222"/>
          <w:sz w:val="24"/>
          <w:szCs w:val="24"/>
        </w:rPr>
      </w:pPr>
      <w:r w:rsidRPr="00435790">
        <w:rPr>
          <w:rFonts w:ascii="Times New Roman" w:eastAsia="Times New Roman" w:hAnsi="Times New Roman" w:cs="Times New Roman"/>
          <w:color w:val="222222"/>
          <w:sz w:val="24"/>
          <w:szCs w:val="24"/>
        </w:rPr>
        <w:t>¿Cuáles son las medidas que adoptará el Estado de Guatemala para dejar sin vigencia la Política Nacional de Protección a la Vida y a la Institucionalidad de la Familia que contraviene los compromisos asumidos en CEDAW?</w:t>
      </w:r>
      <w:bookmarkEnd w:id="1"/>
    </w:p>
    <w:p w14:paraId="1BE175FA" w14:textId="77777777" w:rsidR="00867A5B" w:rsidRPr="00867A5B" w:rsidRDefault="00867A5B" w:rsidP="00867A5B">
      <w:pPr>
        <w:pStyle w:val="Prrafodelista"/>
        <w:spacing w:after="240" w:line="360" w:lineRule="auto"/>
        <w:ind w:left="283" w:firstLine="0"/>
        <w:rPr>
          <w:rFonts w:ascii="Times New Roman" w:eastAsia="Times New Roman" w:hAnsi="Times New Roman" w:cs="Times New Roman"/>
          <w:color w:val="222222"/>
          <w:sz w:val="24"/>
          <w:szCs w:val="24"/>
        </w:rPr>
      </w:pPr>
    </w:p>
    <w:p w14:paraId="30ED0884" w14:textId="1D173150" w:rsidR="00A34F9B" w:rsidRPr="00435790" w:rsidRDefault="00A34F9B" w:rsidP="00435790">
      <w:pPr>
        <w:widowControl/>
        <w:numPr>
          <w:ilvl w:val="0"/>
          <w:numId w:val="5"/>
        </w:numPr>
        <w:autoSpaceDE/>
        <w:autoSpaceDN/>
        <w:spacing w:after="240" w:line="360" w:lineRule="auto"/>
        <w:ind w:left="425"/>
        <w:jc w:val="both"/>
        <w:rPr>
          <w:rFonts w:ascii="Times New Roman" w:hAnsi="Times New Roman" w:cs="Times New Roman"/>
          <w:b/>
          <w:sz w:val="24"/>
          <w:szCs w:val="24"/>
          <w:lang w:val="es-GT" w:eastAsia="es-MX"/>
        </w:rPr>
      </w:pPr>
      <w:r w:rsidRPr="00435790">
        <w:rPr>
          <w:rFonts w:ascii="Times New Roman" w:hAnsi="Times New Roman" w:cs="Times New Roman"/>
          <w:b/>
          <w:sz w:val="24"/>
          <w:szCs w:val="24"/>
          <w:lang w:val="es-GT" w:eastAsia="es-MX"/>
        </w:rPr>
        <w:t>ARTÍCULO 11. EMPLEO</w:t>
      </w:r>
    </w:p>
    <w:p w14:paraId="50D2C9BA" w14:textId="77777777" w:rsidR="00867A5B" w:rsidRDefault="00A34F9B" w:rsidP="00867A5B">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435790">
        <w:rPr>
          <w:rFonts w:ascii="Times New Roman" w:eastAsia="Arial" w:hAnsi="Times New Roman" w:cs="Times New Roman"/>
          <w:sz w:val="24"/>
          <w:szCs w:val="24"/>
          <w:highlight w:val="white"/>
          <w:lang w:val="es-GT" w:eastAsia="es-MX"/>
        </w:rPr>
        <w:t xml:space="preserve">Las condiciones laborales de las mujeres jóvenas se exponen a barreras impuestas por estereotipos y prejuicios. Con una escasa participación de las mujeres jóvenes en el mercado laboral formal, se reducen las posibilidades de mejorar sus condiciones de vida en todas las esferas. El acceso a la seguridad social continúa siendo un derecho limitado a pocas personas que logran una vacante laboral en la formalidad. Es un hecho que las mujeres jóvenes se enfrentan a un contexto que limita el acceso a servicios de salud pertinentes, públicos y gratuitos.  Según el Instituto Nacional de Estadística -INE-, el 66% de las mujeres jóvenes que trabajan lo hacen en el sector informal, lo que implica que </w:t>
      </w:r>
      <w:r w:rsidRPr="00435790">
        <w:rPr>
          <w:rFonts w:ascii="Times New Roman" w:eastAsia="Arial" w:hAnsi="Times New Roman" w:cs="Times New Roman"/>
          <w:sz w:val="24"/>
          <w:szCs w:val="24"/>
          <w:highlight w:val="white"/>
          <w:lang w:val="es-GT" w:eastAsia="es-MX"/>
        </w:rPr>
        <w:lastRenderedPageBreak/>
        <w:t>carecen de seguro social. Esta escasa cobertura genera que la salud y otros derechos vinculados, sean inaccesibles para la mayoría de las mujeres. El seguro social les permite acudir a servicios médicos de forma gratuita y pública, pero de otra forma implica que las mujeres inviertan ostentosos montos para cubrir sus necesidades básicas, especialmente las referidas a salud sexual y reproductiva.</w:t>
      </w:r>
    </w:p>
    <w:p w14:paraId="2A9F3415" w14:textId="42DDC4C6" w:rsidR="00A34F9B" w:rsidRPr="00867A5B" w:rsidRDefault="00A34F9B" w:rsidP="00867A5B">
      <w:pPr>
        <w:widowControl/>
        <w:numPr>
          <w:ilvl w:val="0"/>
          <w:numId w:val="4"/>
        </w:numPr>
        <w:autoSpaceDE/>
        <w:autoSpaceDN/>
        <w:spacing w:before="200" w:after="240" w:line="360" w:lineRule="auto"/>
        <w:jc w:val="both"/>
        <w:rPr>
          <w:rFonts w:ascii="Times New Roman" w:eastAsia="Arial" w:hAnsi="Times New Roman" w:cs="Times New Roman"/>
          <w:sz w:val="24"/>
          <w:szCs w:val="24"/>
          <w:lang w:val="es-GT" w:eastAsia="es-MX"/>
        </w:rPr>
      </w:pPr>
      <w:r w:rsidRPr="00867A5B">
        <w:rPr>
          <w:rFonts w:ascii="Times New Roman" w:eastAsia="Arial" w:hAnsi="Times New Roman" w:cs="Times New Roman"/>
          <w:sz w:val="24"/>
          <w:szCs w:val="24"/>
          <w:highlight w:val="white"/>
          <w:lang w:val="es-GT" w:eastAsia="es-MX"/>
        </w:rPr>
        <w:t xml:space="preserve">En el Instituto Guatemalteco de Seguridad Social -IGSS-, el ente rector en esta </w:t>
      </w:r>
      <w:r w:rsidR="00F75FE2" w:rsidRPr="00867A5B">
        <w:rPr>
          <w:rFonts w:ascii="Times New Roman" w:eastAsia="Arial" w:hAnsi="Times New Roman" w:cs="Times New Roman"/>
          <w:sz w:val="24"/>
          <w:szCs w:val="24"/>
          <w:highlight w:val="white"/>
          <w:lang w:val="es-GT" w:eastAsia="es-MX"/>
        </w:rPr>
        <w:t>temática</w:t>
      </w:r>
      <w:r w:rsidRPr="00867A5B">
        <w:rPr>
          <w:rFonts w:ascii="Times New Roman" w:eastAsia="Arial" w:hAnsi="Times New Roman" w:cs="Times New Roman"/>
          <w:sz w:val="24"/>
          <w:szCs w:val="24"/>
          <w:highlight w:val="white"/>
          <w:lang w:val="es-GT" w:eastAsia="es-MX"/>
        </w:rPr>
        <w:t xml:space="preserve"> registró como trabajadores afiliados y afiliadas a 20,880 hombres y 7,574 mujeres en 2018; 19,159 hombres y 7,402 mujeres en 2019; 15,212 hombres y 5,349 mujeres en 2020; y, 17,093 hombres y 5,798 mujeres en 2021. Como puede observarse, la proporción de mujeres que cuentan con seguro social ha sido siempre menor que los hombres, en estos tres años no han alcanzado a representar ni la tercera parte. La desigualdad en el ejercicio de este derecho incrementa también </w:t>
      </w:r>
      <w:proofErr w:type="gramStart"/>
      <w:r w:rsidRPr="00867A5B">
        <w:rPr>
          <w:rFonts w:ascii="Times New Roman" w:eastAsia="Arial" w:hAnsi="Times New Roman" w:cs="Times New Roman"/>
          <w:sz w:val="24"/>
          <w:szCs w:val="24"/>
          <w:highlight w:val="white"/>
          <w:lang w:val="es-GT" w:eastAsia="es-MX"/>
        </w:rPr>
        <w:t>en razón de</w:t>
      </w:r>
      <w:proofErr w:type="gramEnd"/>
      <w:r w:rsidRPr="00867A5B">
        <w:rPr>
          <w:rFonts w:ascii="Times New Roman" w:eastAsia="Arial" w:hAnsi="Times New Roman" w:cs="Times New Roman"/>
          <w:sz w:val="24"/>
          <w:szCs w:val="24"/>
          <w:highlight w:val="white"/>
          <w:lang w:val="es-GT" w:eastAsia="es-MX"/>
        </w:rPr>
        <w:t xml:space="preserve"> la etnia. En 2018, del total de mujeres afiliadas, solamente el 1.70% se identifican como mayas; 1.92% en 2019, 2.38% en 2020 y 2.72% en 2021.</w:t>
      </w:r>
    </w:p>
    <w:p w14:paraId="3718DECC" w14:textId="77777777" w:rsidR="00F75FE2" w:rsidRPr="00435790" w:rsidRDefault="00F75FE2" w:rsidP="00435790">
      <w:pPr>
        <w:spacing w:after="240" w:line="360" w:lineRule="auto"/>
        <w:jc w:val="both"/>
        <w:rPr>
          <w:rFonts w:ascii="Times New Roman" w:eastAsia="Times New Roman" w:hAnsi="Times New Roman" w:cs="Times New Roman"/>
          <w:b/>
          <w:bCs/>
          <w:color w:val="222222"/>
          <w:sz w:val="24"/>
          <w:szCs w:val="24"/>
        </w:rPr>
      </w:pPr>
      <w:r w:rsidRPr="00435790">
        <w:rPr>
          <w:rFonts w:ascii="Times New Roman" w:eastAsia="Times New Roman" w:hAnsi="Times New Roman" w:cs="Times New Roman"/>
          <w:b/>
          <w:bCs/>
          <w:color w:val="222222"/>
          <w:sz w:val="24"/>
          <w:szCs w:val="24"/>
        </w:rPr>
        <w:t>Preguntas al Estado de Guatemala</w:t>
      </w:r>
    </w:p>
    <w:p w14:paraId="50280715" w14:textId="77777777" w:rsidR="00F75FE2" w:rsidRPr="00435790" w:rsidRDefault="00F75FE2" w:rsidP="00867A5B">
      <w:pPr>
        <w:pStyle w:val="Prrafodelista"/>
        <w:numPr>
          <w:ilvl w:val="0"/>
          <w:numId w:val="4"/>
        </w:numPr>
        <w:spacing w:after="240" w:line="360" w:lineRule="auto"/>
        <w:rPr>
          <w:rFonts w:ascii="Times New Roman" w:hAnsi="Times New Roman" w:cs="Times New Roman"/>
          <w:b/>
          <w:color w:val="222222"/>
          <w:sz w:val="24"/>
          <w:szCs w:val="24"/>
        </w:rPr>
      </w:pPr>
      <w:r w:rsidRPr="00435790">
        <w:rPr>
          <w:rFonts w:ascii="Times New Roman" w:eastAsia="Times New Roman" w:hAnsi="Times New Roman" w:cs="Times New Roman"/>
          <w:color w:val="222222"/>
          <w:sz w:val="24"/>
          <w:szCs w:val="24"/>
        </w:rPr>
        <w:t xml:space="preserve">¿Qué políticas implementará el Estado de Guatemala para eliminar la discriminación en el acceso al empleo y a la seguridad social de mujeres, en especial de mujeres jóvenes de distintos grupos con barreras incrementales a ese acceso como son las mujeres jóvenes con VIH, LBTIQ+, migrantes y con discapacidad? </w:t>
      </w:r>
    </w:p>
    <w:p w14:paraId="389DC63F" w14:textId="77777777" w:rsidR="00A34F9B" w:rsidRPr="00435790" w:rsidRDefault="00A34F9B" w:rsidP="00435790">
      <w:pPr>
        <w:widowControl/>
        <w:autoSpaceDE/>
        <w:autoSpaceDN/>
        <w:spacing w:after="240" w:line="360" w:lineRule="auto"/>
        <w:jc w:val="both"/>
        <w:rPr>
          <w:rFonts w:ascii="Times New Roman" w:hAnsi="Times New Roman" w:cs="Times New Roman"/>
          <w:b/>
          <w:color w:val="222222"/>
          <w:sz w:val="24"/>
          <w:szCs w:val="24"/>
          <w:lang w:val="es-GT" w:eastAsia="es-MX"/>
        </w:rPr>
      </w:pPr>
    </w:p>
    <w:sectPr w:rsidR="00A34F9B" w:rsidRPr="00435790" w:rsidSect="00A34F9B">
      <w:pgSz w:w="12240" w:h="15840"/>
      <w:pgMar w:top="1417" w:right="1701" w:bottom="1417" w:left="1701" w:header="0" w:footer="119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7B149" w14:textId="77777777" w:rsidR="00D54C95" w:rsidRDefault="00D54C95">
      <w:r>
        <w:separator/>
      </w:r>
    </w:p>
  </w:endnote>
  <w:endnote w:type="continuationSeparator" w:id="0">
    <w:p w14:paraId="72453762" w14:textId="77777777" w:rsidR="00D54C95" w:rsidRDefault="00D54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F828F" w14:textId="77777777" w:rsidR="0022559C" w:rsidRDefault="00A34F9B">
    <w:pPr>
      <w:pStyle w:val="Textoindependiente"/>
      <w:spacing w:line="14" w:lineRule="auto"/>
      <w:ind w:left="0" w:firstLine="0"/>
      <w:jc w:val="left"/>
      <w:rPr>
        <w:sz w:val="19"/>
      </w:rPr>
    </w:pPr>
    <w:r>
      <w:rPr>
        <w:noProof/>
      </w:rPr>
      <mc:AlternateContent>
        <mc:Choice Requires="wps">
          <w:drawing>
            <wp:anchor distT="0" distB="0" distL="114300" distR="114300" simplePos="0" relativeHeight="251657728" behindDoc="1" locked="0" layoutInCell="1" allowOverlap="1" wp14:anchorId="6899E7A4" wp14:editId="73586FA4">
              <wp:simplePos x="0" y="0"/>
              <wp:positionH relativeFrom="page">
                <wp:posOffset>3776980</wp:posOffset>
              </wp:positionH>
              <wp:positionV relativeFrom="page">
                <wp:posOffset>9135745</wp:posOffset>
              </wp:positionV>
              <wp:extent cx="219710" cy="165735"/>
              <wp:effectExtent l="0" t="0" r="8890" b="1206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FEA74" w14:textId="77777777" w:rsidR="0022559C" w:rsidRDefault="00000000">
                          <w:pPr>
                            <w:pStyle w:val="Textoindependiente"/>
                            <w:spacing w:line="245" w:lineRule="exact"/>
                            <w:ind w:left="60" w:firstLine="0"/>
                            <w:jc w:val="left"/>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99E7A4" id="_x0000_t202" coordsize="21600,21600" o:spt="202" path="m,l,21600r21600,l21600,xe">
              <v:stroke joinstyle="miter"/>
              <v:path gradientshapeok="t" o:connecttype="rect"/>
            </v:shapetype>
            <v:shape id="Text Box 1" o:spid="_x0000_s1026" type="#_x0000_t202" style="position:absolute;margin-left:297.4pt;margin-top:719.35pt;width:1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" filled="f" stroked="f">
              <v:path arrowok="t"/>
              <v:textbox inset="0,0,0,0">
                <w:txbxContent>
                  <w:p w14:paraId="22BFEA74" w14:textId="77777777" w:rsidR="0022559C" w:rsidRDefault="00000000">
                    <w:pPr>
                      <w:pStyle w:val="Textoindependiente"/>
                      <w:spacing w:line="245" w:lineRule="exact"/>
                      <w:ind w:left="60" w:firstLine="0"/>
                      <w:jc w:val="left"/>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1F6F6" w14:textId="77777777" w:rsidR="00D54C95" w:rsidRDefault="00D54C95">
      <w:r>
        <w:separator/>
      </w:r>
    </w:p>
  </w:footnote>
  <w:footnote w:type="continuationSeparator" w:id="0">
    <w:p w14:paraId="4BBA2199" w14:textId="77777777" w:rsidR="00D54C95" w:rsidRDefault="00D54C95">
      <w:r>
        <w:continuationSeparator/>
      </w:r>
    </w:p>
  </w:footnote>
  <w:footnote w:id="1">
    <w:p w14:paraId="7C5FE835"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Según Censo de Población y Vivienda 2018, Guatemala.</w:t>
      </w:r>
    </w:p>
  </w:footnote>
  <w:footnote w:id="2">
    <w:p w14:paraId="065C26F4" w14:textId="77777777" w:rsidR="00A34F9B" w:rsidRPr="00AD7F67" w:rsidRDefault="00A34F9B" w:rsidP="00A34F9B">
      <w:pPr>
        <w:pStyle w:val="Textonotapie"/>
        <w:rPr>
          <w:lang w:val="es-ES"/>
        </w:rPr>
      </w:pPr>
      <w:r>
        <w:rPr>
          <w:rStyle w:val="Refdenotaalpie"/>
        </w:rPr>
        <w:footnoteRef/>
      </w:r>
      <w:r>
        <w:t xml:space="preserve"> </w:t>
      </w:r>
      <w:r>
        <w:rPr>
          <w:lang w:val="es-ES"/>
        </w:rPr>
        <w:t>EDIS, 2016.</w:t>
      </w:r>
    </w:p>
  </w:footnote>
  <w:footnote w:id="3">
    <w:p w14:paraId="184F0F1F" w14:textId="77777777" w:rsidR="00A34F9B" w:rsidRDefault="00A34F9B" w:rsidP="00A34F9B">
      <w:pPr>
        <w:rPr>
          <w:sz w:val="20"/>
          <w:szCs w:val="20"/>
        </w:rPr>
      </w:pPr>
      <w:r>
        <w:rPr>
          <w:vertAlign w:val="superscript"/>
        </w:rPr>
        <w:footnoteRef/>
      </w:r>
      <w:r>
        <w:rPr>
          <w:sz w:val="20"/>
          <w:szCs w:val="20"/>
        </w:rPr>
        <w:t xml:space="preserve"> </w:t>
      </w:r>
      <w:r>
        <w:rPr>
          <w:rFonts w:ascii="Arial" w:eastAsia="Arial" w:hAnsi="Arial" w:cs="Arial"/>
        </w:rPr>
        <w:t>CEDAW/C/GTM/10</w:t>
      </w:r>
    </w:p>
  </w:footnote>
  <w:footnote w:id="4">
    <w:p w14:paraId="2C03DFBF" w14:textId="77777777" w:rsidR="00A34F9B" w:rsidRDefault="00A34F9B" w:rsidP="00A34F9B">
      <w:pPr>
        <w:rPr>
          <w:sz w:val="20"/>
          <w:szCs w:val="20"/>
        </w:rPr>
      </w:pPr>
      <w:r>
        <w:rPr>
          <w:vertAlign w:val="superscript"/>
        </w:rPr>
        <w:footnoteRef/>
      </w:r>
      <w:r>
        <w:rPr>
          <w:sz w:val="20"/>
          <w:szCs w:val="20"/>
        </w:rPr>
        <w:t xml:space="preserve"> </w:t>
      </w:r>
      <w:r>
        <w:rPr>
          <w:rFonts w:ascii="Arial" w:eastAsia="Arial" w:hAnsi="Arial" w:cs="Arial"/>
          <w:sz w:val="20"/>
          <w:szCs w:val="20"/>
        </w:rPr>
        <w:t>Borrador de decreto disponible en: https://www.agenciaocote.com/wp-content/uploads/2022/03/Ley_Proteccion_vida_familia_5272_ocote.pdf</w:t>
      </w:r>
    </w:p>
  </w:footnote>
  <w:footnote w:id="5">
    <w:p w14:paraId="2BAB60CE"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https://www.congreso.gob.gt/detalle_pdf/iniciativas/5787</w:t>
      </w:r>
    </w:p>
  </w:footnote>
  <w:footnote w:id="6">
    <w:p w14:paraId="68AD7E13" w14:textId="77777777" w:rsidR="00A34F9B" w:rsidRPr="00AD7F67" w:rsidRDefault="00A34F9B" w:rsidP="00A34F9B">
      <w:pPr>
        <w:pStyle w:val="Textonotapie"/>
        <w:rPr>
          <w:rFonts w:ascii="Arial" w:eastAsia="Arial" w:hAnsi="Arial" w:cs="Arial"/>
          <w:sz w:val="22"/>
          <w:szCs w:val="22"/>
        </w:rPr>
      </w:pPr>
      <w:r>
        <w:rPr>
          <w:rStyle w:val="Refdenotaalpie"/>
        </w:rPr>
        <w:footnoteRef/>
      </w:r>
      <w:r>
        <w:t xml:space="preserve"> </w:t>
      </w:r>
      <w:r w:rsidRPr="00AD7F67">
        <w:rPr>
          <w:rFonts w:ascii="Arial" w:eastAsia="Arial" w:hAnsi="Arial" w:cs="Arial"/>
          <w:sz w:val="21"/>
          <w:szCs w:val="21"/>
        </w:rPr>
        <w:t>Según el Cuarto Informe presentado por parte del Estado de Guatemala en 2019 en el párrafo 12-No Discriminación.</w:t>
      </w:r>
    </w:p>
  </w:footnote>
  <w:footnote w:id="7">
    <w:p w14:paraId="62CA846E"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https://www.congreso.gob.gt/detalle_pdf/iniciativas/5930</w:t>
      </w:r>
    </w:p>
  </w:footnote>
  <w:footnote w:id="8">
    <w:p w14:paraId="0E474E86"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https://www.prensalibre.com/guatemala/politica/junta-directiva-del-congreso-acuerda-engavetar-iniciativa-6076-que-regula-uso-de-fuerza-publica-en-manifestaciones-breaking/</w:t>
      </w:r>
    </w:p>
  </w:footnote>
  <w:footnote w:id="9">
    <w:p w14:paraId="609C26FF"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https://lahora.gt/nacionales/engelberth-blanco/2022/08/24/pese-a-promesa-a-48-cantones-diputado-de-ucn-no-descarta-iniciativa-antimanifestaciones/</w:t>
      </w:r>
    </w:p>
  </w:footnote>
  <w:footnote w:id="10">
    <w:p w14:paraId="6190E6F1" w14:textId="77777777" w:rsidR="00A34F9B" w:rsidRDefault="00A34F9B" w:rsidP="00A34F9B">
      <w:pPr>
        <w:rPr>
          <w:sz w:val="20"/>
          <w:szCs w:val="20"/>
        </w:rPr>
      </w:pPr>
      <w:r>
        <w:rPr>
          <w:vertAlign w:val="superscript"/>
        </w:rPr>
        <w:footnoteRef/>
      </w:r>
      <w:r>
        <w:rPr>
          <w:sz w:val="20"/>
          <w:szCs w:val="20"/>
        </w:rPr>
        <w:t xml:space="preserve"> Resolución-UIP 599-2022 por solicitud de información pública al Procurador de los Derechos Humanos</w:t>
      </w:r>
    </w:p>
  </w:footnote>
  <w:footnote w:id="11">
    <w:p w14:paraId="3BC6146F" w14:textId="77777777" w:rsidR="008E30B9" w:rsidRDefault="008E30B9" w:rsidP="008E30B9">
      <w:pPr>
        <w:rPr>
          <w:sz w:val="20"/>
          <w:szCs w:val="20"/>
        </w:rPr>
      </w:pPr>
      <w:r>
        <w:rPr>
          <w:vertAlign w:val="superscript"/>
        </w:rPr>
        <w:footnoteRef/>
      </w:r>
      <w:r>
        <w:rPr>
          <w:sz w:val="20"/>
          <w:szCs w:val="20"/>
        </w:rPr>
        <w:t xml:space="preserve"> CEDAW/C/GTM/10</w:t>
      </w:r>
    </w:p>
  </w:footnote>
  <w:footnote w:id="12">
    <w:p w14:paraId="390AB5E6" w14:textId="77777777" w:rsidR="008E30B9" w:rsidRDefault="008E30B9" w:rsidP="008E30B9">
      <w:pPr>
        <w:rPr>
          <w:sz w:val="20"/>
          <w:szCs w:val="20"/>
        </w:rPr>
      </w:pPr>
      <w:r>
        <w:rPr>
          <w:vertAlign w:val="superscript"/>
        </w:rPr>
        <w:footnoteRef/>
      </w:r>
      <w:r>
        <w:rPr>
          <w:sz w:val="20"/>
          <w:szCs w:val="20"/>
        </w:rPr>
        <w:t xml:space="preserve"> Por sus siglas: Centros de Apoyo Integral para Mujeres </w:t>
      </w:r>
    </w:p>
  </w:footnote>
  <w:footnote w:id="13">
    <w:p w14:paraId="6AF10EA5" w14:textId="77777777" w:rsidR="008E30B9" w:rsidRDefault="008E30B9" w:rsidP="008E30B9">
      <w:pPr>
        <w:rPr>
          <w:sz w:val="20"/>
          <w:szCs w:val="20"/>
        </w:rPr>
      </w:pPr>
      <w:r>
        <w:rPr>
          <w:vertAlign w:val="superscript"/>
        </w:rPr>
        <w:footnoteRef/>
      </w:r>
      <w:r>
        <w:rPr>
          <w:sz w:val="20"/>
          <w:szCs w:val="20"/>
        </w:rPr>
        <w:t xml:space="preserve"> https://www.prensalibre.com/guatemala/politica/diputados-le-quitan-q9-millones-a-los-centros-de-atencion-para-mujeres-victimas-de-violencia/</w:t>
      </w:r>
    </w:p>
  </w:footnote>
  <w:footnote w:id="14">
    <w:p w14:paraId="7A5C1711" w14:textId="77777777" w:rsidR="00A34F9B" w:rsidRDefault="00A34F9B" w:rsidP="00A34F9B">
      <w:pPr>
        <w:rPr>
          <w:sz w:val="20"/>
          <w:szCs w:val="20"/>
        </w:rPr>
      </w:pPr>
      <w:r>
        <w:rPr>
          <w:vertAlign w:val="superscript"/>
        </w:rPr>
        <w:footnoteRef/>
      </w:r>
      <w:r>
        <w:rPr>
          <w:sz w:val="20"/>
          <w:szCs w:val="20"/>
        </w:rPr>
        <w:t xml:space="preserve"> Fondo de las Naciones Unidas sobre los Derechos de las Personas con Discapacidad. Análisis de la</w:t>
      </w:r>
    </w:p>
    <w:p w14:paraId="39EDEC53" w14:textId="77777777" w:rsidR="00A34F9B" w:rsidRDefault="00A34F9B" w:rsidP="00A34F9B">
      <w:pPr>
        <w:rPr>
          <w:sz w:val="20"/>
          <w:szCs w:val="20"/>
        </w:rPr>
      </w:pPr>
      <w:r>
        <w:rPr>
          <w:sz w:val="20"/>
          <w:szCs w:val="20"/>
        </w:rPr>
        <w:t>Situación de los derechos de las personas con Discapacidad en Guatemala. Disponible en:</w:t>
      </w:r>
    </w:p>
    <w:p w14:paraId="778FFD72" w14:textId="77777777" w:rsidR="00A34F9B" w:rsidRDefault="00A34F9B" w:rsidP="00A34F9B">
      <w:pPr>
        <w:rPr>
          <w:sz w:val="20"/>
          <w:szCs w:val="20"/>
        </w:rPr>
      </w:pPr>
      <w:r>
        <w:rPr>
          <w:sz w:val="20"/>
          <w:szCs w:val="20"/>
        </w:rPr>
        <w:t>https://n9.cl/w7oy0</w:t>
      </w:r>
    </w:p>
  </w:footnote>
  <w:footnote w:id="15">
    <w:p w14:paraId="69FB01B0" w14:textId="77777777" w:rsidR="00A34F9B" w:rsidRDefault="00A34F9B" w:rsidP="00A34F9B">
      <w:pPr>
        <w:rPr>
          <w:sz w:val="20"/>
          <w:szCs w:val="20"/>
        </w:rPr>
      </w:pPr>
      <w:r>
        <w:rPr>
          <w:vertAlign w:val="superscript"/>
        </w:rPr>
        <w:footnoteRef/>
      </w:r>
      <w:r>
        <w:rPr>
          <w:sz w:val="20"/>
          <w:szCs w:val="20"/>
        </w:rPr>
        <w:t xml:space="preserve"> Según resolución de petición de información pública SVET-UIP-010-2022</w:t>
      </w:r>
    </w:p>
  </w:footnote>
  <w:footnote w:id="16">
    <w:p w14:paraId="5D7C9FC4"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Según resolución de petición de información pública al MP DIP/G 2022 - 001193 / </w:t>
      </w:r>
      <w:proofErr w:type="spellStart"/>
      <w:r>
        <w:rPr>
          <w:rFonts w:ascii="Arial" w:eastAsia="Arial" w:hAnsi="Arial" w:cs="Arial"/>
          <w:sz w:val="20"/>
          <w:szCs w:val="20"/>
        </w:rPr>
        <w:t>komg</w:t>
      </w:r>
      <w:proofErr w:type="spellEnd"/>
    </w:p>
  </w:footnote>
  <w:footnote w:id="17">
    <w:p w14:paraId="110A1273"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Grupo de apoyo Xela, Abuso y vulneración a los derechos de la comunidad LGBTIQ+ en Guatemala. Disponible en: https://www.gaxong.gt/datos-abiertos-gax/2021.html</w:t>
      </w:r>
    </w:p>
  </w:footnote>
  <w:footnote w:id="18">
    <w:p w14:paraId="4A727D00"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https://www.gaxong.gt/datos-abiertos-gax/2021.html</w:t>
      </w:r>
    </w:p>
  </w:footnote>
  <w:footnote w:id="19">
    <w:p w14:paraId="25323DD2"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INCEDES, UNFPA. Normalización y violencia. Violencia contra las mujeres en las migraciones. Disponible en: https://n9.cl/83iv</w:t>
      </w:r>
    </w:p>
  </w:footnote>
  <w:footnote w:id="20">
    <w:p w14:paraId="137A6C72"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Roboto" w:eastAsia="Roboto" w:hAnsi="Roboto" w:cs="Roboto"/>
          <w:sz w:val="20"/>
          <w:szCs w:val="20"/>
          <w:highlight w:val="white"/>
        </w:rPr>
        <w:t>(E/C.12/GTM/CO/3)</w:t>
      </w:r>
    </w:p>
  </w:footnote>
  <w:footnote w:id="21">
    <w:p w14:paraId="5A9F0C02"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w:t>
      </w:r>
      <w:hyperlink r:id="rId1">
        <w:r>
          <w:rPr>
            <w:rFonts w:ascii="Roboto" w:eastAsia="Roboto" w:hAnsi="Roboto" w:cs="Roboto"/>
            <w:color w:val="1A73E8"/>
            <w:sz w:val="20"/>
            <w:szCs w:val="20"/>
            <w:highlight w:val="white"/>
          </w:rPr>
          <w:t>https://observatorio.mp.gob.gt</w:t>
        </w:r>
      </w:hyperlink>
      <w:r>
        <w:rPr>
          <w:rFonts w:ascii="Arial" w:eastAsia="Arial" w:hAnsi="Arial" w:cs="Arial"/>
          <w:sz w:val="20"/>
          <w:szCs w:val="20"/>
        </w:rPr>
        <w:t>/</w:t>
      </w:r>
    </w:p>
  </w:footnote>
  <w:footnote w:id="22">
    <w:p w14:paraId="229C8437"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https://lahora.gt/nacionales/analucia/2022/07/28/viceministro-hablaba-de-extorsiones-pero-sus-declaraciones-generan-rechazo/</w:t>
      </w:r>
    </w:p>
  </w:footnote>
  <w:footnote w:id="23">
    <w:p w14:paraId="69890380" w14:textId="77777777" w:rsidR="00A34F9B" w:rsidRDefault="00A34F9B" w:rsidP="00A34F9B">
      <w:pPr>
        <w:rPr>
          <w:rFonts w:ascii="Arial" w:eastAsia="Arial" w:hAnsi="Arial" w:cs="Arial"/>
          <w:i/>
          <w:sz w:val="20"/>
          <w:szCs w:val="20"/>
        </w:rPr>
      </w:pPr>
      <w:r>
        <w:rPr>
          <w:vertAlign w:val="superscript"/>
        </w:rPr>
        <w:footnoteRef/>
      </w:r>
      <w:r>
        <w:rPr>
          <w:rFonts w:ascii="Arial" w:eastAsia="Arial" w:hAnsi="Arial" w:cs="Arial"/>
          <w:sz w:val="20"/>
          <w:szCs w:val="20"/>
        </w:rPr>
        <w:t xml:space="preserve"> </w:t>
      </w:r>
      <w:proofErr w:type="spellStart"/>
      <w:r>
        <w:rPr>
          <w:rFonts w:ascii="Arial" w:eastAsia="Arial" w:hAnsi="Arial" w:cs="Arial"/>
          <w:sz w:val="20"/>
          <w:szCs w:val="20"/>
        </w:rPr>
        <w:t>Gossmann</w:t>
      </w:r>
      <w:proofErr w:type="spellEnd"/>
      <w:r>
        <w:rPr>
          <w:rFonts w:ascii="Arial" w:eastAsia="Arial" w:hAnsi="Arial" w:cs="Arial"/>
          <w:sz w:val="20"/>
          <w:szCs w:val="20"/>
        </w:rPr>
        <w:t xml:space="preserve">, C. y Hernández, J. (2022). </w:t>
      </w:r>
      <w:r>
        <w:rPr>
          <w:rFonts w:ascii="Arial" w:eastAsia="Arial" w:hAnsi="Arial" w:cs="Arial"/>
          <w:i/>
          <w:sz w:val="20"/>
          <w:szCs w:val="20"/>
        </w:rPr>
        <w:t>Diagnóstico del contexto de los programas, los proyectos</w:t>
      </w:r>
    </w:p>
    <w:p w14:paraId="48583751" w14:textId="77777777" w:rsidR="00A34F9B" w:rsidRDefault="00A34F9B" w:rsidP="00A34F9B">
      <w:pPr>
        <w:rPr>
          <w:rFonts w:ascii="Arial" w:eastAsia="Arial" w:hAnsi="Arial" w:cs="Arial"/>
          <w:sz w:val="20"/>
          <w:szCs w:val="20"/>
        </w:rPr>
      </w:pPr>
      <w:r>
        <w:rPr>
          <w:rFonts w:ascii="Arial" w:eastAsia="Arial" w:hAnsi="Arial" w:cs="Arial"/>
          <w:i/>
          <w:sz w:val="20"/>
          <w:szCs w:val="20"/>
        </w:rPr>
        <w:t>y las acciones orientadas a la garantía de Derechos Sexuales y Derechos Reproductivos en Guatemala.</w:t>
      </w:r>
      <w:r>
        <w:rPr>
          <w:rFonts w:ascii="Arial" w:eastAsia="Arial" w:hAnsi="Arial" w:cs="Arial"/>
          <w:sz w:val="20"/>
          <w:szCs w:val="20"/>
        </w:rPr>
        <w:t xml:space="preserve"> INCIDEJOVEN: Guatemala</w:t>
      </w:r>
    </w:p>
  </w:footnote>
  <w:footnote w:id="24">
    <w:p w14:paraId="7B4EF4E4" w14:textId="77777777" w:rsidR="00A34F9B" w:rsidRDefault="00A34F9B" w:rsidP="00A34F9B">
      <w:pPr>
        <w:rPr>
          <w:sz w:val="20"/>
          <w:szCs w:val="20"/>
        </w:rPr>
      </w:pPr>
      <w:r>
        <w:rPr>
          <w:vertAlign w:val="superscript"/>
        </w:rPr>
        <w:footnoteRef/>
      </w:r>
      <w:r>
        <w:rPr>
          <w:sz w:val="20"/>
          <w:szCs w:val="20"/>
        </w:rPr>
        <w:t xml:space="preserve"> https://svet.gob.gt/estadisticas-trata-2/</w:t>
      </w:r>
    </w:p>
  </w:footnote>
  <w:footnote w:id="25">
    <w:p w14:paraId="1F15C032" w14:textId="77777777" w:rsidR="00A34F9B" w:rsidRDefault="00A34F9B" w:rsidP="00A34F9B">
      <w:pPr>
        <w:rPr>
          <w:sz w:val="20"/>
          <w:szCs w:val="20"/>
        </w:rPr>
      </w:pPr>
      <w:r>
        <w:rPr>
          <w:vertAlign w:val="superscript"/>
        </w:rPr>
        <w:footnoteRef/>
      </w:r>
      <w:r>
        <w:rPr>
          <w:sz w:val="20"/>
          <w:szCs w:val="20"/>
        </w:rPr>
        <w:t xml:space="preserve"> https://agn.gt/svet-presenta-informe-de-estado-en-materia-de-trata-de-personas-2020-2021/</w:t>
      </w:r>
    </w:p>
  </w:footnote>
  <w:footnote w:id="26">
    <w:p w14:paraId="207B1143"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Informe del Grupo de Trabajo sobre el Examen Periódico Universal, Guatemala, (A/HRC/37/9), 2 de enero de 2018, recomendación 111.140 (Francia)</w:t>
      </w:r>
    </w:p>
  </w:footnote>
  <w:footnote w:id="27">
    <w:p w14:paraId="2C51FBAD"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Según resolución No. 2096-2022 del MINEDUC por acceso a información pública.</w:t>
      </w:r>
    </w:p>
  </w:footnote>
  <w:footnote w:id="28">
    <w:p w14:paraId="6030E87F"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Según oficio MIDES-DAS-LELR-ne-0876-2022</w:t>
      </w:r>
    </w:p>
  </w:footnote>
  <w:footnote w:id="29">
    <w:p w14:paraId="4F54495F"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Según oficio de información pública del </w:t>
      </w:r>
      <w:proofErr w:type="gramStart"/>
      <w:r>
        <w:rPr>
          <w:rFonts w:ascii="Arial" w:eastAsia="Arial" w:hAnsi="Arial" w:cs="Arial"/>
          <w:sz w:val="20"/>
          <w:szCs w:val="20"/>
        </w:rPr>
        <w:t>MINEDUC  DIREH</w:t>
      </w:r>
      <w:proofErr w:type="gramEnd"/>
      <w:r>
        <w:rPr>
          <w:rFonts w:ascii="Arial" w:eastAsia="Arial" w:hAnsi="Arial" w:cs="Arial"/>
          <w:sz w:val="20"/>
          <w:szCs w:val="20"/>
        </w:rPr>
        <w:t>-10,730-2022</w:t>
      </w:r>
    </w:p>
  </w:footnote>
  <w:footnote w:id="30">
    <w:p w14:paraId="6F8F974D" w14:textId="77777777" w:rsidR="00A34F9B" w:rsidRDefault="00A34F9B" w:rsidP="00A34F9B">
      <w:pPr>
        <w:rPr>
          <w:rFonts w:ascii="Arial" w:eastAsia="Arial" w:hAnsi="Arial" w:cs="Arial"/>
          <w:sz w:val="20"/>
          <w:szCs w:val="20"/>
        </w:rPr>
      </w:pPr>
      <w:r>
        <w:rPr>
          <w:vertAlign w:val="superscript"/>
        </w:rPr>
        <w:footnoteRef/>
      </w:r>
      <w:r>
        <w:rPr>
          <w:rFonts w:ascii="Arial" w:eastAsia="Arial" w:hAnsi="Arial" w:cs="Arial"/>
          <w:sz w:val="20"/>
          <w:szCs w:val="20"/>
        </w:rPr>
        <w:t xml:space="preserve"> E/C.12/GTM/RQ/4 del Comité DESC</w:t>
      </w:r>
    </w:p>
  </w:footnote>
  <w:footnote w:id="31">
    <w:p w14:paraId="72AC6459" w14:textId="77777777" w:rsidR="00A34F9B" w:rsidRDefault="00A34F9B" w:rsidP="00A34F9B">
      <w:pPr>
        <w:rPr>
          <w:sz w:val="20"/>
          <w:szCs w:val="20"/>
        </w:rPr>
      </w:pPr>
      <w:r>
        <w:rPr>
          <w:vertAlign w:val="superscript"/>
        </w:rPr>
        <w:footnoteRef/>
      </w:r>
      <w:r>
        <w:rPr>
          <w:sz w:val="20"/>
          <w:szCs w:val="20"/>
        </w:rPr>
        <w:t xml:space="preserve"> Según oficio No. 1168-DPS-2022/CMTS/</w:t>
      </w:r>
      <w:proofErr w:type="spellStart"/>
      <w:r>
        <w:rPr>
          <w:sz w:val="20"/>
          <w:szCs w:val="20"/>
        </w:rPr>
        <w:t>ag</w:t>
      </w:r>
      <w:proofErr w:type="spellEnd"/>
      <w:r>
        <w:rPr>
          <w:sz w:val="20"/>
          <w:szCs w:val="20"/>
        </w:rPr>
        <w:t xml:space="preserve"> por solicitud de información pública al MIDES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63588"/>
    <w:multiLevelType w:val="hybridMultilevel"/>
    <w:tmpl w:val="DD84D426"/>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39906B8"/>
    <w:multiLevelType w:val="multilevel"/>
    <w:tmpl w:val="34ECAB7A"/>
    <w:lvl w:ilvl="0">
      <w:start w:val="1"/>
      <w:numFmt w:val="decimal"/>
      <w:lvlText w:val="%1."/>
      <w:lvlJc w:val="left"/>
      <w:pPr>
        <w:ind w:left="283" w:hanging="360"/>
      </w:pPr>
      <w:rPr>
        <w:b w:val="0"/>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40C3359"/>
    <w:multiLevelType w:val="hybridMultilevel"/>
    <w:tmpl w:val="DD84D426"/>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BF65941"/>
    <w:multiLevelType w:val="hybridMultilevel"/>
    <w:tmpl w:val="B270188C"/>
    <w:lvl w:ilvl="0" w:tplc="2292C3E6">
      <w:start w:val="1"/>
      <w:numFmt w:val="upperRoman"/>
      <w:lvlText w:val="%1."/>
      <w:lvlJc w:val="left"/>
      <w:pPr>
        <w:ind w:left="1702" w:hanging="360"/>
        <w:jc w:val="right"/>
      </w:pPr>
      <w:rPr>
        <w:rFonts w:ascii="Calibri" w:eastAsia="Calibri" w:hAnsi="Calibri" w:cs="Calibri" w:hint="default"/>
        <w:b/>
        <w:bCs/>
        <w:spacing w:val="0"/>
        <w:w w:val="100"/>
        <w:sz w:val="22"/>
        <w:szCs w:val="22"/>
        <w:lang w:val="es-ES" w:eastAsia="en-US" w:bidi="ar-SA"/>
      </w:rPr>
    </w:lvl>
    <w:lvl w:ilvl="1" w:tplc="F89E67BA">
      <w:start w:val="1"/>
      <w:numFmt w:val="decimal"/>
      <w:lvlText w:val="%2."/>
      <w:lvlJc w:val="left"/>
      <w:pPr>
        <w:ind w:left="1702" w:hanging="360"/>
      </w:pPr>
      <w:rPr>
        <w:rFonts w:ascii="Calibri" w:eastAsia="Calibri" w:hAnsi="Calibri" w:cs="Calibri" w:hint="default"/>
        <w:w w:val="100"/>
        <w:sz w:val="22"/>
        <w:szCs w:val="22"/>
        <w:lang w:val="es-ES" w:eastAsia="en-US" w:bidi="ar-SA"/>
      </w:rPr>
    </w:lvl>
    <w:lvl w:ilvl="2" w:tplc="DF02CB1C">
      <w:numFmt w:val="bullet"/>
      <w:lvlText w:val="•"/>
      <w:lvlJc w:val="left"/>
      <w:pPr>
        <w:ind w:left="3688" w:hanging="360"/>
      </w:pPr>
      <w:rPr>
        <w:rFonts w:hint="default"/>
        <w:lang w:val="es-ES" w:eastAsia="en-US" w:bidi="ar-SA"/>
      </w:rPr>
    </w:lvl>
    <w:lvl w:ilvl="3" w:tplc="80547B4E">
      <w:numFmt w:val="bullet"/>
      <w:lvlText w:val="•"/>
      <w:lvlJc w:val="left"/>
      <w:pPr>
        <w:ind w:left="4682" w:hanging="360"/>
      </w:pPr>
      <w:rPr>
        <w:rFonts w:hint="default"/>
        <w:lang w:val="es-ES" w:eastAsia="en-US" w:bidi="ar-SA"/>
      </w:rPr>
    </w:lvl>
    <w:lvl w:ilvl="4" w:tplc="DDB27D6A">
      <w:numFmt w:val="bullet"/>
      <w:lvlText w:val="•"/>
      <w:lvlJc w:val="left"/>
      <w:pPr>
        <w:ind w:left="5676" w:hanging="360"/>
      </w:pPr>
      <w:rPr>
        <w:rFonts w:hint="default"/>
        <w:lang w:val="es-ES" w:eastAsia="en-US" w:bidi="ar-SA"/>
      </w:rPr>
    </w:lvl>
    <w:lvl w:ilvl="5" w:tplc="BEA09536">
      <w:numFmt w:val="bullet"/>
      <w:lvlText w:val="•"/>
      <w:lvlJc w:val="left"/>
      <w:pPr>
        <w:ind w:left="6670" w:hanging="360"/>
      </w:pPr>
      <w:rPr>
        <w:rFonts w:hint="default"/>
        <w:lang w:val="es-ES" w:eastAsia="en-US" w:bidi="ar-SA"/>
      </w:rPr>
    </w:lvl>
    <w:lvl w:ilvl="6" w:tplc="B7CCB1E4">
      <w:numFmt w:val="bullet"/>
      <w:lvlText w:val="•"/>
      <w:lvlJc w:val="left"/>
      <w:pPr>
        <w:ind w:left="7664" w:hanging="360"/>
      </w:pPr>
      <w:rPr>
        <w:rFonts w:hint="default"/>
        <w:lang w:val="es-ES" w:eastAsia="en-US" w:bidi="ar-SA"/>
      </w:rPr>
    </w:lvl>
    <w:lvl w:ilvl="7" w:tplc="1A50E836">
      <w:numFmt w:val="bullet"/>
      <w:lvlText w:val="•"/>
      <w:lvlJc w:val="left"/>
      <w:pPr>
        <w:ind w:left="8658" w:hanging="360"/>
      </w:pPr>
      <w:rPr>
        <w:rFonts w:hint="default"/>
        <w:lang w:val="es-ES" w:eastAsia="en-US" w:bidi="ar-SA"/>
      </w:rPr>
    </w:lvl>
    <w:lvl w:ilvl="8" w:tplc="FEEE905E">
      <w:numFmt w:val="bullet"/>
      <w:lvlText w:val="•"/>
      <w:lvlJc w:val="left"/>
      <w:pPr>
        <w:ind w:left="9652" w:hanging="360"/>
      </w:pPr>
      <w:rPr>
        <w:rFonts w:hint="default"/>
        <w:lang w:val="es-ES" w:eastAsia="en-US" w:bidi="ar-SA"/>
      </w:rPr>
    </w:lvl>
  </w:abstractNum>
  <w:abstractNum w:abstractNumId="4" w15:restartNumberingAfterBreak="0">
    <w:nsid w:val="58CA0B0D"/>
    <w:multiLevelType w:val="hybridMultilevel"/>
    <w:tmpl w:val="DD84D426"/>
    <w:lvl w:ilvl="0" w:tplc="9F08944C">
      <w:start w:val="1"/>
      <w:numFmt w:val="decimal"/>
      <w:lvlText w:val="%1."/>
      <w:lvlJc w:val="left"/>
      <w:pPr>
        <w:ind w:left="720" w:hanging="360"/>
      </w:pPr>
      <w:rPr>
        <w:b w:val="0"/>
        <w:bCs/>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591A7973"/>
    <w:multiLevelType w:val="multilevel"/>
    <w:tmpl w:val="EEE457C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69777AE"/>
    <w:multiLevelType w:val="hybridMultilevel"/>
    <w:tmpl w:val="326EF83A"/>
    <w:lvl w:ilvl="0" w:tplc="91C6D060">
      <w:numFmt w:val="bullet"/>
      <w:lvlText w:val="-"/>
      <w:lvlJc w:val="left"/>
      <w:pPr>
        <w:ind w:left="1766" w:hanging="360"/>
      </w:pPr>
      <w:rPr>
        <w:rFonts w:ascii="Calibri" w:eastAsia="Calibri" w:hAnsi="Calibri" w:cs="Calibri" w:hint="default"/>
        <w:w w:val="100"/>
        <w:sz w:val="22"/>
        <w:szCs w:val="22"/>
        <w:lang w:val="es-ES" w:eastAsia="en-US" w:bidi="ar-SA"/>
      </w:rPr>
    </w:lvl>
    <w:lvl w:ilvl="1" w:tplc="863E6B3A">
      <w:numFmt w:val="bullet"/>
      <w:lvlText w:val="•"/>
      <w:lvlJc w:val="left"/>
      <w:pPr>
        <w:ind w:left="2748" w:hanging="360"/>
      </w:pPr>
      <w:rPr>
        <w:rFonts w:hint="default"/>
        <w:lang w:val="es-ES" w:eastAsia="en-US" w:bidi="ar-SA"/>
      </w:rPr>
    </w:lvl>
    <w:lvl w:ilvl="2" w:tplc="E81C2776">
      <w:numFmt w:val="bullet"/>
      <w:lvlText w:val="•"/>
      <w:lvlJc w:val="left"/>
      <w:pPr>
        <w:ind w:left="3736" w:hanging="360"/>
      </w:pPr>
      <w:rPr>
        <w:rFonts w:hint="default"/>
        <w:lang w:val="es-ES" w:eastAsia="en-US" w:bidi="ar-SA"/>
      </w:rPr>
    </w:lvl>
    <w:lvl w:ilvl="3" w:tplc="630C4314">
      <w:numFmt w:val="bullet"/>
      <w:lvlText w:val="•"/>
      <w:lvlJc w:val="left"/>
      <w:pPr>
        <w:ind w:left="4724" w:hanging="360"/>
      </w:pPr>
      <w:rPr>
        <w:rFonts w:hint="default"/>
        <w:lang w:val="es-ES" w:eastAsia="en-US" w:bidi="ar-SA"/>
      </w:rPr>
    </w:lvl>
    <w:lvl w:ilvl="4" w:tplc="EA2662AC">
      <w:numFmt w:val="bullet"/>
      <w:lvlText w:val="•"/>
      <w:lvlJc w:val="left"/>
      <w:pPr>
        <w:ind w:left="5712" w:hanging="360"/>
      </w:pPr>
      <w:rPr>
        <w:rFonts w:hint="default"/>
        <w:lang w:val="es-ES" w:eastAsia="en-US" w:bidi="ar-SA"/>
      </w:rPr>
    </w:lvl>
    <w:lvl w:ilvl="5" w:tplc="FA2E77CE">
      <w:numFmt w:val="bullet"/>
      <w:lvlText w:val="•"/>
      <w:lvlJc w:val="left"/>
      <w:pPr>
        <w:ind w:left="6700" w:hanging="360"/>
      </w:pPr>
      <w:rPr>
        <w:rFonts w:hint="default"/>
        <w:lang w:val="es-ES" w:eastAsia="en-US" w:bidi="ar-SA"/>
      </w:rPr>
    </w:lvl>
    <w:lvl w:ilvl="6" w:tplc="76203B88">
      <w:numFmt w:val="bullet"/>
      <w:lvlText w:val="•"/>
      <w:lvlJc w:val="left"/>
      <w:pPr>
        <w:ind w:left="7688" w:hanging="360"/>
      </w:pPr>
      <w:rPr>
        <w:rFonts w:hint="default"/>
        <w:lang w:val="es-ES" w:eastAsia="en-US" w:bidi="ar-SA"/>
      </w:rPr>
    </w:lvl>
    <w:lvl w:ilvl="7" w:tplc="23DADDDA">
      <w:numFmt w:val="bullet"/>
      <w:lvlText w:val="•"/>
      <w:lvlJc w:val="left"/>
      <w:pPr>
        <w:ind w:left="8676" w:hanging="360"/>
      </w:pPr>
      <w:rPr>
        <w:rFonts w:hint="default"/>
        <w:lang w:val="es-ES" w:eastAsia="en-US" w:bidi="ar-SA"/>
      </w:rPr>
    </w:lvl>
    <w:lvl w:ilvl="8" w:tplc="9A46136E">
      <w:numFmt w:val="bullet"/>
      <w:lvlText w:val="•"/>
      <w:lvlJc w:val="left"/>
      <w:pPr>
        <w:ind w:left="9664" w:hanging="360"/>
      </w:pPr>
      <w:rPr>
        <w:rFonts w:hint="default"/>
        <w:lang w:val="es-ES" w:eastAsia="en-US" w:bidi="ar-SA"/>
      </w:rPr>
    </w:lvl>
  </w:abstractNum>
  <w:abstractNum w:abstractNumId="7" w15:restartNumberingAfterBreak="0">
    <w:nsid w:val="716214F0"/>
    <w:multiLevelType w:val="hybridMultilevel"/>
    <w:tmpl w:val="D59A21C2"/>
    <w:lvl w:ilvl="0" w:tplc="832EF34E">
      <w:start w:val="6"/>
      <w:numFmt w:val="decimal"/>
      <w:lvlText w:val="%1."/>
      <w:lvlJc w:val="left"/>
      <w:pPr>
        <w:ind w:left="1702" w:hanging="360"/>
      </w:pPr>
      <w:rPr>
        <w:rFonts w:ascii="Calibri" w:eastAsia="Calibri" w:hAnsi="Calibri" w:cs="Calibri" w:hint="default"/>
        <w:w w:val="100"/>
        <w:sz w:val="22"/>
        <w:szCs w:val="22"/>
        <w:lang w:val="es-ES" w:eastAsia="en-US" w:bidi="ar-SA"/>
      </w:rPr>
    </w:lvl>
    <w:lvl w:ilvl="1" w:tplc="AD46F394">
      <w:start w:val="1"/>
      <w:numFmt w:val="upperRoman"/>
      <w:lvlText w:val="%2."/>
      <w:lvlJc w:val="left"/>
      <w:pPr>
        <w:ind w:left="2062" w:hanging="478"/>
      </w:pPr>
      <w:rPr>
        <w:rFonts w:ascii="Calibri" w:eastAsia="Calibri" w:hAnsi="Calibri" w:cs="Calibri" w:hint="default"/>
        <w:b/>
        <w:bCs/>
        <w:spacing w:val="0"/>
        <w:w w:val="100"/>
        <w:sz w:val="22"/>
        <w:szCs w:val="22"/>
        <w:lang w:val="es-ES" w:eastAsia="en-US" w:bidi="ar-SA"/>
      </w:rPr>
    </w:lvl>
    <w:lvl w:ilvl="2" w:tplc="245C26D2">
      <w:start w:val="1"/>
      <w:numFmt w:val="decimal"/>
      <w:lvlText w:val="%3."/>
      <w:lvlJc w:val="left"/>
      <w:pPr>
        <w:ind w:left="2062" w:hanging="360"/>
      </w:pPr>
      <w:rPr>
        <w:rFonts w:ascii="Calibri" w:eastAsia="Calibri" w:hAnsi="Calibri" w:cs="Calibri" w:hint="default"/>
        <w:w w:val="100"/>
        <w:sz w:val="22"/>
        <w:szCs w:val="22"/>
        <w:lang w:val="es-ES" w:eastAsia="en-US" w:bidi="ar-SA"/>
      </w:rPr>
    </w:lvl>
    <w:lvl w:ilvl="3" w:tplc="D0D06524">
      <w:numFmt w:val="bullet"/>
      <w:lvlText w:val="•"/>
      <w:lvlJc w:val="left"/>
      <w:pPr>
        <w:ind w:left="4188" w:hanging="360"/>
      </w:pPr>
      <w:rPr>
        <w:rFonts w:hint="default"/>
        <w:lang w:val="es-ES" w:eastAsia="en-US" w:bidi="ar-SA"/>
      </w:rPr>
    </w:lvl>
    <w:lvl w:ilvl="4" w:tplc="7534A898">
      <w:numFmt w:val="bullet"/>
      <w:lvlText w:val="•"/>
      <w:lvlJc w:val="left"/>
      <w:pPr>
        <w:ind w:left="5253" w:hanging="360"/>
      </w:pPr>
      <w:rPr>
        <w:rFonts w:hint="default"/>
        <w:lang w:val="es-ES" w:eastAsia="en-US" w:bidi="ar-SA"/>
      </w:rPr>
    </w:lvl>
    <w:lvl w:ilvl="5" w:tplc="4BC0586E">
      <w:numFmt w:val="bullet"/>
      <w:lvlText w:val="•"/>
      <w:lvlJc w:val="left"/>
      <w:pPr>
        <w:ind w:left="6317" w:hanging="360"/>
      </w:pPr>
      <w:rPr>
        <w:rFonts w:hint="default"/>
        <w:lang w:val="es-ES" w:eastAsia="en-US" w:bidi="ar-SA"/>
      </w:rPr>
    </w:lvl>
    <w:lvl w:ilvl="6" w:tplc="0804C19A">
      <w:numFmt w:val="bullet"/>
      <w:lvlText w:val="•"/>
      <w:lvlJc w:val="left"/>
      <w:pPr>
        <w:ind w:left="7382" w:hanging="360"/>
      </w:pPr>
      <w:rPr>
        <w:rFonts w:hint="default"/>
        <w:lang w:val="es-ES" w:eastAsia="en-US" w:bidi="ar-SA"/>
      </w:rPr>
    </w:lvl>
    <w:lvl w:ilvl="7" w:tplc="D5ACD036">
      <w:numFmt w:val="bullet"/>
      <w:lvlText w:val="•"/>
      <w:lvlJc w:val="left"/>
      <w:pPr>
        <w:ind w:left="8446" w:hanging="360"/>
      </w:pPr>
      <w:rPr>
        <w:rFonts w:hint="default"/>
        <w:lang w:val="es-ES" w:eastAsia="en-US" w:bidi="ar-SA"/>
      </w:rPr>
    </w:lvl>
    <w:lvl w:ilvl="8" w:tplc="55D2D136">
      <w:numFmt w:val="bullet"/>
      <w:lvlText w:val="•"/>
      <w:lvlJc w:val="left"/>
      <w:pPr>
        <w:ind w:left="9511" w:hanging="360"/>
      </w:pPr>
      <w:rPr>
        <w:rFonts w:hint="default"/>
        <w:lang w:val="es-ES" w:eastAsia="en-US" w:bidi="ar-SA"/>
      </w:rPr>
    </w:lvl>
  </w:abstractNum>
  <w:abstractNum w:abstractNumId="8" w15:restartNumberingAfterBreak="0">
    <w:nsid w:val="7A4C79BD"/>
    <w:multiLevelType w:val="hybridMultilevel"/>
    <w:tmpl w:val="DD84D426"/>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B0F3F26"/>
    <w:multiLevelType w:val="hybridMultilevel"/>
    <w:tmpl w:val="DD84D426"/>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6457872">
    <w:abstractNumId w:val="6"/>
  </w:num>
  <w:num w:numId="2" w16cid:durableId="2129690457">
    <w:abstractNumId w:val="7"/>
  </w:num>
  <w:num w:numId="3" w16cid:durableId="132210914">
    <w:abstractNumId w:val="3"/>
  </w:num>
  <w:num w:numId="4" w16cid:durableId="817724977">
    <w:abstractNumId w:val="1"/>
  </w:num>
  <w:num w:numId="5" w16cid:durableId="1936861775">
    <w:abstractNumId w:val="5"/>
  </w:num>
  <w:num w:numId="6" w16cid:durableId="2081635293">
    <w:abstractNumId w:val="4"/>
  </w:num>
  <w:num w:numId="7" w16cid:durableId="1549999326">
    <w:abstractNumId w:val="9"/>
  </w:num>
  <w:num w:numId="8" w16cid:durableId="1772625781">
    <w:abstractNumId w:val="0"/>
  </w:num>
  <w:num w:numId="9" w16cid:durableId="260845666">
    <w:abstractNumId w:val="8"/>
  </w:num>
  <w:num w:numId="10" w16cid:durableId="4928391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59C"/>
    <w:rsid w:val="0022559C"/>
    <w:rsid w:val="002B1CF8"/>
    <w:rsid w:val="00435790"/>
    <w:rsid w:val="00867A5B"/>
    <w:rsid w:val="008E30B9"/>
    <w:rsid w:val="00A34F9B"/>
    <w:rsid w:val="00C03F66"/>
    <w:rsid w:val="00C11785"/>
    <w:rsid w:val="00CE4C09"/>
    <w:rsid w:val="00D54C95"/>
    <w:rsid w:val="00F75FE2"/>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36922"/>
  <w15:docId w15:val="{7E6DFC04-33D7-3045-B4CB-7B8283094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134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702" w:hanging="360"/>
      <w:jc w:val="both"/>
    </w:pPr>
  </w:style>
  <w:style w:type="paragraph" w:styleId="Ttulo">
    <w:name w:val="Title"/>
    <w:basedOn w:val="Normal"/>
    <w:uiPriority w:val="10"/>
    <w:qFormat/>
    <w:pPr>
      <w:spacing w:before="166"/>
      <w:ind w:left="1342" w:right="1612"/>
      <w:jc w:val="both"/>
    </w:pPr>
    <w:rPr>
      <w:b/>
      <w:bCs/>
      <w:sz w:val="40"/>
      <w:szCs w:val="40"/>
    </w:rPr>
  </w:style>
  <w:style w:type="paragraph" w:styleId="Prrafodelista">
    <w:name w:val="List Paragraph"/>
    <w:basedOn w:val="Normal"/>
    <w:uiPriority w:val="34"/>
    <w:qFormat/>
    <w:pPr>
      <w:ind w:left="1702" w:hanging="360"/>
      <w:jc w:val="both"/>
    </w:pPr>
  </w:style>
  <w:style w:type="paragraph" w:customStyle="1" w:styleId="TableParagraph">
    <w:name w:val="Table Paragraph"/>
    <w:basedOn w:val="Normal"/>
    <w:uiPriority w:val="1"/>
    <w:qFormat/>
  </w:style>
  <w:style w:type="paragraph" w:styleId="Textonotapie">
    <w:name w:val="footnote text"/>
    <w:basedOn w:val="Normal"/>
    <w:link w:val="TextonotapieCar"/>
    <w:uiPriority w:val="99"/>
    <w:semiHidden/>
    <w:unhideWhenUsed/>
    <w:rsid w:val="00A34F9B"/>
    <w:pPr>
      <w:widowControl/>
      <w:autoSpaceDE/>
      <w:autoSpaceDN/>
    </w:pPr>
    <w:rPr>
      <w:sz w:val="20"/>
      <w:szCs w:val="20"/>
      <w:lang w:val="es-GT" w:eastAsia="es-MX"/>
    </w:rPr>
  </w:style>
  <w:style w:type="character" w:customStyle="1" w:styleId="TextonotapieCar">
    <w:name w:val="Texto nota pie Car"/>
    <w:basedOn w:val="Fuentedeprrafopredeter"/>
    <w:link w:val="Textonotapie"/>
    <w:uiPriority w:val="99"/>
    <w:semiHidden/>
    <w:rsid w:val="00A34F9B"/>
    <w:rPr>
      <w:rFonts w:ascii="Calibri" w:eastAsia="Calibri" w:hAnsi="Calibri" w:cs="Calibri"/>
      <w:sz w:val="20"/>
      <w:szCs w:val="20"/>
      <w:lang w:val="es-GT" w:eastAsia="es-MX"/>
    </w:rPr>
  </w:style>
  <w:style w:type="character" w:styleId="Refdenotaalpie">
    <w:name w:val="footnote reference"/>
    <w:basedOn w:val="Fuentedeprrafopredeter"/>
    <w:uiPriority w:val="99"/>
    <w:semiHidden/>
    <w:unhideWhenUsed/>
    <w:rsid w:val="00A34F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observatorio.mp.gob.g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79E0AC-C142-476B-A833-DC7DD1EC2D7F}"/>
</file>

<file path=customXml/itemProps2.xml><?xml version="1.0" encoding="utf-8"?>
<ds:datastoreItem xmlns:ds="http://schemas.openxmlformats.org/officeDocument/2006/customXml" ds:itemID="{E0FC782E-8BE5-47D0-B1C0-16263BD27617}"/>
</file>

<file path=customXml/itemProps3.xml><?xml version="1.0" encoding="utf-8"?>
<ds:datastoreItem xmlns:ds="http://schemas.openxmlformats.org/officeDocument/2006/customXml" ds:itemID="{0FC7C748-308C-47CF-9E6B-2BB1FAD14F76}"/>
</file>

<file path=docProps/app.xml><?xml version="1.0" encoding="utf-8"?>
<Properties xmlns="http://schemas.openxmlformats.org/officeDocument/2006/extended-properties" xmlns:vt="http://schemas.openxmlformats.org/officeDocument/2006/docPropsVTypes">
  <Template>Normal</Template>
  <TotalTime>31</TotalTime>
  <Pages>18</Pages>
  <Words>5235</Words>
  <Characters>28795</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Lucía Fernanda</dc:creator>
  <cp:lastModifiedBy>Asociación Pop Noj</cp:lastModifiedBy>
  <cp:revision>4</cp:revision>
  <cp:lastPrinted>2022-10-03T10:05:00Z</cp:lastPrinted>
  <dcterms:created xsi:type="dcterms:W3CDTF">2022-10-03T10:05:00Z</dcterms:created>
  <dcterms:modified xsi:type="dcterms:W3CDTF">2022-10-03T20:05:00Z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2022-07-13T00:00:00Z</vt:filetime>
  </property>
  <property fmtid="{D5CDD505-2E9C-101B-9397-08002B2CF9AE}" pid="3" name="Creator">
    <vt:lpwstr>Microsoft® Word 2019</vt:lpwstr>
  </property>
  <property fmtid="{D5CDD505-2E9C-101B-9397-08002B2CF9AE}" pid="4" name="LastSaved">
    <vt:filetime>2022-10-03T00:00:00Z</vt:filetime>
  </property>
  <property fmtid="{D5CDD505-2E9C-101B-9397-08002B2CF9AE}" pid="5" name="ContentTypeId">
    <vt:lpwstr>0x010100F397614B75B84E4C841CE911BA0CCB9D</vt:lpwstr>
  </property>
</Properties>
</file>