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FE2D00" w14:textId="77777777" w:rsidR="008E3F16" w:rsidRDefault="00F95A32">
      <w:pPr>
        <w:rPr>
          <w:b/>
          <w:lang w:val="en-GB"/>
        </w:rPr>
      </w:pPr>
      <w:r>
        <w:rPr>
          <w:noProof/>
          <w:lang w:val="ru-RU" w:eastAsia="ru-RU" w:bidi="ar-SA"/>
        </w:rPr>
        <w:drawing>
          <wp:anchor distT="0" distB="0" distL="114300" distR="114300" simplePos="0" relativeHeight="251658240" behindDoc="0" locked="0" layoutInCell="1" allowOverlap="1" wp14:anchorId="30B7055A" wp14:editId="0EDA23BB">
            <wp:simplePos x="0" y="0"/>
            <wp:positionH relativeFrom="column">
              <wp:posOffset>3804285</wp:posOffset>
            </wp:positionH>
            <wp:positionV relativeFrom="paragraph">
              <wp:posOffset>0</wp:posOffset>
            </wp:positionV>
            <wp:extent cx="1485265" cy="814705"/>
            <wp:effectExtent l="0" t="0" r="0" b="0"/>
            <wp:wrapSquare wrapText="bothSides"/>
            <wp:docPr id="1" name="image8.jpg"/>
            <wp:cNvGraphicFramePr/>
            <a:graphic xmlns:a="http://schemas.openxmlformats.org/drawingml/2006/main">
              <a:graphicData uri="http://schemas.openxmlformats.org/drawingml/2006/picture">
                <pic:pic xmlns:pic="http://schemas.openxmlformats.org/drawingml/2006/picture">
                  <pic:nvPicPr>
                    <pic:cNvPr id="4" name="image8.jpg"/>
                    <pic:cNvPicPr/>
                  </pic:nvPicPr>
                  <pic:blipFill>
                    <a:blip r:embed="rId10"/>
                    <a:srcRect/>
                    <a:stretch/>
                  </pic:blipFill>
                  <pic:spPr bwMode="auto">
                    <a:xfrm>
                      <a:off x="0" y="0"/>
                      <a:ext cx="1485265" cy="814705"/>
                    </a:xfrm>
                    <a:prstGeom prst="rect">
                      <a:avLst/>
                    </a:prstGeom>
                    <a:ln/>
                  </pic:spPr>
                </pic:pic>
              </a:graphicData>
            </a:graphic>
          </wp:anchor>
        </w:drawing>
      </w:r>
      <w:r>
        <w:rPr>
          <w:noProof/>
          <w:lang w:val="ru-RU" w:eastAsia="ru-RU" w:bidi="ar-SA"/>
        </w:rPr>
        <mc:AlternateContent>
          <mc:Choice Requires="wpg">
            <w:drawing>
              <wp:anchor distT="0" distB="0" distL="114300" distR="114300" simplePos="0" relativeHeight="251659264" behindDoc="0" locked="0" layoutInCell="1" allowOverlap="1" wp14:anchorId="75D1E4D4" wp14:editId="10447ED9">
                <wp:simplePos x="0" y="0"/>
                <wp:positionH relativeFrom="column">
                  <wp:posOffset>3086100</wp:posOffset>
                </wp:positionH>
                <wp:positionV relativeFrom="paragraph">
                  <wp:posOffset>0</wp:posOffset>
                </wp:positionV>
                <wp:extent cx="652780" cy="652780"/>
                <wp:effectExtent l="0" t="0" r="0" b="0"/>
                <wp:wrapSquare wrapText="bothSides"/>
                <wp:docPr id="2" name="image4.png"/>
                <wp:cNvGraphicFramePr/>
                <a:graphic xmlns:a="http://schemas.openxmlformats.org/drawingml/2006/main">
                  <a:graphicData uri="http://schemas.openxmlformats.org/drawingml/2006/picture">
                    <pic:pic xmlns:pic="http://schemas.openxmlformats.org/drawingml/2006/picture">
                      <pic:nvPicPr>
                        <pic:cNvPr id="5" name="image4.png"/>
                        <pic:cNvPicPr/>
                      </pic:nvPicPr>
                      <pic:blipFill>
                        <a:blip r:embed="rId11"/>
                        <a:srcRect/>
                        <a:stretch/>
                      </pic:blipFill>
                      <pic:spPr bwMode="auto">
                        <a:xfrm>
                          <a:off x="0" y="0"/>
                          <a:ext cx="652780" cy="652780"/>
                        </a:xfrm>
                        <a:prstGeom prst="rect">
                          <a:avLst/>
                        </a:prstGeom>
                        <a:ln/>
                      </pic:spPr>
                    </pic:pic>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mso-wrap-distance-left:9.0pt;mso-wrap-distance-top:0.0pt;mso-wrap-distance-right:9.0pt;mso-wrap-distance-bottom:0.0pt;z-index:0;o:allowoverlap:true;o:allowincell:true;mso-position-horizontal-relative:text;margin-left:243.0pt;mso-position-horizontal:absolute;mso-position-vertical-relative:text;margin-top:0.0pt;mso-position-vertical:absolute;width:51.4pt;height:51.4pt;">
                <v:path textboxrect="0,0,0,0"/>
                <v:imagedata r:id="rId13" o:title=""/>
              </v:shape>
            </w:pict>
          </mc:Fallback>
        </mc:AlternateContent>
      </w:r>
      <w:r>
        <w:rPr>
          <w:noProof/>
          <w:lang w:val="ru-RU" w:eastAsia="ru-RU" w:bidi="ar-SA"/>
        </w:rPr>
        <mc:AlternateContent>
          <mc:Choice Requires="wpg">
            <w:drawing>
              <wp:anchor distT="0" distB="0" distL="114300" distR="114300" simplePos="0" relativeHeight="251660288" behindDoc="0" locked="0" layoutInCell="1" allowOverlap="1" wp14:anchorId="2EC2F89D" wp14:editId="08C87834">
                <wp:simplePos x="0" y="0"/>
                <wp:positionH relativeFrom="column">
                  <wp:posOffset>1638300</wp:posOffset>
                </wp:positionH>
                <wp:positionV relativeFrom="paragraph">
                  <wp:posOffset>23813</wp:posOffset>
                </wp:positionV>
                <wp:extent cx="1285240" cy="605155"/>
                <wp:effectExtent l="0" t="0" r="0" b="0"/>
                <wp:wrapSquare wrapText="bothSides"/>
                <wp:docPr id="3" name="image2.png"/>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14"/>
                        <a:srcRect/>
                        <a:stretch/>
                      </pic:blipFill>
                      <pic:spPr bwMode="auto">
                        <a:xfrm>
                          <a:off x="0" y="0"/>
                          <a:ext cx="1285240" cy="605155"/>
                        </a:xfrm>
                        <a:prstGeom prst="rect">
                          <a:avLst/>
                        </a:prstGeom>
                        <a:ln/>
                      </pic:spPr>
                    </pic:pic>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mso-wrap-distance-left:9.0pt;mso-wrap-distance-top:0.0pt;mso-wrap-distance-right:9.0pt;mso-wrap-distance-bottom:0.0pt;z-index:0;o:allowoverlap:true;o:allowincell:true;mso-position-horizontal-relative:text;margin-left:129.0pt;mso-position-horizontal:absolute;mso-position-vertical-relative:text;margin-top:1.9pt;mso-position-vertical:absolute;width:101.2pt;height:47.6pt;">
                <v:path textboxrect="0,0,0,0"/>
                <v:imagedata r:id="rId15" o:title=""/>
              </v:shape>
            </w:pict>
          </mc:Fallback>
        </mc:AlternateContent>
      </w:r>
      <w:r>
        <w:rPr>
          <w:noProof/>
          <w:lang w:val="ru-RU" w:eastAsia="ru-RU" w:bidi="ar-SA"/>
        </w:rPr>
        <mc:AlternateContent>
          <mc:Choice Requires="wpg">
            <w:drawing>
              <wp:anchor distT="0" distB="0" distL="114300" distR="114300" simplePos="0" relativeHeight="251661312" behindDoc="0" locked="0" layoutInCell="1" allowOverlap="1" wp14:anchorId="0DB81C37" wp14:editId="6B1F1BBB">
                <wp:simplePos x="0" y="0"/>
                <wp:positionH relativeFrom="column">
                  <wp:posOffset>657225</wp:posOffset>
                </wp:positionH>
                <wp:positionV relativeFrom="paragraph">
                  <wp:posOffset>9525</wp:posOffset>
                </wp:positionV>
                <wp:extent cx="643255" cy="643255"/>
                <wp:effectExtent l="0" t="0" r="0" b="0"/>
                <wp:wrapSquare wrapText="bothSides"/>
                <wp:docPr id="4" name="image5.png"/>
                <wp:cNvGraphicFramePr/>
                <a:graphic xmlns:a="http://schemas.openxmlformats.org/drawingml/2006/main">
                  <a:graphicData uri="http://schemas.openxmlformats.org/drawingml/2006/picture">
                    <pic:pic xmlns:pic="http://schemas.openxmlformats.org/drawingml/2006/picture">
                      <pic:nvPicPr>
                        <pic:cNvPr id="7" name="image5.png"/>
                        <pic:cNvPicPr/>
                      </pic:nvPicPr>
                      <pic:blipFill>
                        <a:blip r:embed="rId16"/>
                        <a:srcRect/>
                        <a:stretch/>
                      </pic:blipFill>
                      <pic:spPr bwMode="auto">
                        <a:xfrm>
                          <a:off x="0" y="0"/>
                          <a:ext cx="643255" cy="643255"/>
                        </a:xfrm>
                        <a:prstGeom prst="rect">
                          <a:avLst/>
                        </a:prstGeom>
                        <a:ln/>
                      </pic:spPr>
                    </pic:pic>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mso-wrap-distance-left:9.0pt;mso-wrap-distance-top:0.0pt;mso-wrap-distance-right:9.0pt;mso-wrap-distance-bottom:0.0pt;z-index:0;o:allowoverlap:true;o:allowincell:true;mso-position-horizontal-relative:text;margin-left:51.8pt;mso-position-horizontal:absolute;mso-position-vertical-relative:text;margin-top:0.8pt;mso-position-vertical:absolute;width:50.6pt;height:50.6pt;">
                <v:path textboxrect="0,0,0,0"/>
                <v:imagedata r:id="rId17" o:title=""/>
              </v:shape>
            </w:pict>
          </mc:Fallback>
        </mc:AlternateContent>
      </w:r>
      <w:r>
        <w:rPr>
          <w:noProof/>
          <w:lang w:val="ru-RU" w:eastAsia="ru-RU" w:bidi="ar-SA"/>
        </w:rPr>
        <mc:AlternateContent>
          <mc:Choice Requires="wpg">
            <w:drawing>
              <wp:anchor distT="0" distB="0" distL="114300" distR="114300" simplePos="0" relativeHeight="251662336" behindDoc="0" locked="0" layoutInCell="1" allowOverlap="1" wp14:anchorId="2377C627" wp14:editId="44F98B54">
                <wp:simplePos x="0" y="0"/>
                <wp:positionH relativeFrom="column">
                  <wp:posOffset>-361949</wp:posOffset>
                </wp:positionH>
                <wp:positionV relativeFrom="paragraph">
                  <wp:posOffset>9525</wp:posOffset>
                </wp:positionV>
                <wp:extent cx="685800" cy="685800"/>
                <wp:effectExtent l="0" t="0" r="0" b="0"/>
                <wp:wrapSquare wrapText="bothSides"/>
                <wp:docPr id="5" name="image3.png"/>
                <wp:cNvGraphicFramePr/>
                <a:graphic xmlns:a="http://schemas.openxmlformats.org/drawingml/2006/main">
                  <a:graphicData uri="http://schemas.openxmlformats.org/drawingml/2006/picture">
                    <pic:pic xmlns:pic="http://schemas.openxmlformats.org/drawingml/2006/picture">
                      <pic:nvPicPr>
                        <pic:cNvPr id="8" name="image3.png"/>
                        <pic:cNvPicPr/>
                      </pic:nvPicPr>
                      <pic:blipFill>
                        <a:blip r:embed="rId18"/>
                        <a:srcRect/>
                        <a:stretch/>
                      </pic:blipFill>
                      <pic:spPr bwMode="auto">
                        <a:xfrm>
                          <a:off x="0" y="0"/>
                          <a:ext cx="685800" cy="685800"/>
                        </a:xfrm>
                        <a:prstGeom prst="rect">
                          <a:avLst/>
                        </a:prstGeom>
                        <a:ln/>
                      </pic:spPr>
                    </pic:pic>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mso-wrap-distance-left:9.0pt;mso-wrap-distance-top:0.0pt;mso-wrap-distance-right:9.0pt;mso-wrap-distance-bottom:0.0pt;z-index:0;o:allowoverlap:true;o:allowincell:true;mso-position-horizontal-relative:text;margin-left:-28.5pt;mso-position-horizontal:absolute;mso-position-vertical-relative:text;margin-top:0.8pt;mso-position-vertical:absolute;width:54.0pt;height:54.0pt;">
                <v:path textboxrect="0,0,0,0"/>
                <v:imagedata r:id="rId19" o:title=""/>
              </v:shape>
            </w:pict>
          </mc:Fallback>
        </mc:AlternateContent>
      </w:r>
      <w:r>
        <w:rPr>
          <w:noProof/>
          <w:lang w:val="ru-RU" w:eastAsia="ru-RU" w:bidi="ar-SA"/>
        </w:rPr>
        <mc:AlternateContent>
          <mc:Choice Requires="wpg">
            <w:drawing>
              <wp:anchor distT="114300" distB="114300" distL="114300" distR="114300" simplePos="0" relativeHeight="251663360" behindDoc="0" locked="0" layoutInCell="1" allowOverlap="1" wp14:anchorId="3462E218" wp14:editId="50887E9F">
                <wp:simplePos x="0" y="0"/>
                <wp:positionH relativeFrom="column">
                  <wp:posOffset>5229225</wp:posOffset>
                </wp:positionH>
                <wp:positionV relativeFrom="paragraph">
                  <wp:posOffset>114300</wp:posOffset>
                </wp:positionV>
                <wp:extent cx="681038" cy="681038"/>
                <wp:effectExtent l="0" t="0" r="0" b="0"/>
                <wp:wrapSquare wrapText="bothSides"/>
                <wp:docPr id="6" name="image7.png"/>
                <wp:cNvGraphicFramePr/>
                <a:graphic xmlns:a="http://schemas.openxmlformats.org/drawingml/2006/main">
                  <a:graphicData uri="http://schemas.openxmlformats.org/drawingml/2006/picture">
                    <pic:pic xmlns:pic="http://schemas.openxmlformats.org/drawingml/2006/picture">
                      <pic:nvPicPr>
                        <pic:cNvPr id="9" name="image7.png"/>
                        <pic:cNvPicPr/>
                      </pic:nvPicPr>
                      <pic:blipFill>
                        <a:blip r:embed="rId20"/>
                        <a:srcRect/>
                        <a:stretch/>
                      </pic:blipFill>
                      <pic:spPr bwMode="auto">
                        <a:xfrm>
                          <a:off x="0" y="0"/>
                          <a:ext cx="681037" cy="681037"/>
                        </a:xfrm>
                        <a:prstGeom prst="rect">
                          <a:avLst/>
                        </a:prstGeom>
                        <a:ln/>
                      </pic:spPr>
                    </pic:pic>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mso-wrap-distance-left:9.0pt;mso-wrap-distance-top:9.0pt;mso-wrap-distance-right:9.0pt;mso-wrap-distance-bottom:9.0pt;z-index:0;o:allowoverlap:true;o:allowincell:true;mso-position-horizontal-relative:text;margin-left:411.8pt;mso-position-horizontal:absolute;mso-position-vertical-relative:text;margin-top:9.0pt;mso-position-vertical:absolute;width:53.6pt;height:53.6pt;">
                <v:path textboxrect="0,0,0,0"/>
                <v:imagedata r:id="rId21" o:title=""/>
              </v:shape>
            </w:pict>
          </mc:Fallback>
        </mc:AlternateContent>
      </w:r>
    </w:p>
    <w:p w14:paraId="4A11626B" w14:textId="22E94A74" w:rsidR="008E3F16" w:rsidRDefault="00C95FBA">
      <w:pPr>
        <w:jc w:val="center"/>
        <w:rPr>
          <w:b/>
          <w:lang w:val="en-GB"/>
        </w:rPr>
      </w:pPr>
      <w:r>
        <w:rPr>
          <w:noProof/>
          <w:lang w:val="ru-RU" w:eastAsia="ru-RU" w:bidi="ar-SA"/>
        </w:rPr>
        <w:drawing>
          <wp:anchor distT="114300" distB="114300" distL="114300" distR="114300" simplePos="0" relativeHeight="251664384" behindDoc="0" locked="0" layoutInCell="1" allowOverlap="1" wp14:anchorId="1F6E73AE" wp14:editId="553117CC">
            <wp:simplePos x="0" y="0"/>
            <wp:positionH relativeFrom="column">
              <wp:posOffset>847725</wp:posOffset>
            </wp:positionH>
            <wp:positionV relativeFrom="paragraph">
              <wp:posOffset>144780</wp:posOffset>
            </wp:positionV>
            <wp:extent cx="1792424" cy="753337"/>
            <wp:effectExtent l="0" t="0" r="0" b="0"/>
            <wp:wrapSquare wrapText="bothSides"/>
            <wp:docPr id="7" name="image1.jpg"/>
            <wp:cNvGraphicFramePr/>
            <a:graphic xmlns:a="http://schemas.openxmlformats.org/drawingml/2006/main">
              <a:graphicData uri="http://schemas.openxmlformats.org/drawingml/2006/picture">
                <pic:pic xmlns:pic="http://schemas.openxmlformats.org/drawingml/2006/picture">
                  <pic:nvPicPr>
                    <pic:cNvPr id="10" name="image1.jpg"/>
                    <pic:cNvPicPr/>
                  </pic:nvPicPr>
                  <pic:blipFill>
                    <a:blip r:embed="rId22"/>
                    <a:srcRect/>
                    <a:stretch/>
                  </pic:blipFill>
                  <pic:spPr bwMode="auto">
                    <a:xfrm>
                      <a:off x="0" y="0"/>
                      <a:ext cx="1792424" cy="753337"/>
                    </a:xfrm>
                    <a:prstGeom prst="rect">
                      <a:avLst/>
                    </a:prstGeom>
                    <a:ln/>
                  </pic:spPr>
                </pic:pic>
              </a:graphicData>
            </a:graphic>
          </wp:anchor>
        </w:drawing>
      </w:r>
    </w:p>
    <w:p w14:paraId="17F981CF" w14:textId="6FE70B64" w:rsidR="008E3F16" w:rsidRDefault="00C95FBA">
      <w:pPr>
        <w:jc w:val="center"/>
        <w:rPr>
          <w:b/>
          <w:lang w:val="en-GB"/>
        </w:rPr>
      </w:pPr>
      <w:r>
        <w:rPr>
          <w:noProof/>
          <w:lang w:val="ru-RU" w:eastAsia="ru-RU" w:bidi="ar-SA"/>
        </w:rPr>
        <w:drawing>
          <wp:anchor distT="114300" distB="114300" distL="114300" distR="114300" simplePos="0" relativeHeight="251665408" behindDoc="0" locked="0" layoutInCell="1" allowOverlap="1" wp14:anchorId="6B588C7C" wp14:editId="077B7E9F">
            <wp:simplePos x="0" y="0"/>
            <wp:positionH relativeFrom="column">
              <wp:posOffset>3055620</wp:posOffset>
            </wp:positionH>
            <wp:positionV relativeFrom="paragraph">
              <wp:posOffset>59055</wp:posOffset>
            </wp:positionV>
            <wp:extent cx="1285875" cy="506250"/>
            <wp:effectExtent l="0" t="0" r="0" b="0"/>
            <wp:wrapSquare wrapText="bothSides"/>
            <wp:docPr id="8" name="image6.jpg"/>
            <wp:cNvGraphicFramePr/>
            <a:graphic xmlns:a="http://schemas.openxmlformats.org/drawingml/2006/main">
              <a:graphicData uri="http://schemas.openxmlformats.org/drawingml/2006/picture">
                <pic:pic xmlns:pic="http://schemas.openxmlformats.org/drawingml/2006/picture">
                  <pic:nvPicPr>
                    <pic:cNvPr id="11" name="image6.jpg"/>
                    <pic:cNvPicPr/>
                  </pic:nvPicPr>
                  <pic:blipFill>
                    <a:blip r:embed="rId23"/>
                    <a:srcRect l="15045" t="29347" r="15479" b="30162"/>
                    <a:stretch/>
                  </pic:blipFill>
                  <pic:spPr bwMode="auto">
                    <a:xfrm>
                      <a:off x="0" y="0"/>
                      <a:ext cx="1285875" cy="506250"/>
                    </a:xfrm>
                    <a:prstGeom prst="rect">
                      <a:avLst/>
                    </a:prstGeom>
                    <a:ln/>
                  </pic:spPr>
                </pic:pic>
              </a:graphicData>
            </a:graphic>
          </wp:anchor>
        </w:drawing>
      </w:r>
    </w:p>
    <w:p w14:paraId="59F59AFE" w14:textId="1FBB4F89" w:rsidR="008E3F16" w:rsidRDefault="008E3F16">
      <w:pPr>
        <w:jc w:val="center"/>
        <w:rPr>
          <w:b/>
          <w:lang w:val="en-GB"/>
        </w:rPr>
      </w:pPr>
    </w:p>
    <w:p w14:paraId="3E47F656" w14:textId="3CABB91C" w:rsidR="008E3F16" w:rsidRDefault="008E3F16">
      <w:pPr>
        <w:jc w:val="center"/>
        <w:rPr>
          <w:b/>
          <w:lang w:val="en-GB"/>
        </w:rPr>
      </w:pPr>
    </w:p>
    <w:p w14:paraId="69C228F1" w14:textId="79E7F58A" w:rsidR="008E3F16" w:rsidRDefault="008E3F16">
      <w:pPr>
        <w:jc w:val="center"/>
        <w:rPr>
          <w:b/>
          <w:lang w:val="en-GB"/>
        </w:rPr>
      </w:pPr>
    </w:p>
    <w:p w14:paraId="58A98E60" w14:textId="77777777" w:rsidR="008E3F16" w:rsidRDefault="008E3F16">
      <w:pPr>
        <w:jc w:val="center"/>
        <w:rPr>
          <w:b/>
          <w:lang w:val="en-GB"/>
        </w:rPr>
      </w:pPr>
    </w:p>
    <w:p w14:paraId="7BC7D722" w14:textId="77777777" w:rsidR="008E3F16" w:rsidRDefault="008E3F16">
      <w:pPr>
        <w:jc w:val="center"/>
        <w:rPr>
          <w:b/>
          <w:lang w:val="en-GB"/>
        </w:rPr>
      </w:pPr>
    </w:p>
    <w:p w14:paraId="3C952086" w14:textId="77777777" w:rsidR="008E3F16" w:rsidRDefault="008E3F16">
      <w:pPr>
        <w:jc w:val="center"/>
        <w:rPr>
          <w:b/>
          <w:lang w:val="en-GB"/>
        </w:rPr>
      </w:pPr>
    </w:p>
    <w:p w14:paraId="400D812F" w14:textId="77777777" w:rsidR="008E3F16" w:rsidRDefault="008E3F16">
      <w:pPr>
        <w:jc w:val="center"/>
        <w:rPr>
          <w:b/>
          <w:lang w:val="en-GB"/>
        </w:rPr>
      </w:pPr>
    </w:p>
    <w:p w14:paraId="6121AD02" w14:textId="77777777" w:rsidR="008E3F16" w:rsidRDefault="008E3F16">
      <w:pPr>
        <w:jc w:val="center"/>
        <w:rPr>
          <w:b/>
          <w:lang w:val="en-GB"/>
        </w:rPr>
      </w:pPr>
    </w:p>
    <w:p w14:paraId="63F703C2" w14:textId="77777777" w:rsidR="008E3F16" w:rsidRDefault="008E3F16">
      <w:pPr>
        <w:jc w:val="center"/>
        <w:rPr>
          <w:b/>
          <w:lang w:val="en-GB"/>
        </w:rPr>
      </w:pPr>
    </w:p>
    <w:p w14:paraId="1658281C" w14:textId="77777777" w:rsidR="008E3F16" w:rsidRDefault="008E3F16">
      <w:pPr>
        <w:jc w:val="center"/>
        <w:rPr>
          <w:b/>
          <w:lang w:val="en-GB"/>
        </w:rPr>
      </w:pPr>
    </w:p>
    <w:p w14:paraId="4F076C99" w14:textId="77777777" w:rsidR="008E3F16" w:rsidRDefault="008E3F16">
      <w:pPr>
        <w:jc w:val="center"/>
        <w:rPr>
          <w:b/>
          <w:lang w:val="en-GB"/>
        </w:rPr>
      </w:pPr>
    </w:p>
    <w:p w14:paraId="6ADE0CC9" w14:textId="77777777" w:rsidR="008E3F16" w:rsidRDefault="008E3F16">
      <w:pPr>
        <w:jc w:val="center"/>
        <w:rPr>
          <w:b/>
          <w:lang w:val="en-GB"/>
        </w:rPr>
      </w:pPr>
    </w:p>
    <w:p w14:paraId="639D67BD" w14:textId="77777777" w:rsidR="008E3F16" w:rsidRDefault="008E3F16">
      <w:pPr>
        <w:jc w:val="center"/>
        <w:rPr>
          <w:b/>
          <w:lang w:val="en-GB"/>
        </w:rPr>
      </w:pPr>
    </w:p>
    <w:p w14:paraId="28A1AD15" w14:textId="77777777" w:rsidR="008E3F16" w:rsidRDefault="00F95A32">
      <w:pPr>
        <w:jc w:val="center"/>
        <w:rPr>
          <w:b/>
          <w:lang w:val="en-GB"/>
        </w:rPr>
      </w:pPr>
      <w:r>
        <w:rPr>
          <w:b/>
          <w:lang w:val="en-GB"/>
        </w:rPr>
        <w:t>Ensuring the observance of socio-economic rights of the conflict-affected population in Ukraine</w:t>
      </w:r>
    </w:p>
    <w:p w14:paraId="5D79B5ED" w14:textId="77777777" w:rsidR="008E3F16" w:rsidRDefault="008E3F16">
      <w:pPr>
        <w:jc w:val="center"/>
        <w:rPr>
          <w:b/>
          <w:lang w:val="en-GB"/>
        </w:rPr>
      </w:pPr>
    </w:p>
    <w:p w14:paraId="214520E3" w14:textId="77777777" w:rsidR="008E3F16" w:rsidRDefault="008E3F16">
      <w:pPr>
        <w:jc w:val="center"/>
        <w:rPr>
          <w:b/>
          <w:lang w:val="en-GB"/>
        </w:rPr>
      </w:pPr>
    </w:p>
    <w:p w14:paraId="740B6B7E" w14:textId="77777777" w:rsidR="008E3F16" w:rsidRDefault="00F95A32">
      <w:pPr>
        <w:jc w:val="center"/>
        <w:rPr>
          <w:lang w:val="en-GB"/>
        </w:rPr>
      </w:pPr>
      <w:r>
        <w:rPr>
          <w:lang w:val="en-GB"/>
        </w:rPr>
        <w:t>Alternative report of the Coalition of NGOs on the implementation by Ukraine of the</w:t>
      </w:r>
    </w:p>
    <w:p w14:paraId="7527C877" w14:textId="77777777" w:rsidR="008E3F16" w:rsidRDefault="00F95A32">
      <w:pPr>
        <w:jc w:val="center"/>
        <w:rPr>
          <w:lang w:val="en-GB"/>
        </w:rPr>
      </w:pPr>
      <w:r>
        <w:rPr>
          <w:lang w:val="en-GB"/>
        </w:rPr>
        <w:t>International Covenant on Economic, Social and Cultural Rights</w:t>
      </w:r>
    </w:p>
    <w:p w14:paraId="12427BA3" w14:textId="77777777" w:rsidR="008E3F16" w:rsidRDefault="008E3F16">
      <w:pPr>
        <w:rPr>
          <w:lang w:val="en-GB"/>
        </w:rPr>
      </w:pPr>
    </w:p>
    <w:p w14:paraId="1B8DE02D" w14:textId="77777777" w:rsidR="008E3F16" w:rsidRDefault="00F95A32">
      <w:pPr>
        <w:jc w:val="center"/>
        <w:rPr>
          <w:lang w:val="en-GB"/>
        </w:rPr>
      </w:pPr>
      <w:r>
        <w:rPr>
          <w:lang w:val="en-GB"/>
        </w:rPr>
        <w:t>Session 67 (17 February — 6 March 2020)</w:t>
      </w:r>
    </w:p>
    <w:p w14:paraId="2CDDEE86" w14:textId="77777777" w:rsidR="008E3F16" w:rsidRDefault="008E3F16">
      <w:pPr>
        <w:rPr>
          <w:lang w:val="en-GB"/>
        </w:rPr>
      </w:pPr>
    </w:p>
    <w:p w14:paraId="59144BCB" w14:textId="77777777" w:rsidR="008E3F16" w:rsidRDefault="008E3F16">
      <w:pPr>
        <w:rPr>
          <w:lang w:val="en-GB"/>
        </w:rPr>
      </w:pPr>
    </w:p>
    <w:p w14:paraId="7AAC7EAA" w14:textId="77777777" w:rsidR="008E3F16" w:rsidRDefault="008E3F16">
      <w:pPr>
        <w:rPr>
          <w:lang w:val="en-GB"/>
        </w:rPr>
      </w:pPr>
    </w:p>
    <w:p w14:paraId="46842A61" w14:textId="77777777" w:rsidR="008E3F16" w:rsidRDefault="008E3F16">
      <w:pPr>
        <w:rPr>
          <w:lang w:val="en-GB"/>
        </w:rPr>
      </w:pPr>
    </w:p>
    <w:p w14:paraId="575AB75C" w14:textId="77777777" w:rsidR="008E3F16" w:rsidRDefault="008E3F16">
      <w:pPr>
        <w:rPr>
          <w:lang w:val="en-GB"/>
        </w:rPr>
      </w:pPr>
    </w:p>
    <w:p w14:paraId="4E392262" w14:textId="77777777" w:rsidR="008E3F16" w:rsidRDefault="008E3F16">
      <w:pPr>
        <w:rPr>
          <w:lang w:val="en-GB"/>
        </w:rPr>
      </w:pPr>
    </w:p>
    <w:p w14:paraId="00E8DAE7" w14:textId="77777777" w:rsidR="008E3F16" w:rsidRDefault="008E3F16">
      <w:pPr>
        <w:rPr>
          <w:lang w:val="en-GB"/>
        </w:rPr>
      </w:pPr>
    </w:p>
    <w:p w14:paraId="00228678" w14:textId="77777777" w:rsidR="008E3F16" w:rsidRDefault="008E3F16">
      <w:pPr>
        <w:rPr>
          <w:lang w:val="en-GB"/>
        </w:rPr>
      </w:pPr>
    </w:p>
    <w:p w14:paraId="478D6610" w14:textId="77777777" w:rsidR="008E3F16" w:rsidRDefault="008E3F16">
      <w:pPr>
        <w:rPr>
          <w:lang w:val="en-GB"/>
        </w:rPr>
      </w:pPr>
    </w:p>
    <w:p w14:paraId="16914932" w14:textId="77777777" w:rsidR="008E3F16" w:rsidRDefault="008E3F16">
      <w:pPr>
        <w:rPr>
          <w:lang w:val="en-GB"/>
        </w:rPr>
      </w:pPr>
    </w:p>
    <w:p w14:paraId="5EB1B4EA" w14:textId="77777777" w:rsidR="008E3F16" w:rsidRDefault="008E3F16">
      <w:pPr>
        <w:rPr>
          <w:lang w:val="en-GB"/>
        </w:rPr>
      </w:pPr>
    </w:p>
    <w:p w14:paraId="62766639" w14:textId="77777777" w:rsidR="008E3F16" w:rsidRDefault="008E3F16">
      <w:pPr>
        <w:rPr>
          <w:lang w:val="en-GB"/>
        </w:rPr>
      </w:pPr>
    </w:p>
    <w:p w14:paraId="733C8427" w14:textId="77777777" w:rsidR="008E3F16" w:rsidRDefault="008E3F16">
      <w:pPr>
        <w:rPr>
          <w:lang w:val="en-GB"/>
        </w:rPr>
      </w:pPr>
    </w:p>
    <w:p w14:paraId="73A6B823" w14:textId="77777777" w:rsidR="008E3F16" w:rsidRDefault="008E3F16">
      <w:pPr>
        <w:rPr>
          <w:lang w:val="en-GB"/>
        </w:rPr>
      </w:pPr>
    </w:p>
    <w:p w14:paraId="5DF30D2D" w14:textId="77777777" w:rsidR="008E3F16" w:rsidRDefault="008E3F16">
      <w:pPr>
        <w:rPr>
          <w:lang w:val="en-GB"/>
        </w:rPr>
      </w:pPr>
    </w:p>
    <w:p w14:paraId="504D57EE" w14:textId="77777777" w:rsidR="008E3F16" w:rsidRDefault="008E3F16">
      <w:pPr>
        <w:rPr>
          <w:lang w:val="en-GB"/>
        </w:rPr>
      </w:pPr>
    </w:p>
    <w:p w14:paraId="42332478" w14:textId="77777777" w:rsidR="008E3F16" w:rsidRDefault="008E3F16">
      <w:pPr>
        <w:rPr>
          <w:lang w:val="en-GB"/>
        </w:rPr>
      </w:pPr>
    </w:p>
    <w:p w14:paraId="3F0AF5B9" w14:textId="77777777" w:rsidR="008E3F16" w:rsidRDefault="008E3F16">
      <w:pPr>
        <w:rPr>
          <w:lang w:val="en-GB"/>
        </w:rPr>
      </w:pPr>
    </w:p>
    <w:p w14:paraId="228183CA" w14:textId="77777777" w:rsidR="008E3F16" w:rsidRDefault="008E3F16">
      <w:pPr>
        <w:rPr>
          <w:lang w:val="en-GB"/>
        </w:rPr>
      </w:pPr>
    </w:p>
    <w:p w14:paraId="5DA99E18" w14:textId="77777777" w:rsidR="008E3F16" w:rsidRDefault="008E3F16">
      <w:pPr>
        <w:rPr>
          <w:lang w:val="en-GB"/>
        </w:rPr>
      </w:pPr>
    </w:p>
    <w:p w14:paraId="089283D7" w14:textId="77777777" w:rsidR="008E3F16" w:rsidRDefault="00F95A32">
      <w:pPr>
        <w:rPr>
          <w:lang w:val="en-GB"/>
        </w:rPr>
      </w:pPr>
      <w:r>
        <w:rPr>
          <w:lang w:val="en-GB"/>
        </w:rPr>
        <w:t>January 2020</w:t>
      </w:r>
    </w:p>
    <w:p w14:paraId="77D8716B" w14:textId="77777777" w:rsidR="008E3F16" w:rsidRDefault="00F95A32">
      <w:pPr>
        <w:jc w:val="both"/>
        <w:rPr>
          <w:lang w:val="en-GB"/>
        </w:rPr>
      </w:pPr>
      <w:r>
        <w:rPr>
          <w:lang w:val="en-GB"/>
        </w:rPr>
        <w:lastRenderedPageBreak/>
        <w:t>In October 2019, Ukraine submitted its seventh periodic report, in which it responded to questions posed by the Committee on Economic, Social and Cultural Rights on October 18, 2018. A considerable number of these issues concerned the observance of economic, social and cultural rights of the conflict-affected population in Ukraine. The state’s replies, however, do not provide the complete picture regarding the observance of the rights of such groups as IDPs and residents of the temporarily occupied territories of Crimea and Donbas as well as areas located near the war zone (the so-called "grey zone").</w:t>
      </w:r>
    </w:p>
    <w:p w14:paraId="45841D6B" w14:textId="77777777" w:rsidR="008E3F16" w:rsidRDefault="008E3F16">
      <w:pPr>
        <w:jc w:val="both"/>
        <w:rPr>
          <w:lang w:val="en-GB"/>
        </w:rPr>
      </w:pPr>
    </w:p>
    <w:p w14:paraId="78695BF9" w14:textId="65B90136" w:rsidR="008E3F16" w:rsidRDefault="00F95A32">
      <w:pPr>
        <w:jc w:val="both"/>
        <w:rPr>
          <w:lang w:val="en-GB"/>
        </w:rPr>
      </w:pPr>
      <w:r>
        <w:rPr>
          <w:lang w:val="en-GB"/>
        </w:rPr>
        <w:t xml:space="preserve">This alternative report </w:t>
      </w:r>
      <w:proofErr w:type="gramStart"/>
      <w:r>
        <w:rPr>
          <w:lang w:val="en-GB"/>
        </w:rPr>
        <w:t>was prepared</w:t>
      </w:r>
      <w:proofErr w:type="gramEnd"/>
      <w:r>
        <w:rPr>
          <w:lang w:val="en-GB"/>
        </w:rPr>
        <w:t xml:space="preserve"> by an informal Coalition of non-governmental organizations involved in the protection of </w:t>
      </w:r>
      <w:r w:rsidR="00011E5A" w:rsidRPr="00011E5A">
        <w:rPr>
          <w:lang w:val="en-GB"/>
        </w:rPr>
        <w:t>co</w:t>
      </w:r>
      <w:r w:rsidR="00011E5A">
        <w:rPr>
          <w:lang w:val="en-GB"/>
        </w:rPr>
        <w:t>nflict-affected persons</w:t>
      </w:r>
      <w:r>
        <w:rPr>
          <w:lang w:val="en-GB"/>
        </w:rPr>
        <w:t>, including IDPs and residents of the temporarily occupied territories. The authors have considerable experience in drafting and advocating for new legislation related to the protection of IDPs’ rights, participate in working groups of relevant ministries, provide significant social and legal assistance to conflict-affected people and provide coverage of the events that take place in the temporarily occupied territories.</w:t>
      </w:r>
    </w:p>
    <w:p w14:paraId="7CFA51F2" w14:textId="77777777" w:rsidR="008E3F16" w:rsidRDefault="008E3F16">
      <w:pPr>
        <w:jc w:val="both"/>
        <w:rPr>
          <w:lang w:val="en-GB"/>
        </w:rPr>
      </w:pPr>
    </w:p>
    <w:p w14:paraId="2A269FBC" w14:textId="77777777" w:rsidR="008E3F16" w:rsidRDefault="00F95A32">
      <w:pPr>
        <w:jc w:val="both"/>
        <w:rPr>
          <w:lang w:val="en-GB"/>
        </w:rPr>
      </w:pPr>
      <w:r>
        <w:rPr>
          <w:lang w:val="en-GB"/>
        </w:rPr>
        <w:t>The Coalition includes:</w:t>
      </w:r>
    </w:p>
    <w:p w14:paraId="26CABBA7" w14:textId="77777777" w:rsidR="008E3F16" w:rsidRDefault="00F95A32">
      <w:pPr>
        <w:numPr>
          <w:ilvl w:val="0"/>
          <w:numId w:val="6"/>
        </w:numPr>
        <w:jc w:val="both"/>
        <w:rPr>
          <w:lang w:val="en-GB"/>
        </w:rPr>
      </w:pPr>
      <w:r>
        <w:rPr>
          <w:lang w:val="en-GB"/>
        </w:rPr>
        <w:t xml:space="preserve">NGO Donbas SOS, </w:t>
      </w:r>
      <w:hyperlink r:id="rId24" w:history="1">
        <w:r>
          <w:rPr>
            <w:color w:val="1155CC"/>
            <w:u w:val="single"/>
            <w:lang w:val="en-GB"/>
          </w:rPr>
          <w:t>http://www.donbasssos.org</w:t>
        </w:r>
      </w:hyperlink>
      <w:r>
        <w:rPr>
          <w:lang w:val="en-GB"/>
        </w:rPr>
        <w:t xml:space="preserve"> </w:t>
      </w:r>
    </w:p>
    <w:p w14:paraId="4A8DACAA" w14:textId="77777777" w:rsidR="008E3F16" w:rsidRDefault="00F95A32">
      <w:pPr>
        <w:numPr>
          <w:ilvl w:val="0"/>
          <w:numId w:val="6"/>
        </w:numPr>
        <w:jc w:val="both"/>
        <w:rPr>
          <w:lang w:val="en-GB"/>
        </w:rPr>
      </w:pPr>
      <w:r>
        <w:rPr>
          <w:lang w:val="en-GB"/>
        </w:rPr>
        <w:t xml:space="preserve">NGO Crimea SOS, </w:t>
      </w:r>
      <w:hyperlink r:id="rId25" w:history="1">
        <w:r>
          <w:rPr>
            <w:color w:val="1155CC"/>
            <w:u w:val="single"/>
            <w:lang w:val="en-GB"/>
          </w:rPr>
          <w:t>http://krymsos.com/</w:t>
        </w:r>
      </w:hyperlink>
      <w:r>
        <w:rPr>
          <w:lang w:val="en-GB"/>
        </w:rPr>
        <w:t xml:space="preserve"> </w:t>
      </w:r>
    </w:p>
    <w:p w14:paraId="3825DC09" w14:textId="77777777" w:rsidR="008E3F16" w:rsidRDefault="00F95A32">
      <w:pPr>
        <w:numPr>
          <w:ilvl w:val="0"/>
          <w:numId w:val="6"/>
        </w:numPr>
        <w:jc w:val="both"/>
        <w:rPr>
          <w:lang w:val="en-GB"/>
        </w:rPr>
      </w:pPr>
      <w:r>
        <w:rPr>
          <w:lang w:val="en-GB"/>
        </w:rPr>
        <w:t xml:space="preserve">Charitable fund Right to Protection,  </w:t>
      </w:r>
      <w:hyperlink r:id="rId26" w:history="1">
        <w:r>
          <w:rPr>
            <w:color w:val="1155CC"/>
            <w:u w:val="single"/>
            <w:lang w:val="en-GB"/>
          </w:rPr>
          <w:t>www.r2p.org.ua</w:t>
        </w:r>
      </w:hyperlink>
      <w:r>
        <w:rPr>
          <w:lang w:val="en-GB"/>
        </w:rPr>
        <w:t xml:space="preserve"> </w:t>
      </w:r>
    </w:p>
    <w:p w14:paraId="1F771CCA" w14:textId="77777777" w:rsidR="008E3F16" w:rsidRDefault="00F95A32">
      <w:pPr>
        <w:numPr>
          <w:ilvl w:val="0"/>
          <w:numId w:val="6"/>
        </w:numPr>
        <w:jc w:val="both"/>
        <w:rPr>
          <w:lang w:val="en-GB"/>
        </w:rPr>
      </w:pPr>
      <w:r>
        <w:rPr>
          <w:lang w:val="en-GB"/>
        </w:rPr>
        <w:t xml:space="preserve">Charitable fund </w:t>
      </w:r>
      <w:proofErr w:type="spellStart"/>
      <w:r>
        <w:rPr>
          <w:lang w:val="en-GB"/>
        </w:rPr>
        <w:t>Vostok</w:t>
      </w:r>
      <w:proofErr w:type="spellEnd"/>
      <w:r>
        <w:rPr>
          <w:lang w:val="en-GB"/>
        </w:rPr>
        <w:t xml:space="preserve"> SOS, </w:t>
      </w:r>
      <w:hyperlink r:id="rId27" w:history="1">
        <w:r>
          <w:rPr>
            <w:color w:val="1155CC"/>
            <w:u w:val="single"/>
            <w:lang w:val="en-GB"/>
          </w:rPr>
          <w:t>http://vostok-sos.org/</w:t>
        </w:r>
      </w:hyperlink>
      <w:r>
        <w:rPr>
          <w:lang w:val="en-GB"/>
        </w:rPr>
        <w:t xml:space="preserve"> </w:t>
      </w:r>
    </w:p>
    <w:p w14:paraId="37982ADB" w14:textId="77777777" w:rsidR="008E3F16" w:rsidRDefault="00F95A32">
      <w:pPr>
        <w:numPr>
          <w:ilvl w:val="0"/>
          <w:numId w:val="6"/>
        </w:numPr>
        <w:jc w:val="both"/>
        <w:rPr>
          <w:lang w:val="en-GB"/>
        </w:rPr>
      </w:pPr>
      <w:r>
        <w:rPr>
          <w:lang w:val="en-GB"/>
        </w:rPr>
        <w:t xml:space="preserve">NGO Civil holding GROUP OF INFLUENCE, </w:t>
      </w:r>
      <w:hyperlink r:id="rId28" w:history="1">
        <w:r>
          <w:rPr>
            <w:color w:val="1155CC"/>
            <w:u w:val="single"/>
            <w:lang w:val="en-GB"/>
          </w:rPr>
          <w:t>https://www.vplyv.org.ua/</w:t>
        </w:r>
      </w:hyperlink>
      <w:r>
        <w:rPr>
          <w:lang w:val="en-GB"/>
        </w:rPr>
        <w:t xml:space="preserve"> </w:t>
      </w:r>
    </w:p>
    <w:p w14:paraId="63B0D33F" w14:textId="77777777" w:rsidR="008E3F16" w:rsidRDefault="00F95A32">
      <w:pPr>
        <w:numPr>
          <w:ilvl w:val="0"/>
          <w:numId w:val="6"/>
        </w:numPr>
        <w:jc w:val="both"/>
        <w:rPr>
          <w:lang w:val="en-GB"/>
        </w:rPr>
      </w:pPr>
      <w:r>
        <w:rPr>
          <w:lang w:val="en-GB"/>
        </w:rPr>
        <w:t xml:space="preserve">The </w:t>
      </w:r>
      <w:proofErr w:type="spellStart"/>
      <w:r>
        <w:rPr>
          <w:lang w:val="en-GB"/>
        </w:rPr>
        <w:t>Radnyk</w:t>
      </w:r>
      <w:proofErr w:type="spellEnd"/>
      <w:r>
        <w:rPr>
          <w:lang w:val="en-GB"/>
        </w:rPr>
        <w:t xml:space="preserve"> programme implemented by the charitable fund Stabilization Support Services,</w:t>
      </w:r>
      <w:r>
        <w:rPr>
          <w:highlight w:val="white"/>
          <w:lang w:val="en-GB"/>
        </w:rPr>
        <w:t xml:space="preserve"> </w:t>
      </w:r>
      <w:hyperlink r:id="rId29" w:history="1">
        <w:r>
          <w:rPr>
            <w:color w:val="1155CC"/>
            <w:u w:val="single"/>
            <w:lang w:val="en-GB"/>
          </w:rPr>
          <w:t>http://radnyk.org</w:t>
        </w:r>
      </w:hyperlink>
      <w:r>
        <w:rPr>
          <w:lang w:val="en-GB"/>
        </w:rPr>
        <w:t xml:space="preserve">, </w:t>
      </w:r>
      <w:hyperlink r:id="rId30" w:history="1">
        <w:r>
          <w:rPr>
            <w:color w:val="1155CC"/>
            <w:u w:val="single"/>
            <w:lang w:val="en-GB"/>
          </w:rPr>
          <w:t>https://sss-ua.org</w:t>
        </w:r>
      </w:hyperlink>
      <w:r>
        <w:rPr>
          <w:lang w:val="en-GB"/>
        </w:rPr>
        <w:t xml:space="preserve"> </w:t>
      </w:r>
    </w:p>
    <w:p w14:paraId="11A500DD" w14:textId="77777777" w:rsidR="008E3F16" w:rsidRDefault="00F95A32">
      <w:pPr>
        <w:numPr>
          <w:ilvl w:val="0"/>
          <w:numId w:val="6"/>
        </w:numPr>
        <w:jc w:val="both"/>
        <w:rPr>
          <w:lang w:val="en-GB"/>
        </w:rPr>
      </w:pPr>
      <w:r>
        <w:rPr>
          <w:lang w:val="en-GB"/>
        </w:rPr>
        <w:t xml:space="preserve">NGO ZMINA Human Rights </w:t>
      </w:r>
      <w:proofErr w:type="spellStart"/>
      <w:r>
        <w:rPr>
          <w:lang w:val="en-GB"/>
        </w:rPr>
        <w:t>Center</w:t>
      </w:r>
      <w:proofErr w:type="spellEnd"/>
      <w:r>
        <w:rPr>
          <w:lang w:val="en-GB"/>
        </w:rPr>
        <w:t xml:space="preserve"> </w:t>
      </w:r>
      <w:hyperlink r:id="rId31" w:history="1">
        <w:r>
          <w:rPr>
            <w:color w:val="1155CC"/>
            <w:u w:val="single"/>
            <w:lang w:val="en-GB"/>
          </w:rPr>
          <w:t>https://org.zmina.info/</w:t>
        </w:r>
      </w:hyperlink>
      <w:r>
        <w:rPr>
          <w:lang w:val="en-GB"/>
        </w:rPr>
        <w:t xml:space="preserve"> </w:t>
      </w:r>
    </w:p>
    <w:p w14:paraId="021EE41F" w14:textId="77777777" w:rsidR="008E3F16" w:rsidRDefault="00F95A32">
      <w:pPr>
        <w:numPr>
          <w:ilvl w:val="0"/>
          <w:numId w:val="6"/>
        </w:numPr>
        <w:jc w:val="both"/>
        <w:rPr>
          <w:lang w:val="en-GB"/>
        </w:rPr>
      </w:pPr>
      <w:r>
        <w:rPr>
          <w:lang w:val="en-GB"/>
        </w:rPr>
        <w:t xml:space="preserve">NGO Crimean Human Rights Group </w:t>
      </w:r>
      <w:hyperlink r:id="rId32" w:history="1">
        <w:r>
          <w:rPr>
            <w:color w:val="1155CC"/>
            <w:u w:val="single"/>
            <w:lang w:val="en-GB"/>
          </w:rPr>
          <w:t>https://crimeahrg.org/</w:t>
        </w:r>
      </w:hyperlink>
      <w:r>
        <w:rPr>
          <w:lang w:val="en-GB"/>
        </w:rPr>
        <w:t xml:space="preserve"> </w:t>
      </w:r>
    </w:p>
    <w:p w14:paraId="762237D3" w14:textId="77777777" w:rsidR="008E3F16" w:rsidRDefault="008E3F16">
      <w:pPr>
        <w:jc w:val="both"/>
        <w:rPr>
          <w:lang w:val="en-GB"/>
        </w:rPr>
      </w:pPr>
    </w:p>
    <w:p w14:paraId="19C48D32" w14:textId="77777777" w:rsidR="008E3F16" w:rsidRDefault="00F95A32">
      <w:pPr>
        <w:jc w:val="both"/>
        <w:rPr>
          <w:b/>
          <w:lang w:val="en-GB"/>
        </w:rPr>
      </w:pPr>
      <w:r>
        <w:rPr>
          <w:b/>
          <w:lang w:val="en-GB"/>
        </w:rPr>
        <w:t>Abbreviations</w:t>
      </w:r>
    </w:p>
    <w:p w14:paraId="2469852B" w14:textId="77777777" w:rsidR="008E3F16" w:rsidRDefault="008E3F16">
      <w:pPr>
        <w:jc w:val="both"/>
        <w:rPr>
          <w:lang w:val="en-GB"/>
        </w:rPr>
      </w:pPr>
    </w:p>
    <w:p w14:paraId="7F267977" w14:textId="77777777" w:rsidR="008E3F16" w:rsidRDefault="00F95A32">
      <w:pPr>
        <w:jc w:val="both"/>
        <w:rPr>
          <w:lang w:val="en-GB"/>
        </w:rPr>
      </w:pPr>
      <w:r>
        <w:rPr>
          <w:lang w:val="en-GB"/>
        </w:rPr>
        <w:t>ARC — Autonomous Republic of Crimea</w:t>
      </w:r>
    </w:p>
    <w:p w14:paraId="020EC8F0" w14:textId="77777777" w:rsidR="008E3F16" w:rsidRDefault="00F95A32">
      <w:pPr>
        <w:jc w:val="both"/>
        <w:rPr>
          <w:lang w:val="en-GB"/>
        </w:rPr>
      </w:pPr>
      <w:r>
        <w:rPr>
          <w:lang w:val="en-GB"/>
        </w:rPr>
        <w:t>ATO/JFO — anti-terrorist operation, joint forces operation</w:t>
      </w:r>
    </w:p>
    <w:p w14:paraId="0C3F58A9" w14:textId="77777777" w:rsidR="008E3F16" w:rsidRDefault="00F95A32">
      <w:pPr>
        <w:jc w:val="both"/>
        <w:rPr>
          <w:lang w:val="en-GB"/>
        </w:rPr>
      </w:pPr>
      <w:r>
        <w:rPr>
          <w:lang w:val="en-GB"/>
        </w:rPr>
        <w:t>IDP — internally displaced person</w:t>
      </w:r>
    </w:p>
    <w:p w14:paraId="75390B15" w14:textId="77777777" w:rsidR="008E3F16" w:rsidRDefault="00F95A32">
      <w:pPr>
        <w:rPr>
          <w:lang w:val="en-GB"/>
        </w:rPr>
      </w:pPr>
      <w:r>
        <w:rPr>
          <w:lang w:val="en-GB"/>
        </w:rPr>
        <w:t xml:space="preserve">SBGSU </w:t>
      </w:r>
      <w:r>
        <w:rPr>
          <w:color w:val="222222"/>
          <w:highlight w:val="white"/>
          <w:lang w:val="en-GB"/>
        </w:rPr>
        <w:t>–</w:t>
      </w:r>
      <w:r>
        <w:rPr>
          <w:lang w:val="en-GB"/>
        </w:rPr>
        <w:t xml:space="preserve"> State Border Guard Service of Ukraine</w:t>
      </w:r>
    </w:p>
    <w:p w14:paraId="286B2499" w14:textId="77777777" w:rsidR="008E3F16" w:rsidRDefault="00F95A32">
      <w:pPr>
        <w:jc w:val="both"/>
        <w:rPr>
          <w:lang w:val="en-GB"/>
        </w:rPr>
      </w:pPr>
      <w:r>
        <w:rPr>
          <w:lang w:val="en-GB"/>
        </w:rPr>
        <w:t>HEI — higher education institution</w:t>
      </w:r>
    </w:p>
    <w:p w14:paraId="3167D594" w14:textId="77777777" w:rsidR="008E3F16" w:rsidRDefault="00F95A32">
      <w:pPr>
        <w:jc w:val="both"/>
        <w:rPr>
          <w:lang w:val="en-GB"/>
        </w:rPr>
      </w:pPr>
      <w:r>
        <w:rPr>
          <w:lang w:val="en-GB"/>
        </w:rPr>
        <w:t>CMU — Cabinet of Ministers of Ukraine</w:t>
      </w:r>
    </w:p>
    <w:p w14:paraId="777959FE" w14:textId="07DC5AB6" w:rsidR="008E3F16" w:rsidRDefault="003246F8">
      <w:pPr>
        <w:jc w:val="both"/>
        <w:rPr>
          <w:lang w:val="en-GB"/>
        </w:rPr>
      </w:pPr>
      <w:r>
        <w:rPr>
          <w:lang w:val="en-GB"/>
        </w:rPr>
        <w:t>MVTOT</w:t>
      </w:r>
      <w:r w:rsidR="00F95A32">
        <w:rPr>
          <w:lang w:val="en-GB"/>
        </w:rPr>
        <w:t xml:space="preserve"> — Ministry for the </w:t>
      </w:r>
      <w:r w:rsidR="00406B64">
        <w:rPr>
          <w:lang w:val="en-GB"/>
        </w:rPr>
        <w:t>Veterans’ Affairs</w:t>
      </w:r>
      <w:r w:rsidR="00F95A32">
        <w:rPr>
          <w:lang w:val="en-GB"/>
        </w:rPr>
        <w:t>, Temporarily Occupied Territories and Internally Displaced Persons of Ukraine</w:t>
      </w:r>
    </w:p>
    <w:p w14:paraId="057E4D34" w14:textId="77777777" w:rsidR="008E3F16" w:rsidRDefault="00F95A32">
      <w:pPr>
        <w:jc w:val="both"/>
        <w:rPr>
          <w:lang w:val="en-GB"/>
        </w:rPr>
      </w:pPr>
      <w:r>
        <w:rPr>
          <w:lang w:val="en-GB"/>
        </w:rPr>
        <w:t>PFU — Pension Fund of Ukraine</w:t>
      </w:r>
    </w:p>
    <w:p w14:paraId="596474F8" w14:textId="2B90A97F" w:rsidR="008E3F16" w:rsidRDefault="00957E8C">
      <w:pPr>
        <w:jc w:val="both"/>
        <w:rPr>
          <w:lang w:val="en-GB"/>
        </w:rPr>
      </w:pPr>
      <w:r w:rsidRPr="00F85E2F">
        <w:rPr>
          <w:lang w:val="en-GB"/>
        </w:rPr>
        <w:t>GCA</w:t>
      </w:r>
      <w:r w:rsidR="00F85E2F" w:rsidRPr="00F85E2F">
        <w:rPr>
          <w:lang w:val="en-GB"/>
        </w:rPr>
        <w:t xml:space="preserve"> — Government of Ukraine</w:t>
      </w:r>
      <w:r w:rsidR="00F85E2F">
        <w:rPr>
          <w:lang w:val="en-GB"/>
        </w:rPr>
        <w:t>-</w:t>
      </w:r>
      <w:r w:rsidR="00F85E2F" w:rsidRPr="00F85E2F">
        <w:rPr>
          <w:lang w:val="en-GB"/>
        </w:rPr>
        <w:t>controlled areas</w:t>
      </w:r>
    </w:p>
    <w:p w14:paraId="7354FA05" w14:textId="77777777" w:rsidR="008E3F16" w:rsidRDefault="00F95A32">
      <w:pPr>
        <w:jc w:val="both"/>
        <w:rPr>
          <w:lang w:val="en-GB"/>
        </w:rPr>
      </w:pPr>
      <w:r>
        <w:rPr>
          <w:lang w:val="en-GB"/>
        </w:rPr>
        <w:t>CRR — civil records registration</w:t>
      </w:r>
    </w:p>
    <w:p w14:paraId="1E088881" w14:textId="77777777" w:rsidR="008E3F16" w:rsidRDefault="00F95A32">
      <w:pPr>
        <w:jc w:val="both"/>
        <w:rPr>
          <w:lang w:val="en-GB"/>
        </w:rPr>
      </w:pPr>
      <w:r>
        <w:rPr>
          <w:lang w:val="en-GB"/>
        </w:rPr>
        <w:t>TOT — temporarily occupied territory of Ukraine</w:t>
      </w:r>
      <w:r>
        <w:rPr>
          <w:vertAlign w:val="superscript"/>
          <w:lang w:val="en-GB"/>
        </w:rPr>
        <w:footnoteReference w:id="1"/>
      </w:r>
      <w:r>
        <w:rPr>
          <w:lang w:val="en-GB"/>
        </w:rPr>
        <w:t xml:space="preserve"> </w:t>
      </w:r>
    </w:p>
    <w:p w14:paraId="11AF33F3" w14:textId="77777777" w:rsidR="008E3F16" w:rsidRDefault="00F95A32">
      <w:pPr>
        <w:jc w:val="both"/>
        <w:rPr>
          <w:lang w:val="en-GB"/>
        </w:rPr>
      </w:pPr>
      <w:r>
        <w:rPr>
          <w:lang w:val="en-GB"/>
        </w:rPr>
        <w:t>DLSP — Department of Labour and Social Protection</w:t>
      </w:r>
    </w:p>
    <w:p w14:paraId="0968AFEC" w14:textId="77777777" w:rsidR="008E3F16" w:rsidRDefault="008E3F16">
      <w:pPr>
        <w:jc w:val="both"/>
        <w:rPr>
          <w:lang w:val="en-GB"/>
        </w:rPr>
      </w:pPr>
    </w:p>
    <w:p w14:paraId="10319E85" w14:textId="77777777" w:rsidR="008E3F16" w:rsidRDefault="008E3F16">
      <w:pPr>
        <w:jc w:val="both"/>
        <w:rPr>
          <w:lang w:val="en-GB"/>
        </w:rPr>
      </w:pPr>
    </w:p>
    <w:tbl>
      <w:tblPr>
        <w:tblStyle w:val="StGen0"/>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8E3F16" w14:paraId="086CE996" w14:textId="77777777">
        <w:tc>
          <w:tcPr>
            <w:tcW w:w="9029" w:type="dxa"/>
            <w:shd w:val="clear" w:color="auto" w:fill="C9DAF8"/>
            <w:tcMar>
              <w:top w:w="100" w:type="dxa"/>
              <w:left w:w="100" w:type="dxa"/>
              <w:bottom w:w="100" w:type="dxa"/>
              <w:right w:w="100" w:type="dxa"/>
            </w:tcMar>
          </w:tcPr>
          <w:p w14:paraId="5A9B071E" w14:textId="77777777" w:rsidR="008E3F16" w:rsidRDefault="00F95A32">
            <w:pPr>
              <w:widowControl w:val="0"/>
              <w:pBdr>
                <w:top w:val="none" w:sz="0" w:space="0" w:color="000000"/>
                <w:left w:val="none" w:sz="0" w:space="0" w:color="000000"/>
                <w:bottom w:val="none" w:sz="0" w:space="0" w:color="000000"/>
                <w:right w:val="none" w:sz="0" w:space="0" w:color="000000"/>
                <w:between w:val="none" w:sz="0" w:space="0" w:color="000000"/>
              </w:pBdr>
              <w:spacing w:line="240" w:lineRule="auto"/>
              <w:jc w:val="center"/>
              <w:rPr>
                <w:b/>
                <w:lang w:val="en-GB"/>
              </w:rPr>
            </w:pPr>
            <w:r>
              <w:rPr>
                <w:b/>
                <w:lang w:val="en-GB"/>
              </w:rPr>
              <w:lastRenderedPageBreak/>
              <w:t>General observations</w:t>
            </w:r>
          </w:p>
        </w:tc>
      </w:tr>
    </w:tbl>
    <w:p w14:paraId="5549D13E" w14:textId="77777777" w:rsidR="008E3F16" w:rsidRDefault="008E3F16">
      <w:pPr>
        <w:jc w:val="both"/>
        <w:rPr>
          <w:lang w:val="en-GB"/>
        </w:rPr>
      </w:pPr>
    </w:p>
    <w:p w14:paraId="0BED28BE" w14:textId="7F0F4523" w:rsidR="008E3F16" w:rsidRDefault="00F95A32">
      <w:pPr>
        <w:jc w:val="both"/>
        <w:rPr>
          <w:lang w:val="en-GB"/>
        </w:rPr>
      </w:pPr>
      <w:r>
        <w:rPr>
          <w:lang w:val="en-GB"/>
        </w:rPr>
        <w:t>і. In 2019, Ukraine had presidential and parliamentary elections, which resulted in a complete overhaul of government in the country. After its appointment, the new CMU reorganized the Ministry for Temporarily Occupied Territories and Internally Displaced Persons established in 2016 into the Ministry for the Veterans</w:t>
      </w:r>
      <w:r w:rsidR="00406B64">
        <w:rPr>
          <w:lang w:val="en-GB"/>
        </w:rPr>
        <w:t>’</w:t>
      </w:r>
      <w:r w:rsidR="00406B64">
        <w:rPr>
          <w:lang w:val="uk-UA"/>
        </w:rPr>
        <w:t xml:space="preserve"> </w:t>
      </w:r>
      <w:r w:rsidR="00406B64">
        <w:rPr>
          <w:lang w:val="en-US"/>
        </w:rPr>
        <w:t>Affairs</w:t>
      </w:r>
      <w:r>
        <w:rPr>
          <w:lang w:val="en-GB"/>
        </w:rPr>
        <w:t xml:space="preserve">, Temporarily Occupied Territories and Internally Displaced Persons. Former Deputy Minister of the </w:t>
      </w:r>
      <w:r w:rsidR="003246F8">
        <w:rPr>
          <w:lang w:val="en-GB"/>
        </w:rPr>
        <w:t>MVTOT</w:t>
      </w:r>
      <w:r>
        <w:rPr>
          <w:lang w:val="en-GB"/>
        </w:rPr>
        <w:t xml:space="preserve"> Oksana </w:t>
      </w:r>
      <w:proofErr w:type="spellStart"/>
      <w:r>
        <w:rPr>
          <w:lang w:val="en-GB"/>
        </w:rPr>
        <w:t>Kolyada</w:t>
      </w:r>
      <w:proofErr w:type="spellEnd"/>
      <w:r>
        <w:rPr>
          <w:lang w:val="en-GB"/>
        </w:rPr>
        <w:t xml:space="preserve"> </w:t>
      </w:r>
      <w:proofErr w:type="gramStart"/>
      <w:r>
        <w:rPr>
          <w:lang w:val="en-GB"/>
        </w:rPr>
        <w:t>was put</w:t>
      </w:r>
      <w:proofErr w:type="gramEnd"/>
      <w:r>
        <w:rPr>
          <w:lang w:val="en-GB"/>
        </w:rPr>
        <w:t xml:space="preserve"> in charge of it.</w:t>
      </w:r>
    </w:p>
    <w:p w14:paraId="2440C61C" w14:textId="77777777" w:rsidR="008E3F16" w:rsidRDefault="008E3F16">
      <w:pPr>
        <w:jc w:val="both"/>
        <w:rPr>
          <w:lang w:val="en-GB"/>
        </w:rPr>
      </w:pPr>
    </w:p>
    <w:p w14:paraId="63FCE5C7" w14:textId="669C11F6" w:rsidR="008E3F16" w:rsidRDefault="00F95A32">
      <w:pPr>
        <w:jc w:val="both"/>
        <w:rPr>
          <w:lang w:val="en-GB"/>
        </w:rPr>
      </w:pPr>
      <w:proofErr w:type="spellStart"/>
      <w:proofErr w:type="gramStart"/>
      <w:r>
        <w:rPr>
          <w:lang w:val="en-GB"/>
        </w:rPr>
        <w:t>іі</w:t>
      </w:r>
      <w:proofErr w:type="spellEnd"/>
      <w:proofErr w:type="gramEnd"/>
      <w:r>
        <w:rPr>
          <w:lang w:val="en-GB"/>
        </w:rPr>
        <w:t xml:space="preserve">. In September 2019, the CMU adopted a programme of activities, which </w:t>
      </w:r>
      <w:proofErr w:type="gramStart"/>
      <w:r>
        <w:rPr>
          <w:lang w:val="en-GB"/>
        </w:rPr>
        <w:t>was approved</w:t>
      </w:r>
      <w:proofErr w:type="gramEnd"/>
      <w:r>
        <w:rPr>
          <w:lang w:val="en-GB"/>
        </w:rPr>
        <w:t xml:space="preserve"> by the Parliament</w:t>
      </w:r>
      <w:r>
        <w:rPr>
          <w:vertAlign w:val="superscript"/>
          <w:lang w:val="en-GB"/>
        </w:rPr>
        <w:footnoteReference w:id="2"/>
      </w:r>
      <w:r>
        <w:rPr>
          <w:lang w:val="en-GB"/>
        </w:rPr>
        <w:t xml:space="preserve">. In this programme, the issues of overcoming the effects of the armed conflict and assisting those affected by it did not get the attention they deserve. Thus, out of 15 ministries, only the </w:t>
      </w:r>
      <w:r w:rsidR="003246F8">
        <w:rPr>
          <w:lang w:val="en-GB"/>
        </w:rPr>
        <w:t>MVTOT</w:t>
      </w:r>
      <w:r>
        <w:rPr>
          <w:lang w:val="en-GB"/>
        </w:rPr>
        <w:t xml:space="preserve"> chose as one of its goals the following: to reintegrate IDPs and NGCA residents of Donetsk and Luhansk Oblast and ARC into the Ukrainian sphere (goal 5.3)</w:t>
      </w:r>
      <w:r>
        <w:rPr>
          <w:vertAlign w:val="superscript"/>
          <w:lang w:val="en-GB"/>
        </w:rPr>
        <w:footnoteReference w:id="3"/>
      </w:r>
      <w:r>
        <w:rPr>
          <w:lang w:val="en-GB"/>
        </w:rPr>
        <w:t>.</w:t>
      </w:r>
    </w:p>
    <w:p w14:paraId="276CDEFD" w14:textId="77777777" w:rsidR="008E3F16" w:rsidRDefault="008E3F16">
      <w:pPr>
        <w:jc w:val="both"/>
        <w:rPr>
          <w:lang w:val="en-GB"/>
        </w:rPr>
      </w:pPr>
    </w:p>
    <w:p w14:paraId="16B35A64" w14:textId="59CE4419" w:rsidR="008E3F16" w:rsidRDefault="00F95A32">
      <w:pPr>
        <w:jc w:val="both"/>
        <w:rPr>
          <w:lang w:val="en-GB"/>
        </w:rPr>
      </w:pPr>
      <w:proofErr w:type="spellStart"/>
      <w:proofErr w:type="gramStart"/>
      <w:r>
        <w:rPr>
          <w:lang w:val="en-GB"/>
        </w:rPr>
        <w:t>ііі</w:t>
      </w:r>
      <w:proofErr w:type="spellEnd"/>
      <w:proofErr w:type="gramEnd"/>
      <w:r>
        <w:rPr>
          <w:lang w:val="en-GB"/>
        </w:rPr>
        <w:t xml:space="preserve">. It should be stressed that the Ministry of Social Policy - the central executive body responsible </w:t>
      </w:r>
      <w:proofErr w:type="gramStart"/>
      <w:r>
        <w:rPr>
          <w:lang w:val="en-GB"/>
        </w:rPr>
        <w:t>for state social policy, including social protection of IDPs</w:t>
      </w:r>
      <w:r>
        <w:rPr>
          <w:vertAlign w:val="superscript"/>
          <w:lang w:val="en-GB"/>
        </w:rPr>
        <w:footnoteReference w:id="4"/>
      </w:r>
      <w:r>
        <w:rPr>
          <w:lang w:val="en-GB"/>
        </w:rPr>
        <w:t>, neither</w:t>
      </w:r>
      <w:proofErr w:type="gramEnd"/>
      <w:r>
        <w:rPr>
          <w:lang w:val="en-GB"/>
        </w:rPr>
        <w:t xml:space="preserve"> set appropriate priorities for itself nor included appropriate measures in the Government's programme. Thus, although the fact that the </w:t>
      </w:r>
      <w:r w:rsidR="003246F8">
        <w:rPr>
          <w:lang w:val="en-GB"/>
        </w:rPr>
        <w:t xml:space="preserve">MVTOT </w:t>
      </w:r>
      <w:r>
        <w:rPr>
          <w:lang w:val="en-GB"/>
        </w:rPr>
        <w:t xml:space="preserve">was charged with forming and implementing policies on the reintegration of TOT residents and veterans as well as with seeking out long-term solutions for IDPs’ issues is certainly a positive move, the absence of the issue of ensuring social protection of such persons on the agenda of both ministries is a critical oversight. In light of this, there is a high and realistic risk that the </w:t>
      </w:r>
      <w:proofErr w:type="gramStart"/>
      <w:r>
        <w:rPr>
          <w:lang w:val="en-GB"/>
        </w:rPr>
        <w:t>issue of ensuring social protection of conflict-affected people and addressing their social needs will be ignored by the Government</w:t>
      </w:r>
      <w:proofErr w:type="gramEnd"/>
      <w:r>
        <w:rPr>
          <w:lang w:val="en-GB"/>
        </w:rPr>
        <w:t>.</w:t>
      </w:r>
    </w:p>
    <w:p w14:paraId="75A28909" w14:textId="77777777" w:rsidR="008E3F16" w:rsidRDefault="008E3F16">
      <w:pPr>
        <w:jc w:val="both"/>
        <w:rPr>
          <w:lang w:val="en-GB"/>
        </w:rPr>
      </w:pPr>
    </w:p>
    <w:p w14:paraId="777012C8" w14:textId="32122979" w:rsidR="008E3F16" w:rsidRDefault="00F95A32">
      <w:pPr>
        <w:jc w:val="both"/>
        <w:rPr>
          <w:lang w:val="en-GB"/>
        </w:rPr>
      </w:pPr>
      <w:proofErr w:type="gramStart"/>
      <w:r>
        <w:rPr>
          <w:lang w:val="en-GB"/>
        </w:rPr>
        <w:t>iv. In late 2019</w:t>
      </w:r>
      <w:proofErr w:type="gramEnd"/>
      <w:r>
        <w:rPr>
          <w:lang w:val="en-GB"/>
        </w:rPr>
        <w:t xml:space="preserve"> there was a significant decrease in funding for international humanitarian organizations providing humanitarian and legal aid to </w:t>
      </w:r>
      <w:r w:rsidR="00011E5A" w:rsidRPr="00011E5A">
        <w:rPr>
          <w:lang w:val="en-GB"/>
        </w:rPr>
        <w:t>co</w:t>
      </w:r>
      <w:r w:rsidR="00011E5A">
        <w:rPr>
          <w:lang w:val="en-GB"/>
        </w:rPr>
        <w:t>nflict-affected persons</w:t>
      </w:r>
      <w:r>
        <w:rPr>
          <w:lang w:val="en-GB"/>
        </w:rPr>
        <w:t>. This in turn is resulting in less funds for international and national NGOs dealing with conflict-related issues. One of the consequences of this has been decreased access to legal aid for IDPs in all Ukrainian regions, except for Donetsk, Luhansk and Kherson oblasts. In Donetsk and Luhansk oblasts, there are now fewer opportunities for the renovation of buildings damaged by shelling, including roof and window replacement, etc.</w:t>
      </w:r>
    </w:p>
    <w:p w14:paraId="218D6DE1" w14:textId="77777777" w:rsidR="008E3F16" w:rsidRDefault="008E3F16">
      <w:pPr>
        <w:jc w:val="both"/>
        <w:rPr>
          <w:lang w:val="en-GB"/>
        </w:rPr>
      </w:pPr>
    </w:p>
    <w:p w14:paraId="49BD27E1" w14:textId="77777777" w:rsidR="008E3F16" w:rsidRDefault="008E3F16">
      <w:pPr>
        <w:rPr>
          <w:b/>
          <w:lang w:val="en-GB"/>
        </w:rPr>
      </w:pPr>
    </w:p>
    <w:tbl>
      <w:tblPr>
        <w:tblStyle w:val="StGen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8E3F16" w14:paraId="0A4F5B04" w14:textId="77777777">
        <w:tc>
          <w:tcPr>
            <w:tcW w:w="9029" w:type="dxa"/>
            <w:shd w:val="clear" w:color="auto" w:fill="C9DAF8"/>
            <w:tcMar>
              <w:top w:w="100" w:type="dxa"/>
              <w:left w:w="100" w:type="dxa"/>
              <w:bottom w:w="100" w:type="dxa"/>
              <w:right w:w="100" w:type="dxa"/>
            </w:tcMar>
          </w:tcPr>
          <w:p w14:paraId="78AFC617" w14:textId="77777777" w:rsidR="008E3F16" w:rsidRDefault="00F95A32">
            <w:pPr>
              <w:jc w:val="center"/>
              <w:rPr>
                <w:b/>
                <w:lang w:val="en-GB"/>
              </w:rPr>
            </w:pPr>
            <w:r>
              <w:rPr>
                <w:b/>
                <w:lang w:val="en-GB"/>
              </w:rPr>
              <w:t>Host communities</w:t>
            </w:r>
          </w:p>
        </w:tc>
      </w:tr>
    </w:tbl>
    <w:p w14:paraId="21636945" w14:textId="77777777" w:rsidR="008E3F16" w:rsidRDefault="008E3F16">
      <w:pPr>
        <w:rPr>
          <w:b/>
          <w:lang w:val="en-GB"/>
        </w:rPr>
      </w:pPr>
    </w:p>
    <w:p w14:paraId="7DCA341C" w14:textId="20793450" w:rsidR="008E3F16" w:rsidRDefault="00406B64">
      <w:pPr>
        <w:rPr>
          <w:b/>
          <w:lang w:val="en-GB"/>
        </w:rPr>
      </w:pPr>
      <w:r>
        <w:rPr>
          <w:b/>
          <w:lang w:val="en-GB"/>
        </w:rPr>
        <w:t>Regarding</w:t>
      </w:r>
      <w:r w:rsidR="00F95A32">
        <w:rPr>
          <w:b/>
          <w:lang w:val="en-GB"/>
        </w:rPr>
        <w:t xml:space="preserve"> paragraph 1 of the question list (E/C.12/UKR/QPR/7)</w:t>
      </w:r>
    </w:p>
    <w:p w14:paraId="513E1147" w14:textId="77777777" w:rsidR="008E3F16" w:rsidRDefault="008E3F16">
      <w:pPr>
        <w:jc w:val="both"/>
        <w:rPr>
          <w:lang w:val="en-GB"/>
        </w:rPr>
      </w:pPr>
    </w:p>
    <w:p w14:paraId="5529BB6A" w14:textId="725E3852" w:rsidR="008E3F16" w:rsidRDefault="00F95A32">
      <w:pPr>
        <w:jc w:val="both"/>
        <w:rPr>
          <w:lang w:val="en-GB"/>
        </w:rPr>
      </w:pPr>
      <w:r>
        <w:rPr>
          <w:lang w:val="en-GB"/>
        </w:rPr>
        <w:lastRenderedPageBreak/>
        <w:t xml:space="preserve">1. According to the Ministry of Social Policy, 1,434,198 IDPs from the NGCA of Donetsk and Luhansk oblasts and ARC </w:t>
      </w:r>
      <w:proofErr w:type="gramStart"/>
      <w:r>
        <w:rPr>
          <w:lang w:val="en-GB"/>
        </w:rPr>
        <w:t>were registered</w:t>
      </w:r>
      <w:proofErr w:type="gramEnd"/>
      <w:r>
        <w:rPr>
          <w:lang w:val="en-GB"/>
        </w:rPr>
        <w:t xml:space="preserve"> as of January 13, 2020</w:t>
      </w:r>
      <w:r>
        <w:rPr>
          <w:vertAlign w:val="superscript"/>
          <w:lang w:val="en-GB"/>
        </w:rPr>
        <w:footnoteReference w:id="5"/>
      </w:r>
      <w:r>
        <w:rPr>
          <w:lang w:val="en-GB"/>
        </w:rPr>
        <w:t xml:space="preserve">. However, the actual numbers of IDPs may differ greatly from the official figures. There are several reasons for this. The main one is the state policy that requires TOT residents to </w:t>
      </w:r>
      <w:proofErr w:type="gramStart"/>
      <w:r>
        <w:rPr>
          <w:lang w:val="en-GB"/>
        </w:rPr>
        <w:t>get</w:t>
      </w:r>
      <w:proofErr w:type="gramEnd"/>
      <w:r>
        <w:rPr>
          <w:lang w:val="en-GB"/>
        </w:rPr>
        <w:t xml:space="preserve"> registered as IDPs if they want access to social protection and administrative services. </w:t>
      </w:r>
      <w:proofErr w:type="gramStart"/>
      <w:r>
        <w:rPr>
          <w:lang w:val="en-GB"/>
        </w:rPr>
        <w:t>This</w:t>
      </w:r>
      <w:proofErr w:type="gramEnd"/>
      <w:r>
        <w:rPr>
          <w:lang w:val="en-GB"/>
        </w:rPr>
        <w:t xml:space="preserve"> forces people that remained in the TOT to register as IDPs to be able to get pensions, medical care, banking and other services in </w:t>
      </w:r>
      <w:r w:rsidR="00957E8C">
        <w:rPr>
          <w:lang w:val="en-GB"/>
        </w:rPr>
        <w:t>GCA</w:t>
      </w:r>
      <w:r>
        <w:rPr>
          <w:lang w:val="en-GB"/>
        </w:rPr>
        <w:t>.</w:t>
      </w:r>
    </w:p>
    <w:p w14:paraId="6CFFC793" w14:textId="77777777" w:rsidR="008E3F16" w:rsidRDefault="008E3F16">
      <w:pPr>
        <w:jc w:val="both"/>
        <w:rPr>
          <w:lang w:val="en-GB"/>
        </w:rPr>
      </w:pPr>
    </w:p>
    <w:p w14:paraId="2B984E2F" w14:textId="29F95E20" w:rsidR="008E3F16" w:rsidRDefault="00F95A32">
      <w:pPr>
        <w:jc w:val="both"/>
        <w:rPr>
          <w:lang w:val="en-GB"/>
        </w:rPr>
      </w:pPr>
      <w:r>
        <w:rPr>
          <w:lang w:val="en-GB"/>
        </w:rPr>
        <w:t xml:space="preserve">2. IDPs </w:t>
      </w:r>
      <w:proofErr w:type="gramStart"/>
      <w:r>
        <w:rPr>
          <w:lang w:val="en-GB"/>
        </w:rPr>
        <w:t>are not considered</w:t>
      </w:r>
      <w:proofErr w:type="gramEnd"/>
      <w:r>
        <w:rPr>
          <w:lang w:val="en-GB"/>
        </w:rPr>
        <w:t xml:space="preserve"> members of the territorial communities where they live. Being a member of a </w:t>
      </w:r>
      <w:r w:rsidR="00406B64">
        <w:rPr>
          <w:lang w:val="en-GB"/>
        </w:rPr>
        <w:t>territorial</w:t>
      </w:r>
      <w:r>
        <w:rPr>
          <w:lang w:val="en-GB"/>
        </w:rPr>
        <w:t xml:space="preserve"> community in Ukraine </w:t>
      </w:r>
      <w:proofErr w:type="gramStart"/>
      <w:r>
        <w:rPr>
          <w:lang w:val="en-GB"/>
        </w:rPr>
        <w:t>must be confirmed</w:t>
      </w:r>
      <w:proofErr w:type="gramEnd"/>
      <w:r>
        <w:rPr>
          <w:lang w:val="en-GB"/>
        </w:rPr>
        <w:t xml:space="preserve"> through registration of one’s place of residence in that community. However, the vast majority of IDPs do not register their new homes as their official place of residence (they only have IDP certificates, which serve, among other things, as a proof of residence address), because they lack the official means to do so or they do not wish to lose official links with their old home. </w:t>
      </w:r>
      <w:proofErr w:type="gramStart"/>
      <w:r>
        <w:rPr>
          <w:lang w:val="en-GB"/>
        </w:rPr>
        <w:t>Overall</w:t>
      </w:r>
      <w:proofErr w:type="gramEnd"/>
      <w:r>
        <w:rPr>
          <w:lang w:val="en-GB"/>
        </w:rPr>
        <w:t xml:space="preserve"> there are at least 6.8 million people in Ukraine living in a place other than their official place of residence</w:t>
      </w:r>
      <w:r>
        <w:rPr>
          <w:vertAlign w:val="superscript"/>
          <w:lang w:val="en-GB"/>
        </w:rPr>
        <w:footnoteReference w:id="6"/>
      </w:r>
      <w:r>
        <w:rPr>
          <w:lang w:val="en-GB"/>
        </w:rPr>
        <w:t xml:space="preserve">, which shows the ineffectiveness of the registration </w:t>
      </w:r>
      <w:r w:rsidR="00406B64">
        <w:rPr>
          <w:lang w:val="en-GB"/>
        </w:rPr>
        <w:t>system, as well as</w:t>
      </w:r>
      <w:r>
        <w:rPr>
          <w:lang w:val="en-GB"/>
        </w:rPr>
        <w:t xml:space="preserve"> the fact that it cannot serve as reliable proof of a person's belonging to a territorial community.</w:t>
      </w:r>
    </w:p>
    <w:p w14:paraId="43D47006" w14:textId="77777777" w:rsidR="008E3F16" w:rsidRDefault="008E3F16">
      <w:pPr>
        <w:rPr>
          <w:b/>
          <w:lang w:val="en-GB"/>
        </w:rPr>
      </w:pPr>
    </w:p>
    <w:p w14:paraId="47DA74AA" w14:textId="3D39C84E" w:rsidR="008E3F16" w:rsidRDefault="00F95A32">
      <w:pPr>
        <w:jc w:val="both"/>
        <w:rPr>
          <w:lang w:val="en-GB"/>
        </w:rPr>
      </w:pPr>
      <w:r>
        <w:rPr>
          <w:lang w:val="en-GB"/>
        </w:rPr>
        <w:t xml:space="preserve">3. Thus, those IDPs that </w:t>
      </w:r>
      <w:proofErr w:type="gramStart"/>
      <w:r>
        <w:rPr>
          <w:lang w:val="en-GB"/>
        </w:rPr>
        <w:t>are not considered</w:t>
      </w:r>
      <w:proofErr w:type="gramEnd"/>
      <w:r>
        <w:rPr>
          <w:lang w:val="en-GB"/>
        </w:rPr>
        <w:t xml:space="preserve"> members of their new territorial communities in terms of their official place of residence are barred </w:t>
      </w:r>
      <w:r w:rsidR="00406B64">
        <w:rPr>
          <w:lang w:val="en-GB"/>
        </w:rPr>
        <w:t xml:space="preserve">from </w:t>
      </w:r>
      <w:r>
        <w:rPr>
          <w:lang w:val="en-GB"/>
        </w:rPr>
        <w:t>access</w:t>
      </w:r>
      <w:r w:rsidR="00406B64">
        <w:rPr>
          <w:lang w:val="en-GB"/>
        </w:rPr>
        <w:t>ing</w:t>
      </w:r>
      <w:r>
        <w:rPr>
          <w:lang w:val="en-GB"/>
        </w:rPr>
        <w:t xml:space="preserve"> half the instruments of local democracy. In particular, such IDPs are unable to participate in general meetings and public associations, to make use of electronic petitions, or to take part in public hearings and local initiatives. At the same time, the number of IDPs registered in a territorial community </w:t>
      </w:r>
      <w:proofErr w:type="gramStart"/>
      <w:r>
        <w:rPr>
          <w:lang w:val="en-GB"/>
        </w:rPr>
        <w:t xml:space="preserve">is </w:t>
      </w:r>
      <w:r w:rsidR="00E7474E">
        <w:rPr>
          <w:lang w:val="en-GB"/>
        </w:rPr>
        <w:t>considered</w:t>
      </w:r>
      <w:proofErr w:type="gramEnd"/>
      <w:r>
        <w:rPr>
          <w:lang w:val="en-GB"/>
        </w:rPr>
        <w:t xml:space="preserve"> in the formation of local budgets, including the funds for educational and healthcare institutions</w:t>
      </w:r>
      <w:r>
        <w:rPr>
          <w:vertAlign w:val="superscript"/>
          <w:lang w:val="en-GB"/>
        </w:rPr>
        <w:footnoteReference w:id="7"/>
      </w:r>
      <w:r>
        <w:rPr>
          <w:lang w:val="en-GB"/>
        </w:rPr>
        <w:t>.</w:t>
      </w:r>
    </w:p>
    <w:p w14:paraId="66D2D705" w14:textId="77777777" w:rsidR="008E3F16" w:rsidRDefault="008E3F16">
      <w:pPr>
        <w:jc w:val="both"/>
        <w:rPr>
          <w:lang w:val="en-GB"/>
        </w:rPr>
      </w:pPr>
    </w:p>
    <w:p w14:paraId="418FC045" w14:textId="6CC62163" w:rsidR="008E3F16" w:rsidRDefault="00F95A32">
      <w:pPr>
        <w:jc w:val="both"/>
        <w:rPr>
          <w:lang w:val="en-GB"/>
        </w:rPr>
      </w:pPr>
      <w:r>
        <w:rPr>
          <w:lang w:val="en-GB"/>
        </w:rPr>
        <w:t xml:space="preserve">4. For nearly six years, IDPs had had no law-established way of voting in local elections, which constituted direct discrimination. On December 19, 2019, the Parliament adopted the Electoral Code of Ukraine, which allows, following a justified application, changing a voter’s voting address to other than the official place of residence, provided that the actual place residence is confirmed by relevant documents (e.g. rent agreement, IDP certificate, business certificate, real estate title, etc.). These changes, which are coming into force on July 1, 2020, will allow all voters that live outside their official place of residence, including IDPs, to vote in all types of elections, both national and local, without discrimination. </w:t>
      </w:r>
      <w:proofErr w:type="gramStart"/>
      <w:r>
        <w:rPr>
          <w:lang w:val="en-GB"/>
        </w:rPr>
        <w:t>However, in order to fully implement this provision of the Electoral Code, the Central Election Commission must, within six months from the entry into force of the Electoral Code, bring its legal acts in line with it, particularly by developing a procedure for changing the voting address, as well as inform the public about this new opportunity to exercise one’s right to vote.</w:t>
      </w:r>
      <w:proofErr w:type="gramEnd"/>
      <w:r>
        <w:rPr>
          <w:lang w:val="en-GB"/>
        </w:rPr>
        <w:t xml:space="preserve"> The next local elections in Ukraine will take place in October 2020, which </w:t>
      </w:r>
      <w:proofErr w:type="gramStart"/>
      <w:r>
        <w:rPr>
          <w:lang w:val="en-GB"/>
        </w:rPr>
        <w:t>doesn’t</w:t>
      </w:r>
      <w:proofErr w:type="gramEnd"/>
      <w:r>
        <w:rPr>
          <w:lang w:val="en-GB"/>
        </w:rPr>
        <w:t xml:space="preserve"> leave much time for adopting the new procedure, informing voters and effecting the change of IDPs' voting addresses, which is likely to cause problems for a lot of voters when they try to exercise their voting rights at the new place of residence.</w:t>
      </w:r>
    </w:p>
    <w:p w14:paraId="42CFEEA8" w14:textId="77777777" w:rsidR="008E3F16" w:rsidRDefault="008E3F16">
      <w:pPr>
        <w:jc w:val="both"/>
        <w:rPr>
          <w:lang w:val="en-GB"/>
        </w:rPr>
      </w:pPr>
    </w:p>
    <w:p w14:paraId="3E0389D5" w14:textId="77777777" w:rsidR="008E3F16" w:rsidRDefault="00F95A32">
      <w:pPr>
        <w:jc w:val="both"/>
        <w:rPr>
          <w:lang w:val="en-GB"/>
        </w:rPr>
      </w:pPr>
      <w:r>
        <w:rPr>
          <w:lang w:val="en-GB"/>
        </w:rPr>
        <w:lastRenderedPageBreak/>
        <w:t>5. According to a new survey conducted by the IOM</w:t>
      </w:r>
      <w:r>
        <w:rPr>
          <w:vertAlign w:val="superscript"/>
          <w:lang w:val="en-GB"/>
        </w:rPr>
        <w:footnoteReference w:id="8"/>
      </w:r>
      <w:r>
        <w:rPr>
          <w:lang w:val="en-GB"/>
        </w:rPr>
        <w:t>, the share of IDPs who reported that they were integrated into their community was 51%</w:t>
      </w:r>
      <w:proofErr w:type="gramStart"/>
      <w:r>
        <w:rPr>
          <w:lang w:val="en-GB"/>
        </w:rPr>
        <w:t>,</w:t>
      </w:r>
      <w:proofErr w:type="gramEnd"/>
      <w:r>
        <w:rPr>
          <w:lang w:val="en-GB"/>
        </w:rPr>
        <w:t xml:space="preserve"> another 40% of IDPs said they were partially integrated. The main criteria of successful integration given by IDPs included housing (88%), steady income (75%) and employment (51%). At the same time, 6% of IDPs complained of discrimination or unfair treatment </w:t>
      </w:r>
      <w:proofErr w:type="gramStart"/>
      <w:r>
        <w:rPr>
          <w:lang w:val="en-GB"/>
        </w:rPr>
        <w:t>on account</w:t>
      </w:r>
      <w:proofErr w:type="gramEnd"/>
      <w:r>
        <w:rPr>
          <w:lang w:val="en-GB"/>
        </w:rPr>
        <w:t xml:space="preserve"> of their IDP status. This sentiment mainly concerned such areas as healthcare (37%), employment (31%), housing (30%) and relations with the local population (25%).</w:t>
      </w:r>
    </w:p>
    <w:p w14:paraId="24B8CA0D" w14:textId="77777777" w:rsidR="008E3F16" w:rsidRDefault="008E3F16">
      <w:pPr>
        <w:rPr>
          <w:b/>
          <w:lang w:val="en-GB"/>
        </w:rPr>
      </w:pPr>
    </w:p>
    <w:tbl>
      <w:tblPr>
        <w:tblStyle w:val="StGen2"/>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8E3F16" w14:paraId="167C8498" w14:textId="77777777">
        <w:tc>
          <w:tcPr>
            <w:tcW w:w="9029" w:type="dxa"/>
            <w:shd w:val="clear" w:color="auto" w:fill="C9DAF8"/>
            <w:tcMar>
              <w:top w:w="100" w:type="dxa"/>
              <w:left w:w="100" w:type="dxa"/>
              <w:bottom w:w="100" w:type="dxa"/>
              <w:right w:w="100" w:type="dxa"/>
            </w:tcMar>
          </w:tcPr>
          <w:p w14:paraId="602C1708" w14:textId="77777777" w:rsidR="008E3F16" w:rsidRDefault="00F95A32">
            <w:pPr>
              <w:widowControl w:val="0"/>
              <w:pBdr>
                <w:top w:val="none" w:sz="0" w:space="0" w:color="000000"/>
                <w:left w:val="none" w:sz="0" w:space="0" w:color="000000"/>
                <w:bottom w:val="none" w:sz="0" w:space="0" w:color="000000"/>
                <w:right w:val="none" w:sz="0" w:space="0" w:color="000000"/>
                <w:between w:val="none" w:sz="0" w:space="0" w:color="000000"/>
              </w:pBdr>
              <w:spacing w:line="240" w:lineRule="auto"/>
              <w:jc w:val="center"/>
              <w:rPr>
                <w:b/>
                <w:lang w:val="en-GB"/>
              </w:rPr>
            </w:pPr>
            <w:r>
              <w:rPr>
                <w:b/>
                <w:lang w:val="en-GB"/>
              </w:rPr>
              <w:t>Internally displaced persons</w:t>
            </w:r>
          </w:p>
        </w:tc>
      </w:tr>
    </w:tbl>
    <w:p w14:paraId="41F78A45" w14:textId="77777777" w:rsidR="008E3F16" w:rsidRDefault="008E3F16">
      <w:pPr>
        <w:rPr>
          <w:b/>
          <w:lang w:val="en-GB"/>
        </w:rPr>
      </w:pPr>
    </w:p>
    <w:p w14:paraId="508044BE" w14:textId="07FBD6FE" w:rsidR="008E3F16" w:rsidRDefault="00667993">
      <w:pPr>
        <w:rPr>
          <w:b/>
          <w:lang w:val="en-GB"/>
        </w:rPr>
      </w:pPr>
      <w:r>
        <w:rPr>
          <w:b/>
          <w:lang w:val="en-GB"/>
        </w:rPr>
        <w:t xml:space="preserve">Regarding </w:t>
      </w:r>
      <w:r w:rsidR="00F95A32">
        <w:rPr>
          <w:b/>
          <w:lang w:val="en-GB"/>
        </w:rPr>
        <w:t xml:space="preserve">paragraph 2 </w:t>
      </w:r>
    </w:p>
    <w:p w14:paraId="63DA1865" w14:textId="77777777" w:rsidR="008E3F16" w:rsidRDefault="008E3F16">
      <w:pPr>
        <w:jc w:val="both"/>
        <w:rPr>
          <w:b/>
          <w:lang w:val="en-GB"/>
        </w:rPr>
      </w:pPr>
    </w:p>
    <w:p w14:paraId="40E6BFB2" w14:textId="637383D8" w:rsidR="008E3F16" w:rsidRDefault="00F95A32">
      <w:pPr>
        <w:jc w:val="both"/>
        <w:rPr>
          <w:lang w:val="en-GB"/>
        </w:rPr>
      </w:pPr>
      <w:r>
        <w:rPr>
          <w:lang w:val="en-GB"/>
        </w:rPr>
        <w:t xml:space="preserve">6. In November 2017, the Government adopted the </w:t>
      </w:r>
      <w:r w:rsidR="00F85E2F" w:rsidRPr="00F85E2F">
        <w:rPr>
          <w:i/>
          <w:lang w:val="en-GB"/>
        </w:rPr>
        <w:t xml:space="preserve">IDP Integration and Durable Solutions Strategy </w:t>
      </w:r>
      <w:r w:rsidRPr="00C95FBA">
        <w:rPr>
          <w:i/>
          <w:lang w:val="en-GB"/>
        </w:rPr>
        <w:t>2020</w:t>
      </w:r>
      <w:r>
        <w:rPr>
          <w:vertAlign w:val="superscript"/>
          <w:lang w:val="en-GB"/>
        </w:rPr>
        <w:footnoteReference w:id="9"/>
      </w:r>
      <w:r>
        <w:rPr>
          <w:lang w:val="en-GB"/>
        </w:rPr>
        <w:t xml:space="preserve"> aimed at addressing issues related to the internal displacement of Ukrainian citizens and its effects, including the issues concerning host communities, creation of effective state administration instruments, as well as satisfaction of the urgent and long-term needs of IDPs. However, the Strategy lacks a clear </w:t>
      </w:r>
      <w:proofErr w:type="gramStart"/>
      <w:r>
        <w:rPr>
          <w:lang w:val="en-GB"/>
        </w:rPr>
        <w:t>time frame</w:t>
      </w:r>
      <w:proofErr w:type="gramEnd"/>
      <w:r>
        <w:rPr>
          <w:lang w:val="en-GB"/>
        </w:rPr>
        <w:t xml:space="preserve"> and performance indicators. The chosen strategic areas (ensuring property rights; strengthening IDPs’ capacity to provide for themselves and enjoy medical and educational services; supporting host communities) </w:t>
      </w:r>
      <w:proofErr w:type="gramStart"/>
      <w:r>
        <w:rPr>
          <w:lang w:val="en-GB"/>
        </w:rPr>
        <w:t>are mainly focused</w:t>
      </w:r>
      <w:proofErr w:type="gramEnd"/>
      <w:r>
        <w:rPr>
          <w:lang w:val="en-GB"/>
        </w:rPr>
        <w:t xml:space="preserve"> on small-scale activities rather than strategic goals. The Strategy emphasizes that internal displacement does not involve a change of status and that the search for long-term solutions is a priority for the Government. However, this remains an empty claim. Some issues found no reflection in the Strategy. Thus, the Strategy focuses on the issue of integration as a long-term solution, although the right of return </w:t>
      </w:r>
      <w:proofErr w:type="gramStart"/>
      <w:r>
        <w:rPr>
          <w:lang w:val="en-GB"/>
        </w:rPr>
        <w:t>is also mentioned</w:t>
      </w:r>
      <w:proofErr w:type="gramEnd"/>
      <w:r>
        <w:rPr>
          <w:lang w:val="en-GB"/>
        </w:rPr>
        <w:t xml:space="preserve">. The Strategy has no mention of the issues of non-discrimination, identification and documents confirming legal status. Also absent were the issues of pensions for TOT residents (even though many of them </w:t>
      </w:r>
      <w:proofErr w:type="gramStart"/>
      <w:r>
        <w:rPr>
          <w:lang w:val="en-GB"/>
        </w:rPr>
        <w:t>are registered</w:t>
      </w:r>
      <w:proofErr w:type="gramEnd"/>
      <w:r>
        <w:rPr>
          <w:lang w:val="en-GB"/>
        </w:rPr>
        <w:t xml:space="preserve"> as IDPs), freedom of movement and protection of IDPs with special needs.</w:t>
      </w:r>
    </w:p>
    <w:p w14:paraId="26B4555E" w14:textId="77777777" w:rsidR="008E3F16" w:rsidRDefault="008E3F16">
      <w:pPr>
        <w:jc w:val="both"/>
        <w:rPr>
          <w:lang w:val="en-GB"/>
        </w:rPr>
      </w:pPr>
    </w:p>
    <w:p w14:paraId="6F3BB09E" w14:textId="77777777" w:rsidR="008E3F16" w:rsidRDefault="00F95A32">
      <w:pPr>
        <w:jc w:val="both"/>
        <w:rPr>
          <w:lang w:val="en-GB"/>
        </w:rPr>
      </w:pPr>
      <w:r>
        <w:rPr>
          <w:lang w:val="en-GB"/>
        </w:rPr>
        <w:t xml:space="preserve">7. The Action Plan on the implementation of the Strategy </w:t>
      </w:r>
      <w:proofErr w:type="gramStart"/>
      <w:r>
        <w:rPr>
          <w:lang w:val="en-GB"/>
        </w:rPr>
        <w:t>was only adopted</w:t>
      </w:r>
      <w:proofErr w:type="gramEnd"/>
      <w:r>
        <w:rPr>
          <w:lang w:val="en-GB"/>
        </w:rPr>
        <w:t xml:space="preserve"> in November 2018</w:t>
      </w:r>
      <w:r>
        <w:rPr>
          <w:vertAlign w:val="superscript"/>
          <w:lang w:val="en-GB"/>
        </w:rPr>
        <w:footnoteReference w:id="10"/>
      </w:r>
      <w:r>
        <w:rPr>
          <w:lang w:val="en-GB"/>
        </w:rPr>
        <w:t xml:space="preserve">. Between 2018 and 2020, the state budget provided no separate funding for it, so the Plan had to </w:t>
      </w:r>
      <w:proofErr w:type="gramStart"/>
      <w:r>
        <w:rPr>
          <w:lang w:val="en-GB"/>
        </w:rPr>
        <w:t>be implemented</w:t>
      </w:r>
      <w:proofErr w:type="gramEnd"/>
      <w:r>
        <w:rPr>
          <w:lang w:val="en-GB"/>
        </w:rPr>
        <w:t xml:space="preserve"> at the ministries’ expense. In addition, with the way the Action Plan </w:t>
      </w:r>
      <w:proofErr w:type="gramStart"/>
      <w:r>
        <w:rPr>
          <w:lang w:val="en-GB"/>
        </w:rPr>
        <w:t>was designed</w:t>
      </w:r>
      <w:proofErr w:type="gramEnd"/>
      <w:r>
        <w:rPr>
          <w:lang w:val="en-GB"/>
        </w:rPr>
        <w:t>, even its proper implementation would have been insufficient to address the main problems faced by IDPs, namely those associated with housing, pensions and social benefits, employment and healthcare.</w:t>
      </w:r>
    </w:p>
    <w:p w14:paraId="1C06BBE7" w14:textId="77777777" w:rsidR="008E3F16" w:rsidRDefault="008E3F16">
      <w:pPr>
        <w:jc w:val="both"/>
        <w:rPr>
          <w:lang w:val="en-GB"/>
        </w:rPr>
      </w:pPr>
    </w:p>
    <w:p w14:paraId="496360B0" w14:textId="6195F0CD" w:rsidR="008E3F16" w:rsidRDefault="00667993">
      <w:pPr>
        <w:rPr>
          <w:b/>
          <w:lang w:val="en-GB"/>
        </w:rPr>
      </w:pPr>
      <w:r>
        <w:rPr>
          <w:b/>
          <w:lang w:val="en-GB"/>
        </w:rPr>
        <w:t xml:space="preserve">Regarding </w:t>
      </w:r>
      <w:r w:rsidR="00F95A32">
        <w:rPr>
          <w:b/>
          <w:lang w:val="en-GB"/>
        </w:rPr>
        <w:t>paragraph 2 (а)</w:t>
      </w:r>
    </w:p>
    <w:p w14:paraId="04811CA1" w14:textId="77777777" w:rsidR="008E3F16" w:rsidRDefault="008E3F16">
      <w:pPr>
        <w:jc w:val="both"/>
        <w:rPr>
          <w:lang w:val="en-GB"/>
        </w:rPr>
      </w:pPr>
    </w:p>
    <w:p w14:paraId="6833F40C" w14:textId="77777777" w:rsidR="008E3F16" w:rsidRDefault="00F95A32">
      <w:pPr>
        <w:jc w:val="both"/>
        <w:rPr>
          <w:highlight w:val="white"/>
          <w:lang w:val="en-GB"/>
        </w:rPr>
      </w:pPr>
      <w:r>
        <w:rPr>
          <w:lang w:val="en-GB"/>
        </w:rPr>
        <w:t>8. In 2015, the Law on Employment of the Population</w:t>
      </w:r>
      <w:r>
        <w:rPr>
          <w:highlight w:val="white"/>
          <w:vertAlign w:val="superscript"/>
          <w:lang w:val="en-GB"/>
        </w:rPr>
        <w:footnoteReference w:id="11"/>
      </w:r>
      <w:r>
        <w:rPr>
          <w:lang w:val="en-GB"/>
        </w:rPr>
        <w:t xml:space="preserve"> </w:t>
      </w:r>
      <w:proofErr w:type="gramStart"/>
      <w:r>
        <w:rPr>
          <w:lang w:val="en-GB"/>
        </w:rPr>
        <w:t>was amended</w:t>
      </w:r>
      <w:proofErr w:type="gramEnd"/>
      <w:r>
        <w:rPr>
          <w:lang w:val="en-GB"/>
        </w:rPr>
        <w:t xml:space="preserve"> to include measures aimed at improving the IDPs’ employment situation, in particular:</w:t>
      </w:r>
    </w:p>
    <w:p w14:paraId="592F1C31" w14:textId="5043C190" w:rsidR="008E3F16" w:rsidRDefault="00F95A32">
      <w:pPr>
        <w:ind w:firstLine="720"/>
        <w:jc w:val="both"/>
        <w:rPr>
          <w:highlight w:val="white"/>
          <w:lang w:val="en-GB"/>
        </w:rPr>
      </w:pPr>
      <w:r>
        <w:rPr>
          <w:highlight w:val="white"/>
          <w:lang w:val="en-GB"/>
        </w:rPr>
        <w:lastRenderedPageBreak/>
        <w:t xml:space="preserve">а) </w:t>
      </w:r>
      <w:proofErr w:type="gramStart"/>
      <w:r>
        <w:rPr>
          <w:lang w:val="en-GB"/>
        </w:rPr>
        <w:t>reimbursement</w:t>
      </w:r>
      <w:proofErr w:type="gramEnd"/>
      <w:r>
        <w:rPr>
          <w:lang w:val="en-GB"/>
        </w:rPr>
        <w:t xml:space="preserve"> of expenses associated with moving for a job for registered unemployed IDPs (if the place of work </w:t>
      </w:r>
      <w:r w:rsidR="00FF02A2">
        <w:rPr>
          <w:lang w:val="en-GB"/>
        </w:rPr>
        <w:t>is in</w:t>
      </w:r>
      <w:r>
        <w:rPr>
          <w:lang w:val="en-GB"/>
        </w:rPr>
        <w:t xml:space="preserve"> another city), as well as certain types of medical examinations if required by the hiring procedure;</w:t>
      </w:r>
    </w:p>
    <w:p w14:paraId="7F59632E" w14:textId="77777777" w:rsidR="008E3F16" w:rsidRDefault="00F95A32">
      <w:pPr>
        <w:ind w:firstLine="720"/>
        <w:jc w:val="both"/>
        <w:rPr>
          <w:lang w:val="en-GB"/>
        </w:rPr>
      </w:pPr>
      <w:r>
        <w:rPr>
          <w:highlight w:val="white"/>
          <w:lang w:val="en-GB"/>
        </w:rPr>
        <w:t xml:space="preserve">b) </w:t>
      </w:r>
      <w:proofErr w:type="gramStart"/>
      <w:r>
        <w:rPr>
          <w:lang w:val="en-GB"/>
        </w:rPr>
        <w:t>reimbursement</w:t>
      </w:r>
      <w:proofErr w:type="gramEnd"/>
      <w:r>
        <w:rPr>
          <w:lang w:val="en-GB"/>
        </w:rPr>
        <w:t xml:space="preserve"> of employers’ cost of paying wages (no higher than average wage) to registered unemployed IDPs (for 6 months after hiring);</w:t>
      </w:r>
    </w:p>
    <w:p w14:paraId="233EE4AF" w14:textId="1A8BB853" w:rsidR="008E3F16" w:rsidRDefault="00F95A32">
      <w:pPr>
        <w:ind w:firstLine="720"/>
        <w:jc w:val="both"/>
        <w:rPr>
          <w:lang w:val="en-GB"/>
        </w:rPr>
      </w:pPr>
      <w:r>
        <w:rPr>
          <w:lang w:val="en-GB"/>
        </w:rPr>
        <w:t xml:space="preserve">с) </w:t>
      </w:r>
      <w:proofErr w:type="gramStart"/>
      <w:r>
        <w:rPr>
          <w:lang w:val="en-GB"/>
        </w:rPr>
        <w:t>for</w:t>
      </w:r>
      <w:proofErr w:type="gramEnd"/>
      <w:r>
        <w:rPr>
          <w:lang w:val="en-GB"/>
        </w:rPr>
        <w:t xml:space="preserve"> employers that hire registered unemployed IDPs for at least twelve months,</w:t>
      </w:r>
      <w:r w:rsidR="00FF02A2">
        <w:rPr>
          <w:lang w:val="en-GB"/>
        </w:rPr>
        <w:t xml:space="preserve"> </w:t>
      </w:r>
      <w:r w:rsidR="00F85E2F">
        <w:rPr>
          <w:lang w:val="en-GB"/>
        </w:rPr>
        <w:t>reimbursement</w:t>
      </w:r>
      <w:r>
        <w:rPr>
          <w:lang w:val="en-GB"/>
        </w:rPr>
        <w:t xml:space="preserve"> of expenses associated with the retraining and professional advancement courses of the new employees.</w:t>
      </w:r>
    </w:p>
    <w:p w14:paraId="3ED7C28D" w14:textId="77777777" w:rsidR="008E3F16" w:rsidRDefault="008E3F16">
      <w:pPr>
        <w:jc w:val="both"/>
        <w:rPr>
          <w:lang w:val="en-GB"/>
        </w:rPr>
      </w:pPr>
    </w:p>
    <w:p w14:paraId="764F5ECE" w14:textId="77777777" w:rsidR="008E3F16" w:rsidRDefault="00F95A32">
      <w:pPr>
        <w:jc w:val="both"/>
        <w:rPr>
          <w:lang w:val="en-GB"/>
        </w:rPr>
      </w:pPr>
      <w:r>
        <w:rPr>
          <w:lang w:val="en-GB"/>
        </w:rPr>
        <w:t xml:space="preserve">9. As part of the above measures, between 2015 and 3 quarters of 2018, the Government spent UAH 72.5 million to support IDP employment. Most of the funding was spent in Donetsk, </w:t>
      </w:r>
      <w:proofErr w:type="spellStart"/>
      <w:r>
        <w:rPr>
          <w:lang w:val="en-GB"/>
        </w:rPr>
        <w:t>Kharkiv</w:t>
      </w:r>
      <w:proofErr w:type="spellEnd"/>
      <w:r>
        <w:rPr>
          <w:lang w:val="en-GB"/>
        </w:rPr>
        <w:t xml:space="preserve">, Luhansk, Dnipropetrovsk and Kyiv </w:t>
      </w:r>
      <w:proofErr w:type="gramStart"/>
      <w:r>
        <w:rPr>
          <w:lang w:val="en-GB"/>
        </w:rPr>
        <w:t>oblasts</w:t>
      </w:r>
      <w:proofErr w:type="gramEnd"/>
      <w:r>
        <w:rPr>
          <w:lang w:val="en-GB"/>
        </w:rPr>
        <w:t xml:space="preserve"> as they are leaders in the employment of IDPs. All other oblasts received less than 3% of the funds. Almost all payments provided by employment centres concerned reimbursement of employers’ expenses for hiring IDPs. The number of applications for other types of support was insignificant</w:t>
      </w:r>
      <w:r>
        <w:rPr>
          <w:vertAlign w:val="superscript"/>
          <w:lang w:val="en-GB"/>
        </w:rPr>
        <w:footnoteReference w:id="12"/>
      </w:r>
      <w:r>
        <w:rPr>
          <w:lang w:val="en-GB"/>
        </w:rPr>
        <w:t>.</w:t>
      </w:r>
    </w:p>
    <w:p w14:paraId="1AE36CFD" w14:textId="77777777" w:rsidR="008E3F16" w:rsidRDefault="008E3F16">
      <w:pPr>
        <w:jc w:val="both"/>
        <w:rPr>
          <w:lang w:val="en-GB"/>
        </w:rPr>
      </w:pPr>
    </w:p>
    <w:p w14:paraId="21D8D890" w14:textId="77777777" w:rsidR="008E3F16" w:rsidRDefault="00F95A32">
      <w:pPr>
        <w:jc w:val="both"/>
        <w:rPr>
          <w:lang w:val="en-GB"/>
        </w:rPr>
      </w:pPr>
      <w:r>
        <w:rPr>
          <w:lang w:val="en-GB"/>
        </w:rPr>
        <w:t xml:space="preserve">10. The total number of registered unemployed IDPs is 69,537. Of these, 23,735 </w:t>
      </w:r>
      <w:proofErr w:type="gramStart"/>
      <w:r>
        <w:rPr>
          <w:lang w:val="en-GB"/>
        </w:rPr>
        <w:t>have been employed</w:t>
      </w:r>
      <w:proofErr w:type="gramEnd"/>
      <w:r>
        <w:rPr>
          <w:lang w:val="en-GB"/>
        </w:rPr>
        <w:t xml:space="preserve">, with 3,324 IDPs - through reimbursement of employers’ cost of paying wages. At the same time, the number of IDPs that turned to employment </w:t>
      </w:r>
      <w:proofErr w:type="spellStart"/>
      <w:r>
        <w:rPr>
          <w:lang w:val="en-GB"/>
        </w:rPr>
        <w:t>centrers</w:t>
      </w:r>
      <w:proofErr w:type="spellEnd"/>
      <w:r>
        <w:rPr>
          <w:lang w:val="en-GB"/>
        </w:rPr>
        <w:t xml:space="preserve"> in their job search was insignificant compared to their total numbers - 1.21% for the 5 oblasts with the largest concentration of them; 2.84% for the rest of the oblasts, putting this figure  at 1.6% overall</w:t>
      </w:r>
      <w:r>
        <w:rPr>
          <w:vertAlign w:val="superscript"/>
          <w:lang w:val="en-GB"/>
        </w:rPr>
        <w:footnoteReference w:id="13"/>
      </w:r>
      <w:r>
        <w:rPr>
          <w:lang w:val="en-GB"/>
        </w:rPr>
        <w:t>.</w:t>
      </w:r>
    </w:p>
    <w:p w14:paraId="646BC5CE" w14:textId="77777777" w:rsidR="008E3F16" w:rsidRDefault="008E3F16">
      <w:pPr>
        <w:jc w:val="both"/>
        <w:rPr>
          <w:lang w:val="en-GB"/>
        </w:rPr>
      </w:pPr>
    </w:p>
    <w:p w14:paraId="1590604E" w14:textId="75128083" w:rsidR="008E3F16" w:rsidRDefault="00F95A32">
      <w:pPr>
        <w:jc w:val="both"/>
        <w:rPr>
          <w:lang w:val="en-GB"/>
        </w:rPr>
      </w:pPr>
      <w:r>
        <w:rPr>
          <w:lang w:val="en-GB"/>
        </w:rPr>
        <w:t xml:space="preserve">11. The reasons for such a low number of IDPs that have benefited from state support with employment is insufficient effort put into informing IDPs and employers about these opportunities. </w:t>
      </w:r>
      <w:proofErr w:type="gramStart"/>
      <w:r>
        <w:rPr>
          <w:lang w:val="en-GB"/>
        </w:rPr>
        <w:t>There’s</w:t>
      </w:r>
      <w:proofErr w:type="gramEnd"/>
      <w:r>
        <w:rPr>
          <w:lang w:val="en-GB"/>
        </w:rPr>
        <w:t xml:space="preserve"> also the issue of the low number of job</w:t>
      </w:r>
      <w:r w:rsidR="00FF02A2">
        <w:rPr>
          <w:lang w:val="en-GB"/>
        </w:rPr>
        <w:t>-</w:t>
      </w:r>
      <w:r>
        <w:rPr>
          <w:lang w:val="en-GB"/>
        </w:rPr>
        <w:t xml:space="preserve">offers and the fact that many of them do not meet the needs of the candidates. </w:t>
      </w:r>
      <w:r w:rsidR="00FF02A2">
        <w:rPr>
          <w:lang w:val="en-GB"/>
        </w:rPr>
        <w:t>Overall,</w:t>
      </w:r>
      <w:r>
        <w:rPr>
          <w:lang w:val="en-GB"/>
        </w:rPr>
        <w:t xml:space="preserve"> we can conclude that the measures taken by the State are insufficient since the key challenges (lack of positions that match peoples’ qualifications, the need to change specialization, etc.) </w:t>
      </w:r>
      <w:proofErr w:type="gramStart"/>
      <w:r>
        <w:rPr>
          <w:lang w:val="en-GB"/>
        </w:rPr>
        <w:t>are not covered</w:t>
      </w:r>
      <w:proofErr w:type="gramEnd"/>
      <w:r>
        <w:rPr>
          <w:lang w:val="en-GB"/>
        </w:rPr>
        <w:t xml:space="preserve"> by these measures.</w:t>
      </w:r>
    </w:p>
    <w:p w14:paraId="5ECB5C76" w14:textId="77777777" w:rsidR="008E3F16" w:rsidRDefault="008E3F16">
      <w:pPr>
        <w:jc w:val="both"/>
        <w:rPr>
          <w:lang w:val="en-GB"/>
        </w:rPr>
      </w:pPr>
    </w:p>
    <w:p w14:paraId="3AA709B0" w14:textId="61D90CCF" w:rsidR="008E3F16" w:rsidRDefault="00667993">
      <w:pPr>
        <w:rPr>
          <w:lang w:val="en-GB"/>
        </w:rPr>
      </w:pPr>
      <w:r>
        <w:rPr>
          <w:b/>
          <w:lang w:val="en-GB"/>
        </w:rPr>
        <w:t xml:space="preserve">Regarding </w:t>
      </w:r>
      <w:r w:rsidR="00F95A32">
        <w:rPr>
          <w:b/>
          <w:lang w:val="en-GB"/>
        </w:rPr>
        <w:t>paragraph 2 (b)</w:t>
      </w:r>
    </w:p>
    <w:p w14:paraId="352B7137" w14:textId="77777777" w:rsidR="008E3F16" w:rsidRDefault="008E3F16">
      <w:pPr>
        <w:jc w:val="both"/>
        <w:rPr>
          <w:lang w:val="en-GB"/>
        </w:rPr>
      </w:pPr>
    </w:p>
    <w:p w14:paraId="5EA3215F" w14:textId="5ECD5EB4" w:rsidR="008E3F16" w:rsidRDefault="00F95A32">
      <w:pPr>
        <w:jc w:val="both"/>
        <w:rPr>
          <w:lang w:val="en-GB"/>
        </w:rPr>
      </w:pPr>
      <w:r>
        <w:rPr>
          <w:lang w:val="en-GB"/>
        </w:rPr>
        <w:t>12. In June 2016, the CMU adopted Resolution 365</w:t>
      </w:r>
      <w:r>
        <w:rPr>
          <w:vertAlign w:val="superscript"/>
          <w:lang w:val="en-GB"/>
        </w:rPr>
        <w:footnoteReference w:id="14"/>
      </w:r>
      <w:r>
        <w:rPr>
          <w:lang w:val="en-GB"/>
        </w:rPr>
        <w:t xml:space="preserve">, approving two procedures that govern the </w:t>
      </w:r>
      <w:r w:rsidR="00977B7D">
        <w:rPr>
          <w:lang w:val="en-GB"/>
        </w:rPr>
        <w:t>assignment</w:t>
      </w:r>
      <w:r>
        <w:rPr>
          <w:lang w:val="en-GB"/>
        </w:rPr>
        <w:t xml:space="preserve">, resumption and suspension of social and pension benefits for IDPs. </w:t>
      </w:r>
      <w:proofErr w:type="gramStart"/>
      <w:r>
        <w:rPr>
          <w:lang w:val="en-GB"/>
        </w:rPr>
        <w:t>The procedures provided for periodic inspections at the IDPs’ actual place of residence, their duty to inform DLSP bodies about a change of residence within ten days, additional inspections following information provided by the Security Service of Ukraine, Ministry of Finance and SBGSU, as well as general and special conditions for the suspension and resumption of benefits (thus, if an IDP certificate gets invalidated, it takes 6 months to resume payments).</w:t>
      </w:r>
      <w:proofErr w:type="gramEnd"/>
    </w:p>
    <w:p w14:paraId="582278C9" w14:textId="77777777" w:rsidR="008E3F16" w:rsidRDefault="008E3F16">
      <w:pPr>
        <w:jc w:val="both"/>
        <w:rPr>
          <w:lang w:val="en-GB"/>
        </w:rPr>
      </w:pPr>
    </w:p>
    <w:p w14:paraId="3D809A60" w14:textId="07B702C0" w:rsidR="008E3F16" w:rsidRDefault="00F95A32">
      <w:pPr>
        <w:jc w:val="both"/>
        <w:rPr>
          <w:lang w:val="en-GB"/>
        </w:rPr>
      </w:pPr>
      <w:r>
        <w:rPr>
          <w:lang w:val="en-GB"/>
        </w:rPr>
        <w:t xml:space="preserve">13. This Resolution resulted in widespread suspension of IDPs’ social benefits and pensions, which in turn led to numerous lawsuits. The courts repeatedly stressed in their rulings that the existing regulation system for social and pension payments for IDPs is not in line with Ukrainian law as well as the international treaties that Ukraine is party to. On May 3, 2018, in </w:t>
      </w:r>
      <w:r>
        <w:rPr>
          <w:lang w:val="en-GB"/>
        </w:rPr>
        <w:lastRenderedPageBreak/>
        <w:t>its model case no. 805/402/18</w:t>
      </w:r>
      <w:r>
        <w:rPr>
          <w:vertAlign w:val="superscript"/>
          <w:lang w:val="en-GB"/>
        </w:rPr>
        <w:footnoteReference w:id="15"/>
      </w:r>
      <w:r>
        <w:rPr>
          <w:lang w:val="en-GB"/>
        </w:rPr>
        <w:t>, the Supreme Court of Ukraine declared application of the provisions of Resolution 365 for suspending IDPs’ pensions and social benefits unlawful. In addition, on July 4, 2018, the ruling of the Kyiv Administrative Court of Appeals in the case no. 826/12123/16</w:t>
      </w:r>
      <w:r>
        <w:rPr>
          <w:vertAlign w:val="superscript"/>
          <w:lang w:val="en-GB"/>
        </w:rPr>
        <w:footnoteReference w:id="16"/>
      </w:r>
      <w:r>
        <w:rPr>
          <w:lang w:val="en-GB"/>
        </w:rPr>
        <w:t xml:space="preserve"> came into force that abolished certain provisions of resolutions 365 and 637</w:t>
      </w:r>
      <w:r>
        <w:rPr>
          <w:vertAlign w:val="superscript"/>
          <w:lang w:val="en-GB"/>
        </w:rPr>
        <w:footnoteReference w:id="17"/>
      </w:r>
      <w:r>
        <w:rPr>
          <w:lang w:val="en-GB"/>
        </w:rPr>
        <w:t xml:space="preserve"> on inspections at the IDPs’ actual place of residence/stay as a prerequisite for receiving social benefits as discriminating and unconstitutional. However, even though these provisions </w:t>
      </w:r>
      <w:proofErr w:type="gramStart"/>
      <w:r>
        <w:rPr>
          <w:lang w:val="en-GB"/>
        </w:rPr>
        <w:t>have been abolished</w:t>
      </w:r>
      <w:proofErr w:type="gramEnd"/>
      <w:r>
        <w:rPr>
          <w:lang w:val="en-GB"/>
        </w:rPr>
        <w:t>, the practice of such inspections continues to this day. Moreover, the current text of Resolution 365 states that social benefits are granted or resumed on the basis of a report on examination of a family's living conditions, which is only prepared on the basis of an inspection at the place of residence.</w:t>
      </w:r>
    </w:p>
    <w:p w14:paraId="03DDEE2C" w14:textId="77777777" w:rsidR="008E3F16" w:rsidRDefault="008E3F16">
      <w:pPr>
        <w:jc w:val="both"/>
        <w:rPr>
          <w:lang w:val="en-GB"/>
        </w:rPr>
      </w:pPr>
    </w:p>
    <w:p w14:paraId="7406D1CB" w14:textId="12F12DAF" w:rsidR="008E3F16" w:rsidRDefault="00F95A32">
      <w:pPr>
        <w:jc w:val="both"/>
        <w:rPr>
          <w:lang w:val="en-GB"/>
        </w:rPr>
      </w:pPr>
      <w:r>
        <w:rPr>
          <w:lang w:val="en-GB"/>
        </w:rPr>
        <w:t>14. In April 2018, the CMU passed amendments to Resolution 365</w:t>
      </w:r>
      <w:r>
        <w:rPr>
          <w:vertAlign w:val="superscript"/>
          <w:lang w:val="en-GB"/>
        </w:rPr>
        <w:footnoteReference w:id="18"/>
      </w:r>
      <w:r>
        <w:rPr>
          <w:lang w:val="en-GB"/>
        </w:rPr>
        <w:t xml:space="preserve">, according to which there must be a special procedure for the payment of pensions resumed after suspension. This procedure </w:t>
      </w:r>
      <w:proofErr w:type="gramStart"/>
      <w:r>
        <w:rPr>
          <w:lang w:val="en-GB"/>
        </w:rPr>
        <w:t xml:space="preserve">has not been </w:t>
      </w:r>
      <w:r w:rsidR="0049294A">
        <w:rPr>
          <w:lang w:val="en-US"/>
        </w:rPr>
        <w:t>elaborated</w:t>
      </w:r>
      <w:proofErr w:type="gramEnd"/>
      <w:r w:rsidR="0049294A">
        <w:rPr>
          <w:lang w:val="en-GB"/>
        </w:rPr>
        <w:t xml:space="preserve"> </w:t>
      </w:r>
      <w:r>
        <w:rPr>
          <w:lang w:val="en-GB"/>
        </w:rPr>
        <w:t>as of 20 January 2020, so IDPs are not receiving the debts accumulated on their pensions.</w:t>
      </w:r>
    </w:p>
    <w:p w14:paraId="78F6BCAF" w14:textId="77777777" w:rsidR="008E3F16" w:rsidRDefault="008E3F16">
      <w:pPr>
        <w:jc w:val="both"/>
        <w:rPr>
          <w:lang w:val="en-GB"/>
        </w:rPr>
      </w:pPr>
    </w:p>
    <w:p w14:paraId="2CB17F1C" w14:textId="49725350" w:rsidR="008E3F16" w:rsidRDefault="00F95A32">
      <w:pPr>
        <w:jc w:val="both"/>
        <w:rPr>
          <w:lang w:val="en-GB"/>
        </w:rPr>
      </w:pPr>
      <w:r>
        <w:rPr>
          <w:lang w:val="en-GB"/>
        </w:rPr>
        <w:t xml:space="preserve">15. Numerous additional mechanisms for controlling payments for IDPs are forcing people to </w:t>
      </w:r>
      <w:r w:rsidR="0049294A">
        <w:rPr>
          <w:lang w:val="en-US"/>
        </w:rPr>
        <w:t>refute</w:t>
      </w:r>
      <w:r w:rsidR="0049294A">
        <w:rPr>
          <w:lang w:val="en-GB"/>
        </w:rPr>
        <w:t xml:space="preserve"> </w:t>
      </w:r>
      <w:r>
        <w:rPr>
          <w:lang w:val="en-GB"/>
        </w:rPr>
        <w:t>IDP certificates altogether. This, however, results in the suspension of pensions and social benefits.</w:t>
      </w:r>
    </w:p>
    <w:p w14:paraId="306620A0" w14:textId="77777777" w:rsidR="008E3F16" w:rsidRDefault="008E3F16">
      <w:pPr>
        <w:jc w:val="both"/>
        <w:rPr>
          <w:lang w:val="en-GB"/>
        </w:rPr>
      </w:pPr>
    </w:p>
    <w:p w14:paraId="58FE7097" w14:textId="41F2FB81" w:rsidR="008E3F16" w:rsidRDefault="00F95A32">
      <w:pPr>
        <w:jc w:val="both"/>
        <w:rPr>
          <w:lang w:val="en-GB"/>
        </w:rPr>
      </w:pPr>
      <w:r>
        <w:rPr>
          <w:lang w:val="en-GB"/>
        </w:rPr>
        <w:t xml:space="preserve">16. Of </w:t>
      </w:r>
      <w:r w:rsidR="0049294A">
        <w:rPr>
          <w:lang w:val="en-GB"/>
        </w:rPr>
        <w:t>note</w:t>
      </w:r>
      <w:r w:rsidR="0049294A">
        <w:rPr>
          <w:lang w:val="en-US"/>
        </w:rPr>
        <w:t>,</w:t>
      </w:r>
      <w:r>
        <w:rPr>
          <w:lang w:val="en-GB"/>
        </w:rPr>
        <w:t xml:space="preserve"> </w:t>
      </w:r>
      <w:r w:rsidR="0049294A">
        <w:rPr>
          <w:lang w:val="en-GB"/>
        </w:rPr>
        <w:t>t</w:t>
      </w:r>
      <w:r>
        <w:rPr>
          <w:lang w:val="en-GB"/>
        </w:rPr>
        <w:t>here is the issue of pensions for IDPs from Crimea. The PFU uses a special procedure for granting/resuming pensions for this category of IDPs that de jure governs the issue of pensions for citizens of Ukraine residing in the ARC and Sevastopol</w:t>
      </w:r>
      <w:r>
        <w:rPr>
          <w:vertAlign w:val="superscript"/>
          <w:lang w:val="en-GB"/>
        </w:rPr>
        <w:footnoteReference w:id="19"/>
      </w:r>
      <w:r>
        <w:rPr>
          <w:lang w:val="en-GB"/>
        </w:rPr>
        <w:t>.</w:t>
      </w:r>
    </w:p>
    <w:p w14:paraId="072357BB" w14:textId="77777777" w:rsidR="008E3F16" w:rsidRDefault="008E3F16">
      <w:pPr>
        <w:jc w:val="both"/>
        <w:rPr>
          <w:lang w:val="en-GB"/>
        </w:rPr>
      </w:pPr>
    </w:p>
    <w:p w14:paraId="71E95E4C" w14:textId="21A75CBB" w:rsidR="008E3F16" w:rsidRDefault="00F95A32">
      <w:pPr>
        <w:jc w:val="both"/>
        <w:rPr>
          <w:highlight w:val="yellow"/>
          <w:lang w:val="en-GB"/>
        </w:rPr>
      </w:pPr>
      <w:r>
        <w:rPr>
          <w:lang w:val="en-GB"/>
        </w:rPr>
        <w:t xml:space="preserve">17. In order to resume (grant) pensions to IDPs from Crimea, local PFU bodies in </w:t>
      </w:r>
      <w:r w:rsidR="00957E8C">
        <w:rPr>
          <w:lang w:val="en-GB"/>
        </w:rPr>
        <w:t>GCA</w:t>
      </w:r>
      <w:r>
        <w:rPr>
          <w:lang w:val="en-GB"/>
        </w:rPr>
        <w:t>, upon receiving an appropriate application from a person, send a request for their pension file to Russia’s pension authorities. To justify these actions, the PFU refers to the Agreement on Pensions between Ukraine and Russia</w:t>
      </w:r>
      <w:r>
        <w:rPr>
          <w:vertAlign w:val="superscript"/>
          <w:lang w:val="en-GB"/>
        </w:rPr>
        <w:footnoteReference w:id="20"/>
      </w:r>
      <w:r>
        <w:rPr>
          <w:lang w:val="en-GB"/>
        </w:rPr>
        <w:t xml:space="preserve">. However, this practice is a violation of the law, because the above agreement applies to Ukrainian citizens whose permanent place of residence is located in Russia. </w:t>
      </w:r>
      <w:proofErr w:type="gramStart"/>
      <w:r>
        <w:rPr>
          <w:lang w:val="en-GB"/>
        </w:rPr>
        <w:t>So</w:t>
      </w:r>
      <w:proofErr w:type="gramEnd"/>
      <w:r>
        <w:rPr>
          <w:lang w:val="en-GB"/>
        </w:rPr>
        <w:t xml:space="preserve">, since the ARC and Sevastopol are Ukrainian territory, the Agreement does not apply to </w:t>
      </w:r>
      <w:proofErr w:type="spellStart"/>
      <w:r>
        <w:rPr>
          <w:lang w:val="en-GB"/>
        </w:rPr>
        <w:t>Crimeans</w:t>
      </w:r>
      <w:proofErr w:type="spellEnd"/>
      <w:r>
        <w:rPr>
          <w:lang w:val="en-GB"/>
        </w:rPr>
        <w:t xml:space="preserve">. Furthermore, the applicants are also required to provide a declaration confirming that they do no hold Russian citizenship, as well as a request for the PFU to ask Russia for their pension file. On top of these inquiries, the PFU is providing the aggressor with personal information about Ukrainian citizens that left the occupied Crimea, including their new place of residence. According to human rights activists, Ukraine </w:t>
      </w:r>
      <w:proofErr w:type="gramStart"/>
      <w:r>
        <w:rPr>
          <w:lang w:val="en-GB"/>
        </w:rPr>
        <w:t>has in this way provided</w:t>
      </w:r>
      <w:proofErr w:type="gramEnd"/>
      <w:r>
        <w:rPr>
          <w:lang w:val="en-GB"/>
        </w:rPr>
        <w:t xml:space="preserve"> Russia with the personal information of soldiers and combatants participating in the ATO/JFO. The person applying for a pension must wait for their paper file to arrive from the occupied Crimea through Russia’s pension authorities, which takes from </w:t>
      </w:r>
      <w:proofErr w:type="gramStart"/>
      <w:r>
        <w:rPr>
          <w:lang w:val="en-GB"/>
        </w:rPr>
        <w:t>3</w:t>
      </w:r>
      <w:proofErr w:type="gramEnd"/>
      <w:r>
        <w:rPr>
          <w:lang w:val="en-GB"/>
        </w:rPr>
        <w:t xml:space="preserve"> to 12 months. During all this </w:t>
      </w:r>
      <w:proofErr w:type="gramStart"/>
      <w:r>
        <w:rPr>
          <w:lang w:val="en-GB"/>
        </w:rPr>
        <w:t>time</w:t>
      </w:r>
      <w:proofErr w:type="gramEnd"/>
      <w:r>
        <w:rPr>
          <w:lang w:val="en-GB"/>
        </w:rPr>
        <w:t xml:space="preserve"> the issue is not even being considered, leaving the applicant with nothing to live on. </w:t>
      </w:r>
      <w:proofErr w:type="gramStart"/>
      <w:r>
        <w:rPr>
          <w:lang w:val="en-GB"/>
        </w:rPr>
        <w:t>Also</w:t>
      </w:r>
      <w:proofErr w:type="gramEnd"/>
      <w:r>
        <w:rPr>
          <w:lang w:val="en-GB"/>
        </w:rPr>
        <w:t xml:space="preserve">, upon receipt of the pension file along with the documents on suspension of </w:t>
      </w:r>
      <w:r>
        <w:rPr>
          <w:lang w:val="en-GB"/>
        </w:rPr>
        <w:lastRenderedPageBreak/>
        <w:t>their pension in the ARC, the pension is resumed not from the date of applying to the PFU but from the date of its suspension in Crimea if the person was receiving one there.</w:t>
      </w:r>
    </w:p>
    <w:p w14:paraId="6CFEF208" w14:textId="77777777" w:rsidR="008E3F16" w:rsidRDefault="008E3F16">
      <w:pPr>
        <w:jc w:val="both"/>
        <w:rPr>
          <w:lang w:val="en-GB"/>
        </w:rPr>
      </w:pPr>
    </w:p>
    <w:p w14:paraId="0B980429" w14:textId="2C9D35BF" w:rsidR="008E3F16" w:rsidRDefault="00667993">
      <w:pPr>
        <w:rPr>
          <w:lang w:val="en-GB"/>
        </w:rPr>
      </w:pPr>
      <w:r>
        <w:rPr>
          <w:b/>
          <w:lang w:val="en-GB"/>
        </w:rPr>
        <w:t xml:space="preserve">Regarding </w:t>
      </w:r>
      <w:r w:rsidR="00F95A32">
        <w:rPr>
          <w:b/>
          <w:lang w:val="en-GB"/>
        </w:rPr>
        <w:t>paragraph 2 (с)</w:t>
      </w:r>
    </w:p>
    <w:p w14:paraId="61E4580F" w14:textId="77777777" w:rsidR="008E3F16" w:rsidRDefault="008E3F16">
      <w:pPr>
        <w:jc w:val="both"/>
        <w:rPr>
          <w:lang w:val="en-GB"/>
        </w:rPr>
      </w:pPr>
    </w:p>
    <w:p w14:paraId="10131603" w14:textId="2623A2A0" w:rsidR="008E3F16" w:rsidRDefault="00F95A32">
      <w:pPr>
        <w:jc w:val="both"/>
        <w:rPr>
          <w:lang w:val="en-GB"/>
        </w:rPr>
      </w:pPr>
      <w:r>
        <w:rPr>
          <w:lang w:val="en-GB"/>
        </w:rPr>
        <w:t xml:space="preserve">18. In 2017-2019, </w:t>
      </w:r>
      <w:r w:rsidR="0049294A">
        <w:rPr>
          <w:lang w:val="en-GB"/>
        </w:rPr>
        <w:t>several</w:t>
      </w:r>
      <w:r>
        <w:rPr>
          <w:lang w:val="en-GB"/>
        </w:rPr>
        <w:t xml:space="preserve"> legislative acts </w:t>
      </w:r>
      <w:proofErr w:type="gramStart"/>
      <w:r>
        <w:rPr>
          <w:lang w:val="en-GB"/>
        </w:rPr>
        <w:t>were adopted</w:t>
      </w:r>
      <w:proofErr w:type="gramEnd"/>
      <w:r>
        <w:rPr>
          <w:lang w:val="en-GB"/>
        </w:rPr>
        <w:t xml:space="preserve"> concerning housing programmes for IDPs, including temporary and affordable housing programmes for IDPs that took part in the ATO/JFO. Most of these programmes involve monetary reimbursement from local authorities or subsidies from the state budget.</w:t>
      </w:r>
    </w:p>
    <w:p w14:paraId="47402D68" w14:textId="77777777" w:rsidR="008E3F16" w:rsidRDefault="008E3F16">
      <w:pPr>
        <w:jc w:val="both"/>
        <w:rPr>
          <w:lang w:val="en-GB"/>
        </w:rPr>
      </w:pPr>
    </w:p>
    <w:p w14:paraId="041AD117" w14:textId="0B004ADC" w:rsidR="008E3F16" w:rsidRDefault="00F95A32">
      <w:pPr>
        <w:jc w:val="both"/>
        <w:rPr>
          <w:lang w:val="en-GB"/>
        </w:rPr>
      </w:pPr>
      <w:r>
        <w:rPr>
          <w:lang w:val="en-GB"/>
        </w:rPr>
        <w:t xml:space="preserve">19. In August 2019, amendments </w:t>
      </w:r>
      <w:proofErr w:type="gramStart"/>
      <w:r>
        <w:rPr>
          <w:lang w:val="en-GB"/>
        </w:rPr>
        <w:t>were made</w:t>
      </w:r>
      <w:proofErr w:type="gramEnd"/>
      <w:r>
        <w:rPr>
          <w:lang w:val="en-GB"/>
        </w:rPr>
        <w:t xml:space="preserve"> to CMU Resolution 769 on financing measures that support acquisition of temporary housing by IDPs at the 70/30 ratio</w:t>
      </w:r>
      <w:r>
        <w:rPr>
          <w:vertAlign w:val="superscript"/>
          <w:lang w:val="en-GB"/>
        </w:rPr>
        <w:footnoteReference w:id="21"/>
      </w:r>
      <w:r>
        <w:rPr>
          <w:lang w:val="en-GB"/>
        </w:rPr>
        <w:t xml:space="preserve">. Local governments buy homes and </w:t>
      </w:r>
      <w:r w:rsidR="00AA6424">
        <w:rPr>
          <w:lang w:val="en-US"/>
        </w:rPr>
        <w:t>rent</w:t>
      </w:r>
      <w:r w:rsidR="00AA6424">
        <w:rPr>
          <w:lang w:val="en-GB"/>
        </w:rPr>
        <w:t xml:space="preserve"> </w:t>
      </w:r>
      <w:r>
        <w:rPr>
          <w:lang w:val="en-GB"/>
        </w:rPr>
        <w:t xml:space="preserve">them to IDPs for one year with the </w:t>
      </w:r>
      <w:r w:rsidR="00AA6424">
        <w:rPr>
          <w:lang w:val="en-GB"/>
        </w:rPr>
        <w:t>possibility of extension</w:t>
      </w:r>
      <w:r>
        <w:rPr>
          <w:lang w:val="en-GB"/>
        </w:rPr>
        <w:t xml:space="preserve">. In 2019, about UAH 30 </w:t>
      </w:r>
      <w:proofErr w:type="gramStart"/>
      <w:r>
        <w:rPr>
          <w:lang w:val="en-GB"/>
        </w:rPr>
        <w:t>million</w:t>
      </w:r>
      <w:proofErr w:type="gramEnd"/>
      <w:r>
        <w:rPr>
          <w:lang w:val="en-GB"/>
        </w:rPr>
        <w:t xml:space="preserve"> was earmarked for this programme. During 2017-2018, about 600 IDPs </w:t>
      </w:r>
      <w:proofErr w:type="gramStart"/>
      <w:r>
        <w:rPr>
          <w:lang w:val="en-GB"/>
        </w:rPr>
        <w:t>were provided</w:t>
      </w:r>
      <w:proofErr w:type="gramEnd"/>
      <w:r>
        <w:rPr>
          <w:lang w:val="en-GB"/>
        </w:rPr>
        <w:t xml:space="preserve"> with temporary homes.</w:t>
      </w:r>
    </w:p>
    <w:p w14:paraId="4BAF325C" w14:textId="77777777" w:rsidR="008E3F16" w:rsidRDefault="008E3F16">
      <w:pPr>
        <w:jc w:val="both"/>
        <w:rPr>
          <w:lang w:val="en-GB"/>
        </w:rPr>
      </w:pPr>
    </w:p>
    <w:p w14:paraId="1B2BC59F" w14:textId="77777777" w:rsidR="008E3F16" w:rsidRDefault="00F95A32">
      <w:pPr>
        <w:jc w:val="both"/>
        <w:rPr>
          <w:lang w:val="en-GB"/>
        </w:rPr>
      </w:pPr>
      <w:r>
        <w:rPr>
          <w:lang w:val="en-GB"/>
        </w:rPr>
        <w:t xml:space="preserve">20. The 2020 state budget provides for preferential mortgage loans, granted by a special fund through financial assistance programmes and grants from the European Union, foreign governments, international organizations and donor institutions, as well as the return of loans previously granted to IDPs, which could point to the programme’s long-term nature. During a three-day application period for this programme in December 2019, the Youth Housing Assistance Fund received 6,678 applications from IDPs, which does not reflect the real demand for mortgage loans due to the short application window. The total amount of funding was UAH 200 </w:t>
      </w:r>
      <w:proofErr w:type="gramStart"/>
      <w:r>
        <w:rPr>
          <w:lang w:val="en-GB"/>
        </w:rPr>
        <w:t>million</w:t>
      </w:r>
      <w:proofErr w:type="gramEnd"/>
      <w:r>
        <w:rPr>
          <w:lang w:val="en-GB"/>
        </w:rPr>
        <w:t>. In light of these conditions and funds, only 198 ATO participants and IDPs received preferential mortgage loans, which is not nearly enough.</w:t>
      </w:r>
    </w:p>
    <w:p w14:paraId="79492233" w14:textId="77777777" w:rsidR="008E3F16" w:rsidRDefault="008E3F16">
      <w:pPr>
        <w:jc w:val="both"/>
        <w:rPr>
          <w:lang w:val="en-GB"/>
        </w:rPr>
      </w:pPr>
    </w:p>
    <w:p w14:paraId="05B1FCA3" w14:textId="7238E741" w:rsidR="008E3F16" w:rsidRDefault="00F95A32">
      <w:pPr>
        <w:jc w:val="both"/>
        <w:rPr>
          <w:lang w:val="en-GB"/>
        </w:rPr>
      </w:pPr>
      <w:r>
        <w:rPr>
          <w:lang w:val="en-GB"/>
        </w:rPr>
        <w:t>21. In June 2019, the Government empowered</w:t>
      </w:r>
      <w:r>
        <w:rPr>
          <w:vertAlign w:val="superscript"/>
          <w:lang w:val="en-GB"/>
        </w:rPr>
        <w:footnoteReference w:id="22"/>
      </w:r>
      <w:r>
        <w:rPr>
          <w:lang w:val="en-GB"/>
        </w:rPr>
        <w:t xml:space="preserve"> local governments and civil-military administrations to establish temporary housing </w:t>
      </w:r>
      <w:r w:rsidR="00AA6424">
        <w:rPr>
          <w:lang w:val="en-US"/>
        </w:rPr>
        <w:t>stock</w:t>
      </w:r>
      <w:r w:rsidR="00AA6424">
        <w:rPr>
          <w:lang w:val="en-GB"/>
        </w:rPr>
        <w:t xml:space="preserve"> </w:t>
      </w:r>
      <w:r>
        <w:rPr>
          <w:lang w:val="en-GB"/>
        </w:rPr>
        <w:t xml:space="preserve">for IDPs. It is envisaged that local authorities will form </w:t>
      </w:r>
      <w:r w:rsidR="00AA6424">
        <w:rPr>
          <w:lang w:val="en-GB"/>
        </w:rPr>
        <w:t>this stock</w:t>
      </w:r>
      <w:r>
        <w:rPr>
          <w:lang w:val="en-GB"/>
        </w:rPr>
        <w:t xml:space="preserve"> by, for example, building new homes, renovating hostels, converting non-residential premises into residential ones and purchasing homes on subsidies from the state budget. Such housing will be considered municipal property and will be provided to IDPs for temporary use only (these homes may not be privatized, divided, exchanged, etc.). A </w:t>
      </w:r>
      <w:r w:rsidR="00AA6424">
        <w:rPr>
          <w:lang w:val="en-GB"/>
        </w:rPr>
        <w:t>scoring</w:t>
      </w:r>
      <w:r>
        <w:rPr>
          <w:lang w:val="en-GB"/>
        </w:rPr>
        <w:t xml:space="preserve"> system was introduced for evaluating each IDP family in order to decide </w:t>
      </w:r>
      <w:proofErr w:type="gramStart"/>
      <w:r>
        <w:rPr>
          <w:lang w:val="en-GB"/>
        </w:rPr>
        <w:t>on the order of</w:t>
      </w:r>
      <w:proofErr w:type="gramEnd"/>
      <w:r>
        <w:rPr>
          <w:lang w:val="en-GB"/>
        </w:rPr>
        <w:t xml:space="preserve"> priority. This was done to ensure that the most vulnerable groups (people with disabilities, the elderly, large families, etc.) </w:t>
      </w:r>
      <w:proofErr w:type="gramStart"/>
      <w:r>
        <w:rPr>
          <w:lang w:val="en-GB"/>
        </w:rPr>
        <w:t>will</w:t>
      </w:r>
      <w:proofErr w:type="gramEnd"/>
      <w:r>
        <w:rPr>
          <w:lang w:val="en-GB"/>
        </w:rPr>
        <w:t xml:space="preserve"> be the first to get their homes. Unfortunately, there has been no information on the </w:t>
      </w:r>
      <w:r w:rsidR="00AA6424">
        <w:rPr>
          <w:lang w:val="en-GB"/>
        </w:rPr>
        <w:t>establishment of such stock</w:t>
      </w:r>
      <w:r>
        <w:rPr>
          <w:lang w:val="en-GB"/>
        </w:rPr>
        <w:t xml:space="preserve"> by local authorities.</w:t>
      </w:r>
    </w:p>
    <w:p w14:paraId="5C79E7A1" w14:textId="77777777" w:rsidR="008E3F16" w:rsidRDefault="008E3F16">
      <w:pPr>
        <w:jc w:val="both"/>
        <w:rPr>
          <w:lang w:val="en-GB"/>
        </w:rPr>
      </w:pPr>
    </w:p>
    <w:p w14:paraId="4BB7F177" w14:textId="597F10A9" w:rsidR="008E3F16" w:rsidRDefault="00F95A32">
      <w:pPr>
        <w:jc w:val="both"/>
        <w:rPr>
          <w:lang w:val="en-GB"/>
        </w:rPr>
      </w:pPr>
      <w:r>
        <w:rPr>
          <w:lang w:val="en-GB"/>
        </w:rPr>
        <w:t xml:space="preserve">22. Despite the existence of legislation on temporary housing for IDPs, its implementation has </w:t>
      </w:r>
      <w:r w:rsidR="00AA6424">
        <w:rPr>
          <w:lang w:val="en-GB"/>
        </w:rPr>
        <w:t>encountered</w:t>
      </w:r>
      <w:r>
        <w:rPr>
          <w:lang w:val="en-GB"/>
        </w:rPr>
        <w:t xml:space="preserve"> serious problems, such as poor state of the available homes, lack of residential premises for renovation and repairs, and lack of state funding for housing programmes. </w:t>
      </w:r>
      <w:proofErr w:type="gramStart"/>
      <w:r>
        <w:rPr>
          <w:lang w:val="en-GB"/>
        </w:rPr>
        <w:t>In addition, many local governments still have not established appropriate committees, and without those IDPs are unable to apply for a home.</w:t>
      </w:r>
      <w:proofErr w:type="gramEnd"/>
    </w:p>
    <w:p w14:paraId="6AB7443C" w14:textId="77777777" w:rsidR="008E3F16" w:rsidRDefault="008E3F16">
      <w:pPr>
        <w:jc w:val="both"/>
        <w:rPr>
          <w:lang w:val="en-GB"/>
        </w:rPr>
      </w:pPr>
    </w:p>
    <w:p w14:paraId="13C1A21E" w14:textId="184C5548" w:rsidR="008E3F16" w:rsidRDefault="00F95A32">
      <w:pPr>
        <w:jc w:val="both"/>
        <w:rPr>
          <w:lang w:val="en-GB"/>
        </w:rPr>
      </w:pPr>
      <w:r>
        <w:rPr>
          <w:lang w:val="en-GB"/>
        </w:rPr>
        <w:t xml:space="preserve">23. An important part of addressing IDPs' housing needs involves the creation of effective mechanisms for providing them with compensation for destroyed </w:t>
      </w:r>
      <w:r w:rsidR="00AA6424">
        <w:rPr>
          <w:lang w:val="en-GB"/>
        </w:rPr>
        <w:t>housing</w:t>
      </w:r>
      <w:r>
        <w:rPr>
          <w:lang w:val="en-GB"/>
        </w:rPr>
        <w:t xml:space="preserve">. In July 2019, the Government passed changes to the mechanism for providing compensation for housing </w:t>
      </w:r>
      <w:r>
        <w:rPr>
          <w:lang w:val="en-GB"/>
        </w:rPr>
        <w:lastRenderedPageBreak/>
        <w:t xml:space="preserve">destroyed </w:t>
      </w:r>
      <w:proofErr w:type="gramStart"/>
      <w:r>
        <w:rPr>
          <w:lang w:val="en-GB"/>
        </w:rPr>
        <w:t>as a result</w:t>
      </w:r>
      <w:proofErr w:type="gramEnd"/>
      <w:r>
        <w:rPr>
          <w:lang w:val="en-GB"/>
        </w:rPr>
        <w:t xml:space="preserve"> of military emergency caused by the armed aggression of the Russian Federation</w:t>
      </w:r>
      <w:r>
        <w:rPr>
          <w:vertAlign w:val="superscript"/>
          <w:lang w:val="en-GB"/>
        </w:rPr>
        <w:footnoteReference w:id="23"/>
      </w:r>
      <w:r>
        <w:rPr>
          <w:lang w:val="en-GB"/>
        </w:rPr>
        <w:t xml:space="preserve">. However, the new mechanism has several drawbacks that make it impossible to implement. </w:t>
      </w:r>
      <w:r w:rsidR="00AA6424">
        <w:rPr>
          <w:lang w:val="en-GB"/>
        </w:rPr>
        <w:t>For example</w:t>
      </w:r>
      <w:r>
        <w:rPr>
          <w:lang w:val="en-GB"/>
        </w:rPr>
        <w:t xml:space="preserve">, the right to receive financial compensation </w:t>
      </w:r>
      <w:proofErr w:type="gramStart"/>
      <w:r>
        <w:rPr>
          <w:lang w:val="en-GB"/>
        </w:rPr>
        <w:t>is granted</w:t>
      </w:r>
      <w:proofErr w:type="gramEnd"/>
      <w:r>
        <w:rPr>
          <w:lang w:val="en-GB"/>
        </w:rPr>
        <w:t xml:space="preserve"> to persons whose home was destroyed by shelling and who remained at their old </w:t>
      </w:r>
      <w:r w:rsidR="00AA6424">
        <w:rPr>
          <w:lang w:val="en-GB"/>
        </w:rPr>
        <w:t xml:space="preserve">settlement </w:t>
      </w:r>
      <w:r>
        <w:rPr>
          <w:lang w:val="en-GB"/>
        </w:rPr>
        <w:t xml:space="preserve">of residence. This wording essentially deprives the IDPs who left their locality of the right to </w:t>
      </w:r>
      <w:proofErr w:type="gramStart"/>
      <w:r>
        <w:rPr>
          <w:lang w:val="en-GB"/>
        </w:rPr>
        <w:t>be compensated</w:t>
      </w:r>
      <w:proofErr w:type="gramEnd"/>
      <w:r>
        <w:rPr>
          <w:lang w:val="en-GB"/>
        </w:rPr>
        <w:t xml:space="preserve">, making it impossible for them to use the above mechanism. In light of this, the reorganized </w:t>
      </w:r>
      <w:r w:rsidR="003246F8">
        <w:rPr>
          <w:lang w:val="en-GB"/>
        </w:rPr>
        <w:t>MVTOT</w:t>
      </w:r>
      <w:r>
        <w:rPr>
          <w:lang w:val="en-GB"/>
        </w:rPr>
        <w:t xml:space="preserve"> started working on amendments to the relevant document and consulting representatives of NGOs that focus on helping IDPs. As of 2020, the budget for this state programme is UAH 40 </w:t>
      </w:r>
      <w:proofErr w:type="gramStart"/>
      <w:r>
        <w:rPr>
          <w:lang w:val="en-GB"/>
        </w:rPr>
        <w:t>million</w:t>
      </w:r>
      <w:proofErr w:type="gramEnd"/>
      <w:r>
        <w:rPr>
          <w:lang w:val="en-GB"/>
        </w:rPr>
        <w:t>.</w:t>
      </w:r>
    </w:p>
    <w:p w14:paraId="55039E0D" w14:textId="77777777" w:rsidR="008E3F16" w:rsidRDefault="008E3F16">
      <w:pPr>
        <w:jc w:val="both"/>
        <w:rPr>
          <w:lang w:val="en-GB"/>
        </w:rPr>
      </w:pPr>
    </w:p>
    <w:tbl>
      <w:tblPr>
        <w:tblStyle w:val="StGen3"/>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8E3F16" w14:paraId="72E24678" w14:textId="77777777">
        <w:tc>
          <w:tcPr>
            <w:tcW w:w="9029" w:type="dxa"/>
            <w:shd w:val="clear" w:color="auto" w:fill="C9DAF8"/>
            <w:tcMar>
              <w:top w:w="100" w:type="dxa"/>
              <w:left w:w="100" w:type="dxa"/>
              <w:bottom w:w="100" w:type="dxa"/>
              <w:right w:w="100" w:type="dxa"/>
            </w:tcMar>
          </w:tcPr>
          <w:p w14:paraId="06D34A9E" w14:textId="77777777" w:rsidR="008E3F16" w:rsidRDefault="00F95A32">
            <w:pPr>
              <w:widowControl w:val="0"/>
              <w:pBdr>
                <w:top w:val="none" w:sz="0" w:space="0" w:color="000000"/>
                <w:left w:val="none" w:sz="0" w:space="0" w:color="000000"/>
                <w:bottom w:val="none" w:sz="0" w:space="0" w:color="000000"/>
                <w:right w:val="none" w:sz="0" w:space="0" w:color="000000"/>
                <w:between w:val="none" w:sz="0" w:space="0" w:color="000000"/>
              </w:pBdr>
              <w:spacing w:line="240" w:lineRule="auto"/>
              <w:jc w:val="center"/>
              <w:rPr>
                <w:b/>
                <w:lang w:val="en-GB"/>
              </w:rPr>
            </w:pPr>
            <w:r>
              <w:rPr>
                <w:b/>
                <w:lang w:val="en-GB"/>
              </w:rPr>
              <w:t>Situation in the temporarily occupied territories</w:t>
            </w:r>
          </w:p>
        </w:tc>
      </w:tr>
    </w:tbl>
    <w:p w14:paraId="6DB656D6" w14:textId="77777777" w:rsidR="008E3F16" w:rsidRDefault="008E3F16">
      <w:pPr>
        <w:jc w:val="both"/>
        <w:rPr>
          <w:lang w:val="en-GB"/>
        </w:rPr>
      </w:pPr>
    </w:p>
    <w:p w14:paraId="072E49A8" w14:textId="437065E6" w:rsidR="008E3F16" w:rsidRDefault="00667993">
      <w:pPr>
        <w:rPr>
          <w:lang w:val="en-GB"/>
        </w:rPr>
      </w:pPr>
      <w:r>
        <w:rPr>
          <w:b/>
          <w:lang w:val="en-GB"/>
        </w:rPr>
        <w:t xml:space="preserve">Regarding </w:t>
      </w:r>
      <w:r w:rsidR="00F95A32">
        <w:rPr>
          <w:b/>
          <w:lang w:val="en-GB"/>
        </w:rPr>
        <w:t>paragraph 3 (а)</w:t>
      </w:r>
    </w:p>
    <w:p w14:paraId="15CC5387" w14:textId="77777777" w:rsidR="008E3F16" w:rsidRDefault="008E3F16">
      <w:pPr>
        <w:jc w:val="both"/>
        <w:rPr>
          <w:lang w:val="en-GB"/>
        </w:rPr>
      </w:pPr>
    </w:p>
    <w:p w14:paraId="5AAD1CEF" w14:textId="4A0211FA" w:rsidR="008E3F16" w:rsidRDefault="00F95A32">
      <w:pPr>
        <w:jc w:val="both"/>
        <w:rPr>
          <w:lang w:val="en-GB"/>
        </w:rPr>
      </w:pPr>
      <w:r>
        <w:rPr>
          <w:lang w:val="en-GB"/>
        </w:rPr>
        <w:t xml:space="preserve">24. The issue of </w:t>
      </w:r>
      <w:r w:rsidR="00AA6424">
        <w:rPr>
          <w:lang w:val="en-GB"/>
        </w:rPr>
        <w:t>establishing an accessible</w:t>
      </w:r>
      <w:r>
        <w:rPr>
          <w:lang w:val="en-GB"/>
        </w:rPr>
        <w:t xml:space="preserve"> procedure for registering the birth of children born in the TOT is very important. For children, this means being registered at birth and getting a name. The lack of a birth certificate prevents access to many public services, including healthcare, education, social benefits, etc. It can also cause difficulties when confirming citizenship (especially for children born in the NGCA of Donetsk and Luhansk oblasts).</w:t>
      </w:r>
    </w:p>
    <w:p w14:paraId="3E3BF42F" w14:textId="77777777" w:rsidR="008E3F16" w:rsidRDefault="008E3F16">
      <w:pPr>
        <w:jc w:val="both"/>
        <w:rPr>
          <w:lang w:val="en-GB"/>
        </w:rPr>
      </w:pPr>
    </w:p>
    <w:p w14:paraId="1D13967A" w14:textId="48BE086F" w:rsidR="008E3F16" w:rsidRDefault="00F95A32">
      <w:pPr>
        <w:jc w:val="both"/>
        <w:rPr>
          <w:lang w:val="en-GB"/>
        </w:rPr>
      </w:pPr>
      <w:r>
        <w:rPr>
          <w:lang w:val="en-GB"/>
        </w:rPr>
        <w:t>25. In February 2018, the Parliament passed a law</w:t>
      </w:r>
      <w:r>
        <w:rPr>
          <w:vertAlign w:val="superscript"/>
          <w:lang w:val="en-GB"/>
        </w:rPr>
        <w:footnoteReference w:id="24"/>
      </w:r>
      <w:proofErr w:type="gramStart"/>
      <w:r>
        <w:rPr>
          <w:lang w:val="en-GB"/>
        </w:rPr>
        <w:t xml:space="preserve"> which</w:t>
      </w:r>
      <w:proofErr w:type="gramEnd"/>
      <w:r>
        <w:rPr>
          <w:lang w:val="en-GB"/>
        </w:rPr>
        <w:t xml:space="preserve"> states, among other things, that </w:t>
      </w:r>
      <w:r w:rsidR="00F85E2F" w:rsidRPr="00F85E2F">
        <w:rPr>
          <w:lang w:val="en-GB"/>
        </w:rPr>
        <w:t>documents confirming birth and death that occurred in the TOT are exempted from the general rule of non-recognition of documents issued by de-facto authorities</w:t>
      </w:r>
      <w:r w:rsidR="00F85E2F">
        <w:rPr>
          <w:lang w:val="en-GB"/>
        </w:rPr>
        <w:t>.</w:t>
      </w:r>
      <w:r w:rsidR="00F85E2F" w:rsidRPr="00F85E2F">
        <w:rPr>
          <w:lang w:val="en-GB"/>
        </w:rPr>
        <w:t xml:space="preserve"> </w:t>
      </w:r>
      <w:r>
        <w:rPr>
          <w:lang w:val="en-GB"/>
        </w:rPr>
        <w:t xml:space="preserve">This essentially means </w:t>
      </w:r>
      <w:proofErr w:type="gramStart"/>
      <w:r>
        <w:rPr>
          <w:lang w:val="en-GB"/>
        </w:rPr>
        <w:t>that there must be an administrative procedure that would require a person to apply to a CRR body using an appropriate form on state registration of birth/death as well as the document issued in the TOT.</w:t>
      </w:r>
      <w:proofErr w:type="gramEnd"/>
      <w:r>
        <w:rPr>
          <w:lang w:val="en-GB"/>
        </w:rPr>
        <w:t xml:space="preserve"> The law </w:t>
      </w:r>
      <w:r w:rsidR="00AA6424">
        <w:rPr>
          <w:lang w:val="en-GB"/>
        </w:rPr>
        <w:t>does not contain</w:t>
      </w:r>
      <w:r>
        <w:rPr>
          <w:lang w:val="en-GB"/>
        </w:rPr>
        <w:t xml:space="preserve"> any intermediate stages (e.g. going to court or a commission, etc.). As of January 20,</w:t>
      </w:r>
      <w:r w:rsidR="00AA6424">
        <w:rPr>
          <w:lang w:val="en-GB"/>
        </w:rPr>
        <w:t xml:space="preserve"> 2020,</w:t>
      </w:r>
      <w:r>
        <w:rPr>
          <w:lang w:val="en-GB"/>
        </w:rPr>
        <w:t xml:space="preserve"> this provision of the law has yet to </w:t>
      </w:r>
      <w:proofErr w:type="gramStart"/>
      <w:r>
        <w:rPr>
          <w:lang w:val="en-GB"/>
        </w:rPr>
        <w:t>be implemented</w:t>
      </w:r>
      <w:proofErr w:type="gramEnd"/>
      <w:r>
        <w:rPr>
          <w:lang w:val="en-GB"/>
        </w:rPr>
        <w:t>.</w:t>
      </w:r>
    </w:p>
    <w:p w14:paraId="469EACCF" w14:textId="77777777" w:rsidR="008E3F16" w:rsidRDefault="008E3F16">
      <w:pPr>
        <w:jc w:val="both"/>
        <w:rPr>
          <w:lang w:val="en-GB"/>
        </w:rPr>
      </w:pPr>
    </w:p>
    <w:p w14:paraId="50586CDF" w14:textId="73B6B50C" w:rsidR="008E3F16" w:rsidRDefault="00F95A32">
      <w:pPr>
        <w:jc w:val="both"/>
        <w:rPr>
          <w:lang w:val="en-GB"/>
        </w:rPr>
      </w:pPr>
      <w:r>
        <w:rPr>
          <w:lang w:val="en-GB"/>
        </w:rPr>
        <w:t xml:space="preserve">26. In practice, there is only one way to get a birth certificate for a child born in the TOT - through a court in </w:t>
      </w:r>
      <w:r w:rsidR="00957E8C">
        <w:rPr>
          <w:lang w:val="en-GB"/>
        </w:rPr>
        <w:t>GCA</w:t>
      </w:r>
      <w:r>
        <w:rPr>
          <w:lang w:val="en-GB"/>
        </w:rPr>
        <w:t xml:space="preserve">. It </w:t>
      </w:r>
      <w:proofErr w:type="gramStart"/>
      <w:r>
        <w:rPr>
          <w:lang w:val="en-GB"/>
        </w:rPr>
        <w:t>should be noted</w:t>
      </w:r>
      <w:proofErr w:type="gramEnd"/>
      <w:r>
        <w:rPr>
          <w:lang w:val="en-GB"/>
        </w:rPr>
        <w:t xml:space="preserve"> that this procedure has been simplified as of February 2016 compared to the court procedure in other types of cases. The simplification concerns the determining of jurisdiction as well as the establishing of the obligation to examine a case </w:t>
      </w:r>
      <w:proofErr w:type="gramStart"/>
      <w:r>
        <w:rPr>
          <w:lang w:val="en-GB"/>
        </w:rPr>
        <w:t>without delay</w:t>
      </w:r>
      <w:proofErr w:type="gramEnd"/>
      <w:r>
        <w:rPr>
          <w:lang w:val="en-GB"/>
        </w:rPr>
        <w:t xml:space="preserve"> and to execute a decision immediately. However, existing </w:t>
      </w:r>
      <w:proofErr w:type="gramStart"/>
      <w:r>
        <w:rPr>
          <w:lang w:val="en-GB"/>
        </w:rPr>
        <w:t>case-law</w:t>
      </w:r>
      <w:proofErr w:type="gramEnd"/>
      <w:r>
        <w:rPr>
          <w:lang w:val="en-GB"/>
        </w:rPr>
        <w:t xml:space="preserve"> reveals a number of serious drawbacks in the court procedure. These include, in particular, lengthy proceedings (a case takes from several days to months); the need to get a CRR body’s </w:t>
      </w:r>
      <w:r w:rsidR="00AA6424">
        <w:rPr>
          <w:lang w:val="en-GB"/>
        </w:rPr>
        <w:t>rejection to issue a birth certificate</w:t>
      </w:r>
      <w:proofErr w:type="gramStart"/>
      <w:r w:rsidR="00AA6424">
        <w:rPr>
          <w:lang w:val="en-GB"/>
        </w:rPr>
        <w:t>;</w:t>
      </w:r>
      <w:proofErr w:type="gramEnd"/>
      <w:r>
        <w:rPr>
          <w:lang w:val="en-GB"/>
        </w:rPr>
        <w:t xml:space="preserve"> the cost (court fees, lawyers, notaries, travel expenses, etc.), the need for the applicant to travel all the way from the TOT several times. As a result, no more than 37% of children born in the NGCA of Donbas and only 13.5% of those born in Crimea after 2014 have</w:t>
      </w:r>
      <w:r w:rsidR="00820DCF">
        <w:rPr>
          <w:lang w:val="en-GB"/>
        </w:rPr>
        <w:t xml:space="preserve"> obtained</w:t>
      </w:r>
      <w:r>
        <w:rPr>
          <w:lang w:val="en-GB"/>
        </w:rPr>
        <w:t xml:space="preserve"> Ukrainian birth certificates.</w:t>
      </w:r>
    </w:p>
    <w:p w14:paraId="6B558186" w14:textId="77777777" w:rsidR="008E3F16" w:rsidRDefault="008E3F16">
      <w:pPr>
        <w:jc w:val="both"/>
        <w:rPr>
          <w:lang w:val="en-GB"/>
        </w:rPr>
      </w:pPr>
    </w:p>
    <w:p w14:paraId="4A56DBB4" w14:textId="77777777" w:rsidR="008E3F16" w:rsidRDefault="00F95A32">
      <w:pPr>
        <w:jc w:val="both"/>
        <w:rPr>
          <w:lang w:val="en-GB"/>
        </w:rPr>
      </w:pPr>
      <w:r>
        <w:rPr>
          <w:lang w:val="en-GB"/>
        </w:rPr>
        <w:t xml:space="preserve">27. The courts currently serve as a placeholder for an administrative procedure: since the courts are objectively limited in their ability to verify the circumstances of their cases, they have to make decisions based on the information from documents issued in the TOT that confirm the birth of a child. Such is the established </w:t>
      </w:r>
      <w:proofErr w:type="gramStart"/>
      <w:r>
        <w:rPr>
          <w:lang w:val="en-GB"/>
        </w:rPr>
        <w:t>case-law</w:t>
      </w:r>
      <w:proofErr w:type="gramEnd"/>
      <w:r>
        <w:rPr>
          <w:lang w:val="en-GB"/>
        </w:rPr>
        <w:t xml:space="preserve">, and it is based on that of the </w:t>
      </w:r>
      <w:r>
        <w:rPr>
          <w:lang w:val="en-GB"/>
        </w:rPr>
        <w:lastRenderedPageBreak/>
        <w:t xml:space="preserve">ECtHR. Cases on establishing births that occurred in the TOT put a significant burden on the judicial system. Since February 2016, 42,993 court decisions </w:t>
      </w:r>
      <w:proofErr w:type="gramStart"/>
      <w:r>
        <w:rPr>
          <w:lang w:val="en-GB"/>
        </w:rPr>
        <w:t>were delivered</w:t>
      </w:r>
      <w:proofErr w:type="gramEnd"/>
      <w:r>
        <w:rPr>
          <w:lang w:val="en-GB"/>
        </w:rPr>
        <w:t xml:space="preserve"> on recognizing births and 63,205 - on deaths that occurred in the TOT.</w:t>
      </w:r>
    </w:p>
    <w:p w14:paraId="01376322" w14:textId="77777777" w:rsidR="008E3F16" w:rsidRDefault="008E3F16">
      <w:pPr>
        <w:jc w:val="both"/>
        <w:rPr>
          <w:lang w:val="en-GB"/>
        </w:rPr>
      </w:pPr>
    </w:p>
    <w:p w14:paraId="44E2C18E" w14:textId="434C743C" w:rsidR="008E3F16" w:rsidRDefault="00F95A32">
      <w:pPr>
        <w:jc w:val="both"/>
        <w:rPr>
          <w:lang w:val="en-GB"/>
        </w:rPr>
      </w:pPr>
      <w:r>
        <w:rPr>
          <w:lang w:val="en-GB"/>
        </w:rPr>
        <w:t xml:space="preserve">28. In 2017, changes </w:t>
      </w:r>
      <w:proofErr w:type="gramStart"/>
      <w:r>
        <w:rPr>
          <w:lang w:val="en-GB"/>
        </w:rPr>
        <w:t>were made</w:t>
      </w:r>
      <w:proofErr w:type="gramEnd"/>
      <w:r>
        <w:rPr>
          <w:lang w:val="en-GB"/>
        </w:rPr>
        <w:t xml:space="preserve"> to the procedure for confirming births outside a healthcare institution</w:t>
      </w:r>
      <w:r>
        <w:rPr>
          <w:vertAlign w:val="superscript"/>
          <w:lang w:val="en-GB"/>
        </w:rPr>
        <w:footnoteReference w:id="25"/>
      </w:r>
      <w:r>
        <w:rPr>
          <w:lang w:val="en-GB"/>
        </w:rPr>
        <w:t xml:space="preserve">. These changes introduced a procedure for confirming births that occurred in the areas where state authorities temporarily do not exercise their powers (certain areas of Donetsk and Luhansk oblasts). This procedure involves confirmation of births by special commissions </w:t>
      </w:r>
      <w:r w:rsidR="00820DCF">
        <w:rPr>
          <w:lang w:val="en-GB"/>
        </w:rPr>
        <w:t>based on</w:t>
      </w:r>
      <w:r>
        <w:rPr>
          <w:lang w:val="en-GB"/>
        </w:rPr>
        <w:t xml:space="preserve"> examination of the mother and </w:t>
      </w:r>
      <w:r w:rsidR="00820DCF">
        <w:rPr>
          <w:lang w:val="en-GB"/>
        </w:rPr>
        <w:t xml:space="preserve">a </w:t>
      </w:r>
      <w:r>
        <w:rPr>
          <w:lang w:val="en-GB"/>
        </w:rPr>
        <w:t xml:space="preserve">child, potential visits of doctors to the TOT, DNA tests, etc. The procedure </w:t>
      </w:r>
      <w:proofErr w:type="gramStart"/>
      <w:r>
        <w:rPr>
          <w:lang w:val="en-GB"/>
        </w:rPr>
        <w:t>has not yet been implemented</w:t>
      </w:r>
      <w:proofErr w:type="gramEnd"/>
      <w:r>
        <w:rPr>
          <w:lang w:val="en-GB"/>
        </w:rPr>
        <w:t>, and neither have the commissions been formed.</w:t>
      </w:r>
    </w:p>
    <w:p w14:paraId="03350CA7" w14:textId="77777777" w:rsidR="008E3F16" w:rsidRDefault="008E3F16">
      <w:pPr>
        <w:jc w:val="both"/>
        <w:rPr>
          <w:lang w:val="en-GB"/>
        </w:rPr>
      </w:pPr>
    </w:p>
    <w:p w14:paraId="25332282" w14:textId="67140AC5" w:rsidR="008E3F16" w:rsidRDefault="00667993">
      <w:pPr>
        <w:rPr>
          <w:lang w:val="en-GB"/>
        </w:rPr>
      </w:pPr>
      <w:r>
        <w:rPr>
          <w:b/>
          <w:lang w:val="en-GB"/>
        </w:rPr>
        <w:t xml:space="preserve">Regarding </w:t>
      </w:r>
      <w:r w:rsidR="00F95A32">
        <w:rPr>
          <w:b/>
          <w:lang w:val="en-GB"/>
        </w:rPr>
        <w:t>paragraph 3 (b)</w:t>
      </w:r>
    </w:p>
    <w:p w14:paraId="35BFA5C7" w14:textId="77777777" w:rsidR="008E3F16" w:rsidRDefault="008E3F16">
      <w:pPr>
        <w:jc w:val="both"/>
        <w:rPr>
          <w:lang w:val="en-GB"/>
        </w:rPr>
      </w:pPr>
    </w:p>
    <w:p w14:paraId="144797E4" w14:textId="06EE13C4" w:rsidR="008E3F16" w:rsidRDefault="00F95A32">
      <w:pPr>
        <w:jc w:val="both"/>
        <w:rPr>
          <w:highlight w:val="white"/>
          <w:lang w:val="en-GB"/>
        </w:rPr>
      </w:pPr>
      <w:r>
        <w:rPr>
          <w:lang w:val="en-GB"/>
        </w:rPr>
        <w:t>29. In 2018, the Supreme Court delivered a ruling in a model case concerning the resumption of pensions and payment of arrears to IDPs. As a result, first instance courts issued about four thousand decisions in similar cases</w:t>
      </w:r>
      <w:r>
        <w:rPr>
          <w:highlight w:val="white"/>
          <w:vertAlign w:val="superscript"/>
          <w:lang w:val="en-GB"/>
        </w:rPr>
        <w:footnoteReference w:id="26"/>
      </w:r>
      <w:r>
        <w:rPr>
          <w:lang w:val="en-GB"/>
        </w:rPr>
        <w:t xml:space="preserve">. However, this did nothing to </w:t>
      </w:r>
      <w:r w:rsidR="00820DCF">
        <w:rPr>
          <w:lang w:val="en-GB"/>
        </w:rPr>
        <w:t>help</w:t>
      </w:r>
      <w:r>
        <w:rPr>
          <w:lang w:val="en-GB"/>
        </w:rPr>
        <w:t xml:space="preserve"> the plaintiffs: pension debts </w:t>
      </w:r>
      <w:proofErr w:type="gramStart"/>
      <w:r>
        <w:rPr>
          <w:lang w:val="en-GB"/>
        </w:rPr>
        <w:t>have not been paid</w:t>
      </w:r>
      <w:proofErr w:type="gramEnd"/>
      <w:r>
        <w:rPr>
          <w:lang w:val="en-GB"/>
        </w:rPr>
        <w:t xml:space="preserve"> in 90% of these cases, according to the Right to Protection. PFU bodies, in defiance of the law, are refusing to comply with court decisions, citing the absence of a special procedure on returning pension debts</w:t>
      </w:r>
      <w:r>
        <w:rPr>
          <w:highlight w:val="white"/>
          <w:vertAlign w:val="superscript"/>
          <w:lang w:val="en-GB"/>
        </w:rPr>
        <w:footnoteReference w:id="27"/>
      </w:r>
      <w:r>
        <w:rPr>
          <w:lang w:val="en-GB"/>
        </w:rPr>
        <w:t>.</w:t>
      </w:r>
    </w:p>
    <w:p w14:paraId="627DEF12" w14:textId="77777777" w:rsidR="008E3F16" w:rsidRDefault="008E3F16">
      <w:pPr>
        <w:jc w:val="both"/>
        <w:rPr>
          <w:highlight w:val="white"/>
          <w:lang w:val="en-GB"/>
        </w:rPr>
      </w:pPr>
    </w:p>
    <w:p w14:paraId="144961A1" w14:textId="767904C4" w:rsidR="008E3F16" w:rsidRDefault="00F95A32">
      <w:pPr>
        <w:jc w:val="both"/>
        <w:rPr>
          <w:highlight w:val="white"/>
          <w:lang w:val="en-GB"/>
        </w:rPr>
      </w:pPr>
      <w:r>
        <w:rPr>
          <w:highlight w:val="white"/>
          <w:lang w:val="en-GB"/>
        </w:rPr>
        <w:t xml:space="preserve">30. According to the PFU, </w:t>
      </w:r>
      <w:r w:rsidR="00820DCF">
        <w:rPr>
          <w:highlight w:val="white"/>
          <w:lang w:val="en-GB"/>
        </w:rPr>
        <w:t xml:space="preserve">its </w:t>
      </w:r>
      <w:r>
        <w:rPr>
          <w:highlight w:val="white"/>
          <w:lang w:val="en-GB"/>
        </w:rPr>
        <w:t>bodies were ordered by courts to pay UAH 543.1 million to IDPs in 2019 alone, and only UAH 43.0 million of this money has actually been paid. PFU’s total debt in such cases was UAH 599.8 million as of June 1, 2019 (taking into account unpaid sums from 2018 cases).</w:t>
      </w:r>
    </w:p>
    <w:p w14:paraId="5E331A07" w14:textId="77777777" w:rsidR="008E3F16" w:rsidRDefault="008E3F16">
      <w:pPr>
        <w:jc w:val="both"/>
        <w:rPr>
          <w:highlight w:val="white"/>
          <w:lang w:val="en-GB"/>
        </w:rPr>
      </w:pPr>
    </w:p>
    <w:p w14:paraId="697A75C0" w14:textId="0E887299" w:rsidR="008E3F16" w:rsidRDefault="00F95A32">
      <w:pPr>
        <w:jc w:val="both"/>
        <w:rPr>
          <w:highlight w:val="white"/>
          <w:lang w:val="en-GB"/>
        </w:rPr>
      </w:pPr>
      <w:r>
        <w:rPr>
          <w:highlight w:val="white"/>
          <w:lang w:val="en-GB"/>
        </w:rPr>
        <w:t xml:space="preserve">31. </w:t>
      </w:r>
      <w:r>
        <w:rPr>
          <w:lang w:val="en-GB"/>
        </w:rPr>
        <w:t xml:space="preserve">As of 2019, at least 40 pensioners </w:t>
      </w:r>
      <w:r w:rsidR="00F85E2F" w:rsidRPr="00F85E2F">
        <w:rPr>
          <w:lang w:val="en-GB"/>
        </w:rPr>
        <w:t xml:space="preserve">who applied to a court, had positive decisions but died prior to their </w:t>
      </w:r>
      <w:proofErr w:type="gramStart"/>
      <w:r w:rsidR="00F85E2F" w:rsidRPr="00F85E2F">
        <w:rPr>
          <w:lang w:val="en-GB"/>
        </w:rPr>
        <w:t>execution</w:t>
      </w:r>
      <w:r w:rsidR="00F85E2F" w:rsidRPr="00F85E2F">
        <w:rPr>
          <w:highlight w:val="white"/>
          <w:lang w:val="en-GB"/>
        </w:rPr>
        <w:t xml:space="preserve"> </w:t>
      </w:r>
      <w:proofErr w:type="gramEnd"/>
      <w:r>
        <w:rPr>
          <w:highlight w:val="white"/>
          <w:vertAlign w:val="superscript"/>
          <w:lang w:val="en-GB"/>
        </w:rPr>
        <w:footnoteReference w:id="28"/>
      </w:r>
      <w:r>
        <w:rPr>
          <w:lang w:val="en-GB"/>
        </w:rPr>
        <w:t>.</w:t>
      </w:r>
    </w:p>
    <w:p w14:paraId="311470F6" w14:textId="77777777" w:rsidR="008E3F16" w:rsidRDefault="008E3F16">
      <w:pPr>
        <w:jc w:val="both"/>
        <w:rPr>
          <w:highlight w:val="white"/>
          <w:lang w:val="en-GB"/>
        </w:rPr>
      </w:pPr>
    </w:p>
    <w:p w14:paraId="783E54FF" w14:textId="77777777" w:rsidR="008E3F16" w:rsidRDefault="00F95A32">
      <w:pPr>
        <w:jc w:val="both"/>
        <w:rPr>
          <w:highlight w:val="white"/>
          <w:lang w:val="en-GB"/>
        </w:rPr>
      </w:pPr>
      <w:r>
        <w:rPr>
          <w:highlight w:val="white"/>
          <w:lang w:val="en-GB"/>
        </w:rPr>
        <w:t xml:space="preserve">32. </w:t>
      </w:r>
      <w:r>
        <w:rPr>
          <w:lang w:val="en-GB"/>
        </w:rPr>
        <w:t xml:space="preserve">In November 2019, a bill “On Amendments to Certain Laws of Ukraine concerning the Exercise of the Right to Pension” </w:t>
      </w:r>
      <w:proofErr w:type="gramStart"/>
      <w:r>
        <w:rPr>
          <w:lang w:val="en-GB"/>
        </w:rPr>
        <w:t>was registered</w:t>
      </w:r>
      <w:proofErr w:type="gramEnd"/>
      <w:r>
        <w:rPr>
          <w:lang w:val="en-GB"/>
        </w:rPr>
        <w:t xml:space="preserve"> in the Parliament (no. 2083-d)</w:t>
      </w:r>
      <w:r>
        <w:rPr>
          <w:highlight w:val="white"/>
          <w:vertAlign w:val="superscript"/>
          <w:lang w:val="en-GB"/>
        </w:rPr>
        <w:footnoteReference w:id="29"/>
      </w:r>
      <w:r>
        <w:rPr>
          <w:lang w:val="en-GB"/>
        </w:rPr>
        <w:t xml:space="preserve">. It should create a mechanism for providing pensions to TOT residents as well as additional mechanisms for protecting their right to receive a pension. As of January 1, 2020, the bill received the support of the Parliamentary Committee on Social Policy and Protection of Veterans' Rights and </w:t>
      </w:r>
      <w:proofErr w:type="gramStart"/>
      <w:r>
        <w:rPr>
          <w:lang w:val="en-GB"/>
        </w:rPr>
        <w:t>was put</w:t>
      </w:r>
      <w:proofErr w:type="gramEnd"/>
      <w:r>
        <w:rPr>
          <w:lang w:val="en-GB"/>
        </w:rPr>
        <w:t xml:space="preserve"> on the Parliament’s agenda.</w:t>
      </w:r>
    </w:p>
    <w:p w14:paraId="2DBA3322" w14:textId="77777777" w:rsidR="008E3F16" w:rsidRDefault="008E3F16">
      <w:pPr>
        <w:jc w:val="both"/>
        <w:rPr>
          <w:highlight w:val="white"/>
          <w:lang w:val="en-GB"/>
        </w:rPr>
      </w:pPr>
    </w:p>
    <w:p w14:paraId="5B48663B" w14:textId="1BB8C6BF" w:rsidR="008E3F16" w:rsidRDefault="00667993">
      <w:pPr>
        <w:rPr>
          <w:highlight w:val="white"/>
          <w:lang w:val="en-GB"/>
        </w:rPr>
      </w:pPr>
      <w:r>
        <w:rPr>
          <w:b/>
          <w:lang w:val="en-GB"/>
        </w:rPr>
        <w:t xml:space="preserve">Regarding </w:t>
      </w:r>
      <w:r w:rsidR="00F95A32">
        <w:rPr>
          <w:b/>
          <w:lang w:val="en-GB"/>
        </w:rPr>
        <w:t>paragraph 4</w:t>
      </w:r>
    </w:p>
    <w:p w14:paraId="0386DF32" w14:textId="77777777" w:rsidR="008E3F16" w:rsidRDefault="008E3F16">
      <w:pPr>
        <w:jc w:val="both"/>
        <w:rPr>
          <w:highlight w:val="white"/>
          <w:lang w:val="en-GB"/>
        </w:rPr>
      </w:pPr>
    </w:p>
    <w:p w14:paraId="682D3B02" w14:textId="042829C1" w:rsidR="008E3F16" w:rsidRDefault="00F95A32">
      <w:pPr>
        <w:jc w:val="both"/>
        <w:rPr>
          <w:highlight w:val="white"/>
          <w:lang w:val="en-GB"/>
        </w:rPr>
      </w:pPr>
      <w:proofErr w:type="gramStart"/>
      <w:r>
        <w:rPr>
          <w:highlight w:val="white"/>
          <w:lang w:val="en-GB"/>
        </w:rPr>
        <w:t xml:space="preserve">33. </w:t>
      </w:r>
      <w:r>
        <w:rPr>
          <w:lang w:val="en-GB"/>
        </w:rPr>
        <w:t>Right now</w:t>
      </w:r>
      <w:proofErr w:type="gramEnd"/>
      <w:r>
        <w:rPr>
          <w:lang w:val="en-GB"/>
        </w:rPr>
        <w:t xml:space="preserve"> there is no effective procedure for providing pensions to TOT residents - they are only able to receive payments in </w:t>
      </w:r>
      <w:r w:rsidR="00957E8C">
        <w:rPr>
          <w:lang w:val="en-GB"/>
        </w:rPr>
        <w:t>GCA</w:t>
      </w:r>
      <w:r>
        <w:rPr>
          <w:lang w:val="en-GB"/>
        </w:rPr>
        <w:t xml:space="preserve"> if they register as IDPs. After such registration, Article 12 of the Law of Ukraine “On Ensuring the Rights and Freedoms of IDPs” becomes applicable to them, which allows for an IDP certificate to be revoked (and all payments </w:t>
      </w:r>
      <w:r>
        <w:rPr>
          <w:lang w:val="en-GB"/>
        </w:rPr>
        <w:lastRenderedPageBreak/>
        <w:t xml:space="preserve">suspended) if the IDP has been outside </w:t>
      </w:r>
      <w:r w:rsidR="00957E8C">
        <w:rPr>
          <w:lang w:val="en-GB"/>
        </w:rPr>
        <w:t>GCA</w:t>
      </w:r>
      <w:r>
        <w:rPr>
          <w:lang w:val="en-GB"/>
        </w:rPr>
        <w:t xml:space="preserve"> for more than 60 days. In practice, this means that elderly people living in the NGCA of Donetsk and Luhansk oblasts are forced to </w:t>
      </w:r>
      <w:proofErr w:type="gramStart"/>
      <w:r>
        <w:rPr>
          <w:lang w:val="en-GB"/>
        </w:rPr>
        <w:t>cross checkpoints</w:t>
      </w:r>
      <w:proofErr w:type="gramEnd"/>
      <w:r>
        <w:rPr>
          <w:lang w:val="en-GB"/>
        </w:rPr>
        <w:t xml:space="preserve"> at least once every other month to keep their pensions.</w:t>
      </w:r>
    </w:p>
    <w:p w14:paraId="2A3D9E42" w14:textId="77777777" w:rsidR="008E3F16" w:rsidRDefault="008E3F16">
      <w:pPr>
        <w:jc w:val="both"/>
        <w:rPr>
          <w:highlight w:val="white"/>
          <w:lang w:val="en-GB"/>
        </w:rPr>
      </w:pPr>
    </w:p>
    <w:p w14:paraId="18ED1E59" w14:textId="1D278FD6" w:rsidR="008E3F16" w:rsidRDefault="00F95A32">
      <w:pPr>
        <w:jc w:val="both"/>
        <w:rPr>
          <w:highlight w:val="white"/>
          <w:lang w:val="en-GB"/>
        </w:rPr>
      </w:pPr>
      <w:r>
        <w:rPr>
          <w:highlight w:val="white"/>
          <w:lang w:val="en-GB"/>
        </w:rPr>
        <w:t xml:space="preserve">34. </w:t>
      </w:r>
      <w:r>
        <w:rPr>
          <w:lang w:val="en-GB"/>
        </w:rPr>
        <w:t xml:space="preserve">As a result of this state policy, pensioners make up approximately 70% of the people crossing the </w:t>
      </w:r>
      <w:r w:rsidR="00820DCF">
        <w:rPr>
          <w:lang w:val="en-US"/>
        </w:rPr>
        <w:t>contact</w:t>
      </w:r>
      <w:r w:rsidR="00820DCF">
        <w:rPr>
          <w:lang w:val="en-GB"/>
        </w:rPr>
        <w:t xml:space="preserve"> </w:t>
      </w:r>
      <w:r>
        <w:rPr>
          <w:lang w:val="en-GB"/>
        </w:rPr>
        <w:t>line every month</w:t>
      </w:r>
      <w:r>
        <w:rPr>
          <w:highlight w:val="white"/>
          <w:vertAlign w:val="superscript"/>
          <w:lang w:val="en-GB"/>
        </w:rPr>
        <w:footnoteReference w:id="30"/>
      </w:r>
      <w:r>
        <w:rPr>
          <w:lang w:val="en-GB"/>
        </w:rPr>
        <w:t xml:space="preserve">. According to the SBGSU, 12.8 million people crossed the </w:t>
      </w:r>
      <w:r w:rsidR="00820DCF">
        <w:rPr>
          <w:lang w:val="en-GB"/>
        </w:rPr>
        <w:t xml:space="preserve">contact </w:t>
      </w:r>
      <w:r>
        <w:rPr>
          <w:lang w:val="en-GB"/>
        </w:rPr>
        <w:t>line over 11 months of 2019</w:t>
      </w:r>
      <w:r>
        <w:rPr>
          <w:highlight w:val="white"/>
          <w:vertAlign w:val="superscript"/>
        </w:rPr>
        <w:footnoteReference w:id="31"/>
      </w:r>
      <w:r>
        <w:rPr>
          <w:lang w:val="en-GB"/>
        </w:rPr>
        <w:t>. At least 77 people (most of them elderly) died during the crossing in 2018-2019.</w:t>
      </w:r>
    </w:p>
    <w:p w14:paraId="774A57E1" w14:textId="77777777" w:rsidR="008E3F16" w:rsidRDefault="008E3F16">
      <w:pPr>
        <w:jc w:val="both"/>
        <w:rPr>
          <w:highlight w:val="white"/>
          <w:lang w:val="en-GB"/>
        </w:rPr>
      </w:pPr>
    </w:p>
    <w:p w14:paraId="7A1A3963" w14:textId="77777777" w:rsidR="008E3F16" w:rsidRDefault="00F95A32">
      <w:pPr>
        <w:jc w:val="both"/>
        <w:rPr>
          <w:highlight w:val="white"/>
          <w:lang w:val="en-GB"/>
        </w:rPr>
      </w:pPr>
      <w:proofErr w:type="gramStart"/>
      <w:r>
        <w:rPr>
          <w:highlight w:val="white"/>
          <w:lang w:val="en-GB"/>
        </w:rPr>
        <w:t xml:space="preserve">35. </w:t>
      </w:r>
      <w:r>
        <w:rPr>
          <w:lang w:val="en-GB"/>
        </w:rPr>
        <w:t>There are no procedures that would help low mobility persons living in the TOT to receive payments, pensions included.</w:t>
      </w:r>
      <w:proofErr w:type="gramEnd"/>
      <w:r>
        <w:rPr>
          <w:lang w:val="en-GB"/>
        </w:rPr>
        <w:t xml:space="preserve"> </w:t>
      </w:r>
      <w:proofErr w:type="gramStart"/>
      <w:r>
        <w:rPr>
          <w:lang w:val="en-GB"/>
        </w:rPr>
        <w:t>It’s</w:t>
      </w:r>
      <w:proofErr w:type="gramEnd"/>
      <w:r>
        <w:rPr>
          <w:lang w:val="en-GB"/>
        </w:rPr>
        <w:t xml:space="preserve"> difficult to give an estimate on their exact number, but according to the PFU, 121.1 thousand pensioners registered in the NGCA of Donetsk and Luhansk oblasts never applied for their pensions since the conflict began</w:t>
      </w:r>
      <w:r>
        <w:rPr>
          <w:highlight w:val="white"/>
          <w:vertAlign w:val="superscript"/>
          <w:lang w:val="en-GB"/>
        </w:rPr>
        <w:footnoteReference w:id="32"/>
      </w:r>
      <w:r>
        <w:rPr>
          <w:lang w:val="en-GB"/>
        </w:rPr>
        <w:t>.</w:t>
      </w:r>
    </w:p>
    <w:p w14:paraId="56C54C32" w14:textId="77777777" w:rsidR="008E3F16" w:rsidRDefault="008E3F16">
      <w:pPr>
        <w:jc w:val="both"/>
        <w:rPr>
          <w:highlight w:val="white"/>
          <w:lang w:val="en-GB"/>
        </w:rPr>
      </w:pPr>
    </w:p>
    <w:p w14:paraId="6A0900D0" w14:textId="77777777" w:rsidR="008E3F16" w:rsidRDefault="008E3F16">
      <w:pPr>
        <w:rPr>
          <w:b/>
          <w:lang w:val="en-GB"/>
        </w:rPr>
      </w:pPr>
    </w:p>
    <w:tbl>
      <w:tblPr>
        <w:tblStyle w:val="StGen4"/>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8E3F16" w14:paraId="6DC899F6" w14:textId="77777777">
        <w:tc>
          <w:tcPr>
            <w:tcW w:w="9029" w:type="dxa"/>
            <w:shd w:val="clear" w:color="auto" w:fill="C9DAF8"/>
            <w:tcMar>
              <w:top w:w="100" w:type="dxa"/>
              <w:left w:w="100" w:type="dxa"/>
              <w:bottom w:w="100" w:type="dxa"/>
              <w:right w:w="100" w:type="dxa"/>
            </w:tcMar>
          </w:tcPr>
          <w:p w14:paraId="767125EB" w14:textId="77777777" w:rsidR="008E3F16" w:rsidRDefault="00F95A32">
            <w:pPr>
              <w:widowControl w:val="0"/>
              <w:pBdr>
                <w:top w:val="none" w:sz="0" w:space="0" w:color="000000"/>
                <w:left w:val="none" w:sz="0" w:space="0" w:color="000000"/>
                <w:bottom w:val="none" w:sz="0" w:space="0" w:color="000000"/>
                <w:right w:val="none" w:sz="0" w:space="0" w:color="000000"/>
                <w:between w:val="none" w:sz="0" w:space="0" w:color="000000"/>
              </w:pBdr>
              <w:spacing w:line="240" w:lineRule="auto"/>
              <w:jc w:val="center"/>
              <w:rPr>
                <w:b/>
                <w:lang w:val="en-GB"/>
              </w:rPr>
            </w:pPr>
            <w:r>
              <w:rPr>
                <w:b/>
                <w:lang w:val="en-GB"/>
              </w:rPr>
              <w:t>The right to psychological support and mental health</w:t>
            </w:r>
          </w:p>
        </w:tc>
      </w:tr>
    </w:tbl>
    <w:p w14:paraId="43C75A4B" w14:textId="77777777" w:rsidR="008E3F16" w:rsidRDefault="008E3F16">
      <w:pPr>
        <w:rPr>
          <w:b/>
          <w:lang w:val="en-GB"/>
        </w:rPr>
      </w:pPr>
    </w:p>
    <w:p w14:paraId="51DFC6B0" w14:textId="11C5D91D" w:rsidR="008E3F16" w:rsidRDefault="00667993">
      <w:pPr>
        <w:rPr>
          <w:lang w:val="en-GB"/>
        </w:rPr>
      </w:pPr>
      <w:r>
        <w:rPr>
          <w:b/>
          <w:lang w:val="en-GB"/>
        </w:rPr>
        <w:t xml:space="preserve">Regarding </w:t>
      </w:r>
      <w:r w:rsidR="00F95A32">
        <w:rPr>
          <w:b/>
          <w:lang w:val="en-GB"/>
        </w:rPr>
        <w:t>paragraph 27</w:t>
      </w:r>
    </w:p>
    <w:p w14:paraId="10D626CE" w14:textId="77777777" w:rsidR="008E3F16" w:rsidRDefault="008E3F16">
      <w:pPr>
        <w:ind w:firstLine="720"/>
        <w:rPr>
          <w:lang w:val="en-GB"/>
        </w:rPr>
      </w:pPr>
    </w:p>
    <w:p w14:paraId="029B70A6" w14:textId="77777777" w:rsidR="008E3F16" w:rsidRDefault="00F95A32">
      <w:pPr>
        <w:jc w:val="both"/>
        <w:rPr>
          <w:lang w:val="en-GB"/>
        </w:rPr>
      </w:pPr>
      <w:r>
        <w:rPr>
          <w:lang w:val="en-GB"/>
        </w:rPr>
        <w:t>36. As underlined by the report submitted by Ukraine (para 299), as of May 1, 2019, 22,846 children have obtained a status of a child affected by war and armed conflicts</w:t>
      </w:r>
      <w:r>
        <w:rPr>
          <w:vertAlign w:val="superscript"/>
          <w:lang w:val="en-GB"/>
        </w:rPr>
        <w:footnoteReference w:id="33"/>
      </w:r>
      <w:r>
        <w:rPr>
          <w:lang w:val="en-GB"/>
        </w:rPr>
        <w:t xml:space="preserve">. It should be noted </w:t>
      </w:r>
      <w:r>
        <w:rPr>
          <w:highlight w:val="white"/>
          <w:lang w:val="en-GB"/>
        </w:rPr>
        <w:t>that the definition embedded in the above-mentioned law</w:t>
      </w:r>
      <w:r>
        <w:rPr>
          <w:vertAlign w:val="superscript"/>
          <w:lang w:val="en-GB"/>
        </w:rPr>
        <w:footnoteReference w:id="34"/>
      </w:r>
      <w:r>
        <w:rPr>
          <w:highlight w:val="white"/>
          <w:lang w:val="en-GB"/>
        </w:rPr>
        <w:t xml:space="preserve"> led to the establishment of dual statuses, e.g. for children of the </w:t>
      </w:r>
      <w:r>
        <w:rPr>
          <w:lang w:val="en-GB"/>
        </w:rPr>
        <w:t>deceased in the armed conflict</w:t>
      </w:r>
      <w:r>
        <w:rPr>
          <w:highlight w:val="white"/>
          <w:lang w:val="en-GB"/>
        </w:rPr>
        <w:t xml:space="preserve">. </w:t>
      </w:r>
      <w:proofErr w:type="gramStart"/>
      <w:r>
        <w:rPr>
          <w:highlight w:val="white"/>
          <w:lang w:val="en-GB"/>
        </w:rPr>
        <w:t>At the same time, some categories of children affected by the conflict were ignored, such as children who are members of families of veterans, members of families of active military personnel, or members of families of persons with disabilities acquired in the war</w:t>
      </w:r>
      <w:r>
        <w:rPr>
          <w:lang w:val="en-GB"/>
        </w:rPr>
        <w:t>, as well as children that live in the occupied Crimea and can also be considered victims of the conflict.</w:t>
      </w:r>
      <w:proofErr w:type="gramEnd"/>
    </w:p>
    <w:p w14:paraId="3761005F" w14:textId="77777777" w:rsidR="008E3F16" w:rsidRDefault="008E3F16">
      <w:pPr>
        <w:jc w:val="both"/>
        <w:rPr>
          <w:lang w:val="en-GB"/>
        </w:rPr>
      </w:pPr>
    </w:p>
    <w:p w14:paraId="1F57FED3" w14:textId="77777777" w:rsidR="008E3F16" w:rsidRDefault="00F95A32">
      <w:pPr>
        <w:jc w:val="both"/>
        <w:rPr>
          <w:lang w:val="en-GB"/>
        </w:rPr>
      </w:pPr>
      <w:r>
        <w:rPr>
          <w:lang w:val="en-GB"/>
        </w:rPr>
        <w:t xml:space="preserve">37. While the law declares that Ukraine undertakes an obligation to ensure conditions for medical and psychological rehabilitation and social reintegration of children affected by war and armed conflicts, as of January 2020, the policy framework and an action plan for its implementation </w:t>
      </w:r>
      <w:proofErr w:type="gramStart"/>
      <w:r>
        <w:rPr>
          <w:lang w:val="en-GB"/>
        </w:rPr>
        <w:t>have not been adopted</w:t>
      </w:r>
      <w:proofErr w:type="gramEnd"/>
      <w:r>
        <w:rPr>
          <w:lang w:val="en-GB"/>
        </w:rPr>
        <w:t>. As a result, the status of a child affected by war and armed conflicts remains to be only declaratory: there are no specially targeted benefits or programmes provided at the national level.</w:t>
      </w:r>
    </w:p>
    <w:p w14:paraId="0DD7B4FB" w14:textId="77777777" w:rsidR="008E3F16" w:rsidRDefault="008E3F16">
      <w:pPr>
        <w:jc w:val="both"/>
        <w:rPr>
          <w:lang w:val="en-GB"/>
        </w:rPr>
      </w:pPr>
    </w:p>
    <w:p w14:paraId="2746A9DF" w14:textId="77777777" w:rsidR="008E3F16" w:rsidRDefault="00F95A32">
      <w:pPr>
        <w:jc w:val="both"/>
        <w:rPr>
          <w:lang w:val="en-GB"/>
        </w:rPr>
      </w:pPr>
      <w:r>
        <w:rPr>
          <w:lang w:val="en-GB"/>
        </w:rPr>
        <w:t>38. In the absence of strategic documents - the state policy and an action plan - the response to the social needs and provision of psychological support (which is especially important because most of these children have experienced psychological abuse) to the conflict-affected children at the local level is also unsystematic and inconsistent.</w:t>
      </w:r>
    </w:p>
    <w:p w14:paraId="5CEF9BB0" w14:textId="77777777" w:rsidR="008E3F16" w:rsidRDefault="008E3F16">
      <w:pPr>
        <w:jc w:val="both"/>
        <w:rPr>
          <w:lang w:val="en-GB"/>
        </w:rPr>
      </w:pPr>
    </w:p>
    <w:p w14:paraId="6F349A4F" w14:textId="77777777" w:rsidR="008E3F16" w:rsidRDefault="00F95A32">
      <w:pPr>
        <w:jc w:val="both"/>
        <w:rPr>
          <w:lang w:val="en-GB"/>
        </w:rPr>
      </w:pPr>
      <w:r>
        <w:rPr>
          <w:lang w:val="en-GB"/>
        </w:rPr>
        <w:t>39. There is a problem with data collection: for example, while most oblasts keep the records about internally displaced children, the information about children of veterans and/or current combatants is rarely collected</w:t>
      </w:r>
      <w:r>
        <w:rPr>
          <w:vertAlign w:val="superscript"/>
          <w:lang w:val="en-GB"/>
        </w:rPr>
        <w:footnoteReference w:id="35"/>
      </w:r>
      <w:r>
        <w:rPr>
          <w:lang w:val="en-GB"/>
        </w:rPr>
        <w:t xml:space="preserve">. The absence of accurate statistics about different categories of conflict-affected children and standardised procedures for its collection does not allow </w:t>
      </w:r>
      <w:proofErr w:type="gramStart"/>
      <w:r>
        <w:rPr>
          <w:lang w:val="en-GB"/>
        </w:rPr>
        <w:t>to provide</w:t>
      </w:r>
      <w:proofErr w:type="gramEnd"/>
      <w:r>
        <w:rPr>
          <w:lang w:val="en-GB"/>
        </w:rPr>
        <w:t xml:space="preserve"> a needs-based response and comprehensive coverage of different categories of conflict-affected children.</w:t>
      </w:r>
    </w:p>
    <w:p w14:paraId="20D5AEF0" w14:textId="77777777" w:rsidR="008E3F16" w:rsidRDefault="00F95A32">
      <w:pPr>
        <w:spacing w:before="240" w:after="240"/>
        <w:jc w:val="both"/>
        <w:rPr>
          <w:lang w:val="en-GB"/>
        </w:rPr>
      </w:pPr>
      <w:r>
        <w:rPr>
          <w:lang w:val="en-GB"/>
        </w:rPr>
        <w:t xml:space="preserve">40. The issue of psychological aid for persons that </w:t>
      </w:r>
      <w:proofErr w:type="gramStart"/>
      <w:r>
        <w:rPr>
          <w:lang w:val="en-GB"/>
        </w:rPr>
        <w:t>were unlawfully imprisoned</w:t>
      </w:r>
      <w:proofErr w:type="gramEnd"/>
      <w:r>
        <w:rPr>
          <w:lang w:val="en-GB"/>
        </w:rPr>
        <w:t xml:space="preserve"> in connection with the armed conflict has remained unresolved for a long time. At present, according to the Crimean Human Rights Group, at least 400 Ukrainian citizens were or still </w:t>
      </w:r>
      <w:proofErr w:type="gramStart"/>
      <w:r>
        <w:rPr>
          <w:lang w:val="en-GB"/>
        </w:rPr>
        <w:t>are unlawfully deprived</w:t>
      </w:r>
      <w:proofErr w:type="gramEnd"/>
      <w:r>
        <w:rPr>
          <w:lang w:val="en-GB"/>
        </w:rPr>
        <w:t xml:space="preserve"> of their liberty in the TOT and in Russia for political reasons. It was only in December 2019 that Ukraine finally adopted the Procedure on Measures of Post-Release Psychological Rehabilitation for Citizens of Ukraine that Were Taken hostage </w:t>
      </w:r>
      <w:proofErr w:type="gramStart"/>
      <w:r>
        <w:rPr>
          <w:lang w:val="en-GB"/>
        </w:rPr>
        <w:t>as a Result</w:t>
      </w:r>
      <w:proofErr w:type="gramEnd"/>
      <w:r>
        <w:rPr>
          <w:lang w:val="en-GB"/>
        </w:rPr>
        <w:t xml:space="preserve"> of the Armed Aggression against Ukraine, Deprived of Their Liberty for Political Reasons or Captured as Prisoners of War in Defence of Independence, Sovereignty and Territorial Integrity of Ukraine</w:t>
      </w:r>
      <w:r>
        <w:rPr>
          <w:vertAlign w:val="superscript"/>
          <w:lang w:val="en-GB"/>
        </w:rPr>
        <w:footnoteReference w:id="36"/>
      </w:r>
      <w:r>
        <w:rPr>
          <w:lang w:val="en-GB"/>
        </w:rPr>
        <w:t>.</w:t>
      </w:r>
    </w:p>
    <w:p w14:paraId="112BE158" w14:textId="30550080" w:rsidR="008E3F16" w:rsidRDefault="00F95A32">
      <w:pPr>
        <w:spacing w:before="240" w:after="240"/>
        <w:jc w:val="both"/>
        <w:rPr>
          <w:lang w:val="en-GB"/>
        </w:rPr>
      </w:pPr>
      <w:r>
        <w:rPr>
          <w:lang w:val="en-GB"/>
        </w:rPr>
        <w:t xml:space="preserve">41. Under the Procedure, DLSP bodies take steps to ensure psychological rehabilitation of the released persons by referring them to providers of psychological rehabilitation services, with the state reimbursing associated costs. The list of entities providing such services that may be reimbursed for it is formed by the </w:t>
      </w:r>
      <w:r w:rsidR="003246F8">
        <w:rPr>
          <w:lang w:val="en-GB"/>
        </w:rPr>
        <w:t xml:space="preserve">MVTOT </w:t>
      </w:r>
      <w:r>
        <w:rPr>
          <w:lang w:val="en-GB"/>
        </w:rPr>
        <w:t>based on the decision of a special commission, which has not yet begun work, meaning that the aforementioned category of citizens is receiving no state support with psychological rehabilitation. Some of these people are able to get support with the help of charitable organizations and donations.</w:t>
      </w:r>
    </w:p>
    <w:p w14:paraId="5B70B7D2" w14:textId="44FB1DB5" w:rsidR="008E3F16" w:rsidRDefault="00F95A32">
      <w:pPr>
        <w:jc w:val="both"/>
        <w:rPr>
          <w:lang w:val="en-GB"/>
        </w:rPr>
      </w:pPr>
      <w:r>
        <w:rPr>
          <w:lang w:val="en-GB"/>
        </w:rPr>
        <w:t xml:space="preserve">42. Residents (especially children and the elderly) of cities located near the </w:t>
      </w:r>
      <w:r w:rsidR="00820DCF">
        <w:rPr>
          <w:lang w:val="en-GB"/>
        </w:rPr>
        <w:t xml:space="preserve">contact line </w:t>
      </w:r>
      <w:r>
        <w:rPr>
          <w:lang w:val="en-GB"/>
        </w:rPr>
        <w:t xml:space="preserve">are in poor moral and psychological state. The constant stress and post-traumatic symptoms negatively affect their health and the quality of life there. Many of them are in need of primary psychological care and systematic </w:t>
      </w:r>
      <w:proofErr w:type="gramStart"/>
      <w:r>
        <w:rPr>
          <w:lang w:val="en-GB"/>
        </w:rPr>
        <w:t>awareness-raising</w:t>
      </w:r>
      <w:proofErr w:type="gramEnd"/>
      <w:r>
        <w:rPr>
          <w:lang w:val="en-GB"/>
        </w:rPr>
        <w:t xml:space="preserve"> to help them understand psychological hygiene and to tell them how to maintain one’s mental health with professional help. At present, there are no state programmes for providing psychological assistance to residents of frontier areas. The only thing that comes close is the work of school psychologists, but they are unable to provide quality services to everyone who needs it. The role of psychologists often has to </w:t>
      </w:r>
      <w:proofErr w:type="gramStart"/>
      <w:r>
        <w:rPr>
          <w:lang w:val="en-GB"/>
        </w:rPr>
        <w:t>be performed</w:t>
      </w:r>
      <w:proofErr w:type="gramEnd"/>
      <w:r>
        <w:rPr>
          <w:lang w:val="en-GB"/>
        </w:rPr>
        <w:t xml:space="preserve"> by paramedics. Frontier areas also </w:t>
      </w:r>
      <w:r w:rsidR="00957E8C">
        <w:rPr>
          <w:lang w:val="en-GB"/>
        </w:rPr>
        <w:t>report a</w:t>
      </w:r>
      <w:r>
        <w:rPr>
          <w:lang w:val="en-GB"/>
        </w:rPr>
        <w:t xml:space="preserve"> shortage of essential medical supplies, equipment and medicines as well as a shortage of medical personnel. Representatives of national and international NGOs provide primary medical care at the checkpoints and near the </w:t>
      </w:r>
      <w:r w:rsidR="00820DCF">
        <w:rPr>
          <w:lang w:val="en-GB"/>
        </w:rPr>
        <w:t xml:space="preserve">contact </w:t>
      </w:r>
      <w:r>
        <w:rPr>
          <w:lang w:val="en-GB"/>
        </w:rPr>
        <w:t>line.</w:t>
      </w:r>
    </w:p>
    <w:p w14:paraId="1C95BE45" w14:textId="77777777" w:rsidR="008E3F16" w:rsidRDefault="008E3F16">
      <w:pPr>
        <w:jc w:val="both"/>
        <w:rPr>
          <w:lang w:val="en-GB"/>
        </w:rPr>
      </w:pPr>
    </w:p>
    <w:tbl>
      <w:tblPr>
        <w:tblStyle w:val="StGen5"/>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8E3F16" w14:paraId="231BA4E6" w14:textId="77777777">
        <w:tc>
          <w:tcPr>
            <w:tcW w:w="9029" w:type="dxa"/>
            <w:shd w:val="clear" w:color="auto" w:fill="C9DAF8"/>
            <w:tcMar>
              <w:top w:w="100" w:type="dxa"/>
              <w:left w:w="100" w:type="dxa"/>
              <w:bottom w:w="100" w:type="dxa"/>
              <w:right w:w="100" w:type="dxa"/>
            </w:tcMar>
          </w:tcPr>
          <w:p w14:paraId="37B12D17" w14:textId="77777777" w:rsidR="008E3F16" w:rsidRDefault="00F95A32">
            <w:pPr>
              <w:widowControl w:val="0"/>
              <w:pBdr>
                <w:top w:val="none" w:sz="0" w:space="0" w:color="000000"/>
                <w:left w:val="none" w:sz="0" w:space="0" w:color="000000"/>
                <w:bottom w:val="none" w:sz="0" w:space="0" w:color="000000"/>
                <w:right w:val="none" w:sz="0" w:space="0" w:color="000000"/>
                <w:between w:val="none" w:sz="0" w:space="0" w:color="000000"/>
              </w:pBdr>
              <w:spacing w:line="240" w:lineRule="auto"/>
              <w:jc w:val="center"/>
              <w:rPr>
                <w:b/>
                <w:lang w:val="en-GB"/>
              </w:rPr>
            </w:pPr>
            <w:r>
              <w:rPr>
                <w:b/>
                <w:lang w:val="en-GB"/>
              </w:rPr>
              <w:lastRenderedPageBreak/>
              <w:t>The right to education</w:t>
            </w:r>
          </w:p>
        </w:tc>
      </w:tr>
    </w:tbl>
    <w:p w14:paraId="7691C15A" w14:textId="77777777" w:rsidR="008E3F16" w:rsidRDefault="008E3F16">
      <w:pPr>
        <w:jc w:val="both"/>
        <w:rPr>
          <w:lang w:val="en-GB"/>
        </w:rPr>
      </w:pPr>
    </w:p>
    <w:p w14:paraId="50B38391" w14:textId="70AF8F67" w:rsidR="008E3F16" w:rsidRDefault="00667993">
      <w:pPr>
        <w:rPr>
          <w:lang w:val="en-GB"/>
        </w:rPr>
      </w:pPr>
      <w:r>
        <w:rPr>
          <w:b/>
          <w:lang w:val="en-GB"/>
        </w:rPr>
        <w:t xml:space="preserve">Regarding </w:t>
      </w:r>
      <w:r w:rsidR="00F95A32">
        <w:rPr>
          <w:b/>
          <w:lang w:val="en-GB"/>
        </w:rPr>
        <w:t>paragraph 28 (а)</w:t>
      </w:r>
    </w:p>
    <w:p w14:paraId="11CB44D8" w14:textId="77777777" w:rsidR="008E3F16" w:rsidRDefault="008E3F16">
      <w:pPr>
        <w:ind w:firstLine="720"/>
        <w:rPr>
          <w:lang w:val="en-GB"/>
        </w:rPr>
      </w:pPr>
    </w:p>
    <w:p w14:paraId="3E1CCCEA" w14:textId="77DF5AC7" w:rsidR="008E3F16" w:rsidRDefault="00F95A32">
      <w:pPr>
        <w:jc w:val="both"/>
        <w:rPr>
          <w:lang w:val="en-GB"/>
        </w:rPr>
      </w:pPr>
      <w:r>
        <w:rPr>
          <w:lang w:val="en-GB"/>
        </w:rPr>
        <w:t xml:space="preserve">43. Schools located </w:t>
      </w:r>
      <w:r w:rsidR="00820DCF">
        <w:rPr>
          <w:lang w:val="en-GB"/>
        </w:rPr>
        <w:t>near</w:t>
      </w:r>
      <w:r>
        <w:rPr>
          <w:lang w:val="en-GB"/>
        </w:rPr>
        <w:t xml:space="preserve"> the </w:t>
      </w:r>
      <w:r w:rsidR="00820DCF">
        <w:rPr>
          <w:lang w:val="en-GB"/>
        </w:rPr>
        <w:t xml:space="preserve">contact line </w:t>
      </w:r>
      <w:r>
        <w:rPr>
          <w:lang w:val="en-GB"/>
        </w:rPr>
        <w:t xml:space="preserve">(5 km zone) lack properly equipped bomb shelters or even simple basements to hide in the event of shelling, and </w:t>
      </w:r>
      <w:proofErr w:type="gramStart"/>
      <w:r>
        <w:rPr>
          <w:lang w:val="en-GB"/>
        </w:rPr>
        <w:t>it’s</w:t>
      </w:r>
      <w:proofErr w:type="gramEnd"/>
      <w:r>
        <w:rPr>
          <w:lang w:val="en-GB"/>
        </w:rPr>
        <w:t xml:space="preserve"> the same situation in other schools of Donetsk and Luhansk oblasts. In some schools, basements are only accessible from the outside, which puts the lives of children, teachers and administrators in danger. Furthermore, standard emergency plans focus on natural disasters such as earthquakes and fires and generally involve the evacuation of children from the building. This, of course, is </w:t>
      </w:r>
      <w:r w:rsidR="00957E8C">
        <w:rPr>
          <w:lang w:val="en-GB"/>
        </w:rPr>
        <w:t xml:space="preserve">not </w:t>
      </w:r>
      <w:r>
        <w:rPr>
          <w:lang w:val="en-GB"/>
        </w:rPr>
        <w:t xml:space="preserve">advisable when a city comes under artillery fire. This situation </w:t>
      </w:r>
      <w:proofErr w:type="gramStart"/>
      <w:r>
        <w:rPr>
          <w:lang w:val="en-GB"/>
        </w:rPr>
        <w:t>is observed</w:t>
      </w:r>
      <w:proofErr w:type="gramEnd"/>
      <w:r w:rsidR="00957E8C">
        <w:rPr>
          <w:lang w:val="en-GB"/>
        </w:rPr>
        <w:t xml:space="preserve"> inter alia in</w:t>
      </w:r>
      <w:r>
        <w:rPr>
          <w:lang w:val="en-GB"/>
        </w:rPr>
        <w:t xml:space="preserve"> the schools of </w:t>
      </w:r>
      <w:proofErr w:type="spellStart"/>
      <w:r>
        <w:rPr>
          <w:lang w:val="en-GB"/>
        </w:rPr>
        <w:t>Chermalyk</w:t>
      </w:r>
      <w:proofErr w:type="spellEnd"/>
      <w:r>
        <w:rPr>
          <w:lang w:val="en-GB"/>
        </w:rPr>
        <w:t xml:space="preserve">, </w:t>
      </w:r>
      <w:proofErr w:type="spellStart"/>
      <w:r>
        <w:rPr>
          <w:lang w:val="en-GB"/>
        </w:rPr>
        <w:t>Granitne</w:t>
      </w:r>
      <w:proofErr w:type="spellEnd"/>
      <w:r>
        <w:rPr>
          <w:lang w:val="en-GB"/>
        </w:rPr>
        <w:t xml:space="preserve">, </w:t>
      </w:r>
      <w:proofErr w:type="spellStart"/>
      <w:r>
        <w:rPr>
          <w:lang w:val="en-GB"/>
        </w:rPr>
        <w:t>Maryinka</w:t>
      </w:r>
      <w:proofErr w:type="spellEnd"/>
      <w:r>
        <w:rPr>
          <w:lang w:val="en-GB"/>
        </w:rPr>
        <w:t xml:space="preserve"> and </w:t>
      </w:r>
      <w:proofErr w:type="spellStart"/>
      <w:r>
        <w:rPr>
          <w:lang w:val="en-GB"/>
        </w:rPr>
        <w:t>Krasnogorivka</w:t>
      </w:r>
      <w:proofErr w:type="spellEnd"/>
      <w:r>
        <w:rPr>
          <w:lang w:val="en-GB"/>
        </w:rPr>
        <w:t>.</w:t>
      </w:r>
    </w:p>
    <w:p w14:paraId="71EDFA8E" w14:textId="77777777" w:rsidR="008E3F16" w:rsidRDefault="008E3F16">
      <w:pPr>
        <w:jc w:val="both"/>
        <w:rPr>
          <w:lang w:val="en-GB"/>
        </w:rPr>
      </w:pPr>
    </w:p>
    <w:p w14:paraId="51B219B6" w14:textId="4F233988" w:rsidR="008E3F16" w:rsidRDefault="00F95A32">
      <w:pPr>
        <w:jc w:val="both"/>
        <w:rPr>
          <w:lang w:val="en-GB"/>
        </w:rPr>
      </w:pPr>
      <w:r>
        <w:rPr>
          <w:lang w:val="en-GB"/>
        </w:rPr>
        <w:t xml:space="preserve">44. There are currently no state programmes on ensuring the safety of </w:t>
      </w:r>
      <w:r w:rsidR="00957E8C">
        <w:rPr>
          <w:lang w:val="en-GB"/>
        </w:rPr>
        <w:t>educational personnel</w:t>
      </w:r>
      <w:r>
        <w:rPr>
          <w:lang w:val="en-GB"/>
        </w:rPr>
        <w:t xml:space="preserve"> near the </w:t>
      </w:r>
      <w:r w:rsidR="00820DCF">
        <w:rPr>
          <w:lang w:val="en-GB"/>
        </w:rPr>
        <w:t xml:space="preserve">contact </w:t>
      </w:r>
      <w:r>
        <w:rPr>
          <w:lang w:val="en-GB"/>
        </w:rPr>
        <w:t>line. However, the fact that the Government adopted</w:t>
      </w:r>
      <w:r w:rsidR="00957E8C">
        <w:rPr>
          <w:lang w:val="en-GB"/>
        </w:rPr>
        <w:t xml:space="preserve"> safe schools</w:t>
      </w:r>
      <w:r>
        <w:rPr>
          <w:lang w:val="en-GB"/>
        </w:rPr>
        <w:t xml:space="preserve"> declaration in November 2019 is a step forward.</w:t>
      </w:r>
    </w:p>
    <w:p w14:paraId="38914C56" w14:textId="77777777" w:rsidR="008E3F16" w:rsidRDefault="008E3F16">
      <w:pPr>
        <w:jc w:val="both"/>
        <w:rPr>
          <w:lang w:val="en-GB"/>
        </w:rPr>
      </w:pPr>
    </w:p>
    <w:p w14:paraId="392A4454" w14:textId="698C32A3" w:rsidR="008E3F16" w:rsidRDefault="00F95A32">
      <w:pPr>
        <w:jc w:val="both"/>
        <w:rPr>
          <w:lang w:val="en-GB"/>
        </w:rPr>
      </w:pPr>
      <w:proofErr w:type="gramStart"/>
      <w:r>
        <w:rPr>
          <w:lang w:val="en-GB"/>
        </w:rPr>
        <w:t xml:space="preserve">45. The system for designating hub schools fails to take into account the specifics of frontier areas, such as the remoteness of small localities, bad roads due to the movements of heavy military vehicles and lack of maintenance, evening shelling (when it’s dark), lack of street lighting in villages (for additional protection against shelling) located within a 5-kilometre </w:t>
      </w:r>
      <w:r w:rsidR="00957E8C">
        <w:rPr>
          <w:lang w:val="en-GB"/>
        </w:rPr>
        <w:t xml:space="preserve">zone </w:t>
      </w:r>
      <w:r>
        <w:rPr>
          <w:lang w:val="en-GB"/>
        </w:rPr>
        <w:t xml:space="preserve">from the </w:t>
      </w:r>
      <w:r w:rsidR="00957E8C">
        <w:rPr>
          <w:lang w:val="en-GB"/>
        </w:rPr>
        <w:t xml:space="preserve">contact </w:t>
      </w:r>
      <w:r>
        <w:rPr>
          <w:lang w:val="en-GB"/>
        </w:rPr>
        <w:t>line.</w:t>
      </w:r>
      <w:proofErr w:type="gramEnd"/>
      <w:r>
        <w:rPr>
          <w:lang w:val="en-GB"/>
        </w:rPr>
        <w:t xml:space="preserve"> Both oblasts </w:t>
      </w:r>
      <w:r w:rsidR="00957E8C">
        <w:rPr>
          <w:lang w:val="en-GB"/>
        </w:rPr>
        <w:t>have</w:t>
      </w:r>
      <w:r>
        <w:rPr>
          <w:lang w:val="en-GB"/>
        </w:rPr>
        <w:t xml:space="preserve"> poorly accessible hub schools and lack of school buses, with the worst </w:t>
      </w:r>
      <w:r w:rsidR="00957E8C">
        <w:rPr>
          <w:lang w:val="en-GB"/>
        </w:rPr>
        <w:t>situation in</w:t>
      </w:r>
      <w:r>
        <w:rPr>
          <w:lang w:val="en-GB"/>
        </w:rPr>
        <w:t xml:space="preserve"> </w:t>
      </w:r>
      <w:proofErr w:type="spellStart"/>
      <w:r>
        <w:rPr>
          <w:lang w:val="en-GB"/>
        </w:rPr>
        <w:t>Berdyansk</w:t>
      </w:r>
      <w:proofErr w:type="spellEnd"/>
      <w:r>
        <w:rPr>
          <w:lang w:val="en-GB"/>
        </w:rPr>
        <w:t xml:space="preserve">, </w:t>
      </w:r>
      <w:proofErr w:type="spellStart"/>
      <w:r>
        <w:rPr>
          <w:lang w:val="en-GB"/>
        </w:rPr>
        <w:t>Sopine</w:t>
      </w:r>
      <w:proofErr w:type="spellEnd"/>
      <w:r>
        <w:rPr>
          <w:lang w:val="en-GB"/>
        </w:rPr>
        <w:t xml:space="preserve">, </w:t>
      </w:r>
      <w:proofErr w:type="spellStart"/>
      <w:r>
        <w:rPr>
          <w:lang w:val="en-GB"/>
        </w:rPr>
        <w:t>Kalynivka</w:t>
      </w:r>
      <w:proofErr w:type="spellEnd"/>
      <w:r>
        <w:rPr>
          <w:lang w:val="en-GB"/>
        </w:rPr>
        <w:t xml:space="preserve">, </w:t>
      </w:r>
      <w:proofErr w:type="spellStart"/>
      <w:r>
        <w:rPr>
          <w:lang w:val="en-GB"/>
        </w:rPr>
        <w:t>Novognativka</w:t>
      </w:r>
      <w:proofErr w:type="spellEnd"/>
      <w:r>
        <w:rPr>
          <w:lang w:val="en-GB"/>
        </w:rPr>
        <w:t xml:space="preserve"> and </w:t>
      </w:r>
      <w:proofErr w:type="spellStart"/>
      <w:r>
        <w:rPr>
          <w:lang w:val="en-GB"/>
        </w:rPr>
        <w:t>Staromaryivka</w:t>
      </w:r>
      <w:proofErr w:type="spellEnd"/>
      <w:r>
        <w:rPr>
          <w:lang w:val="en-GB"/>
        </w:rPr>
        <w:t>.</w:t>
      </w:r>
    </w:p>
    <w:p w14:paraId="258C1020" w14:textId="77777777" w:rsidR="008E3F16" w:rsidRDefault="008E3F16">
      <w:pPr>
        <w:jc w:val="both"/>
        <w:rPr>
          <w:lang w:val="en-GB"/>
        </w:rPr>
      </w:pPr>
    </w:p>
    <w:p w14:paraId="09536BA7" w14:textId="77777777" w:rsidR="008E3F16" w:rsidRDefault="00F95A32">
      <w:pPr>
        <w:jc w:val="both"/>
        <w:rPr>
          <w:lang w:val="en-GB"/>
        </w:rPr>
      </w:pPr>
      <w:r>
        <w:rPr>
          <w:lang w:val="en-GB"/>
        </w:rPr>
        <w:t>46. The distance education system suggested by the Ministry of Education and Science has drawbacks that cause or stimulate bribery, human rights violations, etc.</w:t>
      </w:r>
    </w:p>
    <w:p w14:paraId="605598D8" w14:textId="77777777" w:rsidR="008E3F16" w:rsidRDefault="008E3F16">
      <w:pPr>
        <w:ind w:firstLine="720"/>
        <w:rPr>
          <w:lang w:val="en-GB"/>
        </w:rPr>
      </w:pPr>
    </w:p>
    <w:p w14:paraId="4ED572A1" w14:textId="427F7673" w:rsidR="008E3F16" w:rsidRDefault="00667993">
      <w:pPr>
        <w:rPr>
          <w:lang w:val="en-GB"/>
        </w:rPr>
      </w:pPr>
      <w:r>
        <w:rPr>
          <w:b/>
          <w:lang w:val="en-GB"/>
        </w:rPr>
        <w:t xml:space="preserve">Regarding </w:t>
      </w:r>
      <w:r w:rsidR="00F95A32">
        <w:rPr>
          <w:b/>
          <w:lang w:val="en-GB"/>
        </w:rPr>
        <w:t>paragraph 28 (b)</w:t>
      </w:r>
    </w:p>
    <w:p w14:paraId="6D9B745C" w14:textId="77777777" w:rsidR="008E3F16" w:rsidRDefault="008E3F16">
      <w:pPr>
        <w:ind w:firstLine="720"/>
        <w:rPr>
          <w:lang w:val="en-GB"/>
        </w:rPr>
      </w:pPr>
    </w:p>
    <w:p w14:paraId="7FCBE082" w14:textId="76FDEF78" w:rsidR="008E3F16" w:rsidRDefault="00F95A32">
      <w:pPr>
        <w:jc w:val="both"/>
        <w:rPr>
          <w:lang w:val="en-GB"/>
        </w:rPr>
      </w:pPr>
      <w:r>
        <w:rPr>
          <w:lang w:val="en-GB"/>
        </w:rPr>
        <w:t xml:space="preserve">46. Most of the children living in the TOT are receiving secondary education in schools located there. Since the Government of Ukraine does not recognize documents issued in the TOT, secondary school diplomas do not allow these children to apply to HEIs within </w:t>
      </w:r>
      <w:r w:rsidR="00957E8C">
        <w:rPr>
          <w:lang w:val="en-GB"/>
        </w:rPr>
        <w:t>GCA</w:t>
      </w:r>
      <w:r>
        <w:rPr>
          <w:lang w:val="en-GB"/>
        </w:rPr>
        <w:t xml:space="preserve">. Furthermore, the policy of the de facto TOT authorities since 2014 </w:t>
      </w:r>
      <w:proofErr w:type="gramStart"/>
      <w:r>
        <w:rPr>
          <w:lang w:val="en-GB"/>
        </w:rPr>
        <w:t>has been aimed</w:t>
      </w:r>
      <w:proofErr w:type="gramEnd"/>
      <w:r>
        <w:rPr>
          <w:lang w:val="en-GB"/>
        </w:rPr>
        <w:t xml:space="preserve"> at reducing the number of Ukrainian-language classes, </w:t>
      </w:r>
      <w:r w:rsidR="00957E8C">
        <w:rPr>
          <w:lang w:val="en-GB"/>
        </w:rPr>
        <w:t>closing</w:t>
      </w:r>
      <w:r>
        <w:rPr>
          <w:lang w:val="en-GB"/>
        </w:rPr>
        <w:t xml:space="preserve"> Ukrainian-language schools and removing certain school subjects (namely Ukrainian language, Ukrainian literature and Ukrainian history) from school curriculum. Thus, according to official statistics, in the 2018-2019 academic year, out of 200.7 thousand school students in Crimea, 194.4 thousand </w:t>
      </w:r>
      <w:proofErr w:type="gramStart"/>
      <w:r>
        <w:rPr>
          <w:lang w:val="en-GB"/>
        </w:rPr>
        <w:t>were taught</w:t>
      </w:r>
      <w:proofErr w:type="gramEnd"/>
      <w:r>
        <w:rPr>
          <w:lang w:val="en-GB"/>
        </w:rPr>
        <w:t xml:space="preserve"> in Russian and only 249 - in Ukrainian.</w:t>
      </w:r>
    </w:p>
    <w:p w14:paraId="4B70DB6E" w14:textId="77777777" w:rsidR="008E3F16" w:rsidRDefault="008E3F16">
      <w:pPr>
        <w:jc w:val="both"/>
        <w:rPr>
          <w:lang w:val="en-GB"/>
        </w:rPr>
      </w:pPr>
    </w:p>
    <w:p w14:paraId="439EDCB5" w14:textId="06D8CFB3" w:rsidR="008E3F16" w:rsidRDefault="00F95A32">
      <w:pPr>
        <w:jc w:val="both"/>
        <w:rPr>
          <w:lang w:val="en-GB"/>
        </w:rPr>
      </w:pPr>
      <w:r>
        <w:rPr>
          <w:lang w:val="en-GB"/>
        </w:rPr>
        <w:t>47. It is necessary to consider the peculiarities of education in the occupied Crimea here. The system of formal education in the occupied Crimea is part of Russia’s deliberate policy aimed at the militarization of the local population and destruction of their Ukrainian identity. In practice, there are no more Ukrainian-language schools in Crimea already</w:t>
      </w:r>
      <w:r>
        <w:rPr>
          <w:vertAlign w:val="superscript"/>
          <w:lang w:val="en-GB"/>
        </w:rPr>
        <w:footnoteReference w:id="37"/>
      </w:r>
      <w:r>
        <w:rPr>
          <w:lang w:val="en-GB"/>
        </w:rPr>
        <w:t xml:space="preserve">, and Crimean children are unable to choose citizenship and identity other than Russian. The children </w:t>
      </w:r>
      <w:proofErr w:type="gramStart"/>
      <w:r>
        <w:rPr>
          <w:lang w:val="en-GB"/>
        </w:rPr>
        <w:t>are exposed</w:t>
      </w:r>
      <w:proofErr w:type="gramEnd"/>
      <w:r>
        <w:rPr>
          <w:lang w:val="en-GB"/>
        </w:rPr>
        <w:t xml:space="preserve"> to constant propaganda promoting service in the Russian military, which violates IHL. </w:t>
      </w:r>
      <w:r>
        <w:rPr>
          <w:lang w:val="en-GB"/>
        </w:rPr>
        <w:lastRenderedPageBreak/>
        <w:t xml:space="preserve">In these circumstances, one of the only ways left for Crimean children to retain their Ukrainian identity and receive education that is in line with the values of a democratic state is by relocating to </w:t>
      </w:r>
      <w:r w:rsidR="00957E8C">
        <w:rPr>
          <w:lang w:val="en-GB"/>
        </w:rPr>
        <w:t>GCA</w:t>
      </w:r>
      <w:r>
        <w:rPr>
          <w:lang w:val="en-GB"/>
        </w:rPr>
        <w:t xml:space="preserve"> and receiving secondary or higher education there.</w:t>
      </w:r>
    </w:p>
    <w:p w14:paraId="6CBFDEA3" w14:textId="77777777" w:rsidR="008E3F16" w:rsidRDefault="008E3F16">
      <w:pPr>
        <w:jc w:val="both"/>
        <w:rPr>
          <w:lang w:val="en-GB"/>
        </w:rPr>
      </w:pPr>
    </w:p>
    <w:p w14:paraId="17CD05B5" w14:textId="3205321D" w:rsidR="008E3F16" w:rsidRDefault="00F95A32">
      <w:pPr>
        <w:jc w:val="both"/>
        <w:rPr>
          <w:lang w:val="en-GB"/>
        </w:rPr>
      </w:pPr>
      <w:r>
        <w:rPr>
          <w:lang w:val="en-GB"/>
        </w:rPr>
        <w:t xml:space="preserve">48. Children from the TOT are facing numerous challenges when trying to obtain education in </w:t>
      </w:r>
      <w:r w:rsidR="00957E8C">
        <w:rPr>
          <w:lang w:val="en-GB"/>
        </w:rPr>
        <w:t>GCA</w:t>
      </w:r>
      <w:r>
        <w:rPr>
          <w:lang w:val="en-GB"/>
        </w:rPr>
        <w:t xml:space="preserve">. Thus, Ukraine-issued certificates on basic and complete secondary education </w:t>
      </w:r>
      <w:proofErr w:type="gramStart"/>
      <w:r>
        <w:rPr>
          <w:lang w:val="en-GB"/>
        </w:rPr>
        <w:t>are granted</w:t>
      </w:r>
      <w:proofErr w:type="gramEnd"/>
      <w:r>
        <w:rPr>
          <w:lang w:val="en-GB"/>
        </w:rPr>
        <w:t xml:space="preserve"> to children from the TOT who already hold these documents, but issued in the TOT, only if these children intend to apply to HEIs in </w:t>
      </w:r>
      <w:r w:rsidR="00957E8C">
        <w:rPr>
          <w:lang w:val="en-GB"/>
        </w:rPr>
        <w:t>GCA</w:t>
      </w:r>
      <w:r>
        <w:rPr>
          <w:lang w:val="en-GB"/>
        </w:rPr>
        <w:t xml:space="preserve">. If not, certificates issued in the TOT are not recognized and no procedure exists for granting Ukraine-issued certificates </w:t>
      </w:r>
      <w:proofErr w:type="gramStart"/>
      <w:r>
        <w:rPr>
          <w:lang w:val="en-GB"/>
        </w:rPr>
        <w:t>on the basis of</w:t>
      </w:r>
      <w:proofErr w:type="gramEnd"/>
      <w:r>
        <w:rPr>
          <w:lang w:val="en-GB"/>
        </w:rPr>
        <w:t xml:space="preserve"> the TOT ones. Accordingly, this category of Ukrainian citizens is unable to find a job after graduating school, or to receive vocational education. Applying to Ukrainian HEIs involves crossing the administrative border with Crimea or the </w:t>
      </w:r>
      <w:r w:rsidR="00820DCF">
        <w:rPr>
          <w:lang w:val="en-GB"/>
        </w:rPr>
        <w:t xml:space="preserve">contact line </w:t>
      </w:r>
      <w:r>
        <w:rPr>
          <w:lang w:val="en-GB"/>
        </w:rPr>
        <w:t xml:space="preserve">within Donetsk and Luhansk oblasts several times. Moreover, the absence of public transportation between the TOT and </w:t>
      </w:r>
      <w:r w:rsidR="00957E8C">
        <w:rPr>
          <w:lang w:val="en-GB"/>
        </w:rPr>
        <w:t>GCA</w:t>
      </w:r>
      <w:r>
        <w:rPr>
          <w:lang w:val="en-GB"/>
        </w:rPr>
        <w:t xml:space="preserve"> further complicates the process of entry into Ukrainian HEIs by TOT residents.</w:t>
      </w:r>
    </w:p>
    <w:p w14:paraId="2F60B936" w14:textId="77777777" w:rsidR="008E3F16" w:rsidRDefault="008E3F16">
      <w:pPr>
        <w:jc w:val="both"/>
        <w:rPr>
          <w:lang w:val="en-GB"/>
        </w:rPr>
      </w:pPr>
    </w:p>
    <w:p w14:paraId="2CAE18E5" w14:textId="0C603EEE" w:rsidR="008E3F16" w:rsidRDefault="00F95A32">
      <w:pPr>
        <w:jc w:val="both"/>
        <w:rPr>
          <w:lang w:val="en-GB"/>
        </w:rPr>
      </w:pPr>
      <w:r>
        <w:rPr>
          <w:lang w:val="en-GB"/>
        </w:rPr>
        <w:t xml:space="preserve">49. The State does provide a simplified procedure for entry into HEIs for TOT residents - through the so-called education centres Crimea-Ukraine and Donbas-Ukraine. Unfortunately, these centres only allow entry into a limited list of HEIs in </w:t>
      </w:r>
      <w:r w:rsidR="00957E8C">
        <w:rPr>
          <w:lang w:val="en-GB"/>
        </w:rPr>
        <w:t>GCA</w:t>
      </w:r>
      <w:r>
        <w:rPr>
          <w:lang w:val="en-GB"/>
        </w:rPr>
        <w:t xml:space="preserve">. In addition, the entrants from the ARC and those from Donetsk and Luhansk oblasts </w:t>
      </w:r>
      <w:proofErr w:type="gramStart"/>
      <w:r>
        <w:rPr>
          <w:lang w:val="en-GB"/>
        </w:rPr>
        <w:t>are offered</w:t>
      </w:r>
      <w:proofErr w:type="gramEnd"/>
      <w:r>
        <w:rPr>
          <w:lang w:val="en-GB"/>
        </w:rPr>
        <w:t xml:space="preserve"> different lists of HEIs, based on their proximity to the respective occupied territory. This simplified procedure has already demonstrated its ineffectiveness: thus, in 2017, only 204 Crimean residents joined HEIs using this procedure, even though schools on the occupied peninsula have 10-12 thousand graduates every year.</w:t>
      </w:r>
    </w:p>
    <w:p w14:paraId="2DFDDF96" w14:textId="77777777" w:rsidR="008E3F16" w:rsidRDefault="008E3F16">
      <w:pPr>
        <w:rPr>
          <w:lang w:val="en-GB"/>
        </w:rPr>
      </w:pPr>
    </w:p>
    <w:p w14:paraId="7F774186" w14:textId="77777777" w:rsidR="008E3F16" w:rsidRDefault="00F95A32">
      <w:pPr>
        <w:jc w:val="both"/>
        <w:rPr>
          <w:b/>
          <w:lang w:val="en-GB"/>
        </w:rPr>
      </w:pPr>
      <w:r>
        <w:rPr>
          <w:b/>
          <w:lang w:val="en-GB"/>
        </w:rPr>
        <w:t>The Coalition asks the Committee to consider incorporating the following recommendations into its final observations for the State party:</w:t>
      </w:r>
    </w:p>
    <w:p w14:paraId="1D19AF30" w14:textId="77777777" w:rsidR="008E3F16" w:rsidRDefault="008E3F16">
      <w:pPr>
        <w:jc w:val="both"/>
        <w:rPr>
          <w:lang w:val="en-GB"/>
        </w:rPr>
      </w:pPr>
    </w:p>
    <w:p w14:paraId="7D628180" w14:textId="635AF35F" w:rsidR="008E3F16" w:rsidRDefault="00F95A32">
      <w:pPr>
        <w:numPr>
          <w:ilvl w:val="0"/>
          <w:numId w:val="8"/>
        </w:numPr>
        <w:rPr>
          <w:lang w:val="en-GB"/>
        </w:rPr>
      </w:pPr>
      <w:proofErr w:type="gramStart"/>
      <w:r>
        <w:rPr>
          <w:lang w:val="en-GB"/>
        </w:rPr>
        <w:t>the</w:t>
      </w:r>
      <w:proofErr w:type="gramEnd"/>
      <w:r>
        <w:rPr>
          <w:lang w:val="en-GB"/>
        </w:rPr>
        <w:t xml:space="preserve"> protection and observance of the rights of the conflict-affected population in Ukraine should be one of the priorities for the Government and should include a wide range of issues, namely </w:t>
      </w:r>
      <w:r w:rsidR="00667993">
        <w:rPr>
          <w:lang w:val="en-GB"/>
        </w:rPr>
        <w:t xml:space="preserve">Regarding </w:t>
      </w:r>
      <w:r>
        <w:rPr>
          <w:lang w:val="en-GB"/>
        </w:rPr>
        <w:t>the exercising of the right to social protection by IDPs and persons that remained in the temporarily occupied territories of Ukraine.</w:t>
      </w:r>
    </w:p>
    <w:p w14:paraId="470F0D20" w14:textId="33376538" w:rsidR="008E3F16" w:rsidRDefault="00667993">
      <w:pPr>
        <w:rPr>
          <w:i/>
          <w:lang w:val="en-GB"/>
        </w:rPr>
      </w:pPr>
      <w:r>
        <w:rPr>
          <w:i/>
          <w:lang w:val="en-GB"/>
        </w:rPr>
        <w:t xml:space="preserve">Regarding </w:t>
      </w:r>
      <w:r w:rsidR="00F95A32">
        <w:rPr>
          <w:i/>
          <w:lang w:val="en-GB"/>
        </w:rPr>
        <w:t>paragraph 1:</w:t>
      </w:r>
    </w:p>
    <w:p w14:paraId="277767C2" w14:textId="77777777" w:rsidR="008E3F16" w:rsidRDefault="00F95A32">
      <w:pPr>
        <w:numPr>
          <w:ilvl w:val="0"/>
          <w:numId w:val="4"/>
        </w:numPr>
        <w:jc w:val="both"/>
        <w:rPr>
          <w:lang w:val="en-GB"/>
        </w:rPr>
      </w:pPr>
      <w:r>
        <w:rPr>
          <w:lang w:val="en-GB"/>
        </w:rPr>
        <w:t>reform the residence registration system in Ukraine to take into account the interests of mobile citizens within the country, including IDPs, and taking into account their right to maintain links with their old place of residence;</w:t>
      </w:r>
    </w:p>
    <w:p w14:paraId="2AD43CDE" w14:textId="77777777" w:rsidR="008E3F16" w:rsidRDefault="00F95A32">
      <w:pPr>
        <w:numPr>
          <w:ilvl w:val="0"/>
          <w:numId w:val="4"/>
        </w:numPr>
        <w:jc w:val="both"/>
        <w:rPr>
          <w:lang w:val="en-GB"/>
        </w:rPr>
      </w:pPr>
      <w:r>
        <w:rPr>
          <w:lang w:val="en-GB"/>
        </w:rPr>
        <w:t>ensure timely action to implement the provisions of the Electoral Code of Ukraine in order to ensure IDPs’ right to vote in local elections;</w:t>
      </w:r>
    </w:p>
    <w:p w14:paraId="2B2FDDC0" w14:textId="77777777" w:rsidR="008E3F16" w:rsidRDefault="00F95A32">
      <w:pPr>
        <w:numPr>
          <w:ilvl w:val="0"/>
          <w:numId w:val="11"/>
        </w:numPr>
        <w:jc w:val="both"/>
        <w:rPr>
          <w:lang w:val="en-GB"/>
        </w:rPr>
      </w:pPr>
      <w:proofErr w:type="gramStart"/>
      <w:r>
        <w:rPr>
          <w:lang w:val="en-GB"/>
        </w:rPr>
        <w:t>encourage</w:t>
      </w:r>
      <w:proofErr w:type="gramEnd"/>
      <w:r>
        <w:rPr>
          <w:lang w:val="en-GB"/>
        </w:rPr>
        <w:t xml:space="preserve"> local governments to develop and adopt local programmes for the adaptation and integration of IDPs into host communities.</w:t>
      </w:r>
    </w:p>
    <w:p w14:paraId="665AE511" w14:textId="6F32E9C9" w:rsidR="008E3F16" w:rsidRDefault="00667993">
      <w:pPr>
        <w:rPr>
          <w:i/>
          <w:lang w:val="en-GB"/>
        </w:rPr>
      </w:pPr>
      <w:r>
        <w:rPr>
          <w:i/>
          <w:lang w:val="en-GB"/>
        </w:rPr>
        <w:t xml:space="preserve">Regarding </w:t>
      </w:r>
      <w:r w:rsidR="00F95A32">
        <w:rPr>
          <w:i/>
          <w:lang w:val="en-GB"/>
        </w:rPr>
        <w:t>paragraph 2:</w:t>
      </w:r>
    </w:p>
    <w:p w14:paraId="4812A09B" w14:textId="77777777" w:rsidR="008E3F16" w:rsidRDefault="00F95A32">
      <w:pPr>
        <w:numPr>
          <w:ilvl w:val="0"/>
          <w:numId w:val="2"/>
        </w:numPr>
        <w:jc w:val="both"/>
        <w:rPr>
          <w:lang w:val="en-GB"/>
        </w:rPr>
      </w:pPr>
      <w:proofErr w:type="gramStart"/>
      <w:r>
        <w:rPr>
          <w:lang w:val="en-GB"/>
        </w:rPr>
        <w:t>begin</w:t>
      </w:r>
      <w:proofErr w:type="gramEnd"/>
      <w:r>
        <w:rPr>
          <w:lang w:val="en-GB"/>
        </w:rPr>
        <w:t xml:space="preserve"> developing, with the help of NGOs, including those formed by IDPs, a new Strategy for the Integration of IDPs and Implementation of Long-Term Solutions for Internal Displacement for the 2021-2025 period, as well as an Action Plan for its implementation, arranging for sufficient funding for it.</w:t>
      </w:r>
    </w:p>
    <w:p w14:paraId="0DA83593" w14:textId="0F3FB910" w:rsidR="008E3F16" w:rsidRDefault="00667993">
      <w:pPr>
        <w:rPr>
          <w:lang w:val="en-GB"/>
        </w:rPr>
      </w:pPr>
      <w:r>
        <w:rPr>
          <w:i/>
          <w:lang w:val="en-GB"/>
        </w:rPr>
        <w:t xml:space="preserve">Regarding </w:t>
      </w:r>
      <w:r w:rsidR="00F95A32">
        <w:rPr>
          <w:i/>
          <w:lang w:val="en-GB"/>
        </w:rPr>
        <w:t>paragraph 2 (а):</w:t>
      </w:r>
    </w:p>
    <w:p w14:paraId="091C0506" w14:textId="77777777" w:rsidR="008E3F16" w:rsidRDefault="00F95A32">
      <w:pPr>
        <w:numPr>
          <w:ilvl w:val="0"/>
          <w:numId w:val="1"/>
        </w:numPr>
        <w:jc w:val="both"/>
        <w:rPr>
          <w:highlight w:val="white"/>
          <w:lang w:val="en-GB"/>
        </w:rPr>
      </w:pPr>
      <w:r>
        <w:rPr>
          <w:lang w:val="en-GB"/>
        </w:rPr>
        <w:t>reform the system of employment centres to implement more effective measures for improving the employment situation of the conflict-affected unemployed population as well as their relations with employers;</w:t>
      </w:r>
    </w:p>
    <w:p w14:paraId="12F968A3" w14:textId="77777777" w:rsidR="008E3F16" w:rsidRDefault="00F95A32">
      <w:pPr>
        <w:numPr>
          <w:ilvl w:val="0"/>
          <w:numId w:val="1"/>
        </w:numPr>
        <w:jc w:val="both"/>
        <w:rPr>
          <w:highlight w:val="white"/>
          <w:lang w:val="en-GB"/>
        </w:rPr>
      </w:pPr>
      <w:proofErr w:type="gramStart"/>
      <w:r>
        <w:rPr>
          <w:highlight w:val="white"/>
          <w:lang w:val="en-GB"/>
        </w:rPr>
        <w:lastRenderedPageBreak/>
        <w:t>implement</w:t>
      </w:r>
      <w:proofErr w:type="gramEnd"/>
      <w:r>
        <w:rPr>
          <w:highlight w:val="white"/>
          <w:lang w:val="en-GB"/>
        </w:rPr>
        <w:t xml:space="preserve"> effective means of informing IDPs about available employment measures aimed at improving their employment situation and the quality of services provided by employment centres.</w:t>
      </w:r>
    </w:p>
    <w:p w14:paraId="052FE433" w14:textId="1AAB43CD" w:rsidR="008E3F16" w:rsidRDefault="00667993">
      <w:pPr>
        <w:rPr>
          <w:lang w:val="en-GB"/>
        </w:rPr>
      </w:pPr>
      <w:r>
        <w:rPr>
          <w:i/>
          <w:lang w:val="en-GB"/>
        </w:rPr>
        <w:t xml:space="preserve">Regarding </w:t>
      </w:r>
      <w:r w:rsidR="00F95A32">
        <w:rPr>
          <w:i/>
          <w:lang w:val="en-GB"/>
        </w:rPr>
        <w:t>paragraph 2 (b):</w:t>
      </w:r>
    </w:p>
    <w:p w14:paraId="195227BC" w14:textId="77777777" w:rsidR="008E3F16" w:rsidRDefault="00F95A32">
      <w:pPr>
        <w:numPr>
          <w:ilvl w:val="0"/>
          <w:numId w:val="14"/>
        </w:numPr>
        <w:jc w:val="both"/>
        <w:rPr>
          <w:highlight w:val="white"/>
          <w:lang w:val="en-GB"/>
        </w:rPr>
      </w:pPr>
      <w:r>
        <w:rPr>
          <w:highlight w:val="white"/>
          <w:lang w:val="en-GB"/>
        </w:rPr>
        <w:t>eliminate the need to have an IDP certificate for receiving pensions and social benefits that are not related to internal displacement;</w:t>
      </w:r>
    </w:p>
    <w:p w14:paraId="7FCB1B67" w14:textId="77777777" w:rsidR="008E3F16" w:rsidRDefault="00F95A32">
      <w:pPr>
        <w:numPr>
          <w:ilvl w:val="0"/>
          <w:numId w:val="14"/>
        </w:numPr>
        <w:jc w:val="both"/>
        <w:rPr>
          <w:highlight w:val="white"/>
          <w:lang w:val="en-GB"/>
        </w:rPr>
      </w:pPr>
      <w:r>
        <w:rPr>
          <w:highlight w:val="white"/>
          <w:lang w:val="en-GB"/>
        </w:rPr>
        <w:t>repeal CMU Resolution 365, which imposes restrictions on IDPs’ right to social protection;</w:t>
      </w:r>
    </w:p>
    <w:p w14:paraId="2DE742E5" w14:textId="77777777" w:rsidR="008E3F16" w:rsidRDefault="00F95A32">
      <w:pPr>
        <w:numPr>
          <w:ilvl w:val="0"/>
          <w:numId w:val="14"/>
        </w:numPr>
        <w:jc w:val="both"/>
        <w:rPr>
          <w:highlight w:val="white"/>
          <w:lang w:val="en-GB"/>
        </w:rPr>
      </w:pPr>
      <w:proofErr w:type="gramStart"/>
      <w:r>
        <w:rPr>
          <w:lang w:val="en-GB"/>
        </w:rPr>
        <w:t>stop</w:t>
      </w:r>
      <w:proofErr w:type="gramEnd"/>
      <w:r>
        <w:rPr>
          <w:lang w:val="en-GB"/>
        </w:rPr>
        <w:t xml:space="preserve"> the practice of sending the personal information of IDP applicants from the occupied Crimea to Russia’s pension authorities; provide pensions regardless of the availability of paper files on pensions.</w:t>
      </w:r>
    </w:p>
    <w:p w14:paraId="1BFE0411" w14:textId="3754D0A9" w:rsidR="008E3F16" w:rsidRDefault="00667993">
      <w:pPr>
        <w:jc w:val="both"/>
        <w:rPr>
          <w:lang w:val="en-GB"/>
        </w:rPr>
      </w:pPr>
      <w:r>
        <w:rPr>
          <w:i/>
          <w:lang w:val="en-GB"/>
        </w:rPr>
        <w:t xml:space="preserve">Regarding </w:t>
      </w:r>
      <w:r w:rsidR="00F95A32">
        <w:rPr>
          <w:i/>
          <w:lang w:val="en-GB"/>
        </w:rPr>
        <w:t>paragraph 2 (с):</w:t>
      </w:r>
    </w:p>
    <w:p w14:paraId="7AEEAE7A" w14:textId="77777777" w:rsidR="008E3F16" w:rsidRDefault="00F95A32">
      <w:pPr>
        <w:numPr>
          <w:ilvl w:val="0"/>
          <w:numId w:val="13"/>
        </w:numPr>
        <w:jc w:val="both"/>
        <w:rPr>
          <w:lang w:val="en-GB"/>
        </w:rPr>
      </w:pPr>
      <w:r>
        <w:rPr>
          <w:lang w:val="en-GB"/>
        </w:rPr>
        <w:t>develop a national policy on the observance of IDPs' housing rights as well as a plan for its implementation that will be part of the national integration policy concerning IDPs;</w:t>
      </w:r>
    </w:p>
    <w:p w14:paraId="31A88844" w14:textId="77777777" w:rsidR="008E3F16" w:rsidRDefault="00F95A32">
      <w:pPr>
        <w:numPr>
          <w:ilvl w:val="0"/>
          <w:numId w:val="13"/>
        </w:numPr>
        <w:jc w:val="both"/>
        <w:rPr>
          <w:lang w:val="en-GB"/>
        </w:rPr>
      </w:pPr>
      <w:r>
        <w:rPr>
          <w:lang w:val="en-GB"/>
        </w:rPr>
        <w:t>increase funding for the programme of preferential long-term mortgage loans for ATO/JFO participants and IDPs on a permanent basis;</w:t>
      </w:r>
    </w:p>
    <w:p w14:paraId="29805B9E" w14:textId="77777777" w:rsidR="008E3F16" w:rsidRDefault="00F95A32">
      <w:pPr>
        <w:numPr>
          <w:ilvl w:val="0"/>
          <w:numId w:val="13"/>
        </w:numPr>
        <w:jc w:val="both"/>
        <w:rPr>
          <w:lang w:val="en-GB"/>
        </w:rPr>
      </w:pPr>
      <w:proofErr w:type="gramStart"/>
      <w:r>
        <w:rPr>
          <w:lang w:val="en-GB"/>
        </w:rPr>
        <w:t>develop</w:t>
      </w:r>
      <w:proofErr w:type="gramEnd"/>
      <w:r>
        <w:rPr>
          <w:lang w:val="en-GB"/>
        </w:rPr>
        <w:t xml:space="preserve"> and adopt a bill on providing compensation for damaged/destroyed homes and establish an appropriate budget programme.</w:t>
      </w:r>
    </w:p>
    <w:p w14:paraId="3C4777BE" w14:textId="4BD5BE48" w:rsidR="008E3F16" w:rsidRDefault="00667993">
      <w:pPr>
        <w:rPr>
          <w:i/>
          <w:lang w:val="en-GB"/>
        </w:rPr>
      </w:pPr>
      <w:r>
        <w:rPr>
          <w:i/>
          <w:lang w:val="en-GB"/>
        </w:rPr>
        <w:t xml:space="preserve">Regarding </w:t>
      </w:r>
      <w:r w:rsidR="00F95A32">
        <w:rPr>
          <w:i/>
          <w:lang w:val="en-GB"/>
        </w:rPr>
        <w:t>paragraph 3 (а):</w:t>
      </w:r>
    </w:p>
    <w:p w14:paraId="1CC98878" w14:textId="77777777" w:rsidR="008E3F16" w:rsidRDefault="00F95A32">
      <w:pPr>
        <w:numPr>
          <w:ilvl w:val="0"/>
          <w:numId w:val="9"/>
        </w:numPr>
        <w:rPr>
          <w:lang w:val="en-GB"/>
        </w:rPr>
      </w:pPr>
      <w:proofErr w:type="gramStart"/>
      <w:r>
        <w:rPr>
          <w:lang w:val="en-GB"/>
        </w:rPr>
        <w:t>introduce</w:t>
      </w:r>
      <w:proofErr w:type="gramEnd"/>
      <w:r>
        <w:rPr>
          <w:lang w:val="en-GB"/>
        </w:rPr>
        <w:t xml:space="preserve"> an effective and accessible administrative (out-of-court) procedure for establishing births that occurred in the TOT, which would take into account people’s actual needs.</w:t>
      </w:r>
    </w:p>
    <w:p w14:paraId="7A853244" w14:textId="61F1B6A8" w:rsidR="008E3F16" w:rsidRDefault="00667993">
      <w:pPr>
        <w:rPr>
          <w:i/>
          <w:lang w:val="en-GB"/>
        </w:rPr>
      </w:pPr>
      <w:r>
        <w:rPr>
          <w:i/>
          <w:lang w:val="en-GB"/>
        </w:rPr>
        <w:t xml:space="preserve">Regarding </w:t>
      </w:r>
      <w:r w:rsidR="00F95A32">
        <w:rPr>
          <w:i/>
          <w:lang w:val="en-GB"/>
        </w:rPr>
        <w:t>paragraph 3 (b):</w:t>
      </w:r>
    </w:p>
    <w:p w14:paraId="62E65044" w14:textId="77777777" w:rsidR="008E3F16" w:rsidRDefault="00F95A32">
      <w:pPr>
        <w:numPr>
          <w:ilvl w:val="0"/>
          <w:numId w:val="10"/>
        </w:numPr>
        <w:rPr>
          <w:lang w:val="en-GB"/>
        </w:rPr>
      </w:pPr>
      <w:proofErr w:type="gramStart"/>
      <w:r>
        <w:rPr>
          <w:lang w:val="en-GB"/>
        </w:rPr>
        <w:t>develop</w:t>
      </w:r>
      <w:proofErr w:type="gramEnd"/>
      <w:r>
        <w:rPr>
          <w:lang w:val="en-GB"/>
        </w:rPr>
        <w:t xml:space="preserve"> and implement a procedure for the payment of pension arrears to persons residing in the TOT as well as to those whose pensions were suspended on account of their IDP certificates having been revoked.</w:t>
      </w:r>
    </w:p>
    <w:p w14:paraId="38A21A65" w14:textId="10F93775" w:rsidR="008E3F16" w:rsidRDefault="00667993">
      <w:pPr>
        <w:rPr>
          <w:i/>
          <w:lang w:val="en-GB"/>
        </w:rPr>
      </w:pPr>
      <w:r>
        <w:rPr>
          <w:i/>
          <w:lang w:val="en-GB"/>
        </w:rPr>
        <w:t xml:space="preserve">Regarding </w:t>
      </w:r>
      <w:r w:rsidR="00F95A32">
        <w:rPr>
          <w:i/>
          <w:lang w:val="en-GB"/>
        </w:rPr>
        <w:t>paragraph 4:</w:t>
      </w:r>
    </w:p>
    <w:p w14:paraId="3DDB586D" w14:textId="77777777" w:rsidR="008E3F16" w:rsidRDefault="00F95A32">
      <w:pPr>
        <w:numPr>
          <w:ilvl w:val="0"/>
          <w:numId w:val="10"/>
        </w:numPr>
        <w:rPr>
          <w:lang w:val="en-GB"/>
        </w:rPr>
      </w:pPr>
      <w:proofErr w:type="gramStart"/>
      <w:r>
        <w:rPr>
          <w:lang w:val="en-GB"/>
        </w:rPr>
        <w:t>introduce</w:t>
      </w:r>
      <w:proofErr w:type="gramEnd"/>
      <w:r>
        <w:rPr>
          <w:lang w:val="en-GB"/>
        </w:rPr>
        <w:t xml:space="preserve"> a mechanism for providing pensions to TOT residents, including to low mobility citizens.</w:t>
      </w:r>
    </w:p>
    <w:p w14:paraId="22DC2F3B" w14:textId="43D1309C" w:rsidR="008E3F16" w:rsidRDefault="00667993">
      <w:pPr>
        <w:rPr>
          <w:i/>
          <w:lang w:val="en-GB"/>
        </w:rPr>
      </w:pPr>
      <w:r>
        <w:rPr>
          <w:i/>
          <w:lang w:val="en-GB"/>
        </w:rPr>
        <w:t xml:space="preserve">Regarding </w:t>
      </w:r>
      <w:r w:rsidR="00F95A32">
        <w:rPr>
          <w:i/>
          <w:lang w:val="en-GB"/>
        </w:rPr>
        <w:t>paragraph 27:</w:t>
      </w:r>
    </w:p>
    <w:p w14:paraId="740CB7E8" w14:textId="77777777" w:rsidR="008E3F16" w:rsidRDefault="00F95A32">
      <w:pPr>
        <w:numPr>
          <w:ilvl w:val="0"/>
          <w:numId w:val="12"/>
        </w:numPr>
        <w:jc w:val="both"/>
        <w:rPr>
          <w:lang w:val="en-GB"/>
        </w:rPr>
      </w:pPr>
      <w:r>
        <w:rPr>
          <w:lang w:val="en-GB"/>
        </w:rPr>
        <w:t>develop, in order to ensure full, equal and non-discriminatory access to medical care, psychological rehabilitation and social reintegration of conflict-affected children, a separate national policy and an action plan for its implementation;</w:t>
      </w:r>
    </w:p>
    <w:p w14:paraId="26F83871" w14:textId="77777777" w:rsidR="008E3F16" w:rsidRDefault="00F95A32">
      <w:pPr>
        <w:numPr>
          <w:ilvl w:val="0"/>
          <w:numId w:val="12"/>
        </w:numPr>
        <w:jc w:val="both"/>
        <w:rPr>
          <w:lang w:val="en-GB"/>
        </w:rPr>
      </w:pPr>
      <w:r>
        <w:rPr>
          <w:lang w:val="en-GB"/>
        </w:rPr>
        <w:t>the national policy and action plan should determine specific statuses for different categories of children or make it possible for them to receive the general status of a child affected by war or armed conflict;</w:t>
      </w:r>
    </w:p>
    <w:p w14:paraId="1B9A15F4" w14:textId="77777777" w:rsidR="008E3F16" w:rsidRDefault="00F95A32">
      <w:pPr>
        <w:numPr>
          <w:ilvl w:val="0"/>
          <w:numId w:val="12"/>
        </w:numPr>
        <w:jc w:val="both"/>
        <w:rPr>
          <w:lang w:val="en-GB"/>
        </w:rPr>
      </w:pPr>
      <w:proofErr w:type="gramStart"/>
      <w:r>
        <w:rPr>
          <w:lang w:val="en-GB"/>
        </w:rPr>
        <w:t>arrange</w:t>
      </w:r>
      <w:proofErr w:type="gramEnd"/>
      <w:r>
        <w:rPr>
          <w:lang w:val="en-GB"/>
        </w:rPr>
        <w:t xml:space="preserve"> for systematic training of professionals specializing in providing psychological assistance to vulnerable groups of the population in frontier localities. Develop a system of incentives to encourage these professionals to work in frontier territories, as well as take steps to prevent emotional burnout among them.</w:t>
      </w:r>
    </w:p>
    <w:p w14:paraId="0148EF63" w14:textId="4B42B7D9" w:rsidR="008E3F16" w:rsidRDefault="00F95A32">
      <w:pPr>
        <w:numPr>
          <w:ilvl w:val="0"/>
          <w:numId w:val="12"/>
        </w:numPr>
        <w:jc w:val="both"/>
        <w:rPr>
          <w:lang w:val="en-GB"/>
        </w:rPr>
      </w:pPr>
      <w:proofErr w:type="gramStart"/>
      <w:r>
        <w:rPr>
          <w:lang w:val="en-GB"/>
        </w:rPr>
        <w:t>establish</w:t>
      </w:r>
      <w:proofErr w:type="gramEnd"/>
      <w:r>
        <w:rPr>
          <w:lang w:val="en-GB"/>
        </w:rPr>
        <w:t xml:space="preserve"> a targeted programme for providing the population living in the areas located near the </w:t>
      </w:r>
      <w:r w:rsidR="00820DCF">
        <w:rPr>
          <w:lang w:val="en-GB"/>
        </w:rPr>
        <w:t xml:space="preserve">contact line </w:t>
      </w:r>
      <w:r>
        <w:rPr>
          <w:lang w:val="en-GB"/>
        </w:rPr>
        <w:t>with psychological and medical assistance and social services, taking into account the effects of the ongoing armed conflict and the demographic, social, economic, infrastructural and administrative features of the region.</w:t>
      </w:r>
    </w:p>
    <w:p w14:paraId="66144FDA" w14:textId="5993DE3E" w:rsidR="008E3F16" w:rsidRDefault="00667993">
      <w:pPr>
        <w:rPr>
          <w:b/>
          <w:lang w:val="en-GB"/>
        </w:rPr>
      </w:pPr>
      <w:r>
        <w:rPr>
          <w:i/>
          <w:lang w:val="en-GB"/>
        </w:rPr>
        <w:t xml:space="preserve">Regarding </w:t>
      </w:r>
      <w:r w:rsidR="00F95A32">
        <w:rPr>
          <w:i/>
          <w:lang w:val="en-GB"/>
        </w:rPr>
        <w:t>paragraph 28:</w:t>
      </w:r>
    </w:p>
    <w:p w14:paraId="34484274" w14:textId="77777777" w:rsidR="008E3F16" w:rsidRDefault="00F95A32">
      <w:pPr>
        <w:numPr>
          <w:ilvl w:val="0"/>
          <w:numId w:val="3"/>
        </w:numPr>
        <w:jc w:val="both"/>
        <w:rPr>
          <w:lang w:val="en-GB"/>
        </w:rPr>
      </w:pPr>
      <w:r>
        <w:rPr>
          <w:lang w:val="en-GB"/>
        </w:rPr>
        <w:t>develop the concept of education for TOT residents which would take into account the peculiarities of education in the TOT;</w:t>
      </w:r>
    </w:p>
    <w:p w14:paraId="532A1C6E" w14:textId="77777777" w:rsidR="008E3F16" w:rsidRDefault="00F95A32">
      <w:pPr>
        <w:numPr>
          <w:ilvl w:val="0"/>
          <w:numId w:val="3"/>
        </w:numPr>
        <w:jc w:val="both"/>
        <w:rPr>
          <w:lang w:val="en-GB"/>
        </w:rPr>
      </w:pPr>
      <w:r>
        <w:rPr>
          <w:lang w:val="en-GB"/>
        </w:rPr>
        <w:lastRenderedPageBreak/>
        <w:t>improve the distance education system taking into account the feedback from the target audience;</w:t>
      </w:r>
    </w:p>
    <w:p w14:paraId="11917BF5" w14:textId="77777777" w:rsidR="008E3F16" w:rsidRDefault="00F95A32">
      <w:pPr>
        <w:numPr>
          <w:ilvl w:val="0"/>
          <w:numId w:val="3"/>
        </w:numPr>
        <w:jc w:val="both"/>
        <w:rPr>
          <w:lang w:val="en-GB"/>
        </w:rPr>
      </w:pPr>
      <w:r>
        <w:rPr>
          <w:lang w:val="en-GB"/>
        </w:rPr>
        <w:t>simplify the procedure for obtaining Ukraine-issued secondary education certificates by children from the TOT on the basis of appropriate documents issued to them in the TOT;</w:t>
      </w:r>
    </w:p>
    <w:p w14:paraId="154D313C" w14:textId="18C1C545" w:rsidR="008E3F16" w:rsidRDefault="00F95A32">
      <w:pPr>
        <w:numPr>
          <w:ilvl w:val="0"/>
          <w:numId w:val="3"/>
        </w:numPr>
        <w:jc w:val="both"/>
        <w:rPr>
          <w:lang w:val="en-GB"/>
        </w:rPr>
      </w:pPr>
      <w:proofErr w:type="gramStart"/>
      <w:r>
        <w:rPr>
          <w:lang w:val="en-GB"/>
        </w:rPr>
        <w:t>develop</w:t>
      </w:r>
      <w:proofErr w:type="gramEnd"/>
      <w:r>
        <w:rPr>
          <w:lang w:val="en-GB"/>
        </w:rPr>
        <w:t xml:space="preserve"> the concept for improving the situation with obtaining secondary education in cities located in </w:t>
      </w:r>
      <w:r w:rsidR="00957E8C">
        <w:rPr>
          <w:lang w:val="en-GB"/>
        </w:rPr>
        <w:t>GCA</w:t>
      </w:r>
      <w:r>
        <w:rPr>
          <w:lang w:val="en-GB"/>
        </w:rPr>
        <w:t xml:space="preserve"> close to the demarcation line.</w:t>
      </w:r>
    </w:p>
    <w:p w14:paraId="4D668C5C" w14:textId="77777777" w:rsidR="008E3F16" w:rsidRDefault="008E3F16">
      <w:pPr>
        <w:rPr>
          <w:highlight w:val="cyan"/>
          <w:lang w:val="en-GB"/>
        </w:rPr>
      </w:pPr>
    </w:p>
    <w:sectPr w:rsidR="008E3F16">
      <w:pgSz w:w="11909" w:h="16834"/>
      <w:pgMar w:top="1440" w:right="1440" w:bottom="1231" w:left="1440" w:header="720" w:footer="720" w:gutter="0"/>
      <w:pgNumType w:start="1"/>
      <w:cols w:space="1701"/>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3027DBA" w16cid:durableId="21D41149"/>
  <w16cid:commentId w16cid:paraId="34689728" w16cid:durableId="21D42AA1"/>
  <w16cid:commentId w16cid:paraId="61A2B299" w16cid:durableId="21D4356E"/>
  <w16cid:commentId w16cid:paraId="17E4BA90" w16cid:durableId="21D436D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DB0C46" w14:textId="77777777" w:rsidR="00D86922" w:rsidRDefault="00D86922">
      <w:pPr>
        <w:spacing w:line="240" w:lineRule="auto"/>
      </w:pPr>
      <w:r>
        <w:separator/>
      </w:r>
    </w:p>
  </w:endnote>
  <w:endnote w:type="continuationSeparator" w:id="0">
    <w:p w14:paraId="4548B041" w14:textId="77777777" w:rsidR="00D86922" w:rsidRDefault="00D869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F7D38D" w14:textId="77777777" w:rsidR="00D86922" w:rsidRDefault="00D86922">
      <w:pPr>
        <w:spacing w:line="240" w:lineRule="auto"/>
      </w:pPr>
      <w:r>
        <w:separator/>
      </w:r>
    </w:p>
  </w:footnote>
  <w:footnote w:type="continuationSeparator" w:id="0">
    <w:p w14:paraId="3498AFF4" w14:textId="77777777" w:rsidR="00D86922" w:rsidRDefault="00D86922">
      <w:pPr>
        <w:spacing w:line="240" w:lineRule="auto"/>
      </w:pPr>
      <w:r>
        <w:continuationSeparator/>
      </w:r>
    </w:p>
  </w:footnote>
  <w:footnote w:id="1">
    <w:p w14:paraId="7DA97EC6" w14:textId="77777777" w:rsidR="008E3F16" w:rsidRDefault="00F95A32">
      <w:pPr>
        <w:spacing w:line="240" w:lineRule="auto"/>
        <w:rPr>
          <w:sz w:val="20"/>
          <w:szCs w:val="20"/>
        </w:rPr>
      </w:pPr>
      <w:r>
        <w:rPr>
          <w:vertAlign w:val="superscript"/>
        </w:rPr>
        <w:footnoteRef/>
      </w:r>
      <w:r>
        <w:rPr>
          <w:sz w:val="20"/>
          <w:szCs w:val="20"/>
        </w:rPr>
        <w:t xml:space="preserve"> </w:t>
      </w:r>
      <w:r>
        <w:rPr>
          <w:sz w:val="20"/>
          <w:szCs w:val="20"/>
          <w:lang w:val="en-GB"/>
        </w:rPr>
        <w:t>Under Ukrainian law, temporarily occupied territories are the territories of the Autonomous Republic of Crimea and Sevastopol as well as areas of Donetsk and Luhansk oblasts that are currently outside the control of the Government of Ukraine</w:t>
      </w:r>
      <w:r>
        <w:rPr>
          <w:sz w:val="20"/>
          <w:szCs w:val="20"/>
        </w:rPr>
        <w:t xml:space="preserve"> (NGCA)</w:t>
      </w:r>
    </w:p>
  </w:footnote>
  <w:footnote w:id="2">
    <w:p w14:paraId="6A71743A" w14:textId="77777777" w:rsidR="008E3F16" w:rsidRDefault="00F95A32">
      <w:pPr>
        <w:spacing w:line="240" w:lineRule="auto"/>
      </w:pPr>
      <w:r>
        <w:rPr>
          <w:vertAlign w:val="superscript"/>
        </w:rPr>
        <w:footnoteRef/>
      </w:r>
      <w:r>
        <w:rPr>
          <w:sz w:val="20"/>
          <w:szCs w:val="20"/>
        </w:rPr>
        <w:t xml:space="preserve"> </w:t>
      </w:r>
      <w:r>
        <w:rPr>
          <w:sz w:val="20"/>
          <w:szCs w:val="20"/>
          <w:lang w:val="en-GB"/>
        </w:rPr>
        <w:t>CMU programme of activities</w:t>
      </w:r>
      <w:r>
        <w:rPr>
          <w:sz w:val="20"/>
          <w:szCs w:val="20"/>
        </w:rPr>
        <w:t xml:space="preserve">. </w:t>
      </w:r>
      <w:proofErr w:type="spellStart"/>
      <w:r>
        <w:rPr>
          <w:sz w:val="20"/>
          <w:szCs w:val="20"/>
        </w:rPr>
        <w:t>Link</w:t>
      </w:r>
      <w:proofErr w:type="spellEnd"/>
      <w:r>
        <w:rPr>
          <w:sz w:val="20"/>
          <w:szCs w:val="20"/>
        </w:rPr>
        <w:t xml:space="preserve">: </w:t>
      </w:r>
      <w:hyperlink r:id="rId1" w:history="1">
        <w:r>
          <w:rPr>
            <w:color w:val="1155CC"/>
            <w:sz w:val="20"/>
            <w:szCs w:val="20"/>
            <w:u w:val="single"/>
          </w:rPr>
          <w:t>https://program.kmu.gov.ua/</w:t>
        </w:r>
      </w:hyperlink>
    </w:p>
  </w:footnote>
  <w:footnote w:id="3">
    <w:p w14:paraId="1D84D07B" w14:textId="77777777" w:rsidR="008E3F16" w:rsidRDefault="00F95A32">
      <w:pPr>
        <w:spacing w:line="240" w:lineRule="auto"/>
      </w:pPr>
      <w:r>
        <w:rPr>
          <w:vertAlign w:val="superscript"/>
        </w:rPr>
        <w:footnoteRef/>
      </w:r>
      <w:r>
        <w:rPr>
          <w:sz w:val="20"/>
          <w:szCs w:val="20"/>
        </w:rPr>
        <w:t xml:space="preserve"> </w:t>
      </w:r>
      <w:hyperlink r:id="rId2" w:history="1">
        <w:r>
          <w:rPr>
            <w:color w:val="1155CC"/>
            <w:sz w:val="20"/>
            <w:szCs w:val="20"/>
            <w:u w:val="single"/>
          </w:rPr>
          <w:t>https://program.kmu.gov.ua/meta/vnutrisno-peremiseni-osobi-ta-meskanci-timcasovo-okupovanih-teritorij-doneckoi-ta-luganskoi-oblastej-ta-ar-krim-so-reintegrovani-do-sucasnogo-ukrainskogo-prostoru</w:t>
        </w:r>
      </w:hyperlink>
    </w:p>
  </w:footnote>
  <w:footnote w:id="4">
    <w:p w14:paraId="0B3EB862" w14:textId="77777777" w:rsidR="008E3F16" w:rsidRDefault="00F95A32">
      <w:pPr>
        <w:spacing w:line="240" w:lineRule="auto"/>
      </w:pPr>
      <w:r>
        <w:rPr>
          <w:vertAlign w:val="superscript"/>
        </w:rPr>
        <w:footnoteRef/>
      </w:r>
      <w:hyperlink r:id="rId3" w:history="1">
        <w:r>
          <w:rPr>
            <w:color w:val="1155CC"/>
            <w:sz w:val="20"/>
            <w:szCs w:val="20"/>
            <w:u w:val="single"/>
          </w:rPr>
          <w:t xml:space="preserve"> </w:t>
        </w:r>
        <w:r>
          <w:rPr>
            <w:color w:val="1155CC"/>
            <w:sz w:val="20"/>
            <w:szCs w:val="20"/>
            <w:u w:val="single"/>
          </w:rPr>
          <w:t xml:space="preserve">CMU </w:t>
        </w:r>
        <w:proofErr w:type="spellStart"/>
        <w:r>
          <w:rPr>
            <w:color w:val="1155CC"/>
            <w:sz w:val="20"/>
            <w:szCs w:val="20"/>
            <w:u w:val="single"/>
          </w:rPr>
          <w:t>Resolution</w:t>
        </w:r>
        <w:proofErr w:type="spellEnd"/>
        <w:r>
          <w:rPr>
            <w:color w:val="1155CC"/>
            <w:sz w:val="20"/>
            <w:szCs w:val="20"/>
            <w:u w:val="single"/>
          </w:rPr>
          <w:t xml:space="preserve"> 423 </w:t>
        </w:r>
        <w:proofErr w:type="spellStart"/>
        <w:r>
          <w:rPr>
            <w:color w:val="1155CC"/>
            <w:sz w:val="20"/>
            <w:szCs w:val="20"/>
            <w:u w:val="single"/>
          </w:rPr>
          <w:t>of</w:t>
        </w:r>
        <w:proofErr w:type="spellEnd"/>
        <w:r>
          <w:rPr>
            <w:color w:val="1155CC"/>
            <w:sz w:val="20"/>
            <w:szCs w:val="20"/>
            <w:u w:val="single"/>
          </w:rPr>
          <w:t xml:space="preserve"> 17 </w:t>
        </w:r>
        <w:proofErr w:type="spellStart"/>
        <w:r>
          <w:rPr>
            <w:color w:val="1155CC"/>
            <w:sz w:val="20"/>
            <w:szCs w:val="20"/>
            <w:u w:val="single"/>
          </w:rPr>
          <w:t>June</w:t>
        </w:r>
        <w:proofErr w:type="spellEnd"/>
        <w:r>
          <w:rPr>
            <w:color w:val="1155CC"/>
            <w:sz w:val="20"/>
            <w:szCs w:val="20"/>
            <w:u w:val="single"/>
          </w:rPr>
          <w:t xml:space="preserve"> 2015 “</w:t>
        </w:r>
        <w:proofErr w:type="spellStart"/>
        <w:r>
          <w:rPr>
            <w:color w:val="1155CC"/>
            <w:sz w:val="20"/>
            <w:szCs w:val="20"/>
            <w:u w:val="single"/>
          </w:rPr>
          <w:t>On</w:t>
        </w:r>
        <w:proofErr w:type="spellEnd"/>
        <w:r>
          <w:rPr>
            <w:color w:val="1155CC"/>
            <w:sz w:val="20"/>
            <w:szCs w:val="20"/>
            <w:u w:val="single"/>
          </w:rPr>
          <w:t xml:space="preserve"> </w:t>
        </w:r>
        <w:proofErr w:type="spellStart"/>
        <w:r>
          <w:rPr>
            <w:color w:val="1155CC"/>
            <w:sz w:val="20"/>
            <w:szCs w:val="20"/>
            <w:u w:val="single"/>
          </w:rPr>
          <w:t>the</w:t>
        </w:r>
        <w:proofErr w:type="spellEnd"/>
        <w:r>
          <w:rPr>
            <w:color w:val="1155CC"/>
            <w:sz w:val="20"/>
            <w:szCs w:val="20"/>
            <w:u w:val="single"/>
          </w:rPr>
          <w:t xml:space="preserve"> </w:t>
        </w:r>
        <w:proofErr w:type="spellStart"/>
        <w:r>
          <w:rPr>
            <w:color w:val="1155CC"/>
            <w:sz w:val="20"/>
            <w:szCs w:val="20"/>
            <w:u w:val="single"/>
          </w:rPr>
          <w:t>Adoption</w:t>
        </w:r>
        <w:proofErr w:type="spellEnd"/>
        <w:r>
          <w:rPr>
            <w:color w:val="1155CC"/>
            <w:sz w:val="20"/>
            <w:szCs w:val="20"/>
            <w:u w:val="single"/>
          </w:rPr>
          <w:t xml:space="preserve"> </w:t>
        </w:r>
        <w:proofErr w:type="spellStart"/>
        <w:r>
          <w:rPr>
            <w:color w:val="1155CC"/>
            <w:sz w:val="20"/>
            <w:szCs w:val="20"/>
            <w:u w:val="single"/>
          </w:rPr>
          <w:t>of</w:t>
        </w:r>
        <w:proofErr w:type="spellEnd"/>
        <w:r>
          <w:rPr>
            <w:color w:val="1155CC"/>
            <w:sz w:val="20"/>
            <w:szCs w:val="20"/>
            <w:u w:val="single"/>
          </w:rPr>
          <w:t xml:space="preserve"> </w:t>
        </w:r>
        <w:proofErr w:type="spellStart"/>
        <w:r>
          <w:rPr>
            <w:color w:val="1155CC"/>
            <w:sz w:val="20"/>
            <w:szCs w:val="20"/>
            <w:u w:val="single"/>
          </w:rPr>
          <w:t>Regulations</w:t>
        </w:r>
        <w:proofErr w:type="spellEnd"/>
        <w:r>
          <w:rPr>
            <w:color w:val="1155CC"/>
            <w:sz w:val="20"/>
            <w:szCs w:val="20"/>
            <w:u w:val="single"/>
          </w:rPr>
          <w:t xml:space="preserve"> </w:t>
        </w:r>
        <w:proofErr w:type="spellStart"/>
        <w:r>
          <w:rPr>
            <w:color w:val="1155CC"/>
            <w:sz w:val="20"/>
            <w:szCs w:val="20"/>
            <w:u w:val="single"/>
          </w:rPr>
          <w:t>for</w:t>
        </w:r>
        <w:proofErr w:type="spellEnd"/>
        <w:r>
          <w:rPr>
            <w:color w:val="1155CC"/>
            <w:sz w:val="20"/>
            <w:szCs w:val="20"/>
            <w:u w:val="single"/>
          </w:rPr>
          <w:t xml:space="preserve"> </w:t>
        </w:r>
        <w:proofErr w:type="spellStart"/>
        <w:r>
          <w:rPr>
            <w:color w:val="1155CC"/>
            <w:sz w:val="20"/>
            <w:szCs w:val="20"/>
            <w:u w:val="single"/>
          </w:rPr>
          <w:t>the</w:t>
        </w:r>
        <w:proofErr w:type="spellEnd"/>
        <w:r>
          <w:rPr>
            <w:color w:val="1155CC"/>
            <w:sz w:val="20"/>
            <w:szCs w:val="20"/>
            <w:u w:val="single"/>
          </w:rPr>
          <w:t xml:space="preserve"> </w:t>
        </w:r>
        <w:proofErr w:type="spellStart"/>
        <w:r>
          <w:rPr>
            <w:color w:val="1155CC"/>
            <w:sz w:val="20"/>
            <w:szCs w:val="20"/>
            <w:u w:val="single"/>
          </w:rPr>
          <w:t>Ministry</w:t>
        </w:r>
        <w:proofErr w:type="spellEnd"/>
        <w:r>
          <w:rPr>
            <w:color w:val="1155CC"/>
            <w:sz w:val="20"/>
            <w:szCs w:val="20"/>
            <w:u w:val="single"/>
          </w:rPr>
          <w:t xml:space="preserve"> </w:t>
        </w:r>
        <w:proofErr w:type="spellStart"/>
        <w:r>
          <w:rPr>
            <w:color w:val="1155CC"/>
            <w:sz w:val="20"/>
            <w:szCs w:val="20"/>
            <w:u w:val="single"/>
          </w:rPr>
          <w:t>of</w:t>
        </w:r>
        <w:proofErr w:type="spellEnd"/>
        <w:r>
          <w:rPr>
            <w:color w:val="1155CC"/>
            <w:sz w:val="20"/>
            <w:szCs w:val="20"/>
            <w:u w:val="single"/>
          </w:rPr>
          <w:t xml:space="preserve"> </w:t>
        </w:r>
        <w:proofErr w:type="spellStart"/>
        <w:r>
          <w:rPr>
            <w:color w:val="1155CC"/>
            <w:sz w:val="20"/>
            <w:szCs w:val="20"/>
            <w:u w:val="single"/>
          </w:rPr>
          <w:t>Social</w:t>
        </w:r>
        <w:proofErr w:type="spellEnd"/>
        <w:r>
          <w:rPr>
            <w:color w:val="1155CC"/>
            <w:sz w:val="20"/>
            <w:szCs w:val="20"/>
            <w:u w:val="single"/>
          </w:rPr>
          <w:t xml:space="preserve"> </w:t>
        </w:r>
        <w:proofErr w:type="spellStart"/>
        <w:r>
          <w:rPr>
            <w:color w:val="1155CC"/>
            <w:sz w:val="20"/>
            <w:szCs w:val="20"/>
            <w:u w:val="single"/>
          </w:rPr>
          <w:t>Policy</w:t>
        </w:r>
        <w:proofErr w:type="spellEnd"/>
        <w:r>
          <w:rPr>
            <w:color w:val="1155CC"/>
            <w:sz w:val="20"/>
            <w:szCs w:val="20"/>
            <w:u w:val="single"/>
          </w:rPr>
          <w:t xml:space="preserve"> </w:t>
        </w:r>
        <w:proofErr w:type="spellStart"/>
        <w:r>
          <w:rPr>
            <w:color w:val="1155CC"/>
            <w:sz w:val="20"/>
            <w:szCs w:val="20"/>
            <w:u w:val="single"/>
          </w:rPr>
          <w:t>of</w:t>
        </w:r>
        <w:proofErr w:type="spellEnd"/>
        <w:r>
          <w:rPr>
            <w:color w:val="1155CC"/>
            <w:sz w:val="20"/>
            <w:szCs w:val="20"/>
            <w:u w:val="single"/>
          </w:rPr>
          <w:t xml:space="preserve"> </w:t>
        </w:r>
        <w:proofErr w:type="spellStart"/>
        <w:r>
          <w:rPr>
            <w:color w:val="1155CC"/>
            <w:sz w:val="20"/>
            <w:szCs w:val="20"/>
            <w:u w:val="single"/>
          </w:rPr>
          <w:t>Ukraine</w:t>
        </w:r>
        <w:proofErr w:type="spellEnd"/>
        <w:r>
          <w:rPr>
            <w:color w:val="1155CC"/>
            <w:sz w:val="20"/>
            <w:szCs w:val="20"/>
            <w:u w:val="single"/>
          </w:rPr>
          <w:t>”</w:t>
        </w:r>
      </w:hyperlink>
    </w:p>
  </w:footnote>
  <w:footnote w:id="5">
    <w:p w14:paraId="003435D6" w14:textId="77777777" w:rsidR="008E3F16" w:rsidRPr="00C95FBA" w:rsidRDefault="00F95A32">
      <w:pPr>
        <w:spacing w:line="240" w:lineRule="auto"/>
      </w:pPr>
      <w:r>
        <w:rPr>
          <w:vertAlign w:val="superscript"/>
          <w:lang w:val="en-GB"/>
        </w:rPr>
        <w:footnoteRef/>
      </w:r>
      <w:r w:rsidRPr="00C95FBA">
        <w:rPr>
          <w:sz w:val="20"/>
          <w:szCs w:val="20"/>
        </w:rPr>
        <w:t xml:space="preserve"> </w:t>
      </w:r>
      <w:bookmarkStart w:id="0" w:name="_GoBack"/>
      <w:r w:rsidR="00D86922">
        <w:rPr>
          <w:color w:val="1155CC"/>
          <w:sz w:val="20"/>
          <w:szCs w:val="20"/>
          <w:u w:val="single"/>
          <w:lang w:val="en-GB"/>
        </w:rPr>
        <w:fldChar w:fldCharType="begin"/>
      </w:r>
      <w:r w:rsidR="00D86922" w:rsidRPr="0063610E">
        <w:rPr>
          <w:color w:val="1155CC"/>
          <w:sz w:val="20"/>
          <w:szCs w:val="20"/>
          <w:u w:val="single"/>
        </w:rPr>
        <w:instrText xml:space="preserve"> </w:instrText>
      </w:r>
      <w:r w:rsidR="00D86922">
        <w:rPr>
          <w:color w:val="1155CC"/>
          <w:sz w:val="20"/>
          <w:szCs w:val="20"/>
          <w:u w:val="single"/>
          <w:lang w:val="en-GB"/>
        </w:rPr>
        <w:instrText>HYPERLINK</w:instrText>
      </w:r>
      <w:r w:rsidR="00D86922" w:rsidRPr="0063610E">
        <w:rPr>
          <w:color w:val="1155CC"/>
          <w:sz w:val="20"/>
          <w:szCs w:val="20"/>
          <w:u w:val="single"/>
        </w:rPr>
        <w:instrText xml:space="preserve"> "</w:instrText>
      </w:r>
      <w:r w:rsidR="00D86922">
        <w:rPr>
          <w:color w:val="1155CC"/>
          <w:sz w:val="20"/>
          <w:szCs w:val="20"/>
          <w:u w:val="single"/>
          <w:lang w:val="en-GB"/>
        </w:rPr>
        <w:instrText>https</w:instrText>
      </w:r>
      <w:r w:rsidR="00D86922" w:rsidRPr="0063610E">
        <w:rPr>
          <w:color w:val="1155CC"/>
          <w:sz w:val="20"/>
          <w:szCs w:val="20"/>
          <w:u w:val="single"/>
        </w:rPr>
        <w:instrText>://</w:instrText>
      </w:r>
      <w:r w:rsidR="00D86922">
        <w:rPr>
          <w:color w:val="1155CC"/>
          <w:sz w:val="20"/>
          <w:szCs w:val="20"/>
          <w:u w:val="single"/>
          <w:lang w:val="en-GB"/>
        </w:rPr>
        <w:instrText>www</w:instrText>
      </w:r>
      <w:r w:rsidR="00D86922" w:rsidRPr="0063610E">
        <w:rPr>
          <w:color w:val="1155CC"/>
          <w:sz w:val="20"/>
          <w:szCs w:val="20"/>
          <w:u w:val="single"/>
        </w:rPr>
        <w:instrText>.</w:instrText>
      </w:r>
      <w:r w:rsidR="00D86922">
        <w:rPr>
          <w:color w:val="1155CC"/>
          <w:sz w:val="20"/>
          <w:szCs w:val="20"/>
          <w:u w:val="single"/>
          <w:lang w:val="en-GB"/>
        </w:rPr>
        <w:instrText>msp</w:instrText>
      </w:r>
      <w:r w:rsidR="00D86922" w:rsidRPr="0063610E">
        <w:rPr>
          <w:color w:val="1155CC"/>
          <w:sz w:val="20"/>
          <w:szCs w:val="20"/>
          <w:u w:val="single"/>
        </w:rPr>
        <w:instrText>.</w:instrText>
      </w:r>
      <w:r w:rsidR="00D86922">
        <w:rPr>
          <w:color w:val="1155CC"/>
          <w:sz w:val="20"/>
          <w:szCs w:val="20"/>
          <w:u w:val="single"/>
          <w:lang w:val="en-GB"/>
        </w:rPr>
        <w:instrText>gov</w:instrText>
      </w:r>
      <w:r w:rsidR="00D86922" w:rsidRPr="0063610E">
        <w:rPr>
          <w:color w:val="1155CC"/>
          <w:sz w:val="20"/>
          <w:szCs w:val="20"/>
          <w:u w:val="single"/>
        </w:rPr>
        <w:instrText>.</w:instrText>
      </w:r>
      <w:r w:rsidR="00D86922">
        <w:rPr>
          <w:color w:val="1155CC"/>
          <w:sz w:val="20"/>
          <w:szCs w:val="20"/>
          <w:u w:val="single"/>
          <w:lang w:val="en-GB"/>
        </w:rPr>
        <w:instrText>ua</w:instrText>
      </w:r>
      <w:r w:rsidR="00D86922" w:rsidRPr="0063610E">
        <w:rPr>
          <w:color w:val="1155CC"/>
          <w:sz w:val="20"/>
          <w:szCs w:val="20"/>
          <w:u w:val="single"/>
        </w:rPr>
        <w:instrText>/</w:instrText>
      </w:r>
      <w:r w:rsidR="00D86922">
        <w:rPr>
          <w:color w:val="1155CC"/>
          <w:sz w:val="20"/>
          <w:szCs w:val="20"/>
          <w:u w:val="single"/>
          <w:lang w:val="en-GB"/>
        </w:rPr>
        <w:instrText>news</w:instrText>
      </w:r>
      <w:r w:rsidR="00D86922" w:rsidRPr="0063610E">
        <w:rPr>
          <w:color w:val="1155CC"/>
          <w:sz w:val="20"/>
          <w:szCs w:val="20"/>
          <w:u w:val="single"/>
        </w:rPr>
        <w:instrText>/18131.</w:instrText>
      </w:r>
      <w:r w:rsidR="00D86922">
        <w:rPr>
          <w:color w:val="1155CC"/>
          <w:sz w:val="20"/>
          <w:szCs w:val="20"/>
          <w:u w:val="single"/>
          <w:lang w:val="en-GB"/>
        </w:rPr>
        <w:instrText>html</w:instrText>
      </w:r>
      <w:r w:rsidR="00D86922" w:rsidRPr="0063610E">
        <w:rPr>
          <w:color w:val="1155CC"/>
          <w:sz w:val="20"/>
          <w:szCs w:val="20"/>
          <w:u w:val="single"/>
        </w:rPr>
        <w:instrText xml:space="preserve">" </w:instrText>
      </w:r>
      <w:r w:rsidR="00D86922">
        <w:rPr>
          <w:color w:val="1155CC"/>
          <w:sz w:val="20"/>
          <w:szCs w:val="20"/>
          <w:u w:val="single"/>
          <w:lang w:val="en-GB"/>
        </w:rPr>
        <w:fldChar w:fldCharType="separate"/>
      </w:r>
      <w:r>
        <w:rPr>
          <w:color w:val="1155CC"/>
          <w:sz w:val="20"/>
          <w:szCs w:val="20"/>
          <w:u w:val="single"/>
          <w:lang w:val="en-GB"/>
        </w:rPr>
        <w:t>https</w:t>
      </w:r>
      <w:r w:rsidRPr="00C95FBA">
        <w:rPr>
          <w:color w:val="1155CC"/>
          <w:sz w:val="20"/>
          <w:szCs w:val="20"/>
          <w:u w:val="single"/>
        </w:rPr>
        <w:t>://</w:t>
      </w:r>
      <w:r>
        <w:rPr>
          <w:color w:val="1155CC"/>
          <w:sz w:val="20"/>
          <w:szCs w:val="20"/>
          <w:u w:val="single"/>
          <w:lang w:val="en-GB"/>
        </w:rPr>
        <w:t>www</w:t>
      </w:r>
      <w:r w:rsidRPr="00C95FBA">
        <w:rPr>
          <w:color w:val="1155CC"/>
          <w:sz w:val="20"/>
          <w:szCs w:val="20"/>
          <w:u w:val="single"/>
        </w:rPr>
        <w:t>.</w:t>
      </w:r>
      <w:r>
        <w:rPr>
          <w:color w:val="1155CC"/>
          <w:sz w:val="20"/>
          <w:szCs w:val="20"/>
          <w:u w:val="single"/>
          <w:lang w:val="en-GB"/>
        </w:rPr>
        <w:t>msp</w:t>
      </w:r>
      <w:r w:rsidRPr="00C95FBA">
        <w:rPr>
          <w:color w:val="1155CC"/>
          <w:sz w:val="20"/>
          <w:szCs w:val="20"/>
          <w:u w:val="single"/>
        </w:rPr>
        <w:t>.</w:t>
      </w:r>
      <w:r>
        <w:rPr>
          <w:color w:val="1155CC"/>
          <w:sz w:val="20"/>
          <w:szCs w:val="20"/>
          <w:u w:val="single"/>
          <w:lang w:val="en-GB"/>
        </w:rPr>
        <w:t>gov</w:t>
      </w:r>
      <w:r w:rsidRPr="00C95FBA">
        <w:rPr>
          <w:color w:val="1155CC"/>
          <w:sz w:val="20"/>
          <w:szCs w:val="20"/>
          <w:u w:val="single"/>
        </w:rPr>
        <w:t>.</w:t>
      </w:r>
      <w:r>
        <w:rPr>
          <w:color w:val="1155CC"/>
          <w:sz w:val="20"/>
          <w:szCs w:val="20"/>
          <w:u w:val="single"/>
          <w:lang w:val="en-GB"/>
        </w:rPr>
        <w:t>ua</w:t>
      </w:r>
      <w:r w:rsidRPr="00C95FBA">
        <w:rPr>
          <w:color w:val="1155CC"/>
          <w:sz w:val="20"/>
          <w:szCs w:val="20"/>
          <w:u w:val="single"/>
        </w:rPr>
        <w:t>/</w:t>
      </w:r>
      <w:r>
        <w:rPr>
          <w:color w:val="1155CC"/>
          <w:sz w:val="20"/>
          <w:szCs w:val="20"/>
          <w:u w:val="single"/>
          <w:lang w:val="en-GB"/>
        </w:rPr>
        <w:t>news</w:t>
      </w:r>
      <w:r w:rsidRPr="00C95FBA">
        <w:rPr>
          <w:color w:val="1155CC"/>
          <w:sz w:val="20"/>
          <w:szCs w:val="20"/>
          <w:u w:val="single"/>
        </w:rPr>
        <w:t>/18131.</w:t>
      </w:r>
      <w:r>
        <w:rPr>
          <w:color w:val="1155CC"/>
          <w:sz w:val="20"/>
          <w:szCs w:val="20"/>
          <w:u w:val="single"/>
          <w:lang w:val="en-GB"/>
        </w:rPr>
        <w:t>html</w:t>
      </w:r>
      <w:r w:rsidR="00D86922">
        <w:rPr>
          <w:color w:val="1155CC"/>
          <w:sz w:val="20"/>
          <w:szCs w:val="20"/>
          <w:u w:val="single"/>
          <w:lang w:val="en-GB"/>
        </w:rPr>
        <w:fldChar w:fldCharType="end"/>
      </w:r>
      <w:bookmarkEnd w:id="0"/>
    </w:p>
  </w:footnote>
  <w:footnote w:id="6">
    <w:p w14:paraId="6E0208FD" w14:textId="77777777" w:rsidR="008E3F16" w:rsidRDefault="00F95A32">
      <w:pPr>
        <w:spacing w:line="240" w:lineRule="auto"/>
        <w:rPr>
          <w:lang w:val="en-GB"/>
        </w:rPr>
      </w:pPr>
      <w:r>
        <w:rPr>
          <w:vertAlign w:val="superscript"/>
          <w:lang w:val="en-GB"/>
        </w:rPr>
        <w:footnoteRef/>
      </w:r>
      <w:r>
        <w:rPr>
          <w:sz w:val="20"/>
          <w:szCs w:val="20"/>
          <w:lang w:val="en-GB"/>
        </w:rPr>
        <w:t xml:space="preserve"> </w:t>
      </w:r>
      <w:proofErr w:type="gramStart"/>
      <w:r>
        <w:rPr>
          <w:sz w:val="20"/>
          <w:szCs w:val="20"/>
          <w:lang w:val="en-GB"/>
        </w:rPr>
        <w:t>according</w:t>
      </w:r>
      <w:proofErr w:type="gramEnd"/>
      <w:r>
        <w:rPr>
          <w:sz w:val="20"/>
          <w:szCs w:val="20"/>
          <w:lang w:val="en-GB"/>
        </w:rPr>
        <w:t xml:space="preserve"> to the study “Registration system in Ukraine: its impact on the exercise of human rights and vital interests” (2018). Link: </w:t>
      </w:r>
      <w:hyperlink r:id="rId4" w:history="1">
        <w:r>
          <w:rPr>
            <w:color w:val="1155CC"/>
            <w:sz w:val="20"/>
            <w:szCs w:val="20"/>
            <w:u w:val="single"/>
            <w:lang w:val="en-GB"/>
          </w:rPr>
          <w:t>https://bit.ly/2RwhAfO</w:t>
        </w:r>
      </w:hyperlink>
      <w:r>
        <w:rPr>
          <w:sz w:val="20"/>
          <w:szCs w:val="20"/>
          <w:lang w:val="en-GB"/>
        </w:rPr>
        <w:t xml:space="preserve">  </w:t>
      </w:r>
    </w:p>
  </w:footnote>
  <w:footnote w:id="7">
    <w:p w14:paraId="5F1FBF3B" w14:textId="77777777" w:rsidR="008E3F16" w:rsidRDefault="00F95A32">
      <w:pPr>
        <w:spacing w:line="240" w:lineRule="auto"/>
        <w:rPr>
          <w:lang w:val="en-GB"/>
        </w:rPr>
      </w:pPr>
      <w:r>
        <w:rPr>
          <w:vertAlign w:val="superscript"/>
          <w:lang w:val="en-GB"/>
        </w:rPr>
        <w:footnoteRef/>
      </w:r>
      <w:r>
        <w:rPr>
          <w:sz w:val="20"/>
          <w:szCs w:val="20"/>
          <w:lang w:val="en-GB"/>
        </w:rPr>
        <w:t xml:space="preserve"> Article </w:t>
      </w:r>
      <w:r>
        <w:rPr>
          <w:sz w:val="20"/>
          <w:szCs w:val="20"/>
          <w:highlight w:val="white"/>
          <w:lang w:val="en-GB"/>
        </w:rPr>
        <w:t>24-2 of the final and transitional provisions of the Budget Code of Ukraine</w:t>
      </w:r>
    </w:p>
  </w:footnote>
  <w:footnote w:id="8">
    <w:p w14:paraId="5FF82342" w14:textId="77777777" w:rsidR="008E3F16" w:rsidRDefault="00F95A32">
      <w:pPr>
        <w:spacing w:line="240" w:lineRule="auto"/>
      </w:pPr>
      <w:r>
        <w:rPr>
          <w:vertAlign w:val="superscript"/>
        </w:rPr>
        <w:footnoteRef/>
      </w:r>
      <w:r>
        <w:rPr>
          <w:sz w:val="20"/>
          <w:szCs w:val="20"/>
        </w:rPr>
        <w:t xml:space="preserve"> </w:t>
      </w:r>
      <w:r>
        <w:rPr>
          <w:sz w:val="20"/>
          <w:szCs w:val="20"/>
        </w:rPr>
        <w:t xml:space="preserve">National </w:t>
      </w:r>
      <w:proofErr w:type="spellStart"/>
      <w:r>
        <w:rPr>
          <w:sz w:val="20"/>
          <w:szCs w:val="20"/>
        </w:rPr>
        <w:t>Monitoring</w:t>
      </w:r>
      <w:proofErr w:type="spellEnd"/>
      <w:r>
        <w:rPr>
          <w:sz w:val="20"/>
          <w:szCs w:val="20"/>
        </w:rPr>
        <w:t xml:space="preserve"> </w:t>
      </w:r>
      <w:proofErr w:type="spellStart"/>
      <w:r>
        <w:rPr>
          <w:sz w:val="20"/>
          <w:szCs w:val="20"/>
        </w:rPr>
        <w:t>System</w:t>
      </w:r>
      <w:proofErr w:type="spellEnd"/>
      <w:r>
        <w:rPr>
          <w:sz w:val="20"/>
          <w:szCs w:val="20"/>
        </w:rPr>
        <w:t xml:space="preserve"> </w:t>
      </w:r>
      <w:proofErr w:type="spellStart"/>
      <w:r>
        <w:rPr>
          <w:sz w:val="20"/>
          <w:szCs w:val="20"/>
        </w:rPr>
        <w:t>report</w:t>
      </w:r>
      <w:proofErr w:type="spellEnd"/>
      <w:r>
        <w:rPr>
          <w:sz w:val="20"/>
          <w:szCs w:val="20"/>
        </w:rPr>
        <w:t xml:space="preserve"> </w:t>
      </w:r>
      <w:proofErr w:type="spellStart"/>
      <w:r>
        <w:rPr>
          <w:sz w:val="20"/>
          <w:szCs w:val="20"/>
        </w:rPr>
        <w:t>on</w:t>
      </w:r>
      <w:proofErr w:type="spellEnd"/>
      <w:r>
        <w:rPr>
          <w:sz w:val="20"/>
          <w:szCs w:val="20"/>
        </w:rPr>
        <w:t xml:space="preserve"> </w:t>
      </w:r>
      <w:proofErr w:type="spellStart"/>
      <w:r>
        <w:rPr>
          <w:sz w:val="20"/>
          <w:szCs w:val="20"/>
        </w:rPr>
        <w:t>the</w:t>
      </w:r>
      <w:proofErr w:type="spellEnd"/>
      <w:r>
        <w:rPr>
          <w:sz w:val="20"/>
          <w:szCs w:val="20"/>
        </w:rPr>
        <w:t xml:space="preserve"> </w:t>
      </w:r>
      <w:proofErr w:type="spellStart"/>
      <w:r>
        <w:rPr>
          <w:sz w:val="20"/>
          <w:szCs w:val="20"/>
        </w:rPr>
        <w:t>Situation</w:t>
      </w:r>
      <w:proofErr w:type="spellEnd"/>
      <w:r>
        <w:rPr>
          <w:sz w:val="20"/>
          <w:szCs w:val="20"/>
        </w:rPr>
        <w:t xml:space="preserve"> </w:t>
      </w:r>
      <w:proofErr w:type="spellStart"/>
      <w:r>
        <w:rPr>
          <w:sz w:val="20"/>
          <w:szCs w:val="20"/>
        </w:rPr>
        <w:t>of</w:t>
      </w:r>
      <w:proofErr w:type="spellEnd"/>
      <w:r>
        <w:rPr>
          <w:sz w:val="20"/>
          <w:szCs w:val="20"/>
        </w:rPr>
        <w:t xml:space="preserve"> </w:t>
      </w:r>
      <w:proofErr w:type="spellStart"/>
      <w:r>
        <w:rPr>
          <w:sz w:val="20"/>
          <w:szCs w:val="20"/>
        </w:rPr>
        <w:t>Internally</w:t>
      </w:r>
      <w:proofErr w:type="spellEnd"/>
      <w:r>
        <w:rPr>
          <w:sz w:val="20"/>
          <w:szCs w:val="20"/>
        </w:rPr>
        <w:t xml:space="preserve"> </w:t>
      </w:r>
      <w:proofErr w:type="spellStart"/>
      <w:r>
        <w:rPr>
          <w:sz w:val="20"/>
          <w:szCs w:val="20"/>
        </w:rPr>
        <w:t>Displaced</w:t>
      </w:r>
      <w:proofErr w:type="spellEnd"/>
      <w:r>
        <w:rPr>
          <w:sz w:val="20"/>
          <w:szCs w:val="20"/>
        </w:rPr>
        <w:t xml:space="preserve"> </w:t>
      </w:r>
      <w:proofErr w:type="spellStart"/>
      <w:r>
        <w:rPr>
          <w:sz w:val="20"/>
          <w:szCs w:val="20"/>
        </w:rPr>
        <w:t>Persons</w:t>
      </w:r>
      <w:proofErr w:type="spellEnd"/>
      <w:r>
        <w:rPr>
          <w:sz w:val="20"/>
          <w:szCs w:val="20"/>
        </w:rPr>
        <w:t xml:space="preserve"> - </w:t>
      </w:r>
      <w:proofErr w:type="spellStart"/>
      <w:r>
        <w:rPr>
          <w:sz w:val="20"/>
          <w:szCs w:val="20"/>
        </w:rPr>
        <w:t>June</w:t>
      </w:r>
      <w:proofErr w:type="spellEnd"/>
      <w:r>
        <w:rPr>
          <w:sz w:val="20"/>
          <w:szCs w:val="20"/>
        </w:rPr>
        <w:t xml:space="preserve"> 2019 // </w:t>
      </w:r>
      <w:hyperlink r:id="rId5" w:history="1">
        <w:r>
          <w:rPr>
            <w:color w:val="1155CC"/>
            <w:sz w:val="20"/>
            <w:szCs w:val="20"/>
            <w:u w:val="single"/>
          </w:rPr>
          <w:t>https://reliefweb.int/report/ukraine/national-monitoring-system-report-situation-internally-displaced-persons-june-2019</w:t>
        </w:r>
      </w:hyperlink>
    </w:p>
  </w:footnote>
  <w:footnote w:id="9">
    <w:p w14:paraId="4D6D793C" w14:textId="77777777" w:rsidR="008E3F16" w:rsidRDefault="00F95A32">
      <w:pPr>
        <w:spacing w:line="240" w:lineRule="auto"/>
      </w:pPr>
      <w:r>
        <w:rPr>
          <w:vertAlign w:val="superscript"/>
        </w:rPr>
        <w:footnoteRef/>
      </w:r>
      <w:r>
        <w:rPr>
          <w:sz w:val="20"/>
          <w:szCs w:val="20"/>
        </w:rPr>
        <w:t xml:space="preserve"> </w:t>
      </w:r>
      <w:r>
        <w:rPr>
          <w:sz w:val="20"/>
          <w:szCs w:val="20"/>
        </w:rPr>
        <w:t xml:space="preserve">CMU </w:t>
      </w:r>
      <w:proofErr w:type="spellStart"/>
      <w:r>
        <w:rPr>
          <w:sz w:val="20"/>
          <w:szCs w:val="20"/>
        </w:rPr>
        <w:t>Resolution</w:t>
      </w:r>
      <w:proofErr w:type="spellEnd"/>
      <w:r>
        <w:rPr>
          <w:sz w:val="20"/>
          <w:szCs w:val="20"/>
        </w:rPr>
        <w:t xml:space="preserve"> 909-r </w:t>
      </w:r>
      <w:proofErr w:type="spellStart"/>
      <w:r>
        <w:rPr>
          <w:sz w:val="20"/>
          <w:szCs w:val="20"/>
        </w:rPr>
        <w:t>of</w:t>
      </w:r>
      <w:proofErr w:type="spellEnd"/>
      <w:r>
        <w:rPr>
          <w:sz w:val="20"/>
          <w:szCs w:val="20"/>
        </w:rPr>
        <w:t xml:space="preserve"> 15 </w:t>
      </w:r>
      <w:proofErr w:type="spellStart"/>
      <w:r>
        <w:rPr>
          <w:sz w:val="20"/>
          <w:szCs w:val="20"/>
        </w:rPr>
        <w:t>November</w:t>
      </w:r>
      <w:proofErr w:type="spellEnd"/>
      <w:r>
        <w:rPr>
          <w:sz w:val="20"/>
          <w:szCs w:val="20"/>
        </w:rPr>
        <w:t xml:space="preserve"> 2017</w:t>
      </w:r>
    </w:p>
  </w:footnote>
  <w:footnote w:id="10">
    <w:p w14:paraId="7BD0DFF7" w14:textId="77777777" w:rsidR="008E3F16" w:rsidRDefault="00F95A32">
      <w:pPr>
        <w:spacing w:line="240" w:lineRule="auto"/>
      </w:pPr>
      <w:r>
        <w:rPr>
          <w:vertAlign w:val="superscript"/>
        </w:rPr>
        <w:footnoteRef/>
      </w:r>
      <w:r>
        <w:rPr>
          <w:sz w:val="20"/>
          <w:szCs w:val="20"/>
        </w:rPr>
        <w:t xml:space="preserve"> </w:t>
      </w:r>
      <w:r>
        <w:rPr>
          <w:sz w:val="20"/>
          <w:szCs w:val="20"/>
        </w:rPr>
        <w:t xml:space="preserve">CMU </w:t>
      </w:r>
      <w:proofErr w:type="spellStart"/>
      <w:r>
        <w:rPr>
          <w:sz w:val="20"/>
          <w:szCs w:val="20"/>
        </w:rPr>
        <w:t>Resolution</w:t>
      </w:r>
      <w:proofErr w:type="spellEnd"/>
      <w:r>
        <w:rPr>
          <w:sz w:val="20"/>
          <w:szCs w:val="20"/>
        </w:rPr>
        <w:t xml:space="preserve"> 944-r </w:t>
      </w:r>
      <w:proofErr w:type="spellStart"/>
      <w:r>
        <w:rPr>
          <w:sz w:val="20"/>
          <w:szCs w:val="20"/>
        </w:rPr>
        <w:t>of</w:t>
      </w:r>
      <w:proofErr w:type="spellEnd"/>
      <w:r>
        <w:rPr>
          <w:sz w:val="20"/>
          <w:szCs w:val="20"/>
        </w:rPr>
        <w:t xml:space="preserve"> 21 </w:t>
      </w:r>
      <w:proofErr w:type="spellStart"/>
      <w:r>
        <w:rPr>
          <w:sz w:val="20"/>
          <w:szCs w:val="20"/>
        </w:rPr>
        <w:t>November</w:t>
      </w:r>
      <w:proofErr w:type="spellEnd"/>
      <w:r>
        <w:rPr>
          <w:sz w:val="20"/>
          <w:szCs w:val="20"/>
        </w:rPr>
        <w:t xml:space="preserve"> 2018</w:t>
      </w:r>
    </w:p>
  </w:footnote>
  <w:footnote w:id="11">
    <w:p w14:paraId="172CF986" w14:textId="77777777" w:rsidR="008E3F16" w:rsidRDefault="00F95A32">
      <w:pPr>
        <w:spacing w:line="240" w:lineRule="auto"/>
        <w:rPr>
          <w:lang w:val="en-GB"/>
        </w:rPr>
      </w:pPr>
      <w:r>
        <w:rPr>
          <w:vertAlign w:val="superscript"/>
        </w:rPr>
        <w:footnoteRef/>
      </w:r>
      <w:r>
        <w:rPr>
          <w:sz w:val="20"/>
          <w:szCs w:val="20"/>
        </w:rPr>
        <w:t xml:space="preserve"> </w:t>
      </w:r>
      <w:r>
        <w:rPr>
          <w:sz w:val="20"/>
          <w:szCs w:val="20"/>
          <w:lang w:val="en-GB"/>
        </w:rPr>
        <w:t>Article 24-1, the Law of Ukraine “On Employment of the Population” no. 5067-VI of 5 July 2012</w:t>
      </w:r>
    </w:p>
  </w:footnote>
  <w:footnote w:id="12">
    <w:p w14:paraId="336D47A5" w14:textId="77777777" w:rsidR="008E3F16" w:rsidRDefault="00F95A32">
      <w:pPr>
        <w:spacing w:line="240" w:lineRule="auto"/>
      </w:pPr>
      <w:r>
        <w:rPr>
          <w:vertAlign w:val="superscript"/>
        </w:rPr>
        <w:footnoteRef/>
      </w:r>
      <w:r>
        <w:rPr>
          <w:sz w:val="20"/>
          <w:szCs w:val="20"/>
        </w:rPr>
        <w:t xml:space="preserve"> </w:t>
      </w:r>
      <w:hyperlink r:id="rId6" w:history="1">
        <w:r>
          <w:rPr>
            <w:color w:val="1155CC"/>
            <w:sz w:val="20"/>
            <w:szCs w:val="20"/>
            <w:u w:val="single"/>
          </w:rPr>
          <w:t>http://www.donbasssos.org/digest_pracevlashtyv_vpo/</w:t>
        </w:r>
      </w:hyperlink>
    </w:p>
  </w:footnote>
  <w:footnote w:id="13">
    <w:p w14:paraId="0262671A" w14:textId="77777777" w:rsidR="008E3F16" w:rsidRDefault="00F95A32">
      <w:pPr>
        <w:spacing w:line="240" w:lineRule="auto"/>
      </w:pPr>
      <w:r>
        <w:rPr>
          <w:vertAlign w:val="superscript"/>
        </w:rPr>
        <w:footnoteRef/>
      </w:r>
      <w:r>
        <w:rPr>
          <w:sz w:val="20"/>
          <w:szCs w:val="20"/>
        </w:rPr>
        <w:t xml:space="preserve"> </w:t>
      </w:r>
      <w:proofErr w:type="spellStart"/>
      <w:r>
        <w:rPr>
          <w:sz w:val="20"/>
          <w:szCs w:val="20"/>
        </w:rPr>
        <w:t>figures</w:t>
      </w:r>
      <w:proofErr w:type="spellEnd"/>
      <w:r>
        <w:rPr>
          <w:sz w:val="20"/>
          <w:szCs w:val="20"/>
        </w:rPr>
        <w:t xml:space="preserve"> </w:t>
      </w:r>
      <w:proofErr w:type="spellStart"/>
      <w:r>
        <w:rPr>
          <w:sz w:val="20"/>
          <w:szCs w:val="20"/>
        </w:rPr>
        <w:t>for</w:t>
      </w:r>
      <w:proofErr w:type="spellEnd"/>
      <w:r>
        <w:rPr>
          <w:sz w:val="20"/>
          <w:szCs w:val="20"/>
        </w:rPr>
        <w:t xml:space="preserve"> </w:t>
      </w:r>
      <w:proofErr w:type="spellStart"/>
      <w:r>
        <w:rPr>
          <w:sz w:val="20"/>
          <w:szCs w:val="20"/>
        </w:rPr>
        <w:t>the</w:t>
      </w:r>
      <w:proofErr w:type="spellEnd"/>
      <w:r>
        <w:rPr>
          <w:sz w:val="20"/>
          <w:szCs w:val="20"/>
        </w:rPr>
        <w:t xml:space="preserve"> </w:t>
      </w:r>
      <w:proofErr w:type="spellStart"/>
      <w:r>
        <w:rPr>
          <w:sz w:val="20"/>
          <w:szCs w:val="20"/>
        </w:rPr>
        <w:t>period</w:t>
      </w:r>
      <w:proofErr w:type="spellEnd"/>
      <w:r>
        <w:rPr>
          <w:sz w:val="20"/>
          <w:szCs w:val="20"/>
        </w:rPr>
        <w:t xml:space="preserve"> </w:t>
      </w:r>
      <w:proofErr w:type="spellStart"/>
      <w:r>
        <w:rPr>
          <w:sz w:val="20"/>
          <w:szCs w:val="20"/>
        </w:rPr>
        <w:t>between</w:t>
      </w:r>
      <w:proofErr w:type="spellEnd"/>
      <w:r>
        <w:rPr>
          <w:sz w:val="20"/>
          <w:szCs w:val="20"/>
        </w:rPr>
        <w:t xml:space="preserve"> 2015 </w:t>
      </w:r>
      <w:proofErr w:type="spellStart"/>
      <w:r>
        <w:rPr>
          <w:sz w:val="20"/>
          <w:szCs w:val="20"/>
        </w:rPr>
        <w:t>and</w:t>
      </w:r>
      <w:proofErr w:type="spellEnd"/>
      <w:r>
        <w:rPr>
          <w:sz w:val="20"/>
          <w:szCs w:val="20"/>
        </w:rPr>
        <w:t xml:space="preserve"> 3 </w:t>
      </w:r>
      <w:proofErr w:type="spellStart"/>
      <w:r>
        <w:rPr>
          <w:sz w:val="20"/>
          <w:szCs w:val="20"/>
        </w:rPr>
        <w:t>quarters</w:t>
      </w:r>
      <w:proofErr w:type="spellEnd"/>
      <w:r>
        <w:rPr>
          <w:sz w:val="20"/>
          <w:szCs w:val="20"/>
        </w:rPr>
        <w:t xml:space="preserve"> </w:t>
      </w:r>
      <w:proofErr w:type="spellStart"/>
      <w:r>
        <w:rPr>
          <w:sz w:val="20"/>
          <w:szCs w:val="20"/>
        </w:rPr>
        <w:t>of</w:t>
      </w:r>
      <w:proofErr w:type="spellEnd"/>
      <w:r>
        <w:rPr>
          <w:sz w:val="20"/>
          <w:szCs w:val="20"/>
        </w:rPr>
        <w:t xml:space="preserve"> 2018</w:t>
      </w:r>
    </w:p>
  </w:footnote>
  <w:footnote w:id="14">
    <w:p w14:paraId="141A01FA" w14:textId="77777777" w:rsidR="008E3F16" w:rsidRDefault="00F95A32">
      <w:pPr>
        <w:spacing w:line="240" w:lineRule="auto"/>
      </w:pPr>
      <w:r>
        <w:rPr>
          <w:vertAlign w:val="superscript"/>
        </w:rPr>
        <w:footnoteRef/>
      </w:r>
      <w:r>
        <w:rPr>
          <w:sz w:val="20"/>
          <w:szCs w:val="20"/>
        </w:rPr>
        <w:t xml:space="preserve"> </w:t>
      </w:r>
      <w:r>
        <w:rPr>
          <w:sz w:val="20"/>
          <w:szCs w:val="20"/>
        </w:rPr>
        <w:t xml:space="preserve">CMU </w:t>
      </w:r>
      <w:proofErr w:type="spellStart"/>
      <w:r>
        <w:rPr>
          <w:sz w:val="20"/>
          <w:szCs w:val="20"/>
        </w:rPr>
        <w:t>Resolution</w:t>
      </w:r>
      <w:proofErr w:type="spellEnd"/>
      <w:r>
        <w:rPr>
          <w:sz w:val="20"/>
          <w:szCs w:val="20"/>
        </w:rPr>
        <w:t xml:space="preserve"> 365 </w:t>
      </w:r>
      <w:proofErr w:type="spellStart"/>
      <w:r>
        <w:rPr>
          <w:sz w:val="20"/>
          <w:szCs w:val="20"/>
        </w:rPr>
        <w:t>of</w:t>
      </w:r>
      <w:proofErr w:type="spellEnd"/>
      <w:r>
        <w:rPr>
          <w:sz w:val="20"/>
          <w:szCs w:val="20"/>
        </w:rPr>
        <w:t xml:space="preserve"> 8 </w:t>
      </w:r>
      <w:proofErr w:type="spellStart"/>
      <w:r>
        <w:rPr>
          <w:sz w:val="20"/>
          <w:szCs w:val="20"/>
        </w:rPr>
        <w:t>June</w:t>
      </w:r>
      <w:proofErr w:type="spellEnd"/>
      <w:r>
        <w:rPr>
          <w:sz w:val="20"/>
          <w:szCs w:val="20"/>
        </w:rPr>
        <w:t xml:space="preserve"> 2016 “</w:t>
      </w:r>
      <w:proofErr w:type="spellStart"/>
      <w:r>
        <w:rPr>
          <w:sz w:val="20"/>
          <w:szCs w:val="20"/>
        </w:rPr>
        <w:t>Certain</w:t>
      </w:r>
      <w:proofErr w:type="spellEnd"/>
      <w:r>
        <w:rPr>
          <w:sz w:val="20"/>
          <w:szCs w:val="20"/>
        </w:rPr>
        <w:t xml:space="preserve"> </w:t>
      </w:r>
      <w:proofErr w:type="spellStart"/>
      <w:r>
        <w:rPr>
          <w:sz w:val="20"/>
          <w:szCs w:val="20"/>
        </w:rPr>
        <w:t>Issues</w:t>
      </w:r>
      <w:proofErr w:type="spellEnd"/>
      <w:r>
        <w:rPr>
          <w:sz w:val="20"/>
          <w:szCs w:val="20"/>
        </w:rPr>
        <w:t xml:space="preserve"> </w:t>
      </w:r>
      <w:proofErr w:type="spellStart"/>
      <w:r>
        <w:rPr>
          <w:sz w:val="20"/>
          <w:szCs w:val="20"/>
        </w:rPr>
        <w:t>Related</w:t>
      </w:r>
      <w:proofErr w:type="spellEnd"/>
      <w:r>
        <w:rPr>
          <w:sz w:val="20"/>
          <w:szCs w:val="20"/>
        </w:rPr>
        <w:t xml:space="preserve"> </w:t>
      </w:r>
      <w:proofErr w:type="spellStart"/>
      <w:r>
        <w:rPr>
          <w:sz w:val="20"/>
          <w:szCs w:val="20"/>
        </w:rPr>
        <w:t>to</w:t>
      </w:r>
      <w:proofErr w:type="spellEnd"/>
      <w:r>
        <w:rPr>
          <w:sz w:val="20"/>
          <w:szCs w:val="20"/>
        </w:rPr>
        <w:t xml:space="preserve"> </w:t>
      </w:r>
      <w:proofErr w:type="spellStart"/>
      <w:r>
        <w:rPr>
          <w:sz w:val="20"/>
          <w:szCs w:val="20"/>
        </w:rPr>
        <w:t>the</w:t>
      </w:r>
      <w:proofErr w:type="spellEnd"/>
      <w:r>
        <w:rPr>
          <w:sz w:val="20"/>
          <w:szCs w:val="20"/>
        </w:rPr>
        <w:t xml:space="preserve"> </w:t>
      </w:r>
      <w:proofErr w:type="spellStart"/>
      <w:r>
        <w:rPr>
          <w:sz w:val="20"/>
          <w:szCs w:val="20"/>
        </w:rPr>
        <w:t>Provision</w:t>
      </w:r>
      <w:proofErr w:type="spellEnd"/>
      <w:r>
        <w:rPr>
          <w:sz w:val="20"/>
          <w:szCs w:val="20"/>
        </w:rPr>
        <w:t xml:space="preserve"> </w:t>
      </w:r>
      <w:proofErr w:type="spellStart"/>
      <w:r>
        <w:rPr>
          <w:sz w:val="20"/>
          <w:szCs w:val="20"/>
        </w:rPr>
        <w:t>of</w:t>
      </w:r>
      <w:proofErr w:type="spellEnd"/>
      <w:r>
        <w:rPr>
          <w:sz w:val="20"/>
          <w:szCs w:val="20"/>
        </w:rPr>
        <w:t xml:space="preserve"> </w:t>
      </w:r>
      <w:proofErr w:type="spellStart"/>
      <w:r>
        <w:rPr>
          <w:sz w:val="20"/>
          <w:szCs w:val="20"/>
        </w:rPr>
        <w:t>Social</w:t>
      </w:r>
      <w:proofErr w:type="spellEnd"/>
      <w:r>
        <w:rPr>
          <w:sz w:val="20"/>
          <w:szCs w:val="20"/>
        </w:rPr>
        <w:t xml:space="preserve"> </w:t>
      </w:r>
      <w:proofErr w:type="spellStart"/>
      <w:r>
        <w:rPr>
          <w:sz w:val="20"/>
          <w:szCs w:val="20"/>
        </w:rPr>
        <w:t>Payments</w:t>
      </w:r>
      <w:proofErr w:type="spellEnd"/>
      <w:r>
        <w:rPr>
          <w:sz w:val="20"/>
          <w:szCs w:val="20"/>
        </w:rPr>
        <w:t xml:space="preserve"> </w:t>
      </w:r>
      <w:proofErr w:type="spellStart"/>
      <w:r>
        <w:rPr>
          <w:sz w:val="20"/>
          <w:szCs w:val="20"/>
        </w:rPr>
        <w:t>to</w:t>
      </w:r>
      <w:proofErr w:type="spellEnd"/>
      <w:r>
        <w:rPr>
          <w:sz w:val="20"/>
          <w:szCs w:val="20"/>
        </w:rPr>
        <w:t xml:space="preserve"> </w:t>
      </w:r>
      <w:proofErr w:type="spellStart"/>
      <w:r>
        <w:rPr>
          <w:sz w:val="20"/>
          <w:szCs w:val="20"/>
        </w:rPr>
        <w:t>Internally</w:t>
      </w:r>
      <w:proofErr w:type="spellEnd"/>
      <w:r>
        <w:rPr>
          <w:sz w:val="20"/>
          <w:szCs w:val="20"/>
        </w:rPr>
        <w:t xml:space="preserve"> </w:t>
      </w:r>
      <w:proofErr w:type="spellStart"/>
      <w:r>
        <w:rPr>
          <w:sz w:val="20"/>
          <w:szCs w:val="20"/>
        </w:rPr>
        <w:t>Displaced</w:t>
      </w:r>
      <w:proofErr w:type="spellEnd"/>
      <w:r>
        <w:rPr>
          <w:sz w:val="20"/>
          <w:szCs w:val="20"/>
        </w:rPr>
        <w:t xml:space="preserve"> </w:t>
      </w:r>
      <w:proofErr w:type="spellStart"/>
      <w:r>
        <w:rPr>
          <w:sz w:val="20"/>
          <w:szCs w:val="20"/>
        </w:rPr>
        <w:t>Persons</w:t>
      </w:r>
      <w:proofErr w:type="spellEnd"/>
      <w:r>
        <w:rPr>
          <w:sz w:val="20"/>
          <w:szCs w:val="20"/>
        </w:rPr>
        <w:t>”</w:t>
      </w:r>
    </w:p>
  </w:footnote>
  <w:footnote w:id="15">
    <w:p w14:paraId="44CA89C5" w14:textId="77777777" w:rsidR="008E3F16" w:rsidRDefault="00F95A32">
      <w:pPr>
        <w:spacing w:line="240" w:lineRule="auto"/>
      </w:pPr>
      <w:r>
        <w:rPr>
          <w:vertAlign w:val="superscript"/>
        </w:rPr>
        <w:footnoteRef/>
      </w:r>
      <w:r>
        <w:rPr>
          <w:sz w:val="20"/>
          <w:szCs w:val="20"/>
        </w:rPr>
        <w:t xml:space="preserve"> </w:t>
      </w:r>
      <w:hyperlink r:id="rId7" w:history="1">
        <w:r>
          <w:rPr>
            <w:color w:val="1155CC"/>
            <w:sz w:val="20"/>
            <w:szCs w:val="20"/>
            <w:u w:val="single"/>
          </w:rPr>
          <w:t>https://supreme.court.gov.ua/supreme/inshe/zrazkovi_spravu/zr_rish_805_402_18</w:t>
        </w:r>
      </w:hyperlink>
    </w:p>
  </w:footnote>
  <w:footnote w:id="16">
    <w:p w14:paraId="29143305" w14:textId="77777777" w:rsidR="008E3F16" w:rsidRDefault="00F95A32">
      <w:pPr>
        <w:spacing w:line="240" w:lineRule="auto"/>
      </w:pPr>
      <w:r>
        <w:rPr>
          <w:vertAlign w:val="superscript"/>
        </w:rPr>
        <w:footnoteRef/>
      </w:r>
      <w:r>
        <w:rPr>
          <w:sz w:val="20"/>
          <w:szCs w:val="20"/>
        </w:rPr>
        <w:t xml:space="preserve"> </w:t>
      </w:r>
      <w:hyperlink r:id="rId8" w:anchor="n15" w:history="1">
        <w:r>
          <w:rPr>
            <w:color w:val="1155CC"/>
            <w:sz w:val="20"/>
            <w:szCs w:val="20"/>
            <w:u w:val="single"/>
          </w:rPr>
          <w:t>https://zakon.rada.gov.ua/rada/show/v2123805-17#n15</w:t>
        </w:r>
      </w:hyperlink>
    </w:p>
  </w:footnote>
  <w:footnote w:id="17">
    <w:p w14:paraId="06F6023D" w14:textId="77777777" w:rsidR="008E3F16" w:rsidRDefault="00F95A32">
      <w:pPr>
        <w:spacing w:line="240" w:lineRule="auto"/>
      </w:pPr>
      <w:r>
        <w:rPr>
          <w:vertAlign w:val="superscript"/>
        </w:rPr>
        <w:footnoteRef/>
      </w:r>
      <w:r>
        <w:rPr>
          <w:sz w:val="20"/>
          <w:szCs w:val="20"/>
        </w:rPr>
        <w:t xml:space="preserve"> </w:t>
      </w:r>
      <w:r>
        <w:rPr>
          <w:sz w:val="20"/>
          <w:szCs w:val="20"/>
        </w:rPr>
        <w:t xml:space="preserve">CMU </w:t>
      </w:r>
      <w:proofErr w:type="spellStart"/>
      <w:r>
        <w:rPr>
          <w:sz w:val="20"/>
          <w:szCs w:val="20"/>
        </w:rPr>
        <w:t>Resolution</w:t>
      </w:r>
      <w:proofErr w:type="spellEnd"/>
      <w:r>
        <w:rPr>
          <w:sz w:val="20"/>
          <w:szCs w:val="20"/>
        </w:rPr>
        <w:t xml:space="preserve"> 637 </w:t>
      </w:r>
      <w:proofErr w:type="spellStart"/>
      <w:r>
        <w:rPr>
          <w:sz w:val="20"/>
          <w:szCs w:val="20"/>
        </w:rPr>
        <w:t>of</w:t>
      </w:r>
      <w:proofErr w:type="spellEnd"/>
      <w:r>
        <w:rPr>
          <w:sz w:val="20"/>
          <w:szCs w:val="20"/>
        </w:rPr>
        <w:t xml:space="preserve"> 5 </w:t>
      </w:r>
      <w:proofErr w:type="spellStart"/>
      <w:r>
        <w:rPr>
          <w:sz w:val="20"/>
          <w:szCs w:val="20"/>
        </w:rPr>
        <w:t>November</w:t>
      </w:r>
      <w:proofErr w:type="spellEnd"/>
      <w:r>
        <w:rPr>
          <w:sz w:val="20"/>
          <w:szCs w:val="20"/>
        </w:rPr>
        <w:t xml:space="preserve"> 2014 “</w:t>
      </w:r>
      <w:proofErr w:type="spellStart"/>
      <w:r>
        <w:rPr>
          <w:sz w:val="20"/>
          <w:szCs w:val="20"/>
        </w:rPr>
        <w:t>On</w:t>
      </w:r>
      <w:proofErr w:type="spellEnd"/>
      <w:r>
        <w:rPr>
          <w:sz w:val="20"/>
          <w:szCs w:val="20"/>
        </w:rPr>
        <w:t xml:space="preserve"> </w:t>
      </w:r>
      <w:proofErr w:type="spellStart"/>
      <w:r>
        <w:rPr>
          <w:sz w:val="20"/>
          <w:szCs w:val="20"/>
        </w:rPr>
        <w:t>the</w:t>
      </w:r>
      <w:proofErr w:type="spellEnd"/>
      <w:r>
        <w:rPr>
          <w:sz w:val="20"/>
          <w:szCs w:val="20"/>
        </w:rPr>
        <w:t xml:space="preserve"> </w:t>
      </w:r>
      <w:proofErr w:type="spellStart"/>
      <w:r>
        <w:rPr>
          <w:sz w:val="20"/>
          <w:szCs w:val="20"/>
        </w:rPr>
        <w:t>Provision</w:t>
      </w:r>
      <w:proofErr w:type="spellEnd"/>
      <w:r>
        <w:rPr>
          <w:sz w:val="20"/>
          <w:szCs w:val="20"/>
        </w:rPr>
        <w:t xml:space="preserve"> </w:t>
      </w:r>
      <w:proofErr w:type="spellStart"/>
      <w:r>
        <w:rPr>
          <w:sz w:val="20"/>
          <w:szCs w:val="20"/>
        </w:rPr>
        <w:t>of</w:t>
      </w:r>
      <w:proofErr w:type="spellEnd"/>
      <w:r>
        <w:rPr>
          <w:sz w:val="20"/>
          <w:szCs w:val="20"/>
        </w:rPr>
        <w:t xml:space="preserve"> </w:t>
      </w:r>
      <w:proofErr w:type="spellStart"/>
      <w:r>
        <w:rPr>
          <w:sz w:val="20"/>
          <w:szCs w:val="20"/>
        </w:rPr>
        <w:t>Social</w:t>
      </w:r>
      <w:proofErr w:type="spellEnd"/>
      <w:r>
        <w:rPr>
          <w:sz w:val="20"/>
          <w:szCs w:val="20"/>
        </w:rPr>
        <w:t xml:space="preserve"> </w:t>
      </w:r>
      <w:proofErr w:type="spellStart"/>
      <w:r>
        <w:rPr>
          <w:sz w:val="20"/>
          <w:szCs w:val="20"/>
        </w:rPr>
        <w:t>Payments</w:t>
      </w:r>
      <w:proofErr w:type="spellEnd"/>
      <w:r>
        <w:rPr>
          <w:sz w:val="20"/>
          <w:szCs w:val="20"/>
        </w:rPr>
        <w:t xml:space="preserve"> </w:t>
      </w:r>
      <w:proofErr w:type="spellStart"/>
      <w:r>
        <w:rPr>
          <w:sz w:val="20"/>
          <w:szCs w:val="20"/>
        </w:rPr>
        <w:t>to</w:t>
      </w:r>
      <w:proofErr w:type="spellEnd"/>
      <w:r>
        <w:rPr>
          <w:sz w:val="20"/>
          <w:szCs w:val="20"/>
        </w:rPr>
        <w:t xml:space="preserve"> </w:t>
      </w:r>
      <w:proofErr w:type="spellStart"/>
      <w:r>
        <w:rPr>
          <w:sz w:val="20"/>
          <w:szCs w:val="20"/>
        </w:rPr>
        <w:t>Internally</w:t>
      </w:r>
      <w:proofErr w:type="spellEnd"/>
      <w:r>
        <w:rPr>
          <w:sz w:val="20"/>
          <w:szCs w:val="20"/>
        </w:rPr>
        <w:t xml:space="preserve"> </w:t>
      </w:r>
      <w:proofErr w:type="spellStart"/>
      <w:r>
        <w:rPr>
          <w:sz w:val="20"/>
          <w:szCs w:val="20"/>
        </w:rPr>
        <w:t>Displaced</w:t>
      </w:r>
      <w:proofErr w:type="spellEnd"/>
      <w:r>
        <w:rPr>
          <w:sz w:val="20"/>
          <w:szCs w:val="20"/>
        </w:rPr>
        <w:t xml:space="preserve"> </w:t>
      </w:r>
      <w:proofErr w:type="spellStart"/>
      <w:r>
        <w:rPr>
          <w:sz w:val="20"/>
          <w:szCs w:val="20"/>
        </w:rPr>
        <w:t>Persons</w:t>
      </w:r>
      <w:proofErr w:type="spellEnd"/>
      <w:r>
        <w:rPr>
          <w:sz w:val="20"/>
          <w:szCs w:val="20"/>
        </w:rPr>
        <w:t>”</w:t>
      </w:r>
    </w:p>
  </w:footnote>
  <w:footnote w:id="18">
    <w:p w14:paraId="26C09336" w14:textId="77777777" w:rsidR="008E3F16" w:rsidRDefault="00F95A32">
      <w:pPr>
        <w:spacing w:line="240" w:lineRule="auto"/>
      </w:pPr>
      <w:r>
        <w:rPr>
          <w:vertAlign w:val="superscript"/>
        </w:rPr>
        <w:footnoteRef/>
      </w:r>
      <w:r>
        <w:rPr>
          <w:sz w:val="20"/>
          <w:szCs w:val="20"/>
        </w:rPr>
        <w:t xml:space="preserve"> </w:t>
      </w:r>
      <w:r>
        <w:rPr>
          <w:sz w:val="20"/>
          <w:szCs w:val="20"/>
        </w:rPr>
        <w:t xml:space="preserve">CMU </w:t>
      </w:r>
      <w:proofErr w:type="spellStart"/>
      <w:r>
        <w:rPr>
          <w:sz w:val="20"/>
          <w:szCs w:val="20"/>
        </w:rPr>
        <w:t>Resolution</w:t>
      </w:r>
      <w:proofErr w:type="spellEnd"/>
      <w:r>
        <w:rPr>
          <w:sz w:val="20"/>
          <w:szCs w:val="20"/>
        </w:rPr>
        <w:t xml:space="preserve"> 335 </w:t>
      </w:r>
      <w:proofErr w:type="spellStart"/>
      <w:r>
        <w:rPr>
          <w:sz w:val="20"/>
          <w:szCs w:val="20"/>
        </w:rPr>
        <w:t>of</w:t>
      </w:r>
      <w:proofErr w:type="spellEnd"/>
      <w:r>
        <w:rPr>
          <w:sz w:val="20"/>
          <w:szCs w:val="20"/>
        </w:rPr>
        <w:t xml:space="preserve"> 25 </w:t>
      </w:r>
      <w:proofErr w:type="spellStart"/>
      <w:r>
        <w:rPr>
          <w:sz w:val="20"/>
          <w:szCs w:val="20"/>
        </w:rPr>
        <w:t>April</w:t>
      </w:r>
      <w:proofErr w:type="spellEnd"/>
      <w:r>
        <w:rPr>
          <w:sz w:val="20"/>
          <w:szCs w:val="20"/>
        </w:rPr>
        <w:t xml:space="preserve"> 2018</w:t>
      </w:r>
    </w:p>
  </w:footnote>
  <w:footnote w:id="19">
    <w:p w14:paraId="44DC492C" w14:textId="77777777" w:rsidR="008E3F16" w:rsidRDefault="00F95A32">
      <w:pPr>
        <w:spacing w:line="240" w:lineRule="auto"/>
      </w:pPr>
      <w:r>
        <w:rPr>
          <w:vertAlign w:val="superscript"/>
        </w:rPr>
        <w:footnoteRef/>
      </w:r>
      <w:r>
        <w:rPr>
          <w:sz w:val="20"/>
          <w:szCs w:val="20"/>
        </w:rPr>
        <w:t xml:space="preserve"> </w:t>
      </w:r>
      <w:r>
        <w:rPr>
          <w:sz w:val="20"/>
          <w:szCs w:val="20"/>
        </w:rPr>
        <w:t xml:space="preserve">CMU </w:t>
      </w:r>
      <w:proofErr w:type="spellStart"/>
      <w:r>
        <w:rPr>
          <w:sz w:val="20"/>
          <w:szCs w:val="20"/>
        </w:rPr>
        <w:t>Resolution</w:t>
      </w:r>
      <w:proofErr w:type="spellEnd"/>
      <w:r>
        <w:rPr>
          <w:sz w:val="20"/>
          <w:szCs w:val="20"/>
        </w:rPr>
        <w:t xml:space="preserve"> 234 </w:t>
      </w:r>
      <w:proofErr w:type="spellStart"/>
      <w:r>
        <w:rPr>
          <w:sz w:val="20"/>
          <w:szCs w:val="20"/>
        </w:rPr>
        <w:t>of</w:t>
      </w:r>
      <w:proofErr w:type="spellEnd"/>
      <w:r>
        <w:rPr>
          <w:sz w:val="20"/>
          <w:szCs w:val="20"/>
        </w:rPr>
        <w:t xml:space="preserve"> 2 </w:t>
      </w:r>
      <w:proofErr w:type="spellStart"/>
      <w:r>
        <w:rPr>
          <w:sz w:val="20"/>
          <w:szCs w:val="20"/>
        </w:rPr>
        <w:t>July</w:t>
      </w:r>
      <w:proofErr w:type="spellEnd"/>
      <w:r>
        <w:rPr>
          <w:sz w:val="20"/>
          <w:szCs w:val="20"/>
        </w:rPr>
        <w:t xml:space="preserve"> 2014</w:t>
      </w:r>
    </w:p>
  </w:footnote>
  <w:footnote w:id="20">
    <w:p w14:paraId="51EFEC8F" w14:textId="77777777" w:rsidR="008E3F16" w:rsidRDefault="00F95A32">
      <w:pPr>
        <w:spacing w:line="240" w:lineRule="auto"/>
      </w:pPr>
      <w:r>
        <w:rPr>
          <w:vertAlign w:val="superscript"/>
        </w:rPr>
        <w:footnoteRef/>
      </w:r>
      <w:r>
        <w:rPr>
          <w:sz w:val="20"/>
          <w:szCs w:val="20"/>
        </w:rPr>
        <w:t xml:space="preserve"> </w:t>
      </w:r>
      <w:hyperlink r:id="rId9" w:history="1">
        <w:proofErr w:type="spellStart"/>
        <w:r>
          <w:rPr>
            <w:rStyle w:val="af0"/>
            <w:sz w:val="20"/>
            <w:szCs w:val="20"/>
          </w:rPr>
          <w:t>Agreement</w:t>
        </w:r>
        <w:proofErr w:type="spellEnd"/>
        <w:r>
          <w:rPr>
            <w:rStyle w:val="af0"/>
            <w:sz w:val="20"/>
            <w:szCs w:val="20"/>
          </w:rPr>
          <w:t xml:space="preserve"> </w:t>
        </w:r>
        <w:proofErr w:type="spellStart"/>
        <w:r>
          <w:rPr>
            <w:rStyle w:val="af0"/>
            <w:sz w:val="20"/>
            <w:szCs w:val="20"/>
          </w:rPr>
          <w:t>on</w:t>
        </w:r>
        <w:proofErr w:type="spellEnd"/>
        <w:r>
          <w:rPr>
            <w:rStyle w:val="af0"/>
            <w:sz w:val="20"/>
            <w:szCs w:val="20"/>
          </w:rPr>
          <w:t xml:space="preserve"> </w:t>
        </w:r>
        <w:proofErr w:type="spellStart"/>
        <w:r>
          <w:rPr>
            <w:rStyle w:val="af0"/>
            <w:sz w:val="20"/>
            <w:szCs w:val="20"/>
          </w:rPr>
          <w:t>the</w:t>
        </w:r>
        <w:proofErr w:type="spellEnd"/>
        <w:r>
          <w:rPr>
            <w:rStyle w:val="af0"/>
            <w:sz w:val="20"/>
            <w:szCs w:val="20"/>
          </w:rPr>
          <w:t xml:space="preserve"> </w:t>
        </w:r>
        <w:proofErr w:type="spellStart"/>
        <w:r>
          <w:rPr>
            <w:rStyle w:val="af0"/>
            <w:sz w:val="20"/>
            <w:szCs w:val="20"/>
          </w:rPr>
          <w:t>Guarantees</w:t>
        </w:r>
        <w:proofErr w:type="spellEnd"/>
        <w:r>
          <w:rPr>
            <w:rStyle w:val="af0"/>
            <w:sz w:val="20"/>
            <w:szCs w:val="20"/>
          </w:rPr>
          <w:t xml:space="preserve"> </w:t>
        </w:r>
        <w:proofErr w:type="spellStart"/>
        <w:r>
          <w:rPr>
            <w:rStyle w:val="af0"/>
            <w:sz w:val="20"/>
            <w:szCs w:val="20"/>
          </w:rPr>
          <w:t>for</w:t>
        </w:r>
        <w:proofErr w:type="spellEnd"/>
        <w:r>
          <w:rPr>
            <w:rStyle w:val="af0"/>
            <w:sz w:val="20"/>
            <w:szCs w:val="20"/>
          </w:rPr>
          <w:t xml:space="preserve"> </w:t>
        </w:r>
        <w:proofErr w:type="spellStart"/>
        <w:r>
          <w:rPr>
            <w:rStyle w:val="af0"/>
            <w:sz w:val="20"/>
            <w:szCs w:val="20"/>
          </w:rPr>
          <w:t>the</w:t>
        </w:r>
        <w:proofErr w:type="spellEnd"/>
        <w:r>
          <w:rPr>
            <w:rStyle w:val="af0"/>
            <w:sz w:val="20"/>
            <w:szCs w:val="20"/>
          </w:rPr>
          <w:t xml:space="preserve"> </w:t>
        </w:r>
        <w:proofErr w:type="spellStart"/>
        <w:r>
          <w:rPr>
            <w:rStyle w:val="af0"/>
            <w:sz w:val="20"/>
            <w:szCs w:val="20"/>
          </w:rPr>
          <w:t>Rights</w:t>
        </w:r>
        <w:proofErr w:type="spellEnd"/>
        <w:r>
          <w:rPr>
            <w:rStyle w:val="af0"/>
            <w:sz w:val="20"/>
            <w:szCs w:val="20"/>
          </w:rPr>
          <w:t xml:space="preserve"> </w:t>
        </w:r>
        <w:proofErr w:type="spellStart"/>
        <w:r>
          <w:rPr>
            <w:rStyle w:val="af0"/>
            <w:sz w:val="20"/>
            <w:szCs w:val="20"/>
          </w:rPr>
          <w:t>of</w:t>
        </w:r>
        <w:proofErr w:type="spellEnd"/>
        <w:r>
          <w:rPr>
            <w:rStyle w:val="af0"/>
            <w:sz w:val="20"/>
            <w:szCs w:val="20"/>
          </w:rPr>
          <w:t xml:space="preserve"> </w:t>
        </w:r>
        <w:proofErr w:type="spellStart"/>
        <w:r>
          <w:rPr>
            <w:rStyle w:val="af0"/>
            <w:sz w:val="20"/>
            <w:szCs w:val="20"/>
          </w:rPr>
          <w:t>the</w:t>
        </w:r>
        <w:proofErr w:type="spellEnd"/>
        <w:r>
          <w:rPr>
            <w:rStyle w:val="af0"/>
            <w:sz w:val="20"/>
            <w:szCs w:val="20"/>
          </w:rPr>
          <w:t xml:space="preserve"> </w:t>
        </w:r>
        <w:proofErr w:type="spellStart"/>
        <w:r>
          <w:rPr>
            <w:rStyle w:val="af0"/>
            <w:sz w:val="20"/>
            <w:szCs w:val="20"/>
          </w:rPr>
          <w:t>Citizens</w:t>
        </w:r>
        <w:proofErr w:type="spellEnd"/>
        <w:r>
          <w:rPr>
            <w:rStyle w:val="af0"/>
            <w:sz w:val="20"/>
            <w:szCs w:val="20"/>
          </w:rPr>
          <w:t xml:space="preserve"> </w:t>
        </w:r>
        <w:proofErr w:type="spellStart"/>
        <w:r>
          <w:rPr>
            <w:rStyle w:val="af0"/>
            <w:sz w:val="20"/>
            <w:szCs w:val="20"/>
          </w:rPr>
          <w:t>of</w:t>
        </w:r>
        <w:proofErr w:type="spellEnd"/>
        <w:r>
          <w:rPr>
            <w:rStyle w:val="af0"/>
            <w:sz w:val="20"/>
            <w:szCs w:val="20"/>
          </w:rPr>
          <w:t xml:space="preserve"> </w:t>
        </w:r>
        <w:proofErr w:type="spellStart"/>
        <w:r>
          <w:rPr>
            <w:rStyle w:val="af0"/>
            <w:sz w:val="20"/>
            <w:szCs w:val="20"/>
          </w:rPr>
          <w:t>State</w:t>
        </w:r>
        <w:proofErr w:type="spellEnd"/>
        <w:r>
          <w:rPr>
            <w:rStyle w:val="af0"/>
            <w:sz w:val="20"/>
            <w:szCs w:val="20"/>
          </w:rPr>
          <w:t xml:space="preserve"> </w:t>
        </w:r>
        <w:proofErr w:type="spellStart"/>
        <w:r>
          <w:rPr>
            <w:rStyle w:val="af0"/>
            <w:sz w:val="20"/>
            <w:szCs w:val="20"/>
          </w:rPr>
          <w:t>Parties</w:t>
        </w:r>
        <w:proofErr w:type="spellEnd"/>
        <w:r>
          <w:rPr>
            <w:rStyle w:val="af0"/>
            <w:sz w:val="20"/>
            <w:szCs w:val="20"/>
          </w:rPr>
          <w:t xml:space="preserve"> </w:t>
        </w:r>
        <w:proofErr w:type="spellStart"/>
        <w:r>
          <w:rPr>
            <w:rStyle w:val="af0"/>
            <w:sz w:val="20"/>
            <w:szCs w:val="20"/>
          </w:rPr>
          <w:t>to</w:t>
        </w:r>
        <w:proofErr w:type="spellEnd"/>
        <w:r>
          <w:rPr>
            <w:rStyle w:val="af0"/>
            <w:sz w:val="20"/>
            <w:szCs w:val="20"/>
          </w:rPr>
          <w:t xml:space="preserve"> </w:t>
        </w:r>
        <w:proofErr w:type="spellStart"/>
        <w:r>
          <w:rPr>
            <w:rStyle w:val="af0"/>
            <w:sz w:val="20"/>
            <w:szCs w:val="20"/>
          </w:rPr>
          <w:t>the</w:t>
        </w:r>
        <w:proofErr w:type="spellEnd"/>
        <w:r>
          <w:rPr>
            <w:rStyle w:val="af0"/>
            <w:sz w:val="20"/>
            <w:szCs w:val="20"/>
          </w:rPr>
          <w:t xml:space="preserve"> </w:t>
        </w:r>
        <w:proofErr w:type="spellStart"/>
        <w:r>
          <w:rPr>
            <w:rStyle w:val="af0"/>
            <w:sz w:val="20"/>
            <w:szCs w:val="20"/>
          </w:rPr>
          <w:t>Commonwealth</w:t>
        </w:r>
        <w:proofErr w:type="spellEnd"/>
        <w:r>
          <w:rPr>
            <w:rStyle w:val="af0"/>
            <w:sz w:val="20"/>
            <w:szCs w:val="20"/>
          </w:rPr>
          <w:t xml:space="preserve"> </w:t>
        </w:r>
        <w:proofErr w:type="spellStart"/>
        <w:r>
          <w:rPr>
            <w:rStyle w:val="af0"/>
            <w:sz w:val="20"/>
            <w:szCs w:val="20"/>
          </w:rPr>
          <w:t>of</w:t>
        </w:r>
        <w:proofErr w:type="spellEnd"/>
        <w:r>
          <w:rPr>
            <w:rStyle w:val="af0"/>
            <w:sz w:val="20"/>
            <w:szCs w:val="20"/>
          </w:rPr>
          <w:t xml:space="preserve"> </w:t>
        </w:r>
        <w:proofErr w:type="spellStart"/>
        <w:r>
          <w:rPr>
            <w:rStyle w:val="af0"/>
            <w:sz w:val="20"/>
            <w:szCs w:val="20"/>
          </w:rPr>
          <w:t>Independent</w:t>
        </w:r>
        <w:proofErr w:type="spellEnd"/>
        <w:r>
          <w:rPr>
            <w:rStyle w:val="af0"/>
            <w:sz w:val="20"/>
            <w:szCs w:val="20"/>
          </w:rPr>
          <w:t xml:space="preserve"> </w:t>
        </w:r>
        <w:proofErr w:type="spellStart"/>
        <w:r>
          <w:rPr>
            <w:rStyle w:val="af0"/>
            <w:sz w:val="20"/>
            <w:szCs w:val="20"/>
          </w:rPr>
          <w:t>States</w:t>
        </w:r>
        <w:proofErr w:type="spellEnd"/>
        <w:r>
          <w:rPr>
            <w:rStyle w:val="af0"/>
            <w:sz w:val="20"/>
            <w:szCs w:val="20"/>
          </w:rPr>
          <w:t xml:space="preserve"> </w:t>
        </w:r>
        <w:proofErr w:type="spellStart"/>
        <w:r>
          <w:rPr>
            <w:rStyle w:val="af0"/>
            <w:sz w:val="20"/>
            <w:szCs w:val="20"/>
          </w:rPr>
          <w:t>in</w:t>
        </w:r>
        <w:proofErr w:type="spellEnd"/>
        <w:r>
          <w:rPr>
            <w:rStyle w:val="af0"/>
            <w:sz w:val="20"/>
            <w:szCs w:val="20"/>
          </w:rPr>
          <w:t xml:space="preserve"> </w:t>
        </w:r>
        <w:proofErr w:type="spellStart"/>
        <w:r>
          <w:rPr>
            <w:rStyle w:val="af0"/>
            <w:sz w:val="20"/>
            <w:szCs w:val="20"/>
          </w:rPr>
          <w:t>the</w:t>
        </w:r>
        <w:proofErr w:type="spellEnd"/>
        <w:r>
          <w:rPr>
            <w:rStyle w:val="af0"/>
            <w:sz w:val="20"/>
            <w:szCs w:val="20"/>
          </w:rPr>
          <w:t xml:space="preserve"> </w:t>
        </w:r>
        <w:proofErr w:type="spellStart"/>
        <w:r>
          <w:rPr>
            <w:rStyle w:val="af0"/>
            <w:sz w:val="20"/>
            <w:szCs w:val="20"/>
          </w:rPr>
          <w:t>Field</w:t>
        </w:r>
        <w:proofErr w:type="spellEnd"/>
        <w:r>
          <w:rPr>
            <w:rStyle w:val="af0"/>
            <w:sz w:val="20"/>
            <w:szCs w:val="20"/>
          </w:rPr>
          <w:t xml:space="preserve"> </w:t>
        </w:r>
        <w:proofErr w:type="spellStart"/>
        <w:r>
          <w:rPr>
            <w:rStyle w:val="af0"/>
            <w:sz w:val="20"/>
            <w:szCs w:val="20"/>
          </w:rPr>
          <w:t>of</w:t>
        </w:r>
        <w:proofErr w:type="spellEnd"/>
        <w:r>
          <w:rPr>
            <w:rStyle w:val="af0"/>
            <w:sz w:val="20"/>
            <w:szCs w:val="20"/>
          </w:rPr>
          <w:t xml:space="preserve"> </w:t>
        </w:r>
        <w:proofErr w:type="spellStart"/>
        <w:r>
          <w:rPr>
            <w:rStyle w:val="af0"/>
            <w:sz w:val="20"/>
            <w:szCs w:val="20"/>
          </w:rPr>
          <w:t>Pensions</w:t>
        </w:r>
        <w:proofErr w:type="spellEnd"/>
        <w:r>
          <w:rPr>
            <w:rStyle w:val="af0"/>
            <w:sz w:val="20"/>
            <w:szCs w:val="20"/>
          </w:rPr>
          <w:t xml:space="preserve"> </w:t>
        </w:r>
        <w:proofErr w:type="spellStart"/>
        <w:r>
          <w:rPr>
            <w:rStyle w:val="af0"/>
            <w:sz w:val="20"/>
            <w:szCs w:val="20"/>
          </w:rPr>
          <w:t>of</w:t>
        </w:r>
        <w:proofErr w:type="spellEnd"/>
        <w:r>
          <w:rPr>
            <w:rStyle w:val="af0"/>
            <w:sz w:val="20"/>
            <w:szCs w:val="20"/>
          </w:rPr>
          <w:t xml:space="preserve"> 13 </w:t>
        </w:r>
        <w:proofErr w:type="spellStart"/>
        <w:r>
          <w:rPr>
            <w:rStyle w:val="af0"/>
            <w:sz w:val="20"/>
            <w:szCs w:val="20"/>
          </w:rPr>
          <w:t>March</w:t>
        </w:r>
        <w:proofErr w:type="spellEnd"/>
        <w:r>
          <w:rPr>
            <w:rStyle w:val="af0"/>
            <w:sz w:val="20"/>
            <w:szCs w:val="20"/>
          </w:rPr>
          <w:t xml:space="preserve"> 1992</w:t>
        </w:r>
      </w:hyperlink>
    </w:p>
  </w:footnote>
  <w:footnote w:id="21">
    <w:p w14:paraId="7C53000A" w14:textId="77777777" w:rsidR="008E3F16" w:rsidRDefault="00F95A32">
      <w:pPr>
        <w:spacing w:line="240" w:lineRule="auto"/>
      </w:pPr>
      <w:r>
        <w:rPr>
          <w:vertAlign w:val="superscript"/>
        </w:rPr>
        <w:footnoteRef/>
      </w:r>
      <w:r>
        <w:rPr>
          <w:sz w:val="20"/>
          <w:szCs w:val="20"/>
        </w:rPr>
        <w:t xml:space="preserve"> </w:t>
      </w:r>
      <w:r>
        <w:rPr>
          <w:sz w:val="20"/>
          <w:szCs w:val="20"/>
        </w:rPr>
        <w:t xml:space="preserve">70% </w:t>
      </w:r>
      <w:proofErr w:type="spellStart"/>
      <w:r>
        <w:rPr>
          <w:sz w:val="20"/>
          <w:szCs w:val="20"/>
        </w:rPr>
        <w:t>from</w:t>
      </w:r>
      <w:proofErr w:type="spellEnd"/>
      <w:r>
        <w:rPr>
          <w:sz w:val="20"/>
          <w:szCs w:val="20"/>
        </w:rPr>
        <w:t xml:space="preserve"> </w:t>
      </w:r>
      <w:proofErr w:type="spellStart"/>
      <w:r>
        <w:rPr>
          <w:sz w:val="20"/>
          <w:szCs w:val="20"/>
        </w:rPr>
        <w:t>the</w:t>
      </w:r>
      <w:proofErr w:type="spellEnd"/>
      <w:r>
        <w:rPr>
          <w:sz w:val="20"/>
          <w:szCs w:val="20"/>
        </w:rPr>
        <w:t xml:space="preserve"> </w:t>
      </w:r>
      <w:proofErr w:type="spellStart"/>
      <w:r>
        <w:rPr>
          <w:sz w:val="20"/>
          <w:szCs w:val="20"/>
        </w:rPr>
        <w:t>state</w:t>
      </w:r>
      <w:proofErr w:type="spellEnd"/>
      <w:r>
        <w:rPr>
          <w:sz w:val="20"/>
          <w:szCs w:val="20"/>
        </w:rPr>
        <w:t xml:space="preserve"> </w:t>
      </w:r>
      <w:proofErr w:type="spellStart"/>
      <w:r>
        <w:rPr>
          <w:sz w:val="20"/>
          <w:szCs w:val="20"/>
        </w:rPr>
        <w:t>budget</w:t>
      </w:r>
      <w:proofErr w:type="spellEnd"/>
      <w:r>
        <w:rPr>
          <w:sz w:val="20"/>
          <w:szCs w:val="20"/>
        </w:rPr>
        <w:t xml:space="preserve">, 30% </w:t>
      </w:r>
      <w:proofErr w:type="spellStart"/>
      <w:r>
        <w:rPr>
          <w:sz w:val="20"/>
          <w:szCs w:val="20"/>
        </w:rPr>
        <w:t>from</w:t>
      </w:r>
      <w:proofErr w:type="spellEnd"/>
      <w:r>
        <w:rPr>
          <w:sz w:val="20"/>
          <w:szCs w:val="20"/>
        </w:rPr>
        <w:t xml:space="preserve"> </w:t>
      </w:r>
      <w:proofErr w:type="spellStart"/>
      <w:r>
        <w:rPr>
          <w:sz w:val="20"/>
          <w:szCs w:val="20"/>
        </w:rPr>
        <w:t>local</w:t>
      </w:r>
      <w:proofErr w:type="spellEnd"/>
      <w:r>
        <w:rPr>
          <w:sz w:val="20"/>
          <w:szCs w:val="20"/>
        </w:rPr>
        <w:t xml:space="preserve"> </w:t>
      </w:r>
      <w:proofErr w:type="spellStart"/>
      <w:r>
        <w:rPr>
          <w:sz w:val="20"/>
          <w:szCs w:val="20"/>
        </w:rPr>
        <w:t>budgets</w:t>
      </w:r>
      <w:proofErr w:type="spellEnd"/>
    </w:p>
  </w:footnote>
  <w:footnote w:id="22">
    <w:p w14:paraId="17357486" w14:textId="77777777" w:rsidR="008E3F16" w:rsidRDefault="00F95A32">
      <w:pPr>
        <w:spacing w:line="240" w:lineRule="auto"/>
      </w:pPr>
      <w:r>
        <w:rPr>
          <w:vertAlign w:val="superscript"/>
        </w:rPr>
        <w:footnoteRef/>
      </w:r>
      <w:r>
        <w:rPr>
          <w:sz w:val="20"/>
          <w:szCs w:val="20"/>
        </w:rPr>
        <w:t xml:space="preserve"> </w:t>
      </w:r>
      <w:r>
        <w:rPr>
          <w:sz w:val="20"/>
          <w:szCs w:val="20"/>
        </w:rPr>
        <w:t xml:space="preserve">CMU </w:t>
      </w:r>
      <w:proofErr w:type="spellStart"/>
      <w:r>
        <w:rPr>
          <w:sz w:val="20"/>
          <w:szCs w:val="20"/>
        </w:rPr>
        <w:t>Resolution</w:t>
      </w:r>
      <w:proofErr w:type="spellEnd"/>
      <w:r>
        <w:rPr>
          <w:sz w:val="20"/>
          <w:szCs w:val="20"/>
        </w:rPr>
        <w:t xml:space="preserve"> 582 </w:t>
      </w:r>
      <w:proofErr w:type="spellStart"/>
      <w:r>
        <w:rPr>
          <w:sz w:val="20"/>
          <w:szCs w:val="20"/>
        </w:rPr>
        <w:t>of</w:t>
      </w:r>
      <w:proofErr w:type="spellEnd"/>
      <w:r>
        <w:rPr>
          <w:sz w:val="20"/>
          <w:szCs w:val="20"/>
        </w:rPr>
        <w:t xml:space="preserve"> 26 </w:t>
      </w:r>
      <w:proofErr w:type="spellStart"/>
      <w:r>
        <w:rPr>
          <w:sz w:val="20"/>
          <w:szCs w:val="20"/>
        </w:rPr>
        <w:t>June</w:t>
      </w:r>
      <w:proofErr w:type="spellEnd"/>
      <w:r>
        <w:rPr>
          <w:sz w:val="20"/>
          <w:szCs w:val="20"/>
        </w:rPr>
        <w:t xml:space="preserve"> 2019</w:t>
      </w:r>
    </w:p>
  </w:footnote>
  <w:footnote w:id="23">
    <w:p w14:paraId="78C3F9F0" w14:textId="77777777" w:rsidR="008E3F16" w:rsidRDefault="00F95A32">
      <w:pPr>
        <w:spacing w:line="240" w:lineRule="auto"/>
      </w:pPr>
      <w:r>
        <w:rPr>
          <w:vertAlign w:val="superscript"/>
        </w:rPr>
        <w:footnoteRef/>
      </w:r>
      <w:r>
        <w:rPr>
          <w:sz w:val="20"/>
          <w:szCs w:val="20"/>
        </w:rPr>
        <w:t xml:space="preserve"> </w:t>
      </w:r>
      <w:r>
        <w:rPr>
          <w:sz w:val="20"/>
          <w:szCs w:val="20"/>
        </w:rPr>
        <w:t xml:space="preserve">CMU </w:t>
      </w:r>
      <w:proofErr w:type="spellStart"/>
      <w:r>
        <w:rPr>
          <w:sz w:val="20"/>
          <w:szCs w:val="20"/>
        </w:rPr>
        <w:t>Resolution</w:t>
      </w:r>
      <w:proofErr w:type="spellEnd"/>
      <w:r>
        <w:rPr>
          <w:sz w:val="20"/>
          <w:szCs w:val="20"/>
        </w:rPr>
        <w:t xml:space="preserve"> 623 </w:t>
      </w:r>
      <w:proofErr w:type="spellStart"/>
      <w:r>
        <w:rPr>
          <w:sz w:val="20"/>
          <w:szCs w:val="20"/>
        </w:rPr>
        <w:t>of</w:t>
      </w:r>
      <w:proofErr w:type="spellEnd"/>
      <w:r>
        <w:rPr>
          <w:sz w:val="20"/>
          <w:szCs w:val="20"/>
        </w:rPr>
        <w:t xml:space="preserve"> 10 </w:t>
      </w:r>
      <w:proofErr w:type="spellStart"/>
      <w:r>
        <w:rPr>
          <w:sz w:val="20"/>
          <w:szCs w:val="20"/>
        </w:rPr>
        <w:t>July</w:t>
      </w:r>
      <w:proofErr w:type="spellEnd"/>
      <w:r>
        <w:rPr>
          <w:sz w:val="20"/>
          <w:szCs w:val="20"/>
        </w:rPr>
        <w:t xml:space="preserve"> 2019</w:t>
      </w:r>
    </w:p>
  </w:footnote>
  <w:footnote w:id="24">
    <w:p w14:paraId="11587469" w14:textId="77777777" w:rsidR="008E3F16" w:rsidRDefault="00F95A32">
      <w:pPr>
        <w:spacing w:line="240" w:lineRule="auto"/>
      </w:pPr>
      <w:r>
        <w:rPr>
          <w:vertAlign w:val="superscript"/>
        </w:rPr>
        <w:footnoteRef/>
      </w:r>
      <w:r>
        <w:rPr>
          <w:sz w:val="20"/>
          <w:szCs w:val="20"/>
        </w:rPr>
        <w:t xml:space="preserve"> </w:t>
      </w:r>
      <w:proofErr w:type="spellStart"/>
      <w:r>
        <w:rPr>
          <w:sz w:val="20"/>
          <w:szCs w:val="20"/>
        </w:rPr>
        <w:t>Part</w:t>
      </w:r>
      <w:proofErr w:type="spellEnd"/>
      <w:r>
        <w:rPr>
          <w:sz w:val="20"/>
          <w:szCs w:val="20"/>
        </w:rPr>
        <w:t xml:space="preserve"> 3, </w:t>
      </w:r>
      <w:proofErr w:type="spellStart"/>
      <w:r>
        <w:rPr>
          <w:sz w:val="20"/>
          <w:szCs w:val="20"/>
        </w:rPr>
        <w:t>Article</w:t>
      </w:r>
      <w:proofErr w:type="spellEnd"/>
      <w:r>
        <w:rPr>
          <w:sz w:val="20"/>
          <w:szCs w:val="20"/>
        </w:rPr>
        <w:t xml:space="preserve"> 2 </w:t>
      </w:r>
      <w:proofErr w:type="spellStart"/>
      <w:r>
        <w:rPr>
          <w:sz w:val="20"/>
          <w:szCs w:val="20"/>
        </w:rPr>
        <w:t>of</w:t>
      </w:r>
      <w:proofErr w:type="spellEnd"/>
      <w:r>
        <w:rPr>
          <w:sz w:val="20"/>
          <w:szCs w:val="20"/>
        </w:rPr>
        <w:t xml:space="preserve"> </w:t>
      </w:r>
      <w:proofErr w:type="spellStart"/>
      <w:r>
        <w:rPr>
          <w:sz w:val="20"/>
          <w:szCs w:val="20"/>
        </w:rPr>
        <w:t>the</w:t>
      </w:r>
      <w:proofErr w:type="spellEnd"/>
      <w:r>
        <w:rPr>
          <w:sz w:val="20"/>
          <w:szCs w:val="20"/>
        </w:rPr>
        <w:t xml:space="preserve"> </w:t>
      </w:r>
      <w:proofErr w:type="spellStart"/>
      <w:r>
        <w:rPr>
          <w:sz w:val="20"/>
          <w:szCs w:val="20"/>
        </w:rPr>
        <w:t>Law</w:t>
      </w:r>
      <w:proofErr w:type="spellEnd"/>
      <w:r>
        <w:rPr>
          <w:sz w:val="20"/>
          <w:szCs w:val="20"/>
        </w:rPr>
        <w:t xml:space="preserve"> </w:t>
      </w:r>
      <w:proofErr w:type="spellStart"/>
      <w:r>
        <w:rPr>
          <w:sz w:val="20"/>
          <w:szCs w:val="20"/>
        </w:rPr>
        <w:t>of</w:t>
      </w:r>
      <w:proofErr w:type="spellEnd"/>
      <w:r>
        <w:rPr>
          <w:sz w:val="20"/>
          <w:szCs w:val="20"/>
        </w:rPr>
        <w:t xml:space="preserve"> </w:t>
      </w:r>
      <w:proofErr w:type="spellStart"/>
      <w:r>
        <w:rPr>
          <w:sz w:val="20"/>
          <w:szCs w:val="20"/>
        </w:rPr>
        <w:t>Ukraine</w:t>
      </w:r>
      <w:proofErr w:type="spellEnd"/>
      <w:r>
        <w:rPr>
          <w:sz w:val="20"/>
          <w:szCs w:val="20"/>
        </w:rPr>
        <w:t xml:space="preserve"> "</w:t>
      </w:r>
      <w:proofErr w:type="spellStart"/>
      <w:r>
        <w:rPr>
          <w:sz w:val="20"/>
          <w:szCs w:val="20"/>
        </w:rPr>
        <w:t>On</w:t>
      </w:r>
      <w:proofErr w:type="spellEnd"/>
      <w:r>
        <w:rPr>
          <w:sz w:val="20"/>
          <w:szCs w:val="20"/>
        </w:rPr>
        <w:t xml:space="preserve"> </w:t>
      </w:r>
      <w:proofErr w:type="spellStart"/>
      <w:r>
        <w:rPr>
          <w:sz w:val="20"/>
          <w:szCs w:val="20"/>
        </w:rPr>
        <w:t>the</w:t>
      </w:r>
      <w:proofErr w:type="spellEnd"/>
      <w:r>
        <w:rPr>
          <w:sz w:val="20"/>
          <w:szCs w:val="20"/>
        </w:rPr>
        <w:t xml:space="preserve"> </w:t>
      </w:r>
      <w:proofErr w:type="spellStart"/>
      <w:r>
        <w:rPr>
          <w:sz w:val="20"/>
          <w:szCs w:val="20"/>
        </w:rPr>
        <w:t>Details</w:t>
      </w:r>
      <w:proofErr w:type="spellEnd"/>
      <w:r>
        <w:rPr>
          <w:sz w:val="20"/>
          <w:szCs w:val="20"/>
        </w:rPr>
        <w:t xml:space="preserve"> </w:t>
      </w:r>
      <w:proofErr w:type="spellStart"/>
      <w:r>
        <w:rPr>
          <w:sz w:val="20"/>
          <w:szCs w:val="20"/>
        </w:rPr>
        <w:t>of</w:t>
      </w:r>
      <w:proofErr w:type="spellEnd"/>
      <w:r>
        <w:rPr>
          <w:sz w:val="20"/>
          <w:szCs w:val="20"/>
        </w:rPr>
        <w:t xml:space="preserve"> </w:t>
      </w:r>
      <w:proofErr w:type="spellStart"/>
      <w:r>
        <w:rPr>
          <w:sz w:val="20"/>
          <w:szCs w:val="20"/>
        </w:rPr>
        <w:t>State</w:t>
      </w:r>
      <w:proofErr w:type="spellEnd"/>
      <w:r>
        <w:rPr>
          <w:sz w:val="20"/>
          <w:szCs w:val="20"/>
        </w:rPr>
        <w:t xml:space="preserve"> </w:t>
      </w:r>
      <w:proofErr w:type="spellStart"/>
      <w:r>
        <w:rPr>
          <w:sz w:val="20"/>
          <w:szCs w:val="20"/>
        </w:rPr>
        <w:t>Policy</w:t>
      </w:r>
      <w:proofErr w:type="spellEnd"/>
      <w:r>
        <w:rPr>
          <w:sz w:val="20"/>
          <w:szCs w:val="20"/>
        </w:rPr>
        <w:t xml:space="preserve"> </w:t>
      </w:r>
      <w:proofErr w:type="spellStart"/>
      <w:r>
        <w:rPr>
          <w:sz w:val="20"/>
          <w:szCs w:val="20"/>
        </w:rPr>
        <w:t>for</w:t>
      </w:r>
      <w:proofErr w:type="spellEnd"/>
      <w:r>
        <w:rPr>
          <w:sz w:val="20"/>
          <w:szCs w:val="20"/>
        </w:rPr>
        <w:t xml:space="preserve"> </w:t>
      </w:r>
      <w:proofErr w:type="spellStart"/>
      <w:r>
        <w:rPr>
          <w:sz w:val="20"/>
          <w:szCs w:val="20"/>
        </w:rPr>
        <w:t>Ensuring</w:t>
      </w:r>
      <w:proofErr w:type="spellEnd"/>
      <w:r>
        <w:rPr>
          <w:sz w:val="20"/>
          <w:szCs w:val="20"/>
        </w:rPr>
        <w:t xml:space="preserve"> </w:t>
      </w:r>
      <w:proofErr w:type="spellStart"/>
      <w:r>
        <w:rPr>
          <w:sz w:val="20"/>
          <w:szCs w:val="20"/>
        </w:rPr>
        <w:t>State</w:t>
      </w:r>
      <w:proofErr w:type="spellEnd"/>
      <w:r>
        <w:rPr>
          <w:sz w:val="20"/>
          <w:szCs w:val="20"/>
        </w:rPr>
        <w:t xml:space="preserve"> </w:t>
      </w:r>
      <w:proofErr w:type="spellStart"/>
      <w:r>
        <w:rPr>
          <w:sz w:val="20"/>
          <w:szCs w:val="20"/>
        </w:rPr>
        <w:t>Sovereignty</w:t>
      </w:r>
      <w:proofErr w:type="spellEnd"/>
      <w:r>
        <w:rPr>
          <w:sz w:val="20"/>
          <w:szCs w:val="20"/>
        </w:rPr>
        <w:t xml:space="preserve"> </w:t>
      </w:r>
      <w:proofErr w:type="spellStart"/>
      <w:r>
        <w:rPr>
          <w:sz w:val="20"/>
          <w:szCs w:val="20"/>
        </w:rPr>
        <w:t>of</w:t>
      </w:r>
      <w:proofErr w:type="spellEnd"/>
      <w:r>
        <w:rPr>
          <w:sz w:val="20"/>
          <w:szCs w:val="20"/>
        </w:rPr>
        <w:t xml:space="preserve"> </w:t>
      </w:r>
      <w:proofErr w:type="spellStart"/>
      <w:r>
        <w:rPr>
          <w:sz w:val="20"/>
          <w:szCs w:val="20"/>
        </w:rPr>
        <w:t>Ukraine</w:t>
      </w:r>
      <w:proofErr w:type="spellEnd"/>
      <w:r>
        <w:rPr>
          <w:sz w:val="20"/>
          <w:szCs w:val="20"/>
        </w:rPr>
        <w:t xml:space="preserve"> </w:t>
      </w:r>
      <w:proofErr w:type="spellStart"/>
      <w:r>
        <w:rPr>
          <w:sz w:val="20"/>
          <w:szCs w:val="20"/>
        </w:rPr>
        <w:t>in</w:t>
      </w:r>
      <w:proofErr w:type="spellEnd"/>
      <w:r>
        <w:rPr>
          <w:sz w:val="20"/>
          <w:szCs w:val="20"/>
        </w:rPr>
        <w:t xml:space="preserve"> </w:t>
      </w:r>
      <w:proofErr w:type="spellStart"/>
      <w:r>
        <w:rPr>
          <w:sz w:val="20"/>
          <w:szCs w:val="20"/>
        </w:rPr>
        <w:t>the</w:t>
      </w:r>
      <w:proofErr w:type="spellEnd"/>
      <w:r>
        <w:rPr>
          <w:sz w:val="20"/>
          <w:szCs w:val="20"/>
        </w:rPr>
        <w:t xml:space="preserve"> </w:t>
      </w:r>
      <w:proofErr w:type="spellStart"/>
      <w:r>
        <w:rPr>
          <w:sz w:val="20"/>
          <w:szCs w:val="20"/>
        </w:rPr>
        <w:t>Temporarily</w:t>
      </w:r>
      <w:proofErr w:type="spellEnd"/>
      <w:r>
        <w:rPr>
          <w:sz w:val="20"/>
          <w:szCs w:val="20"/>
        </w:rPr>
        <w:t xml:space="preserve"> </w:t>
      </w:r>
      <w:proofErr w:type="spellStart"/>
      <w:r>
        <w:rPr>
          <w:sz w:val="20"/>
          <w:szCs w:val="20"/>
        </w:rPr>
        <w:t>Occupied</w:t>
      </w:r>
      <w:proofErr w:type="spellEnd"/>
      <w:r>
        <w:rPr>
          <w:sz w:val="20"/>
          <w:szCs w:val="20"/>
        </w:rPr>
        <w:t xml:space="preserve"> </w:t>
      </w:r>
      <w:proofErr w:type="spellStart"/>
      <w:r>
        <w:rPr>
          <w:sz w:val="20"/>
          <w:szCs w:val="20"/>
        </w:rPr>
        <w:t>Territories</w:t>
      </w:r>
      <w:proofErr w:type="spellEnd"/>
      <w:r>
        <w:rPr>
          <w:sz w:val="20"/>
          <w:szCs w:val="20"/>
        </w:rPr>
        <w:t xml:space="preserve"> </w:t>
      </w:r>
      <w:proofErr w:type="spellStart"/>
      <w:r>
        <w:rPr>
          <w:sz w:val="20"/>
          <w:szCs w:val="20"/>
        </w:rPr>
        <w:t>of</w:t>
      </w:r>
      <w:proofErr w:type="spellEnd"/>
      <w:r>
        <w:rPr>
          <w:sz w:val="20"/>
          <w:szCs w:val="20"/>
        </w:rPr>
        <w:t xml:space="preserve"> </w:t>
      </w:r>
      <w:proofErr w:type="spellStart"/>
      <w:r>
        <w:rPr>
          <w:sz w:val="20"/>
          <w:szCs w:val="20"/>
        </w:rPr>
        <w:t>Donetsk</w:t>
      </w:r>
      <w:proofErr w:type="spellEnd"/>
      <w:r>
        <w:rPr>
          <w:sz w:val="20"/>
          <w:szCs w:val="20"/>
        </w:rPr>
        <w:t xml:space="preserve"> </w:t>
      </w:r>
      <w:proofErr w:type="spellStart"/>
      <w:r>
        <w:rPr>
          <w:sz w:val="20"/>
          <w:szCs w:val="20"/>
        </w:rPr>
        <w:t>and</w:t>
      </w:r>
      <w:proofErr w:type="spellEnd"/>
      <w:r>
        <w:rPr>
          <w:sz w:val="20"/>
          <w:szCs w:val="20"/>
        </w:rPr>
        <w:t xml:space="preserve"> </w:t>
      </w:r>
      <w:proofErr w:type="spellStart"/>
      <w:r>
        <w:rPr>
          <w:sz w:val="20"/>
          <w:szCs w:val="20"/>
        </w:rPr>
        <w:t>Luhansk</w:t>
      </w:r>
      <w:proofErr w:type="spellEnd"/>
      <w:r>
        <w:rPr>
          <w:sz w:val="20"/>
          <w:szCs w:val="20"/>
        </w:rPr>
        <w:t xml:space="preserve"> </w:t>
      </w:r>
      <w:proofErr w:type="spellStart"/>
      <w:r>
        <w:rPr>
          <w:sz w:val="20"/>
          <w:szCs w:val="20"/>
        </w:rPr>
        <w:t>Oblasts</w:t>
      </w:r>
      <w:proofErr w:type="spellEnd"/>
      <w:r>
        <w:rPr>
          <w:sz w:val="20"/>
          <w:szCs w:val="20"/>
        </w:rPr>
        <w:t>"</w:t>
      </w:r>
    </w:p>
  </w:footnote>
  <w:footnote w:id="25">
    <w:p w14:paraId="09769C51" w14:textId="77777777" w:rsidR="008E3F16" w:rsidRDefault="00F95A32">
      <w:pPr>
        <w:spacing w:line="240" w:lineRule="auto"/>
      </w:pPr>
      <w:r>
        <w:rPr>
          <w:vertAlign w:val="superscript"/>
        </w:rPr>
        <w:footnoteRef/>
      </w:r>
      <w:r>
        <w:rPr>
          <w:sz w:val="20"/>
          <w:szCs w:val="20"/>
        </w:rPr>
        <w:t xml:space="preserve"> </w:t>
      </w:r>
      <w:r>
        <w:rPr>
          <w:sz w:val="20"/>
          <w:szCs w:val="20"/>
        </w:rPr>
        <w:t xml:space="preserve">CMU </w:t>
      </w:r>
      <w:proofErr w:type="spellStart"/>
      <w:r>
        <w:rPr>
          <w:sz w:val="20"/>
          <w:szCs w:val="20"/>
        </w:rPr>
        <w:t>Resolution</w:t>
      </w:r>
      <w:proofErr w:type="spellEnd"/>
      <w:r>
        <w:rPr>
          <w:sz w:val="20"/>
          <w:szCs w:val="20"/>
        </w:rPr>
        <w:t xml:space="preserve"> 9 </w:t>
      </w:r>
      <w:proofErr w:type="spellStart"/>
      <w:r>
        <w:rPr>
          <w:sz w:val="20"/>
          <w:szCs w:val="20"/>
        </w:rPr>
        <w:t>of</w:t>
      </w:r>
      <w:proofErr w:type="spellEnd"/>
      <w:r>
        <w:rPr>
          <w:sz w:val="20"/>
          <w:szCs w:val="20"/>
        </w:rPr>
        <w:t xml:space="preserve"> 9 </w:t>
      </w:r>
      <w:proofErr w:type="spellStart"/>
      <w:r>
        <w:rPr>
          <w:sz w:val="20"/>
          <w:szCs w:val="20"/>
        </w:rPr>
        <w:t>January</w:t>
      </w:r>
      <w:proofErr w:type="spellEnd"/>
      <w:r>
        <w:rPr>
          <w:sz w:val="20"/>
          <w:szCs w:val="20"/>
        </w:rPr>
        <w:t xml:space="preserve"> 2013</w:t>
      </w:r>
    </w:p>
  </w:footnote>
  <w:footnote w:id="26">
    <w:p w14:paraId="26577D6F" w14:textId="77777777" w:rsidR="008E3F16" w:rsidRDefault="00F95A32">
      <w:pPr>
        <w:spacing w:line="240" w:lineRule="auto"/>
      </w:pPr>
      <w:r>
        <w:rPr>
          <w:vertAlign w:val="superscript"/>
        </w:rPr>
        <w:footnoteRef/>
      </w:r>
      <w:r>
        <w:rPr>
          <w:sz w:val="20"/>
          <w:szCs w:val="20"/>
        </w:rPr>
        <w:t xml:space="preserve"> </w:t>
      </w:r>
      <w:proofErr w:type="spellStart"/>
      <w:r>
        <w:rPr>
          <w:sz w:val="20"/>
          <w:szCs w:val="20"/>
        </w:rPr>
        <w:t>According</w:t>
      </w:r>
      <w:proofErr w:type="spellEnd"/>
      <w:r>
        <w:rPr>
          <w:sz w:val="20"/>
          <w:szCs w:val="20"/>
        </w:rPr>
        <w:t xml:space="preserve"> </w:t>
      </w:r>
      <w:proofErr w:type="spellStart"/>
      <w:r>
        <w:rPr>
          <w:sz w:val="20"/>
          <w:szCs w:val="20"/>
        </w:rPr>
        <w:t>to</w:t>
      </w:r>
      <w:proofErr w:type="spellEnd"/>
      <w:r>
        <w:rPr>
          <w:sz w:val="20"/>
          <w:szCs w:val="20"/>
        </w:rPr>
        <w:t xml:space="preserve"> </w:t>
      </w:r>
      <w:proofErr w:type="spellStart"/>
      <w:r>
        <w:rPr>
          <w:sz w:val="20"/>
          <w:szCs w:val="20"/>
        </w:rPr>
        <w:t>Donbas</w:t>
      </w:r>
      <w:proofErr w:type="spellEnd"/>
      <w:r>
        <w:rPr>
          <w:sz w:val="20"/>
          <w:szCs w:val="20"/>
        </w:rPr>
        <w:t xml:space="preserve"> SOS </w:t>
      </w:r>
      <w:hyperlink r:id="rId10" w:history="1">
        <w:r>
          <w:rPr>
            <w:color w:val="1155CC"/>
            <w:sz w:val="20"/>
            <w:szCs w:val="20"/>
            <w:u w:val="single"/>
          </w:rPr>
          <w:t>http://www.donbasssos.org/dydzhest-365/</w:t>
        </w:r>
      </w:hyperlink>
    </w:p>
  </w:footnote>
  <w:footnote w:id="27">
    <w:p w14:paraId="0573D309" w14:textId="77777777" w:rsidR="008E3F16" w:rsidRDefault="00F95A32">
      <w:pPr>
        <w:spacing w:line="240" w:lineRule="auto"/>
      </w:pPr>
      <w:r>
        <w:rPr>
          <w:vertAlign w:val="superscript"/>
        </w:rPr>
        <w:footnoteRef/>
      </w:r>
      <w:r>
        <w:rPr>
          <w:sz w:val="20"/>
          <w:szCs w:val="20"/>
        </w:rPr>
        <w:t xml:space="preserve"> </w:t>
      </w:r>
      <w:proofErr w:type="spellStart"/>
      <w:r>
        <w:rPr>
          <w:sz w:val="20"/>
          <w:szCs w:val="20"/>
        </w:rPr>
        <w:t>see</w:t>
      </w:r>
      <w:proofErr w:type="spellEnd"/>
      <w:r>
        <w:rPr>
          <w:sz w:val="20"/>
          <w:szCs w:val="20"/>
        </w:rPr>
        <w:t xml:space="preserve"> </w:t>
      </w:r>
      <w:proofErr w:type="spellStart"/>
      <w:r>
        <w:rPr>
          <w:sz w:val="20"/>
          <w:szCs w:val="20"/>
        </w:rPr>
        <w:t>para</w:t>
      </w:r>
      <w:proofErr w:type="spellEnd"/>
      <w:r>
        <w:rPr>
          <w:sz w:val="20"/>
          <w:szCs w:val="20"/>
        </w:rPr>
        <w:t xml:space="preserve"> 14</w:t>
      </w:r>
    </w:p>
  </w:footnote>
  <w:footnote w:id="28">
    <w:p w14:paraId="4773AD3A" w14:textId="77777777" w:rsidR="008E3F16" w:rsidRDefault="00F95A32">
      <w:pPr>
        <w:spacing w:line="240" w:lineRule="auto"/>
      </w:pPr>
      <w:r>
        <w:rPr>
          <w:vertAlign w:val="superscript"/>
        </w:rPr>
        <w:footnoteRef/>
      </w:r>
      <w:r>
        <w:rPr>
          <w:sz w:val="20"/>
          <w:szCs w:val="20"/>
        </w:rPr>
        <w:t xml:space="preserve">  </w:t>
      </w:r>
      <w:r>
        <w:rPr>
          <w:sz w:val="20"/>
          <w:szCs w:val="20"/>
          <w:lang w:val="en-GB"/>
        </w:rPr>
        <w:t>According to Right to Protection, which provides secondary legal aid in cases on resumption of pensions for TOT residents</w:t>
      </w:r>
    </w:p>
  </w:footnote>
  <w:footnote w:id="29">
    <w:p w14:paraId="3BC9634F" w14:textId="77777777" w:rsidR="008E3F16" w:rsidRDefault="00F95A32">
      <w:pPr>
        <w:spacing w:line="240" w:lineRule="auto"/>
      </w:pPr>
      <w:r>
        <w:rPr>
          <w:vertAlign w:val="superscript"/>
        </w:rPr>
        <w:footnoteRef/>
      </w:r>
      <w:r>
        <w:rPr>
          <w:sz w:val="20"/>
          <w:szCs w:val="20"/>
        </w:rPr>
        <w:t xml:space="preserve"> </w:t>
      </w:r>
      <w:hyperlink r:id="rId11" w:history="1">
        <w:r>
          <w:rPr>
            <w:color w:val="1155CC"/>
            <w:sz w:val="20"/>
            <w:szCs w:val="20"/>
            <w:u w:val="single"/>
          </w:rPr>
          <w:t>http://w1.c1.rada.gov.ua/pls/zweb2/webproc4_1?pf3511=67473</w:t>
        </w:r>
      </w:hyperlink>
    </w:p>
  </w:footnote>
  <w:footnote w:id="30">
    <w:p w14:paraId="37F3B45A" w14:textId="77777777" w:rsidR="008E3F16" w:rsidRDefault="00F95A32">
      <w:pPr>
        <w:spacing w:line="240" w:lineRule="auto"/>
      </w:pPr>
      <w:r>
        <w:rPr>
          <w:vertAlign w:val="superscript"/>
        </w:rPr>
        <w:footnoteRef/>
      </w:r>
      <w:r>
        <w:rPr>
          <w:sz w:val="20"/>
          <w:szCs w:val="20"/>
        </w:rPr>
        <w:t xml:space="preserve"> </w:t>
      </w:r>
      <w:proofErr w:type="spellStart"/>
      <w:r>
        <w:rPr>
          <w:sz w:val="20"/>
          <w:szCs w:val="20"/>
        </w:rPr>
        <w:t>based</w:t>
      </w:r>
      <w:proofErr w:type="spellEnd"/>
      <w:r>
        <w:rPr>
          <w:sz w:val="20"/>
          <w:szCs w:val="20"/>
        </w:rPr>
        <w:t xml:space="preserve"> </w:t>
      </w:r>
      <w:proofErr w:type="spellStart"/>
      <w:r>
        <w:rPr>
          <w:sz w:val="20"/>
          <w:szCs w:val="20"/>
        </w:rPr>
        <w:t>on</w:t>
      </w:r>
      <w:proofErr w:type="spellEnd"/>
      <w:r>
        <w:rPr>
          <w:sz w:val="20"/>
          <w:szCs w:val="20"/>
        </w:rPr>
        <w:t xml:space="preserve"> </w:t>
      </w:r>
      <w:proofErr w:type="spellStart"/>
      <w:r>
        <w:rPr>
          <w:sz w:val="20"/>
          <w:szCs w:val="20"/>
        </w:rPr>
        <w:t>the</w:t>
      </w:r>
      <w:proofErr w:type="spellEnd"/>
      <w:r>
        <w:rPr>
          <w:sz w:val="20"/>
          <w:szCs w:val="20"/>
        </w:rPr>
        <w:t xml:space="preserve"> </w:t>
      </w:r>
      <w:proofErr w:type="spellStart"/>
      <w:r>
        <w:rPr>
          <w:sz w:val="20"/>
          <w:szCs w:val="20"/>
        </w:rPr>
        <w:t>monitoring</w:t>
      </w:r>
      <w:proofErr w:type="spellEnd"/>
      <w:r>
        <w:rPr>
          <w:sz w:val="20"/>
          <w:szCs w:val="20"/>
        </w:rPr>
        <w:t xml:space="preserve"> </w:t>
      </w:r>
      <w:proofErr w:type="spellStart"/>
      <w:r>
        <w:rPr>
          <w:sz w:val="20"/>
          <w:szCs w:val="20"/>
        </w:rPr>
        <w:t>conducted</w:t>
      </w:r>
      <w:proofErr w:type="spellEnd"/>
      <w:r>
        <w:rPr>
          <w:sz w:val="20"/>
          <w:szCs w:val="20"/>
        </w:rPr>
        <w:t xml:space="preserve"> </w:t>
      </w:r>
      <w:proofErr w:type="spellStart"/>
      <w:r>
        <w:rPr>
          <w:sz w:val="20"/>
          <w:szCs w:val="20"/>
        </w:rPr>
        <w:t>by</w:t>
      </w:r>
      <w:proofErr w:type="spellEnd"/>
      <w:r>
        <w:rPr>
          <w:sz w:val="20"/>
          <w:szCs w:val="20"/>
        </w:rPr>
        <w:t xml:space="preserve"> </w:t>
      </w:r>
      <w:proofErr w:type="spellStart"/>
      <w:r>
        <w:rPr>
          <w:sz w:val="20"/>
          <w:szCs w:val="20"/>
        </w:rPr>
        <w:t>Right</w:t>
      </w:r>
      <w:proofErr w:type="spellEnd"/>
      <w:r>
        <w:rPr>
          <w:sz w:val="20"/>
          <w:szCs w:val="20"/>
        </w:rPr>
        <w:t xml:space="preserve"> </w:t>
      </w:r>
      <w:proofErr w:type="spellStart"/>
      <w:r>
        <w:rPr>
          <w:sz w:val="20"/>
          <w:szCs w:val="20"/>
        </w:rPr>
        <w:t>to</w:t>
      </w:r>
      <w:proofErr w:type="spellEnd"/>
      <w:r>
        <w:rPr>
          <w:sz w:val="20"/>
          <w:szCs w:val="20"/>
        </w:rPr>
        <w:t xml:space="preserve"> </w:t>
      </w:r>
      <w:proofErr w:type="spellStart"/>
      <w:r>
        <w:rPr>
          <w:sz w:val="20"/>
          <w:szCs w:val="20"/>
        </w:rPr>
        <w:t>Protection</w:t>
      </w:r>
      <w:proofErr w:type="spellEnd"/>
      <w:r>
        <w:rPr>
          <w:sz w:val="20"/>
          <w:szCs w:val="20"/>
        </w:rPr>
        <w:t xml:space="preserve">. </w:t>
      </w:r>
      <w:proofErr w:type="spellStart"/>
      <w:r>
        <w:rPr>
          <w:sz w:val="20"/>
          <w:szCs w:val="20"/>
        </w:rPr>
        <w:t>Link</w:t>
      </w:r>
      <w:proofErr w:type="spellEnd"/>
      <w:r>
        <w:rPr>
          <w:sz w:val="20"/>
          <w:szCs w:val="20"/>
        </w:rPr>
        <w:t xml:space="preserve">: </w:t>
      </w:r>
      <w:hyperlink r:id="rId12" w:history="1">
        <w:r>
          <w:rPr>
            <w:color w:val="1155CC"/>
            <w:sz w:val="20"/>
            <w:szCs w:val="20"/>
            <w:u w:val="single"/>
          </w:rPr>
          <w:t>http://r2p.org.ua/wp-content/uploads/2019/12/EECP-Report-November_UKR.pdf</w:t>
        </w:r>
      </w:hyperlink>
    </w:p>
  </w:footnote>
  <w:footnote w:id="31">
    <w:p w14:paraId="1B5AB4B1" w14:textId="77777777" w:rsidR="008E3F16" w:rsidRDefault="00F95A32">
      <w:pPr>
        <w:spacing w:line="240" w:lineRule="auto"/>
      </w:pPr>
      <w:r>
        <w:rPr>
          <w:vertAlign w:val="superscript"/>
        </w:rPr>
        <w:footnoteRef/>
      </w:r>
      <w:r>
        <w:rPr>
          <w:sz w:val="20"/>
          <w:szCs w:val="20"/>
        </w:rPr>
        <w:t xml:space="preserve"> </w:t>
      </w:r>
      <w:hyperlink r:id="rId13" w:history="1">
        <w:r>
          <w:rPr>
            <w:color w:val="1155CC"/>
            <w:sz w:val="20"/>
            <w:szCs w:val="20"/>
            <w:u w:val="single"/>
          </w:rPr>
          <w:t>https://bit.ly/37bTZrl</w:t>
        </w:r>
      </w:hyperlink>
      <w:r>
        <w:rPr>
          <w:sz w:val="20"/>
          <w:szCs w:val="20"/>
        </w:rPr>
        <w:t xml:space="preserve"> </w:t>
      </w:r>
    </w:p>
  </w:footnote>
  <w:footnote w:id="32">
    <w:p w14:paraId="01D2B588" w14:textId="77777777" w:rsidR="008E3F16" w:rsidRDefault="00F95A32">
      <w:pPr>
        <w:spacing w:line="240" w:lineRule="auto"/>
      </w:pPr>
      <w:r>
        <w:rPr>
          <w:vertAlign w:val="superscript"/>
        </w:rPr>
        <w:footnoteRef/>
      </w:r>
      <w:r>
        <w:rPr>
          <w:sz w:val="20"/>
          <w:szCs w:val="20"/>
        </w:rPr>
        <w:t xml:space="preserve"> </w:t>
      </w:r>
      <w:proofErr w:type="spellStart"/>
      <w:r>
        <w:rPr>
          <w:sz w:val="20"/>
          <w:szCs w:val="20"/>
        </w:rPr>
        <w:t>As</w:t>
      </w:r>
      <w:proofErr w:type="spellEnd"/>
      <w:r>
        <w:rPr>
          <w:sz w:val="20"/>
          <w:szCs w:val="20"/>
        </w:rPr>
        <w:t xml:space="preserve"> </w:t>
      </w:r>
      <w:proofErr w:type="spellStart"/>
      <w:r>
        <w:rPr>
          <w:sz w:val="20"/>
          <w:szCs w:val="20"/>
        </w:rPr>
        <w:t>of</w:t>
      </w:r>
      <w:proofErr w:type="spellEnd"/>
      <w:r>
        <w:rPr>
          <w:sz w:val="20"/>
          <w:szCs w:val="20"/>
        </w:rPr>
        <w:t xml:space="preserve"> </w:t>
      </w:r>
      <w:proofErr w:type="spellStart"/>
      <w:r>
        <w:rPr>
          <w:sz w:val="20"/>
          <w:szCs w:val="20"/>
        </w:rPr>
        <w:t>August</w:t>
      </w:r>
      <w:proofErr w:type="spellEnd"/>
      <w:r>
        <w:rPr>
          <w:sz w:val="20"/>
          <w:szCs w:val="20"/>
        </w:rPr>
        <w:t xml:space="preserve"> 2014, </w:t>
      </w:r>
      <w:proofErr w:type="spellStart"/>
      <w:r>
        <w:rPr>
          <w:sz w:val="20"/>
          <w:szCs w:val="20"/>
        </w:rPr>
        <w:t>there</w:t>
      </w:r>
      <w:proofErr w:type="spellEnd"/>
      <w:r>
        <w:rPr>
          <w:sz w:val="20"/>
          <w:szCs w:val="20"/>
        </w:rPr>
        <w:t xml:space="preserve"> </w:t>
      </w:r>
      <w:proofErr w:type="spellStart"/>
      <w:r>
        <w:rPr>
          <w:sz w:val="20"/>
          <w:szCs w:val="20"/>
        </w:rPr>
        <w:t>were</w:t>
      </w:r>
      <w:proofErr w:type="spellEnd"/>
      <w:r>
        <w:rPr>
          <w:sz w:val="20"/>
          <w:szCs w:val="20"/>
        </w:rPr>
        <w:t xml:space="preserve"> </w:t>
      </w:r>
      <w:proofErr w:type="spellStart"/>
      <w:r>
        <w:rPr>
          <w:sz w:val="20"/>
          <w:szCs w:val="20"/>
        </w:rPr>
        <w:t>only</w:t>
      </w:r>
      <w:proofErr w:type="spellEnd"/>
      <w:r>
        <w:rPr>
          <w:sz w:val="20"/>
          <w:szCs w:val="20"/>
        </w:rPr>
        <w:t xml:space="preserve"> 1 </w:t>
      </w:r>
      <w:proofErr w:type="spellStart"/>
      <w:r>
        <w:rPr>
          <w:sz w:val="20"/>
          <w:szCs w:val="20"/>
        </w:rPr>
        <w:t>million</w:t>
      </w:r>
      <w:proofErr w:type="spellEnd"/>
      <w:r>
        <w:rPr>
          <w:sz w:val="20"/>
          <w:szCs w:val="20"/>
        </w:rPr>
        <w:t xml:space="preserve"> 278.2 </w:t>
      </w:r>
      <w:proofErr w:type="spellStart"/>
      <w:r>
        <w:rPr>
          <w:sz w:val="20"/>
          <w:szCs w:val="20"/>
        </w:rPr>
        <w:t>thousand</w:t>
      </w:r>
      <w:proofErr w:type="spellEnd"/>
      <w:r>
        <w:rPr>
          <w:sz w:val="20"/>
          <w:szCs w:val="20"/>
        </w:rPr>
        <w:t xml:space="preserve"> </w:t>
      </w:r>
      <w:proofErr w:type="spellStart"/>
      <w:r>
        <w:rPr>
          <w:sz w:val="20"/>
          <w:szCs w:val="20"/>
        </w:rPr>
        <w:t>pensioners</w:t>
      </w:r>
      <w:proofErr w:type="spellEnd"/>
      <w:r>
        <w:rPr>
          <w:sz w:val="20"/>
          <w:szCs w:val="20"/>
        </w:rPr>
        <w:t xml:space="preserve"> </w:t>
      </w:r>
      <w:proofErr w:type="spellStart"/>
      <w:r>
        <w:rPr>
          <w:sz w:val="20"/>
          <w:szCs w:val="20"/>
        </w:rPr>
        <w:t>registered</w:t>
      </w:r>
      <w:proofErr w:type="spellEnd"/>
      <w:r>
        <w:rPr>
          <w:sz w:val="20"/>
          <w:szCs w:val="20"/>
        </w:rPr>
        <w:t xml:space="preserve"> </w:t>
      </w:r>
      <w:proofErr w:type="spellStart"/>
      <w:r>
        <w:rPr>
          <w:sz w:val="20"/>
          <w:szCs w:val="20"/>
        </w:rPr>
        <w:t>in</w:t>
      </w:r>
      <w:proofErr w:type="spellEnd"/>
      <w:r>
        <w:rPr>
          <w:sz w:val="20"/>
          <w:szCs w:val="20"/>
        </w:rPr>
        <w:t xml:space="preserve"> </w:t>
      </w:r>
      <w:proofErr w:type="spellStart"/>
      <w:r>
        <w:rPr>
          <w:sz w:val="20"/>
          <w:szCs w:val="20"/>
        </w:rPr>
        <w:t>the</w:t>
      </w:r>
      <w:proofErr w:type="spellEnd"/>
      <w:r>
        <w:rPr>
          <w:sz w:val="20"/>
          <w:szCs w:val="20"/>
        </w:rPr>
        <w:t xml:space="preserve"> NGCA </w:t>
      </w:r>
      <w:proofErr w:type="spellStart"/>
      <w:r>
        <w:rPr>
          <w:sz w:val="20"/>
          <w:szCs w:val="20"/>
        </w:rPr>
        <w:t>of</w:t>
      </w:r>
      <w:proofErr w:type="spellEnd"/>
      <w:r>
        <w:rPr>
          <w:sz w:val="20"/>
          <w:szCs w:val="20"/>
        </w:rPr>
        <w:t xml:space="preserve"> </w:t>
      </w:r>
      <w:proofErr w:type="spellStart"/>
      <w:r>
        <w:rPr>
          <w:sz w:val="20"/>
          <w:szCs w:val="20"/>
        </w:rPr>
        <w:t>Donetsk</w:t>
      </w:r>
      <w:proofErr w:type="spellEnd"/>
      <w:r>
        <w:rPr>
          <w:sz w:val="20"/>
          <w:szCs w:val="20"/>
        </w:rPr>
        <w:t xml:space="preserve"> </w:t>
      </w:r>
      <w:proofErr w:type="spellStart"/>
      <w:r>
        <w:rPr>
          <w:sz w:val="20"/>
          <w:szCs w:val="20"/>
        </w:rPr>
        <w:t>and</w:t>
      </w:r>
      <w:proofErr w:type="spellEnd"/>
      <w:r>
        <w:rPr>
          <w:sz w:val="20"/>
          <w:szCs w:val="20"/>
        </w:rPr>
        <w:t xml:space="preserve"> </w:t>
      </w:r>
      <w:proofErr w:type="spellStart"/>
      <w:r>
        <w:rPr>
          <w:sz w:val="20"/>
          <w:szCs w:val="20"/>
        </w:rPr>
        <w:t>Luhansk</w:t>
      </w:r>
      <w:proofErr w:type="spellEnd"/>
      <w:r>
        <w:rPr>
          <w:sz w:val="20"/>
          <w:szCs w:val="20"/>
        </w:rPr>
        <w:t xml:space="preserve"> </w:t>
      </w:r>
      <w:proofErr w:type="spellStart"/>
      <w:r>
        <w:rPr>
          <w:sz w:val="20"/>
          <w:szCs w:val="20"/>
        </w:rPr>
        <w:t>oblasts</w:t>
      </w:r>
      <w:proofErr w:type="spellEnd"/>
      <w:r>
        <w:rPr>
          <w:sz w:val="20"/>
          <w:szCs w:val="20"/>
        </w:rPr>
        <w:t>.</w:t>
      </w:r>
    </w:p>
  </w:footnote>
  <w:footnote w:id="33">
    <w:p w14:paraId="0B8AE3F9" w14:textId="77777777" w:rsidR="008E3F16" w:rsidRDefault="00F95A32">
      <w:pPr>
        <w:spacing w:line="240" w:lineRule="auto"/>
      </w:pPr>
      <w:r>
        <w:rPr>
          <w:vertAlign w:val="superscript"/>
        </w:rPr>
        <w:footnoteRef/>
      </w:r>
      <w:r>
        <w:rPr>
          <w:sz w:val="20"/>
          <w:szCs w:val="20"/>
        </w:rPr>
        <w:t xml:space="preserve"> </w:t>
      </w:r>
      <w:proofErr w:type="spellStart"/>
      <w:r>
        <w:rPr>
          <w:sz w:val="20"/>
          <w:szCs w:val="20"/>
        </w:rPr>
        <w:t>this</w:t>
      </w:r>
      <w:proofErr w:type="spellEnd"/>
      <w:r>
        <w:rPr>
          <w:sz w:val="20"/>
          <w:szCs w:val="20"/>
        </w:rPr>
        <w:t xml:space="preserve"> </w:t>
      </w:r>
      <w:proofErr w:type="spellStart"/>
      <w:r>
        <w:rPr>
          <w:sz w:val="20"/>
          <w:szCs w:val="20"/>
        </w:rPr>
        <w:t>status</w:t>
      </w:r>
      <w:proofErr w:type="spellEnd"/>
      <w:r>
        <w:rPr>
          <w:sz w:val="20"/>
          <w:szCs w:val="20"/>
        </w:rPr>
        <w:t xml:space="preserve"> </w:t>
      </w:r>
      <w:proofErr w:type="spellStart"/>
      <w:r>
        <w:rPr>
          <w:sz w:val="20"/>
          <w:szCs w:val="20"/>
        </w:rPr>
        <w:t>is</w:t>
      </w:r>
      <w:proofErr w:type="spellEnd"/>
      <w:r>
        <w:rPr>
          <w:sz w:val="20"/>
          <w:szCs w:val="20"/>
        </w:rPr>
        <w:t xml:space="preserve"> </w:t>
      </w:r>
      <w:proofErr w:type="spellStart"/>
      <w:r>
        <w:rPr>
          <w:sz w:val="20"/>
          <w:szCs w:val="20"/>
        </w:rPr>
        <w:t>provided</w:t>
      </w:r>
      <w:proofErr w:type="spellEnd"/>
      <w:r>
        <w:rPr>
          <w:sz w:val="20"/>
          <w:szCs w:val="20"/>
        </w:rPr>
        <w:t xml:space="preserve"> </w:t>
      </w:r>
      <w:proofErr w:type="spellStart"/>
      <w:r>
        <w:rPr>
          <w:sz w:val="20"/>
          <w:szCs w:val="20"/>
        </w:rPr>
        <w:t>for</w:t>
      </w:r>
      <w:proofErr w:type="spellEnd"/>
      <w:r>
        <w:rPr>
          <w:sz w:val="20"/>
          <w:szCs w:val="20"/>
        </w:rPr>
        <w:t xml:space="preserve"> </w:t>
      </w:r>
      <w:proofErr w:type="spellStart"/>
      <w:r>
        <w:rPr>
          <w:sz w:val="20"/>
          <w:szCs w:val="20"/>
        </w:rPr>
        <w:t>in</w:t>
      </w:r>
      <w:proofErr w:type="spellEnd"/>
      <w:r>
        <w:rPr>
          <w:sz w:val="20"/>
          <w:szCs w:val="20"/>
        </w:rPr>
        <w:t xml:space="preserve"> </w:t>
      </w:r>
      <w:proofErr w:type="spellStart"/>
      <w:r>
        <w:rPr>
          <w:sz w:val="20"/>
          <w:szCs w:val="20"/>
        </w:rPr>
        <w:t>Article</w:t>
      </w:r>
      <w:proofErr w:type="spellEnd"/>
      <w:r>
        <w:rPr>
          <w:sz w:val="20"/>
          <w:szCs w:val="20"/>
        </w:rPr>
        <w:t xml:space="preserve"> 30 (1) </w:t>
      </w:r>
      <w:proofErr w:type="spellStart"/>
      <w:r>
        <w:rPr>
          <w:sz w:val="20"/>
          <w:szCs w:val="20"/>
        </w:rPr>
        <w:t>of</w:t>
      </w:r>
      <w:proofErr w:type="spellEnd"/>
      <w:r>
        <w:rPr>
          <w:sz w:val="20"/>
          <w:szCs w:val="20"/>
        </w:rPr>
        <w:t xml:space="preserve"> </w:t>
      </w:r>
      <w:proofErr w:type="spellStart"/>
      <w:r>
        <w:rPr>
          <w:sz w:val="20"/>
          <w:szCs w:val="20"/>
        </w:rPr>
        <w:t>the</w:t>
      </w:r>
      <w:proofErr w:type="spellEnd"/>
      <w:r>
        <w:rPr>
          <w:sz w:val="20"/>
          <w:szCs w:val="20"/>
        </w:rPr>
        <w:t xml:space="preserve"> </w:t>
      </w:r>
      <w:proofErr w:type="spellStart"/>
      <w:r>
        <w:rPr>
          <w:sz w:val="20"/>
          <w:szCs w:val="20"/>
        </w:rPr>
        <w:t>Law</w:t>
      </w:r>
      <w:proofErr w:type="spellEnd"/>
      <w:r>
        <w:rPr>
          <w:sz w:val="20"/>
          <w:szCs w:val="20"/>
        </w:rPr>
        <w:t xml:space="preserve"> </w:t>
      </w:r>
      <w:proofErr w:type="spellStart"/>
      <w:r>
        <w:rPr>
          <w:sz w:val="20"/>
          <w:szCs w:val="20"/>
        </w:rPr>
        <w:t>of</w:t>
      </w:r>
      <w:proofErr w:type="spellEnd"/>
      <w:r>
        <w:rPr>
          <w:sz w:val="20"/>
          <w:szCs w:val="20"/>
        </w:rPr>
        <w:t xml:space="preserve"> </w:t>
      </w:r>
      <w:proofErr w:type="spellStart"/>
      <w:r>
        <w:rPr>
          <w:sz w:val="20"/>
          <w:szCs w:val="20"/>
        </w:rPr>
        <w:t>Ukraine</w:t>
      </w:r>
      <w:proofErr w:type="spellEnd"/>
      <w:r>
        <w:rPr>
          <w:sz w:val="20"/>
          <w:szCs w:val="20"/>
        </w:rPr>
        <w:t xml:space="preserve"> “</w:t>
      </w:r>
      <w:proofErr w:type="spellStart"/>
      <w:r>
        <w:rPr>
          <w:sz w:val="20"/>
          <w:szCs w:val="20"/>
        </w:rPr>
        <w:t>On</w:t>
      </w:r>
      <w:proofErr w:type="spellEnd"/>
      <w:r>
        <w:rPr>
          <w:sz w:val="20"/>
          <w:szCs w:val="20"/>
        </w:rPr>
        <w:t xml:space="preserve"> </w:t>
      </w:r>
      <w:proofErr w:type="spellStart"/>
      <w:r>
        <w:rPr>
          <w:sz w:val="20"/>
          <w:szCs w:val="20"/>
        </w:rPr>
        <w:t>the</w:t>
      </w:r>
      <w:proofErr w:type="spellEnd"/>
      <w:r>
        <w:rPr>
          <w:sz w:val="20"/>
          <w:szCs w:val="20"/>
        </w:rPr>
        <w:t xml:space="preserve"> </w:t>
      </w:r>
      <w:proofErr w:type="spellStart"/>
      <w:r>
        <w:rPr>
          <w:sz w:val="20"/>
          <w:szCs w:val="20"/>
        </w:rPr>
        <w:t>Protection</w:t>
      </w:r>
      <w:proofErr w:type="spellEnd"/>
      <w:r>
        <w:rPr>
          <w:sz w:val="20"/>
          <w:szCs w:val="20"/>
        </w:rPr>
        <w:t xml:space="preserve"> </w:t>
      </w:r>
      <w:proofErr w:type="spellStart"/>
      <w:r>
        <w:rPr>
          <w:sz w:val="20"/>
          <w:szCs w:val="20"/>
        </w:rPr>
        <w:t>of</w:t>
      </w:r>
      <w:proofErr w:type="spellEnd"/>
      <w:r>
        <w:rPr>
          <w:sz w:val="20"/>
          <w:szCs w:val="20"/>
        </w:rPr>
        <w:t xml:space="preserve"> </w:t>
      </w:r>
      <w:proofErr w:type="spellStart"/>
      <w:r>
        <w:rPr>
          <w:sz w:val="20"/>
          <w:szCs w:val="20"/>
        </w:rPr>
        <w:t>Childhood</w:t>
      </w:r>
      <w:proofErr w:type="spellEnd"/>
      <w:r>
        <w:rPr>
          <w:sz w:val="20"/>
          <w:szCs w:val="20"/>
        </w:rPr>
        <w:t xml:space="preserve">” </w:t>
      </w:r>
      <w:proofErr w:type="spellStart"/>
      <w:r>
        <w:rPr>
          <w:sz w:val="20"/>
          <w:szCs w:val="20"/>
        </w:rPr>
        <w:t>no</w:t>
      </w:r>
      <w:proofErr w:type="spellEnd"/>
      <w:r>
        <w:rPr>
          <w:sz w:val="20"/>
          <w:szCs w:val="20"/>
        </w:rPr>
        <w:t xml:space="preserve">. 2402-III </w:t>
      </w:r>
      <w:proofErr w:type="spellStart"/>
      <w:r>
        <w:rPr>
          <w:sz w:val="20"/>
          <w:szCs w:val="20"/>
        </w:rPr>
        <w:t>of</w:t>
      </w:r>
      <w:proofErr w:type="spellEnd"/>
      <w:r>
        <w:rPr>
          <w:sz w:val="20"/>
          <w:szCs w:val="20"/>
        </w:rPr>
        <w:t xml:space="preserve"> 26 </w:t>
      </w:r>
      <w:proofErr w:type="spellStart"/>
      <w:r>
        <w:rPr>
          <w:sz w:val="20"/>
          <w:szCs w:val="20"/>
        </w:rPr>
        <w:t>April</w:t>
      </w:r>
      <w:proofErr w:type="spellEnd"/>
      <w:r>
        <w:rPr>
          <w:sz w:val="20"/>
          <w:szCs w:val="20"/>
        </w:rPr>
        <w:t xml:space="preserve"> 2001 </w:t>
      </w:r>
      <w:proofErr w:type="spellStart"/>
      <w:r>
        <w:rPr>
          <w:sz w:val="20"/>
          <w:szCs w:val="20"/>
        </w:rPr>
        <w:t>and</w:t>
      </w:r>
      <w:proofErr w:type="spellEnd"/>
      <w:r>
        <w:rPr>
          <w:sz w:val="20"/>
          <w:szCs w:val="20"/>
        </w:rPr>
        <w:t xml:space="preserve"> CMU </w:t>
      </w:r>
      <w:proofErr w:type="spellStart"/>
      <w:r>
        <w:rPr>
          <w:sz w:val="20"/>
          <w:szCs w:val="20"/>
        </w:rPr>
        <w:t>Resolution</w:t>
      </w:r>
      <w:proofErr w:type="spellEnd"/>
      <w:r>
        <w:rPr>
          <w:sz w:val="20"/>
          <w:szCs w:val="20"/>
        </w:rPr>
        <w:t xml:space="preserve"> 268 </w:t>
      </w:r>
      <w:proofErr w:type="spellStart"/>
      <w:r>
        <w:rPr>
          <w:sz w:val="20"/>
          <w:szCs w:val="20"/>
        </w:rPr>
        <w:t>of</w:t>
      </w:r>
      <w:proofErr w:type="spellEnd"/>
      <w:r>
        <w:rPr>
          <w:sz w:val="20"/>
          <w:szCs w:val="20"/>
        </w:rPr>
        <w:t xml:space="preserve"> 26 </w:t>
      </w:r>
      <w:proofErr w:type="spellStart"/>
      <w:r>
        <w:rPr>
          <w:sz w:val="20"/>
          <w:szCs w:val="20"/>
        </w:rPr>
        <w:t>April</w:t>
      </w:r>
      <w:proofErr w:type="spellEnd"/>
      <w:r>
        <w:rPr>
          <w:sz w:val="20"/>
          <w:szCs w:val="20"/>
        </w:rPr>
        <w:t xml:space="preserve"> 2001.</w:t>
      </w:r>
    </w:p>
  </w:footnote>
  <w:footnote w:id="34">
    <w:p w14:paraId="6A587876" w14:textId="77777777" w:rsidR="008E3F16" w:rsidRDefault="00F95A32">
      <w:pPr>
        <w:spacing w:line="240" w:lineRule="auto"/>
        <w:jc w:val="both"/>
        <w:rPr>
          <w:lang w:val="en-GB"/>
        </w:rPr>
      </w:pPr>
      <w:r>
        <w:rPr>
          <w:vertAlign w:val="superscript"/>
        </w:rPr>
        <w:footnoteRef/>
      </w:r>
      <w:r>
        <w:rPr>
          <w:sz w:val="20"/>
          <w:szCs w:val="20"/>
        </w:rPr>
        <w:t xml:space="preserve"> </w:t>
      </w:r>
      <w:proofErr w:type="spellStart"/>
      <w:r>
        <w:rPr>
          <w:sz w:val="20"/>
          <w:szCs w:val="20"/>
        </w:rPr>
        <w:t>The</w:t>
      </w:r>
      <w:proofErr w:type="spellEnd"/>
      <w:r>
        <w:rPr>
          <w:sz w:val="20"/>
          <w:szCs w:val="20"/>
        </w:rPr>
        <w:t xml:space="preserve"> </w:t>
      </w:r>
      <w:proofErr w:type="spellStart"/>
      <w:r>
        <w:rPr>
          <w:sz w:val="20"/>
          <w:szCs w:val="20"/>
        </w:rPr>
        <w:t>law</w:t>
      </w:r>
      <w:proofErr w:type="spellEnd"/>
      <w:r>
        <w:rPr>
          <w:sz w:val="20"/>
          <w:szCs w:val="20"/>
        </w:rPr>
        <w:t xml:space="preserve"> </w:t>
      </w:r>
      <w:proofErr w:type="spellStart"/>
      <w:r>
        <w:rPr>
          <w:sz w:val="20"/>
          <w:szCs w:val="20"/>
        </w:rPr>
        <w:t>provides</w:t>
      </w:r>
      <w:proofErr w:type="spellEnd"/>
      <w:r>
        <w:rPr>
          <w:sz w:val="20"/>
          <w:szCs w:val="20"/>
        </w:rPr>
        <w:t xml:space="preserve"> </w:t>
      </w:r>
      <w:proofErr w:type="spellStart"/>
      <w:r>
        <w:rPr>
          <w:sz w:val="20"/>
          <w:szCs w:val="20"/>
        </w:rPr>
        <w:t>that</w:t>
      </w:r>
      <w:proofErr w:type="spellEnd"/>
      <w:r>
        <w:rPr>
          <w:sz w:val="20"/>
          <w:szCs w:val="20"/>
        </w:rPr>
        <w:t xml:space="preserve"> </w:t>
      </w:r>
      <w:proofErr w:type="spellStart"/>
      <w:r>
        <w:rPr>
          <w:sz w:val="20"/>
          <w:szCs w:val="20"/>
        </w:rPr>
        <w:t>an</w:t>
      </w:r>
      <w:proofErr w:type="spellEnd"/>
      <w:r>
        <w:rPr>
          <w:sz w:val="20"/>
          <w:szCs w:val="20"/>
        </w:rPr>
        <w:t xml:space="preserve"> </w:t>
      </w:r>
      <w:proofErr w:type="spellStart"/>
      <w:r>
        <w:rPr>
          <w:sz w:val="20"/>
          <w:szCs w:val="20"/>
        </w:rPr>
        <w:t>individual</w:t>
      </w:r>
      <w:proofErr w:type="spellEnd"/>
      <w:r>
        <w:rPr>
          <w:sz w:val="20"/>
          <w:szCs w:val="20"/>
        </w:rPr>
        <w:t xml:space="preserve"> </w:t>
      </w:r>
      <w:proofErr w:type="spellStart"/>
      <w:r>
        <w:rPr>
          <w:sz w:val="20"/>
          <w:szCs w:val="20"/>
          <w:highlight w:val="white"/>
        </w:rPr>
        <w:t>can</w:t>
      </w:r>
      <w:proofErr w:type="spellEnd"/>
      <w:r>
        <w:rPr>
          <w:sz w:val="20"/>
          <w:szCs w:val="20"/>
          <w:highlight w:val="white"/>
        </w:rPr>
        <w:t xml:space="preserve"> </w:t>
      </w:r>
      <w:proofErr w:type="spellStart"/>
      <w:r>
        <w:rPr>
          <w:sz w:val="20"/>
          <w:szCs w:val="20"/>
          <w:highlight w:val="white"/>
        </w:rPr>
        <w:t>be</w:t>
      </w:r>
      <w:proofErr w:type="spellEnd"/>
      <w:r>
        <w:rPr>
          <w:sz w:val="20"/>
          <w:szCs w:val="20"/>
          <w:highlight w:val="white"/>
        </w:rPr>
        <w:t xml:space="preserve"> </w:t>
      </w:r>
      <w:proofErr w:type="spellStart"/>
      <w:r>
        <w:rPr>
          <w:sz w:val="20"/>
          <w:szCs w:val="20"/>
          <w:highlight w:val="white"/>
        </w:rPr>
        <w:t>entitled</w:t>
      </w:r>
      <w:proofErr w:type="spellEnd"/>
      <w:r>
        <w:rPr>
          <w:sz w:val="20"/>
          <w:szCs w:val="20"/>
          <w:highlight w:val="white"/>
        </w:rPr>
        <w:t xml:space="preserve"> </w:t>
      </w:r>
      <w:proofErr w:type="spellStart"/>
      <w:r>
        <w:rPr>
          <w:sz w:val="20"/>
          <w:szCs w:val="20"/>
          <w:highlight w:val="white"/>
        </w:rPr>
        <w:t>to</w:t>
      </w:r>
      <w:proofErr w:type="spellEnd"/>
      <w:r>
        <w:rPr>
          <w:sz w:val="20"/>
          <w:szCs w:val="20"/>
          <w:highlight w:val="white"/>
        </w:rPr>
        <w:t xml:space="preserve"> </w:t>
      </w:r>
      <w:proofErr w:type="spellStart"/>
      <w:r>
        <w:rPr>
          <w:sz w:val="20"/>
          <w:szCs w:val="20"/>
          <w:highlight w:val="white"/>
        </w:rPr>
        <w:t>this</w:t>
      </w:r>
      <w:proofErr w:type="spellEnd"/>
      <w:r>
        <w:rPr>
          <w:sz w:val="20"/>
          <w:szCs w:val="20"/>
          <w:highlight w:val="white"/>
        </w:rPr>
        <w:t xml:space="preserve"> </w:t>
      </w:r>
      <w:proofErr w:type="spellStart"/>
      <w:r>
        <w:rPr>
          <w:sz w:val="20"/>
          <w:szCs w:val="20"/>
          <w:highlight w:val="white"/>
        </w:rPr>
        <w:t>status</w:t>
      </w:r>
      <w:proofErr w:type="spellEnd"/>
      <w:r>
        <w:rPr>
          <w:sz w:val="20"/>
          <w:szCs w:val="20"/>
          <w:highlight w:val="white"/>
        </w:rPr>
        <w:t xml:space="preserve">, </w:t>
      </w:r>
      <w:proofErr w:type="spellStart"/>
      <w:r>
        <w:rPr>
          <w:sz w:val="20"/>
          <w:szCs w:val="20"/>
          <w:highlight w:val="white"/>
        </w:rPr>
        <w:t>if</w:t>
      </w:r>
      <w:proofErr w:type="spellEnd"/>
      <w:r>
        <w:rPr>
          <w:sz w:val="20"/>
          <w:szCs w:val="20"/>
          <w:highlight w:val="white"/>
        </w:rPr>
        <w:t xml:space="preserve"> </w:t>
      </w:r>
      <w:proofErr w:type="spellStart"/>
      <w:r>
        <w:rPr>
          <w:sz w:val="20"/>
          <w:szCs w:val="20"/>
          <w:highlight w:val="white"/>
        </w:rPr>
        <w:t>he</w:t>
      </w:r>
      <w:proofErr w:type="spellEnd"/>
      <w:r>
        <w:rPr>
          <w:sz w:val="20"/>
          <w:szCs w:val="20"/>
          <w:highlight w:val="white"/>
        </w:rPr>
        <w:t xml:space="preserve"> </w:t>
      </w:r>
      <w:proofErr w:type="spellStart"/>
      <w:r>
        <w:rPr>
          <w:sz w:val="20"/>
          <w:szCs w:val="20"/>
          <w:highlight w:val="white"/>
        </w:rPr>
        <w:t>or</w:t>
      </w:r>
      <w:proofErr w:type="spellEnd"/>
      <w:r>
        <w:rPr>
          <w:sz w:val="20"/>
          <w:szCs w:val="20"/>
          <w:highlight w:val="white"/>
        </w:rPr>
        <w:t xml:space="preserve"> </w:t>
      </w:r>
      <w:proofErr w:type="spellStart"/>
      <w:r>
        <w:rPr>
          <w:sz w:val="20"/>
          <w:szCs w:val="20"/>
          <w:highlight w:val="white"/>
        </w:rPr>
        <w:t>she</w:t>
      </w:r>
      <w:proofErr w:type="spellEnd"/>
      <w:r>
        <w:rPr>
          <w:sz w:val="20"/>
          <w:szCs w:val="20"/>
          <w:highlight w:val="white"/>
        </w:rPr>
        <w:t xml:space="preserve"> </w:t>
      </w:r>
      <w:proofErr w:type="spellStart"/>
      <w:r>
        <w:rPr>
          <w:sz w:val="20"/>
          <w:szCs w:val="20"/>
          <w:highlight w:val="white"/>
        </w:rPr>
        <w:t>has</w:t>
      </w:r>
      <w:proofErr w:type="spellEnd"/>
      <w:r>
        <w:rPr>
          <w:sz w:val="20"/>
          <w:szCs w:val="20"/>
          <w:highlight w:val="white"/>
        </w:rPr>
        <w:t xml:space="preserve"> </w:t>
      </w:r>
      <w:proofErr w:type="spellStart"/>
      <w:r>
        <w:rPr>
          <w:sz w:val="20"/>
          <w:szCs w:val="20"/>
          <w:highlight w:val="white"/>
        </w:rPr>
        <w:t>not</w:t>
      </w:r>
      <w:proofErr w:type="spellEnd"/>
      <w:r>
        <w:rPr>
          <w:sz w:val="20"/>
          <w:szCs w:val="20"/>
          <w:highlight w:val="white"/>
        </w:rPr>
        <w:t xml:space="preserve"> </w:t>
      </w:r>
      <w:proofErr w:type="spellStart"/>
      <w:r>
        <w:rPr>
          <w:sz w:val="20"/>
          <w:szCs w:val="20"/>
          <w:highlight w:val="white"/>
        </w:rPr>
        <w:t>reached</w:t>
      </w:r>
      <w:proofErr w:type="spellEnd"/>
      <w:r>
        <w:rPr>
          <w:sz w:val="20"/>
          <w:szCs w:val="20"/>
          <w:highlight w:val="white"/>
        </w:rPr>
        <w:t xml:space="preserve"> </w:t>
      </w:r>
      <w:proofErr w:type="spellStart"/>
      <w:r>
        <w:rPr>
          <w:sz w:val="20"/>
          <w:szCs w:val="20"/>
          <w:highlight w:val="white"/>
        </w:rPr>
        <w:t>the</w:t>
      </w:r>
      <w:proofErr w:type="spellEnd"/>
      <w:r>
        <w:rPr>
          <w:sz w:val="20"/>
          <w:szCs w:val="20"/>
          <w:highlight w:val="white"/>
        </w:rPr>
        <w:t xml:space="preserve"> </w:t>
      </w:r>
      <w:proofErr w:type="spellStart"/>
      <w:r>
        <w:rPr>
          <w:sz w:val="20"/>
          <w:szCs w:val="20"/>
          <w:highlight w:val="white"/>
        </w:rPr>
        <w:t>age</w:t>
      </w:r>
      <w:proofErr w:type="spellEnd"/>
      <w:r>
        <w:rPr>
          <w:sz w:val="20"/>
          <w:szCs w:val="20"/>
          <w:highlight w:val="white"/>
        </w:rPr>
        <w:t xml:space="preserve"> </w:t>
      </w:r>
      <w:proofErr w:type="spellStart"/>
      <w:r>
        <w:rPr>
          <w:sz w:val="20"/>
          <w:szCs w:val="20"/>
          <w:highlight w:val="white"/>
        </w:rPr>
        <w:t>of</w:t>
      </w:r>
      <w:proofErr w:type="spellEnd"/>
      <w:r>
        <w:rPr>
          <w:sz w:val="20"/>
          <w:szCs w:val="20"/>
          <w:highlight w:val="white"/>
        </w:rPr>
        <w:t xml:space="preserve"> 18 </w:t>
      </w:r>
      <w:proofErr w:type="spellStart"/>
      <w:r>
        <w:rPr>
          <w:sz w:val="20"/>
          <w:szCs w:val="20"/>
          <w:highlight w:val="white"/>
        </w:rPr>
        <w:t>years</w:t>
      </w:r>
      <w:proofErr w:type="spellEnd"/>
      <w:r>
        <w:rPr>
          <w:sz w:val="20"/>
          <w:szCs w:val="20"/>
          <w:highlight w:val="white"/>
        </w:rPr>
        <w:t xml:space="preserve"> </w:t>
      </w:r>
      <w:proofErr w:type="spellStart"/>
      <w:r>
        <w:rPr>
          <w:sz w:val="20"/>
          <w:szCs w:val="20"/>
          <w:highlight w:val="white"/>
        </w:rPr>
        <w:t>for</w:t>
      </w:r>
      <w:proofErr w:type="spellEnd"/>
      <w:r>
        <w:rPr>
          <w:sz w:val="20"/>
          <w:szCs w:val="20"/>
          <w:highlight w:val="white"/>
        </w:rPr>
        <w:t xml:space="preserve"> </w:t>
      </w:r>
      <w:proofErr w:type="spellStart"/>
      <w:r>
        <w:rPr>
          <w:sz w:val="20"/>
          <w:szCs w:val="20"/>
          <w:highlight w:val="white"/>
        </w:rPr>
        <w:t>the</w:t>
      </w:r>
      <w:proofErr w:type="spellEnd"/>
      <w:r>
        <w:rPr>
          <w:sz w:val="20"/>
          <w:szCs w:val="20"/>
          <w:highlight w:val="white"/>
        </w:rPr>
        <w:t xml:space="preserve"> </w:t>
      </w:r>
      <w:proofErr w:type="spellStart"/>
      <w:r>
        <w:rPr>
          <w:sz w:val="20"/>
          <w:szCs w:val="20"/>
          <w:highlight w:val="white"/>
        </w:rPr>
        <w:t>moment</w:t>
      </w:r>
      <w:proofErr w:type="spellEnd"/>
      <w:r>
        <w:rPr>
          <w:sz w:val="20"/>
          <w:szCs w:val="20"/>
          <w:highlight w:val="white"/>
        </w:rPr>
        <w:t xml:space="preserve"> </w:t>
      </w:r>
      <w:proofErr w:type="spellStart"/>
      <w:r>
        <w:rPr>
          <w:sz w:val="20"/>
          <w:szCs w:val="20"/>
          <w:highlight w:val="white"/>
        </w:rPr>
        <w:t>of</w:t>
      </w:r>
      <w:proofErr w:type="spellEnd"/>
      <w:r>
        <w:rPr>
          <w:sz w:val="20"/>
          <w:szCs w:val="20"/>
          <w:highlight w:val="white"/>
        </w:rPr>
        <w:t xml:space="preserve"> </w:t>
      </w:r>
      <w:proofErr w:type="spellStart"/>
      <w:r>
        <w:rPr>
          <w:sz w:val="20"/>
          <w:szCs w:val="20"/>
          <w:highlight w:val="white"/>
        </w:rPr>
        <w:t>the</w:t>
      </w:r>
      <w:proofErr w:type="spellEnd"/>
      <w:r>
        <w:rPr>
          <w:sz w:val="20"/>
          <w:szCs w:val="20"/>
          <w:highlight w:val="white"/>
        </w:rPr>
        <w:t xml:space="preserve"> </w:t>
      </w:r>
      <w:proofErr w:type="spellStart"/>
      <w:r>
        <w:rPr>
          <w:sz w:val="20"/>
          <w:szCs w:val="20"/>
          <w:highlight w:val="white"/>
        </w:rPr>
        <w:t>conflict</w:t>
      </w:r>
      <w:proofErr w:type="spellEnd"/>
      <w:r>
        <w:rPr>
          <w:sz w:val="20"/>
          <w:szCs w:val="20"/>
          <w:highlight w:val="white"/>
        </w:rPr>
        <w:t xml:space="preserve"> </w:t>
      </w:r>
      <w:proofErr w:type="spellStart"/>
      <w:r>
        <w:rPr>
          <w:sz w:val="20"/>
          <w:szCs w:val="20"/>
          <w:highlight w:val="white"/>
        </w:rPr>
        <w:t>and</w:t>
      </w:r>
      <w:proofErr w:type="spellEnd"/>
      <w:r>
        <w:rPr>
          <w:sz w:val="20"/>
          <w:szCs w:val="20"/>
          <w:highlight w:val="white"/>
        </w:rPr>
        <w:t xml:space="preserve"> </w:t>
      </w:r>
      <w:proofErr w:type="spellStart"/>
      <w:r>
        <w:rPr>
          <w:sz w:val="20"/>
          <w:szCs w:val="20"/>
          <w:highlight w:val="white"/>
        </w:rPr>
        <w:t>who</w:t>
      </w:r>
      <w:proofErr w:type="spellEnd"/>
      <w:r>
        <w:rPr>
          <w:sz w:val="20"/>
          <w:szCs w:val="20"/>
          <w:highlight w:val="white"/>
        </w:rPr>
        <w:t xml:space="preserve">, </w:t>
      </w:r>
      <w:proofErr w:type="spellStart"/>
      <w:r>
        <w:rPr>
          <w:sz w:val="20"/>
          <w:szCs w:val="20"/>
          <w:highlight w:val="white"/>
        </w:rPr>
        <w:t>as</w:t>
      </w:r>
      <w:proofErr w:type="spellEnd"/>
      <w:r>
        <w:rPr>
          <w:sz w:val="20"/>
          <w:szCs w:val="20"/>
          <w:highlight w:val="white"/>
        </w:rPr>
        <w:t xml:space="preserve"> a </w:t>
      </w:r>
      <w:proofErr w:type="spellStart"/>
      <w:r>
        <w:rPr>
          <w:sz w:val="20"/>
          <w:szCs w:val="20"/>
          <w:highlight w:val="white"/>
        </w:rPr>
        <w:t>result</w:t>
      </w:r>
      <w:proofErr w:type="spellEnd"/>
      <w:r>
        <w:rPr>
          <w:sz w:val="20"/>
          <w:szCs w:val="20"/>
          <w:highlight w:val="white"/>
        </w:rPr>
        <w:t xml:space="preserve"> </w:t>
      </w:r>
      <w:proofErr w:type="spellStart"/>
      <w:r>
        <w:rPr>
          <w:sz w:val="20"/>
          <w:szCs w:val="20"/>
          <w:highlight w:val="white"/>
        </w:rPr>
        <w:t>of</w:t>
      </w:r>
      <w:proofErr w:type="spellEnd"/>
      <w:r>
        <w:rPr>
          <w:sz w:val="20"/>
          <w:szCs w:val="20"/>
          <w:highlight w:val="white"/>
        </w:rPr>
        <w:t xml:space="preserve"> </w:t>
      </w:r>
      <w:proofErr w:type="spellStart"/>
      <w:r>
        <w:rPr>
          <w:sz w:val="20"/>
          <w:szCs w:val="20"/>
          <w:highlight w:val="white"/>
        </w:rPr>
        <w:t>military</w:t>
      </w:r>
      <w:proofErr w:type="spellEnd"/>
      <w:r>
        <w:rPr>
          <w:sz w:val="20"/>
          <w:szCs w:val="20"/>
          <w:highlight w:val="white"/>
        </w:rPr>
        <w:t xml:space="preserve"> </w:t>
      </w:r>
      <w:proofErr w:type="spellStart"/>
      <w:r>
        <w:rPr>
          <w:sz w:val="20"/>
          <w:szCs w:val="20"/>
          <w:highlight w:val="white"/>
        </w:rPr>
        <w:t>action</w:t>
      </w:r>
      <w:proofErr w:type="spellEnd"/>
      <w:r>
        <w:rPr>
          <w:sz w:val="20"/>
          <w:szCs w:val="20"/>
          <w:highlight w:val="white"/>
        </w:rPr>
        <w:t xml:space="preserve"> </w:t>
      </w:r>
      <w:proofErr w:type="spellStart"/>
      <w:r>
        <w:rPr>
          <w:sz w:val="20"/>
          <w:szCs w:val="20"/>
          <w:highlight w:val="white"/>
        </w:rPr>
        <w:t>and</w:t>
      </w:r>
      <w:proofErr w:type="spellEnd"/>
      <w:r>
        <w:rPr>
          <w:sz w:val="20"/>
          <w:szCs w:val="20"/>
          <w:highlight w:val="white"/>
        </w:rPr>
        <w:t xml:space="preserve"> </w:t>
      </w:r>
      <w:proofErr w:type="spellStart"/>
      <w:r>
        <w:rPr>
          <w:sz w:val="20"/>
          <w:szCs w:val="20"/>
          <w:highlight w:val="white"/>
        </w:rPr>
        <w:t>armed</w:t>
      </w:r>
      <w:proofErr w:type="spellEnd"/>
      <w:r>
        <w:rPr>
          <w:sz w:val="20"/>
          <w:szCs w:val="20"/>
          <w:highlight w:val="white"/>
        </w:rPr>
        <w:t xml:space="preserve"> </w:t>
      </w:r>
      <w:proofErr w:type="spellStart"/>
      <w:r>
        <w:rPr>
          <w:sz w:val="20"/>
          <w:szCs w:val="20"/>
          <w:highlight w:val="white"/>
        </w:rPr>
        <w:t>conflict</w:t>
      </w:r>
      <w:proofErr w:type="spellEnd"/>
      <w:r>
        <w:rPr>
          <w:sz w:val="20"/>
          <w:szCs w:val="20"/>
          <w:highlight w:val="white"/>
        </w:rPr>
        <w:t xml:space="preserve">, 1) </w:t>
      </w:r>
      <w:proofErr w:type="spellStart"/>
      <w:r>
        <w:rPr>
          <w:sz w:val="20"/>
          <w:szCs w:val="20"/>
        </w:rPr>
        <w:t>suffered</w:t>
      </w:r>
      <w:proofErr w:type="spellEnd"/>
      <w:r>
        <w:rPr>
          <w:sz w:val="20"/>
          <w:szCs w:val="20"/>
        </w:rPr>
        <w:t xml:space="preserve"> a </w:t>
      </w:r>
      <w:proofErr w:type="spellStart"/>
      <w:r>
        <w:rPr>
          <w:sz w:val="20"/>
          <w:szCs w:val="20"/>
        </w:rPr>
        <w:t>concussion</w:t>
      </w:r>
      <w:proofErr w:type="spellEnd"/>
      <w:r>
        <w:rPr>
          <w:sz w:val="20"/>
          <w:szCs w:val="20"/>
        </w:rPr>
        <w:t xml:space="preserve">, </w:t>
      </w:r>
      <w:proofErr w:type="spellStart"/>
      <w:r>
        <w:rPr>
          <w:sz w:val="20"/>
          <w:szCs w:val="20"/>
        </w:rPr>
        <w:t>injury</w:t>
      </w:r>
      <w:proofErr w:type="spellEnd"/>
      <w:r>
        <w:rPr>
          <w:sz w:val="20"/>
          <w:szCs w:val="20"/>
        </w:rPr>
        <w:t xml:space="preserve"> </w:t>
      </w:r>
      <w:proofErr w:type="spellStart"/>
      <w:r>
        <w:rPr>
          <w:sz w:val="20"/>
          <w:szCs w:val="20"/>
        </w:rPr>
        <w:t>or</w:t>
      </w:r>
      <w:proofErr w:type="spellEnd"/>
      <w:r>
        <w:rPr>
          <w:sz w:val="20"/>
          <w:szCs w:val="20"/>
        </w:rPr>
        <w:t xml:space="preserve"> </w:t>
      </w:r>
      <w:proofErr w:type="spellStart"/>
      <w:r>
        <w:rPr>
          <w:sz w:val="20"/>
          <w:szCs w:val="20"/>
        </w:rPr>
        <w:t>wound</w:t>
      </w:r>
      <w:proofErr w:type="spellEnd"/>
      <w:r>
        <w:rPr>
          <w:sz w:val="20"/>
          <w:szCs w:val="20"/>
        </w:rPr>
        <w:t>;</w:t>
      </w:r>
      <w:r>
        <w:rPr>
          <w:sz w:val="20"/>
          <w:szCs w:val="20"/>
          <w:highlight w:val="white"/>
        </w:rPr>
        <w:t xml:space="preserve"> 2) </w:t>
      </w:r>
      <w:proofErr w:type="spellStart"/>
      <w:r>
        <w:rPr>
          <w:sz w:val="20"/>
          <w:szCs w:val="20"/>
          <w:highlight w:val="white"/>
        </w:rPr>
        <w:t>suffered</w:t>
      </w:r>
      <w:proofErr w:type="spellEnd"/>
      <w:r>
        <w:rPr>
          <w:sz w:val="20"/>
          <w:szCs w:val="20"/>
          <w:highlight w:val="white"/>
        </w:rPr>
        <w:t xml:space="preserve"> </w:t>
      </w:r>
      <w:proofErr w:type="spellStart"/>
      <w:r>
        <w:rPr>
          <w:sz w:val="20"/>
          <w:szCs w:val="20"/>
          <w:highlight w:val="white"/>
        </w:rPr>
        <w:t>physical</w:t>
      </w:r>
      <w:proofErr w:type="spellEnd"/>
      <w:r>
        <w:rPr>
          <w:sz w:val="20"/>
          <w:szCs w:val="20"/>
          <w:highlight w:val="white"/>
        </w:rPr>
        <w:t xml:space="preserve"> </w:t>
      </w:r>
      <w:proofErr w:type="spellStart"/>
      <w:r>
        <w:rPr>
          <w:sz w:val="20"/>
          <w:szCs w:val="20"/>
          <w:highlight w:val="white"/>
        </w:rPr>
        <w:t>and</w:t>
      </w:r>
      <w:proofErr w:type="spellEnd"/>
      <w:r>
        <w:rPr>
          <w:sz w:val="20"/>
          <w:szCs w:val="20"/>
          <w:highlight w:val="white"/>
        </w:rPr>
        <w:t>/</w:t>
      </w:r>
      <w:proofErr w:type="spellStart"/>
      <w:r>
        <w:rPr>
          <w:sz w:val="20"/>
          <w:szCs w:val="20"/>
          <w:highlight w:val="white"/>
        </w:rPr>
        <w:t>or</w:t>
      </w:r>
      <w:proofErr w:type="spellEnd"/>
      <w:r>
        <w:rPr>
          <w:sz w:val="20"/>
          <w:szCs w:val="20"/>
          <w:highlight w:val="white"/>
        </w:rPr>
        <w:t xml:space="preserve"> </w:t>
      </w:r>
      <w:proofErr w:type="spellStart"/>
      <w:r>
        <w:rPr>
          <w:sz w:val="20"/>
          <w:szCs w:val="20"/>
          <w:highlight w:val="white"/>
        </w:rPr>
        <w:t>sexual</w:t>
      </w:r>
      <w:proofErr w:type="spellEnd"/>
      <w:r>
        <w:rPr>
          <w:sz w:val="20"/>
          <w:szCs w:val="20"/>
          <w:highlight w:val="white"/>
        </w:rPr>
        <w:t xml:space="preserve"> </w:t>
      </w:r>
      <w:proofErr w:type="spellStart"/>
      <w:r>
        <w:rPr>
          <w:sz w:val="20"/>
          <w:szCs w:val="20"/>
          <w:highlight w:val="white"/>
        </w:rPr>
        <w:t>abuse</w:t>
      </w:r>
      <w:proofErr w:type="spellEnd"/>
      <w:r>
        <w:rPr>
          <w:sz w:val="20"/>
          <w:szCs w:val="20"/>
          <w:highlight w:val="white"/>
        </w:rPr>
        <w:t xml:space="preserve">; 3) </w:t>
      </w:r>
      <w:proofErr w:type="spellStart"/>
      <w:r>
        <w:rPr>
          <w:sz w:val="20"/>
          <w:szCs w:val="20"/>
          <w:highlight w:val="white"/>
        </w:rPr>
        <w:t>was</w:t>
      </w:r>
      <w:proofErr w:type="spellEnd"/>
      <w:r>
        <w:rPr>
          <w:sz w:val="20"/>
          <w:szCs w:val="20"/>
          <w:highlight w:val="white"/>
        </w:rPr>
        <w:t xml:space="preserve"> </w:t>
      </w:r>
      <w:proofErr w:type="spellStart"/>
      <w:r>
        <w:rPr>
          <w:sz w:val="20"/>
          <w:szCs w:val="20"/>
          <w:highlight w:val="white"/>
        </w:rPr>
        <w:t>captured</w:t>
      </w:r>
      <w:proofErr w:type="spellEnd"/>
      <w:r>
        <w:rPr>
          <w:sz w:val="20"/>
          <w:szCs w:val="20"/>
          <w:highlight w:val="white"/>
        </w:rPr>
        <w:t xml:space="preserve"> </w:t>
      </w:r>
      <w:proofErr w:type="spellStart"/>
      <w:r>
        <w:rPr>
          <w:sz w:val="20"/>
          <w:szCs w:val="20"/>
          <w:highlight w:val="white"/>
        </w:rPr>
        <w:t>or</w:t>
      </w:r>
      <w:proofErr w:type="spellEnd"/>
      <w:r>
        <w:rPr>
          <w:sz w:val="20"/>
          <w:szCs w:val="20"/>
          <w:highlight w:val="white"/>
        </w:rPr>
        <w:t xml:space="preserve"> </w:t>
      </w:r>
      <w:proofErr w:type="spellStart"/>
      <w:r>
        <w:rPr>
          <w:sz w:val="20"/>
          <w:szCs w:val="20"/>
          <w:highlight w:val="white"/>
        </w:rPr>
        <w:t>illegally</w:t>
      </w:r>
      <w:proofErr w:type="spellEnd"/>
      <w:r>
        <w:rPr>
          <w:sz w:val="20"/>
          <w:szCs w:val="20"/>
          <w:highlight w:val="white"/>
        </w:rPr>
        <w:t xml:space="preserve"> </w:t>
      </w:r>
      <w:proofErr w:type="spellStart"/>
      <w:r>
        <w:rPr>
          <w:sz w:val="20"/>
          <w:szCs w:val="20"/>
          <w:highlight w:val="white"/>
        </w:rPr>
        <w:t>taken</w:t>
      </w:r>
      <w:proofErr w:type="spellEnd"/>
      <w:r>
        <w:rPr>
          <w:sz w:val="20"/>
          <w:szCs w:val="20"/>
          <w:highlight w:val="white"/>
        </w:rPr>
        <w:t xml:space="preserve"> </w:t>
      </w:r>
      <w:proofErr w:type="spellStart"/>
      <w:r>
        <w:rPr>
          <w:sz w:val="20"/>
          <w:szCs w:val="20"/>
          <w:highlight w:val="white"/>
        </w:rPr>
        <w:t>outside</w:t>
      </w:r>
      <w:proofErr w:type="spellEnd"/>
      <w:r>
        <w:rPr>
          <w:sz w:val="20"/>
          <w:szCs w:val="20"/>
          <w:highlight w:val="white"/>
        </w:rPr>
        <w:t xml:space="preserve"> </w:t>
      </w:r>
      <w:proofErr w:type="spellStart"/>
      <w:r>
        <w:rPr>
          <w:sz w:val="20"/>
          <w:szCs w:val="20"/>
          <w:highlight w:val="white"/>
        </w:rPr>
        <w:t>Ukraine</w:t>
      </w:r>
      <w:proofErr w:type="spellEnd"/>
      <w:r>
        <w:rPr>
          <w:sz w:val="20"/>
          <w:szCs w:val="20"/>
          <w:highlight w:val="white"/>
        </w:rPr>
        <w:t xml:space="preserve">; 4) </w:t>
      </w:r>
      <w:proofErr w:type="spellStart"/>
      <w:r>
        <w:rPr>
          <w:sz w:val="20"/>
          <w:szCs w:val="20"/>
          <w:highlight w:val="white"/>
        </w:rPr>
        <w:t>was</w:t>
      </w:r>
      <w:proofErr w:type="spellEnd"/>
      <w:r>
        <w:rPr>
          <w:sz w:val="20"/>
          <w:szCs w:val="20"/>
          <w:highlight w:val="white"/>
        </w:rPr>
        <w:t xml:space="preserve"> </w:t>
      </w:r>
      <w:proofErr w:type="spellStart"/>
      <w:r>
        <w:rPr>
          <w:sz w:val="20"/>
          <w:szCs w:val="20"/>
          <w:highlight w:val="white"/>
        </w:rPr>
        <w:t>involved</w:t>
      </w:r>
      <w:proofErr w:type="spellEnd"/>
      <w:r>
        <w:rPr>
          <w:sz w:val="20"/>
          <w:szCs w:val="20"/>
          <w:highlight w:val="white"/>
        </w:rPr>
        <w:t xml:space="preserve"> </w:t>
      </w:r>
      <w:proofErr w:type="spellStart"/>
      <w:r>
        <w:rPr>
          <w:sz w:val="20"/>
          <w:szCs w:val="20"/>
          <w:highlight w:val="white"/>
        </w:rPr>
        <w:t>in</w:t>
      </w:r>
      <w:proofErr w:type="spellEnd"/>
      <w:r>
        <w:rPr>
          <w:sz w:val="20"/>
          <w:szCs w:val="20"/>
          <w:highlight w:val="white"/>
        </w:rPr>
        <w:t xml:space="preserve"> </w:t>
      </w:r>
      <w:proofErr w:type="spellStart"/>
      <w:r>
        <w:rPr>
          <w:sz w:val="20"/>
          <w:szCs w:val="20"/>
          <w:highlight w:val="white"/>
        </w:rPr>
        <w:t>militarized</w:t>
      </w:r>
      <w:proofErr w:type="spellEnd"/>
      <w:r>
        <w:rPr>
          <w:sz w:val="20"/>
          <w:szCs w:val="20"/>
          <w:highlight w:val="white"/>
        </w:rPr>
        <w:t xml:space="preserve">  </w:t>
      </w:r>
      <w:proofErr w:type="spellStart"/>
      <w:r>
        <w:rPr>
          <w:sz w:val="20"/>
          <w:szCs w:val="20"/>
          <w:highlight w:val="white"/>
        </w:rPr>
        <w:t>activities</w:t>
      </w:r>
      <w:proofErr w:type="spellEnd"/>
      <w:r>
        <w:rPr>
          <w:sz w:val="20"/>
          <w:szCs w:val="20"/>
          <w:highlight w:val="white"/>
        </w:rPr>
        <w:t xml:space="preserve">; 5) </w:t>
      </w:r>
      <w:proofErr w:type="spellStart"/>
      <w:r>
        <w:rPr>
          <w:sz w:val="20"/>
          <w:szCs w:val="20"/>
          <w:highlight w:val="white"/>
        </w:rPr>
        <w:t>was</w:t>
      </w:r>
      <w:proofErr w:type="spellEnd"/>
      <w:r>
        <w:rPr>
          <w:sz w:val="20"/>
          <w:szCs w:val="20"/>
          <w:highlight w:val="white"/>
        </w:rPr>
        <w:t xml:space="preserve"> </w:t>
      </w:r>
      <w:proofErr w:type="spellStart"/>
      <w:r>
        <w:rPr>
          <w:sz w:val="20"/>
          <w:szCs w:val="20"/>
        </w:rPr>
        <w:t>held</w:t>
      </w:r>
      <w:proofErr w:type="spellEnd"/>
      <w:r>
        <w:rPr>
          <w:sz w:val="20"/>
          <w:szCs w:val="20"/>
        </w:rPr>
        <w:t xml:space="preserve"> </w:t>
      </w:r>
      <w:proofErr w:type="spellStart"/>
      <w:r>
        <w:rPr>
          <w:sz w:val="20"/>
          <w:szCs w:val="20"/>
        </w:rPr>
        <w:t>illegally</w:t>
      </w:r>
      <w:proofErr w:type="spellEnd"/>
      <w:r>
        <w:rPr>
          <w:sz w:val="20"/>
          <w:szCs w:val="20"/>
        </w:rPr>
        <w:t xml:space="preserve">, </w:t>
      </w:r>
      <w:proofErr w:type="spellStart"/>
      <w:r>
        <w:rPr>
          <w:sz w:val="20"/>
          <w:szCs w:val="20"/>
        </w:rPr>
        <w:t>including</w:t>
      </w:r>
      <w:proofErr w:type="spellEnd"/>
      <w:r>
        <w:rPr>
          <w:sz w:val="20"/>
          <w:szCs w:val="20"/>
        </w:rPr>
        <w:t xml:space="preserve"> </w:t>
      </w:r>
      <w:proofErr w:type="spellStart"/>
      <w:r>
        <w:rPr>
          <w:sz w:val="20"/>
          <w:szCs w:val="20"/>
        </w:rPr>
        <w:t>hostages</w:t>
      </w:r>
      <w:proofErr w:type="spellEnd"/>
      <w:r>
        <w:rPr>
          <w:sz w:val="20"/>
          <w:szCs w:val="20"/>
        </w:rPr>
        <w:t xml:space="preserve"> </w:t>
      </w:r>
      <w:proofErr w:type="spellStart"/>
      <w:r>
        <w:rPr>
          <w:sz w:val="20"/>
          <w:szCs w:val="20"/>
        </w:rPr>
        <w:t>in</w:t>
      </w:r>
      <w:proofErr w:type="spellEnd"/>
      <w:r>
        <w:rPr>
          <w:sz w:val="20"/>
          <w:szCs w:val="20"/>
        </w:rPr>
        <w:t xml:space="preserve"> </w:t>
      </w:r>
      <w:proofErr w:type="spellStart"/>
      <w:r>
        <w:rPr>
          <w:sz w:val="20"/>
          <w:szCs w:val="20"/>
        </w:rPr>
        <w:t>captivity</w:t>
      </w:r>
      <w:proofErr w:type="spellEnd"/>
      <w:r>
        <w:rPr>
          <w:sz w:val="20"/>
          <w:szCs w:val="20"/>
        </w:rPr>
        <w:t>;</w:t>
      </w:r>
      <w:r>
        <w:rPr>
          <w:sz w:val="20"/>
          <w:szCs w:val="20"/>
          <w:highlight w:val="white"/>
        </w:rPr>
        <w:t xml:space="preserve"> 6) </w:t>
      </w:r>
      <w:proofErr w:type="spellStart"/>
      <w:r>
        <w:rPr>
          <w:sz w:val="20"/>
          <w:szCs w:val="20"/>
          <w:highlight w:val="white"/>
        </w:rPr>
        <w:t>suffered</w:t>
      </w:r>
      <w:proofErr w:type="spellEnd"/>
      <w:r>
        <w:rPr>
          <w:sz w:val="20"/>
          <w:szCs w:val="20"/>
          <w:highlight w:val="white"/>
        </w:rPr>
        <w:t xml:space="preserve"> </w:t>
      </w:r>
      <w:proofErr w:type="spellStart"/>
      <w:r>
        <w:rPr>
          <w:sz w:val="20"/>
          <w:szCs w:val="20"/>
          <w:highlight w:val="white"/>
        </w:rPr>
        <w:t>psychological</w:t>
      </w:r>
      <w:proofErr w:type="spellEnd"/>
      <w:r>
        <w:rPr>
          <w:sz w:val="20"/>
          <w:szCs w:val="20"/>
          <w:highlight w:val="white"/>
        </w:rPr>
        <w:t xml:space="preserve"> </w:t>
      </w:r>
      <w:proofErr w:type="spellStart"/>
      <w:r>
        <w:rPr>
          <w:sz w:val="20"/>
          <w:szCs w:val="20"/>
          <w:highlight w:val="white"/>
        </w:rPr>
        <w:t>abuse</w:t>
      </w:r>
      <w:proofErr w:type="spellEnd"/>
      <w:r>
        <w:rPr>
          <w:sz w:val="20"/>
          <w:szCs w:val="20"/>
          <w:highlight w:val="white"/>
        </w:rPr>
        <w:t xml:space="preserve">. </w:t>
      </w:r>
      <w:proofErr w:type="spellStart"/>
      <w:r>
        <w:rPr>
          <w:sz w:val="20"/>
          <w:szCs w:val="20"/>
          <w:highlight w:val="white"/>
        </w:rPr>
        <w:t>The</w:t>
      </w:r>
      <w:proofErr w:type="spellEnd"/>
      <w:r>
        <w:rPr>
          <w:sz w:val="20"/>
          <w:szCs w:val="20"/>
          <w:highlight w:val="white"/>
        </w:rPr>
        <w:t xml:space="preserve"> </w:t>
      </w:r>
      <w:proofErr w:type="spellStart"/>
      <w:r>
        <w:rPr>
          <w:sz w:val="20"/>
          <w:szCs w:val="20"/>
          <w:highlight w:val="white"/>
        </w:rPr>
        <w:t>last</w:t>
      </w:r>
      <w:proofErr w:type="spellEnd"/>
      <w:r>
        <w:rPr>
          <w:sz w:val="20"/>
          <w:szCs w:val="20"/>
          <w:highlight w:val="white"/>
        </w:rPr>
        <w:t xml:space="preserve"> </w:t>
      </w:r>
      <w:proofErr w:type="spellStart"/>
      <w:r>
        <w:rPr>
          <w:sz w:val="20"/>
          <w:szCs w:val="20"/>
          <w:highlight w:val="white"/>
        </w:rPr>
        <w:t>ground</w:t>
      </w:r>
      <w:proofErr w:type="spellEnd"/>
      <w:r>
        <w:rPr>
          <w:sz w:val="20"/>
          <w:szCs w:val="20"/>
          <w:highlight w:val="white"/>
        </w:rPr>
        <w:t xml:space="preserve"> (</w:t>
      </w:r>
      <w:proofErr w:type="spellStart"/>
      <w:r>
        <w:rPr>
          <w:sz w:val="20"/>
          <w:szCs w:val="20"/>
          <w:highlight w:val="white"/>
        </w:rPr>
        <w:t>psychological</w:t>
      </w:r>
      <w:proofErr w:type="spellEnd"/>
      <w:r>
        <w:rPr>
          <w:sz w:val="20"/>
          <w:szCs w:val="20"/>
          <w:highlight w:val="white"/>
        </w:rPr>
        <w:t xml:space="preserve"> </w:t>
      </w:r>
      <w:proofErr w:type="spellStart"/>
      <w:r>
        <w:rPr>
          <w:sz w:val="20"/>
          <w:szCs w:val="20"/>
          <w:highlight w:val="white"/>
        </w:rPr>
        <w:t>abuse</w:t>
      </w:r>
      <w:proofErr w:type="spellEnd"/>
      <w:r>
        <w:rPr>
          <w:sz w:val="20"/>
          <w:szCs w:val="20"/>
          <w:highlight w:val="white"/>
        </w:rPr>
        <w:t xml:space="preserve">) </w:t>
      </w:r>
      <w:proofErr w:type="spellStart"/>
      <w:r>
        <w:rPr>
          <w:sz w:val="20"/>
          <w:szCs w:val="20"/>
          <w:highlight w:val="white"/>
        </w:rPr>
        <w:t>does</w:t>
      </w:r>
      <w:proofErr w:type="spellEnd"/>
      <w:r>
        <w:rPr>
          <w:sz w:val="20"/>
          <w:szCs w:val="20"/>
          <w:highlight w:val="white"/>
        </w:rPr>
        <w:t xml:space="preserve"> </w:t>
      </w:r>
      <w:proofErr w:type="spellStart"/>
      <w:r>
        <w:rPr>
          <w:sz w:val="20"/>
          <w:szCs w:val="20"/>
          <w:highlight w:val="white"/>
        </w:rPr>
        <w:t>not</w:t>
      </w:r>
      <w:proofErr w:type="spellEnd"/>
      <w:r>
        <w:rPr>
          <w:sz w:val="20"/>
          <w:szCs w:val="20"/>
          <w:highlight w:val="white"/>
        </w:rPr>
        <w:t xml:space="preserve"> </w:t>
      </w:r>
      <w:proofErr w:type="spellStart"/>
      <w:r>
        <w:rPr>
          <w:sz w:val="20"/>
          <w:szCs w:val="20"/>
          <w:highlight w:val="white"/>
        </w:rPr>
        <w:t>need</w:t>
      </w:r>
      <w:proofErr w:type="spellEnd"/>
      <w:r>
        <w:rPr>
          <w:sz w:val="20"/>
          <w:szCs w:val="20"/>
          <w:highlight w:val="white"/>
        </w:rPr>
        <w:t xml:space="preserve"> </w:t>
      </w:r>
      <w:proofErr w:type="spellStart"/>
      <w:r>
        <w:rPr>
          <w:sz w:val="20"/>
          <w:szCs w:val="20"/>
          <w:highlight w:val="white"/>
        </w:rPr>
        <w:t>to</w:t>
      </w:r>
      <w:proofErr w:type="spellEnd"/>
      <w:r>
        <w:rPr>
          <w:sz w:val="20"/>
          <w:szCs w:val="20"/>
          <w:highlight w:val="white"/>
        </w:rPr>
        <w:t xml:space="preserve"> </w:t>
      </w:r>
      <w:proofErr w:type="spellStart"/>
      <w:r>
        <w:rPr>
          <w:sz w:val="20"/>
          <w:szCs w:val="20"/>
          <w:highlight w:val="white"/>
        </w:rPr>
        <w:t>be</w:t>
      </w:r>
      <w:proofErr w:type="spellEnd"/>
      <w:r>
        <w:rPr>
          <w:sz w:val="20"/>
          <w:szCs w:val="20"/>
          <w:highlight w:val="white"/>
        </w:rPr>
        <w:t xml:space="preserve"> </w:t>
      </w:r>
      <w:proofErr w:type="spellStart"/>
      <w:r>
        <w:rPr>
          <w:sz w:val="20"/>
          <w:szCs w:val="20"/>
          <w:highlight w:val="white"/>
        </w:rPr>
        <w:t>proven</w:t>
      </w:r>
      <w:proofErr w:type="spellEnd"/>
      <w:r>
        <w:rPr>
          <w:sz w:val="20"/>
          <w:szCs w:val="20"/>
          <w:highlight w:val="white"/>
        </w:rPr>
        <w:t xml:space="preserve"> </w:t>
      </w:r>
      <w:proofErr w:type="spellStart"/>
      <w:r>
        <w:rPr>
          <w:sz w:val="20"/>
          <w:szCs w:val="20"/>
          <w:highlight w:val="white"/>
        </w:rPr>
        <w:t>and</w:t>
      </w:r>
      <w:proofErr w:type="spellEnd"/>
      <w:r>
        <w:rPr>
          <w:sz w:val="20"/>
          <w:szCs w:val="20"/>
          <w:highlight w:val="white"/>
        </w:rPr>
        <w:t xml:space="preserve"> </w:t>
      </w:r>
      <w:proofErr w:type="spellStart"/>
      <w:r>
        <w:rPr>
          <w:sz w:val="20"/>
          <w:szCs w:val="20"/>
          <w:highlight w:val="white"/>
        </w:rPr>
        <w:t>may</w:t>
      </w:r>
      <w:proofErr w:type="spellEnd"/>
      <w:r>
        <w:rPr>
          <w:sz w:val="20"/>
          <w:szCs w:val="20"/>
          <w:highlight w:val="white"/>
        </w:rPr>
        <w:t xml:space="preserve"> </w:t>
      </w:r>
      <w:proofErr w:type="spellStart"/>
      <w:r>
        <w:rPr>
          <w:sz w:val="20"/>
          <w:szCs w:val="20"/>
          <w:highlight w:val="white"/>
        </w:rPr>
        <w:t>be</w:t>
      </w:r>
      <w:proofErr w:type="spellEnd"/>
      <w:r>
        <w:rPr>
          <w:sz w:val="20"/>
          <w:szCs w:val="20"/>
          <w:highlight w:val="white"/>
        </w:rPr>
        <w:t xml:space="preserve"> a </w:t>
      </w:r>
      <w:proofErr w:type="spellStart"/>
      <w:r>
        <w:rPr>
          <w:sz w:val="20"/>
          <w:szCs w:val="20"/>
          <w:highlight w:val="white"/>
        </w:rPr>
        <w:t>result</w:t>
      </w:r>
      <w:proofErr w:type="spellEnd"/>
      <w:r>
        <w:rPr>
          <w:sz w:val="20"/>
          <w:szCs w:val="20"/>
          <w:highlight w:val="white"/>
        </w:rPr>
        <w:t xml:space="preserve"> </w:t>
      </w:r>
      <w:proofErr w:type="spellStart"/>
      <w:r>
        <w:rPr>
          <w:sz w:val="20"/>
          <w:szCs w:val="20"/>
          <w:highlight w:val="white"/>
        </w:rPr>
        <w:t>of</w:t>
      </w:r>
      <w:proofErr w:type="spellEnd"/>
      <w:r>
        <w:rPr>
          <w:sz w:val="20"/>
          <w:szCs w:val="20"/>
          <w:highlight w:val="white"/>
        </w:rPr>
        <w:t xml:space="preserve"> </w:t>
      </w:r>
      <w:proofErr w:type="spellStart"/>
      <w:r>
        <w:rPr>
          <w:sz w:val="20"/>
          <w:szCs w:val="20"/>
          <w:highlight w:val="white"/>
        </w:rPr>
        <w:t>one’s</w:t>
      </w:r>
      <w:proofErr w:type="spellEnd"/>
      <w:r>
        <w:rPr>
          <w:sz w:val="20"/>
          <w:szCs w:val="20"/>
          <w:highlight w:val="white"/>
        </w:rPr>
        <w:t xml:space="preserve"> 1) </w:t>
      </w:r>
      <w:proofErr w:type="spellStart"/>
      <w:r>
        <w:rPr>
          <w:sz w:val="20"/>
          <w:szCs w:val="20"/>
          <w:highlight w:val="white"/>
        </w:rPr>
        <w:t>accommodation</w:t>
      </w:r>
      <w:proofErr w:type="spellEnd"/>
      <w:r>
        <w:rPr>
          <w:sz w:val="20"/>
          <w:szCs w:val="20"/>
          <w:highlight w:val="white"/>
        </w:rPr>
        <w:t>/</w:t>
      </w:r>
      <w:proofErr w:type="spellStart"/>
      <w:r>
        <w:rPr>
          <w:sz w:val="20"/>
          <w:szCs w:val="20"/>
          <w:highlight w:val="white"/>
        </w:rPr>
        <w:t>stay</w:t>
      </w:r>
      <w:proofErr w:type="spellEnd"/>
      <w:r>
        <w:rPr>
          <w:sz w:val="20"/>
          <w:szCs w:val="20"/>
          <w:highlight w:val="white"/>
        </w:rPr>
        <w:t xml:space="preserve"> </w:t>
      </w:r>
      <w:proofErr w:type="spellStart"/>
      <w:r>
        <w:rPr>
          <w:sz w:val="20"/>
          <w:szCs w:val="20"/>
          <w:highlight w:val="white"/>
        </w:rPr>
        <w:t>in</w:t>
      </w:r>
      <w:proofErr w:type="spellEnd"/>
      <w:r>
        <w:rPr>
          <w:sz w:val="20"/>
          <w:szCs w:val="20"/>
          <w:highlight w:val="white"/>
        </w:rPr>
        <w:t xml:space="preserve"> </w:t>
      </w:r>
      <w:proofErr w:type="spellStart"/>
      <w:r>
        <w:rPr>
          <w:sz w:val="20"/>
          <w:szCs w:val="20"/>
          <w:highlight w:val="white"/>
        </w:rPr>
        <w:t>military</w:t>
      </w:r>
      <w:proofErr w:type="spellEnd"/>
      <w:r>
        <w:rPr>
          <w:sz w:val="20"/>
          <w:szCs w:val="20"/>
          <w:highlight w:val="white"/>
        </w:rPr>
        <w:t xml:space="preserve"> </w:t>
      </w:r>
      <w:proofErr w:type="spellStart"/>
      <w:r>
        <w:rPr>
          <w:sz w:val="20"/>
          <w:szCs w:val="20"/>
          <w:highlight w:val="white"/>
        </w:rPr>
        <w:t>action</w:t>
      </w:r>
      <w:proofErr w:type="spellEnd"/>
      <w:r>
        <w:rPr>
          <w:sz w:val="20"/>
          <w:szCs w:val="20"/>
          <w:highlight w:val="white"/>
        </w:rPr>
        <w:t xml:space="preserve">, </w:t>
      </w:r>
      <w:proofErr w:type="spellStart"/>
      <w:r>
        <w:rPr>
          <w:sz w:val="20"/>
          <w:szCs w:val="20"/>
          <w:highlight w:val="white"/>
        </w:rPr>
        <w:t>armed</w:t>
      </w:r>
      <w:proofErr w:type="spellEnd"/>
      <w:r>
        <w:rPr>
          <w:sz w:val="20"/>
          <w:szCs w:val="20"/>
          <w:highlight w:val="white"/>
        </w:rPr>
        <w:t xml:space="preserve"> </w:t>
      </w:r>
      <w:proofErr w:type="spellStart"/>
      <w:r>
        <w:rPr>
          <w:sz w:val="20"/>
          <w:szCs w:val="20"/>
          <w:highlight w:val="white"/>
        </w:rPr>
        <w:t>conflicts</w:t>
      </w:r>
      <w:proofErr w:type="spellEnd"/>
      <w:r>
        <w:rPr>
          <w:sz w:val="20"/>
          <w:szCs w:val="20"/>
          <w:highlight w:val="white"/>
        </w:rPr>
        <w:t xml:space="preserve">, </w:t>
      </w:r>
      <w:proofErr w:type="spellStart"/>
      <w:r>
        <w:rPr>
          <w:sz w:val="20"/>
          <w:szCs w:val="20"/>
          <w:highlight w:val="white"/>
        </w:rPr>
        <w:t>or</w:t>
      </w:r>
      <w:proofErr w:type="spellEnd"/>
      <w:r>
        <w:rPr>
          <w:sz w:val="20"/>
          <w:szCs w:val="20"/>
          <w:highlight w:val="white"/>
        </w:rPr>
        <w:t xml:space="preserve"> </w:t>
      </w:r>
      <w:proofErr w:type="spellStart"/>
      <w:r>
        <w:rPr>
          <w:sz w:val="20"/>
          <w:szCs w:val="20"/>
          <w:highlight w:val="white"/>
        </w:rPr>
        <w:t>temporary</w:t>
      </w:r>
      <w:proofErr w:type="spellEnd"/>
      <w:r>
        <w:rPr>
          <w:sz w:val="20"/>
          <w:szCs w:val="20"/>
          <w:highlight w:val="white"/>
        </w:rPr>
        <w:t xml:space="preserve"> </w:t>
      </w:r>
      <w:proofErr w:type="spellStart"/>
      <w:r>
        <w:rPr>
          <w:sz w:val="20"/>
          <w:szCs w:val="20"/>
          <w:highlight w:val="white"/>
        </w:rPr>
        <w:t>occupation</w:t>
      </w:r>
      <w:proofErr w:type="spellEnd"/>
      <w:r>
        <w:rPr>
          <w:sz w:val="20"/>
          <w:szCs w:val="20"/>
          <w:highlight w:val="white"/>
        </w:rPr>
        <w:t xml:space="preserve">; 2) </w:t>
      </w:r>
      <w:proofErr w:type="spellStart"/>
      <w:r>
        <w:rPr>
          <w:sz w:val="20"/>
          <w:szCs w:val="20"/>
          <w:highlight w:val="white"/>
        </w:rPr>
        <w:t>internal</w:t>
      </w:r>
      <w:proofErr w:type="spellEnd"/>
      <w:r>
        <w:rPr>
          <w:sz w:val="20"/>
          <w:szCs w:val="20"/>
          <w:highlight w:val="white"/>
        </w:rPr>
        <w:t xml:space="preserve"> </w:t>
      </w:r>
      <w:proofErr w:type="spellStart"/>
      <w:r>
        <w:rPr>
          <w:sz w:val="20"/>
          <w:szCs w:val="20"/>
          <w:highlight w:val="white"/>
        </w:rPr>
        <w:t>displacement</w:t>
      </w:r>
      <w:proofErr w:type="spellEnd"/>
      <w:r>
        <w:rPr>
          <w:sz w:val="20"/>
          <w:szCs w:val="20"/>
          <w:highlight w:val="white"/>
        </w:rPr>
        <w:t xml:space="preserve">; 3) </w:t>
      </w:r>
      <w:proofErr w:type="spellStart"/>
      <w:r>
        <w:rPr>
          <w:sz w:val="20"/>
          <w:szCs w:val="20"/>
          <w:highlight w:val="white"/>
        </w:rPr>
        <w:t>death</w:t>
      </w:r>
      <w:proofErr w:type="spellEnd"/>
      <w:r>
        <w:rPr>
          <w:sz w:val="20"/>
          <w:szCs w:val="20"/>
          <w:highlight w:val="white"/>
        </w:rPr>
        <w:t xml:space="preserve"> (</w:t>
      </w:r>
      <w:proofErr w:type="spellStart"/>
      <w:r>
        <w:rPr>
          <w:sz w:val="20"/>
          <w:szCs w:val="20"/>
          <w:highlight w:val="white"/>
        </w:rPr>
        <w:t>disappearance</w:t>
      </w:r>
      <w:proofErr w:type="spellEnd"/>
      <w:r>
        <w:rPr>
          <w:sz w:val="20"/>
          <w:szCs w:val="20"/>
          <w:highlight w:val="white"/>
        </w:rPr>
        <w:t xml:space="preserve">), </w:t>
      </w:r>
      <w:proofErr w:type="spellStart"/>
      <w:r>
        <w:rPr>
          <w:sz w:val="20"/>
          <w:szCs w:val="20"/>
          <w:highlight w:val="white"/>
        </w:rPr>
        <w:t>trapping</w:t>
      </w:r>
      <w:proofErr w:type="spellEnd"/>
      <w:r>
        <w:rPr>
          <w:sz w:val="20"/>
          <w:szCs w:val="20"/>
          <w:highlight w:val="white"/>
        </w:rPr>
        <w:t xml:space="preserve">, </w:t>
      </w:r>
      <w:proofErr w:type="spellStart"/>
      <w:r>
        <w:rPr>
          <w:sz w:val="20"/>
          <w:szCs w:val="20"/>
          <w:highlight w:val="white"/>
        </w:rPr>
        <w:t>death</w:t>
      </w:r>
      <w:proofErr w:type="spellEnd"/>
      <w:r>
        <w:rPr>
          <w:sz w:val="20"/>
          <w:szCs w:val="20"/>
          <w:highlight w:val="white"/>
        </w:rPr>
        <w:t xml:space="preserve"> </w:t>
      </w:r>
      <w:proofErr w:type="spellStart"/>
      <w:r>
        <w:rPr>
          <w:sz w:val="20"/>
          <w:szCs w:val="20"/>
          <w:highlight w:val="white"/>
        </w:rPr>
        <w:t>as</w:t>
      </w:r>
      <w:proofErr w:type="spellEnd"/>
      <w:r>
        <w:rPr>
          <w:sz w:val="20"/>
          <w:szCs w:val="20"/>
          <w:highlight w:val="white"/>
        </w:rPr>
        <w:t xml:space="preserve"> a </w:t>
      </w:r>
      <w:proofErr w:type="spellStart"/>
      <w:r>
        <w:rPr>
          <w:sz w:val="20"/>
          <w:szCs w:val="20"/>
          <w:highlight w:val="white"/>
        </w:rPr>
        <w:t>result</w:t>
      </w:r>
      <w:proofErr w:type="spellEnd"/>
      <w:r>
        <w:rPr>
          <w:sz w:val="20"/>
          <w:szCs w:val="20"/>
          <w:highlight w:val="white"/>
        </w:rPr>
        <w:t xml:space="preserve"> </w:t>
      </w:r>
      <w:proofErr w:type="spellStart"/>
      <w:r>
        <w:rPr>
          <w:sz w:val="20"/>
          <w:szCs w:val="20"/>
          <w:highlight w:val="white"/>
        </w:rPr>
        <w:t>of</w:t>
      </w:r>
      <w:proofErr w:type="spellEnd"/>
      <w:r>
        <w:rPr>
          <w:sz w:val="20"/>
          <w:szCs w:val="20"/>
          <w:highlight w:val="white"/>
        </w:rPr>
        <w:t xml:space="preserve"> </w:t>
      </w:r>
      <w:proofErr w:type="spellStart"/>
      <w:r>
        <w:rPr>
          <w:sz w:val="20"/>
          <w:szCs w:val="20"/>
          <w:highlight w:val="white"/>
        </w:rPr>
        <w:t>injury</w:t>
      </w:r>
      <w:proofErr w:type="spellEnd"/>
      <w:r>
        <w:rPr>
          <w:sz w:val="20"/>
          <w:szCs w:val="20"/>
          <w:highlight w:val="white"/>
        </w:rPr>
        <w:t xml:space="preserve">, </w:t>
      </w:r>
      <w:proofErr w:type="spellStart"/>
      <w:r>
        <w:rPr>
          <w:sz w:val="20"/>
          <w:szCs w:val="20"/>
        </w:rPr>
        <w:t>concussion</w:t>
      </w:r>
      <w:proofErr w:type="spellEnd"/>
      <w:r>
        <w:rPr>
          <w:sz w:val="20"/>
          <w:szCs w:val="20"/>
        </w:rPr>
        <w:t xml:space="preserve"> </w:t>
      </w:r>
      <w:proofErr w:type="spellStart"/>
      <w:r>
        <w:rPr>
          <w:sz w:val="20"/>
          <w:szCs w:val="20"/>
          <w:highlight w:val="white"/>
        </w:rPr>
        <w:t>or</w:t>
      </w:r>
      <w:proofErr w:type="spellEnd"/>
      <w:r>
        <w:rPr>
          <w:sz w:val="20"/>
          <w:szCs w:val="20"/>
          <w:highlight w:val="white"/>
        </w:rPr>
        <w:t xml:space="preserve"> </w:t>
      </w:r>
      <w:proofErr w:type="spellStart"/>
      <w:r>
        <w:rPr>
          <w:sz w:val="20"/>
          <w:szCs w:val="20"/>
        </w:rPr>
        <w:t>wound</w:t>
      </w:r>
      <w:proofErr w:type="spellEnd"/>
      <w:r>
        <w:rPr>
          <w:sz w:val="20"/>
          <w:szCs w:val="20"/>
          <w:highlight w:val="white"/>
        </w:rPr>
        <w:t xml:space="preserve"> </w:t>
      </w:r>
      <w:proofErr w:type="spellStart"/>
      <w:r>
        <w:rPr>
          <w:sz w:val="20"/>
          <w:szCs w:val="20"/>
          <w:highlight w:val="white"/>
        </w:rPr>
        <w:t>of</w:t>
      </w:r>
      <w:proofErr w:type="spellEnd"/>
      <w:r>
        <w:rPr>
          <w:sz w:val="20"/>
          <w:szCs w:val="20"/>
          <w:highlight w:val="white"/>
        </w:rPr>
        <w:t xml:space="preserve"> </w:t>
      </w:r>
      <w:proofErr w:type="spellStart"/>
      <w:r>
        <w:rPr>
          <w:sz w:val="20"/>
          <w:szCs w:val="20"/>
          <w:highlight w:val="white"/>
        </w:rPr>
        <w:t>parents</w:t>
      </w:r>
      <w:proofErr w:type="spellEnd"/>
      <w:r>
        <w:rPr>
          <w:sz w:val="20"/>
          <w:szCs w:val="20"/>
          <w:highlight w:val="white"/>
        </w:rPr>
        <w:t xml:space="preserve">, </w:t>
      </w:r>
      <w:proofErr w:type="spellStart"/>
      <w:r>
        <w:rPr>
          <w:sz w:val="20"/>
          <w:szCs w:val="20"/>
          <w:highlight w:val="white"/>
        </w:rPr>
        <w:t>siblings</w:t>
      </w:r>
      <w:proofErr w:type="spellEnd"/>
      <w:r>
        <w:rPr>
          <w:sz w:val="20"/>
          <w:szCs w:val="20"/>
          <w:highlight w:val="white"/>
        </w:rPr>
        <w:t xml:space="preserve">, </w:t>
      </w:r>
      <w:proofErr w:type="spellStart"/>
      <w:r>
        <w:rPr>
          <w:sz w:val="20"/>
          <w:szCs w:val="20"/>
          <w:highlight w:val="white"/>
        </w:rPr>
        <w:t>or</w:t>
      </w:r>
      <w:proofErr w:type="spellEnd"/>
      <w:r>
        <w:rPr>
          <w:sz w:val="20"/>
          <w:szCs w:val="20"/>
          <w:highlight w:val="white"/>
        </w:rPr>
        <w:t xml:space="preserve"> </w:t>
      </w:r>
      <w:proofErr w:type="spellStart"/>
      <w:r>
        <w:rPr>
          <w:sz w:val="20"/>
          <w:szCs w:val="20"/>
          <w:highlight w:val="white"/>
        </w:rPr>
        <w:t>extended</w:t>
      </w:r>
      <w:proofErr w:type="spellEnd"/>
      <w:r>
        <w:rPr>
          <w:sz w:val="20"/>
          <w:szCs w:val="20"/>
          <w:highlight w:val="white"/>
        </w:rPr>
        <w:t xml:space="preserve"> </w:t>
      </w:r>
      <w:proofErr w:type="spellStart"/>
      <w:r>
        <w:rPr>
          <w:sz w:val="20"/>
          <w:szCs w:val="20"/>
          <w:highlight w:val="white"/>
        </w:rPr>
        <w:t>family</w:t>
      </w:r>
      <w:proofErr w:type="spellEnd"/>
      <w:r>
        <w:rPr>
          <w:sz w:val="20"/>
          <w:szCs w:val="20"/>
          <w:highlight w:val="white"/>
        </w:rPr>
        <w:t xml:space="preserve"> </w:t>
      </w:r>
      <w:proofErr w:type="spellStart"/>
      <w:r>
        <w:rPr>
          <w:sz w:val="20"/>
          <w:szCs w:val="20"/>
          <w:highlight w:val="white"/>
        </w:rPr>
        <w:t>member</w:t>
      </w:r>
      <w:proofErr w:type="spellEnd"/>
    </w:p>
  </w:footnote>
  <w:footnote w:id="35">
    <w:p w14:paraId="5F122FC1" w14:textId="77777777" w:rsidR="008E3F16" w:rsidRDefault="00F95A32">
      <w:pPr>
        <w:spacing w:line="240" w:lineRule="auto"/>
      </w:pPr>
      <w:r>
        <w:rPr>
          <w:vertAlign w:val="superscript"/>
        </w:rPr>
        <w:footnoteRef/>
      </w:r>
      <w:r>
        <w:rPr>
          <w:sz w:val="20"/>
          <w:szCs w:val="20"/>
        </w:rPr>
        <w:t xml:space="preserve"> </w:t>
      </w:r>
      <w:proofErr w:type="spellStart"/>
      <w:r>
        <w:rPr>
          <w:sz w:val="20"/>
          <w:szCs w:val="20"/>
        </w:rPr>
        <w:t>In</w:t>
      </w:r>
      <w:proofErr w:type="spellEnd"/>
      <w:r>
        <w:rPr>
          <w:sz w:val="20"/>
          <w:szCs w:val="20"/>
        </w:rPr>
        <w:t xml:space="preserve"> 2019, </w:t>
      </w:r>
      <w:proofErr w:type="spellStart"/>
      <w:r>
        <w:rPr>
          <w:sz w:val="20"/>
          <w:szCs w:val="20"/>
        </w:rPr>
        <w:t>Stabilization</w:t>
      </w:r>
      <w:proofErr w:type="spellEnd"/>
      <w:r>
        <w:rPr>
          <w:sz w:val="20"/>
          <w:szCs w:val="20"/>
        </w:rPr>
        <w:t xml:space="preserve"> </w:t>
      </w:r>
      <w:proofErr w:type="spellStart"/>
      <w:r>
        <w:rPr>
          <w:sz w:val="20"/>
          <w:szCs w:val="20"/>
        </w:rPr>
        <w:t>Support</w:t>
      </w:r>
      <w:proofErr w:type="spellEnd"/>
      <w:r>
        <w:rPr>
          <w:sz w:val="20"/>
          <w:szCs w:val="20"/>
        </w:rPr>
        <w:t xml:space="preserve"> </w:t>
      </w:r>
      <w:proofErr w:type="spellStart"/>
      <w:r>
        <w:rPr>
          <w:sz w:val="20"/>
          <w:szCs w:val="20"/>
        </w:rPr>
        <w:t>Services</w:t>
      </w:r>
      <w:proofErr w:type="spellEnd"/>
      <w:r>
        <w:rPr>
          <w:sz w:val="20"/>
          <w:szCs w:val="20"/>
        </w:rPr>
        <w:t xml:space="preserve"> </w:t>
      </w:r>
      <w:proofErr w:type="spellStart"/>
      <w:r>
        <w:rPr>
          <w:sz w:val="20"/>
          <w:szCs w:val="20"/>
        </w:rPr>
        <w:t>prepared</w:t>
      </w:r>
      <w:proofErr w:type="spellEnd"/>
      <w:r>
        <w:rPr>
          <w:sz w:val="20"/>
          <w:szCs w:val="20"/>
        </w:rPr>
        <w:t xml:space="preserve"> a </w:t>
      </w:r>
      <w:proofErr w:type="spellStart"/>
      <w:r>
        <w:rPr>
          <w:sz w:val="20"/>
          <w:szCs w:val="20"/>
        </w:rPr>
        <w:t>report</w:t>
      </w:r>
      <w:proofErr w:type="spellEnd"/>
      <w:r>
        <w:rPr>
          <w:sz w:val="20"/>
          <w:szCs w:val="20"/>
        </w:rPr>
        <w:t xml:space="preserve"> </w:t>
      </w:r>
      <w:proofErr w:type="spellStart"/>
      <w:r>
        <w:rPr>
          <w:sz w:val="20"/>
          <w:szCs w:val="20"/>
        </w:rPr>
        <w:t>on</w:t>
      </w:r>
      <w:proofErr w:type="spellEnd"/>
      <w:r>
        <w:rPr>
          <w:sz w:val="20"/>
          <w:szCs w:val="20"/>
        </w:rPr>
        <w:t xml:space="preserve"> </w:t>
      </w:r>
      <w:proofErr w:type="spellStart"/>
      <w:r>
        <w:rPr>
          <w:sz w:val="20"/>
          <w:szCs w:val="20"/>
        </w:rPr>
        <w:t>Ukrainian</w:t>
      </w:r>
      <w:proofErr w:type="spellEnd"/>
      <w:r>
        <w:rPr>
          <w:sz w:val="20"/>
          <w:szCs w:val="20"/>
        </w:rPr>
        <w:t xml:space="preserve"> </w:t>
      </w:r>
      <w:proofErr w:type="spellStart"/>
      <w:r>
        <w:rPr>
          <w:sz w:val="20"/>
          <w:szCs w:val="20"/>
        </w:rPr>
        <w:t>children</w:t>
      </w:r>
      <w:proofErr w:type="spellEnd"/>
      <w:r>
        <w:rPr>
          <w:sz w:val="20"/>
          <w:szCs w:val="20"/>
        </w:rPr>
        <w:t xml:space="preserve"> </w:t>
      </w:r>
      <w:proofErr w:type="spellStart"/>
      <w:r>
        <w:rPr>
          <w:sz w:val="20"/>
          <w:szCs w:val="20"/>
        </w:rPr>
        <w:t>affected</w:t>
      </w:r>
      <w:proofErr w:type="spellEnd"/>
      <w:r>
        <w:rPr>
          <w:sz w:val="20"/>
          <w:szCs w:val="20"/>
        </w:rPr>
        <w:t xml:space="preserve"> </w:t>
      </w:r>
      <w:proofErr w:type="spellStart"/>
      <w:r>
        <w:rPr>
          <w:sz w:val="20"/>
          <w:szCs w:val="20"/>
        </w:rPr>
        <w:t>by</w:t>
      </w:r>
      <w:proofErr w:type="spellEnd"/>
      <w:r>
        <w:rPr>
          <w:sz w:val="20"/>
          <w:szCs w:val="20"/>
        </w:rPr>
        <w:t xml:space="preserve"> </w:t>
      </w:r>
      <w:proofErr w:type="spellStart"/>
      <w:r>
        <w:rPr>
          <w:sz w:val="20"/>
          <w:szCs w:val="20"/>
        </w:rPr>
        <w:t>the</w:t>
      </w:r>
      <w:proofErr w:type="spellEnd"/>
      <w:r>
        <w:rPr>
          <w:sz w:val="20"/>
          <w:szCs w:val="20"/>
        </w:rPr>
        <w:t xml:space="preserve"> </w:t>
      </w:r>
      <w:proofErr w:type="spellStart"/>
      <w:r>
        <w:rPr>
          <w:sz w:val="20"/>
          <w:szCs w:val="20"/>
        </w:rPr>
        <w:t>conflict</w:t>
      </w:r>
      <w:proofErr w:type="spellEnd"/>
      <w:r>
        <w:rPr>
          <w:sz w:val="20"/>
          <w:szCs w:val="20"/>
        </w:rPr>
        <w:t xml:space="preserve">: </w:t>
      </w:r>
      <w:hyperlink r:id="rId14" w:history="1">
        <w:r>
          <w:rPr>
            <w:color w:val="1155CC"/>
            <w:sz w:val="20"/>
            <w:szCs w:val="20"/>
            <w:u w:val="single"/>
          </w:rPr>
          <w:t>https://radnyk.org/wp-content/uploads/2019/10/Doslidnyczkyj-zvit-Dity-yakyh-torknuvsya-zbrojnyj-konflikt-v-Ukrayini-.pdf</w:t>
        </w:r>
      </w:hyperlink>
      <w:r>
        <w:rPr>
          <w:sz w:val="20"/>
          <w:szCs w:val="20"/>
        </w:rPr>
        <w:t xml:space="preserve"> </w:t>
      </w:r>
    </w:p>
  </w:footnote>
  <w:footnote w:id="36">
    <w:p w14:paraId="57BEFB6B" w14:textId="77777777" w:rsidR="008E3F16" w:rsidRDefault="00F95A32">
      <w:pPr>
        <w:spacing w:line="240" w:lineRule="auto"/>
      </w:pPr>
      <w:r>
        <w:rPr>
          <w:vertAlign w:val="superscript"/>
        </w:rPr>
        <w:footnoteRef/>
      </w:r>
      <w:r>
        <w:rPr>
          <w:sz w:val="20"/>
          <w:szCs w:val="20"/>
        </w:rPr>
        <w:t xml:space="preserve"> </w:t>
      </w:r>
      <w:r>
        <w:rPr>
          <w:sz w:val="20"/>
          <w:szCs w:val="20"/>
        </w:rPr>
        <w:t xml:space="preserve">CMU </w:t>
      </w:r>
      <w:proofErr w:type="spellStart"/>
      <w:r>
        <w:rPr>
          <w:sz w:val="20"/>
          <w:szCs w:val="20"/>
        </w:rPr>
        <w:t>Resolution</w:t>
      </w:r>
      <w:proofErr w:type="spellEnd"/>
      <w:r>
        <w:rPr>
          <w:sz w:val="20"/>
          <w:szCs w:val="20"/>
        </w:rPr>
        <w:t xml:space="preserve"> 1112 </w:t>
      </w:r>
      <w:proofErr w:type="spellStart"/>
      <w:r>
        <w:rPr>
          <w:sz w:val="20"/>
          <w:szCs w:val="20"/>
        </w:rPr>
        <w:t>of</w:t>
      </w:r>
      <w:proofErr w:type="spellEnd"/>
      <w:r>
        <w:rPr>
          <w:sz w:val="20"/>
          <w:szCs w:val="20"/>
        </w:rPr>
        <w:t xml:space="preserve"> 11 </w:t>
      </w:r>
      <w:proofErr w:type="spellStart"/>
      <w:r>
        <w:rPr>
          <w:sz w:val="20"/>
          <w:szCs w:val="20"/>
        </w:rPr>
        <w:t>December</w:t>
      </w:r>
      <w:proofErr w:type="spellEnd"/>
      <w:r>
        <w:rPr>
          <w:sz w:val="20"/>
          <w:szCs w:val="20"/>
        </w:rPr>
        <w:t xml:space="preserve"> 2019 “</w:t>
      </w:r>
      <w:proofErr w:type="spellStart"/>
      <w:r>
        <w:rPr>
          <w:sz w:val="20"/>
          <w:szCs w:val="20"/>
        </w:rPr>
        <w:t>Certain</w:t>
      </w:r>
      <w:proofErr w:type="spellEnd"/>
      <w:r>
        <w:rPr>
          <w:sz w:val="20"/>
          <w:szCs w:val="20"/>
        </w:rPr>
        <w:t xml:space="preserve"> </w:t>
      </w:r>
      <w:proofErr w:type="spellStart"/>
      <w:r>
        <w:rPr>
          <w:sz w:val="20"/>
          <w:szCs w:val="20"/>
        </w:rPr>
        <w:t>Issues</w:t>
      </w:r>
      <w:proofErr w:type="spellEnd"/>
      <w:r>
        <w:rPr>
          <w:sz w:val="20"/>
          <w:szCs w:val="20"/>
        </w:rPr>
        <w:t xml:space="preserve"> </w:t>
      </w:r>
      <w:proofErr w:type="spellStart"/>
      <w:r>
        <w:rPr>
          <w:sz w:val="20"/>
          <w:szCs w:val="20"/>
        </w:rPr>
        <w:t>Related</w:t>
      </w:r>
      <w:proofErr w:type="spellEnd"/>
      <w:r>
        <w:rPr>
          <w:sz w:val="20"/>
          <w:szCs w:val="20"/>
        </w:rPr>
        <w:t xml:space="preserve"> </w:t>
      </w:r>
      <w:proofErr w:type="spellStart"/>
      <w:r>
        <w:rPr>
          <w:sz w:val="20"/>
          <w:szCs w:val="20"/>
        </w:rPr>
        <w:t>to</w:t>
      </w:r>
      <w:proofErr w:type="spellEnd"/>
      <w:r>
        <w:rPr>
          <w:sz w:val="20"/>
          <w:szCs w:val="20"/>
        </w:rPr>
        <w:t xml:space="preserve"> </w:t>
      </w:r>
      <w:proofErr w:type="spellStart"/>
      <w:r>
        <w:rPr>
          <w:sz w:val="20"/>
          <w:szCs w:val="20"/>
        </w:rPr>
        <w:t>Social</w:t>
      </w:r>
      <w:proofErr w:type="spellEnd"/>
      <w:r>
        <w:rPr>
          <w:sz w:val="20"/>
          <w:szCs w:val="20"/>
        </w:rPr>
        <w:t xml:space="preserve"> </w:t>
      </w:r>
      <w:proofErr w:type="spellStart"/>
      <w:r>
        <w:rPr>
          <w:sz w:val="20"/>
          <w:szCs w:val="20"/>
        </w:rPr>
        <w:t>and</w:t>
      </w:r>
      <w:proofErr w:type="spellEnd"/>
      <w:r>
        <w:rPr>
          <w:sz w:val="20"/>
          <w:szCs w:val="20"/>
        </w:rPr>
        <w:t xml:space="preserve"> </w:t>
      </w:r>
      <w:proofErr w:type="spellStart"/>
      <w:r>
        <w:rPr>
          <w:sz w:val="20"/>
          <w:szCs w:val="20"/>
        </w:rPr>
        <w:t>Legal</w:t>
      </w:r>
      <w:proofErr w:type="spellEnd"/>
      <w:r>
        <w:rPr>
          <w:sz w:val="20"/>
          <w:szCs w:val="20"/>
        </w:rPr>
        <w:t xml:space="preserve"> </w:t>
      </w:r>
      <w:proofErr w:type="spellStart"/>
      <w:r>
        <w:rPr>
          <w:sz w:val="20"/>
          <w:szCs w:val="20"/>
        </w:rPr>
        <w:t>Protection</w:t>
      </w:r>
      <w:proofErr w:type="spellEnd"/>
      <w:r>
        <w:rPr>
          <w:sz w:val="20"/>
          <w:szCs w:val="20"/>
        </w:rPr>
        <w:t xml:space="preserve"> </w:t>
      </w:r>
      <w:proofErr w:type="spellStart"/>
      <w:r>
        <w:rPr>
          <w:sz w:val="20"/>
          <w:szCs w:val="20"/>
        </w:rPr>
        <w:t>of</w:t>
      </w:r>
      <w:proofErr w:type="spellEnd"/>
      <w:r>
        <w:rPr>
          <w:sz w:val="20"/>
          <w:szCs w:val="20"/>
        </w:rPr>
        <w:t xml:space="preserve"> </w:t>
      </w:r>
      <w:proofErr w:type="spellStart"/>
      <w:r>
        <w:rPr>
          <w:sz w:val="20"/>
          <w:szCs w:val="20"/>
        </w:rPr>
        <w:t>Persons</w:t>
      </w:r>
      <w:proofErr w:type="spellEnd"/>
      <w:r>
        <w:rPr>
          <w:sz w:val="20"/>
          <w:szCs w:val="20"/>
        </w:rPr>
        <w:t xml:space="preserve"> </w:t>
      </w:r>
      <w:proofErr w:type="spellStart"/>
      <w:r>
        <w:rPr>
          <w:sz w:val="20"/>
          <w:szCs w:val="20"/>
        </w:rPr>
        <w:t>Imprisoned</w:t>
      </w:r>
      <w:proofErr w:type="spellEnd"/>
      <w:r>
        <w:rPr>
          <w:sz w:val="20"/>
          <w:szCs w:val="20"/>
        </w:rPr>
        <w:t xml:space="preserve"> </w:t>
      </w:r>
      <w:proofErr w:type="spellStart"/>
      <w:r>
        <w:rPr>
          <w:sz w:val="20"/>
          <w:szCs w:val="20"/>
        </w:rPr>
        <w:t>as</w:t>
      </w:r>
      <w:proofErr w:type="spellEnd"/>
      <w:r>
        <w:rPr>
          <w:sz w:val="20"/>
          <w:szCs w:val="20"/>
        </w:rPr>
        <w:t xml:space="preserve"> a </w:t>
      </w:r>
      <w:proofErr w:type="spellStart"/>
      <w:r>
        <w:rPr>
          <w:sz w:val="20"/>
          <w:szCs w:val="20"/>
        </w:rPr>
        <w:t>Result</w:t>
      </w:r>
      <w:proofErr w:type="spellEnd"/>
      <w:r>
        <w:rPr>
          <w:sz w:val="20"/>
          <w:szCs w:val="20"/>
        </w:rPr>
        <w:t xml:space="preserve"> </w:t>
      </w:r>
      <w:proofErr w:type="spellStart"/>
      <w:r>
        <w:rPr>
          <w:sz w:val="20"/>
          <w:szCs w:val="20"/>
        </w:rPr>
        <w:t>of</w:t>
      </w:r>
      <w:proofErr w:type="spellEnd"/>
      <w:r>
        <w:rPr>
          <w:sz w:val="20"/>
          <w:szCs w:val="20"/>
        </w:rPr>
        <w:t xml:space="preserve"> </w:t>
      </w:r>
      <w:proofErr w:type="spellStart"/>
      <w:r>
        <w:rPr>
          <w:sz w:val="20"/>
          <w:szCs w:val="20"/>
        </w:rPr>
        <w:t>the</w:t>
      </w:r>
      <w:proofErr w:type="spellEnd"/>
      <w:r>
        <w:rPr>
          <w:sz w:val="20"/>
          <w:szCs w:val="20"/>
        </w:rPr>
        <w:t xml:space="preserve"> </w:t>
      </w:r>
      <w:proofErr w:type="spellStart"/>
      <w:r>
        <w:rPr>
          <w:sz w:val="20"/>
          <w:szCs w:val="20"/>
        </w:rPr>
        <w:t>Armed</w:t>
      </w:r>
      <w:proofErr w:type="spellEnd"/>
      <w:r>
        <w:rPr>
          <w:sz w:val="20"/>
          <w:szCs w:val="20"/>
        </w:rPr>
        <w:t xml:space="preserve"> </w:t>
      </w:r>
      <w:proofErr w:type="spellStart"/>
      <w:r>
        <w:rPr>
          <w:sz w:val="20"/>
          <w:szCs w:val="20"/>
        </w:rPr>
        <w:t>Aggression</w:t>
      </w:r>
      <w:proofErr w:type="spellEnd"/>
      <w:r>
        <w:rPr>
          <w:sz w:val="20"/>
          <w:szCs w:val="20"/>
        </w:rPr>
        <w:t xml:space="preserve"> </w:t>
      </w:r>
      <w:proofErr w:type="spellStart"/>
      <w:r>
        <w:rPr>
          <w:sz w:val="20"/>
          <w:szCs w:val="20"/>
        </w:rPr>
        <w:t>Against</w:t>
      </w:r>
      <w:proofErr w:type="spellEnd"/>
      <w:r>
        <w:rPr>
          <w:sz w:val="20"/>
          <w:szCs w:val="20"/>
        </w:rPr>
        <w:t xml:space="preserve"> </w:t>
      </w:r>
      <w:proofErr w:type="spellStart"/>
      <w:r>
        <w:rPr>
          <w:sz w:val="20"/>
          <w:szCs w:val="20"/>
        </w:rPr>
        <w:t>Ukraine</w:t>
      </w:r>
      <w:proofErr w:type="spellEnd"/>
      <w:r>
        <w:rPr>
          <w:sz w:val="20"/>
          <w:szCs w:val="20"/>
        </w:rPr>
        <w:t xml:space="preserve"> </w:t>
      </w:r>
      <w:proofErr w:type="spellStart"/>
      <w:r>
        <w:rPr>
          <w:sz w:val="20"/>
          <w:szCs w:val="20"/>
        </w:rPr>
        <w:t>after</w:t>
      </w:r>
      <w:proofErr w:type="spellEnd"/>
      <w:r>
        <w:rPr>
          <w:sz w:val="20"/>
          <w:szCs w:val="20"/>
        </w:rPr>
        <w:t xml:space="preserve"> </w:t>
      </w:r>
      <w:proofErr w:type="spellStart"/>
      <w:r>
        <w:rPr>
          <w:sz w:val="20"/>
          <w:szCs w:val="20"/>
        </w:rPr>
        <w:t>Their</w:t>
      </w:r>
      <w:proofErr w:type="spellEnd"/>
      <w:r>
        <w:rPr>
          <w:sz w:val="20"/>
          <w:szCs w:val="20"/>
        </w:rPr>
        <w:t xml:space="preserve"> </w:t>
      </w:r>
      <w:proofErr w:type="spellStart"/>
      <w:r>
        <w:rPr>
          <w:sz w:val="20"/>
          <w:szCs w:val="20"/>
        </w:rPr>
        <w:t>Release</w:t>
      </w:r>
      <w:proofErr w:type="spellEnd"/>
      <w:r>
        <w:rPr>
          <w:sz w:val="20"/>
          <w:szCs w:val="20"/>
        </w:rPr>
        <w:t>”</w:t>
      </w:r>
    </w:p>
  </w:footnote>
  <w:footnote w:id="37">
    <w:p w14:paraId="54C01ED2" w14:textId="77777777" w:rsidR="008E3F16" w:rsidRDefault="00F95A32">
      <w:pPr>
        <w:spacing w:line="240" w:lineRule="auto"/>
      </w:pPr>
      <w:r>
        <w:rPr>
          <w:vertAlign w:val="superscript"/>
        </w:rPr>
        <w:footnoteRef/>
      </w:r>
      <w:r>
        <w:rPr>
          <w:sz w:val="20"/>
          <w:szCs w:val="20"/>
        </w:rPr>
        <w:t xml:space="preserve"> </w:t>
      </w:r>
      <w:hyperlink r:id="rId15" w:history="1">
        <w:r>
          <w:rPr>
            <w:color w:val="1155CC"/>
            <w:sz w:val="20"/>
            <w:szCs w:val="20"/>
            <w:u w:val="single"/>
          </w:rPr>
          <w:t>https://crimeahrg.org/en/no-ukrainian-language-media-school-has-remained-in-crimea/</w:t>
        </w:r>
      </w:hyperlink>
      <w:r>
        <w:rPr>
          <w:sz w:val="20"/>
          <w:szCs w:val="20"/>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66089"/>
    <w:multiLevelType w:val="hybridMultilevel"/>
    <w:tmpl w:val="8C1CA298"/>
    <w:lvl w:ilvl="0" w:tplc="3D4E5C52">
      <w:start w:val="1"/>
      <w:numFmt w:val="decimal"/>
      <w:lvlText w:val="%1."/>
      <w:lvlJc w:val="left"/>
      <w:pPr>
        <w:ind w:left="720" w:hanging="360"/>
      </w:pPr>
      <w:rPr>
        <w:u w:val="none"/>
      </w:rPr>
    </w:lvl>
    <w:lvl w:ilvl="1" w:tplc="11845ABC">
      <w:start w:val="1"/>
      <w:numFmt w:val="bullet"/>
      <w:lvlText w:val="○"/>
      <w:lvlJc w:val="left"/>
      <w:pPr>
        <w:ind w:left="1440" w:hanging="360"/>
      </w:pPr>
      <w:rPr>
        <w:u w:val="none"/>
      </w:rPr>
    </w:lvl>
    <w:lvl w:ilvl="2" w:tplc="46048078">
      <w:start w:val="1"/>
      <w:numFmt w:val="bullet"/>
      <w:lvlText w:val="■"/>
      <w:lvlJc w:val="left"/>
      <w:pPr>
        <w:ind w:left="2160" w:hanging="360"/>
      </w:pPr>
      <w:rPr>
        <w:u w:val="none"/>
      </w:rPr>
    </w:lvl>
    <w:lvl w:ilvl="3" w:tplc="DCC050E6">
      <w:start w:val="1"/>
      <w:numFmt w:val="bullet"/>
      <w:lvlText w:val="●"/>
      <w:lvlJc w:val="left"/>
      <w:pPr>
        <w:ind w:left="2880" w:hanging="360"/>
      </w:pPr>
      <w:rPr>
        <w:u w:val="none"/>
      </w:rPr>
    </w:lvl>
    <w:lvl w:ilvl="4" w:tplc="20966610">
      <w:start w:val="1"/>
      <w:numFmt w:val="bullet"/>
      <w:lvlText w:val="○"/>
      <w:lvlJc w:val="left"/>
      <w:pPr>
        <w:ind w:left="3600" w:hanging="360"/>
      </w:pPr>
      <w:rPr>
        <w:u w:val="none"/>
      </w:rPr>
    </w:lvl>
    <w:lvl w:ilvl="5" w:tplc="11926098">
      <w:start w:val="1"/>
      <w:numFmt w:val="bullet"/>
      <w:lvlText w:val="■"/>
      <w:lvlJc w:val="left"/>
      <w:pPr>
        <w:ind w:left="4320" w:hanging="360"/>
      </w:pPr>
      <w:rPr>
        <w:u w:val="none"/>
      </w:rPr>
    </w:lvl>
    <w:lvl w:ilvl="6" w:tplc="1452D15C">
      <w:start w:val="1"/>
      <w:numFmt w:val="bullet"/>
      <w:lvlText w:val="●"/>
      <w:lvlJc w:val="left"/>
      <w:pPr>
        <w:ind w:left="5040" w:hanging="360"/>
      </w:pPr>
      <w:rPr>
        <w:u w:val="none"/>
      </w:rPr>
    </w:lvl>
    <w:lvl w:ilvl="7" w:tplc="50785E5A">
      <w:start w:val="1"/>
      <w:numFmt w:val="bullet"/>
      <w:lvlText w:val="○"/>
      <w:lvlJc w:val="left"/>
      <w:pPr>
        <w:ind w:left="5760" w:hanging="360"/>
      </w:pPr>
      <w:rPr>
        <w:u w:val="none"/>
      </w:rPr>
    </w:lvl>
    <w:lvl w:ilvl="8" w:tplc="2A2053A4">
      <w:start w:val="1"/>
      <w:numFmt w:val="bullet"/>
      <w:lvlText w:val="■"/>
      <w:lvlJc w:val="left"/>
      <w:pPr>
        <w:ind w:left="6480" w:hanging="360"/>
      </w:pPr>
      <w:rPr>
        <w:u w:val="none"/>
      </w:rPr>
    </w:lvl>
  </w:abstractNum>
  <w:abstractNum w:abstractNumId="1" w15:restartNumberingAfterBreak="0">
    <w:nsid w:val="1A7B1535"/>
    <w:multiLevelType w:val="hybridMultilevel"/>
    <w:tmpl w:val="85C8D064"/>
    <w:lvl w:ilvl="0" w:tplc="44C0010E">
      <w:start w:val="1"/>
      <w:numFmt w:val="decimal"/>
      <w:lvlText w:val="%1."/>
      <w:lvlJc w:val="left"/>
      <w:pPr>
        <w:ind w:left="720" w:hanging="360"/>
      </w:pPr>
      <w:rPr>
        <w:u w:val="none"/>
      </w:rPr>
    </w:lvl>
    <w:lvl w:ilvl="1" w:tplc="F5B2374C">
      <w:start w:val="1"/>
      <w:numFmt w:val="bullet"/>
      <w:lvlText w:val="○"/>
      <w:lvlJc w:val="left"/>
      <w:pPr>
        <w:ind w:left="1440" w:hanging="360"/>
      </w:pPr>
      <w:rPr>
        <w:u w:val="none"/>
      </w:rPr>
    </w:lvl>
    <w:lvl w:ilvl="2" w:tplc="E89E8F7E">
      <w:start w:val="1"/>
      <w:numFmt w:val="bullet"/>
      <w:lvlText w:val="■"/>
      <w:lvlJc w:val="left"/>
      <w:pPr>
        <w:ind w:left="2160" w:hanging="360"/>
      </w:pPr>
      <w:rPr>
        <w:u w:val="none"/>
      </w:rPr>
    </w:lvl>
    <w:lvl w:ilvl="3" w:tplc="51BE393E">
      <w:start w:val="1"/>
      <w:numFmt w:val="bullet"/>
      <w:lvlText w:val="●"/>
      <w:lvlJc w:val="left"/>
      <w:pPr>
        <w:ind w:left="2880" w:hanging="360"/>
      </w:pPr>
      <w:rPr>
        <w:u w:val="none"/>
      </w:rPr>
    </w:lvl>
    <w:lvl w:ilvl="4" w:tplc="7ED42558">
      <w:start w:val="1"/>
      <w:numFmt w:val="bullet"/>
      <w:lvlText w:val="○"/>
      <w:lvlJc w:val="left"/>
      <w:pPr>
        <w:ind w:left="3600" w:hanging="360"/>
      </w:pPr>
      <w:rPr>
        <w:u w:val="none"/>
      </w:rPr>
    </w:lvl>
    <w:lvl w:ilvl="5" w:tplc="263E94A8">
      <w:start w:val="1"/>
      <w:numFmt w:val="bullet"/>
      <w:lvlText w:val="■"/>
      <w:lvlJc w:val="left"/>
      <w:pPr>
        <w:ind w:left="4320" w:hanging="360"/>
      </w:pPr>
      <w:rPr>
        <w:u w:val="none"/>
      </w:rPr>
    </w:lvl>
    <w:lvl w:ilvl="6" w:tplc="6492BA70">
      <w:start w:val="1"/>
      <w:numFmt w:val="bullet"/>
      <w:lvlText w:val="●"/>
      <w:lvlJc w:val="left"/>
      <w:pPr>
        <w:ind w:left="5040" w:hanging="360"/>
      </w:pPr>
      <w:rPr>
        <w:u w:val="none"/>
      </w:rPr>
    </w:lvl>
    <w:lvl w:ilvl="7" w:tplc="F87C6D70">
      <w:start w:val="1"/>
      <w:numFmt w:val="bullet"/>
      <w:lvlText w:val="○"/>
      <w:lvlJc w:val="left"/>
      <w:pPr>
        <w:ind w:left="5760" w:hanging="360"/>
      </w:pPr>
      <w:rPr>
        <w:u w:val="none"/>
      </w:rPr>
    </w:lvl>
    <w:lvl w:ilvl="8" w:tplc="DA3A84A0">
      <w:start w:val="1"/>
      <w:numFmt w:val="bullet"/>
      <w:lvlText w:val="■"/>
      <w:lvlJc w:val="left"/>
      <w:pPr>
        <w:ind w:left="6480" w:hanging="360"/>
      </w:pPr>
      <w:rPr>
        <w:u w:val="none"/>
      </w:rPr>
    </w:lvl>
  </w:abstractNum>
  <w:abstractNum w:abstractNumId="2" w15:restartNumberingAfterBreak="0">
    <w:nsid w:val="24341CEB"/>
    <w:multiLevelType w:val="hybridMultilevel"/>
    <w:tmpl w:val="504AAD6C"/>
    <w:lvl w:ilvl="0" w:tplc="AD5E69B4">
      <w:start w:val="1"/>
      <w:numFmt w:val="bullet"/>
      <w:lvlText w:val="-"/>
      <w:lvlJc w:val="left"/>
      <w:pPr>
        <w:ind w:left="720" w:hanging="360"/>
      </w:pPr>
      <w:rPr>
        <w:u w:val="none"/>
      </w:rPr>
    </w:lvl>
    <w:lvl w:ilvl="1" w:tplc="9F7A981C">
      <w:start w:val="1"/>
      <w:numFmt w:val="bullet"/>
      <w:lvlText w:val="-"/>
      <w:lvlJc w:val="left"/>
      <w:pPr>
        <w:ind w:left="1440" w:hanging="360"/>
      </w:pPr>
      <w:rPr>
        <w:u w:val="none"/>
      </w:rPr>
    </w:lvl>
    <w:lvl w:ilvl="2" w:tplc="F190B876">
      <w:start w:val="1"/>
      <w:numFmt w:val="bullet"/>
      <w:lvlText w:val="-"/>
      <w:lvlJc w:val="left"/>
      <w:pPr>
        <w:ind w:left="2160" w:hanging="360"/>
      </w:pPr>
      <w:rPr>
        <w:u w:val="none"/>
      </w:rPr>
    </w:lvl>
    <w:lvl w:ilvl="3" w:tplc="3F425C70">
      <w:start w:val="1"/>
      <w:numFmt w:val="bullet"/>
      <w:lvlText w:val="-"/>
      <w:lvlJc w:val="left"/>
      <w:pPr>
        <w:ind w:left="2880" w:hanging="360"/>
      </w:pPr>
      <w:rPr>
        <w:u w:val="none"/>
      </w:rPr>
    </w:lvl>
    <w:lvl w:ilvl="4" w:tplc="BADC07F6">
      <w:start w:val="1"/>
      <w:numFmt w:val="bullet"/>
      <w:lvlText w:val="-"/>
      <w:lvlJc w:val="left"/>
      <w:pPr>
        <w:ind w:left="3600" w:hanging="360"/>
      </w:pPr>
      <w:rPr>
        <w:u w:val="none"/>
      </w:rPr>
    </w:lvl>
    <w:lvl w:ilvl="5" w:tplc="EC9A671C">
      <w:start w:val="1"/>
      <w:numFmt w:val="bullet"/>
      <w:lvlText w:val="-"/>
      <w:lvlJc w:val="left"/>
      <w:pPr>
        <w:ind w:left="4320" w:hanging="360"/>
      </w:pPr>
      <w:rPr>
        <w:u w:val="none"/>
      </w:rPr>
    </w:lvl>
    <w:lvl w:ilvl="6" w:tplc="332EE058">
      <w:start w:val="1"/>
      <w:numFmt w:val="bullet"/>
      <w:lvlText w:val="-"/>
      <w:lvlJc w:val="left"/>
      <w:pPr>
        <w:ind w:left="5040" w:hanging="360"/>
      </w:pPr>
      <w:rPr>
        <w:u w:val="none"/>
      </w:rPr>
    </w:lvl>
    <w:lvl w:ilvl="7" w:tplc="0A2A63C2">
      <w:start w:val="1"/>
      <w:numFmt w:val="bullet"/>
      <w:lvlText w:val="-"/>
      <w:lvlJc w:val="left"/>
      <w:pPr>
        <w:ind w:left="5760" w:hanging="360"/>
      </w:pPr>
      <w:rPr>
        <w:u w:val="none"/>
      </w:rPr>
    </w:lvl>
    <w:lvl w:ilvl="8" w:tplc="96F8529C">
      <w:start w:val="1"/>
      <w:numFmt w:val="bullet"/>
      <w:lvlText w:val="-"/>
      <w:lvlJc w:val="left"/>
      <w:pPr>
        <w:ind w:left="6480" w:hanging="360"/>
      </w:pPr>
      <w:rPr>
        <w:u w:val="none"/>
      </w:rPr>
    </w:lvl>
  </w:abstractNum>
  <w:abstractNum w:abstractNumId="3" w15:restartNumberingAfterBreak="0">
    <w:nsid w:val="26F36E93"/>
    <w:multiLevelType w:val="hybridMultilevel"/>
    <w:tmpl w:val="93CEC47C"/>
    <w:lvl w:ilvl="0" w:tplc="5406F582">
      <w:start w:val="1"/>
      <w:numFmt w:val="bullet"/>
      <w:lvlText w:val="-"/>
      <w:lvlJc w:val="left"/>
      <w:pPr>
        <w:ind w:left="720" w:hanging="360"/>
      </w:pPr>
      <w:rPr>
        <w:u w:val="none"/>
      </w:rPr>
    </w:lvl>
    <w:lvl w:ilvl="1" w:tplc="074A039C">
      <w:start w:val="1"/>
      <w:numFmt w:val="bullet"/>
      <w:lvlText w:val="-"/>
      <w:lvlJc w:val="left"/>
      <w:pPr>
        <w:ind w:left="1440" w:hanging="360"/>
      </w:pPr>
      <w:rPr>
        <w:u w:val="none"/>
      </w:rPr>
    </w:lvl>
    <w:lvl w:ilvl="2" w:tplc="EBB415A6">
      <w:start w:val="1"/>
      <w:numFmt w:val="bullet"/>
      <w:lvlText w:val="-"/>
      <w:lvlJc w:val="left"/>
      <w:pPr>
        <w:ind w:left="2160" w:hanging="360"/>
      </w:pPr>
      <w:rPr>
        <w:u w:val="none"/>
      </w:rPr>
    </w:lvl>
    <w:lvl w:ilvl="3" w:tplc="EF9A676C">
      <w:start w:val="1"/>
      <w:numFmt w:val="bullet"/>
      <w:lvlText w:val="-"/>
      <w:lvlJc w:val="left"/>
      <w:pPr>
        <w:ind w:left="2880" w:hanging="360"/>
      </w:pPr>
      <w:rPr>
        <w:u w:val="none"/>
      </w:rPr>
    </w:lvl>
    <w:lvl w:ilvl="4" w:tplc="3850D20A">
      <w:start w:val="1"/>
      <w:numFmt w:val="bullet"/>
      <w:lvlText w:val="-"/>
      <w:lvlJc w:val="left"/>
      <w:pPr>
        <w:ind w:left="3600" w:hanging="360"/>
      </w:pPr>
      <w:rPr>
        <w:u w:val="none"/>
      </w:rPr>
    </w:lvl>
    <w:lvl w:ilvl="5" w:tplc="85BCFFA4">
      <w:start w:val="1"/>
      <w:numFmt w:val="bullet"/>
      <w:lvlText w:val="-"/>
      <w:lvlJc w:val="left"/>
      <w:pPr>
        <w:ind w:left="4320" w:hanging="360"/>
      </w:pPr>
      <w:rPr>
        <w:u w:val="none"/>
      </w:rPr>
    </w:lvl>
    <w:lvl w:ilvl="6" w:tplc="D63C6E8E">
      <w:start w:val="1"/>
      <w:numFmt w:val="bullet"/>
      <w:lvlText w:val="-"/>
      <w:lvlJc w:val="left"/>
      <w:pPr>
        <w:ind w:left="5040" w:hanging="360"/>
      </w:pPr>
      <w:rPr>
        <w:u w:val="none"/>
      </w:rPr>
    </w:lvl>
    <w:lvl w:ilvl="7" w:tplc="DE062164">
      <w:start w:val="1"/>
      <w:numFmt w:val="bullet"/>
      <w:lvlText w:val="-"/>
      <w:lvlJc w:val="left"/>
      <w:pPr>
        <w:ind w:left="5760" w:hanging="360"/>
      </w:pPr>
      <w:rPr>
        <w:u w:val="none"/>
      </w:rPr>
    </w:lvl>
    <w:lvl w:ilvl="8" w:tplc="5208682C">
      <w:start w:val="1"/>
      <w:numFmt w:val="bullet"/>
      <w:lvlText w:val="-"/>
      <w:lvlJc w:val="left"/>
      <w:pPr>
        <w:ind w:left="6480" w:hanging="360"/>
      </w:pPr>
      <w:rPr>
        <w:u w:val="none"/>
      </w:rPr>
    </w:lvl>
  </w:abstractNum>
  <w:abstractNum w:abstractNumId="4" w15:restartNumberingAfterBreak="0">
    <w:nsid w:val="2A512428"/>
    <w:multiLevelType w:val="hybridMultilevel"/>
    <w:tmpl w:val="7C205AD6"/>
    <w:lvl w:ilvl="0" w:tplc="18D623A8">
      <w:start w:val="1"/>
      <w:numFmt w:val="decimal"/>
      <w:lvlText w:val="%1."/>
      <w:lvlJc w:val="left"/>
      <w:pPr>
        <w:ind w:left="720" w:hanging="360"/>
      </w:pPr>
      <w:rPr>
        <w:u w:val="none"/>
      </w:rPr>
    </w:lvl>
    <w:lvl w:ilvl="1" w:tplc="69705CA8">
      <w:start w:val="1"/>
      <w:numFmt w:val="bullet"/>
      <w:lvlText w:val="○"/>
      <w:lvlJc w:val="left"/>
      <w:pPr>
        <w:ind w:left="1440" w:hanging="360"/>
      </w:pPr>
      <w:rPr>
        <w:u w:val="none"/>
      </w:rPr>
    </w:lvl>
    <w:lvl w:ilvl="2" w:tplc="091000BC">
      <w:start w:val="1"/>
      <w:numFmt w:val="bullet"/>
      <w:lvlText w:val="■"/>
      <w:lvlJc w:val="left"/>
      <w:pPr>
        <w:ind w:left="2160" w:hanging="360"/>
      </w:pPr>
      <w:rPr>
        <w:u w:val="none"/>
      </w:rPr>
    </w:lvl>
    <w:lvl w:ilvl="3" w:tplc="807231C6">
      <w:start w:val="1"/>
      <w:numFmt w:val="bullet"/>
      <w:lvlText w:val="●"/>
      <w:lvlJc w:val="left"/>
      <w:pPr>
        <w:ind w:left="2880" w:hanging="360"/>
      </w:pPr>
      <w:rPr>
        <w:u w:val="none"/>
      </w:rPr>
    </w:lvl>
    <w:lvl w:ilvl="4" w:tplc="DFB48A70">
      <w:start w:val="1"/>
      <w:numFmt w:val="bullet"/>
      <w:lvlText w:val="○"/>
      <w:lvlJc w:val="left"/>
      <w:pPr>
        <w:ind w:left="3600" w:hanging="360"/>
      </w:pPr>
      <w:rPr>
        <w:u w:val="none"/>
      </w:rPr>
    </w:lvl>
    <w:lvl w:ilvl="5" w:tplc="6868FB40">
      <w:start w:val="1"/>
      <w:numFmt w:val="bullet"/>
      <w:lvlText w:val="■"/>
      <w:lvlJc w:val="left"/>
      <w:pPr>
        <w:ind w:left="4320" w:hanging="360"/>
      </w:pPr>
      <w:rPr>
        <w:u w:val="none"/>
      </w:rPr>
    </w:lvl>
    <w:lvl w:ilvl="6" w:tplc="4FDACB2C">
      <w:start w:val="1"/>
      <w:numFmt w:val="bullet"/>
      <w:lvlText w:val="●"/>
      <w:lvlJc w:val="left"/>
      <w:pPr>
        <w:ind w:left="5040" w:hanging="360"/>
      </w:pPr>
      <w:rPr>
        <w:u w:val="none"/>
      </w:rPr>
    </w:lvl>
    <w:lvl w:ilvl="7" w:tplc="0ECABBFA">
      <w:start w:val="1"/>
      <w:numFmt w:val="bullet"/>
      <w:lvlText w:val="○"/>
      <w:lvlJc w:val="left"/>
      <w:pPr>
        <w:ind w:left="5760" w:hanging="360"/>
      </w:pPr>
      <w:rPr>
        <w:u w:val="none"/>
      </w:rPr>
    </w:lvl>
    <w:lvl w:ilvl="8" w:tplc="136C5E72">
      <w:start w:val="1"/>
      <w:numFmt w:val="bullet"/>
      <w:lvlText w:val="■"/>
      <w:lvlJc w:val="left"/>
      <w:pPr>
        <w:ind w:left="6480" w:hanging="360"/>
      </w:pPr>
      <w:rPr>
        <w:u w:val="none"/>
      </w:rPr>
    </w:lvl>
  </w:abstractNum>
  <w:abstractNum w:abstractNumId="5" w15:restartNumberingAfterBreak="0">
    <w:nsid w:val="31BA75DB"/>
    <w:multiLevelType w:val="hybridMultilevel"/>
    <w:tmpl w:val="4B4CFC12"/>
    <w:lvl w:ilvl="0" w:tplc="EC96BDE4">
      <w:start w:val="1"/>
      <w:numFmt w:val="bullet"/>
      <w:lvlText w:val="-"/>
      <w:lvlJc w:val="left"/>
      <w:pPr>
        <w:ind w:left="720" w:hanging="360"/>
      </w:pPr>
      <w:rPr>
        <w:u w:val="none"/>
      </w:rPr>
    </w:lvl>
    <w:lvl w:ilvl="1" w:tplc="6640414E">
      <w:start w:val="1"/>
      <w:numFmt w:val="bullet"/>
      <w:lvlText w:val="-"/>
      <w:lvlJc w:val="left"/>
      <w:pPr>
        <w:ind w:left="1440" w:hanging="360"/>
      </w:pPr>
      <w:rPr>
        <w:u w:val="none"/>
      </w:rPr>
    </w:lvl>
    <w:lvl w:ilvl="2" w:tplc="E1FE92F8">
      <w:start w:val="1"/>
      <w:numFmt w:val="bullet"/>
      <w:lvlText w:val="-"/>
      <w:lvlJc w:val="left"/>
      <w:pPr>
        <w:ind w:left="2160" w:hanging="360"/>
      </w:pPr>
      <w:rPr>
        <w:u w:val="none"/>
      </w:rPr>
    </w:lvl>
    <w:lvl w:ilvl="3" w:tplc="D674DD26">
      <w:start w:val="1"/>
      <w:numFmt w:val="bullet"/>
      <w:lvlText w:val="-"/>
      <w:lvlJc w:val="left"/>
      <w:pPr>
        <w:ind w:left="2880" w:hanging="360"/>
      </w:pPr>
      <w:rPr>
        <w:u w:val="none"/>
      </w:rPr>
    </w:lvl>
    <w:lvl w:ilvl="4" w:tplc="7AA0AFB6">
      <w:start w:val="1"/>
      <w:numFmt w:val="bullet"/>
      <w:lvlText w:val="-"/>
      <w:lvlJc w:val="left"/>
      <w:pPr>
        <w:ind w:left="3600" w:hanging="360"/>
      </w:pPr>
      <w:rPr>
        <w:u w:val="none"/>
      </w:rPr>
    </w:lvl>
    <w:lvl w:ilvl="5" w:tplc="63760042">
      <w:start w:val="1"/>
      <w:numFmt w:val="bullet"/>
      <w:lvlText w:val="-"/>
      <w:lvlJc w:val="left"/>
      <w:pPr>
        <w:ind w:left="4320" w:hanging="360"/>
      </w:pPr>
      <w:rPr>
        <w:u w:val="none"/>
      </w:rPr>
    </w:lvl>
    <w:lvl w:ilvl="6" w:tplc="41828624">
      <w:start w:val="1"/>
      <w:numFmt w:val="bullet"/>
      <w:lvlText w:val="-"/>
      <w:lvlJc w:val="left"/>
      <w:pPr>
        <w:ind w:left="5040" w:hanging="360"/>
      </w:pPr>
      <w:rPr>
        <w:u w:val="none"/>
      </w:rPr>
    </w:lvl>
    <w:lvl w:ilvl="7" w:tplc="A02AFD8A">
      <w:start w:val="1"/>
      <w:numFmt w:val="bullet"/>
      <w:lvlText w:val="-"/>
      <w:lvlJc w:val="left"/>
      <w:pPr>
        <w:ind w:left="5760" w:hanging="360"/>
      </w:pPr>
      <w:rPr>
        <w:u w:val="none"/>
      </w:rPr>
    </w:lvl>
    <w:lvl w:ilvl="8" w:tplc="6178BC22">
      <w:start w:val="1"/>
      <w:numFmt w:val="bullet"/>
      <w:lvlText w:val="-"/>
      <w:lvlJc w:val="left"/>
      <w:pPr>
        <w:ind w:left="6480" w:hanging="360"/>
      </w:pPr>
      <w:rPr>
        <w:u w:val="none"/>
      </w:rPr>
    </w:lvl>
  </w:abstractNum>
  <w:abstractNum w:abstractNumId="6" w15:restartNumberingAfterBreak="0">
    <w:nsid w:val="35BB0BF8"/>
    <w:multiLevelType w:val="hybridMultilevel"/>
    <w:tmpl w:val="CFA6BD3C"/>
    <w:lvl w:ilvl="0" w:tplc="2140017C">
      <w:start w:val="1"/>
      <w:numFmt w:val="bullet"/>
      <w:lvlText w:val="-"/>
      <w:lvlJc w:val="left"/>
      <w:pPr>
        <w:ind w:left="720" w:hanging="360"/>
      </w:pPr>
      <w:rPr>
        <w:u w:val="none"/>
      </w:rPr>
    </w:lvl>
    <w:lvl w:ilvl="1" w:tplc="4FA00010">
      <w:start w:val="1"/>
      <w:numFmt w:val="bullet"/>
      <w:lvlText w:val="-"/>
      <w:lvlJc w:val="left"/>
      <w:pPr>
        <w:ind w:left="1440" w:hanging="360"/>
      </w:pPr>
      <w:rPr>
        <w:u w:val="none"/>
      </w:rPr>
    </w:lvl>
    <w:lvl w:ilvl="2" w:tplc="A6409074">
      <w:start w:val="1"/>
      <w:numFmt w:val="bullet"/>
      <w:lvlText w:val="-"/>
      <w:lvlJc w:val="left"/>
      <w:pPr>
        <w:ind w:left="2160" w:hanging="360"/>
      </w:pPr>
      <w:rPr>
        <w:u w:val="none"/>
      </w:rPr>
    </w:lvl>
    <w:lvl w:ilvl="3" w:tplc="4252DA70">
      <w:start w:val="1"/>
      <w:numFmt w:val="bullet"/>
      <w:lvlText w:val="-"/>
      <w:lvlJc w:val="left"/>
      <w:pPr>
        <w:ind w:left="2880" w:hanging="360"/>
      </w:pPr>
      <w:rPr>
        <w:u w:val="none"/>
      </w:rPr>
    </w:lvl>
    <w:lvl w:ilvl="4" w:tplc="97949AF4">
      <w:start w:val="1"/>
      <w:numFmt w:val="bullet"/>
      <w:lvlText w:val="-"/>
      <w:lvlJc w:val="left"/>
      <w:pPr>
        <w:ind w:left="3600" w:hanging="360"/>
      </w:pPr>
      <w:rPr>
        <w:u w:val="none"/>
      </w:rPr>
    </w:lvl>
    <w:lvl w:ilvl="5" w:tplc="0526BF98">
      <w:start w:val="1"/>
      <w:numFmt w:val="bullet"/>
      <w:lvlText w:val="-"/>
      <w:lvlJc w:val="left"/>
      <w:pPr>
        <w:ind w:left="4320" w:hanging="360"/>
      </w:pPr>
      <w:rPr>
        <w:u w:val="none"/>
      </w:rPr>
    </w:lvl>
    <w:lvl w:ilvl="6" w:tplc="C820FC3E">
      <w:start w:val="1"/>
      <w:numFmt w:val="bullet"/>
      <w:lvlText w:val="-"/>
      <w:lvlJc w:val="left"/>
      <w:pPr>
        <w:ind w:left="5040" w:hanging="360"/>
      </w:pPr>
      <w:rPr>
        <w:u w:val="none"/>
      </w:rPr>
    </w:lvl>
    <w:lvl w:ilvl="7" w:tplc="79B0CA16">
      <w:start w:val="1"/>
      <w:numFmt w:val="bullet"/>
      <w:lvlText w:val="-"/>
      <w:lvlJc w:val="left"/>
      <w:pPr>
        <w:ind w:left="5760" w:hanging="360"/>
      </w:pPr>
      <w:rPr>
        <w:u w:val="none"/>
      </w:rPr>
    </w:lvl>
    <w:lvl w:ilvl="8" w:tplc="34AAA86E">
      <w:start w:val="1"/>
      <w:numFmt w:val="bullet"/>
      <w:lvlText w:val="-"/>
      <w:lvlJc w:val="left"/>
      <w:pPr>
        <w:ind w:left="6480" w:hanging="360"/>
      </w:pPr>
      <w:rPr>
        <w:u w:val="none"/>
      </w:rPr>
    </w:lvl>
  </w:abstractNum>
  <w:abstractNum w:abstractNumId="7" w15:restartNumberingAfterBreak="0">
    <w:nsid w:val="3CA82FCF"/>
    <w:multiLevelType w:val="hybridMultilevel"/>
    <w:tmpl w:val="8EB2E970"/>
    <w:lvl w:ilvl="0" w:tplc="305A5DF8">
      <w:start w:val="1"/>
      <w:numFmt w:val="bullet"/>
      <w:lvlText w:val="●"/>
      <w:lvlJc w:val="left"/>
      <w:pPr>
        <w:ind w:left="720" w:hanging="360"/>
      </w:pPr>
      <w:rPr>
        <w:u w:val="none"/>
      </w:rPr>
    </w:lvl>
    <w:lvl w:ilvl="1" w:tplc="701AF7FA">
      <w:start w:val="1"/>
      <w:numFmt w:val="bullet"/>
      <w:lvlText w:val="○"/>
      <w:lvlJc w:val="left"/>
      <w:pPr>
        <w:ind w:left="1440" w:hanging="360"/>
      </w:pPr>
      <w:rPr>
        <w:u w:val="none"/>
      </w:rPr>
    </w:lvl>
    <w:lvl w:ilvl="2" w:tplc="CFDA8A66">
      <w:start w:val="1"/>
      <w:numFmt w:val="bullet"/>
      <w:lvlText w:val="■"/>
      <w:lvlJc w:val="left"/>
      <w:pPr>
        <w:ind w:left="2160" w:hanging="360"/>
      </w:pPr>
      <w:rPr>
        <w:u w:val="none"/>
      </w:rPr>
    </w:lvl>
    <w:lvl w:ilvl="3" w:tplc="D43ED86C">
      <w:start w:val="1"/>
      <w:numFmt w:val="bullet"/>
      <w:lvlText w:val="●"/>
      <w:lvlJc w:val="left"/>
      <w:pPr>
        <w:ind w:left="2880" w:hanging="360"/>
      </w:pPr>
      <w:rPr>
        <w:u w:val="none"/>
      </w:rPr>
    </w:lvl>
    <w:lvl w:ilvl="4" w:tplc="55BA4D44">
      <w:start w:val="1"/>
      <w:numFmt w:val="bullet"/>
      <w:lvlText w:val="○"/>
      <w:lvlJc w:val="left"/>
      <w:pPr>
        <w:ind w:left="3600" w:hanging="360"/>
      </w:pPr>
      <w:rPr>
        <w:u w:val="none"/>
      </w:rPr>
    </w:lvl>
    <w:lvl w:ilvl="5" w:tplc="A8D69F76">
      <w:start w:val="1"/>
      <w:numFmt w:val="bullet"/>
      <w:lvlText w:val="■"/>
      <w:lvlJc w:val="left"/>
      <w:pPr>
        <w:ind w:left="4320" w:hanging="360"/>
      </w:pPr>
      <w:rPr>
        <w:u w:val="none"/>
      </w:rPr>
    </w:lvl>
    <w:lvl w:ilvl="6" w:tplc="E89AF50C">
      <w:start w:val="1"/>
      <w:numFmt w:val="bullet"/>
      <w:lvlText w:val="●"/>
      <w:lvlJc w:val="left"/>
      <w:pPr>
        <w:ind w:left="5040" w:hanging="360"/>
      </w:pPr>
      <w:rPr>
        <w:u w:val="none"/>
      </w:rPr>
    </w:lvl>
    <w:lvl w:ilvl="7" w:tplc="7E526F10">
      <w:start w:val="1"/>
      <w:numFmt w:val="bullet"/>
      <w:lvlText w:val="○"/>
      <w:lvlJc w:val="left"/>
      <w:pPr>
        <w:ind w:left="5760" w:hanging="360"/>
      </w:pPr>
      <w:rPr>
        <w:u w:val="none"/>
      </w:rPr>
    </w:lvl>
    <w:lvl w:ilvl="8" w:tplc="236EB0E0">
      <w:start w:val="1"/>
      <w:numFmt w:val="bullet"/>
      <w:lvlText w:val="■"/>
      <w:lvlJc w:val="left"/>
      <w:pPr>
        <w:ind w:left="6480" w:hanging="360"/>
      </w:pPr>
      <w:rPr>
        <w:u w:val="none"/>
      </w:rPr>
    </w:lvl>
  </w:abstractNum>
  <w:abstractNum w:abstractNumId="8" w15:restartNumberingAfterBreak="0">
    <w:nsid w:val="452F4E2E"/>
    <w:multiLevelType w:val="hybridMultilevel"/>
    <w:tmpl w:val="17E879D8"/>
    <w:lvl w:ilvl="0" w:tplc="EE082C52">
      <w:start w:val="1"/>
      <w:numFmt w:val="decimal"/>
      <w:lvlText w:val="%1."/>
      <w:lvlJc w:val="left"/>
      <w:pPr>
        <w:ind w:left="720" w:hanging="360"/>
      </w:pPr>
      <w:rPr>
        <w:u w:val="none"/>
      </w:rPr>
    </w:lvl>
    <w:lvl w:ilvl="1" w:tplc="92E4CC74">
      <w:start w:val="1"/>
      <w:numFmt w:val="bullet"/>
      <w:lvlText w:val="○"/>
      <w:lvlJc w:val="left"/>
      <w:pPr>
        <w:ind w:left="1440" w:hanging="360"/>
      </w:pPr>
      <w:rPr>
        <w:u w:val="none"/>
      </w:rPr>
    </w:lvl>
    <w:lvl w:ilvl="2" w:tplc="2E20D624">
      <w:start w:val="1"/>
      <w:numFmt w:val="bullet"/>
      <w:lvlText w:val="■"/>
      <w:lvlJc w:val="left"/>
      <w:pPr>
        <w:ind w:left="2160" w:hanging="360"/>
      </w:pPr>
      <w:rPr>
        <w:u w:val="none"/>
      </w:rPr>
    </w:lvl>
    <w:lvl w:ilvl="3" w:tplc="A0300192">
      <w:start w:val="1"/>
      <w:numFmt w:val="bullet"/>
      <w:lvlText w:val="●"/>
      <w:lvlJc w:val="left"/>
      <w:pPr>
        <w:ind w:left="2880" w:hanging="360"/>
      </w:pPr>
      <w:rPr>
        <w:u w:val="none"/>
      </w:rPr>
    </w:lvl>
    <w:lvl w:ilvl="4" w:tplc="8AE4AD72">
      <w:start w:val="1"/>
      <w:numFmt w:val="bullet"/>
      <w:lvlText w:val="○"/>
      <w:lvlJc w:val="left"/>
      <w:pPr>
        <w:ind w:left="3600" w:hanging="360"/>
      </w:pPr>
      <w:rPr>
        <w:u w:val="none"/>
      </w:rPr>
    </w:lvl>
    <w:lvl w:ilvl="5" w:tplc="58EA8144">
      <w:start w:val="1"/>
      <w:numFmt w:val="bullet"/>
      <w:lvlText w:val="■"/>
      <w:lvlJc w:val="left"/>
      <w:pPr>
        <w:ind w:left="4320" w:hanging="360"/>
      </w:pPr>
      <w:rPr>
        <w:u w:val="none"/>
      </w:rPr>
    </w:lvl>
    <w:lvl w:ilvl="6" w:tplc="73AC1E50">
      <w:start w:val="1"/>
      <w:numFmt w:val="bullet"/>
      <w:lvlText w:val="●"/>
      <w:lvlJc w:val="left"/>
      <w:pPr>
        <w:ind w:left="5040" w:hanging="360"/>
      </w:pPr>
      <w:rPr>
        <w:u w:val="none"/>
      </w:rPr>
    </w:lvl>
    <w:lvl w:ilvl="7" w:tplc="5E185128">
      <w:start w:val="1"/>
      <w:numFmt w:val="bullet"/>
      <w:lvlText w:val="○"/>
      <w:lvlJc w:val="left"/>
      <w:pPr>
        <w:ind w:left="5760" w:hanging="360"/>
      </w:pPr>
      <w:rPr>
        <w:u w:val="none"/>
      </w:rPr>
    </w:lvl>
    <w:lvl w:ilvl="8" w:tplc="BADE76BA">
      <w:start w:val="1"/>
      <w:numFmt w:val="bullet"/>
      <w:lvlText w:val="■"/>
      <w:lvlJc w:val="left"/>
      <w:pPr>
        <w:ind w:left="6480" w:hanging="360"/>
      </w:pPr>
      <w:rPr>
        <w:u w:val="none"/>
      </w:rPr>
    </w:lvl>
  </w:abstractNum>
  <w:abstractNum w:abstractNumId="9" w15:restartNumberingAfterBreak="0">
    <w:nsid w:val="492B3717"/>
    <w:multiLevelType w:val="hybridMultilevel"/>
    <w:tmpl w:val="3F004A2C"/>
    <w:lvl w:ilvl="0" w:tplc="F704E3F8">
      <w:start w:val="1"/>
      <w:numFmt w:val="decimal"/>
      <w:lvlText w:val="%1."/>
      <w:lvlJc w:val="left"/>
      <w:pPr>
        <w:ind w:left="720" w:hanging="360"/>
      </w:pPr>
      <w:rPr>
        <w:u w:val="none"/>
      </w:rPr>
    </w:lvl>
    <w:lvl w:ilvl="1" w:tplc="4D540410">
      <w:start w:val="1"/>
      <w:numFmt w:val="bullet"/>
      <w:lvlText w:val="○"/>
      <w:lvlJc w:val="left"/>
      <w:pPr>
        <w:ind w:left="1440" w:hanging="360"/>
      </w:pPr>
      <w:rPr>
        <w:u w:val="none"/>
      </w:rPr>
    </w:lvl>
    <w:lvl w:ilvl="2" w:tplc="3126DA14">
      <w:start w:val="1"/>
      <w:numFmt w:val="bullet"/>
      <w:lvlText w:val="■"/>
      <w:lvlJc w:val="left"/>
      <w:pPr>
        <w:ind w:left="2160" w:hanging="360"/>
      </w:pPr>
      <w:rPr>
        <w:u w:val="none"/>
      </w:rPr>
    </w:lvl>
    <w:lvl w:ilvl="3" w:tplc="DBC80E2C">
      <w:start w:val="1"/>
      <w:numFmt w:val="bullet"/>
      <w:lvlText w:val="●"/>
      <w:lvlJc w:val="left"/>
      <w:pPr>
        <w:ind w:left="2880" w:hanging="360"/>
      </w:pPr>
      <w:rPr>
        <w:u w:val="none"/>
      </w:rPr>
    </w:lvl>
    <w:lvl w:ilvl="4" w:tplc="F71A4AD0">
      <w:start w:val="1"/>
      <w:numFmt w:val="bullet"/>
      <w:lvlText w:val="○"/>
      <w:lvlJc w:val="left"/>
      <w:pPr>
        <w:ind w:left="3600" w:hanging="360"/>
      </w:pPr>
      <w:rPr>
        <w:u w:val="none"/>
      </w:rPr>
    </w:lvl>
    <w:lvl w:ilvl="5" w:tplc="64405A5A">
      <w:start w:val="1"/>
      <w:numFmt w:val="bullet"/>
      <w:lvlText w:val="■"/>
      <w:lvlJc w:val="left"/>
      <w:pPr>
        <w:ind w:left="4320" w:hanging="360"/>
      </w:pPr>
      <w:rPr>
        <w:u w:val="none"/>
      </w:rPr>
    </w:lvl>
    <w:lvl w:ilvl="6" w:tplc="C12A01F2">
      <w:start w:val="1"/>
      <w:numFmt w:val="bullet"/>
      <w:lvlText w:val="●"/>
      <w:lvlJc w:val="left"/>
      <w:pPr>
        <w:ind w:left="5040" w:hanging="360"/>
      </w:pPr>
      <w:rPr>
        <w:u w:val="none"/>
      </w:rPr>
    </w:lvl>
    <w:lvl w:ilvl="7" w:tplc="0B2E442A">
      <w:start w:val="1"/>
      <w:numFmt w:val="bullet"/>
      <w:lvlText w:val="○"/>
      <w:lvlJc w:val="left"/>
      <w:pPr>
        <w:ind w:left="5760" w:hanging="360"/>
      </w:pPr>
      <w:rPr>
        <w:u w:val="none"/>
      </w:rPr>
    </w:lvl>
    <w:lvl w:ilvl="8" w:tplc="6A3E4D3A">
      <w:start w:val="1"/>
      <w:numFmt w:val="bullet"/>
      <w:lvlText w:val="■"/>
      <w:lvlJc w:val="left"/>
      <w:pPr>
        <w:ind w:left="6480" w:hanging="360"/>
      </w:pPr>
      <w:rPr>
        <w:u w:val="none"/>
      </w:rPr>
    </w:lvl>
  </w:abstractNum>
  <w:abstractNum w:abstractNumId="10" w15:restartNumberingAfterBreak="0">
    <w:nsid w:val="4C6A50BC"/>
    <w:multiLevelType w:val="hybridMultilevel"/>
    <w:tmpl w:val="0B46F374"/>
    <w:lvl w:ilvl="0" w:tplc="642C89C2">
      <w:start w:val="1"/>
      <w:numFmt w:val="bullet"/>
      <w:lvlText w:val="-"/>
      <w:lvlJc w:val="left"/>
      <w:pPr>
        <w:ind w:left="720" w:hanging="360"/>
      </w:pPr>
      <w:rPr>
        <w:u w:val="none"/>
      </w:rPr>
    </w:lvl>
    <w:lvl w:ilvl="1" w:tplc="4E6E3D76">
      <w:start w:val="1"/>
      <w:numFmt w:val="bullet"/>
      <w:lvlText w:val="-"/>
      <w:lvlJc w:val="left"/>
      <w:pPr>
        <w:ind w:left="1440" w:hanging="360"/>
      </w:pPr>
      <w:rPr>
        <w:u w:val="none"/>
      </w:rPr>
    </w:lvl>
    <w:lvl w:ilvl="2" w:tplc="5E7AE772">
      <w:start w:val="1"/>
      <w:numFmt w:val="bullet"/>
      <w:lvlText w:val="-"/>
      <w:lvlJc w:val="left"/>
      <w:pPr>
        <w:ind w:left="2160" w:hanging="360"/>
      </w:pPr>
      <w:rPr>
        <w:u w:val="none"/>
      </w:rPr>
    </w:lvl>
    <w:lvl w:ilvl="3" w:tplc="B120C4EE">
      <w:start w:val="1"/>
      <w:numFmt w:val="bullet"/>
      <w:lvlText w:val="-"/>
      <w:lvlJc w:val="left"/>
      <w:pPr>
        <w:ind w:left="2880" w:hanging="360"/>
      </w:pPr>
      <w:rPr>
        <w:u w:val="none"/>
      </w:rPr>
    </w:lvl>
    <w:lvl w:ilvl="4" w:tplc="529ECCC6">
      <w:start w:val="1"/>
      <w:numFmt w:val="bullet"/>
      <w:lvlText w:val="-"/>
      <w:lvlJc w:val="left"/>
      <w:pPr>
        <w:ind w:left="3600" w:hanging="360"/>
      </w:pPr>
      <w:rPr>
        <w:u w:val="none"/>
      </w:rPr>
    </w:lvl>
    <w:lvl w:ilvl="5" w:tplc="6D888C34">
      <w:start w:val="1"/>
      <w:numFmt w:val="bullet"/>
      <w:lvlText w:val="-"/>
      <w:lvlJc w:val="left"/>
      <w:pPr>
        <w:ind w:left="4320" w:hanging="360"/>
      </w:pPr>
      <w:rPr>
        <w:u w:val="none"/>
      </w:rPr>
    </w:lvl>
    <w:lvl w:ilvl="6" w:tplc="2B3C13C6">
      <w:start w:val="1"/>
      <w:numFmt w:val="bullet"/>
      <w:lvlText w:val="-"/>
      <w:lvlJc w:val="left"/>
      <w:pPr>
        <w:ind w:left="5040" w:hanging="360"/>
      </w:pPr>
      <w:rPr>
        <w:u w:val="none"/>
      </w:rPr>
    </w:lvl>
    <w:lvl w:ilvl="7" w:tplc="10CA51E4">
      <w:start w:val="1"/>
      <w:numFmt w:val="bullet"/>
      <w:lvlText w:val="-"/>
      <w:lvlJc w:val="left"/>
      <w:pPr>
        <w:ind w:left="5760" w:hanging="360"/>
      </w:pPr>
      <w:rPr>
        <w:u w:val="none"/>
      </w:rPr>
    </w:lvl>
    <w:lvl w:ilvl="8" w:tplc="FA2ADD90">
      <w:start w:val="1"/>
      <w:numFmt w:val="bullet"/>
      <w:lvlText w:val="-"/>
      <w:lvlJc w:val="left"/>
      <w:pPr>
        <w:ind w:left="6480" w:hanging="360"/>
      </w:pPr>
      <w:rPr>
        <w:u w:val="none"/>
      </w:rPr>
    </w:lvl>
  </w:abstractNum>
  <w:abstractNum w:abstractNumId="11" w15:restartNumberingAfterBreak="0">
    <w:nsid w:val="525962D6"/>
    <w:multiLevelType w:val="hybridMultilevel"/>
    <w:tmpl w:val="0CE40588"/>
    <w:lvl w:ilvl="0" w:tplc="7C86A294">
      <w:start w:val="1"/>
      <w:numFmt w:val="bullet"/>
      <w:lvlText w:val="-"/>
      <w:lvlJc w:val="left"/>
      <w:pPr>
        <w:ind w:left="720" w:hanging="360"/>
      </w:pPr>
      <w:rPr>
        <w:u w:val="none"/>
      </w:rPr>
    </w:lvl>
    <w:lvl w:ilvl="1" w:tplc="8D183314">
      <w:start w:val="1"/>
      <w:numFmt w:val="bullet"/>
      <w:lvlText w:val="-"/>
      <w:lvlJc w:val="left"/>
      <w:pPr>
        <w:ind w:left="1440" w:hanging="360"/>
      </w:pPr>
      <w:rPr>
        <w:u w:val="none"/>
      </w:rPr>
    </w:lvl>
    <w:lvl w:ilvl="2" w:tplc="FB5CA06A">
      <w:start w:val="1"/>
      <w:numFmt w:val="bullet"/>
      <w:lvlText w:val="-"/>
      <w:lvlJc w:val="left"/>
      <w:pPr>
        <w:ind w:left="2160" w:hanging="360"/>
      </w:pPr>
      <w:rPr>
        <w:u w:val="none"/>
      </w:rPr>
    </w:lvl>
    <w:lvl w:ilvl="3" w:tplc="B36492E2">
      <w:start w:val="1"/>
      <w:numFmt w:val="bullet"/>
      <w:lvlText w:val="-"/>
      <w:lvlJc w:val="left"/>
      <w:pPr>
        <w:ind w:left="2880" w:hanging="360"/>
      </w:pPr>
      <w:rPr>
        <w:u w:val="none"/>
      </w:rPr>
    </w:lvl>
    <w:lvl w:ilvl="4" w:tplc="60089E34">
      <w:start w:val="1"/>
      <w:numFmt w:val="bullet"/>
      <w:lvlText w:val="-"/>
      <w:lvlJc w:val="left"/>
      <w:pPr>
        <w:ind w:left="3600" w:hanging="360"/>
      </w:pPr>
      <w:rPr>
        <w:u w:val="none"/>
      </w:rPr>
    </w:lvl>
    <w:lvl w:ilvl="5" w:tplc="C3CCE5E0">
      <w:start w:val="1"/>
      <w:numFmt w:val="bullet"/>
      <w:lvlText w:val="-"/>
      <w:lvlJc w:val="left"/>
      <w:pPr>
        <w:ind w:left="4320" w:hanging="360"/>
      </w:pPr>
      <w:rPr>
        <w:u w:val="none"/>
      </w:rPr>
    </w:lvl>
    <w:lvl w:ilvl="6" w:tplc="65C811BA">
      <w:start w:val="1"/>
      <w:numFmt w:val="bullet"/>
      <w:lvlText w:val="-"/>
      <w:lvlJc w:val="left"/>
      <w:pPr>
        <w:ind w:left="5040" w:hanging="360"/>
      </w:pPr>
      <w:rPr>
        <w:u w:val="none"/>
      </w:rPr>
    </w:lvl>
    <w:lvl w:ilvl="7" w:tplc="5CA49A5E">
      <w:start w:val="1"/>
      <w:numFmt w:val="bullet"/>
      <w:lvlText w:val="-"/>
      <w:lvlJc w:val="left"/>
      <w:pPr>
        <w:ind w:left="5760" w:hanging="360"/>
      </w:pPr>
      <w:rPr>
        <w:u w:val="none"/>
      </w:rPr>
    </w:lvl>
    <w:lvl w:ilvl="8" w:tplc="B26C5238">
      <w:start w:val="1"/>
      <w:numFmt w:val="bullet"/>
      <w:lvlText w:val="-"/>
      <w:lvlJc w:val="left"/>
      <w:pPr>
        <w:ind w:left="6480" w:hanging="360"/>
      </w:pPr>
      <w:rPr>
        <w:u w:val="none"/>
      </w:rPr>
    </w:lvl>
  </w:abstractNum>
  <w:abstractNum w:abstractNumId="12" w15:restartNumberingAfterBreak="0">
    <w:nsid w:val="53AD4AE6"/>
    <w:multiLevelType w:val="hybridMultilevel"/>
    <w:tmpl w:val="46466B2A"/>
    <w:lvl w:ilvl="0" w:tplc="CBC6DF98">
      <w:start w:val="1"/>
      <w:numFmt w:val="bullet"/>
      <w:lvlText w:val="-"/>
      <w:lvlJc w:val="left"/>
      <w:pPr>
        <w:ind w:left="720" w:hanging="360"/>
      </w:pPr>
      <w:rPr>
        <w:u w:val="none"/>
      </w:rPr>
    </w:lvl>
    <w:lvl w:ilvl="1" w:tplc="8640B164">
      <w:start w:val="1"/>
      <w:numFmt w:val="bullet"/>
      <w:lvlText w:val="-"/>
      <w:lvlJc w:val="left"/>
      <w:pPr>
        <w:ind w:left="1440" w:hanging="360"/>
      </w:pPr>
      <w:rPr>
        <w:u w:val="none"/>
      </w:rPr>
    </w:lvl>
    <w:lvl w:ilvl="2" w:tplc="FEC0B7EA">
      <w:start w:val="1"/>
      <w:numFmt w:val="bullet"/>
      <w:lvlText w:val="-"/>
      <w:lvlJc w:val="left"/>
      <w:pPr>
        <w:ind w:left="2160" w:hanging="360"/>
      </w:pPr>
      <w:rPr>
        <w:u w:val="none"/>
      </w:rPr>
    </w:lvl>
    <w:lvl w:ilvl="3" w:tplc="37F658F0">
      <w:start w:val="1"/>
      <w:numFmt w:val="bullet"/>
      <w:lvlText w:val="-"/>
      <w:lvlJc w:val="left"/>
      <w:pPr>
        <w:ind w:left="2880" w:hanging="360"/>
      </w:pPr>
      <w:rPr>
        <w:u w:val="none"/>
      </w:rPr>
    </w:lvl>
    <w:lvl w:ilvl="4" w:tplc="75B4FC8C">
      <w:start w:val="1"/>
      <w:numFmt w:val="bullet"/>
      <w:lvlText w:val="-"/>
      <w:lvlJc w:val="left"/>
      <w:pPr>
        <w:ind w:left="3600" w:hanging="360"/>
      </w:pPr>
      <w:rPr>
        <w:u w:val="none"/>
      </w:rPr>
    </w:lvl>
    <w:lvl w:ilvl="5" w:tplc="41D63FB2">
      <w:start w:val="1"/>
      <w:numFmt w:val="bullet"/>
      <w:lvlText w:val="-"/>
      <w:lvlJc w:val="left"/>
      <w:pPr>
        <w:ind w:left="4320" w:hanging="360"/>
      </w:pPr>
      <w:rPr>
        <w:u w:val="none"/>
      </w:rPr>
    </w:lvl>
    <w:lvl w:ilvl="6" w:tplc="19763D84">
      <w:start w:val="1"/>
      <w:numFmt w:val="bullet"/>
      <w:lvlText w:val="-"/>
      <w:lvlJc w:val="left"/>
      <w:pPr>
        <w:ind w:left="5040" w:hanging="360"/>
      </w:pPr>
      <w:rPr>
        <w:u w:val="none"/>
      </w:rPr>
    </w:lvl>
    <w:lvl w:ilvl="7" w:tplc="6A9AFCF8">
      <w:start w:val="1"/>
      <w:numFmt w:val="bullet"/>
      <w:lvlText w:val="-"/>
      <w:lvlJc w:val="left"/>
      <w:pPr>
        <w:ind w:left="5760" w:hanging="360"/>
      </w:pPr>
      <w:rPr>
        <w:u w:val="none"/>
      </w:rPr>
    </w:lvl>
    <w:lvl w:ilvl="8" w:tplc="6D362264">
      <w:start w:val="1"/>
      <w:numFmt w:val="bullet"/>
      <w:lvlText w:val="-"/>
      <w:lvlJc w:val="left"/>
      <w:pPr>
        <w:ind w:left="6480" w:hanging="360"/>
      </w:pPr>
      <w:rPr>
        <w:u w:val="none"/>
      </w:rPr>
    </w:lvl>
  </w:abstractNum>
  <w:abstractNum w:abstractNumId="13" w15:restartNumberingAfterBreak="0">
    <w:nsid w:val="5F5911E6"/>
    <w:multiLevelType w:val="hybridMultilevel"/>
    <w:tmpl w:val="A990A582"/>
    <w:lvl w:ilvl="0" w:tplc="12627ECE">
      <w:start w:val="1"/>
      <w:numFmt w:val="decimal"/>
      <w:lvlText w:val="%1."/>
      <w:lvlJc w:val="left"/>
      <w:pPr>
        <w:ind w:left="720" w:hanging="360"/>
      </w:pPr>
      <w:rPr>
        <w:u w:val="none"/>
      </w:rPr>
    </w:lvl>
    <w:lvl w:ilvl="1" w:tplc="36C828A6">
      <w:start w:val="1"/>
      <w:numFmt w:val="bullet"/>
      <w:lvlText w:val="○"/>
      <w:lvlJc w:val="left"/>
      <w:pPr>
        <w:ind w:left="1440" w:hanging="360"/>
      </w:pPr>
      <w:rPr>
        <w:u w:val="none"/>
      </w:rPr>
    </w:lvl>
    <w:lvl w:ilvl="2" w:tplc="BAC49F96">
      <w:start w:val="1"/>
      <w:numFmt w:val="bullet"/>
      <w:lvlText w:val="■"/>
      <w:lvlJc w:val="left"/>
      <w:pPr>
        <w:ind w:left="2160" w:hanging="360"/>
      </w:pPr>
      <w:rPr>
        <w:u w:val="none"/>
      </w:rPr>
    </w:lvl>
    <w:lvl w:ilvl="3" w:tplc="BA18B56E">
      <w:start w:val="1"/>
      <w:numFmt w:val="bullet"/>
      <w:lvlText w:val="●"/>
      <w:lvlJc w:val="left"/>
      <w:pPr>
        <w:ind w:left="2880" w:hanging="360"/>
      </w:pPr>
      <w:rPr>
        <w:u w:val="none"/>
      </w:rPr>
    </w:lvl>
    <w:lvl w:ilvl="4" w:tplc="E2800ABC">
      <w:start w:val="1"/>
      <w:numFmt w:val="bullet"/>
      <w:lvlText w:val="○"/>
      <w:lvlJc w:val="left"/>
      <w:pPr>
        <w:ind w:left="3600" w:hanging="360"/>
      </w:pPr>
      <w:rPr>
        <w:u w:val="none"/>
      </w:rPr>
    </w:lvl>
    <w:lvl w:ilvl="5" w:tplc="3D08EB14">
      <w:start w:val="1"/>
      <w:numFmt w:val="bullet"/>
      <w:lvlText w:val="■"/>
      <w:lvlJc w:val="left"/>
      <w:pPr>
        <w:ind w:left="4320" w:hanging="360"/>
      </w:pPr>
      <w:rPr>
        <w:u w:val="none"/>
      </w:rPr>
    </w:lvl>
    <w:lvl w:ilvl="6" w:tplc="FD647F5C">
      <w:start w:val="1"/>
      <w:numFmt w:val="bullet"/>
      <w:lvlText w:val="●"/>
      <w:lvlJc w:val="left"/>
      <w:pPr>
        <w:ind w:left="5040" w:hanging="360"/>
      </w:pPr>
      <w:rPr>
        <w:u w:val="none"/>
      </w:rPr>
    </w:lvl>
    <w:lvl w:ilvl="7" w:tplc="73D8C16A">
      <w:start w:val="1"/>
      <w:numFmt w:val="bullet"/>
      <w:lvlText w:val="○"/>
      <w:lvlJc w:val="left"/>
      <w:pPr>
        <w:ind w:left="5760" w:hanging="360"/>
      </w:pPr>
      <w:rPr>
        <w:u w:val="none"/>
      </w:rPr>
    </w:lvl>
    <w:lvl w:ilvl="8" w:tplc="B6FC8AE8">
      <w:start w:val="1"/>
      <w:numFmt w:val="bullet"/>
      <w:lvlText w:val="■"/>
      <w:lvlJc w:val="left"/>
      <w:pPr>
        <w:ind w:left="6480" w:hanging="360"/>
      </w:pPr>
      <w:rPr>
        <w:u w:val="none"/>
      </w:rPr>
    </w:lvl>
  </w:abstractNum>
  <w:abstractNum w:abstractNumId="14" w15:restartNumberingAfterBreak="0">
    <w:nsid w:val="64672196"/>
    <w:multiLevelType w:val="hybridMultilevel"/>
    <w:tmpl w:val="60169A68"/>
    <w:lvl w:ilvl="0" w:tplc="F7C03096">
      <w:start w:val="1"/>
      <w:numFmt w:val="bullet"/>
      <w:lvlText w:val="-"/>
      <w:lvlJc w:val="left"/>
      <w:pPr>
        <w:ind w:left="720" w:hanging="360"/>
      </w:pPr>
      <w:rPr>
        <w:u w:val="none"/>
      </w:rPr>
    </w:lvl>
    <w:lvl w:ilvl="1" w:tplc="37C4C0D8">
      <w:start w:val="1"/>
      <w:numFmt w:val="bullet"/>
      <w:lvlText w:val="-"/>
      <w:lvlJc w:val="left"/>
      <w:pPr>
        <w:ind w:left="1440" w:hanging="360"/>
      </w:pPr>
      <w:rPr>
        <w:u w:val="none"/>
      </w:rPr>
    </w:lvl>
    <w:lvl w:ilvl="2" w:tplc="D86C368C">
      <w:start w:val="1"/>
      <w:numFmt w:val="bullet"/>
      <w:lvlText w:val="-"/>
      <w:lvlJc w:val="left"/>
      <w:pPr>
        <w:ind w:left="2160" w:hanging="360"/>
      </w:pPr>
      <w:rPr>
        <w:u w:val="none"/>
      </w:rPr>
    </w:lvl>
    <w:lvl w:ilvl="3" w:tplc="E0D6F058">
      <w:start w:val="1"/>
      <w:numFmt w:val="bullet"/>
      <w:lvlText w:val="-"/>
      <w:lvlJc w:val="left"/>
      <w:pPr>
        <w:ind w:left="2880" w:hanging="360"/>
      </w:pPr>
      <w:rPr>
        <w:u w:val="none"/>
      </w:rPr>
    </w:lvl>
    <w:lvl w:ilvl="4" w:tplc="282ED9AA">
      <w:start w:val="1"/>
      <w:numFmt w:val="bullet"/>
      <w:lvlText w:val="-"/>
      <w:lvlJc w:val="left"/>
      <w:pPr>
        <w:ind w:left="3600" w:hanging="360"/>
      </w:pPr>
      <w:rPr>
        <w:u w:val="none"/>
      </w:rPr>
    </w:lvl>
    <w:lvl w:ilvl="5" w:tplc="E9B8C4B0">
      <w:start w:val="1"/>
      <w:numFmt w:val="bullet"/>
      <w:lvlText w:val="-"/>
      <w:lvlJc w:val="left"/>
      <w:pPr>
        <w:ind w:left="4320" w:hanging="360"/>
      </w:pPr>
      <w:rPr>
        <w:u w:val="none"/>
      </w:rPr>
    </w:lvl>
    <w:lvl w:ilvl="6" w:tplc="4B80C806">
      <w:start w:val="1"/>
      <w:numFmt w:val="bullet"/>
      <w:lvlText w:val="-"/>
      <w:lvlJc w:val="left"/>
      <w:pPr>
        <w:ind w:left="5040" w:hanging="360"/>
      </w:pPr>
      <w:rPr>
        <w:u w:val="none"/>
      </w:rPr>
    </w:lvl>
    <w:lvl w:ilvl="7" w:tplc="29F02DF8">
      <w:start w:val="1"/>
      <w:numFmt w:val="bullet"/>
      <w:lvlText w:val="-"/>
      <w:lvlJc w:val="left"/>
      <w:pPr>
        <w:ind w:left="5760" w:hanging="360"/>
      </w:pPr>
      <w:rPr>
        <w:u w:val="none"/>
      </w:rPr>
    </w:lvl>
    <w:lvl w:ilvl="8" w:tplc="0CBE50B4">
      <w:start w:val="1"/>
      <w:numFmt w:val="bullet"/>
      <w:lvlText w:val="-"/>
      <w:lvlJc w:val="left"/>
      <w:pPr>
        <w:ind w:left="6480" w:hanging="360"/>
      </w:pPr>
      <w:rPr>
        <w:u w:val="none"/>
      </w:rPr>
    </w:lvl>
  </w:abstractNum>
  <w:abstractNum w:abstractNumId="15" w15:restartNumberingAfterBreak="0">
    <w:nsid w:val="6ED36E5C"/>
    <w:multiLevelType w:val="hybridMultilevel"/>
    <w:tmpl w:val="FF7858C8"/>
    <w:lvl w:ilvl="0" w:tplc="5682334E">
      <w:start w:val="1"/>
      <w:numFmt w:val="bullet"/>
      <w:lvlText w:val="-"/>
      <w:lvlJc w:val="left"/>
      <w:pPr>
        <w:ind w:left="720" w:hanging="360"/>
      </w:pPr>
      <w:rPr>
        <w:u w:val="none"/>
      </w:rPr>
    </w:lvl>
    <w:lvl w:ilvl="1" w:tplc="BE02C570">
      <w:start w:val="1"/>
      <w:numFmt w:val="bullet"/>
      <w:lvlText w:val="-"/>
      <w:lvlJc w:val="left"/>
      <w:pPr>
        <w:ind w:left="1440" w:hanging="360"/>
      </w:pPr>
      <w:rPr>
        <w:u w:val="none"/>
      </w:rPr>
    </w:lvl>
    <w:lvl w:ilvl="2" w:tplc="E11449A2">
      <w:start w:val="1"/>
      <w:numFmt w:val="bullet"/>
      <w:lvlText w:val="-"/>
      <w:lvlJc w:val="left"/>
      <w:pPr>
        <w:ind w:left="2160" w:hanging="360"/>
      </w:pPr>
      <w:rPr>
        <w:u w:val="none"/>
      </w:rPr>
    </w:lvl>
    <w:lvl w:ilvl="3" w:tplc="220EEE12">
      <w:start w:val="1"/>
      <w:numFmt w:val="bullet"/>
      <w:lvlText w:val="-"/>
      <w:lvlJc w:val="left"/>
      <w:pPr>
        <w:ind w:left="2880" w:hanging="360"/>
      </w:pPr>
      <w:rPr>
        <w:u w:val="none"/>
      </w:rPr>
    </w:lvl>
    <w:lvl w:ilvl="4" w:tplc="CDC218D6">
      <w:start w:val="1"/>
      <w:numFmt w:val="bullet"/>
      <w:lvlText w:val="-"/>
      <w:lvlJc w:val="left"/>
      <w:pPr>
        <w:ind w:left="3600" w:hanging="360"/>
      </w:pPr>
      <w:rPr>
        <w:u w:val="none"/>
      </w:rPr>
    </w:lvl>
    <w:lvl w:ilvl="5" w:tplc="51D6F818">
      <w:start w:val="1"/>
      <w:numFmt w:val="bullet"/>
      <w:lvlText w:val="-"/>
      <w:lvlJc w:val="left"/>
      <w:pPr>
        <w:ind w:left="4320" w:hanging="360"/>
      </w:pPr>
      <w:rPr>
        <w:u w:val="none"/>
      </w:rPr>
    </w:lvl>
    <w:lvl w:ilvl="6" w:tplc="3F5C1C52">
      <w:start w:val="1"/>
      <w:numFmt w:val="bullet"/>
      <w:lvlText w:val="-"/>
      <w:lvlJc w:val="left"/>
      <w:pPr>
        <w:ind w:left="5040" w:hanging="360"/>
      </w:pPr>
      <w:rPr>
        <w:u w:val="none"/>
      </w:rPr>
    </w:lvl>
    <w:lvl w:ilvl="7" w:tplc="E424DD30">
      <w:start w:val="1"/>
      <w:numFmt w:val="bullet"/>
      <w:lvlText w:val="-"/>
      <w:lvlJc w:val="left"/>
      <w:pPr>
        <w:ind w:left="5760" w:hanging="360"/>
      </w:pPr>
      <w:rPr>
        <w:u w:val="none"/>
      </w:rPr>
    </w:lvl>
    <w:lvl w:ilvl="8" w:tplc="2B0A9746">
      <w:start w:val="1"/>
      <w:numFmt w:val="bullet"/>
      <w:lvlText w:val="-"/>
      <w:lvlJc w:val="left"/>
      <w:pPr>
        <w:ind w:left="6480" w:hanging="360"/>
      </w:pPr>
      <w:rPr>
        <w:u w:val="none"/>
      </w:rPr>
    </w:lvl>
  </w:abstractNum>
  <w:abstractNum w:abstractNumId="16" w15:restartNumberingAfterBreak="0">
    <w:nsid w:val="70C57C6E"/>
    <w:multiLevelType w:val="hybridMultilevel"/>
    <w:tmpl w:val="CAA6D798"/>
    <w:lvl w:ilvl="0" w:tplc="89805304">
      <w:start w:val="1"/>
      <w:numFmt w:val="bullet"/>
      <w:lvlText w:val="-"/>
      <w:lvlJc w:val="left"/>
      <w:pPr>
        <w:ind w:left="720" w:hanging="360"/>
      </w:pPr>
      <w:rPr>
        <w:u w:val="none"/>
      </w:rPr>
    </w:lvl>
    <w:lvl w:ilvl="1" w:tplc="34E6A1B4">
      <w:start w:val="1"/>
      <w:numFmt w:val="bullet"/>
      <w:lvlText w:val="-"/>
      <w:lvlJc w:val="left"/>
      <w:pPr>
        <w:ind w:left="1440" w:hanging="360"/>
      </w:pPr>
      <w:rPr>
        <w:u w:val="none"/>
      </w:rPr>
    </w:lvl>
    <w:lvl w:ilvl="2" w:tplc="F42829AA">
      <w:start w:val="1"/>
      <w:numFmt w:val="bullet"/>
      <w:lvlText w:val="-"/>
      <w:lvlJc w:val="left"/>
      <w:pPr>
        <w:ind w:left="2160" w:hanging="360"/>
      </w:pPr>
      <w:rPr>
        <w:u w:val="none"/>
      </w:rPr>
    </w:lvl>
    <w:lvl w:ilvl="3" w:tplc="EA00B88C">
      <w:start w:val="1"/>
      <w:numFmt w:val="bullet"/>
      <w:lvlText w:val="-"/>
      <w:lvlJc w:val="left"/>
      <w:pPr>
        <w:ind w:left="2880" w:hanging="360"/>
      </w:pPr>
      <w:rPr>
        <w:u w:val="none"/>
      </w:rPr>
    </w:lvl>
    <w:lvl w:ilvl="4" w:tplc="6EB6DA96">
      <w:start w:val="1"/>
      <w:numFmt w:val="bullet"/>
      <w:lvlText w:val="-"/>
      <w:lvlJc w:val="left"/>
      <w:pPr>
        <w:ind w:left="3600" w:hanging="360"/>
      </w:pPr>
      <w:rPr>
        <w:u w:val="none"/>
      </w:rPr>
    </w:lvl>
    <w:lvl w:ilvl="5" w:tplc="27CAFB9E">
      <w:start w:val="1"/>
      <w:numFmt w:val="bullet"/>
      <w:lvlText w:val="-"/>
      <w:lvlJc w:val="left"/>
      <w:pPr>
        <w:ind w:left="4320" w:hanging="360"/>
      </w:pPr>
      <w:rPr>
        <w:u w:val="none"/>
      </w:rPr>
    </w:lvl>
    <w:lvl w:ilvl="6" w:tplc="76CC1458">
      <w:start w:val="1"/>
      <w:numFmt w:val="bullet"/>
      <w:lvlText w:val="-"/>
      <w:lvlJc w:val="left"/>
      <w:pPr>
        <w:ind w:left="5040" w:hanging="360"/>
      </w:pPr>
      <w:rPr>
        <w:u w:val="none"/>
      </w:rPr>
    </w:lvl>
    <w:lvl w:ilvl="7" w:tplc="DE6C5E20">
      <w:start w:val="1"/>
      <w:numFmt w:val="bullet"/>
      <w:lvlText w:val="-"/>
      <w:lvlJc w:val="left"/>
      <w:pPr>
        <w:ind w:left="5760" w:hanging="360"/>
      </w:pPr>
      <w:rPr>
        <w:u w:val="none"/>
      </w:rPr>
    </w:lvl>
    <w:lvl w:ilvl="8" w:tplc="4C9C8BD6">
      <w:start w:val="1"/>
      <w:numFmt w:val="bullet"/>
      <w:lvlText w:val="-"/>
      <w:lvlJc w:val="left"/>
      <w:pPr>
        <w:ind w:left="6480" w:hanging="360"/>
      </w:pPr>
      <w:rPr>
        <w:u w:val="none"/>
      </w:rPr>
    </w:lvl>
  </w:abstractNum>
  <w:abstractNum w:abstractNumId="17" w15:restartNumberingAfterBreak="0">
    <w:nsid w:val="7BA9688D"/>
    <w:multiLevelType w:val="hybridMultilevel"/>
    <w:tmpl w:val="77F8CCA6"/>
    <w:lvl w:ilvl="0" w:tplc="87309B38">
      <w:start w:val="1"/>
      <w:numFmt w:val="bullet"/>
      <w:lvlText w:val="-"/>
      <w:lvlJc w:val="left"/>
      <w:pPr>
        <w:ind w:left="720" w:hanging="360"/>
      </w:pPr>
      <w:rPr>
        <w:u w:val="none"/>
      </w:rPr>
    </w:lvl>
    <w:lvl w:ilvl="1" w:tplc="1EE20F8A">
      <w:start w:val="1"/>
      <w:numFmt w:val="bullet"/>
      <w:lvlText w:val="-"/>
      <w:lvlJc w:val="left"/>
      <w:pPr>
        <w:ind w:left="1440" w:hanging="360"/>
      </w:pPr>
      <w:rPr>
        <w:u w:val="none"/>
      </w:rPr>
    </w:lvl>
    <w:lvl w:ilvl="2" w:tplc="8356EDE8">
      <w:start w:val="1"/>
      <w:numFmt w:val="bullet"/>
      <w:lvlText w:val="-"/>
      <w:lvlJc w:val="left"/>
      <w:pPr>
        <w:ind w:left="2160" w:hanging="360"/>
      </w:pPr>
      <w:rPr>
        <w:u w:val="none"/>
      </w:rPr>
    </w:lvl>
    <w:lvl w:ilvl="3" w:tplc="5EE6090C">
      <w:start w:val="1"/>
      <w:numFmt w:val="bullet"/>
      <w:lvlText w:val="-"/>
      <w:lvlJc w:val="left"/>
      <w:pPr>
        <w:ind w:left="2880" w:hanging="360"/>
      </w:pPr>
      <w:rPr>
        <w:u w:val="none"/>
      </w:rPr>
    </w:lvl>
    <w:lvl w:ilvl="4" w:tplc="7C7E814C">
      <w:start w:val="1"/>
      <w:numFmt w:val="bullet"/>
      <w:lvlText w:val="-"/>
      <w:lvlJc w:val="left"/>
      <w:pPr>
        <w:ind w:left="3600" w:hanging="360"/>
      </w:pPr>
      <w:rPr>
        <w:u w:val="none"/>
      </w:rPr>
    </w:lvl>
    <w:lvl w:ilvl="5" w:tplc="DCBEDD86">
      <w:start w:val="1"/>
      <w:numFmt w:val="bullet"/>
      <w:lvlText w:val="-"/>
      <w:lvlJc w:val="left"/>
      <w:pPr>
        <w:ind w:left="4320" w:hanging="360"/>
      </w:pPr>
      <w:rPr>
        <w:u w:val="none"/>
      </w:rPr>
    </w:lvl>
    <w:lvl w:ilvl="6" w:tplc="F350C554">
      <w:start w:val="1"/>
      <w:numFmt w:val="bullet"/>
      <w:lvlText w:val="-"/>
      <w:lvlJc w:val="left"/>
      <w:pPr>
        <w:ind w:left="5040" w:hanging="360"/>
      </w:pPr>
      <w:rPr>
        <w:u w:val="none"/>
      </w:rPr>
    </w:lvl>
    <w:lvl w:ilvl="7" w:tplc="E02477EA">
      <w:start w:val="1"/>
      <w:numFmt w:val="bullet"/>
      <w:lvlText w:val="-"/>
      <w:lvlJc w:val="left"/>
      <w:pPr>
        <w:ind w:left="5760" w:hanging="360"/>
      </w:pPr>
      <w:rPr>
        <w:u w:val="none"/>
      </w:rPr>
    </w:lvl>
    <w:lvl w:ilvl="8" w:tplc="C38E9018">
      <w:start w:val="1"/>
      <w:numFmt w:val="bullet"/>
      <w:lvlText w:val="-"/>
      <w:lvlJc w:val="left"/>
      <w:pPr>
        <w:ind w:left="6480" w:hanging="360"/>
      </w:pPr>
      <w:rPr>
        <w:u w:val="none"/>
      </w:rPr>
    </w:lvl>
  </w:abstractNum>
  <w:abstractNum w:abstractNumId="18" w15:restartNumberingAfterBreak="0">
    <w:nsid w:val="7D1274F1"/>
    <w:multiLevelType w:val="hybridMultilevel"/>
    <w:tmpl w:val="44BEA728"/>
    <w:lvl w:ilvl="0" w:tplc="45B0FB68">
      <w:start w:val="1"/>
      <w:numFmt w:val="bullet"/>
      <w:lvlText w:val="-"/>
      <w:lvlJc w:val="left"/>
      <w:pPr>
        <w:ind w:left="720" w:hanging="360"/>
      </w:pPr>
      <w:rPr>
        <w:u w:val="none"/>
      </w:rPr>
    </w:lvl>
    <w:lvl w:ilvl="1" w:tplc="674AE9E6">
      <w:start w:val="1"/>
      <w:numFmt w:val="bullet"/>
      <w:lvlText w:val="-"/>
      <w:lvlJc w:val="left"/>
      <w:pPr>
        <w:ind w:left="1440" w:hanging="360"/>
      </w:pPr>
      <w:rPr>
        <w:u w:val="none"/>
      </w:rPr>
    </w:lvl>
    <w:lvl w:ilvl="2" w:tplc="D56ADC5C">
      <w:start w:val="1"/>
      <w:numFmt w:val="bullet"/>
      <w:lvlText w:val="-"/>
      <w:lvlJc w:val="left"/>
      <w:pPr>
        <w:ind w:left="2160" w:hanging="360"/>
      </w:pPr>
      <w:rPr>
        <w:u w:val="none"/>
      </w:rPr>
    </w:lvl>
    <w:lvl w:ilvl="3" w:tplc="3ACC13A6">
      <w:start w:val="1"/>
      <w:numFmt w:val="bullet"/>
      <w:lvlText w:val="-"/>
      <w:lvlJc w:val="left"/>
      <w:pPr>
        <w:ind w:left="2880" w:hanging="360"/>
      </w:pPr>
      <w:rPr>
        <w:u w:val="none"/>
      </w:rPr>
    </w:lvl>
    <w:lvl w:ilvl="4" w:tplc="389E760E">
      <w:start w:val="1"/>
      <w:numFmt w:val="bullet"/>
      <w:lvlText w:val="-"/>
      <w:lvlJc w:val="left"/>
      <w:pPr>
        <w:ind w:left="3600" w:hanging="360"/>
      </w:pPr>
      <w:rPr>
        <w:u w:val="none"/>
      </w:rPr>
    </w:lvl>
    <w:lvl w:ilvl="5" w:tplc="5B60F3D6">
      <w:start w:val="1"/>
      <w:numFmt w:val="bullet"/>
      <w:lvlText w:val="-"/>
      <w:lvlJc w:val="left"/>
      <w:pPr>
        <w:ind w:left="4320" w:hanging="360"/>
      </w:pPr>
      <w:rPr>
        <w:u w:val="none"/>
      </w:rPr>
    </w:lvl>
    <w:lvl w:ilvl="6" w:tplc="EAAA2F1E">
      <w:start w:val="1"/>
      <w:numFmt w:val="bullet"/>
      <w:lvlText w:val="-"/>
      <w:lvlJc w:val="left"/>
      <w:pPr>
        <w:ind w:left="5040" w:hanging="360"/>
      </w:pPr>
      <w:rPr>
        <w:u w:val="none"/>
      </w:rPr>
    </w:lvl>
    <w:lvl w:ilvl="7" w:tplc="DED64B2A">
      <w:start w:val="1"/>
      <w:numFmt w:val="bullet"/>
      <w:lvlText w:val="-"/>
      <w:lvlJc w:val="left"/>
      <w:pPr>
        <w:ind w:left="5760" w:hanging="360"/>
      </w:pPr>
      <w:rPr>
        <w:u w:val="none"/>
      </w:rPr>
    </w:lvl>
    <w:lvl w:ilvl="8" w:tplc="07A6AAAA">
      <w:start w:val="1"/>
      <w:numFmt w:val="bullet"/>
      <w:lvlText w:val="-"/>
      <w:lvlJc w:val="left"/>
      <w:pPr>
        <w:ind w:left="6480" w:hanging="360"/>
      </w:pPr>
      <w:rPr>
        <w:u w:val="none"/>
      </w:rPr>
    </w:lvl>
  </w:abstractNum>
  <w:num w:numId="1">
    <w:abstractNumId w:val="6"/>
  </w:num>
  <w:num w:numId="2">
    <w:abstractNumId w:val="18"/>
  </w:num>
  <w:num w:numId="3">
    <w:abstractNumId w:val="12"/>
  </w:num>
  <w:num w:numId="4">
    <w:abstractNumId w:val="15"/>
  </w:num>
  <w:num w:numId="5">
    <w:abstractNumId w:val="14"/>
  </w:num>
  <w:num w:numId="6">
    <w:abstractNumId w:val="7"/>
  </w:num>
  <w:num w:numId="7">
    <w:abstractNumId w:val="0"/>
  </w:num>
  <w:num w:numId="8">
    <w:abstractNumId w:val="2"/>
  </w:num>
  <w:num w:numId="9">
    <w:abstractNumId w:val="11"/>
  </w:num>
  <w:num w:numId="10">
    <w:abstractNumId w:val="10"/>
  </w:num>
  <w:num w:numId="11">
    <w:abstractNumId w:val="5"/>
  </w:num>
  <w:num w:numId="12">
    <w:abstractNumId w:val="17"/>
  </w:num>
  <w:num w:numId="13">
    <w:abstractNumId w:val="3"/>
  </w:num>
  <w:num w:numId="14">
    <w:abstractNumId w:val="16"/>
  </w:num>
  <w:num w:numId="15">
    <w:abstractNumId w:val="1"/>
  </w:num>
  <w:num w:numId="16">
    <w:abstractNumId w:val="8"/>
  </w:num>
  <w:num w:numId="17">
    <w:abstractNumId w:val="4"/>
  </w:num>
  <w:num w:numId="18">
    <w:abstractNumId w:val="13"/>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F16"/>
    <w:rsid w:val="00011E5A"/>
    <w:rsid w:val="003246F8"/>
    <w:rsid w:val="00406B64"/>
    <w:rsid w:val="0049294A"/>
    <w:rsid w:val="0063610E"/>
    <w:rsid w:val="00667993"/>
    <w:rsid w:val="007C1EB1"/>
    <w:rsid w:val="00820DCF"/>
    <w:rsid w:val="008742BD"/>
    <w:rsid w:val="008E3F16"/>
    <w:rsid w:val="00957E8C"/>
    <w:rsid w:val="00977B7D"/>
    <w:rsid w:val="0098586A"/>
    <w:rsid w:val="00AA6424"/>
    <w:rsid w:val="00B6744D"/>
    <w:rsid w:val="00C95FBA"/>
    <w:rsid w:val="00D86922"/>
    <w:rsid w:val="00E7474E"/>
    <w:rsid w:val="00F85E2F"/>
    <w:rsid w:val="00F95A32"/>
    <w:rsid w:val="00FF02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08FB0"/>
  <w15:docId w15:val="{9DA0277C-C64D-4638-AC51-102D1FE54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uk"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link w:val="10"/>
    <w:pPr>
      <w:keepNext/>
      <w:keepLines/>
      <w:spacing w:before="400" w:after="120"/>
      <w:outlineLvl w:val="0"/>
    </w:pPr>
    <w:rPr>
      <w:sz w:val="40"/>
      <w:szCs w:val="40"/>
    </w:rPr>
  </w:style>
  <w:style w:type="paragraph" w:styleId="2">
    <w:name w:val="heading 2"/>
    <w:basedOn w:val="a"/>
    <w:next w:val="a"/>
    <w:link w:val="20"/>
    <w:pPr>
      <w:keepNext/>
      <w:keepLines/>
      <w:spacing w:before="360" w:after="120"/>
      <w:outlineLvl w:val="1"/>
    </w:pPr>
    <w:rPr>
      <w:sz w:val="32"/>
      <w:szCs w:val="32"/>
    </w:rPr>
  </w:style>
  <w:style w:type="paragraph" w:styleId="3">
    <w:name w:val="heading 3"/>
    <w:basedOn w:val="a"/>
    <w:next w:val="a"/>
    <w:link w:val="30"/>
    <w:pPr>
      <w:keepNext/>
      <w:keepLines/>
      <w:spacing w:before="320" w:after="80"/>
      <w:outlineLvl w:val="2"/>
    </w:pPr>
    <w:rPr>
      <w:color w:val="434343"/>
      <w:sz w:val="28"/>
      <w:szCs w:val="28"/>
    </w:rPr>
  </w:style>
  <w:style w:type="paragraph" w:styleId="4">
    <w:name w:val="heading 4"/>
    <w:basedOn w:val="a"/>
    <w:next w:val="a"/>
    <w:link w:val="40"/>
    <w:pPr>
      <w:keepNext/>
      <w:keepLines/>
      <w:spacing w:before="280" w:after="80"/>
      <w:outlineLvl w:val="3"/>
    </w:pPr>
    <w:rPr>
      <w:color w:val="666666"/>
      <w:sz w:val="24"/>
      <w:szCs w:val="24"/>
    </w:rPr>
  </w:style>
  <w:style w:type="paragraph" w:styleId="5">
    <w:name w:val="heading 5"/>
    <w:basedOn w:val="a"/>
    <w:next w:val="a"/>
    <w:link w:val="50"/>
    <w:pPr>
      <w:keepNext/>
      <w:keepLines/>
      <w:spacing w:before="240" w:after="80"/>
      <w:outlineLvl w:val="4"/>
    </w:pPr>
    <w:rPr>
      <w:color w:val="666666"/>
    </w:rPr>
  </w:style>
  <w:style w:type="paragraph" w:styleId="6">
    <w:name w:val="heading 6"/>
    <w:basedOn w:val="a"/>
    <w:next w:val="a"/>
    <w:link w:val="60"/>
    <w:pPr>
      <w:keepNext/>
      <w:keepLines/>
      <w:spacing w:before="240" w:after="80"/>
      <w:outlineLvl w:val="5"/>
    </w:pPr>
    <w:rPr>
      <w:i/>
      <w:color w:val="666666"/>
    </w:rPr>
  </w:style>
  <w:style w:type="paragraph" w:styleId="7">
    <w:name w:val="heading 7"/>
    <w:basedOn w:val="a"/>
    <w:next w:val="a"/>
    <w:link w:val="70"/>
    <w:uiPriority w:val="9"/>
    <w:unhideWhenUsed/>
    <w:qFormat/>
    <w:pPr>
      <w:keepNext/>
      <w:keepLines/>
      <w:spacing w:before="320" w:after="200"/>
      <w:outlineLvl w:val="6"/>
    </w:pPr>
    <w:rPr>
      <w:b/>
      <w:bCs/>
      <w:i/>
      <w:iCs/>
    </w:rPr>
  </w:style>
  <w:style w:type="paragraph" w:styleId="8">
    <w:name w:val="heading 8"/>
    <w:basedOn w:val="a"/>
    <w:next w:val="a"/>
    <w:link w:val="80"/>
    <w:uiPriority w:val="9"/>
    <w:unhideWhenUsed/>
    <w:qFormat/>
    <w:pPr>
      <w:keepNext/>
      <w:keepLines/>
      <w:spacing w:before="320" w:after="200"/>
      <w:outlineLvl w:val="7"/>
    </w:pPr>
    <w:rPr>
      <w:i/>
      <w:iCs/>
    </w:rPr>
  </w:style>
  <w:style w:type="paragraph" w:styleId="9">
    <w:name w:val="heading 9"/>
    <w:basedOn w:val="a"/>
    <w:next w:val="a"/>
    <w:link w:val="90"/>
    <w:uiPriority w:val="9"/>
    <w:unhideWhenUsed/>
    <w:qFormat/>
    <w:pPr>
      <w:keepNext/>
      <w:keepLines/>
      <w:spacing w:before="320" w:after="200"/>
      <w:outlineLvl w:val="8"/>
    </w:pPr>
    <w:rPr>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spacing w:line="240" w:lineRule="auto"/>
    </w:pPr>
  </w:style>
  <w:style w:type="character" w:customStyle="1" w:styleId="a5">
    <w:name w:val="Название Знак"/>
    <w:link w:val="a6"/>
    <w:uiPriority w:val="10"/>
    <w:rPr>
      <w:sz w:val="48"/>
      <w:szCs w:val="48"/>
    </w:rPr>
  </w:style>
  <w:style w:type="character" w:customStyle="1" w:styleId="a7">
    <w:name w:val="Подзаголовок Знак"/>
    <w:link w:val="a8"/>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7143"/>
        <w:tab w:val="right" w:pos="14287"/>
      </w:tabs>
      <w:spacing w:line="240" w:lineRule="auto"/>
    </w:pPr>
  </w:style>
  <w:style w:type="character" w:customStyle="1" w:styleId="ac">
    <w:name w:val="Верхний колонтитул Знак"/>
    <w:link w:val="ab"/>
    <w:uiPriority w:val="99"/>
  </w:style>
  <w:style w:type="paragraph" w:styleId="ad">
    <w:name w:val="footer"/>
    <w:basedOn w:val="a"/>
    <w:link w:val="ae"/>
    <w:uiPriority w:val="99"/>
    <w:unhideWhenUsed/>
    <w:pPr>
      <w:tabs>
        <w:tab w:val="center" w:pos="7143"/>
        <w:tab w:val="right" w:pos="14287"/>
      </w:tabs>
      <w:spacing w:line="240" w:lineRule="auto"/>
    </w:pPr>
  </w:style>
  <w:style w:type="character" w:customStyle="1" w:styleId="ae">
    <w:name w:val="Нижний колонтитул Знак"/>
    <w:link w:val="ad"/>
    <w:uiPriority w:val="99"/>
  </w:style>
  <w:style w:type="table" w:styleId="af">
    <w:name w:val="Table Grid"/>
    <w:basedOn w:val="a1"/>
    <w:uiPriority w:val="59"/>
    <w:pPr>
      <w:spacing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a1"/>
    <w:uiPriority w:val="59"/>
    <w:pPr>
      <w:spacing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23">
    <w:name w:val="Plain Table 2"/>
    <w:basedOn w:val="a1"/>
    <w:uiPriority w:val="59"/>
    <w:pPr>
      <w:spacing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41">
    <w:name w:val="Plain Table 4"/>
    <w:basedOn w:val="a1"/>
    <w:uiPriority w:val="99"/>
    <w:pPr>
      <w:spacing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51">
    <w:name w:val="Plain Table 5"/>
    <w:basedOn w:val="a1"/>
    <w:uiPriority w:val="99"/>
    <w:pPr>
      <w:spacing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1">
    <w:name w:val="Grid Table 1 Light"/>
    <w:basedOn w:val="a1"/>
    <w:uiPriority w:val="99"/>
    <w:pPr>
      <w:spacing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a1"/>
    <w:uiPriority w:val="99"/>
    <w:pPr>
      <w:spacing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1">
    <w:name w:val="Grid Table 1 Light - Accent 21"/>
    <w:basedOn w:val="a1"/>
    <w:uiPriority w:val="99"/>
    <w:pPr>
      <w:spacing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1">
    <w:name w:val="Grid Table 1 Light - Accent 31"/>
    <w:basedOn w:val="a1"/>
    <w:uiPriority w:val="99"/>
    <w:pPr>
      <w:spacing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1">
    <w:name w:val="Grid Table 1 Light - Accent 41"/>
    <w:basedOn w:val="a1"/>
    <w:uiPriority w:val="99"/>
    <w:pPr>
      <w:spacing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1">
    <w:name w:val="Grid Table 1 Light - Accent 51"/>
    <w:basedOn w:val="a1"/>
    <w:uiPriority w:val="99"/>
    <w:pPr>
      <w:spacing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1">
    <w:name w:val="Grid Table 1 Light - Accent 61"/>
    <w:basedOn w:val="a1"/>
    <w:uiPriority w:val="99"/>
    <w:pPr>
      <w:spacing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pPr>
      <w:spacing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1">
    <w:name w:val="Grid Table 2 - Accent 11"/>
    <w:basedOn w:val="a1"/>
    <w:uiPriority w:val="99"/>
    <w:pPr>
      <w:spacing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auto"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customStyle="1" w:styleId="GridTable2-Accent21">
    <w:name w:val="Grid Table 2 - Accent 21"/>
    <w:basedOn w:val="a1"/>
    <w:uiPriority w:val="99"/>
    <w:pPr>
      <w:spacing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auto"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2-Accent31">
    <w:name w:val="Grid Table 2 - Accent 31"/>
    <w:basedOn w:val="a1"/>
    <w:uiPriority w:val="99"/>
    <w:pPr>
      <w:spacing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auto"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2-Accent41">
    <w:name w:val="Grid Table 2 - Accent 41"/>
    <w:basedOn w:val="a1"/>
    <w:uiPriority w:val="99"/>
    <w:pPr>
      <w:spacing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auto"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2-Accent51">
    <w:name w:val="Grid Table 2 - Accent 51"/>
    <w:basedOn w:val="a1"/>
    <w:uiPriority w:val="99"/>
    <w:pPr>
      <w:spacing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2-Accent61">
    <w:name w:val="Grid Table 2 - Accent 61"/>
    <w:basedOn w:val="a1"/>
    <w:uiPriority w:val="99"/>
    <w:pPr>
      <w:spacing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styleId="-3">
    <w:name w:val="Grid Table 3"/>
    <w:basedOn w:val="a1"/>
    <w:uiPriority w:val="99"/>
    <w:pPr>
      <w:spacing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1">
    <w:name w:val="Grid Table 3 - Accent 11"/>
    <w:basedOn w:val="a1"/>
    <w:uiPriority w:val="99"/>
    <w:pPr>
      <w:spacing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customStyle="1" w:styleId="GridTable3-Accent21">
    <w:name w:val="Grid Table 3 - Accent 21"/>
    <w:basedOn w:val="a1"/>
    <w:uiPriority w:val="99"/>
    <w:pPr>
      <w:spacing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3-Accent31">
    <w:name w:val="Grid Table 3 - Accent 31"/>
    <w:basedOn w:val="a1"/>
    <w:uiPriority w:val="99"/>
    <w:pPr>
      <w:spacing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3-Accent41">
    <w:name w:val="Grid Table 3 - Accent 41"/>
    <w:basedOn w:val="a1"/>
    <w:uiPriority w:val="99"/>
    <w:pPr>
      <w:spacing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3-Accent51">
    <w:name w:val="Grid Table 3 - Accent 51"/>
    <w:basedOn w:val="a1"/>
    <w:uiPriority w:val="99"/>
    <w:pPr>
      <w:spacing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3-Accent61">
    <w:name w:val="Grid Table 3 - Accent 61"/>
    <w:basedOn w:val="a1"/>
    <w:uiPriority w:val="99"/>
    <w:pPr>
      <w:spacing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styleId="-4">
    <w:name w:val="Grid Table 4"/>
    <w:basedOn w:val="a1"/>
    <w:uiPriority w:val="59"/>
    <w:pPr>
      <w:spacing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1">
    <w:name w:val="Grid Table 4 - Accent 11"/>
    <w:basedOn w:val="a1"/>
    <w:uiPriority w:val="59"/>
    <w:pPr>
      <w:spacing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hemeFill="accent1" w:themeFillTint="32"/>
      </w:tcPr>
    </w:tblStylePr>
    <w:tblStylePr w:type="band1Horz">
      <w:rPr>
        <w:rFonts w:ascii="Arial" w:hAnsi="Arial"/>
        <w:color w:val="404040"/>
        <w:sz w:val="22"/>
      </w:rPr>
      <w:tblPr/>
      <w:tcPr>
        <w:shd w:val="clear" w:color="auto" w:fill="DCE6F2" w:themeFill="accent1" w:themeFillTint="32"/>
      </w:tcPr>
    </w:tblStylePr>
  </w:style>
  <w:style w:type="table" w:customStyle="1" w:styleId="GridTable4-Accent21">
    <w:name w:val="Grid Table 4 - Accent 21"/>
    <w:basedOn w:val="a1"/>
    <w:uiPriority w:val="59"/>
    <w:pPr>
      <w:spacing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4-Accent31">
    <w:name w:val="Grid Table 4 - Accent 31"/>
    <w:basedOn w:val="a1"/>
    <w:uiPriority w:val="59"/>
    <w:pPr>
      <w:spacing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4-Accent41">
    <w:name w:val="Grid Table 4 - Accent 41"/>
    <w:basedOn w:val="a1"/>
    <w:uiPriority w:val="59"/>
    <w:pPr>
      <w:spacing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4-Accent51">
    <w:name w:val="Grid Table 4 - Accent 51"/>
    <w:basedOn w:val="a1"/>
    <w:uiPriority w:val="59"/>
    <w:pPr>
      <w:spacing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4-Accent61">
    <w:name w:val="Grid Table 4 - Accent 61"/>
    <w:basedOn w:val="a1"/>
    <w:uiPriority w:val="59"/>
    <w:pPr>
      <w:spacing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styleId="-5">
    <w:name w:val="Grid Table 5 Dark"/>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hemeFill="accent1" w:themeFillTint="34"/>
    </w:tblPr>
    <w:tblStylePr w:type="firstRow">
      <w:rPr>
        <w:rFonts w:ascii="Arial" w:hAnsi="Arial"/>
        <w:b/>
        <w:color w:val="FFFFFF"/>
        <w:sz w:val="22"/>
      </w:rPr>
      <w:tblPr/>
      <w:tcPr>
        <w:shd w:val="clear" w:color="auto" w:fill="4F81BD" w:themeFill="accent1"/>
      </w:tcPr>
    </w:tblStylePr>
    <w:tblStylePr w:type="lastRow">
      <w:rPr>
        <w:rFonts w:ascii="Arial" w:hAnsi="Arial"/>
        <w:b/>
        <w:color w:val="FFFFFF"/>
        <w:sz w:val="22"/>
      </w:rPr>
      <w:tblPr/>
      <w:tcPr>
        <w:tcBorders>
          <w:top w:val="single" w:sz="4" w:space="0" w:color="FFFFFF" w:themeColor="light1"/>
        </w:tcBorders>
        <w:shd w:val="clear" w:color="auto" w:fill="4F81BD" w:themeFill="accent1"/>
      </w:tcPr>
    </w:tblStylePr>
    <w:tblStylePr w:type="firstCol">
      <w:rPr>
        <w:rFonts w:ascii="Arial" w:hAnsi="Arial"/>
        <w:b/>
        <w:color w:val="FFFFFF"/>
        <w:sz w:val="22"/>
      </w:rPr>
      <w:tblPr/>
      <w:tcPr>
        <w:shd w:val="clear" w:color="auto" w:fill="4F81BD" w:themeFill="accent1"/>
      </w:tcPr>
    </w:tblStylePr>
    <w:tblStylePr w:type="lastCol">
      <w:rPr>
        <w:rFonts w:ascii="Arial" w:hAnsi="Arial"/>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1">
    <w:name w:val="Grid Table 5 Dark - Accent 21"/>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hemeFill="accent2" w:themeFillTint="32"/>
    </w:tblPr>
    <w:tblStylePr w:type="firstRow">
      <w:rPr>
        <w:rFonts w:ascii="Arial" w:hAnsi="Arial"/>
        <w:b/>
        <w:color w:val="FFFFFF"/>
        <w:sz w:val="22"/>
      </w:rPr>
      <w:tblPr/>
      <w:tcPr>
        <w:shd w:val="clear" w:color="auto" w:fill="C0504D" w:themeFill="accent2"/>
      </w:tcPr>
    </w:tblStylePr>
    <w:tblStylePr w:type="lastRow">
      <w:rPr>
        <w:rFonts w:ascii="Arial" w:hAnsi="Arial"/>
        <w:b/>
        <w:color w:val="FFFFFF"/>
        <w:sz w:val="22"/>
      </w:rPr>
      <w:tblPr/>
      <w:tcPr>
        <w:tcBorders>
          <w:top w:val="single" w:sz="4" w:space="0" w:color="FFFFFF" w:themeColor="light1"/>
        </w:tcBorders>
        <w:shd w:val="clear" w:color="auto" w:fill="C0504D" w:themeFill="accent2"/>
      </w:tcPr>
    </w:tblStylePr>
    <w:tblStylePr w:type="firstCol">
      <w:rPr>
        <w:rFonts w:ascii="Arial" w:hAnsi="Arial"/>
        <w:b/>
        <w:color w:val="FFFFFF"/>
        <w:sz w:val="22"/>
      </w:rPr>
      <w:tblPr/>
      <w:tcPr>
        <w:shd w:val="clear" w:color="auto" w:fill="C0504D" w:themeFill="accent2"/>
      </w:tcPr>
    </w:tblStylePr>
    <w:tblStylePr w:type="lastCol">
      <w:rPr>
        <w:rFonts w:ascii="Arial" w:hAnsi="Arial"/>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1">
    <w:name w:val="Grid Table 5 Dark - Accent 31"/>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hemeFill="accent3" w:themeFillTint="34"/>
    </w:tblPr>
    <w:tblStylePr w:type="firstRow">
      <w:rPr>
        <w:rFonts w:ascii="Arial" w:hAnsi="Arial"/>
        <w:b/>
        <w:color w:val="FFFFFF"/>
        <w:sz w:val="22"/>
      </w:rPr>
      <w:tblPr/>
      <w:tcPr>
        <w:shd w:val="clear" w:color="auto" w:fill="9BBB59" w:themeFill="accent3"/>
      </w:tcPr>
    </w:tblStylePr>
    <w:tblStylePr w:type="lastRow">
      <w:rPr>
        <w:rFonts w:ascii="Arial" w:hAnsi="Arial"/>
        <w:b/>
        <w:color w:val="FFFFFF"/>
        <w:sz w:val="22"/>
      </w:rPr>
      <w:tblPr/>
      <w:tcPr>
        <w:tcBorders>
          <w:top w:val="single" w:sz="4" w:space="0" w:color="FFFFFF" w:themeColor="light1"/>
        </w:tcBorders>
        <w:shd w:val="clear" w:color="auto" w:fill="9BBB59" w:themeFill="accent3"/>
      </w:tcPr>
    </w:tblStylePr>
    <w:tblStylePr w:type="firstCol">
      <w:rPr>
        <w:rFonts w:ascii="Arial" w:hAnsi="Arial"/>
        <w:b/>
        <w:color w:val="FFFFFF"/>
        <w:sz w:val="22"/>
      </w:rPr>
      <w:tblPr/>
      <w:tcPr>
        <w:shd w:val="clear" w:color="auto" w:fill="9BBB59" w:themeFill="accent3"/>
      </w:tcPr>
    </w:tblStylePr>
    <w:tblStylePr w:type="lastCol">
      <w:rPr>
        <w:rFonts w:ascii="Arial" w:hAnsi="Arial"/>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hemeFill="accent4" w:themeFillTint="34"/>
    </w:tblPr>
    <w:tblStylePr w:type="firstRow">
      <w:rPr>
        <w:rFonts w:ascii="Arial" w:hAnsi="Arial"/>
        <w:b/>
        <w:color w:val="FFFFFF"/>
        <w:sz w:val="22"/>
      </w:rPr>
      <w:tblPr/>
      <w:tcPr>
        <w:shd w:val="clear" w:color="auto" w:fill="8064A2" w:themeFill="accent4"/>
      </w:tcPr>
    </w:tblStylePr>
    <w:tblStylePr w:type="lastRow">
      <w:rPr>
        <w:rFonts w:ascii="Arial" w:hAnsi="Arial"/>
        <w:b/>
        <w:color w:val="FFFFFF"/>
        <w:sz w:val="22"/>
      </w:rPr>
      <w:tblPr/>
      <w:tcPr>
        <w:tcBorders>
          <w:top w:val="single" w:sz="4" w:space="0" w:color="FFFFFF" w:themeColor="light1"/>
        </w:tcBorders>
        <w:shd w:val="clear" w:color="auto" w:fill="8064A2" w:themeFill="accent4"/>
      </w:tcPr>
    </w:tblStylePr>
    <w:tblStylePr w:type="firstCol">
      <w:rPr>
        <w:rFonts w:ascii="Arial" w:hAnsi="Arial"/>
        <w:b/>
        <w:color w:val="FFFFFF"/>
        <w:sz w:val="22"/>
      </w:rPr>
      <w:tblPr/>
      <w:tcPr>
        <w:shd w:val="clear" w:color="auto" w:fill="8064A2" w:themeFill="accent4"/>
      </w:tcPr>
    </w:tblStylePr>
    <w:tblStylePr w:type="lastCol">
      <w:rPr>
        <w:rFonts w:ascii="Arial" w:hAnsi="Arial"/>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1">
    <w:name w:val="Grid Table 5 Dark - Accent 51"/>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hemeFill="accent5" w:themeFillTint="34"/>
    </w:tblPr>
    <w:tblStylePr w:type="firstRow">
      <w:rPr>
        <w:rFonts w:ascii="Arial" w:hAnsi="Arial"/>
        <w:b/>
        <w:color w:val="FFFFFF"/>
        <w:sz w:val="22"/>
      </w:rPr>
      <w:tblPr/>
      <w:tcPr>
        <w:shd w:val="clear" w:color="auto" w:fill="4BACC6" w:themeFill="accent5"/>
      </w:tcPr>
    </w:tblStylePr>
    <w:tblStylePr w:type="lastRow">
      <w:rPr>
        <w:rFonts w:ascii="Arial" w:hAnsi="Arial"/>
        <w:b/>
        <w:color w:val="FFFFFF"/>
        <w:sz w:val="22"/>
      </w:rPr>
      <w:tblPr/>
      <w:tcPr>
        <w:tcBorders>
          <w:top w:val="single" w:sz="4" w:space="0" w:color="FFFFFF" w:themeColor="light1"/>
        </w:tcBorders>
        <w:shd w:val="clear" w:color="auto" w:fill="4BACC6" w:themeFill="accent5"/>
      </w:tcPr>
    </w:tblStylePr>
    <w:tblStylePr w:type="firstCol">
      <w:rPr>
        <w:rFonts w:ascii="Arial" w:hAnsi="Arial"/>
        <w:b/>
        <w:color w:val="FFFFFF"/>
        <w:sz w:val="22"/>
      </w:rPr>
      <w:tblPr/>
      <w:tcPr>
        <w:shd w:val="clear" w:color="auto" w:fill="4BACC6" w:themeFill="accent5"/>
      </w:tcPr>
    </w:tblStylePr>
    <w:tblStylePr w:type="lastCol">
      <w:rPr>
        <w:rFonts w:ascii="Arial" w:hAnsi="Arial"/>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1">
    <w:name w:val="Grid Table 5 Dark - Accent 61"/>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hemeFill="accent6" w:themeFillTint="34"/>
    </w:tblPr>
    <w:tblStylePr w:type="firstRow">
      <w:rPr>
        <w:rFonts w:ascii="Arial" w:hAnsi="Arial"/>
        <w:b/>
        <w:color w:val="FFFFFF"/>
        <w:sz w:val="22"/>
      </w:rPr>
      <w:tblPr/>
      <w:tcPr>
        <w:shd w:val="clear" w:color="auto" w:fill="F79646" w:themeFill="accent6"/>
      </w:tcPr>
    </w:tblStylePr>
    <w:tblStylePr w:type="lastRow">
      <w:rPr>
        <w:rFonts w:ascii="Arial" w:hAnsi="Arial"/>
        <w:b/>
        <w:color w:val="FFFFFF"/>
        <w:sz w:val="22"/>
      </w:rPr>
      <w:tblPr/>
      <w:tcPr>
        <w:tcBorders>
          <w:top w:val="single" w:sz="4" w:space="0" w:color="FFFFFF" w:themeColor="light1"/>
        </w:tcBorders>
        <w:shd w:val="clear" w:color="auto" w:fill="F79646" w:themeFill="accent6"/>
      </w:tcPr>
    </w:tblStylePr>
    <w:tblStylePr w:type="firstCol">
      <w:rPr>
        <w:rFonts w:ascii="Arial" w:hAnsi="Arial"/>
        <w:b/>
        <w:color w:val="FFFFFF"/>
        <w:sz w:val="22"/>
      </w:rPr>
      <w:tblPr/>
      <w:tcPr>
        <w:shd w:val="clear" w:color="auto" w:fill="F79646" w:themeFill="accent6"/>
      </w:tcPr>
    </w:tblStylePr>
    <w:tblStylePr w:type="lastCol">
      <w:rPr>
        <w:rFonts w:ascii="Arial" w:hAnsi="Arial"/>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6">
    <w:name w:val="Grid Table 6 Colorful"/>
    <w:basedOn w:val="a1"/>
    <w:uiPriority w:val="99"/>
    <w:pPr>
      <w:spacing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a1"/>
    <w:uiPriority w:val="99"/>
    <w:pPr>
      <w:spacing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1">
    <w:name w:val="Grid Table 6 Colorful - Accent 21"/>
    <w:basedOn w:val="a1"/>
    <w:uiPriority w:val="99"/>
    <w:pPr>
      <w:spacing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1">
    <w:name w:val="Grid Table 6 Colorful - Accent 31"/>
    <w:basedOn w:val="a1"/>
    <w:uiPriority w:val="99"/>
    <w:pPr>
      <w:spacing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1">
    <w:name w:val="Grid Table 6 Colorful - Accent 41"/>
    <w:basedOn w:val="a1"/>
    <w:uiPriority w:val="99"/>
    <w:pPr>
      <w:spacing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1">
    <w:name w:val="Grid Table 6 Colorful - Accent 51"/>
    <w:basedOn w:val="a1"/>
    <w:uiPriority w:val="99"/>
    <w:pPr>
      <w:spacing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1">
    <w:name w:val="Grid Table 6 Colorful - Accent 61"/>
    <w:basedOn w:val="a1"/>
    <w:uiPriority w:val="99"/>
    <w:pPr>
      <w:spacing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rFonts w:ascii="Arial" w:hAnsi="Arial"/>
        <w:color w:val="266779" w:themeColor="accent5" w:themeShade="95"/>
        <w:sz w:val="22"/>
      </w:rPr>
      <w:tblPr/>
      <w:tcPr>
        <w:shd w:val="clear" w:color="auto"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a1"/>
    <w:uiPriority w:val="99"/>
    <w:pPr>
      <w:spacing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auto"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auto" w:fill="FFFFFF"/>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1">
    <w:name w:val="Grid Table 7 Colorful - Accent 21"/>
    <w:basedOn w:val="a1"/>
    <w:uiPriority w:val="99"/>
    <w:pPr>
      <w:spacing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auto"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1">
    <w:name w:val="Grid Table 7 Colorful - Accent 31"/>
    <w:basedOn w:val="a1"/>
    <w:uiPriority w:val="99"/>
    <w:pPr>
      <w:spacing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auto"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auto" w:fill="FFFFFF"/>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1">
    <w:name w:val="Grid Table 7 Colorful - Accent 41"/>
    <w:basedOn w:val="a1"/>
    <w:uiPriority w:val="99"/>
    <w:pPr>
      <w:spacing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auto"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1">
    <w:name w:val="Grid Table 7 Colorful - Accent 51"/>
    <w:basedOn w:val="a1"/>
    <w:uiPriority w:val="99"/>
    <w:pPr>
      <w:spacing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auto"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auto" w:fill="FFFFFF"/>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1">
    <w:name w:val="Grid Table 7 Colorful - Accent 61"/>
    <w:basedOn w:val="a1"/>
    <w:uiPriority w:val="99"/>
    <w:pPr>
      <w:spacing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auto"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auto" w:fill="FFFFFF"/>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rFonts w:ascii="Arial" w:hAnsi="Arial"/>
        <w:color w:val="B15407" w:themeColor="accent6" w:themeShade="95"/>
        <w:sz w:val="22"/>
      </w:rPr>
      <w:tblPr/>
      <w:tcPr>
        <w:shd w:val="clear" w:color="auto"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1">
    <w:name w:val="List Table 1 Light - Accent 11"/>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1">
    <w:name w:val="List Table 1 Light - Accent 21"/>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1">
    <w:name w:val="List Table 1 Light - Accent 31"/>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1">
    <w:name w:val="List Table 1 Light - Accent 41"/>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1">
    <w:name w:val="List Table 1 Light - Accent 51"/>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1">
    <w:name w:val="List Table 1 Light - Accent 61"/>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20">
    <w:name w:val="List Table 2"/>
    <w:basedOn w:val="a1"/>
    <w:uiPriority w:val="99"/>
    <w:pPr>
      <w:spacing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1">
    <w:name w:val="List Table 2 - Accent 11"/>
    <w:basedOn w:val="a1"/>
    <w:uiPriority w:val="99"/>
    <w:pPr>
      <w:spacing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customStyle="1" w:styleId="ListTable2-Accent21">
    <w:name w:val="List Table 2 - Accent 21"/>
    <w:basedOn w:val="a1"/>
    <w:uiPriority w:val="99"/>
    <w:pPr>
      <w:spacing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customStyle="1" w:styleId="ListTable2-Accent31">
    <w:name w:val="List Table 2 - Accent 31"/>
    <w:basedOn w:val="a1"/>
    <w:uiPriority w:val="99"/>
    <w:pPr>
      <w:spacing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customStyle="1" w:styleId="ListTable2-Accent41">
    <w:name w:val="List Table 2 - Accent 41"/>
    <w:basedOn w:val="a1"/>
    <w:uiPriority w:val="99"/>
    <w:pPr>
      <w:spacing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customStyle="1" w:styleId="ListTable2-Accent51">
    <w:name w:val="List Table 2 - Accent 51"/>
    <w:basedOn w:val="a1"/>
    <w:uiPriority w:val="99"/>
    <w:pPr>
      <w:spacing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customStyle="1" w:styleId="ListTable2-Accent61">
    <w:name w:val="List Table 2 - Accent 61"/>
    <w:basedOn w:val="a1"/>
    <w:uiPriority w:val="99"/>
    <w:pPr>
      <w:spacing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styleId="-30">
    <w:name w:val="List Table 3"/>
    <w:basedOn w:val="a1"/>
    <w:uiPriority w:val="99"/>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a1"/>
    <w:uiPriority w:val="99"/>
    <w:pPr>
      <w:spacing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1">
    <w:name w:val="List Table 3 - Accent 21"/>
    <w:basedOn w:val="a1"/>
    <w:uiPriority w:val="99"/>
    <w:pPr>
      <w:spacing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1">
    <w:name w:val="List Table 3 - Accent 31"/>
    <w:basedOn w:val="a1"/>
    <w:uiPriority w:val="99"/>
    <w:pPr>
      <w:spacing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1">
    <w:name w:val="List Table 3 - Accent 41"/>
    <w:basedOn w:val="a1"/>
    <w:uiPriority w:val="99"/>
    <w:pPr>
      <w:spacing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1">
    <w:name w:val="List Table 3 - Accent 51"/>
    <w:basedOn w:val="a1"/>
    <w:uiPriority w:val="99"/>
    <w:pPr>
      <w:spacing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1">
    <w:name w:val="List Table 3 - Accent 61"/>
    <w:basedOn w:val="a1"/>
    <w:uiPriority w:val="99"/>
    <w:pPr>
      <w:spacing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1">
    <w:name w:val="List Table 4 - Accent 11"/>
    <w:basedOn w:val="a1"/>
    <w:uiPriority w:val="99"/>
    <w:pPr>
      <w:spacing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customStyle="1" w:styleId="ListTable4-Accent21">
    <w:name w:val="List Table 4 - Accent 21"/>
    <w:basedOn w:val="a1"/>
    <w:uiPriority w:val="99"/>
    <w:pPr>
      <w:spacing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customStyle="1" w:styleId="ListTable4-Accent31">
    <w:name w:val="List Table 4 - Accent 31"/>
    <w:basedOn w:val="a1"/>
    <w:uiPriority w:val="99"/>
    <w:pPr>
      <w:spacing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customStyle="1" w:styleId="ListTable4-Accent41">
    <w:name w:val="List Table 4 - Accent 41"/>
    <w:basedOn w:val="a1"/>
    <w:uiPriority w:val="99"/>
    <w:pPr>
      <w:spacing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customStyle="1" w:styleId="ListTable4-Accent51">
    <w:name w:val="List Table 4 - Accent 51"/>
    <w:basedOn w:val="a1"/>
    <w:uiPriority w:val="99"/>
    <w:pPr>
      <w:spacing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customStyle="1" w:styleId="ListTable4-Accent61">
    <w:name w:val="List Table 4 - Accent 61"/>
    <w:basedOn w:val="a1"/>
    <w:uiPriority w:val="99"/>
    <w:pPr>
      <w:spacing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styleId="-50">
    <w:name w:val="List Table 5 Dark"/>
    <w:basedOn w:val="a1"/>
    <w:uiPriority w:val="99"/>
    <w:pPr>
      <w:spacing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1">
    <w:name w:val="List Table 5 Dark - Accent 11"/>
    <w:basedOn w:val="a1"/>
    <w:uiPriority w:val="99"/>
    <w:pPr>
      <w:spacing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auto"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1">
    <w:name w:val="List Table 5 Dark - Accent 21"/>
    <w:basedOn w:val="a1"/>
    <w:uiPriority w:val="99"/>
    <w:pPr>
      <w:spacing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auto"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auto"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1">
    <w:name w:val="List Table 5 Dark - Accent 31"/>
    <w:basedOn w:val="a1"/>
    <w:uiPriority w:val="99"/>
    <w:pPr>
      <w:spacing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auto"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auto"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1">
    <w:name w:val="List Table 5 Dark - Accent 41"/>
    <w:basedOn w:val="a1"/>
    <w:uiPriority w:val="99"/>
    <w:pPr>
      <w:spacing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auto"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auto"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1">
    <w:name w:val="List Table 5 Dark - Accent 51"/>
    <w:basedOn w:val="a1"/>
    <w:uiPriority w:val="99"/>
    <w:pPr>
      <w:spacing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auto"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auto"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1">
    <w:name w:val="List Table 5 Dark - Accent 61"/>
    <w:basedOn w:val="a1"/>
    <w:uiPriority w:val="99"/>
    <w:pPr>
      <w:spacing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auto"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auto"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60">
    <w:name w:val="List Table 6 Colorful"/>
    <w:basedOn w:val="a1"/>
    <w:uiPriority w:val="99"/>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a1"/>
    <w:uiPriority w:val="99"/>
    <w:pPr>
      <w:spacing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1">
    <w:name w:val="List Table 6 Colorful - Accent 21"/>
    <w:basedOn w:val="a1"/>
    <w:uiPriority w:val="99"/>
    <w:pPr>
      <w:spacing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1">
    <w:name w:val="List Table 6 Colorful - Accent 31"/>
    <w:basedOn w:val="a1"/>
    <w:uiPriority w:val="99"/>
    <w:pPr>
      <w:spacing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1">
    <w:name w:val="List Table 6 Colorful - Accent 41"/>
    <w:basedOn w:val="a1"/>
    <w:uiPriority w:val="99"/>
    <w:pPr>
      <w:spacing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1">
    <w:name w:val="List Table 6 Colorful - Accent 51"/>
    <w:basedOn w:val="a1"/>
    <w:uiPriority w:val="99"/>
    <w:pPr>
      <w:spacing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1">
    <w:name w:val="List Table 6 Colorful - Accent 61"/>
    <w:basedOn w:val="a1"/>
    <w:uiPriority w:val="99"/>
    <w:pPr>
      <w:spacing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a1"/>
    <w:uiPriority w:val="99"/>
    <w:pPr>
      <w:spacing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1">
    <w:name w:val="List Table 7 Colorful - Accent 21"/>
    <w:basedOn w:val="a1"/>
    <w:uiPriority w:val="99"/>
    <w:pPr>
      <w:spacing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auto"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1">
    <w:name w:val="List Table 7 Colorful - Accent 31"/>
    <w:basedOn w:val="a1"/>
    <w:uiPriority w:val="99"/>
    <w:pPr>
      <w:spacing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auto"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auto" w:fill="FFFFFF"/>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1">
    <w:name w:val="List Table 7 Colorful - Accent 41"/>
    <w:basedOn w:val="a1"/>
    <w:uiPriority w:val="99"/>
    <w:pPr>
      <w:spacing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auto"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1">
    <w:name w:val="List Table 7 Colorful - Accent 51"/>
    <w:basedOn w:val="a1"/>
    <w:uiPriority w:val="99"/>
    <w:pPr>
      <w:spacing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auto"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auto" w:fill="FFFFFF"/>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1">
    <w:name w:val="List Table 7 Colorful - Accent 61"/>
    <w:basedOn w:val="a1"/>
    <w:uiPriority w:val="99"/>
    <w:pPr>
      <w:spacing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auto"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auto" w:fill="FFFFFF"/>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line="240" w:lineRule="auto"/>
    </w:pPr>
    <w:rPr>
      <w:color w:val="404040"/>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a1"/>
    <w:uiPriority w:val="99"/>
    <w:pPr>
      <w:spacing w:line="240" w:lineRule="auto"/>
    </w:pPr>
    <w:rPr>
      <w:color w:val="404040"/>
    </w:rPr>
    <w:tblPr>
      <w:tblStyleRowBandSize w:val="1"/>
      <w:tblStyleColBandSize w:val="1"/>
    </w:tblPr>
    <w:tblStylePr w:type="firstRow">
      <w:rPr>
        <w:rFonts w:ascii="Arial" w:hAnsi="Arial"/>
        <w:color w:val="F2F2F2"/>
        <w:sz w:val="22"/>
      </w:rPr>
      <w:tblPr/>
      <w:tcPr>
        <w:shd w:val="clear" w:color="auto" w:fill="5D8AC2" w:themeFill="accent1" w:themeFillTint="EA"/>
      </w:tcPr>
    </w:tblStylePr>
    <w:tblStylePr w:type="lastRow">
      <w:rPr>
        <w:rFonts w:ascii="Arial" w:hAnsi="Arial"/>
        <w:color w:val="F2F2F2"/>
        <w:sz w:val="22"/>
      </w:rPr>
      <w:tblPr/>
      <w:tcPr>
        <w:shd w:val="clear" w:color="auto" w:fill="5D8AC2" w:themeFill="accent1" w:themeFillTint="EA"/>
      </w:tcPr>
    </w:tblStylePr>
    <w:tblStylePr w:type="firstCol">
      <w:rPr>
        <w:rFonts w:ascii="Arial" w:hAnsi="Arial"/>
        <w:color w:val="F2F2F2"/>
        <w:sz w:val="22"/>
      </w:rPr>
      <w:tblPr/>
      <w:tcPr>
        <w:shd w:val="clear" w:color="auto" w:fill="5D8AC2" w:themeFill="accent1" w:themeFillTint="EA"/>
      </w:tcPr>
    </w:tblStylePr>
    <w:tblStylePr w:type="lastCol">
      <w:rPr>
        <w:rFonts w:ascii="Arial" w:hAnsi="Arial"/>
        <w:color w:val="F2F2F2"/>
        <w:sz w:val="22"/>
      </w:rPr>
      <w:tblPr/>
      <w:tcPr>
        <w:shd w:val="clear" w:color="auto"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hemeFill="accent1" w:themeFillTint="50"/>
      </w:tcPr>
    </w:tblStylePr>
  </w:style>
  <w:style w:type="table" w:customStyle="1" w:styleId="Lined-Accent2">
    <w:name w:val="Lined - Accent 2"/>
    <w:basedOn w:val="a1"/>
    <w:uiPriority w:val="99"/>
    <w:pPr>
      <w:spacing w:line="240" w:lineRule="auto"/>
    </w:pPr>
    <w:rPr>
      <w:color w:val="404040"/>
    </w:rPr>
    <w:tblPr>
      <w:tblStyleRowBandSize w:val="1"/>
      <w:tblStyleColBandSize w:val="1"/>
    </w:tblPr>
    <w:tblStylePr w:type="firstRow">
      <w:rPr>
        <w:rFonts w:ascii="Arial" w:hAnsi="Arial"/>
        <w:color w:val="F2F2F2"/>
        <w:sz w:val="22"/>
      </w:rPr>
      <w:tblPr/>
      <w:tcPr>
        <w:shd w:val="clear" w:color="auto" w:fill="D99695" w:themeFill="accent2" w:themeFillTint="97"/>
      </w:tcPr>
    </w:tblStylePr>
    <w:tblStylePr w:type="lastRow">
      <w:rPr>
        <w:rFonts w:ascii="Arial" w:hAnsi="Arial"/>
        <w:color w:val="F2F2F2"/>
        <w:sz w:val="22"/>
      </w:rPr>
      <w:tblPr/>
      <w:tcPr>
        <w:shd w:val="clear" w:color="auto" w:fill="D99695" w:themeFill="accent2" w:themeFillTint="97"/>
      </w:tcPr>
    </w:tblStylePr>
    <w:tblStylePr w:type="firstCol">
      <w:rPr>
        <w:rFonts w:ascii="Arial" w:hAnsi="Arial"/>
        <w:color w:val="F2F2F2"/>
        <w:sz w:val="22"/>
      </w:rPr>
      <w:tblPr/>
      <w:tcPr>
        <w:shd w:val="clear" w:color="auto" w:fill="D99695" w:themeFill="accent2" w:themeFillTint="97"/>
      </w:tcPr>
    </w:tblStylePr>
    <w:tblStylePr w:type="lastCol">
      <w:rPr>
        <w:rFonts w:ascii="Arial" w:hAnsi="Arial"/>
        <w:color w:val="F2F2F2"/>
        <w:sz w:val="22"/>
      </w:rPr>
      <w:tblPr/>
      <w:tcPr>
        <w:shd w:val="clear" w:color="auto"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hemeFill="accent2" w:themeFillTint="32"/>
      </w:tcPr>
    </w:tblStylePr>
  </w:style>
  <w:style w:type="table" w:customStyle="1" w:styleId="Lined-Accent3">
    <w:name w:val="Lined - Accent 3"/>
    <w:basedOn w:val="a1"/>
    <w:uiPriority w:val="99"/>
    <w:pPr>
      <w:spacing w:line="240" w:lineRule="auto"/>
    </w:pPr>
    <w:rPr>
      <w:color w:val="404040"/>
    </w:rPr>
    <w:tblPr>
      <w:tblStyleRowBandSize w:val="1"/>
      <w:tblStyleColBandSize w:val="1"/>
    </w:tblPr>
    <w:tblStylePr w:type="firstRow">
      <w:rPr>
        <w:rFonts w:ascii="Arial" w:hAnsi="Arial"/>
        <w:color w:val="F2F2F2"/>
        <w:sz w:val="22"/>
      </w:rPr>
      <w:tblPr/>
      <w:tcPr>
        <w:shd w:val="clear" w:color="auto" w:fill="9ABB59" w:themeFill="accent3" w:themeFillTint="FE"/>
      </w:tcPr>
    </w:tblStylePr>
    <w:tblStylePr w:type="lastRow">
      <w:rPr>
        <w:rFonts w:ascii="Arial" w:hAnsi="Arial"/>
        <w:color w:val="F2F2F2"/>
        <w:sz w:val="22"/>
      </w:rPr>
      <w:tblPr/>
      <w:tcPr>
        <w:shd w:val="clear" w:color="auto" w:fill="9ABB59" w:themeFill="accent3" w:themeFillTint="FE"/>
      </w:tcPr>
    </w:tblStylePr>
    <w:tblStylePr w:type="firstCol">
      <w:rPr>
        <w:rFonts w:ascii="Arial" w:hAnsi="Arial"/>
        <w:color w:val="F2F2F2"/>
        <w:sz w:val="22"/>
      </w:rPr>
      <w:tblPr/>
      <w:tcPr>
        <w:shd w:val="clear" w:color="auto" w:fill="9ABB59" w:themeFill="accent3" w:themeFillTint="FE"/>
      </w:tcPr>
    </w:tblStylePr>
    <w:tblStylePr w:type="lastCol">
      <w:rPr>
        <w:rFonts w:ascii="Arial" w:hAnsi="Arial"/>
        <w:color w:val="F2F2F2"/>
        <w:sz w:val="22"/>
      </w:rPr>
      <w:tblPr/>
      <w:tcPr>
        <w:shd w:val="clear" w:color="auto"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hemeFill="accent3" w:themeFillTint="34"/>
      </w:tcPr>
    </w:tblStylePr>
  </w:style>
  <w:style w:type="table" w:customStyle="1" w:styleId="Lined-Accent4">
    <w:name w:val="Lined - Accent 4"/>
    <w:basedOn w:val="a1"/>
    <w:uiPriority w:val="99"/>
    <w:pPr>
      <w:spacing w:line="240" w:lineRule="auto"/>
    </w:pPr>
    <w:rPr>
      <w:color w:val="404040"/>
    </w:rPr>
    <w:tblPr>
      <w:tblStyleRowBandSize w:val="1"/>
      <w:tblStyleColBandSize w:val="1"/>
    </w:tblPr>
    <w:tblStylePr w:type="firstRow">
      <w:rPr>
        <w:rFonts w:ascii="Arial" w:hAnsi="Arial"/>
        <w:color w:val="F2F2F2"/>
        <w:sz w:val="22"/>
      </w:rPr>
      <w:tblPr/>
      <w:tcPr>
        <w:shd w:val="clear" w:color="auto" w:fill="B2A1C6" w:themeFill="accent4" w:themeFillTint="9A"/>
      </w:tcPr>
    </w:tblStylePr>
    <w:tblStylePr w:type="lastRow">
      <w:rPr>
        <w:rFonts w:ascii="Arial" w:hAnsi="Arial"/>
        <w:color w:val="F2F2F2"/>
        <w:sz w:val="22"/>
      </w:rPr>
      <w:tblPr/>
      <w:tcPr>
        <w:shd w:val="clear" w:color="auto" w:fill="B2A1C6" w:themeFill="accent4" w:themeFillTint="9A"/>
      </w:tcPr>
    </w:tblStylePr>
    <w:tblStylePr w:type="firstCol">
      <w:rPr>
        <w:rFonts w:ascii="Arial" w:hAnsi="Arial"/>
        <w:color w:val="F2F2F2"/>
        <w:sz w:val="22"/>
      </w:rPr>
      <w:tblPr/>
      <w:tcPr>
        <w:shd w:val="clear" w:color="auto" w:fill="B2A1C6" w:themeFill="accent4" w:themeFillTint="9A"/>
      </w:tcPr>
    </w:tblStylePr>
    <w:tblStylePr w:type="lastCol">
      <w:rPr>
        <w:rFonts w:ascii="Arial" w:hAnsi="Arial"/>
        <w:color w:val="F2F2F2"/>
        <w:sz w:val="22"/>
      </w:rPr>
      <w:tbl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hemeFill="accent4" w:themeFillTint="34"/>
      </w:tcPr>
    </w:tblStylePr>
  </w:style>
  <w:style w:type="table" w:customStyle="1" w:styleId="Lined-Accent5">
    <w:name w:val="Lined - Accent 5"/>
    <w:basedOn w:val="a1"/>
    <w:uiPriority w:val="99"/>
    <w:pPr>
      <w:spacing w:line="240" w:lineRule="auto"/>
    </w:pPr>
    <w:rPr>
      <w:color w:val="404040"/>
    </w:rPr>
    <w:tblPr>
      <w:tblStyleRowBandSize w:val="1"/>
      <w:tblStyleColBandSize w:val="1"/>
    </w:tblPr>
    <w:tblStylePr w:type="firstRow">
      <w:rPr>
        <w:rFonts w:ascii="Arial" w:hAnsi="Arial"/>
        <w:color w:val="F2F2F2"/>
        <w:sz w:val="22"/>
      </w:rPr>
      <w:tblPr/>
      <w:tcPr>
        <w:shd w:val="clear" w:color="auto" w:fill="4BACC6" w:themeFill="accent5"/>
      </w:tcPr>
    </w:tblStylePr>
    <w:tblStylePr w:type="lastRow">
      <w:rPr>
        <w:rFonts w:ascii="Arial" w:hAnsi="Arial"/>
        <w:color w:val="F2F2F2"/>
        <w:sz w:val="22"/>
      </w:rPr>
      <w:tblPr/>
      <w:tcPr>
        <w:shd w:val="clear" w:color="auto" w:fill="4BACC6" w:themeFill="accent5"/>
      </w:tcPr>
    </w:tblStylePr>
    <w:tblStylePr w:type="firstCol">
      <w:rPr>
        <w:rFonts w:ascii="Arial" w:hAnsi="Arial"/>
        <w:color w:val="F2F2F2"/>
        <w:sz w:val="22"/>
      </w:rPr>
      <w:tblPr/>
      <w:tcPr>
        <w:shd w:val="clear" w:color="auto" w:fill="4BACC6" w:themeFill="accent5"/>
      </w:tcPr>
    </w:tblStylePr>
    <w:tblStylePr w:type="lastCol">
      <w:rPr>
        <w:rFonts w:ascii="Arial" w:hAnsi="Arial"/>
        <w:color w:val="F2F2F2"/>
        <w:sz w:val="22"/>
      </w:rPr>
      <w:tbl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hemeFill="accent5" w:themeFillTint="34"/>
      </w:tcPr>
    </w:tblStylePr>
  </w:style>
  <w:style w:type="table" w:customStyle="1" w:styleId="Lined-Accent6">
    <w:name w:val="Lined - Accent 6"/>
    <w:basedOn w:val="a1"/>
    <w:uiPriority w:val="99"/>
    <w:pPr>
      <w:spacing w:line="240" w:lineRule="auto"/>
    </w:pPr>
    <w:rPr>
      <w:color w:val="404040"/>
    </w:rPr>
    <w:tblPr>
      <w:tblStyleRowBandSize w:val="1"/>
      <w:tblStyleColBandSize w:val="1"/>
    </w:tblPr>
    <w:tblStylePr w:type="firstRow">
      <w:rPr>
        <w:rFonts w:ascii="Arial" w:hAnsi="Arial"/>
        <w:color w:val="F2F2F2"/>
        <w:sz w:val="22"/>
      </w:rPr>
      <w:tblPr/>
      <w:tcPr>
        <w:shd w:val="clear" w:color="auto" w:fill="F79646" w:themeFill="accent6"/>
      </w:tcPr>
    </w:tblStylePr>
    <w:tblStylePr w:type="lastRow">
      <w:rPr>
        <w:rFonts w:ascii="Arial" w:hAnsi="Arial"/>
        <w:color w:val="F2F2F2"/>
        <w:sz w:val="22"/>
      </w:rPr>
      <w:tblPr/>
      <w:tcPr>
        <w:shd w:val="clear" w:color="auto" w:fill="F79646" w:themeFill="accent6"/>
      </w:tcPr>
    </w:tblStylePr>
    <w:tblStylePr w:type="firstCol">
      <w:rPr>
        <w:rFonts w:ascii="Arial" w:hAnsi="Arial"/>
        <w:color w:val="F2F2F2"/>
        <w:sz w:val="22"/>
      </w:rPr>
      <w:tblPr/>
      <w:tcPr>
        <w:shd w:val="clear" w:color="auto" w:fill="F79646" w:themeFill="accent6"/>
      </w:tcPr>
    </w:tblStylePr>
    <w:tblStylePr w:type="lastCol">
      <w:rPr>
        <w:rFonts w:ascii="Arial" w:hAnsi="Arial"/>
        <w:color w:val="F2F2F2"/>
        <w:sz w:val="22"/>
      </w:rPr>
      <w:tbl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hemeFill="accent6" w:themeFillTint="34"/>
      </w:tcPr>
    </w:tblStylePr>
  </w:style>
  <w:style w:type="table" w:customStyle="1" w:styleId="BorderedLined-Accent">
    <w:name w:val="Bordered &amp; Lined - Accent"/>
    <w:basedOn w:val="a1"/>
    <w:uiPriority w:val="99"/>
    <w:pPr>
      <w:spacing w:line="240" w:lineRule="auto"/>
    </w:pPr>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a1"/>
    <w:uiPriority w:val="99"/>
    <w:pPr>
      <w:spacing w:line="240" w:lineRule="auto"/>
    </w:pPr>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auto" w:fill="5D8AC2" w:themeFill="accent1" w:themeFillTint="EA"/>
      </w:tcPr>
    </w:tblStylePr>
    <w:tblStylePr w:type="lastRow">
      <w:rPr>
        <w:rFonts w:ascii="Arial" w:hAnsi="Arial"/>
        <w:color w:val="F2F2F2"/>
        <w:sz w:val="22"/>
      </w:rPr>
      <w:tblPr/>
      <w:tcPr>
        <w:shd w:val="clear" w:color="auto" w:fill="5D8AC2" w:themeFill="accent1" w:themeFillTint="EA"/>
      </w:tcPr>
    </w:tblStylePr>
    <w:tblStylePr w:type="firstCol">
      <w:rPr>
        <w:rFonts w:ascii="Arial" w:hAnsi="Arial"/>
        <w:color w:val="F2F2F2"/>
        <w:sz w:val="22"/>
      </w:rPr>
      <w:tblPr/>
      <w:tcPr>
        <w:shd w:val="clear" w:color="auto" w:fill="5D8AC2" w:themeFill="accent1" w:themeFillTint="EA"/>
      </w:tcPr>
    </w:tblStylePr>
    <w:tblStylePr w:type="lastCol">
      <w:rPr>
        <w:rFonts w:ascii="Arial" w:hAnsi="Arial"/>
        <w:color w:val="F2F2F2"/>
        <w:sz w:val="22"/>
      </w:rPr>
      <w:tblPr/>
      <w:tcPr>
        <w:shd w:val="clear" w:color="auto"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hemeFill="accent1" w:themeFillTint="50"/>
      </w:tcPr>
    </w:tblStylePr>
  </w:style>
  <w:style w:type="table" w:customStyle="1" w:styleId="BorderedLined-Accent2">
    <w:name w:val="Bordered &amp; Lined - Accent 2"/>
    <w:basedOn w:val="a1"/>
    <w:uiPriority w:val="99"/>
    <w:pPr>
      <w:spacing w:line="240" w:lineRule="auto"/>
    </w:pPr>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auto" w:fill="D99695" w:themeFill="accent2" w:themeFillTint="97"/>
      </w:tcPr>
    </w:tblStylePr>
    <w:tblStylePr w:type="lastRow">
      <w:rPr>
        <w:rFonts w:ascii="Arial" w:hAnsi="Arial"/>
        <w:color w:val="F2F2F2"/>
        <w:sz w:val="22"/>
      </w:rPr>
      <w:tblPr/>
      <w:tcPr>
        <w:shd w:val="clear" w:color="auto" w:fill="D99695" w:themeFill="accent2" w:themeFillTint="97"/>
      </w:tcPr>
    </w:tblStylePr>
    <w:tblStylePr w:type="firstCol">
      <w:rPr>
        <w:rFonts w:ascii="Arial" w:hAnsi="Arial"/>
        <w:color w:val="F2F2F2"/>
        <w:sz w:val="22"/>
      </w:rPr>
      <w:tblPr/>
      <w:tcPr>
        <w:shd w:val="clear" w:color="auto" w:fill="D99695" w:themeFill="accent2" w:themeFillTint="97"/>
      </w:tcPr>
    </w:tblStylePr>
    <w:tblStylePr w:type="lastCol">
      <w:rPr>
        <w:rFonts w:ascii="Arial" w:hAnsi="Arial"/>
        <w:color w:val="F2F2F2"/>
        <w:sz w:val="22"/>
      </w:rPr>
      <w:tblPr/>
      <w:tcPr>
        <w:shd w:val="clear" w:color="auto"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hemeFill="accent2" w:themeFillTint="32"/>
      </w:tcPr>
    </w:tblStylePr>
  </w:style>
  <w:style w:type="table" w:customStyle="1" w:styleId="BorderedLined-Accent3">
    <w:name w:val="Bordered &amp; Lined - Accent 3"/>
    <w:basedOn w:val="a1"/>
    <w:uiPriority w:val="99"/>
    <w:pPr>
      <w:spacing w:line="240" w:lineRule="auto"/>
    </w:pPr>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auto" w:fill="9ABB59" w:themeFill="accent3" w:themeFillTint="FE"/>
      </w:tcPr>
    </w:tblStylePr>
    <w:tblStylePr w:type="lastRow">
      <w:rPr>
        <w:rFonts w:ascii="Arial" w:hAnsi="Arial"/>
        <w:color w:val="F2F2F2"/>
        <w:sz w:val="22"/>
      </w:rPr>
      <w:tblPr/>
      <w:tcPr>
        <w:shd w:val="clear" w:color="auto" w:fill="9ABB59" w:themeFill="accent3" w:themeFillTint="FE"/>
      </w:tcPr>
    </w:tblStylePr>
    <w:tblStylePr w:type="firstCol">
      <w:rPr>
        <w:rFonts w:ascii="Arial" w:hAnsi="Arial"/>
        <w:color w:val="F2F2F2"/>
        <w:sz w:val="22"/>
      </w:rPr>
      <w:tblPr/>
      <w:tcPr>
        <w:shd w:val="clear" w:color="auto" w:fill="9ABB59" w:themeFill="accent3" w:themeFillTint="FE"/>
      </w:tcPr>
    </w:tblStylePr>
    <w:tblStylePr w:type="lastCol">
      <w:rPr>
        <w:rFonts w:ascii="Arial" w:hAnsi="Arial"/>
        <w:color w:val="F2F2F2"/>
        <w:sz w:val="22"/>
      </w:rPr>
      <w:tblPr/>
      <w:tcPr>
        <w:shd w:val="clear" w:color="auto"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hemeFill="accent3" w:themeFillTint="34"/>
      </w:tcPr>
    </w:tblStylePr>
  </w:style>
  <w:style w:type="table" w:customStyle="1" w:styleId="BorderedLined-Accent4">
    <w:name w:val="Bordered &amp; Lined - Accent 4"/>
    <w:basedOn w:val="a1"/>
    <w:uiPriority w:val="99"/>
    <w:pPr>
      <w:spacing w:line="240" w:lineRule="auto"/>
    </w:pPr>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auto" w:fill="B2A1C6" w:themeFill="accent4" w:themeFillTint="9A"/>
      </w:tcPr>
    </w:tblStylePr>
    <w:tblStylePr w:type="lastRow">
      <w:rPr>
        <w:rFonts w:ascii="Arial" w:hAnsi="Arial"/>
        <w:color w:val="F2F2F2"/>
        <w:sz w:val="22"/>
      </w:rPr>
      <w:tblPr/>
      <w:tcPr>
        <w:shd w:val="clear" w:color="auto" w:fill="B2A1C6" w:themeFill="accent4" w:themeFillTint="9A"/>
      </w:tcPr>
    </w:tblStylePr>
    <w:tblStylePr w:type="firstCol">
      <w:rPr>
        <w:rFonts w:ascii="Arial" w:hAnsi="Arial"/>
        <w:color w:val="F2F2F2"/>
        <w:sz w:val="22"/>
      </w:rPr>
      <w:tblPr/>
      <w:tcPr>
        <w:shd w:val="clear" w:color="auto" w:fill="B2A1C6" w:themeFill="accent4" w:themeFillTint="9A"/>
      </w:tcPr>
    </w:tblStylePr>
    <w:tblStylePr w:type="lastCol">
      <w:rPr>
        <w:rFonts w:ascii="Arial" w:hAnsi="Arial"/>
        <w:color w:val="F2F2F2"/>
        <w:sz w:val="22"/>
      </w:rPr>
      <w:tbl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hemeFill="accent4" w:themeFillTint="34"/>
      </w:tcPr>
    </w:tblStylePr>
  </w:style>
  <w:style w:type="table" w:customStyle="1" w:styleId="BorderedLined-Accent5">
    <w:name w:val="Bordered &amp; Lined - Accent 5"/>
    <w:basedOn w:val="a1"/>
    <w:uiPriority w:val="99"/>
    <w:pPr>
      <w:spacing w:line="240" w:lineRule="auto"/>
    </w:pPr>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auto" w:fill="4BACC6" w:themeFill="accent5"/>
      </w:tcPr>
    </w:tblStylePr>
    <w:tblStylePr w:type="lastRow">
      <w:rPr>
        <w:rFonts w:ascii="Arial" w:hAnsi="Arial"/>
        <w:color w:val="F2F2F2"/>
        <w:sz w:val="22"/>
      </w:rPr>
      <w:tblPr/>
      <w:tcPr>
        <w:shd w:val="clear" w:color="auto" w:fill="4BACC6" w:themeFill="accent5"/>
      </w:tcPr>
    </w:tblStylePr>
    <w:tblStylePr w:type="firstCol">
      <w:rPr>
        <w:rFonts w:ascii="Arial" w:hAnsi="Arial"/>
        <w:color w:val="F2F2F2"/>
        <w:sz w:val="22"/>
      </w:rPr>
      <w:tblPr/>
      <w:tcPr>
        <w:shd w:val="clear" w:color="auto" w:fill="4BACC6" w:themeFill="accent5"/>
      </w:tcPr>
    </w:tblStylePr>
    <w:tblStylePr w:type="lastCol">
      <w:rPr>
        <w:rFonts w:ascii="Arial" w:hAnsi="Arial"/>
        <w:color w:val="F2F2F2"/>
        <w:sz w:val="22"/>
      </w:rPr>
      <w:tbl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hemeFill="accent5" w:themeFillTint="34"/>
      </w:tcPr>
    </w:tblStylePr>
  </w:style>
  <w:style w:type="table" w:customStyle="1" w:styleId="BorderedLined-Accent6">
    <w:name w:val="Bordered &amp; Lined - Accent 6"/>
    <w:basedOn w:val="a1"/>
    <w:uiPriority w:val="99"/>
    <w:pPr>
      <w:spacing w:line="240" w:lineRule="auto"/>
    </w:pPr>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auto" w:fill="F79646" w:themeFill="accent6"/>
      </w:tcPr>
    </w:tblStylePr>
    <w:tblStylePr w:type="lastRow">
      <w:rPr>
        <w:rFonts w:ascii="Arial" w:hAnsi="Arial"/>
        <w:color w:val="F2F2F2"/>
        <w:sz w:val="22"/>
      </w:rPr>
      <w:tblPr/>
      <w:tcPr>
        <w:shd w:val="clear" w:color="auto" w:fill="F79646" w:themeFill="accent6"/>
      </w:tcPr>
    </w:tblStylePr>
    <w:tblStylePr w:type="firstCol">
      <w:rPr>
        <w:rFonts w:ascii="Arial" w:hAnsi="Arial"/>
        <w:color w:val="F2F2F2"/>
        <w:sz w:val="22"/>
      </w:rPr>
      <w:tblPr/>
      <w:tcPr>
        <w:shd w:val="clear" w:color="auto" w:fill="F79646" w:themeFill="accent6"/>
      </w:tcPr>
    </w:tblStylePr>
    <w:tblStylePr w:type="lastCol">
      <w:rPr>
        <w:rFonts w:ascii="Arial" w:hAnsi="Arial"/>
        <w:color w:val="F2F2F2"/>
        <w:sz w:val="22"/>
      </w:rPr>
      <w:tbl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hemeFill="accent6" w:themeFillTint="34"/>
      </w:tcPr>
    </w:tblStylePr>
  </w:style>
  <w:style w:type="table" w:customStyle="1" w:styleId="Bordered">
    <w:name w:val="Bordered"/>
    <w:basedOn w:val="a1"/>
    <w:uiPriority w:val="99"/>
    <w:pPr>
      <w:spacing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0">
    <w:name w:val="Hyperlink"/>
    <w:uiPriority w:val="99"/>
    <w:unhideWhenUsed/>
    <w:rPr>
      <w:color w:val="0000FF" w:themeColor="hyperlink"/>
      <w:u w:val="single"/>
    </w:rPr>
  </w:style>
  <w:style w:type="paragraph" w:styleId="af1">
    <w:name w:val="footnote text"/>
    <w:basedOn w:val="a"/>
    <w:link w:val="af2"/>
    <w:uiPriority w:val="99"/>
    <w:semiHidden/>
    <w:unhideWhenUsed/>
    <w:pPr>
      <w:spacing w:after="40" w:line="240" w:lineRule="auto"/>
    </w:pPr>
    <w:rPr>
      <w:sz w:val="18"/>
    </w:rPr>
  </w:style>
  <w:style w:type="character" w:customStyle="1" w:styleId="af2">
    <w:name w:val="Текст сноски Знак"/>
    <w:link w:val="af1"/>
    <w:uiPriority w:val="99"/>
    <w:rPr>
      <w:sz w:val="18"/>
    </w:rPr>
  </w:style>
  <w:style w:type="character" w:styleId="af3">
    <w:name w:val="footnote reference"/>
    <w:uiPriority w:val="99"/>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4">
    <w:name w:val="TOC Heading"/>
    <w:uiPriority w:val="39"/>
    <w:unhideWhenUsed/>
  </w:style>
  <w:style w:type="table" w:customStyle="1" w:styleId="TableNormal1">
    <w:name w:val="Table Normal1"/>
    <w:tblPr>
      <w:tblCellMar>
        <w:top w:w="0" w:type="dxa"/>
        <w:left w:w="0" w:type="dxa"/>
        <w:bottom w:w="0" w:type="dxa"/>
        <w:right w:w="0" w:type="dxa"/>
      </w:tblCellMar>
    </w:tblPr>
  </w:style>
  <w:style w:type="paragraph" w:styleId="a6">
    <w:name w:val="Title"/>
    <w:basedOn w:val="a"/>
    <w:next w:val="a"/>
    <w:link w:val="a5"/>
    <w:pPr>
      <w:keepNext/>
      <w:keepLines/>
      <w:spacing w:after="60"/>
    </w:pPr>
    <w:rPr>
      <w:sz w:val="52"/>
      <w:szCs w:val="52"/>
    </w:rPr>
  </w:style>
  <w:style w:type="paragraph" w:styleId="a8">
    <w:name w:val="Subtitle"/>
    <w:basedOn w:val="a"/>
    <w:next w:val="a"/>
    <w:link w:val="a7"/>
    <w:pPr>
      <w:keepNext/>
      <w:keepLines/>
      <w:spacing w:after="320"/>
    </w:pPr>
    <w:rPr>
      <w:color w:val="666666"/>
      <w:sz w:val="30"/>
      <w:szCs w:val="30"/>
    </w:rPr>
  </w:style>
  <w:style w:type="table" w:customStyle="1" w:styleId="StGen0">
    <w:name w:val="StGen0"/>
    <w:basedOn w:val="TableNormal1"/>
    <w:tblPr>
      <w:tblStyleRowBandSize w:val="1"/>
      <w:tblStyleColBandSize w:val="1"/>
      <w:tblCellMar>
        <w:top w:w="100" w:type="dxa"/>
        <w:left w:w="100" w:type="dxa"/>
        <w:bottom w:w="100" w:type="dxa"/>
        <w:right w:w="100" w:type="dxa"/>
      </w:tblCellMar>
    </w:tblPr>
  </w:style>
  <w:style w:type="table" w:customStyle="1" w:styleId="StGen1">
    <w:name w:val="StGen1"/>
    <w:basedOn w:val="TableNormal1"/>
    <w:tblPr>
      <w:tblStyleRowBandSize w:val="1"/>
      <w:tblStyleColBandSize w:val="1"/>
      <w:tblCellMar>
        <w:top w:w="100" w:type="dxa"/>
        <w:left w:w="100" w:type="dxa"/>
        <w:bottom w:w="100" w:type="dxa"/>
        <w:right w:w="100" w:type="dxa"/>
      </w:tblCellMar>
    </w:tblPr>
  </w:style>
  <w:style w:type="table" w:customStyle="1" w:styleId="StGen2">
    <w:name w:val="StGen2"/>
    <w:basedOn w:val="TableNormal1"/>
    <w:tblPr>
      <w:tblStyleRowBandSize w:val="1"/>
      <w:tblStyleColBandSize w:val="1"/>
      <w:tblCellMar>
        <w:top w:w="100" w:type="dxa"/>
        <w:left w:w="100" w:type="dxa"/>
        <w:bottom w:w="100" w:type="dxa"/>
        <w:right w:w="100" w:type="dxa"/>
      </w:tblCellMar>
    </w:tblPr>
  </w:style>
  <w:style w:type="table" w:customStyle="1" w:styleId="StGen3">
    <w:name w:val="StGen3"/>
    <w:basedOn w:val="TableNormal1"/>
    <w:tblPr>
      <w:tblStyleRowBandSize w:val="1"/>
      <w:tblStyleColBandSize w:val="1"/>
      <w:tblCellMar>
        <w:top w:w="100" w:type="dxa"/>
        <w:left w:w="100" w:type="dxa"/>
        <w:bottom w:w="100" w:type="dxa"/>
        <w:right w:w="100" w:type="dxa"/>
      </w:tblCellMar>
    </w:tblPr>
  </w:style>
  <w:style w:type="table" w:customStyle="1" w:styleId="StGen4">
    <w:name w:val="StGen4"/>
    <w:basedOn w:val="TableNormal1"/>
    <w:tblPr>
      <w:tblStyleRowBandSize w:val="1"/>
      <w:tblStyleColBandSize w:val="1"/>
      <w:tblCellMar>
        <w:top w:w="100" w:type="dxa"/>
        <w:left w:w="100" w:type="dxa"/>
        <w:bottom w:w="100" w:type="dxa"/>
        <w:right w:w="100" w:type="dxa"/>
      </w:tblCellMar>
    </w:tblPr>
  </w:style>
  <w:style w:type="table" w:customStyle="1" w:styleId="StGen5">
    <w:name w:val="StGen5"/>
    <w:basedOn w:val="TableNormal1"/>
    <w:tblPr>
      <w:tblStyleRowBandSize w:val="1"/>
      <w:tblStyleColBandSize w:val="1"/>
      <w:tblCellMar>
        <w:top w:w="100" w:type="dxa"/>
        <w:left w:w="100" w:type="dxa"/>
        <w:bottom w:w="100" w:type="dxa"/>
        <w:right w:w="100" w:type="dxa"/>
      </w:tblCellMar>
    </w:tblPr>
  </w:style>
  <w:style w:type="paragraph" w:styleId="af5">
    <w:name w:val="annotation text"/>
    <w:basedOn w:val="a"/>
    <w:link w:val="af6"/>
    <w:uiPriority w:val="99"/>
    <w:semiHidden/>
    <w:unhideWhenUsed/>
    <w:pPr>
      <w:spacing w:line="240" w:lineRule="auto"/>
    </w:pPr>
    <w:rPr>
      <w:sz w:val="20"/>
      <w:szCs w:val="20"/>
    </w:rPr>
  </w:style>
  <w:style w:type="character" w:customStyle="1" w:styleId="af6">
    <w:name w:val="Текст примечания Знак"/>
    <w:basedOn w:val="a0"/>
    <w:link w:val="af5"/>
    <w:uiPriority w:val="99"/>
    <w:semiHidden/>
    <w:rPr>
      <w:sz w:val="20"/>
      <w:szCs w:val="20"/>
    </w:rPr>
  </w:style>
  <w:style w:type="character" w:styleId="af7">
    <w:name w:val="annotation reference"/>
    <w:basedOn w:val="a0"/>
    <w:uiPriority w:val="99"/>
    <w:semiHidden/>
    <w:unhideWhenUsed/>
    <w:rPr>
      <w:sz w:val="16"/>
      <w:szCs w:val="16"/>
    </w:rPr>
  </w:style>
  <w:style w:type="paragraph" w:styleId="af8">
    <w:name w:val="Balloon Text"/>
    <w:basedOn w:val="a"/>
    <w:link w:val="af9"/>
    <w:uiPriority w:val="99"/>
    <w:semiHidden/>
    <w:unhideWhenUsed/>
    <w:rsid w:val="00C95FBA"/>
    <w:pPr>
      <w:spacing w:line="240" w:lineRule="auto"/>
    </w:pPr>
    <w:rPr>
      <w:rFonts w:ascii="Segoe UI" w:hAnsi="Segoe UI" w:cs="Segoe UI"/>
      <w:sz w:val="18"/>
      <w:szCs w:val="18"/>
    </w:rPr>
  </w:style>
  <w:style w:type="character" w:customStyle="1" w:styleId="af9">
    <w:name w:val="Текст выноски Знак"/>
    <w:basedOn w:val="a0"/>
    <w:link w:val="af8"/>
    <w:uiPriority w:val="99"/>
    <w:semiHidden/>
    <w:rsid w:val="00C95FBA"/>
    <w:rPr>
      <w:rFonts w:ascii="Segoe UI" w:hAnsi="Segoe UI" w:cs="Segoe UI"/>
      <w:sz w:val="18"/>
      <w:szCs w:val="18"/>
    </w:rPr>
  </w:style>
  <w:style w:type="paragraph" w:styleId="afa">
    <w:name w:val="annotation subject"/>
    <w:basedOn w:val="af5"/>
    <w:next w:val="af5"/>
    <w:link w:val="afb"/>
    <w:uiPriority w:val="99"/>
    <w:semiHidden/>
    <w:unhideWhenUsed/>
    <w:rsid w:val="00406B64"/>
    <w:rPr>
      <w:b/>
      <w:bCs/>
    </w:rPr>
  </w:style>
  <w:style w:type="character" w:customStyle="1" w:styleId="afb">
    <w:name w:val="Тема примечания Знак"/>
    <w:basedOn w:val="af6"/>
    <w:link w:val="afa"/>
    <w:uiPriority w:val="99"/>
    <w:semiHidden/>
    <w:rsid w:val="00406B6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0.png"/><Relationship Id="rId18" Type="http://schemas.openxmlformats.org/officeDocument/2006/relationships/image" Target="media/image5.png"/><Relationship Id="rId26" Type="http://schemas.openxmlformats.org/officeDocument/2006/relationships/hyperlink" Target="http://www.r2p.org.ua" TargetMode="External"/><Relationship Id="rId3" Type="http://schemas.openxmlformats.org/officeDocument/2006/relationships/customXml" Target="../customXml/item3.xml"/><Relationship Id="rId21" Type="http://schemas.openxmlformats.org/officeDocument/2006/relationships/image" Target="media/image60.png"/><Relationship Id="rId34" Type="http://schemas.openxmlformats.org/officeDocument/2006/relationships/theme" Target="theme/theme1.xml"/><Relationship Id="rId7" Type="http://schemas.openxmlformats.org/officeDocument/2006/relationships/webSettings" Target="webSettings.xml"/><Relationship Id="rId17" Type="http://schemas.openxmlformats.org/officeDocument/2006/relationships/image" Target="media/image40.png"/><Relationship Id="rId25" Type="http://schemas.openxmlformats.org/officeDocument/2006/relationships/hyperlink" Target="http://krymsos.com/"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png"/><Relationship Id="rId29" Type="http://schemas.openxmlformats.org/officeDocument/2006/relationships/hyperlink" Target="http://radnyk.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www.donbasssos.org" TargetMode="External"/><Relationship Id="rId32" Type="http://schemas.openxmlformats.org/officeDocument/2006/relationships/hyperlink" Target="https://crimeahrg.org/" TargetMode="External"/><Relationship Id="rId5" Type="http://schemas.openxmlformats.org/officeDocument/2006/relationships/styles" Target="styles.xml"/><Relationship Id="rId15" Type="http://schemas.openxmlformats.org/officeDocument/2006/relationships/image" Target="media/image30.png"/><Relationship Id="rId23" Type="http://schemas.openxmlformats.org/officeDocument/2006/relationships/image" Target="media/image8.jpg"/><Relationship Id="rId28" Type="http://schemas.openxmlformats.org/officeDocument/2006/relationships/hyperlink" Target="https://www.vplyv.org.ua/" TargetMode="External"/><Relationship Id="rId10" Type="http://schemas.openxmlformats.org/officeDocument/2006/relationships/image" Target="media/image1.jpg"/><Relationship Id="rId19" Type="http://schemas.openxmlformats.org/officeDocument/2006/relationships/image" Target="media/image50.png"/><Relationship Id="rId31" Type="http://schemas.openxmlformats.org/officeDocument/2006/relationships/hyperlink" Target="https://org.zmina.inf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image" Target="media/image7.jpg"/><Relationship Id="rId27" Type="http://schemas.openxmlformats.org/officeDocument/2006/relationships/hyperlink" Target="http://vostok-sos.org/" TargetMode="External"/><Relationship Id="rId30" Type="http://schemas.openxmlformats.org/officeDocument/2006/relationships/hyperlink" Target="https://sss-ua.org" TargetMode="External"/><Relationship Id="rId35" Type="http://schemas.microsoft.com/office/2016/09/relationships/commentsIds" Target="commentsIds.xml"/><Relationship Id="rId8"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zakon.rada.gov.ua/rada/show/v2123805-17" TargetMode="External"/><Relationship Id="rId13" Type="http://schemas.openxmlformats.org/officeDocument/2006/relationships/hyperlink" Target="https://bit.ly/37bTZrl" TargetMode="External"/><Relationship Id="rId3" Type="http://schemas.openxmlformats.org/officeDocument/2006/relationships/hyperlink" Target="https://zakon.rada.gov.ua/laws/show/423-2015-%D0%BF" TargetMode="External"/><Relationship Id="rId7" Type="http://schemas.openxmlformats.org/officeDocument/2006/relationships/hyperlink" Target="https://supreme.court.gov.ua/supreme/inshe/zrazkovi_spravu/zr_rish_805_402_18" TargetMode="External"/><Relationship Id="rId12" Type="http://schemas.openxmlformats.org/officeDocument/2006/relationships/hyperlink" Target="http://r2p.org.ua/wp-content/uploads/2019/12/EECP-Report-November_UKR.pdf" TargetMode="External"/><Relationship Id="rId2" Type="http://schemas.openxmlformats.org/officeDocument/2006/relationships/hyperlink" Target="https://program.kmu.gov.ua/meta/vnutrisno-peremiseni-osobi-ta-meskanci-timcasovo-okupovanih-teritorij-doneckoi-ta-luganskoi-oblastej-ta-ar-krim-so-reintegrovani-do-sucasnogo-ukrainskogo-prostoru" TargetMode="External"/><Relationship Id="rId1" Type="http://schemas.openxmlformats.org/officeDocument/2006/relationships/hyperlink" Target="https://program.kmu.gov.ua/" TargetMode="External"/><Relationship Id="rId6" Type="http://schemas.openxmlformats.org/officeDocument/2006/relationships/hyperlink" Target="http://www.donbasssos.org/digest_pracevlashtyv_vpo/" TargetMode="External"/><Relationship Id="rId11" Type="http://schemas.openxmlformats.org/officeDocument/2006/relationships/hyperlink" Target="http://w1.c1.rada.gov.ua/pls/zweb2/webproc4_1?pf3511=67473" TargetMode="External"/><Relationship Id="rId5" Type="http://schemas.openxmlformats.org/officeDocument/2006/relationships/hyperlink" Target="https://reliefweb.int/report/ukraine/national-monitoring-system-report-situation-internally-displaced-persons-june-2019" TargetMode="External"/><Relationship Id="rId15" Type="http://schemas.openxmlformats.org/officeDocument/2006/relationships/hyperlink" Target="https://crimeahrg.org/en/no-ukrainian-language-media-school-has-remained-in-crimea/" TargetMode="External"/><Relationship Id="rId10" Type="http://schemas.openxmlformats.org/officeDocument/2006/relationships/hyperlink" Target="http://www.donbasssos.org/dydzhest-365/" TargetMode="External"/><Relationship Id="rId4" Type="http://schemas.openxmlformats.org/officeDocument/2006/relationships/hyperlink" Target="https://bit.ly/2RwhAfO" TargetMode="External"/><Relationship Id="rId9" Type="http://schemas.openxmlformats.org/officeDocument/2006/relationships/hyperlink" Target="https://zakon.rada.gov.ua/laws/show/997_107" TargetMode="External"/><Relationship Id="rId14" Type="http://schemas.openxmlformats.org/officeDocument/2006/relationships/hyperlink" Target="https://radnyk.org/wp-content/uploads/2019/10/Doslidnyczkyj-zvit-Dity-yakyh-torknuvsya-zbrojnyj-konflikt-v-Ukrayini-.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35D306-F58F-4B72-AD8E-F425D342BFF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58E130A-244B-4DB6-AEE8-173D42916948}"/>
</file>

<file path=customXml/itemProps3.xml><?xml version="1.0" encoding="utf-8"?>
<ds:datastoreItem xmlns:ds="http://schemas.openxmlformats.org/officeDocument/2006/customXml" ds:itemID="{F1CE77B0-9271-44B4-AA96-0294C1CAFC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16</Pages>
  <Words>6320</Words>
  <Characters>36024</Characters>
  <Application>Microsoft Office Word</Application>
  <DocSecurity>0</DocSecurity>
  <Lines>300</Lines>
  <Paragraphs>84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Alena Lunova</dc:creator>
  <cp:lastModifiedBy>Alena Lunova</cp:lastModifiedBy>
  <cp:revision>4</cp:revision>
  <dcterms:created xsi:type="dcterms:W3CDTF">2020-01-23T22:05:00Z</dcterms:created>
  <dcterms:modified xsi:type="dcterms:W3CDTF">2020-01-24T14:59:00Z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