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0E8" w:rsidRPr="005D769C" w:rsidRDefault="005B40E8" w:rsidP="00F97ED8">
      <w:pPr>
        <w:spacing w:line="360" w:lineRule="auto"/>
        <w:rPr>
          <w:rFonts w:ascii="Calibri" w:hAnsi="Calibri" w:cs="Calibri"/>
          <w:sz w:val="24"/>
          <w:szCs w:val="24"/>
        </w:rPr>
      </w:pPr>
      <w:r w:rsidRPr="005D769C">
        <w:rPr>
          <w:rFonts w:ascii="Calibri" w:hAnsi="Calibri" w:cs="Calibri"/>
          <w:sz w:val="24"/>
          <w:szCs w:val="24"/>
        </w:rPr>
        <w:t xml:space="preserve">The Australian delegation thanks the Committee for the constructive engagement over the past two days. We greatly appreciate the interest all Committee </w:t>
      </w:r>
      <w:r w:rsidR="00BE2C7C">
        <w:rPr>
          <w:rFonts w:ascii="Calibri" w:hAnsi="Calibri" w:cs="Calibri"/>
          <w:sz w:val="24"/>
          <w:szCs w:val="24"/>
        </w:rPr>
        <w:t>members have shown</w:t>
      </w:r>
      <w:r w:rsidRPr="005D769C">
        <w:rPr>
          <w:rFonts w:ascii="Calibri" w:hAnsi="Calibri" w:cs="Calibri"/>
          <w:sz w:val="24"/>
          <w:szCs w:val="24"/>
        </w:rPr>
        <w:t xml:space="preserve"> in the situation for people with disabilities in Australia. In response to the supplementary questions asked of the delegation at the close of the appearance session, we provide the following response.</w:t>
      </w:r>
    </w:p>
    <w:p w:rsidR="005B40E8" w:rsidRPr="005D769C" w:rsidRDefault="005B40E8" w:rsidP="005D769C">
      <w:pPr>
        <w:spacing w:line="360" w:lineRule="auto"/>
        <w:rPr>
          <w:rFonts w:ascii="Calibri" w:hAnsi="Calibri" w:cs="Calibri"/>
          <w:sz w:val="24"/>
          <w:szCs w:val="24"/>
        </w:rPr>
      </w:pPr>
      <w:r w:rsidRPr="005D769C">
        <w:rPr>
          <w:rFonts w:ascii="Calibri" w:hAnsi="Calibri" w:cs="Calibri"/>
          <w:sz w:val="24"/>
          <w:szCs w:val="24"/>
        </w:rPr>
        <w:t xml:space="preserve">Australia maintains its position that the </w:t>
      </w:r>
      <w:r w:rsidR="00BE2C7C">
        <w:rPr>
          <w:rFonts w:ascii="Calibri" w:hAnsi="Calibri" w:cs="Calibri"/>
          <w:sz w:val="24"/>
          <w:szCs w:val="24"/>
        </w:rPr>
        <w:t>most effective way</w:t>
      </w:r>
      <w:r w:rsidRPr="005D769C">
        <w:rPr>
          <w:rFonts w:ascii="Calibri" w:hAnsi="Calibri" w:cs="Calibri"/>
          <w:sz w:val="24"/>
          <w:szCs w:val="24"/>
        </w:rPr>
        <w:t xml:space="preserve"> to realise the rights under the Convention could take the form of legislation, policy or programs as appropriate. The </w:t>
      </w:r>
      <w:r w:rsidRPr="005D769C">
        <w:rPr>
          <w:rFonts w:ascii="Calibri" w:hAnsi="Calibri" w:cs="Calibri"/>
          <w:i/>
          <w:sz w:val="24"/>
          <w:szCs w:val="24"/>
        </w:rPr>
        <w:t xml:space="preserve">Disability Discrimination Act 1992 </w:t>
      </w:r>
      <w:r w:rsidRPr="005D769C">
        <w:rPr>
          <w:rFonts w:ascii="Calibri" w:hAnsi="Calibri" w:cs="Calibri"/>
          <w:sz w:val="24"/>
          <w:szCs w:val="24"/>
        </w:rPr>
        <w:t>(</w:t>
      </w:r>
      <w:proofErr w:type="spellStart"/>
      <w:r w:rsidRPr="005D769C">
        <w:rPr>
          <w:rFonts w:ascii="Calibri" w:hAnsi="Calibri" w:cs="Calibri"/>
          <w:sz w:val="24"/>
          <w:szCs w:val="24"/>
        </w:rPr>
        <w:t>Cth</w:t>
      </w:r>
      <w:proofErr w:type="spellEnd"/>
      <w:r w:rsidRPr="005D769C">
        <w:rPr>
          <w:rFonts w:ascii="Calibri" w:hAnsi="Calibri" w:cs="Calibri"/>
          <w:sz w:val="24"/>
          <w:szCs w:val="24"/>
        </w:rPr>
        <w:t xml:space="preserve">) is an example of legislation that provides protections for people with disabilities in many areas of public life. Similar protections can be found in state and territory legislation. In other areas, however, policy or program responses </w:t>
      </w:r>
      <w:r w:rsidR="005D769C">
        <w:rPr>
          <w:rFonts w:ascii="Calibri" w:hAnsi="Calibri" w:cs="Calibri"/>
          <w:sz w:val="24"/>
          <w:szCs w:val="24"/>
        </w:rPr>
        <w:t xml:space="preserve">can be equally effective in realising </w:t>
      </w:r>
      <w:r w:rsidRPr="005D769C">
        <w:rPr>
          <w:rFonts w:ascii="Calibri" w:hAnsi="Calibri" w:cs="Calibri"/>
          <w:sz w:val="24"/>
          <w:szCs w:val="24"/>
        </w:rPr>
        <w:t>the purpose of the Convention</w:t>
      </w:r>
      <w:r w:rsidR="005D769C">
        <w:rPr>
          <w:rFonts w:ascii="Calibri" w:hAnsi="Calibri" w:cs="Calibri"/>
          <w:sz w:val="24"/>
          <w:szCs w:val="24"/>
        </w:rPr>
        <w:t xml:space="preserve">. By way of example, Australia’s national response to gender based violence is underpinned by a combination of many measures, including legislation, specialist service provision and training. </w:t>
      </w:r>
    </w:p>
    <w:p w:rsidR="00F97ED8" w:rsidRPr="005D769C" w:rsidRDefault="00F97ED8" w:rsidP="005D769C">
      <w:pPr>
        <w:spacing w:line="360" w:lineRule="auto"/>
        <w:rPr>
          <w:rFonts w:ascii="Calibri" w:hAnsi="Calibri" w:cs="Calibri"/>
          <w:sz w:val="24"/>
        </w:rPr>
      </w:pPr>
      <w:r w:rsidRPr="005D769C">
        <w:rPr>
          <w:rFonts w:ascii="Calibri" w:hAnsi="Calibri" w:cs="Calibri"/>
          <w:sz w:val="24"/>
        </w:rPr>
        <w:t xml:space="preserve">Australia </w:t>
      </w:r>
      <w:r w:rsidR="005D769C">
        <w:rPr>
          <w:rFonts w:ascii="Calibri" w:hAnsi="Calibri" w:cs="Calibri"/>
          <w:sz w:val="24"/>
        </w:rPr>
        <w:t>is supportive of the active role that civil society plays both domestically and internationally, including</w:t>
      </w:r>
      <w:r w:rsidRPr="005D769C">
        <w:rPr>
          <w:rFonts w:ascii="Calibri" w:hAnsi="Calibri" w:cs="Calibri"/>
          <w:sz w:val="24"/>
        </w:rPr>
        <w:t xml:space="preserve"> </w:t>
      </w:r>
      <w:r w:rsidR="005D769C">
        <w:rPr>
          <w:rFonts w:ascii="Calibri" w:hAnsi="Calibri" w:cs="Calibri"/>
          <w:sz w:val="24"/>
        </w:rPr>
        <w:t xml:space="preserve">the critical role of </w:t>
      </w:r>
      <w:r w:rsidRPr="005D769C">
        <w:rPr>
          <w:rFonts w:ascii="Calibri" w:hAnsi="Calibri" w:cs="Calibri"/>
          <w:sz w:val="24"/>
        </w:rPr>
        <w:t xml:space="preserve">organisations representing </w:t>
      </w:r>
      <w:r w:rsidR="005D769C">
        <w:rPr>
          <w:rFonts w:ascii="Calibri" w:hAnsi="Calibri" w:cs="Calibri"/>
          <w:sz w:val="24"/>
        </w:rPr>
        <w:t>people with disabilities (DPOs).</w:t>
      </w:r>
    </w:p>
    <w:p w:rsidR="004E610F" w:rsidRPr="00BE2C7C" w:rsidRDefault="00BE2C7C" w:rsidP="00BE2C7C">
      <w:pPr>
        <w:spacing w:line="360" w:lineRule="auto"/>
        <w:rPr>
          <w:rFonts w:ascii="Calibri" w:hAnsi="Calibri" w:cs="Calibri"/>
          <w:sz w:val="24"/>
          <w:szCs w:val="24"/>
        </w:rPr>
      </w:pPr>
      <w:r>
        <w:rPr>
          <w:rFonts w:ascii="Calibri" w:hAnsi="Calibri" w:cs="Calibri"/>
          <w:sz w:val="24"/>
          <w:szCs w:val="24"/>
        </w:rPr>
        <w:t>For example, c</w:t>
      </w:r>
      <w:r w:rsidR="00F97ED8" w:rsidRPr="005D769C">
        <w:rPr>
          <w:rFonts w:ascii="Calibri" w:hAnsi="Calibri" w:cs="Calibri"/>
          <w:sz w:val="24"/>
          <w:szCs w:val="24"/>
        </w:rPr>
        <w:t xml:space="preserve">entral to Australia’s approach to disability inclusion is supporting DPOs in developing countries to build their capacity. </w:t>
      </w:r>
      <w:r w:rsidR="004E610F" w:rsidRPr="005D769C">
        <w:rPr>
          <w:rFonts w:ascii="Calibri" w:hAnsi="Calibri" w:cs="Tahoma"/>
          <w:sz w:val="24"/>
          <w:szCs w:val="24"/>
        </w:rPr>
        <w:t xml:space="preserve">Australia’s disability inclusion strategy, </w:t>
      </w:r>
      <w:r w:rsidR="004E610F" w:rsidRPr="005D769C">
        <w:rPr>
          <w:rFonts w:ascii="Calibri" w:hAnsi="Calibri" w:cs="Tahoma"/>
          <w:i/>
          <w:sz w:val="24"/>
          <w:szCs w:val="24"/>
        </w:rPr>
        <w:t>Development for All 2015-2020</w:t>
      </w:r>
      <w:r w:rsidR="004E610F" w:rsidRPr="005D769C">
        <w:rPr>
          <w:rFonts w:ascii="Calibri" w:hAnsi="Calibri" w:cs="Tahoma"/>
          <w:sz w:val="24"/>
          <w:szCs w:val="24"/>
        </w:rPr>
        <w:t>, commits us to strengthening disability inclusive development in Australia’s development program.</w:t>
      </w:r>
    </w:p>
    <w:p w:rsidR="004E610F" w:rsidRPr="005D769C" w:rsidRDefault="00BE2C7C" w:rsidP="00BE2C7C">
      <w:pPr>
        <w:spacing w:line="360" w:lineRule="auto"/>
        <w:rPr>
          <w:rFonts w:ascii="Calibri" w:hAnsi="Calibri" w:cs="Tahoma"/>
          <w:sz w:val="24"/>
          <w:szCs w:val="24"/>
        </w:rPr>
      </w:pPr>
      <w:r>
        <w:rPr>
          <w:rFonts w:ascii="Calibri" w:hAnsi="Calibri" w:cs="Tahoma"/>
          <w:sz w:val="24"/>
          <w:szCs w:val="24"/>
        </w:rPr>
        <w:t>Australia is proud to have been</w:t>
      </w:r>
      <w:r w:rsidR="004E610F" w:rsidRPr="005D769C">
        <w:rPr>
          <w:rFonts w:ascii="Calibri" w:hAnsi="Calibri" w:cs="Tahoma"/>
          <w:sz w:val="24"/>
          <w:szCs w:val="24"/>
        </w:rPr>
        <w:t xml:space="preserve"> the first donor country to have a strategy to make development assistance disability inclusive. The strategy articulates Australia’s commitment to a human rights</w:t>
      </w:r>
      <w:r w:rsidR="004E610F" w:rsidRPr="005D769C">
        <w:rPr>
          <w:rFonts w:ascii="Calibri" w:hAnsi="Calibri" w:cs="Tahoma"/>
          <w:sz w:val="24"/>
          <w:szCs w:val="24"/>
        </w:rPr>
        <w:noBreakHyphen/>
        <w:t>based, twin track approach to implementing disability</w:t>
      </w:r>
      <w:r w:rsidR="004E610F" w:rsidRPr="005D769C">
        <w:rPr>
          <w:rFonts w:ascii="Calibri" w:hAnsi="Calibri" w:cs="Tahoma"/>
          <w:sz w:val="24"/>
          <w:szCs w:val="24"/>
        </w:rPr>
        <w:noBreakHyphen/>
        <w:t>inclusive development through mainstreamed and targeted efforts</w:t>
      </w:r>
      <w:r>
        <w:rPr>
          <w:rFonts w:ascii="Calibri" w:hAnsi="Calibri" w:cs="Tahoma"/>
          <w:sz w:val="24"/>
          <w:szCs w:val="24"/>
        </w:rPr>
        <w:t>.</w:t>
      </w:r>
    </w:p>
    <w:p w:rsidR="00F97ED8" w:rsidRPr="005D769C" w:rsidRDefault="004E610F" w:rsidP="00BE2C7C">
      <w:pPr>
        <w:spacing w:line="360" w:lineRule="auto"/>
        <w:rPr>
          <w:rFonts w:ascii="Calibri" w:hAnsi="Calibri" w:cs="Tahoma"/>
          <w:sz w:val="24"/>
          <w:szCs w:val="24"/>
        </w:rPr>
      </w:pPr>
      <w:r w:rsidRPr="005D769C">
        <w:rPr>
          <w:rFonts w:ascii="Calibri" w:hAnsi="Calibri" w:cs="Tahoma"/>
          <w:sz w:val="24"/>
          <w:szCs w:val="24"/>
        </w:rPr>
        <w:t xml:space="preserve">In response to the </w:t>
      </w:r>
      <w:r w:rsidR="00F97ED8" w:rsidRPr="005D769C">
        <w:rPr>
          <w:rFonts w:ascii="Calibri" w:hAnsi="Calibri" w:cs="Tahoma"/>
          <w:sz w:val="24"/>
          <w:szCs w:val="24"/>
        </w:rPr>
        <w:t>2017 ODE evaluation of Australian advocacy for disability-in</w:t>
      </w:r>
      <w:r w:rsidR="00BE2C7C">
        <w:rPr>
          <w:rFonts w:ascii="Calibri" w:hAnsi="Calibri" w:cs="Tahoma"/>
          <w:sz w:val="24"/>
          <w:szCs w:val="24"/>
        </w:rPr>
        <w:t>clusive development the Australian Government</w:t>
      </w:r>
      <w:r w:rsidR="00F97ED8" w:rsidRPr="005D769C">
        <w:rPr>
          <w:rFonts w:ascii="Calibri" w:hAnsi="Calibri" w:cs="Tahoma"/>
          <w:sz w:val="24"/>
          <w:szCs w:val="24"/>
        </w:rPr>
        <w:t xml:space="preserve"> committed to consulting st</w:t>
      </w:r>
      <w:r w:rsidRPr="005D769C">
        <w:rPr>
          <w:rFonts w:ascii="Calibri" w:hAnsi="Calibri" w:cs="Tahoma"/>
          <w:sz w:val="24"/>
          <w:szCs w:val="24"/>
        </w:rPr>
        <w:t>akeholders on the next strategy, due to come into effect by 2021.</w:t>
      </w:r>
    </w:p>
    <w:p w:rsidR="004E610F" w:rsidRPr="005D769C" w:rsidRDefault="004E610F" w:rsidP="00BE2C7C">
      <w:pPr>
        <w:spacing w:line="360" w:lineRule="auto"/>
        <w:rPr>
          <w:rFonts w:ascii="Calibri" w:hAnsi="Calibri" w:cs="Tahoma"/>
          <w:sz w:val="24"/>
          <w:szCs w:val="24"/>
        </w:rPr>
      </w:pPr>
      <w:r w:rsidRPr="005D769C">
        <w:rPr>
          <w:rFonts w:ascii="Calibri" w:hAnsi="Calibri" w:cs="Tahoma"/>
          <w:sz w:val="24"/>
          <w:szCs w:val="24"/>
        </w:rPr>
        <w:t xml:space="preserve">The current strategy takes a rights-based approach consistent with the </w:t>
      </w:r>
      <w:r w:rsidR="00BE2C7C">
        <w:rPr>
          <w:rFonts w:ascii="Calibri" w:hAnsi="Calibri" w:cs="Tahoma"/>
          <w:sz w:val="24"/>
          <w:szCs w:val="24"/>
        </w:rPr>
        <w:t>Convention</w:t>
      </w:r>
      <w:bookmarkStart w:id="0" w:name="_GoBack"/>
      <w:bookmarkEnd w:id="0"/>
      <w:r w:rsidRPr="005D769C">
        <w:rPr>
          <w:rFonts w:ascii="Calibri" w:hAnsi="Calibri" w:cs="Tahoma"/>
          <w:sz w:val="24"/>
          <w:szCs w:val="24"/>
        </w:rPr>
        <w:t>, as will the next strategy.</w:t>
      </w:r>
    </w:p>
    <w:p w:rsidR="0025250B" w:rsidRPr="00BE2C7C" w:rsidRDefault="00F97ED8" w:rsidP="00BE2C7C">
      <w:pPr>
        <w:spacing w:line="360" w:lineRule="auto"/>
        <w:rPr>
          <w:rFonts w:ascii="Calibri" w:hAnsi="Calibri" w:cs="Tahoma"/>
          <w:sz w:val="24"/>
          <w:szCs w:val="24"/>
        </w:rPr>
      </w:pPr>
      <w:r w:rsidRPr="005D769C">
        <w:rPr>
          <w:rFonts w:ascii="Calibri" w:hAnsi="Calibri" w:cs="Tahoma"/>
          <w:sz w:val="24"/>
          <w:szCs w:val="24"/>
        </w:rPr>
        <w:t xml:space="preserve">Consultations, including with people with disabilities and their representative organisations, </w:t>
      </w:r>
      <w:r w:rsidR="004E610F" w:rsidRPr="005D769C">
        <w:rPr>
          <w:rFonts w:ascii="Calibri" w:hAnsi="Calibri" w:cs="Tahoma"/>
          <w:sz w:val="24"/>
          <w:szCs w:val="24"/>
        </w:rPr>
        <w:t>have</w:t>
      </w:r>
      <w:r w:rsidRPr="005D769C">
        <w:rPr>
          <w:rFonts w:ascii="Calibri" w:hAnsi="Calibri" w:cs="Tahoma"/>
          <w:sz w:val="24"/>
          <w:szCs w:val="24"/>
        </w:rPr>
        <w:t xml:space="preserve"> begun.</w:t>
      </w:r>
      <w:r w:rsidR="00BE2C7C">
        <w:rPr>
          <w:rFonts w:ascii="Calibri" w:hAnsi="Calibri" w:cs="Tahoma"/>
          <w:sz w:val="24"/>
          <w:szCs w:val="24"/>
        </w:rPr>
        <w:t xml:space="preserve"> </w:t>
      </w:r>
      <w:r w:rsidR="004E610F" w:rsidRPr="005D769C">
        <w:rPr>
          <w:rFonts w:ascii="Calibri" w:hAnsi="Calibri" w:cs="Tahoma"/>
          <w:sz w:val="24"/>
          <w:szCs w:val="24"/>
        </w:rPr>
        <w:t>Australia welcomes the views of the Committee on the appropriate focus of the new strategy.</w:t>
      </w:r>
    </w:p>
    <w:sectPr w:rsidR="0025250B" w:rsidRPr="00BE2C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192F94"/>
    <w:multiLevelType w:val="hybridMultilevel"/>
    <w:tmpl w:val="F440CF72"/>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
    <w:nsid w:val="4D5F7941"/>
    <w:multiLevelType w:val="hybridMultilevel"/>
    <w:tmpl w:val="62E4538A"/>
    <w:lvl w:ilvl="0" w:tplc="3EB642BC">
      <w:start w:val="1"/>
      <w:numFmt w:val="decimal"/>
      <w:pStyle w:val="Heading2"/>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7D433588"/>
    <w:multiLevelType w:val="hybridMultilevel"/>
    <w:tmpl w:val="D460103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8"/>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7ED8"/>
    <w:rsid w:val="0025250B"/>
    <w:rsid w:val="004E610F"/>
    <w:rsid w:val="005B40E8"/>
    <w:rsid w:val="005D769C"/>
    <w:rsid w:val="00BE2C7C"/>
    <w:rsid w:val="00F97E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ED8"/>
    <w:pPr>
      <w:spacing w:after="0" w:line="240" w:lineRule="auto"/>
    </w:pPr>
    <w:rPr>
      <w:rFonts w:ascii="Times New Roman" w:eastAsia="Calibri" w:hAnsi="Times New Roman" w:cs="Times New Roman"/>
      <w:sz w:val="20"/>
      <w:szCs w:val="20"/>
      <w:lang w:eastAsia="en-AU"/>
    </w:rPr>
  </w:style>
  <w:style w:type="paragraph" w:styleId="Heading2">
    <w:name w:val="heading 2"/>
    <w:aliases w:val="HEADING 2"/>
    <w:basedOn w:val="Normal"/>
    <w:next w:val="Normal"/>
    <w:link w:val="Heading2Char"/>
    <w:uiPriority w:val="9"/>
    <w:unhideWhenUsed/>
    <w:qFormat/>
    <w:rsid w:val="00F97ED8"/>
    <w:pPr>
      <w:keepNext/>
      <w:keepLines/>
      <w:numPr>
        <w:numId w:val="2"/>
      </w:numPr>
      <w:pBdr>
        <w:top w:val="single" w:sz="4" w:space="1" w:color="auto"/>
        <w:left w:val="single" w:sz="4" w:space="4" w:color="auto"/>
        <w:bottom w:val="single" w:sz="4" w:space="1" w:color="auto"/>
        <w:right w:val="single" w:sz="4" w:space="4" w:color="auto"/>
      </w:pBdr>
      <w:spacing w:before="200"/>
      <w:ind w:left="360"/>
      <w:outlineLvl w:val="1"/>
    </w:pPr>
    <w:rPr>
      <w:rFonts w:ascii="Calibri" w:eastAsiaTheme="majorEastAsia" w:hAnsi="Calibri"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 Char"/>
    <w:basedOn w:val="DefaultParagraphFont"/>
    <w:link w:val="Heading2"/>
    <w:uiPriority w:val="9"/>
    <w:rsid w:val="00F97ED8"/>
    <w:rPr>
      <w:rFonts w:ascii="Calibri" w:eastAsiaTheme="majorEastAsia" w:hAnsi="Calibri" w:cstheme="majorBidi"/>
      <w:b/>
      <w:bCs/>
      <w:sz w:val="28"/>
      <w:szCs w:val="26"/>
      <w:lang w:eastAsia="en-AU"/>
    </w:rPr>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F97ED8"/>
    <w:pPr>
      <w:ind w:left="720"/>
      <w:contextualSpacing/>
    </w:pPr>
    <w:rPr>
      <w:szCs w:val="24"/>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F97ED8"/>
    <w:rPr>
      <w:rFonts w:ascii="Times New Roman" w:eastAsia="Calibri" w:hAnsi="Times New Roman" w:cs="Times New Roman"/>
      <w:sz w:val="20"/>
      <w:szCs w:val="24"/>
      <w:lang w:eastAsia="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7ED8"/>
    <w:pPr>
      <w:spacing w:after="0" w:line="240" w:lineRule="auto"/>
    </w:pPr>
    <w:rPr>
      <w:rFonts w:ascii="Times New Roman" w:eastAsia="Calibri" w:hAnsi="Times New Roman" w:cs="Times New Roman"/>
      <w:sz w:val="20"/>
      <w:szCs w:val="20"/>
      <w:lang w:eastAsia="en-AU"/>
    </w:rPr>
  </w:style>
  <w:style w:type="paragraph" w:styleId="Heading2">
    <w:name w:val="heading 2"/>
    <w:aliases w:val="HEADING 2"/>
    <w:basedOn w:val="Normal"/>
    <w:next w:val="Normal"/>
    <w:link w:val="Heading2Char"/>
    <w:uiPriority w:val="9"/>
    <w:unhideWhenUsed/>
    <w:qFormat/>
    <w:rsid w:val="00F97ED8"/>
    <w:pPr>
      <w:keepNext/>
      <w:keepLines/>
      <w:numPr>
        <w:numId w:val="2"/>
      </w:numPr>
      <w:pBdr>
        <w:top w:val="single" w:sz="4" w:space="1" w:color="auto"/>
        <w:left w:val="single" w:sz="4" w:space="4" w:color="auto"/>
        <w:bottom w:val="single" w:sz="4" w:space="1" w:color="auto"/>
        <w:right w:val="single" w:sz="4" w:space="4" w:color="auto"/>
      </w:pBdr>
      <w:spacing w:before="200"/>
      <w:ind w:left="360"/>
      <w:outlineLvl w:val="1"/>
    </w:pPr>
    <w:rPr>
      <w:rFonts w:ascii="Calibri" w:eastAsiaTheme="majorEastAsia" w:hAnsi="Calibri"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 Char"/>
    <w:basedOn w:val="DefaultParagraphFont"/>
    <w:link w:val="Heading2"/>
    <w:uiPriority w:val="9"/>
    <w:rsid w:val="00F97ED8"/>
    <w:rPr>
      <w:rFonts w:ascii="Calibri" w:eastAsiaTheme="majorEastAsia" w:hAnsi="Calibri" w:cstheme="majorBidi"/>
      <w:b/>
      <w:bCs/>
      <w:sz w:val="28"/>
      <w:szCs w:val="26"/>
      <w:lang w:eastAsia="en-AU"/>
    </w:rPr>
  </w:style>
  <w:style w:type="paragraph" w:styleId="ListParagraph">
    <w:name w:val="List Paragraph"/>
    <w:aliases w:val="Recommendation,L,List Paragraph1,List Paragraph11,Bullet Point,Bullet points,Content descriptions,Bullet point,CV text,F5 List Paragraph,Dot pt,List Paragraph111,Medium Grid 1 - Accent 21,Numbered Paragraph,NFP GP Bulleted List,Table,Main"/>
    <w:basedOn w:val="Normal"/>
    <w:link w:val="ListParagraphChar"/>
    <w:uiPriority w:val="34"/>
    <w:qFormat/>
    <w:rsid w:val="00F97ED8"/>
    <w:pPr>
      <w:ind w:left="720"/>
      <w:contextualSpacing/>
    </w:pPr>
    <w:rPr>
      <w:szCs w:val="24"/>
    </w:rPr>
  </w:style>
  <w:style w:type="character" w:customStyle="1" w:styleId="ListParagraphChar">
    <w:name w:val="List Paragraph Char"/>
    <w:aliases w:val="Recommendation Char,L Char,List Paragraph1 Char,List Paragraph11 Char,Bullet Point Char,Bullet points Char,Content descriptions Char,Bullet point Char,CV text Char,F5 List Paragraph Char,Dot pt Char,List Paragraph111 Char,Table Char"/>
    <w:basedOn w:val="DefaultParagraphFont"/>
    <w:link w:val="ListParagraph"/>
    <w:uiPriority w:val="34"/>
    <w:qFormat/>
    <w:rsid w:val="00F97ED8"/>
    <w:rPr>
      <w:rFonts w:ascii="Times New Roman" w:eastAsia="Calibri" w:hAnsi="Times New Roman" w:cs="Times New Roman"/>
      <w:sz w:val="20"/>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2377A7-1E1C-4E92-9E6B-983D1422152C}"/>
</file>

<file path=customXml/itemProps2.xml><?xml version="1.0" encoding="utf-8"?>
<ds:datastoreItem xmlns:ds="http://schemas.openxmlformats.org/officeDocument/2006/customXml" ds:itemID="{698BF2A3-16A1-49A1-B780-D11EEF73D33B}"/>
</file>

<file path=customXml/itemProps3.xml><?xml version="1.0" encoding="utf-8"?>
<ds:datastoreItem xmlns:ds="http://schemas.openxmlformats.org/officeDocument/2006/customXml" ds:itemID="{73A3344F-9FD4-4A50-A50E-262D42508737}"/>
</file>

<file path=docProps/app.xml><?xml version="1.0" encoding="utf-8"?>
<Properties xmlns="http://schemas.openxmlformats.org/officeDocument/2006/extended-properties" xmlns:vt="http://schemas.openxmlformats.org/officeDocument/2006/docPropsVTypes">
  <Template>Normal</Template>
  <TotalTime>1</TotalTime>
  <Pages>1</Pages>
  <Words>363</Words>
  <Characters>2071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2430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Kontiainen, Mika</dc:creator>
  <cp:lastModifiedBy>riethi</cp:lastModifiedBy>
  <cp:revision>2</cp:revision>
  <dcterms:created xsi:type="dcterms:W3CDTF">2019-09-13T13:33:00Z</dcterms:created>
  <dcterms:modified xsi:type="dcterms:W3CDTF">2019-09-13T13:33:00Z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