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42A8F" w:rsidRDefault="00742A8F">
      <w:pPr>
        <w:spacing w:line="240" w:lineRule="auto"/>
        <w:ind w:left="-15"/>
        <w:jc w:val="right"/>
        <w:rPr>
          <w:rFonts w:ascii="Calibri" w:eastAsia="Calibri" w:hAnsi="Calibri" w:cs="Calibri"/>
          <w:b/>
          <w:i/>
          <w:sz w:val="24"/>
          <w:szCs w:val="24"/>
        </w:rPr>
      </w:pPr>
    </w:p>
    <w:p w:rsidR="00742A8F" w:rsidRDefault="00742A8F">
      <w:pPr>
        <w:spacing w:line="240" w:lineRule="auto"/>
        <w:ind w:left="-15"/>
        <w:jc w:val="right"/>
        <w:rPr>
          <w:rFonts w:ascii="Calibri" w:eastAsia="Calibri" w:hAnsi="Calibri" w:cs="Calibri"/>
          <w:b/>
          <w:i/>
          <w:sz w:val="24"/>
          <w:szCs w:val="24"/>
        </w:rPr>
      </w:pPr>
    </w:p>
    <w:p w:rsidR="00742A8F" w:rsidRDefault="00742A8F">
      <w:pPr>
        <w:spacing w:line="240" w:lineRule="auto"/>
        <w:ind w:left="-15"/>
        <w:jc w:val="right"/>
        <w:rPr>
          <w:rFonts w:ascii="Calibri" w:eastAsia="Calibri" w:hAnsi="Calibri" w:cs="Calibri"/>
          <w:b/>
          <w:i/>
          <w:sz w:val="24"/>
          <w:szCs w:val="24"/>
        </w:rPr>
      </w:pPr>
    </w:p>
    <w:p w:rsidR="00742A8F" w:rsidRDefault="00742A8F">
      <w:pPr>
        <w:spacing w:line="240" w:lineRule="auto"/>
        <w:ind w:left="-15"/>
        <w:jc w:val="right"/>
        <w:rPr>
          <w:rFonts w:ascii="Calibri" w:eastAsia="Calibri" w:hAnsi="Calibri" w:cs="Calibri"/>
          <w:b/>
          <w:i/>
          <w:sz w:val="24"/>
          <w:szCs w:val="24"/>
        </w:rPr>
      </w:pPr>
    </w:p>
    <w:p w:rsidR="00742A8F" w:rsidRDefault="00742A8F">
      <w:pPr>
        <w:spacing w:line="240" w:lineRule="auto"/>
        <w:ind w:left="-15"/>
        <w:jc w:val="right"/>
        <w:rPr>
          <w:rFonts w:ascii="Calibri" w:eastAsia="Calibri" w:hAnsi="Calibri" w:cs="Calibri"/>
          <w:b/>
          <w:i/>
          <w:sz w:val="24"/>
          <w:szCs w:val="24"/>
        </w:rPr>
      </w:pPr>
    </w:p>
    <w:p w:rsidR="00742A8F" w:rsidRDefault="00742A8F">
      <w:pPr>
        <w:spacing w:line="240" w:lineRule="auto"/>
        <w:ind w:left="-15"/>
        <w:jc w:val="right"/>
        <w:rPr>
          <w:rFonts w:ascii="Calibri" w:eastAsia="Calibri" w:hAnsi="Calibri" w:cs="Calibri"/>
          <w:b/>
          <w:i/>
          <w:sz w:val="24"/>
          <w:szCs w:val="24"/>
        </w:rPr>
      </w:pPr>
    </w:p>
    <w:p w:rsidR="00742A8F" w:rsidRDefault="00742A8F">
      <w:pPr>
        <w:spacing w:line="240" w:lineRule="auto"/>
        <w:ind w:left="-15"/>
        <w:jc w:val="right"/>
        <w:rPr>
          <w:rFonts w:ascii="Calibri" w:eastAsia="Calibri" w:hAnsi="Calibri" w:cs="Calibri"/>
          <w:b/>
          <w:i/>
          <w:sz w:val="24"/>
          <w:szCs w:val="24"/>
        </w:rPr>
      </w:pPr>
    </w:p>
    <w:p w:rsidR="00742A8F" w:rsidRDefault="00742A8F">
      <w:pPr>
        <w:spacing w:line="240" w:lineRule="auto"/>
        <w:ind w:left="-15"/>
        <w:jc w:val="right"/>
        <w:rPr>
          <w:rFonts w:ascii="Calibri" w:eastAsia="Calibri" w:hAnsi="Calibri" w:cs="Calibri"/>
          <w:b/>
          <w:i/>
          <w:sz w:val="24"/>
          <w:szCs w:val="24"/>
        </w:rPr>
      </w:pPr>
    </w:p>
    <w:p w:rsidR="00742A8F" w:rsidRDefault="00742A8F">
      <w:pPr>
        <w:spacing w:line="240" w:lineRule="auto"/>
        <w:ind w:left="-15"/>
        <w:jc w:val="right"/>
        <w:rPr>
          <w:rFonts w:ascii="Calibri" w:eastAsia="Calibri" w:hAnsi="Calibri" w:cs="Calibri"/>
          <w:b/>
          <w:i/>
          <w:sz w:val="24"/>
          <w:szCs w:val="24"/>
        </w:rPr>
      </w:pPr>
    </w:p>
    <w:p w:rsidR="00742A8F" w:rsidRDefault="00742A8F">
      <w:pPr>
        <w:spacing w:line="240" w:lineRule="auto"/>
        <w:ind w:left="-15"/>
        <w:jc w:val="right"/>
        <w:rPr>
          <w:rFonts w:ascii="Calibri" w:eastAsia="Calibri" w:hAnsi="Calibri" w:cs="Calibri"/>
          <w:b/>
          <w:i/>
          <w:sz w:val="24"/>
          <w:szCs w:val="24"/>
        </w:rPr>
      </w:pPr>
    </w:p>
    <w:p w:rsidR="00742A8F" w:rsidRDefault="00000000">
      <w:pPr>
        <w:spacing w:line="240" w:lineRule="auto"/>
        <w:ind w:left="-15"/>
        <w:jc w:val="center"/>
        <w:rPr>
          <w:rFonts w:ascii="Calibri" w:eastAsia="Calibri" w:hAnsi="Calibri" w:cs="Calibri"/>
          <w:b/>
          <w:i/>
          <w:sz w:val="24"/>
          <w:szCs w:val="24"/>
        </w:rPr>
      </w:pPr>
      <w:r>
        <w:rPr>
          <w:rFonts w:ascii="Calibri" w:eastAsia="Calibri" w:hAnsi="Calibri" w:cs="Calibri"/>
          <w:b/>
          <w:i/>
          <w:noProof/>
          <w:sz w:val="24"/>
          <w:szCs w:val="24"/>
        </w:rPr>
        <w:drawing>
          <wp:inline distT="114300" distB="114300" distL="114300" distR="114300">
            <wp:extent cx="4735956" cy="1125906"/>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735956" cy="1125906"/>
                    </a:xfrm>
                    <a:prstGeom prst="rect">
                      <a:avLst/>
                    </a:prstGeom>
                    <a:ln/>
                  </pic:spPr>
                </pic:pic>
              </a:graphicData>
            </a:graphic>
          </wp:inline>
        </w:drawing>
      </w:r>
    </w:p>
    <w:p w:rsidR="00742A8F" w:rsidRDefault="00742A8F">
      <w:pPr>
        <w:spacing w:before="240" w:after="240"/>
        <w:rPr>
          <w:rFonts w:ascii="Calibri" w:eastAsia="Calibri" w:hAnsi="Calibri" w:cs="Calibri"/>
          <w:b/>
          <w:i/>
          <w:sz w:val="24"/>
          <w:szCs w:val="24"/>
        </w:rPr>
      </w:pPr>
    </w:p>
    <w:p w:rsidR="00742A8F" w:rsidRDefault="00000000">
      <w:pPr>
        <w:spacing w:line="240" w:lineRule="auto"/>
        <w:jc w:val="center"/>
        <w:rPr>
          <w:rFonts w:ascii="Calibri" w:eastAsia="Calibri" w:hAnsi="Calibri" w:cs="Calibri"/>
          <w:b/>
          <w:sz w:val="24"/>
          <w:szCs w:val="24"/>
        </w:rPr>
      </w:pPr>
      <w:r>
        <w:rPr>
          <w:rFonts w:ascii="Calibri" w:eastAsia="Calibri" w:hAnsi="Calibri" w:cs="Calibri"/>
          <w:b/>
          <w:sz w:val="24"/>
          <w:szCs w:val="24"/>
        </w:rPr>
        <w:t>Migrant-Rights.org Submission to the Committee on the Elimination of Discrimination Against Women in Kuwait</w:t>
      </w:r>
    </w:p>
    <w:p w:rsidR="00742A8F" w:rsidRDefault="00742A8F">
      <w:pPr>
        <w:spacing w:line="240" w:lineRule="auto"/>
        <w:jc w:val="center"/>
        <w:rPr>
          <w:rFonts w:ascii="Calibri" w:eastAsia="Calibri" w:hAnsi="Calibri" w:cs="Calibri"/>
          <w:b/>
          <w:sz w:val="24"/>
          <w:szCs w:val="24"/>
        </w:rPr>
      </w:pPr>
    </w:p>
    <w:p w:rsidR="00742A8F" w:rsidRDefault="00742A8F">
      <w:pPr>
        <w:spacing w:line="240" w:lineRule="auto"/>
        <w:jc w:val="center"/>
        <w:rPr>
          <w:rFonts w:ascii="Calibri" w:eastAsia="Calibri" w:hAnsi="Calibri" w:cs="Calibri"/>
          <w:b/>
          <w:sz w:val="24"/>
          <w:szCs w:val="24"/>
        </w:rPr>
      </w:pPr>
    </w:p>
    <w:p w:rsidR="00742A8F" w:rsidRDefault="00742A8F">
      <w:pPr>
        <w:spacing w:before="240" w:after="240"/>
        <w:rPr>
          <w:rFonts w:ascii="Calibri" w:eastAsia="Calibri" w:hAnsi="Calibri" w:cs="Calibri"/>
          <w:i/>
          <w:sz w:val="24"/>
          <w:szCs w:val="24"/>
        </w:rPr>
      </w:pPr>
    </w:p>
    <w:p w:rsidR="00742A8F" w:rsidRDefault="00742A8F">
      <w:pPr>
        <w:spacing w:before="240" w:after="240"/>
        <w:rPr>
          <w:rFonts w:ascii="Calibri" w:eastAsia="Calibri" w:hAnsi="Calibri" w:cs="Calibri"/>
          <w:i/>
          <w:sz w:val="24"/>
          <w:szCs w:val="24"/>
        </w:rPr>
      </w:pPr>
    </w:p>
    <w:p w:rsidR="00742A8F" w:rsidRDefault="00000000">
      <w:pPr>
        <w:spacing w:before="240" w:after="240"/>
        <w:rPr>
          <w:rFonts w:ascii="Calibri" w:eastAsia="Calibri" w:hAnsi="Calibri" w:cs="Calibri"/>
          <w:sz w:val="24"/>
          <w:szCs w:val="24"/>
        </w:rPr>
      </w:pPr>
      <w:r>
        <w:rPr>
          <w:rFonts w:ascii="Calibri" w:eastAsia="Calibri" w:hAnsi="Calibri" w:cs="Calibri"/>
          <w:sz w:val="24"/>
          <w:szCs w:val="24"/>
        </w:rPr>
        <w:t>Session: 88th Session (May 13 - 31, 2024)</w:t>
      </w:r>
    </w:p>
    <w:p w:rsidR="00742A8F" w:rsidRDefault="00000000">
      <w:pPr>
        <w:spacing w:before="240" w:after="240"/>
        <w:rPr>
          <w:rFonts w:ascii="Calibri" w:eastAsia="Calibri" w:hAnsi="Calibri" w:cs="Calibri"/>
          <w:sz w:val="24"/>
          <w:szCs w:val="24"/>
        </w:rPr>
      </w:pPr>
      <w:r>
        <w:rPr>
          <w:rFonts w:ascii="Calibri" w:eastAsia="Calibri" w:hAnsi="Calibri" w:cs="Calibri"/>
          <w:sz w:val="24"/>
          <w:szCs w:val="24"/>
        </w:rPr>
        <w:t>Submitted on: 14 April 2024</w:t>
      </w:r>
    </w:p>
    <w:p w:rsidR="00742A8F" w:rsidRDefault="00000000">
      <w:pPr>
        <w:spacing w:before="240" w:after="240"/>
        <w:rPr>
          <w:rFonts w:ascii="Calibri" w:eastAsia="Calibri" w:hAnsi="Calibri" w:cs="Calibri"/>
          <w:sz w:val="24"/>
          <w:szCs w:val="24"/>
        </w:rPr>
      </w:pPr>
      <w:r>
        <w:rPr>
          <w:rFonts w:ascii="Calibri" w:eastAsia="Calibri" w:hAnsi="Calibri" w:cs="Calibri"/>
          <w:sz w:val="24"/>
          <w:szCs w:val="24"/>
        </w:rPr>
        <w:t>Contact details: info@migrant-rights.org</w:t>
      </w:r>
    </w:p>
    <w:p w:rsidR="00742A8F" w:rsidRDefault="00000000">
      <w:pPr>
        <w:spacing w:before="240" w:after="240"/>
        <w:rPr>
          <w:rFonts w:ascii="Calibri" w:eastAsia="Calibri" w:hAnsi="Calibri" w:cs="Calibri"/>
          <w:i/>
          <w:sz w:val="24"/>
          <w:szCs w:val="24"/>
        </w:rPr>
      </w:pPr>
      <w:r>
        <w:rPr>
          <w:rFonts w:ascii="Calibri" w:eastAsia="Calibri" w:hAnsi="Calibri" w:cs="Calibri"/>
          <w:sz w:val="24"/>
          <w:szCs w:val="24"/>
        </w:rPr>
        <w:t>Consent to publish on the CEDAW website: Yes</w:t>
      </w:r>
    </w:p>
    <w:p w:rsidR="00742A8F" w:rsidRDefault="00742A8F">
      <w:pPr>
        <w:spacing w:before="240" w:after="240"/>
        <w:rPr>
          <w:rFonts w:ascii="Calibri" w:eastAsia="Calibri" w:hAnsi="Calibri" w:cs="Calibri"/>
          <w:i/>
          <w:sz w:val="24"/>
          <w:szCs w:val="24"/>
        </w:rPr>
      </w:pPr>
    </w:p>
    <w:p w:rsidR="00742A8F" w:rsidRDefault="00742A8F">
      <w:pPr>
        <w:rPr>
          <w:rFonts w:ascii="Calibri" w:eastAsia="Calibri" w:hAnsi="Calibri" w:cs="Calibri"/>
          <w:sz w:val="24"/>
          <w:szCs w:val="24"/>
        </w:rPr>
      </w:pPr>
    </w:p>
    <w:p w:rsidR="00742A8F" w:rsidRDefault="00000000">
      <w:pPr>
        <w:rPr>
          <w:rFonts w:ascii="Calibri" w:eastAsia="Calibri" w:hAnsi="Calibri" w:cs="Calibri"/>
          <w:b/>
          <w:sz w:val="24"/>
          <w:szCs w:val="24"/>
        </w:rPr>
      </w:pPr>
      <w:r>
        <w:br w:type="page"/>
      </w:r>
    </w:p>
    <w:p w:rsidR="00742A8F" w:rsidRDefault="00000000">
      <w:pPr>
        <w:rPr>
          <w:rFonts w:ascii="Calibri" w:eastAsia="Calibri" w:hAnsi="Calibri" w:cs="Calibri"/>
          <w:b/>
          <w:sz w:val="24"/>
          <w:szCs w:val="24"/>
        </w:rPr>
      </w:pPr>
      <w:r>
        <w:rPr>
          <w:rFonts w:ascii="Calibri" w:eastAsia="Calibri" w:hAnsi="Calibri" w:cs="Calibri"/>
          <w:b/>
          <w:sz w:val="24"/>
          <w:szCs w:val="24"/>
        </w:rPr>
        <w:lastRenderedPageBreak/>
        <w:t>INDEX</w:t>
      </w:r>
    </w:p>
    <w:sdt>
      <w:sdtPr>
        <w:id w:val="-688988878"/>
        <w:docPartObj>
          <w:docPartGallery w:val="Table of Contents"/>
          <w:docPartUnique/>
        </w:docPartObj>
      </w:sdtPr>
      <w:sdtContent>
        <w:p w:rsidR="00742A8F" w:rsidRDefault="00000000">
          <w:pPr>
            <w:widowControl w:val="0"/>
            <w:tabs>
              <w:tab w:val="right" w:pos="12000"/>
            </w:tabs>
            <w:spacing w:before="60" w:line="240" w:lineRule="auto"/>
            <w:rPr>
              <w:b/>
              <w:color w:val="000000"/>
            </w:rPr>
          </w:pPr>
          <w:r>
            <w:fldChar w:fldCharType="begin"/>
          </w:r>
          <w:r>
            <w:instrText xml:space="preserve"> TOC \h \u \z \t "Heading 1,1,Heading 2,2,Heading 3,3,Heading 4,4,Heading 5,5,Heading 6,6,"</w:instrText>
          </w:r>
          <w:r>
            <w:fldChar w:fldCharType="separate"/>
          </w:r>
          <w:hyperlink w:anchor="_heading=h.gjdgxs">
            <w:r>
              <w:rPr>
                <w:b/>
                <w:color w:val="000000"/>
              </w:rPr>
              <w:t>Executive Summary</w:t>
            </w:r>
            <w:r>
              <w:rPr>
                <w:b/>
                <w:color w:val="000000"/>
              </w:rPr>
              <w:tab/>
              <w:t>2</w:t>
            </w:r>
          </w:hyperlink>
        </w:p>
        <w:p w:rsidR="00742A8F" w:rsidRDefault="00000000">
          <w:pPr>
            <w:widowControl w:val="0"/>
            <w:tabs>
              <w:tab w:val="right" w:pos="12000"/>
            </w:tabs>
            <w:spacing w:before="60" w:line="240" w:lineRule="auto"/>
            <w:rPr>
              <w:b/>
              <w:color w:val="000000"/>
            </w:rPr>
          </w:pPr>
          <w:hyperlink w:anchor="_heading=h.30j0zll">
            <w:r>
              <w:rPr>
                <w:b/>
                <w:color w:val="000000"/>
              </w:rPr>
              <w:t>Introduction</w:t>
            </w:r>
            <w:r>
              <w:rPr>
                <w:b/>
                <w:color w:val="000000"/>
              </w:rPr>
              <w:tab/>
              <w:t>3</w:t>
            </w:r>
          </w:hyperlink>
        </w:p>
        <w:p w:rsidR="00742A8F" w:rsidRDefault="00000000">
          <w:pPr>
            <w:widowControl w:val="0"/>
            <w:tabs>
              <w:tab w:val="right" w:pos="12000"/>
            </w:tabs>
            <w:spacing w:before="60" w:line="240" w:lineRule="auto"/>
            <w:rPr>
              <w:b/>
              <w:color w:val="000000"/>
            </w:rPr>
          </w:pPr>
          <w:hyperlink w:anchor="_heading=h.1fob9te">
            <w:r>
              <w:rPr>
                <w:b/>
                <w:color w:val="000000"/>
              </w:rPr>
              <w:t>CEDAW Articles 1 and 2: Policy Measures</w:t>
            </w:r>
            <w:r>
              <w:rPr>
                <w:b/>
                <w:color w:val="000000"/>
              </w:rPr>
              <w:tab/>
              <w:t>4</w:t>
            </w:r>
          </w:hyperlink>
        </w:p>
        <w:p w:rsidR="00742A8F" w:rsidRDefault="00000000">
          <w:pPr>
            <w:widowControl w:val="0"/>
            <w:tabs>
              <w:tab w:val="right" w:pos="12000"/>
            </w:tabs>
            <w:spacing w:before="60" w:line="240" w:lineRule="auto"/>
            <w:rPr>
              <w:b/>
              <w:color w:val="000000"/>
            </w:rPr>
          </w:pPr>
          <w:hyperlink w:anchor="_heading=h.3znysh7">
            <w:r>
              <w:rPr>
                <w:b/>
                <w:color w:val="000000"/>
              </w:rPr>
              <w:t>CEDAW Article 3 and 13: Economic and Social Protections</w:t>
            </w:r>
            <w:r>
              <w:rPr>
                <w:b/>
                <w:color w:val="000000"/>
              </w:rPr>
              <w:tab/>
              <w:t>4</w:t>
            </w:r>
          </w:hyperlink>
        </w:p>
        <w:p w:rsidR="00742A8F" w:rsidRDefault="00000000">
          <w:pPr>
            <w:widowControl w:val="0"/>
            <w:tabs>
              <w:tab w:val="right" w:pos="12000"/>
            </w:tabs>
            <w:spacing w:before="60" w:line="240" w:lineRule="auto"/>
            <w:rPr>
              <w:b/>
              <w:color w:val="000000"/>
            </w:rPr>
          </w:pPr>
          <w:hyperlink w:anchor="_heading=h.2et92p0">
            <w:r>
              <w:rPr>
                <w:b/>
                <w:color w:val="000000"/>
              </w:rPr>
              <w:t>CEDAW Article 6: Trafficking and exploitation of prostitution</w:t>
            </w:r>
            <w:r>
              <w:rPr>
                <w:b/>
                <w:color w:val="000000"/>
              </w:rPr>
              <w:tab/>
              <w:t>6</w:t>
            </w:r>
          </w:hyperlink>
        </w:p>
        <w:p w:rsidR="00742A8F" w:rsidRDefault="00000000">
          <w:pPr>
            <w:widowControl w:val="0"/>
            <w:tabs>
              <w:tab w:val="right" w:pos="12000"/>
            </w:tabs>
            <w:spacing w:before="60" w:line="240" w:lineRule="auto"/>
            <w:rPr>
              <w:b/>
              <w:color w:val="000000"/>
            </w:rPr>
          </w:pPr>
          <w:hyperlink w:anchor="_heading=h.tyjcwt">
            <w:r>
              <w:rPr>
                <w:b/>
                <w:color w:val="000000"/>
              </w:rPr>
              <w:t>CEDAW Article 11: Discrimination in employment</w:t>
            </w:r>
            <w:r>
              <w:rPr>
                <w:b/>
                <w:color w:val="000000"/>
              </w:rPr>
              <w:tab/>
              <w:t>9</w:t>
            </w:r>
          </w:hyperlink>
        </w:p>
        <w:p w:rsidR="00742A8F" w:rsidRDefault="00000000">
          <w:pPr>
            <w:widowControl w:val="0"/>
            <w:tabs>
              <w:tab w:val="right" w:pos="12000"/>
            </w:tabs>
            <w:spacing w:before="60" w:line="240" w:lineRule="auto"/>
            <w:rPr>
              <w:b/>
              <w:color w:val="000000"/>
            </w:rPr>
          </w:pPr>
          <w:hyperlink w:anchor="_heading=h.3dy6vkm">
            <w:r>
              <w:rPr>
                <w:b/>
                <w:color w:val="000000"/>
              </w:rPr>
              <w:t>CEDAW Article 12: Healthcare</w:t>
            </w:r>
            <w:r>
              <w:rPr>
                <w:b/>
                <w:color w:val="000000"/>
              </w:rPr>
              <w:tab/>
              <w:t>11</w:t>
            </w:r>
          </w:hyperlink>
        </w:p>
        <w:p w:rsidR="00742A8F" w:rsidRDefault="00000000">
          <w:pPr>
            <w:widowControl w:val="0"/>
            <w:tabs>
              <w:tab w:val="right" w:pos="12000"/>
            </w:tabs>
            <w:spacing w:before="60" w:line="240" w:lineRule="auto"/>
            <w:rPr>
              <w:b/>
              <w:color w:val="000000"/>
            </w:rPr>
          </w:pPr>
          <w:hyperlink w:anchor="_heading=h.1t3h5sf">
            <w:r>
              <w:rPr>
                <w:b/>
                <w:color w:val="000000"/>
              </w:rPr>
              <w:t>Recommendations:</w:t>
            </w:r>
            <w:r>
              <w:rPr>
                <w:b/>
                <w:color w:val="000000"/>
              </w:rPr>
              <w:tab/>
              <w:t>12</w:t>
            </w:r>
          </w:hyperlink>
          <w:r>
            <w:fldChar w:fldCharType="end"/>
          </w:r>
        </w:p>
      </w:sdtContent>
    </w:sdt>
    <w:p w:rsidR="00742A8F" w:rsidRDefault="00742A8F">
      <w:pPr>
        <w:rPr>
          <w:rFonts w:ascii="Calibri" w:eastAsia="Calibri" w:hAnsi="Calibri" w:cs="Calibri"/>
          <w:sz w:val="24"/>
          <w:szCs w:val="24"/>
        </w:rPr>
      </w:pPr>
    </w:p>
    <w:p w:rsidR="00742A8F" w:rsidRDefault="00742A8F">
      <w:pPr>
        <w:rPr>
          <w:rFonts w:ascii="Calibri" w:eastAsia="Calibri" w:hAnsi="Calibri" w:cs="Calibri"/>
          <w:sz w:val="24"/>
          <w:szCs w:val="24"/>
        </w:rPr>
      </w:pPr>
    </w:p>
    <w:p w:rsidR="00742A8F" w:rsidRDefault="00742A8F">
      <w:pPr>
        <w:rPr>
          <w:rFonts w:ascii="Calibri" w:eastAsia="Calibri" w:hAnsi="Calibri" w:cs="Calibri"/>
          <w:sz w:val="24"/>
          <w:szCs w:val="24"/>
        </w:rPr>
      </w:pPr>
    </w:p>
    <w:p w:rsidR="00742A8F" w:rsidRDefault="00742A8F">
      <w:pPr>
        <w:rPr>
          <w:rFonts w:ascii="Calibri" w:eastAsia="Calibri" w:hAnsi="Calibri" w:cs="Calibri"/>
          <w:sz w:val="24"/>
          <w:szCs w:val="24"/>
        </w:rPr>
      </w:pPr>
    </w:p>
    <w:p w:rsidR="00742A8F" w:rsidRDefault="00000000">
      <w:pPr>
        <w:pStyle w:val="Heading2"/>
      </w:pPr>
      <w:bookmarkStart w:id="0" w:name="_heading=h.gjdgxs" w:colFirst="0" w:colLast="0"/>
      <w:bookmarkEnd w:id="0"/>
      <w:r>
        <w:t xml:space="preserve">Executive Summary </w:t>
      </w:r>
    </w:p>
    <w:p w:rsidR="00742A8F" w:rsidRDefault="00742A8F">
      <w:pPr>
        <w:rPr>
          <w:rFonts w:ascii="Calibri" w:eastAsia="Calibri" w:hAnsi="Calibri" w:cs="Calibri"/>
          <w:sz w:val="24"/>
          <w:szCs w:val="24"/>
        </w:rPr>
      </w:pPr>
    </w:p>
    <w:p w:rsidR="00742A8F" w:rsidRDefault="00000000">
      <w:r>
        <w:t>This submission addresses Kuwait’s compliance with CEDAW articles 1, 2, 3, 6, 11, 12, and 13 of the Convention and focuses primarily on migrant women, who constitute 58% of Kuwait’s total female population. At least 37% of these women are employed as domestic workers, who remain excluded from several legal, social, and economic protections afforded to citizens of the State.</w:t>
      </w:r>
    </w:p>
    <w:p w:rsidR="00742A8F" w:rsidRDefault="00742A8F"/>
    <w:p w:rsidR="00742A8F" w:rsidRDefault="00000000">
      <w:r>
        <w:rPr>
          <w:b/>
        </w:rPr>
        <w:t>Key concerns:</w:t>
      </w:r>
    </w:p>
    <w:p w:rsidR="00742A8F" w:rsidRDefault="00742A8F"/>
    <w:p w:rsidR="00742A8F" w:rsidRDefault="00000000">
      <w:pPr>
        <w:numPr>
          <w:ilvl w:val="0"/>
          <w:numId w:val="5"/>
        </w:numPr>
      </w:pPr>
      <w:r w:rsidRPr="00E35BB3">
        <w:rPr>
          <w:b/>
          <w:bCs/>
        </w:rPr>
        <w:t xml:space="preserve">Domestic workers are excluded from Kuwait's </w:t>
      </w:r>
      <w:r w:rsidR="00E35BB3" w:rsidRPr="00E35BB3">
        <w:rPr>
          <w:b/>
          <w:bCs/>
        </w:rPr>
        <w:t>L</w:t>
      </w:r>
      <w:r w:rsidRPr="00E35BB3">
        <w:rPr>
          <w:b/>
          <w:bCs/>
        </w:rPr>
        <w:t>abour Law and Family Protection Law</w:t>
      </w:r>
      <w:r>
        <w:t>, leaving them with limited recourse for abuses like wage theft, physical violence, and sexual harassment.</w:t>
      </w:r>
    </w:p>
    <w:p w:rsidR="00742A8F" w:rsidRDefault="00000000">
      <w:pPr>
        <w:numPr>
          <w:ilvl w:val="0"/>
          <w:numId w:val="5"/>
        </w:numPr>
      </w:pPr>
      <w:r w:rsidRPr="00E35BB3">
        <w:rPr>
          <w:b/>
          <w:bCs/>
        </w:rPr>
        <w:t>Weak Enforcement of Existing Laws:</w:t>
      </w:r>
      <w:r>
        <w:t xml:space="preserve"> The Domestic Workers Law lacks effective monitoring, with employers frequently violating basic rights </w:t>
      </w:r>
      <w:r w:rsidR="00E35BB3">
        <w:t>including</w:t>
      </w:r>
      <w:r>
        <w:t xml:space="preserve"> minimum wage and paid leave.</w:t>
      </w:r>
    </w:p>
    <w:p w:rsidR="00742A8F" w:rsidRDefault="00000000">
      <w:pPr>
        <w:numPr>
          <w:ilvl w:val="0"/>
          <w:numId w:val="5"/>
        </w:numPr>
      </w:pPr>
      <w:r w:rsidRPr="00E35BB3">
        <w:rPr>
          <w:b/>
          <w:bCs/>
        </w:rPr>
        <w:t>Discriminatory Healthcare Access:</w:t>
      </w:r>
      <w:r>
        <w:t xml:space="preserve"> Low-income migrants and domestic workers struggle with employer-dependent healthcare, limited financial inclusion, and rising public healthcare fees.</w:t>
      </w:r>
    </w:p>
    <w:p w:rsidR="00742A8F" w:rsidRDefault="00000000">
      <w:pPr>
        <w:numPr>
          <w:ilvl w:val="0"/>
          <w:numId w:val="5"/>
        </w:numPr>
      </w:pPr>
      <w:r w:rsidRPr="00E35BB3">
        <w:rPr>
          <w:b/>
          <w:bCs/>
        </w:rPr>
        <w:t>Trafficking and Forced Labour</w:t>
      </w:r>
      <w:r>
        <w:t xml:space="preserve">: Kuwait's </w:t>
      </w:r>
      <w:r w:rsidR="00E35BB3">
        <w:t>has taken</w:t>
      </w:r>
      <w:r>
        <w:t xml:space="preserve"> inadequate measures </w:t>
      </w:r>
      <w:r w:rsidR="00E35BB3">
        <w:t>to combat</w:t>
      </w:r>
      <w:r>
        <w:t xml:space="preserve"> forced labour </w:t>
      </w:r>
      <w:r w:rsidR="00E35BB3">
        <w:t>under</w:t>
      </w:r>
      <w:r>
        <w:t xml:space="preserve"> the Kafala sponsorship system.</w:t>
      </w:r>
    </w:p>
    <w:p w:rsidR="00742A8F" w:rsidRDefault="00742A8F"/>
    <w:p w:rsidR="00742A8F" w:rsidRDefault="00000000">
      <w:pPr>
        <w:rPr>
          <w:b/>
        </w:rPr>
      </w:pPr>
      <w:r>
        <w:rPr>
          <w:b/>
        </w:rPr>
        <w:t>Recommendations:</w:t>
      </w:r>
    </w:p>
    <w:p w:rsidR="00742A8F" w:rsidRDefault="00742A8F">
      <w:pPr>
        <w:rPr>
          <w:b/>
        </w:rPr>
      </w:pPr>
    </w:p>
    <w:p w:rsidR="00742A8F" w:rsidRDefault="00000000">
      <w:pPr>
        <w:numPr>
          <w:ilvl w:val="0"/>
          <w:numId w:val="3"/>
        </w:numPr>
      </w:pPr>
      <w:r w:rsidRPr="00E35BB3">
        <w:rPr>
          <w:b/>
          <w:bCs/>
        </w:rPr>
        <w:t xml:space="preserve">Include Domestic Workers in </w:t>
      </w:r>
      <w:r w:rsidR="00E35BB3" w:rsidRPr="00E35BB3">
        <w:rPr>
          <w:b/>
          <w:bCs/>
        </w:rPr>
        <w:t>L</w:t>
      </w:r>
      <w:r w:rsidRPr="00E35BB3">
        <w:rPr>
          <w:b/>
          <w:bCs/>
        </w:rPr>
        <w:t xml:space="preserve">abour Law: </w:t>
      </w:r>
      <w:r>
        <w:t>Extend legal protections and enforcement mechanisms to domestic workers.</w:t>
      </w:r>
    </w:p>
    <w:p w:rsidR="00742A8F" w:rsidRDefault="00000000">
      <w:pPr>
        <w:numPr>
          <w:ilvl w:val="0"/>
          <w:numId w:val="3"/>
        </w:numPr>
      </w:pPr>
      <w:r w:rsidRPr="00E35BB3">
        <w:rPr>
          <w:b/>
          <w:bCs/>
        </w:rPr>
        <w:t>Strengthen Monitoring and Accountability</w:t>
      </w:r>
      <w:r>
        <w:t xml:space="preserve">: Establish robust mechanisms to hold employers </w:t>
      </w:r>
      <w:r w:rsidR="00E35BB3">
        <w:t xml:space="preserve">and recruitment agencies </w:t>
      </w:r>
      <w:r>
        <w:t>accountable.</w:t>
      </w:r>
    </w:p>
    <w:p w:rsidR="00742A8F" w:rsidRDefault="00000000">
      <w:pPr>
        <w:numPr>
          <w:ilvl w:val="0"/>
          <w:numId w:val="3"/>
        </w:numPr>
      </w:pPr>
      <w:r w:rsidRPr="00E35BB3">
        <w:rPr>
          <w:b/>
          <w:bCs/>
        </w:rPr>
        <w:lastRenderedPageBreak/>
        <w:t>Ensure Accessible Healthcare:</w:t>
      </w:r>
      <w:r>
        <w:t xml:space="preserve"> Guarantee healthcare access for all women regardless of immigration status.</w:t>
      </w:r>
    </w:p>
    <w:p w:rsidR="00742A8F" w:rsidRDefault="00000000">
      <w:pPr>
        <w:numPr>
          <w:ilvl w:val="0"/>
          <w:numId w:val="3"/>
        </w:numPr>
      </w:pPr>
      <w:r w:rsidRPr="00E35BB3">
        <w:rPr>
          <w:b/>
          <w:bCs/>
        </w:rPr>
        <w:t>Ratify Key Conventions:</w:t>
      </w:r>
      <w:r>
        <w:t xml:space="preserve"> Uphold obligations under ILO Conventions on organising, collective bargaining, and eliminating forced labour, as well as conventions protecting domestic workers and migrant workers' rights.</w:t>
      </w:r>
    </w:p>
    <w:p w:rsidR="00742A8F" w:rsidRDefault="00742A8F"/>
    <w:p w:rsidR="00742A8F" w:rsidRDefault="00742A8F">
      <w:pPr>
        <w:rPr>
          <w:rFonts w:ascii="Calibri" w:eastAsia="Calibri" w:hAnsi="Calibri" w:cs="Calibri"/>
          <w:sz w:val="24"/>
          <w:szCs w:val="24"/>
        </w:rPr>
      </w:pPr>
    </w:p>
    <w:p w:rsidR="00742A8F" w:rsidRDefault="00000000">
      <w:pPr>
        <w:pStyle w:val="Heading2"/>
      </w:pPr>
      <w:bookmarkStart w:id="1" w:name="_heading=h.30j0zll" w:colFirst="0" w:colLast="0"/>
      <w:bookmarkEnd w:id="1"/>
      <w:r>
        <w:t xml:space="preserve">Introduction </w:t>
      </w:r>
    </w:p>
    <w:p w:rsidR="00742A8F" w:rsidRDefault="00742A8F">
      <w:pPr>
        <w:rPr>
          <w:rFonts w:ascii="Calibri" w:eastAsia="Calibri" w:hAnsi="Calibri" w:cs="Calibri"/>
          <w:sz w:val="24"/>
          <w:szCs w:val="24"/>
        </w:rPr>
      </w:pPr>
    </w:p>
    <w:p w:rsidR="00742A8F" w:rsidRDefault="00000000">
      <w:pPr>
        <w:numPr>
          <w:ilvl w:val="0"/>
          <w:numId w:val="1"/>
        </w:numPr>
        <w:rPr>
          <w:rFonts w:ascii="Calibri" w:eastAsia="Calibri" w:hAnsi="Calibri" w:cs="Calibri"/>
          <w:sz w:val="24"/>
          <w:szCs w:val="24"/>
        </w:rPr>
      </w:pPr>
      <w:r>
        <w:rPr>
          <w:rFonts w:ascii="Calibri" w:eastAsia="Calibri" w:hAnsi="Calibri" w:cs="Calibri"/>
          <w:b/>
          <w:sz w:val="24"/>
          <w:szCs w:val="24"/>
        </w:rPr>
        <w:t>Migrant-Rights.org</w:t>
      </w:r>
      <w:r>
        <w:rPr>
          <w:rFonts w:ascii="Calibri" w:eastAsia="Calibri" w:hAnsi="Calibri" w:cs="Calibri"/>
          <w:sz w:val="24"/>
          <w:szCs w:val="24"/>
        </w:rPr>
        <w:t xml:space="preserve"> is a G</w:t>
      </w:r>
      <w:r w:rsidR="0052067B">
        <w:rPr>
          <w:rFonts w:ascii="Calibri" w:eastAsia="Calibri" w:hAnsi="Calibri" w:cs="Calibri"/>
          <w:sz w:val="24"/>
          <w:szCs w:val="24"/>
        </w:rPr>
        <w:t>ulf</w:t>
      </w:r>
      <w:r>
        <w:rPr>
          <w:rFonts w:ascii="Calibri" w:eastAsia="Calibri" w:hAnsi="Calibri" w:cs="Calibri"/>
          <w:sz w:val="24"/>
          <w:szCs w:val="24"/>
        </w:rPr>
        <w:t>-based research and advocacy organisation that aims to advance the rights of migrant workers. For over 15 years, we have documented emerging migrant rights issues across the G</w:t>
      </w:r>
      <w:r w:rsidR="0052067B">
        <w:rPr>
          <w:rFonts w:ascii="Calibri" w:eastAsia="Calibri" w:hAnsi="Calibri" w:cs="Calibri"/>
          <w:sz w:val="24"/>
          <w:szCs w:val="24"/>
        </w:rPr>
        <w:t xml:space="preserve">ulf Cooperation </w:t>
      </w:r>
      <w:r>
        <w:rPr>
          <w:rFonts w:ascii="Calibri" w:eastAsia="Calibri" w:hAnsi="Calibri" w:cs="Calibri"/>
          <w:sz w:val="24"/>
          <w:szCs w:val="24"/>
        </w:rPr>
        <w:t>C</w:t>
      </w:r>
      <w:r w:rsidR="0052067B">
        <w:rPr>
          <w:rFonts w:ascii="Calibri" w:eastAsia="Calibri" w:hAnsi="Calibri" w:cs="Calibri"/>
          <w:sz w:val="24"/>
          <w:szCs w:val="24"/>
        </w:rPr>
        <w:t>ouncil Countries</w:t>
      </w:r>
      <w:r>
        <w:rPr>
          <w:rFonts w:ascii="Calibri" w:eastAsia="Calibri" w:hAnsi="Calibri" w:cs="Calibri"/>
          <w:sz w:val="24"/>
          <w:szCs w:val="24"/>
        </w:rPr>
        <w:t xml:space="preserve"> and worked closely with migrant workers, non-governmental organisations, activists, and civil society organisations to secure rights for all migrants. The information and analyses in this </w:t>
      </w:r>
      <w:r w:rsidR="0052067B">
        <w:rPr>
          <w:rFonts w:ascii="Calibri" w:eastAsia="Calibri" w:hAnsi="Calibri" w:cs="Calibri"/>
          <w:sz w:val="24"/>
          <w:szCs w:val="24"/>
        </w:rPr>
        <w:t>submission</w:t>
      </w:r>
      <w:r>
        <w:rPr>
          <w:rFonts w:ascii="Calibri" w:eastAsia="Calibri" w:hAnsi="Calibri" w:cs="Calibri"/>
          <w:sz w:val="24"/>
          <w:szCs w:val="24"/>
        </w:rPr>
        <w:t xml:space="preserve"> are based on our reporting on Kuwait and our engagement with the above-mentioned stakeholders.  </w:t>
      </w:r>
    </w:p>
    <w:p w:rsidR="00742A8F" w:rsidRDefault="00742A8F">
      <w:pPr>
        <w:rPr>
          <w:rFonts w:ascii="Calibri" w:eastAsia="Calibri" w:hAnsi="Calibri" w:cs="Calibri"/>
          <w:sz w:val="24"/>
          <w:szCs w:val="24"/>
        </w:rPr>
      </w:pPr>
    </w:p>
    <w:p w:rsidR="00742A8F" w:rsidRDefault="00000000">
      <w:pPr>
        <w:numPr>
          <w:ilvl w:val="0"/>
          <w:numId w:val="1"/>
        </w:numPr>
        <w:rPr>
          <w:rFonts w:ascii="Calibri" w:eastAsia="Calibri" w:hAnsi="Calibri" w:cs="Calibri"/>
          <w:sz w:val="24"/>
          <w:szCs w:val="24"/>
        </w:rPr>
      </w:pPr>
      <w:r>
        <w:rPr>
          <w:rFonts w:ascii="Calibri" w:eastAsia="Calibri" w:hAnsi="Calibri" w:cs="Calibri"/>
          <w:sz w:val="24"/>
          <w:szCs w:val="24"/>
        </w:rPr>
        <w:t>This submission focuses on the specific protection gaps and legal discriminations affecting migrant women and mig</w:t>
      </w:r>
      <w:r w:rsidR="0052067B">
        <w:rPr>
          <w:rFonts w:ascii="Calibri" w:eastAsia="Calibri" w:hAnsi="Calibri" w:cs="Calibri"/>
          <w:sz w:val="24"/>
          <w:szCs w:val="24"/>
        </w:rPr>
        <w:t>r</w:t>
      </w:r>
      <w:r>
        <w:rPr>
          <w:rFonts w:ascii="Calibri" w:eastAsia="Calibri" w:hAnsi="Calibri" w:cs="Calibri"/>
          <w:sz w:val="24"/>
          <w:szCs w:val="24"/>
        </w:rPr>
        <w:t xml:space="preserve">ant domestic workers </w:t>
      </w:r>
      <w:r w:rsidR="0052067B">
        <w:rPr>
          <w:rFonts w:ascii="Calibri" w:eastAsia="Calibri" w:hAnsi="Calibri" w:cs="Calibri"/>
          <w:sz w:val="24"/>
          <w:szCs w:val="24"/>
        </w:rPr>
        <w:t xml:space="preserve">(MDWs) </w:t>
      </w:r>
      <w:r>
        <w:rPr>
          <w:rFonts w:ascii="Calibri" w:eastAsia="Calibri" w:hAnsi="Calibri" w:cs="Calibri"/>
          <w:sz w:val="24"/>
          <w:szCs w:val="24"/>
        </w:rPr>
        <w:t xml:space="preserve">in particular.  </w:t>
      </w:r>
      <w:r w:rsidR="007C2B50">
        <w:rPr>
          <w:rFonts w:ascii="Calibri" w:eastAsia="Calibri" w:hAnsi="Calibri" w:cs="Calibri"/>
          <w:sz w:val="24"/>
          <w:szCs w:val="24"/>
        </w:rPr>
        <w:t>At the start of 2023,</w:t>
      </w:r>
      <w:r>
        <w:rPr>
          <w:rFonts w:ascii="Calibri" w:eastAsia="Calibri" w:hAnsi="Calibri" w:cs="Calibri"/>
          <w:sz w:val="24"/>
          <w:szCs w:val="24"/>
        </w:rPr>
        <w:t xml:space="preserve"> there were 1,087,673 migrant women in Kuwait</w:t>
      </w:r>
      <w:r w:rsidR="007C2B50">
        <w:rPr>
          <w:rFonts w:ascii="Calibri" w:eastAsia="Calibri" w:hAnsi="Calibri" w:cs="Calibri"/>
          <w:sz w:val="24"/>
          <w:szCs w:val="24"/>
        </w:rPr>
        <w:t xml:space="preserve">, </w:t>
      </w:r>
      <w:r>
        <w:rPr>
          <w:rFonts w:ascii="Calibri" w:eastAsia="Calibri" w:hAnsi="Calibri" w:cs="Calibri"/>
          <w:sz w:val="24"/>
          <w:szCs w:val="24"/>
        </w:rPr>
        <w:t xml:space="preserve">accounting for 58.5% of all women in </w:t>
      </w:r>
      <w:r w:rsidR="007C2B50">
        <w:rPr>
          <w:rFonts w:ascii="Calibri" w:eastAsia="Calibri" w:hAnsi="Calibri" w:cs="Calibri"/>
          <w:sz w:val="24"/>
          <w:szCs w:val="24"/>
        </w:rPr>
        <w:t>the country</w:t>
      </w:r>
      <w:r>
        <w:rPr>
          <w:rFonts w:ascii="Calibri" w:eastAsia="Calibri" w:hAnsi="Calibri" w:cs="Calibri"/>
          <w:sz w:val="24"/>
          <w:szCs w:val="24"/>
        </w:rPr>
        <w:t>.</w:t>
      </w:r>
      <w:r>
        <w:rPr>
          <w:rFonts w:ascii="Calibri" w:eastAsia="Calibri" w:hAnsi="Calibri" w:cs="Calibri"/>
          <w:sz w:val="24"/>
          <w:szCs w:val="24"/>
          <w:vertAlign w:val="superscript"/>
        </w:rPr>
        <w:footnoteReference w:id="1"/>
      </w:r>
      <w:r>
        <w:rPr>
          <w:rFonts w:ascii="Calibri" w:eastAsia="Calibri" w:hAnsi="Calibri" w:cs="Calibri"/>
          <w:sz w:val="24"/>
          <w:szCs w:val="24"/>
        </w:rPr>
        <w:t xml:space="preserve"> In 2022, female </w:t>
      </w:r>
      <w:r w:rsidR="0052067B">
        <w:rPr>
          <w:rFonts w:ascii="Calibri" w:eastAsia="Calibri" w:hAnsi="Calibri" w:cs="Calibri"/>
          <w:sz w:val="24"/>
          <w:szCs w:val="24"/>
        </w:rPr>
        <w:t>MDWs</w:t>
      </w:r>
      <w:r>
        <w:rPr>
          <w:rFonts w:ascii="Calibri" w:eastAsia="Calibri" w:hAnsi="Calibri" w:cs="Calibri"/>
          <w:sz w:val="24"/>
          <w:szCs w:val="24"/>
        </w:rPr>
        <w:t xml:space="preserve"> numbered close to 405,600, constituting 26.53% of Kuwait’s non-national labour force.</w:t>
      </w:r>
      <w:r>
        <w:rPr>
          <w:rFonts w:ascii="Calibri" w:eastAsia="Calibri" w:hAnsi="Calibri" w:cs="Calibri"/>
          <w:sz w:val="24"/>
          <w:szCs w:val="24"/>
          <w:vertAlign w:val="superscript"/>
        </w:rPr>
        <w:footnoteReference w:id="2"/>
      </w:r>
      <w:r>
        <w:rPr>
          <w:rFonts w:ascii="Calibri" w:eastAsia="Calibri" w:hAnsi="Calibri" w:cs="Calibri"/>
          <w:sz w:val="24"/>
          <w:szCs w:val="24"/>
        </w:rPr>
        <w:t xml:space="preserve"> The number is likely far higher, as many domestic workers are forced into irregularity.</w:t>
      </w:r>
      <w:r>
        <w:rPr>
          <w:rFonts w:ascii="Calibri" w:eastAsia="Calibri" w:hAnsi="Calibri" w:cs="Calibri"/>
          <w:sz w:val="24"/>
          <w:szCs w:val="24"/>
          <w:vertAlign w:val="superscript"/>
        </w:rPr>
        <w:footnoteReference w:id="3"/>
      </w:r>
    </w:p>
    <w:p w:rsidR="00742A8F" w:rsidRDefault="00742A8F">
      <w:pPr>
        <w:ind w:left="720"/>
        <w:rPr>
          <w:rFonts w:ascii="Calibri" w:eastAsia="Calibri" w:hAnsi="Calibri" w:cs="Calibri"/>
          <w:sz w:val="24"/>
          <w:szCs w:val="24"/>
        </w:rPr>
      </w:pPr>
    </w:p>
    <w:p w:rsidR="00742A8F" w:rsidRDefault="00000000">
      <w:pPr>
        <w:numPr>
          <w:ilvl w:val="0"/>
          <w:numId w:val="1"/>
        </w:numPr>
        <w:rPr>
          <w:rFonts w:ascii="Calibri" w:eastAsia="Calibri" w:hAnsi="Calibri" w:cs="Calibri"/>
          <w:sz w:val="24"/>
          <w:szCs w:val="24"/>
        </w:rPr>
      </w:pPr>
      <w:r>
        <w:rPr>
          <w:rFonts w:ascii="Calibri" w:eastAsia="Calibri" w:hAnsi="Calibri" w:cs="Calibri"/>
          <w:sz w:val="24"/>
          <w:szCs w:val="24"/>
        </w:rPr>
        <w:t>Discrimination and violence against women are widespread in Kuwait</w:t>
      </w:r>
      <w:r w:rsidR="004E21F0">
        <w:rPr>
          <w:rFonts w:ascii="Calibri" w:eastAsia="Calibri" w:hAnsi="Calibri" w:cs="Calibri"/>
          <w:sz w:val="24"/>
          <w:szCs w:val="24"/>
        </w:rPr>
        <w:t>.</w:t>
      </w:r>
      <w:r>
        <w:rPr>
          <w:rFonts w:ascii="Calibri" w:eastAsia="Calibri" w:hAnsi="Calibri" w:cs="Calibri"/>
          <w:sz w:val="24"/>
          <w:szCs w:val="24"/>
          <w:vertAlign w:val="superscript"/>
        </w:rPr>
        <w:footnoteReference w:id="4"/>
      </w:r>
      <w:r>
        <w:rPr>
          <w:rFonts w:ascii="Calibri" w:eastAsia="Calibri" w:hAnsi="Calibri" w:cs="Calibri"/>
          <w:sz w:val="24"/>
          <w:szCs w:val="24"/>
        </w:rPr>
        <w:t xml:space="preserve"> Vulnerability to violence and discrimination varies across several intersecting factors such as nationality, race, ethnicity and social class</w:t>
      </w:r>
      <w:r w:rsidR="004E21F0">
        <w:rPr>
          <w:rFonts w:ascii="Calibri" w:eastAsia="Calibri" w:hAnsi="Calibri" w:cs="Calibri"/>
          <w:sz w:val="24"/>
          <w:szCs w:val="24"/>
        </w:rPr>
        <w:t>. L</w:t>
      </w:r>
      <w:r>
        <w:rPr>
          <w:rFonts w:ascii="Calibri" w:eastAsia="Calibri" w:hAnsi="Calibri" w:cs="Calibri"/>
          <w:sz w:val="24"/>
          <w:szCs w:val="24"/>
        </w:rPr>
        <w:t>ow-income migrant women, and female domestic workers, in particular,</w:t>
      </w:r>
      <w:r w:rsidR="004E21F0">
        <w:rPr>
          <w:rFonts w:ascii="Calibri" w:eastAsia="Calibri" w:hAnsi="Calibri" w:cs="Calibri"/>
          <w:sz w:val="24"/>
          <w:szCs w:val="24"/>
        </w:rPr>
        <w:t xml:space="preserve"> are </w:t>
      </w:r>
      <w:r>
        <w:rPr>
          <w:rFonts w:ascii="Calibri" w:eastAsia="Calibri" w:hAnsi="Calibri" w:cs="Calibri"/>
          <w:sz w:val="24"/>
          <w:szCs w:val="24"/>
        </w:rPr>
        <w:t xml:space="preserve">the least protected. They experience wage theft, overwork, sexual abuse, torture, and </w:t>
      </w:r>
      <w:r w:rsidR="004E21F0">
        <w:rPr>
          <w:rFonts w:ascii="Calibri" w:eastAsia="Calibri" w:hAnsi="Calibri" w:cs="Calibri"/>
          <w:sz w:val="24"/>
          <w:szCs w:val="24"/>
        </w:rPr>
        <w:t xml:space="preserve">even </w:t>
      </w:r>
      <w:r>
        <w:rPr>
          <w:rFonts w:ascii="Calibri" w:eastAsia="Calibri" w:hAnsi="Calibri" w:cs="Calibri"/>
          <w:sz w:val="24"/>
          <w:szCs w:val="24"/>
        </w:rPr>
        <w:t>murder.</w:t>
      </w:r>
      <w:r>
        <w:rPr>
          <w:rFonts w:ascii="Calibri" w:eastAsia="Calibri" w:hAnsi="Calibri" w:cs="Calibri"/>
          <w:sz w:val="24"/>
          <w:szCs w:val="24"/>
          <w:vertAlign w:val="superscript"/>
        </w:rPr>
        <w:footnoteReference w:id="5"/>
      </w:r>
      <w:r>
        <w:rPr>
          <w:rFonts w:ascii="Calibri" w:eastAsia="Calibri" w:hAnsi="Calibri" w:cs="Calibri"/>
          <w:sz w:val="24"/>
          <w:szCs w:val="24"/>
        </w:rPr>
        <w:t xml:space="preserve">  </w:t>
      </w:r>
    </w:p>
    <w:p w:rsidR="00742A8F" w:rsidRDefault="00742A8F">
      <w:pPr>
        <w:rPr>
          <w:rFonts w:ascii="Calibri" w:eastAsia="Calibri" w:hAnsi="Calibri" w:cs="Calibri"/>
          <w:sz w:val="24"/>
          <w:szCs w:val="24"/>
        </w:rPr>
      </w:pPr>
    </w:p>
    <w:p w:rsidR="00742A8F" w:rsidRDefault="00000000">
      <w:pPr>
        <w:pStyle w:val="Heading2"/>
      </w:pPr>
      <w:bookmarkStart w:id="2" w:name="_heading=h.1fob9te" w:colFirst="0" w:colLast="0"/>
      <w:bookmarkEnd w:id="2"/>
      <w:r>
        <w:t xml:space="preserve">CEDAW Articles 1 and 2: Policy Measures </w:t>
      </w:r>
    </w:p>
    <w:p w:rsidR="00742A8F" w:rsidRDefault="00742A8F">
      <w:pPr>
        <w:ind w:left="720"/>
        <w:rPr>
          <w:rFonts w:ascii="Calibri" w:eastAsia="Calibri" w:hAnsi="Calibri" w:cs="Calibri"/>
          <w:sz w:val="24"/>
          <w:szCs w:val="24"/>
        </w:rPr>
      </w:pPr>
    </w:p>
    <w:p w:rsidR="00742A8F" w:rsidRDefault="00000000">
      <w:pPr>
        <w:numPr>
          <w:ilvl w:val="0"/>
          <w:numId w:val="4"/>
        </w:numPr>
        <w:rPr>
          <w:rFonts w:ascii="Calibri" w:eastAsia="Calibri" w:hAnsi="Calibri" w:cs="Calibri"/>
          <w:sz w:val="24"/>
          <w:szCs w:val="24"/>
        </w:rPr>
      </w:pPr>
      <w:r>
        <w:rPr>
          <w:rFonts w:ascii="Calibri" w:eastAsia="Calibri" w:hAnsi="Calibri" w:cs="Calibri"/>
          <w:sz w:val="24"/>
          <w:szCs w:val="24"/>
        </w:rPr>
        <w:t>Kuwait’s Family Protection Law (Law No. 16/2020) constitutes the country’s primary legislative effort to combat violence against women since ratifying CEDAW.</w:t>
      </w:r>
      <w:r>
        <w:rPr>
          <w:rFonts w:ascii="Calibri" w:eastAsia="Calibri" w:hAnsi="Calibri" w:cs="Calibri"/>
          <w:sz w:val="24"/>
          <w:szCs w:val="24"/>
          <w:vertAlign w:val="superscript"/>
        </w:rPr>
        <w:footnoteReference w:id="6"/>
      </w:r>
      <w:r>
        <w:rPr>
          <w:rFonts w:ascii="Calibri" w:eastAsia="Calibri" w:hAnsi="Calibri" w:cs="Calibri"/>
          <w:sz w:val="24"/>
          <w:szCs w:val="24"/>
        </w:rPr>
        <w:t xml:space="preserve"> However, the law lacks effective monitoring mechanisms and remains only partially implemented. For example, the state has still not opened a shelter for victims as proscribed in Article 2 of the law. </w:t>
      </w:r>
    </w:p>
    <w:p w:rsidR="00742A8F" w:rsidRDefault="00742A8F">
      <w:pPr>
        <w:ind w:left="720"/>
        <w:rPr>
          <w:rFonts w:ascii="Calibri" w:eastAsia="Calibri" w:hAnsi="Calibri" w:cs="Calibri"/>
          <w:sz w:val="24"/>
          <w:szCs w:val="24"/>
        </w:rPr>
      </w:pPr>
    </w:p>
    <w:p w:rsidR="00742A8F" w:rsidRDefault="00000000">
      <w:pPr>
        <w:numPr>
          <w:ilvl w:val="0"/>
          <w:numId w:val="4"/>
        </w:numPr>
        <w:rPr>
          <w:rFonts w:ascii="Calibri" w:eastAsia="Calibri" w:hAnsi="Calibri" w:cs="Calibri"/>
          <w:sz w:val="24"/>
          <w:szCs w:val="24"/>
        </w:rPr>
      </w:pPr>
      <w:r>
        <w:rPr>
          <w:rFonts w:ascii="Calibri" w:eastAsia="Calibri" w:hAnsi="Calibri" w:cs="Calibri"/>
          <w:sz w:val="24"/>
          <w:szCs w:val="24"/>
        </w:rPr>
        <w:t xml:space="preserve">Furthermore, female </w:t>
      </w:r>
      <w:r w:rsidR="0052067B">
        <w:rPr>
          <w:rFonts w:ascii="Calibri" w:eastAsia="Calibri" w:hAnsi="Calibri" w:cs="Calibri"/>
          <w:sz w:val="24"/>
          <w:szCs w:val="24"/>
        </w:rPr>
        <w:t>MDWs</w:t>
      </w:r>
      <w:r>
        <w:rPr>
          <w:rFonts w:ascii="Calibri" w:eastAsia="Calibri" w:hAnsi="Calibri" w:cs="Calibri"/>
          <w:sz w:val="24"/>
          <w:szCs w:val="24"/>
        </w:rPr>
        <w:t xml:space="preserve"> are excluded from the Family Protection Law entirely, and have no other legal guarantees against gender-based violence.</w:t>
      </w:r>
      <w:r>
        <w:rPr>
          <w:rFonts w:ascii="Calibri" w:eastAsia="Calibri" w:hAnsi="Calibri" w:cs="Calibri"/>
          <w:sz w:val="24"/>
          <w:szCs w:val="24"/>
          <w:vertAlign w:val="superscript"/>
        </w:rPr>
        <w:footnoteReference w:id="7"/>
      </w:r>
      <w:r>
        <w:rPr>
          <w:rFonts w:ascii="Calibri" w:eastAsia="Calibri" w:hAnsi="Calibri" w:cs="Calibri"/>
          <w:sz w:val="24"/>
          <w:szCs w:val="24"/>
        </w:rPr>
        <w:t xml:space="preserve"> </w:t>
      </w:r>
    </w:p>
    <w:p w:rsidR="00742A8F" w:rsidRDefault="00742A8F">
      <w:pPr>
        <w:rPr>
          <w:rFonts w:ascii="Calibri" w:eastAsia="Calibri" w:hAnsi="Calibri" w:cs="Calibri"/>
          <w:sz w:val="24"/>
          <w:szCs w:val="24"/>
        </w:rPr>
      </w:pPr>
    </w:p>
    <w:p w:rsidR="00742A8F" w:rsidRDefault="00000000">
      <w:pPr>
        <w:numPr>
          <w:ilvl w:val="0"/>
          <w:numId w:val="4"/>
        </w:numPr>
        <w:rPr>
          <w:rFonts w:ascii="Calibri" w:eastAsia="Calibri" w:hAnsi="Calibri" w:cs="Calibri"/>
          <w:sz w:val="24"/>
          <w:szCs w:val="24"/>
        </w:rPr>
      </w:pPr>
      <w:r>
        <w:rPr>
          <w:rFonts w:ascii="Calibri" w:eastAsia="Calibri" w:hAnsi="Calibri" w:cs="Calibri"/>
          <w:sz w:val="24"/>
          <w:szCs w:val="24"/>
        </w:rPr>
        <w:t xml:space="preserve">Article 7 of Kuwait’s constitution embraces ‘justice, freedom and equality’ as pillars of society binding </w:t>
      </w:r>
      <w:r>
        <w:rPr>
          <w:rFonts w:ascii="Calibri" w:eastAsia="Calibri" w:hAnsi="Calibri" w:cs="Calibri"/>
          <w:i/>
          <w:sz w:val="24"/>
          <w:szCs w:val="24"/>
        </w:rPr>
        <w:t>citizens</w:t>
      </w:r>
      <w:r>
        <w:rPr>
          <w:rFonts w:ascii="Calibri" w:eastAsia="Calibri" w:hAnsi="Calibri" w:cs="Calibri"/>
          <w:sz w:val="24"/>
          <w:szCs w:val="24"/>
        </w:rPr>
        <w:t xml:space="preserve"> and makes no mention of extending such pillars to non-citizens who constitute the majority (68%) of Kuwait’s total population. </w:t>
      </w:r>
    </w:p>
    <w:p w:rsidR="00742A8F" w:rsidRDefault="00742A8F">
      <w:pPr>
        <w:rPr>
          <w:rFonts w:ascii="Calibri" w:eastAsia="Calibri" w:hAnsi="Calibri" w:cs="Calibri"/>
          <w:sz w:val="24"/>
          <w:szCs w:val="24"/>
        </w:rPr>
      </w:pPr>
    </w:p>
    <w:p w:rsidR="00742A8F" w:rsidRDefault="00000000">
      <w:pPr>
        <w:numPr>
          <w:ilvl w:val="0"/>
          <w:numId w:val="4"/>
        </w:numPr>
        <w:rPr>
          <w:rFonts w:ascii="Calibri" w:eastAsia="Calibri" w:hAnsi="Calibri" w:cs="Calibri"/>
          <w:sz w:val="24"/>
          <w:szCs w:val="24"/>
        </w:rPr>
      </w:pPr>
      <w:r>
        <w:rPr>
          <w:rFonts w:ascii="Calibri" w:eastAsia="Calibri" w:hAnsi="Calibri" w:cs="Calibri"/>
          <w:sz w:val="24"/>
          <w:szCs w:val="24"/>
        </w:rPr>
        <w:t>Article 38 of Kuwait’s constitution identifies the home as “inviolable,” and emphasises the “dwellers permission” for entry.  This limits the state’s ability to enforce laws like the Family Protection Law and Domestic Workers Law</w:t>
      </w:r>
      <w:r w:rsidR="004E21F0">
        <w:rPr>
          <w:rFonts w:ascii="Calibri" w:eastAsia="Calibri" w:hAnsi="Calibri" w:cs="Calibri"/>
          <w:sz w:val="24"/>
          <w:szCs w:val="24"/>
        </w:rPr>
        <w:t xml:space="preserve">, </w:t>
      </w:r>
      <w:r>
        <w:rPr>
          <w:rFonts w:ascii="Calibri" w:eastAsia="Calibri" w:hAnsi="Calibri" w:cs="Calibri"/>
          <w:sz w:val="24"/>
          <w:szCs w:val="24"/>
        </w:rPr>
        <w:t>disproportionately impact</w:t>
      </w:r>
      <w:r w:rsidR="004E21F0">
        <w:rPr>
          <w:rFonts w:ascii="Calibri" w:eastAsia="Calibri" w:hAnsi="Calibri" w:cs="Calibri"/>
          <w:sz w:val="24"/>
          <w:szCs w:val="24"/>
        </w:rPr>
        <w:t xml:space="preserve">ing </w:t>
      </w:r>
      <w:r w:rsidR="0052067B">
        <w:rPr>
          <w:rFonts w:ascii="Calibri" w:eastAsia="Calibri" w:hAnsi="Calibri" w:cs="Calibri"/>
          <w:sz w:val="24"/>
          <w:szCs w:val="24"/>
        </w:rPr>
        <w:t>MDWs</w:t>
      </w:r>
      <w:r>
        <w:rPr>
          <w:rFonts w:ascii="Calibri" w:eastAsia="Calibri" w:hAnsi="Calibri" w:cs="Calibri"/>
          <w:sz w:val="24"/>
          <w:szCs w:val="24"/>
        </w:rPr>
        <w:t xml:space="preserve"> who primarily work in private residences.</w:t>
      </w:r>
    </w:p>
    <w:p w:rsidR="00742A8F" w:rsidRDefault="00742A8F">
      <w:pPr>
        <w:rPr>
          <w:rFonts w:ascii="Calibri" w:eastAsia="Calibri" w:hAnsi="Calibri" w:cs="Calibri"/>
          <w:sz w:val="24"/>
          <w:szCs w:val="24"/>
        </w:rPr>
      </w:pPr>
    </w:p>
    <w:p w:rsidR="00742A8F" w:rsidRDefault="00000000">
      <w:pPr>
        <w:pStyle w:val="Heading2"/>
      </w:pPr>
      <w:bookmarkStart w:id="3" w:name="_heading=h.3znysh7" w:colFirst="0" w:colLast="0"/>
      <w:bookmarkEnd w:id="3"/>
      <w:r>
        <w:t>CEDAW Article 3 and 13: Economic and Social Protections</w:t>
      </w:r>
    </w:p>
    <w:p w:rsidR="00742A8F" w:rsidRDefault="00742A8F">
      <w:pPr>
        <w:rPr>
          <w:rFonts w:ascii="Calibri" w:eastAsia="Calibri" w:hAnsi="Calibri" w:cs="Calibri"/>
          <w:b/>
          <w:sz w:val="24"/>
          <w:szCs w:val="24"/>
        </w:rPr>
      </w:pPr>
    </w:p>
    <w:p w:rsidR="00742A8F" w:rsidRDefault="00000000">
      <w:pPr>
        <w:numPr>
          <w:ilvl w:val="0"/>
          <w:numId w:val="4"/>
        </w:numPr>
        <w:rPr>
          <w:rFonts w:ascii="Calibri" w:eastAsia="Calibri" w:hAnsi="Calibri" w:cs="Calibri"/>
          <w:sz w:val="24"/>
          <w:szCs w:val="24"/>
        </w:rPr>
      </w:pPr>
      <w:r>
        <w:rPr>
          <w:rFonts w:ascii="Calibri" w:eastAsia="Calibri" w:hAnsi="Calibri" w:cs="Calibri"/>
          <w:sz w:val="24"/>
          <w:szCs w:val="24"/>
        </w:rPr>
        <w:t xml:space="preserve">Migrant women are predominantly employed as domestic workers </w:t>
      </w:r>
      <w:r w:rsidR="004E21F0">
        <w:rPr>
          <w:rFonts w:ascii="Calibri" w:eastAsia="Calibri" w:hAnsi="Calibri" w:cs="Calibri"/>
          <w:sz w:val="24"/>
          <w:szCs w:val="24"/>
        </w:rPr>
        <w:t>who</w:t>
      </w:r>
      <w:r>
        <w:rPr>
          <w:rFonts w:ascii="Calibri" w:eastAsia="Calibri" w:hAnsi="Calibri" w:cs="Calibri"/>
          <w:sz w:val="24"/>
          <w:szCs w:val="24"/>
        </w:rPr>
        <w:t xml:space="preserve"> are excluded from the labour law. The regulations pertaining to domestic work </w:t>
      </w:r>
      <w:r w:rsidR="004E21F0">
        <w:rPr>
          <w:rFonts w:ascii="Calibri" w:eastAsia="Calibri" w:hAnsi="Calibri" w:cs="Calibri"/>
          <w:sz w:val="24"/>
          <w:szCs w:val="24"/>
        </w:rPr>
        <w:t>(</w:t>
      </w:r>
      <w:r>
        <w:rPr>
          <w:rFonts w:ascii="Calibri" w:eastAsia="Calibri" w:hAnsi="Calibri" w:cs="Calibri"/>
          <w:sz w:val="24"/>
          <w:szCs w:val="24"/>
        </w:rPr>
        <w:t>namely Domestic Workers Law No. 68/2015 and Ministerial Decree No. 22 of 2022</w:t>
      </w:r>
      <w:r w:rsidR="004E21F0">
        <w:rPr>
          <w:rFonts w:ascii="Calibri" w:eastAsia="Calibri" w:hAnsi="Calibri" w:cs="Calibri"/>
          <w:sz w:val="24"/>
          <w:szCs w:val="24"/>
        </w:rPr>
        <w:t>)</w:t>
      </w:r>
      <w:r>
        <w:rPr>
          <w:rFonts w:ascii="Calibri" w:eastAsia="Calibri" w:hAnsi="Calibri" w:cs="Calibri"/>
          <w:sz w:val="24"/>
          <w:szCs w:val="24"/>
        </w:rPr>
        <w:t xml:space="preserve"> provide far inferior protections </w:t>
      </w:r>
      <w:r w:rsidR="004E21F0">
        <w:rPr>
          <w:rFonts w:ascii="Calibri" w:eastAsia="Calibri" w:hAnsi="Calibri" w:cs="Calibri"/>
          <w:sz w:val="24"/>
          <w:szCs w:val="24"/>
        </w:rPr>
        <w:t>compared</w:t>
      </w:r>
      <w:r>
        <w:rPr>
          <w:rFonts w:ascii="Calibri" w:eastAsia="Calibri" w:hAnsi="Calibri" w:cs="Calibri"/>
          <w:sz w:val="24"/>
          <w:szCs w:val="24"/>
        </w:rPr>
        <w:t xml:space="preserve"> to the labour law in terms of working hours, sick leave, wages, freedom of association, </w:t>
      </w:r>
      <w:r w:rsidR="004E21F0">
        <w:rPr>
          <w:rFonts w:ascii="Calibri" w:eastAsia="Calibri" w:hAnsi="Calibri" w:cs="Calibri"/>
          <w:sz w:val="24"/>
          <w:szCs w:val="24"/>
        </w:rPr>
        <w:t xml:space="preserve">and </w:t>
      </w:r>
      <w:r>
        <w:rPr>
          <w:rFonts w:ascii="Calibri" w:eastAsia="Calibri" w:hAnsi="Calibri" w:cs="Calibri"/>
          <w:sz w:val="24"/>
          <w:szCs w:val="24"/>
        </w:rPr>
        <w:t xml:space="preserve">job mobility. </w:t>
      </w:r>
    </w:p>
    <w:p w:rsidR="00742A8F" w:rsidRDefault="00742A8F">
      <w:pPr>
        <w:rPr>
          <w:rFonts w:ascii="Calibri" w:eastAsia="Calibri" w:hAnsi="Calibri" w:cs="Calibri"/>
          <w:sz w:val="24"/>
          <w:szCs w:val="24"/>
        </w:rPr>
      </w:pPr>
    </w:p>
    <w:p w:rsidR="00742A8F" w:rsidRDefault="00000000">
      <w:pPr>
        <w:numPr>
          <w:ilvl w:val="0"/>
          <w:numId w:val="4"/>
        </w:numPr>
        <w:rPr>
          <w:rFonts w:ascii="Calibri" w:eastAsia="Calibri" w:hAnsi="Calibri" w:cs="Calibri"/>
          <w:sz w:val="24"/>
          <w:szCs w:val="24"/>
        </w:rPr>
      </w:pPr>
      <w:r>
        <w:rPr>
          <w:rFonts w:ascii="Calibri" w:eastAsia="Calibri" w:hAnsi="Calibri" w:cs="Calibri"/>
          <w:sz w:val="24"/>
          <w:szCs w:val="24"/>
        </w:rPr>
        <w:t xml:space="preserve">Exclusion from the labour law also limits </w:t>
      </w:r>
      <w:r w:rsidR="0052067B">
        <w:rPr>
          <w:rFonts w:ascii="Calibri" w:eastAsia="Calibri" w:hAnsi="Calibri" w:cs="Calibri"/>
          <w:sz w:val="24"/>
          <w:szCs w:val="24"/>
        </w:rPr>
        <w:t>MDWs</w:t>
      </w:r>
      <w:r>
        <w:rPr>
          <w:rFonts w:ascii="Calibri" w:eastAsia="Calibri" w:hAnsi="Calibri" w:cs="Calibri"/>
          <w:sz w:val="24"/>
          <w:szCs w:val="24"/>
        </w:rPr>
        <w:t xml:space="preserve">’ financial independence, including access to financial services. Domestic workers are excluded from the Wage Protection System (WPS), which requires employers </w:t>
      </w:r>
      <w:r w:rsidR="004E21F0">
        <w:rPr>
          <w:rFonts w:ascii="Calibri" w:eastAsia="Calibri" w:hAnsi="Calibri" w:cs="Calibri"/>
          <w:sz w:val="24"/>
          <w:szCs w:val="24"/>
        </w:rPr>
        <w:t>t</w:t>
      </w:r>
      <w:r>
        <w:rPr>
          <w:rFonts w:ascii="Calibri" w:eastAsia="Calibri" w:hAnsi="Calibri" w:cs="Calibri"/>
          <w:sz w:val="24"/>
          <w:szCs w:val="24"/>
        </w:rPr>
        <w:t xml:space="preserve">o pay salaries </w:t>
      </w:r>
      <w:r>
        <w:rPr>
          <w:rFonts w:ascii="Calibri" w:eastAsia="Calibri" w:hAnsi="Calibri" w:cs="Calibri"/>
          <w:sz w:val="24"/>
          <w:szCs w:val="24"/>
        </w:rPr>
        <w:lastRenderedPageBreak/>
        <w:t>through an accredited bank.</w:t>
      </w:r>
      <w:r>
        <w:rPr>
          <w:rFonts w:ascii="Calibri" w:eastAsia="Calibri" w:hAnsi="Calibri" w:cs="Calibri"/>
          <w:sz w:val="24"/>
          <w:szCs w:val="24"/>
          <w:vertAlign w:val="superscript"/>
        </w:rPr>
        <w:footnoteReference w:id="8"/>
      </w:r>
      <w:r>
        <w:rPr>
          <w:rFonts w:ascii="Calibri" w:eastAsia="Calibri" w:hAnsi="Calibri" w:cs="Calibri"/>
          <w:sz w:val="24"/>
          <w:szCs w:val="24"/>
        </w:rPr>
        <w:t xml:space="preserve"> Exclusion from the WPS undermines </w:t>
      </w:r>
      <w:r w:rsidR="0052067B">
        <w:rPr>
          <w:rFonts w:ascii="Calibri" w:eastAsia="Calibri" w:hAnsi="Calibri" w:cs="Calibri"/>
          <w:sz w:val="24"/>
          <w:szCs w:val="24"/>
        </w:rPr>
        <w:t>MDWs</w:t>
      </w:r>
      <w:r>
        <w:rPr>
          <w:rFonts w:ascii="Calibri" w:eastAsia="Calibri" w:hAnsi="Calibri" w:cs="Calibri"/>
          <w:sz w:val="24"/>
          <w:szCs w:val="24"/>
        </w:rPr>
        <w:t xml:space="preserve">’ financial and employment rights: </w:t>
      </w:r>
    </w:p>
    <w:p w:rsidR="00742A8F" w:rsidRDefault="006C6B13">
      <w:pPr>
        <w:numPr>
          <w:ilvl w:val="1"/>
          <w:numId w:val="4"/>
        </w:numPr>
        <w:rPr>
          <w:rFonts w:ascii="Calibri" w:eastAsia="Calibri" w:hAnsi="Calibri" w:cs="Calibri"/>
          <w:sz w:val="24"/>
          <w:szCs w:val="24"/>
        </w:rPr>
      </w:pPr>
      <w:r>
        <w:rPr>
          <w:rFonts w:ascii="Calibri" w:eastAsia="Calibri" w:hAnsi="Calibri" w:cs="Calibri"/>
          <w:sz w:val="24"/>
          <w:szCs w:val="24"/>
        </w:rPr>
        <w:t>MDWs are more likely to have their salaries remitted directly to accounts in their home countries, which may not always be in their name</w:t>
      </w:r>
      <w:r>
        <w:rPr>
          <w:rFonts w:ascii="Calibri" w:eastAsia="Calibri" w:hAnsi="Calibri" w:cs="Calibri"/>
          <w:sz w:val="24"/>
          <w:szCs w:val="24"/>
          <w:vertAlign w:val="superscript"/>
        </w:rPr>
        <w:footnoteReference w:id="9"/>
      </w:r>
      <w:r>
        <w:rPr>
          <w:rFonts w:ascii="Calibri" w:eastAsia="Calibri" w:hAnsi="Calibri" w:cs="Calibri"/>
          <w:sz w:val="24"/>
          <w:szCs w:val="24"/>
        </w:rPr>
        <w:t xml:space="preserve">, or to be paid in cash.  Most banks require a minimum balance that </w:t>
      </w:r>
      <w:r w:rsidR="0052067B">
        <w:rPr>
          <w:rFonts w:ascii="Calibri" w:eastAsia="Calibri" w:hAnsi="Calibri" w:cs="Calibri"/>
          <w:sz w:val="24"/>
          <w:szCs w:val="24"/>
        </w:rPr>
        <w:t>MDWs</w:t>
      </w:r>
      <w:r>
        <w:rPr>
          <w:rFonts w:ascii="Calibri" w:eastAsia="Calibri" w:hAnsi="Calibri" w:cs="Calibri"/>
          <w:sz w:val="24"/>
          <w:szCs w:val="24"/>
        </w:rPr>
        <w:t xml:space="preserve"> are unable to meet, in addition to their employer/sponsor’s permission to open an account. </w:t>
      </w:r>
    </w:p>
    <w:p w:rsidR="00742A8F" w:rsidRDefault="00000000">
      <w:pPr>
        <w:numPr>
          <w:ilvl w:val="1"/>
          <w:numId w:val="4"/>
        </w:numPr>
        <w:rPr>
          <w:rFonts w:ascii="Calibri" w:eastAsia="Calibri" w:hAnsi="Calibri" w:cs="Calibri"/>
          <w:sz w:val="24"/>
          <w:szCs w:val="24"/>
        </w:rPr>
      </w:pPr>
      <w:r>
        <w:rPr>
          <w:rFonts w:ascii="Calibri" w:eastAsia="Calibri" w:hAnsi="Calibri" w:cs="Calibri"/>
          <w:sz w:val="24"/>
          <w:szCs w:val="24"/>
        </w:rPr>
        <w:t>Though the Domestic Workers Law requires employers to pay salaries every month, exclusion from the WPS renders it difficult for victims of wage theft to provide evidence</w:t>
      </w:r>
      <w:r w:rsidR="006C6B13">
        <w:rPr>
          <w:rFonts w:ascii="Calibri" w:eastAsia="Calibri" w:hAnsi="Calibri" w:cs="Calibri"/>
          <w:sz w:val="24"/>
          <w:szCs w:val="24"/>
        </w:rPr>
        <w:t>,</w:t>
      </w:r>
      <w:r>
        <w:rPr>
          <w:rFonts w:ascii="Calibri" w:eastAsia="Calibri" w:hAnsi="Calibri" w:cs="Calibri"/>
          <w:sz w:val="24"/>
          <w:szCs w:val="24"/>
        </w:rPr>
        <w:t xml:space="preserve"> and encourages employer’s impunity. </w:t>
      </w:r>
    </w:p>
    <w:p w:rsidR="00742A8F" w:rsidRDefault="006C6B13">
      <w:pPr>
        <w:numPr>
          <w:ilvl w:val="1"/>
          <w:numId w:val="4"/>
        </w:numPr>
        <w:rPr>
          <w:rFonts w:ascii="Calibri" w:eastAsia="Calibri" w:hAnsi="Calibri" w:cs="Calibri"/>
          <w:sz w:val="24"/>
          <w:szCs w:val="24"/>
        </w:rPr>
      </w:pPr>
      <w:r>
        <w:rPr>
          <w:rFonts w:ascii="Calibri" w:eastAsia="Calibri" w:hAnsi="Calibri" w:cs="Calibri"/>
          <w:sz w:val="24"/>
          <w:szCs w:val="24"/>
        </w:rPr>
        <w:t xml:space="preserve">While Kuwait has set the same minimum wage for domestic workers and workers under the law of labour law, the lack of a wage monitoring system for domestic workers enables many workers to be underpaid. </w:t>
      </w:r>
    </w:p>
    <w:p w:rsidR="00742A8F" w:rsidRDefault="00000000">
      <w:pPr>
        <w:numPr>
          <w:ilvl w:val="1"/>
          <w:numId w:val="4"/>
        </w:numPr>
        <w:rPr>
          <w:rFonts w:ascii="Calibri" w:eastAsia="Calibri" w:hAnsi="Calibri" w:cs="Calibri"/>
          <w:sz w:val="24"/>
          <w:szCs w:val="24"/>
        </w:rPr>
      </w:pPr>
      <w:r>
        <w:rPr>
          <w:rFonts w:ascii="Calibri" w:eastAsia="Calibri" w:hAnsi="Calibri" w:cs="Calibri"/>
          <w:sz w:val="24"/>
          <w:szCs w:val="24"/>
        </w:rPr>
        <w:t>Even where the minimum wage of KD 75 (US$250) is paid, it still fails to meet Kuwait's high cost of living, pushing workers towards further dependence on their employers. Wages in the domestic work sector, and for migrant workers in general, are far below averages for national workers.</w:t>
      </w:r>
      <w:r>
        <w:rPr>
          <w:rFonts w:ascii="Calibri" w:eastAsia="Calibri" w:hAnsi="Calibri" w:cs="Calibri"/>
          <w:sz w:val="24"/>
          <w:szCs w:val="24"/>
          <w:vertAlign w:val="superscript"/>
        </w:rPr>
        <w:footnoteReference w:id="10"/>
      </w:r>
      <w:r>
        <w:rPr>
          <w:rFonts w:ascii="Calibri" w:eastAsia="Calibri" w:hAnsi="Calibri" w:cs="Calibri"/>
          <w:sz w:val="24"/>
          <w:szCs w:val="24"/>
        </w:rPr>
        <w:t xml:space="preserve"> </w:t>
      </w:r>
    </w:p>
    <w:p w:rsidR="00742A8F" w:rsidRDefault="00742A8F">
      <w:pPr>
        <w:rPr>
          <w:rFonts w:ascii="Calibri" w:eastAsia="Calibri" w:hAnsi="Calibri" w:cs="Calibri"/>
          <w:sz w:val="24"/>
          <w:szCs w:val="24"/>
        </w:rPr>
      </w:pPr>
    </w:p>
    <w:p w:rsidR="00742A8F" w:rsidRDefault="00000000">
      <w:pPr>
        <w:numPr>
          <w:ilvl w:val="0"/>
          <w:numId w:val="4"/>
        </w:numPr>
        <w:rPr>
          <w:rFonts w:ascii="Calibri" w:eastAsia="Calibri" w:hAnsi="Calibri" w:cs="Calibri"/>
          <w:sz w:val="24"/>
          <w:szCs w:val="24"/>
        </w:rPr>
      </w:pPr>
      <w:r>
        <w:rPr>
          <w:rFonts w:ascii="Calibri" w:eastAsia="Calibri" w:hAnsi="Calibri" w:cs="Calibri"/>
          <w:sz w:val="24"/>
          <w:szCs w:val="24"/>
        </w:rPr>
        <w:t xml:space="preserve">Migrant workers are excluded from Kuwait’s Social Security Law (No. 61/1976) and are instead only entitled to end-of-service benefits (Law No. 18/1960), which provides a significantly inferior welfare protection. Employers regularly defraud migrant workers </w:t>
      </w:r>
      <w:r w:rsidR="006C6B13">
        <w:rPr>
          <w:rFonts w:ascii="Calibri" w:eastAsia="Calibri" w:hAnsi="Calibri" w:cs="Calibri"/>
          <w:sz w:val="24"/>
          <w:szCs w:val="24"/>
        </w:rPr>
        <w:t xml:space="preserve">of these </w:t>
      </w:r>
      <w:r>
        <w:rPr>
          <w:rFonts w:ascii="Calibri" w:eastAsia="Calibri" w:hAnsi="Calibri" w:cs="Calibri"/>
          <w:sz w:val="24"/>
          <w:szCs w:val="24"/>
        </w:rPr>
        <w:t>benefits, a crime that is abetted by weak enforcement and access to justice mechanisms.</w:t>
      </w:r>
      <w:r>
        <w:rPr>
          <w:rFonts w:ascii="Calibri" w:eastAsia="Calibri" w:hAnsi="Calibri" w:cs="Calibri"/>
          <w:sz w:val="24"/>
          <w:szCs w:val="24"/>
          <w:vertAlign w:val="superscript"/>
        </w:rPr>
        <w:footnoteReference w:id="11"/>
      </w:r>
      <w:r>
        <w:rPr>
          <w:rFonts w:ascii="Calibri" w:eastAsia="Calibri" w:hAnsi="Calibri" w:cs="Calibri"/>
          <w:sz w:val="24"/>
          <w:szCs w:val="24"/>
        </w:rPr>
        <w:t xml:space="preserve">  The government of Kuwait itself has directly denied migrant workers employed in the public sector their dues.</w:t>
      </w:r>
      <w:r>
        <w:rPr>
          <w:rFonts w:ascii="Calibri" w:eastAsia="Calibri" w:hAnsi="Calibri" w:cs="Calibri"/>
          <w:sz w:val="24"/>
          <w:szCs w:val="24"/>
          <w:vertAlign w:val="superscript"/>
        </w:rPr>
        <w:footnoteReference w:id="12"/>
      </w:r>
      <w:r>
        <w:rPr>
          <w:rFonts w:ascii="Calibri" w:eastAsia="Calibri" w:hAnsi="Calibri" w:cs="Calibri"/>
          <w:sz w:val="24"/>
          <w:szCs w:val="24"/>
        </w:rPr>
        <w:t xml:space="preserve"> </w:t>
      </w:r>
    </w:p>
    <w:p w:rsidR="00742A8F" w:rsidRDefault="00742A8F">
      <w:pPr>
        <w:ind w:left="1440"/>
        <w:rPr>
          <w:rFonts w:ascii="Calibri" w:eastAsia="Calibri" w:hAnsi="Calibri" w:cs="Calibri"/>
          <w:sz w:val="24"/>
          <w:szCs w:val="24"/>
        </w:rPr>
      </w:pPr>
    </w:p>
    <w:p w:rsidR="00742A8F" w:rsidRDefault="00000000">
      <w:pPr>
        <w:numPr>
          <w:ilvl w:val="0"/>
          <w:numId w:val="4"/>
        </w:numPr>
        <w:rPr>
          <w:rFonts w:ascii="Calibri" w:eastAsia="Calibri" w:hAnsi="Calibri" w:cs="Calibri"/>
          <w:sz w:val="24"/>
          <w:szCs w:val="24"/>
        </w:rPr>
      </w:pPr>
      <w:r>
        <w:rPr>
          <w:rFonts w:ascii="Calibri" w:eastAsia="Calibri" w:hAnsi="Calibri" w:cs="Calibri"/>
          <w:sz w:val="24"/>
          <w:szCs w:val="24"/>
        </w:rPr>
        <w:t xml:space="preserve">In its reply to the list of issues and questions concerning its sixth periodic report (CEDAW/C/KWT/RQ/6), Kuwait contends that its Domestic Workers Law aligns with international standards, including those outlined in the ILO Convention on Decent Work for Domestic Workers (No. 189). However, </w:t>
      </w:r>
      <w:r w:rsidR="006C6B13">
        <w:rPr>
          <w:rFonts w:ascii="Calibri" w:eastAsia="Calibri" w:hAnsi="Calibri" w:cs="Calibri"/>
          <w:sz w:val="24"/>
          <w:szCs w:val="24"/>
        </w:rPr>
        <w:t xml:space="preserve">Kuwait has not ratified </w:t>
      </w:r>
      <w:r w:rsidR="006C6B13">
        <w:rPr>
          <w:rFonts w:ascii="Calibri" w:eastAsia="Calibri" w:hAnsi="Calibri" w:cs="Calibri"/>
          <w:sz w:val="24"/>
          <w:szCs w:val="24"/>
        </w:rPr>
        <w:lastRenderedPageBreak/>
        <w:t xml:space="preserve">C 189 and its Law diverges substantially from international standards. </w:t>
      </w:r>
      <w:r>
        <w:rPr>
          <w:rFonts w:ascii="Calibri" w:eastAsia="Calibri" w:hAnsi="Calibri" w:cs="Calibri"/>
          <w:sz w:val="24"/>
          <w:szCs w:val="24"/>
        </w:rPr>
        <w:t xml:space="preserve"> Furthermore, Kuwait has no inspection and limited enforcement mechanisms to enforce the law, resulting in frequent violations of basic rights. </w:t>
      </w:r>
    </w:p>
    <w:p w:rsidR="00742A8F" w:rsidRDefault="00742A8F">
      <w:pPr>
        <w:rPr>
          <w:rFonts w:ascii="Calibri" w:eastAsia="Calibri" w:hAnsi="Calibri" w:cs="Calibri"/>
          <w:sz w:val="24"/>
          <w:szCs w:val="24"/>
        </w:rPr>
      </w:pPr>
    </w:p>
    <w:p w:rsidR="00742A8F" w:rsidRDefault="006C6B13" w:rsidP="006C6B13">
      <w:pPr>
        <w:numPr>
          <w:ilvl w:val="0"/>
          <w:numId w:val="4"/>
        </w:numPr>
        <w:rPr>
          <w:rFonts w:ascii="Calibri" w:eastAsia="Calibri" w:hAnsi="Calibri" w:cs="Calibri"/>
          <w:sz w:val="24"/>
          <w:szCs w:val="24"/>
        </w:rPr>
      </w:pPr>
      <w:r w:rsidRPr="006C6B13">
        <w:rPr>
          <w:rFonts w:ascii="Calibri" w:eastAsia="Calibri" w:hAnsi="Calibri" w:cs="Calibri"/>
          <w:sz w:val="24"/>
          <w:szCs w:val="24"/>
        </w:rPr>
        <w:t>Migrant women in Kuwait have few social spaces. Evenings and guardians limit their outings. Taxis are expensive, especially for those living far from public buses and leisure areas. Unregulated days off make recreation even harder.</w:t>
      </w:r>
      <w:r>
        <w:rPr>
          <w:rFonts w:ascii="Calibri" w:eastAsia="Calibri" w:hAnsi="Calibri" w:cs="Calibri"/>
          <w:sz w:val="24"/>
          <w:szCs w:val="24"/>
          <w:vertAlign w:val="superscript"/>
        </w:rPr>
        <w:footnoteReference w:id="13"/>
      </w:r>
      <w:r>
        <w:rPr>
          <w:rFonts w:ascii="Calibri" w:eastAsia="Calibri" w:hAnsi="Calibri" w:cs="Calibri"/>
          <w:sz w:val="24"/>
          <w:szCs w:val="24"/>
        </w:rPr>
        <w:t xml:space="preserve">  </w:t>
      </w:r>
    </w:p>
    <w:p w:rsidR="00742A8F" w:rsidRDefault="00742A8F">
      <w:pPr>
        <w:ind w:left="1440"/>
        <w:rPr>
          <w:rFonts w:ascii="Calibri" w:eastAsia="Calibri" w:hAnsi="Calibri" w:cs="Calibri"/>
          <w:sz w:val="24"/>
          <w:szCs w:val="24"/>
        </w:rPr>
      </w:pPr>
    </w:p>
    <w:p w:rsidR="00742A8F" w:rsidRDefault="00000000">
      <w:pPr>
        <w:pStyle w:val="Heading2"/>
      </w:pPr>
      <w:bookmarkStart w:id="4" w:name="_heading=h.2et92p0" w:colFirst="0" w:colLast="0"/>
      <w:bookmarkEnd w:id="4"/>
      <w:r>
        <w:t xml:space="preserve">CEDAW Article 6: Trafficking and exploitation of prostitution </w:t>
      </w:r>
    </w:p>
    <w:p w:rsidR="00742A8F" w:rsidRDefault="00742A8F">
      <w:pPr>
        <w:rPr>
          <w:rFonts w:ascii="Calibri" w:eastAsia="Calibri" w:hAnsi="Calibri" w:cs="Calibri"/>
          <w:b/>
          <w:sz w:val="24"/>
          <w:szCs w:val="24"/>
        </w:rPr>
      </w:pPr>
    </w:p>
    <w:p w:rsidR="00742A8F" w:rsidRDefault="00000000">
      <w:pPr>
        <w:numPr>
          <w:ilvl w:val="0"/>
          <w:numId w:val="4"/>
        </w:numPr>
        <w:rPr>
          <w:rFonts w:ascii="Calibri" w:eastAsia="Calibri" w:hAnsi="Calibri" w:cs="Calibri"/>
          <w:sz w:val="24"/>
          <w:szCs w:val="24"/>
        </w:rPr>
      </w:pPr>
      <w:r>
        <w:rPr>
          <w:rFonts w:ascii="Calibri" w:eastAsia="Calibri" w:hAnsi="Calibri" w:cs="Calibri"/>
          <w:sz w:val="24"/>
          <w:szCs w:val="24"/>
        </w:rPr>
        <w:t>Kuwait maintained its Tier 2 Watch list ranking on the 2023 US Trafficking in Persons report for the second year in a row.</w:t>
      </w:r>
      <w:r>
        <w:rPr>
          <w:rFonts w:ascii="Calibri" w:eastAsia="Calibri" w:hAnsi="Calibri" w:cs="Calibri"/>
          <w:sz w:val="24"/>
          <w:szCs w:val="24"/>
          <w:vertAlign w:val="superscript"/>
        </w:rPr>
        <w:footnoteReference w:id="14"/>
      </w:r>
      <w:r>
        <w:rPr>
          <w:rFonts w:ascii="Calibri" w:eastAsia="Calibri" w:hAnsi="Calibri" w:cs="Calibri"/>
          <w:sz w:val="24"/>
          <w:szCs w:val="24"/>
        </w:rPr>
        <w:t xml:space="preserve"> A Tier 2 ranking signals a states’ failure to fulfil minimum standards for the elimination of trafficking. Migrant workers are vulnerable to trafficking and forced labour in large part due to  Kuwait’s employer-tied sponsorship system, also known as the Kafala system, which provides employers with inordinate control over workers’ residency status and movement. Domestic workers are particularly vulnerable due to the high demand for their labour, poor recruitment regulations, and the confined nature of their work.  Absconding charges are a powerful tool used by employers to legally and socially paralyse migrant women. Additionally, Domestic workers can only change jobs with their employer’s permission. Kuwait’s Domestic Workers Law stipulates that the Public Authority for Manpower can authorise a domestic workers’ request to change jobs without their employers’ permission only if proof of abuse is met.  Language barriers and the inability to leave the workplace limit workers’ ability to meet this burden of proof.</w:t>
      </w:r>
      <w:r>
        <w:rPr>
          <w:rFonts w:ascii="Calibri" w:eastAsia="Calibri" w:hAnsi="Calibri" w:cs="Calibri"/>
          <w:sz w:val="24"/>
          <w:szCs w:val="24"/>
          <w:vertAlign w:val="superscript"/>
        </w:rPr>
        <w:footnoteReference w:id="15"/>
      </w:r>
    </w:p>
    <w:p w:rsidR="00742A8F" w:rsidRDefault="00742A8F">
      <w:pPr>
        <w:ind w:left="1440"/>
        <w:rPr>
          <w:rFonts w:ascii="Calibri" w:eastAsia="Calibri" w:hAnsi="Calibri" w:cs="Calibri"/>
          <w:sz w:val="24"/>
          <w:szCs w:val="24"/>
        </w:rPr>
      </w:pPr>
    </w:p>
    <w:p w:rsidR="00742A8F" w:rsidRDefault="00000000">
      <w:pPr>
        <w:numPr>
          <w:ilvl w:val="0"/>
          <w:numId w:val="4"/>
        </w:numPr>
        <w:rPr>
          <w:rFonts w:ascii="Calibri" w:eastAsia="Calibri" w:hAnsi="Calibri" w:cs="Calibri"/>
          <w:sz w:val="24"/>
          <w:szCs w:val="24"/>
        </w:rPr>
      </w:pPr>
      <w:r>
        <w:rPr>
          <w:rFonts w:ascii="Calibri" w:eastAsia="Calibri" w:hAnsi="Calibri" w:cs="Calibri"/>
          <w:sz w:val="24"/>
          <w:szCs w:val="24"/>
        </w:rPr>
        <w:t xml:space="preserve">The state does not have an adequate National Referral Mechanism (NRM) to identify and prevent trafficking. Commonly reported abuses such as passport confiscation, wage theft, the use of intimidation to prevent workers from leaving their place of work, and other indicators of trafficking are resolved through </w:t>
      </w:r>
      <w:r>
        <w:rPr>
          <w:rFonts w:ascii="Calibri" w:eastAsia="Calibri" w:hAnsi="Calibri" w:cs="Calibri"/>
          <w:sz w:val="24"/>
          <w:szCs w:val="24"/>
        </w:rPr>
        <w:lastRenderedPageBreak/>
        <w:t>arbitration and administrative penalties, rather than investigated under the anti-trafficking law.</w:t>
      </w:r>
    </w:p>
    <w:p w:rsidR="00742A8F" w:rsidRDefault="00742A8F">
      <w:pPr>
        <w:rPr>
          <w:rFonts w:ascii="Calibri" w:eastAsia="Calibri" w:hAnsi="Calibri" w:cs="Calibri"/>
          <w:sz w:val="24"/>
          <w:szCs w:val="24"/>
        </w:rPr>
      </w:pPr>
    </w:p>
    <w:p w:rsidR="00742A8F" w:rsidRDefault="00000000">
      <w:pPr>
        <w:numPr>
          <w:ilvl w:val="0"/>
          <w:numId w:val="4"/>
        </w:numPr>
        <w:rPr>
          <w:rFonts w:ascii="Calibri" w:eastAsia="Calibri" w:hAnsi="Calibri" w:cs="Calibri"/>
          <w:sz w:val="24"/>
          <w:szCs w:val="24"/>
        </w:rPr>
      </w:pPr>
      <w:r>
        <w:rPr>
          <w:rFonts w:ascii="Calibri" w:eastAsia="Calibri" w:hAnsi="Calibri" w:cs="Calibri"/>
          <w:sz w:val="24"/>
          <w:szCs w:val="24"/>
        </w:rPr>
        <w:t>The Kuwaiti government detains, prosecutes, and deports potential trafficking victims, including those escaping forced labour or are involved in commercial sexual exploitation.</w:t>
      </w:r>
      <w:r>
        <w:rPr>
          <w:rFonts w:ascii="Calibri" w:eastAsia="Calibri" w:hAnsi="Calibri" w:cs="Calibri"/>
          <w:sz w:val="24"/>
          <w:szCs w:val="24"/>
          <w:vertAlign w:val="superscript"/>
        </w:rPr>
        <w:footnoteReference w:id="16"/>
      </w:r>
      <w:r>
        <w:rPr>
          <w:rFonts w:ascii="Calibri" w:eastAsia="Calibri" w:hAnsi="Calibri" w:cs="Calibri"/>
          <w:sz w:val="24"/>
          <w:szCs w:val="24"/>
        </w:rPr>
        <w:t xml:space="preserve"> In 2023, the Kuwaiti government deported a record high 42,000 migrants, many of whom were women.</w:t>
      </w:r>
      <w:r>
        <w:rPr>
          <w:rFonts w:ascii="Calibri" w:eastAsia="Calibri" w:hAnsi="Calibri" w:cs="Calibri"/>
          <w:sz w:val="24"/>
          <w:szCs w:val="24"/>
          <w:vertAlign w:val="superscript"/>
        </w:rPr>
        <w:footnoteReference w:id="17"/>
      </w:r>
      <w:r>
        <w:rPr>
          <w:rFonts w:ascii="Calibri" w:eastAsia="Calibri" w:hAnsi="Calibri" w:cs="Calibri"/>
          <w:sz w:val="24"/>
          <w:szCs w:val="24"/>
        </w:rPr>
        <w:t xml:space="preserve"> The rise in deportations was attributed to the government’s commitment to enforce residency laws and maintain legal order and security.</w:t>
      </w:r>
      <w:r>
        <w:rPr>
          <w:rFonts w:ascii="Calibri" w:eastAsia="Calibri" w:hAnsi="Calibri" w:cs="Calibri"/>
          <w:sz w:val="24"/>
          <w:szCs w:val="24"/>
          <w:vertAlign w:val="superscript"/>
        </w:rPr>
        <w:footnoteReference w:id="18"/>
      </w:r>
      <w:r>
        <w:rPr>
          <w:rFonts w:ascii="Calibri" w:eastAsia="Calibri" w:hAnsi="Calibri" w:cs="Calibri"/>
          <w:sz w:val="24"/>
          <w:szCs w:val="24"/>
        </w:rPr>
        <w:t xml:space="preserve"> Many of the deportations are administrative, meaning that workers who may be victims of trafficking are unable to appeal the decision.</w:t>
      </w:r>
      <w:r>
        <w:rPr>
          <w:rFonts w:ascii="Calibri" w:eastAsia="Calibri" w:hAnsi="Calibri" w:cs="Calibri"/>
          <w:sz w:val="24"/>
          <w:szCs w:val="24"/>
          <w:vertAlign w:val="superscript"/>
        </w:rPr>
        <w:footnoteReference w:id="19"/>
      </w:r>
    </w:p>
    <w:p w:rsidR="00742A8F" w:rsidRDefault="00742A8F">
      <w:pPr>
        <w:rPr>
          <w:rFonts w:ascii="Calibri" w:eastAsia="Calibri" w:hAnsi="Calibri" w:cs="Calibri"/>
          <w:sz w:val="24"/>
          <w:szCs w:val="24"/>
        </w:rPr>
      </w:pPr>
    </w:p>
    <w:p w:rsidR="00742A8F" w:rsidRDefault="00000000">
      <w:pPr>
        <w:numPr>
          <w:ilvl w:val="0"/>
          <w:numId w:val="4"/>
        </w:numPr>
        <w:rPr>
          <w:rFonts w:ascii="Calibri" w:eastAsia="Calibri" w:hAnsi="Calibri" w:cs="Calibri"/>
          <w:sz w:val="24"/>
          <w:szCs w:val="24"/>
        </w:rPr>
      </w:pPr>
      <w:r>
        <w:rPr>
          <w:rFonts w:ascii="Calibri" w:eastAsia="Calibri" w:hAnsi="Calibri" w:cs="Calibri"/>
          <w:sz w:val="24"/>
          <w:szCs w:val="24"/>
        </w:rPr>
        <w:t>Though Kuwait’s government operates one shelter for female migrants, access to the shelter and its support services is restricted. Although the number of assisted migrant women in the government-run shelter increased in 2022 from 160 to 576, migrant women accused of criminal charges, including absconding cases,</w:t>
      </w:r>
      <w:r>
        <w:rPr>
          <w:rFonts w:ascii="Calibri" w:eastAsia="Calibri" w:hAnsi="Calibri" w:cs="Calibri"/>
          <w:sz w:val="24"/>
          <w:szCs w:val="24"/>
          <w:vertAlign w:val="superscript"/>
        </w:rPr>
        <w:footnoteReference w:id="20"/>
      </w:r>
      <w:r>
        <w:rPr>
          <w:rFonts w:ascii="Calibri" w:eastAsia="Calibri" w:hAnsi="Calibri" w:cs="Calibri"/>
          <w:sz w:val="24"/>
          <w:szCs w:val="24"/>
        </w:rPr>
        <w:t xml:space="preserve"> were denied access to the shelter and its protection services.</w:t>
      </w:r>
      <w:r>
        <w:rPr>
          <w:rFonts w:ascii="Calibri" w:eastAsia="Calibri" w:hAnsi="Calibri" w:cs="Calibri"/>
          <w:sz w:val="24"/>
          <w:szCs w:val="24"/>
          <w:vertAlign w:val="superscript"/>
        </w:rPr>
        <w:footnoteReference w:id="21"/>
      </w:r>
      <w:r>
        <w:rPr>
          <w:rFonts w:ascii="Calibri" w:eastAsia="Calibri" w:hAnsi="Calibri" w:cs="Calibri"/>
          <w:sz w:val="24"/>
          <w:szCs w:val="24"/>
        </w:rPr>
        <w:t xml:space="preserve">  </w:t>
      </w:r>
    </w:p>
    <w:p w:rsidR="00742A8F" w:rsidRDefault="00742A8F">
      <w:pPr>
        <w:rPr>
          <w:rFonts w:ascii="Calibri" w:eastAsia="Calibri" w:hAnsi="Calibri" w:cs="Calibri"/>
          <w:sz w:val="24"/>
          <w:szCs w:val="24"/>
        </w:rPr>
      </w:pPr>
    </w:p>
    <w:p w:rsidR="00742A8F" w:rsidRDefault="00000000">
      <w:pPr>
        <w:numPr>
          <w:ilvl w:val="0"/>
          <w:numId w:val="4"/>
        </w:numPr>
        <w:rPr>
          <w:rFonts w:ascii="Calibri" w:eastAsia="Calibri" w:hAnsi="Calibri" w:cs="Calibri"/>
          <w:sz w:val="24"/>
          <w:szCs w:val="24"/>
        </w:rPr>
      </w:pPr>
      <w:r>
        <w:rPr>
          <w:rFonts w:ascii="Calibri" w:eastAsia="Calibri" w:hAnsi="Calibri" w:cs="Calibri"/>
          <w:sz w:val="24"/>
          <w:szCs w:val="24"/>
        </w:rPr>
        <w:t>Workers instead rely on informal shelters operated by embassies without formal protections. In January 2023, an estimated 500 Filipino domestic workers were housed at the Filipino embassy because the government shelter refused to admit  workers with absconding charges.</w:t>
      </w:r>
      <w:r>
        <w:rPr>
          <w:rFonts w:ascii="Calibri" w:eastAsia="Calibri" w:hAnsi="Calibri" w:cs="Calibri"/>
          <w:sz w:val="24"/>
          <w:szCs w:val="24"/>
          <w:vertAlign w:val="superscript"/>
        </w:rPr>
        <w:footnoteReference w:id="22"/>
      </w:r>
      <w:r>
        <w:rPr>
          <w:rFonts w:ascii="Calibri" w:eastAsia="Calibri" w:hAnsi="Calibri" w:cs="Calibri"/>
          <w:sz w:val="24"/>
          <w:szCs w:val="24"/>
        </w:rPr>
        <w:t xml:space="preserve"> In May 2023, Kuwaiti authorities evacuated the shelter in coordination with the embassy, and deported the majority of its occupants, while referring the rest to the government shelter.</w:t>
      </w:r>
      <w:r>
        <w:rPr>
          <w:rFonts w:ascii="Calibri" w:eastAsia="Calibri" w:hAnsi="Calibri" w:cs="Calibri"/>
          <w:sz w:val="24"/>
          <w:szCs w:val="24"/>
          <w:vertAlign w:val="superscript"/>
        </w:rPr>
        <w:footnoteReference w:id="23"/>
      </w:r>
      <w:r>
        <w:rPr>
          <w:rFonts w:ascii="Calibri" w:eastAsia="Calibri" w:hAnsi="Calibri" w:cs="Calibri"/>
          <w:sz w:val="24"/>
          <w:szCs w:val="24"/>
        </w:rPr>
        <w:t xml:space="preserve"> </w:t>
      </w:r>
    </w:p>
    <w:p w:rsidR="00742A8F" w:rsidRDefault="00742A8F">
      <w:pPr>
        <w:rPr>
          <w:rFonts w:ascii="Calibri" w:eastAsia="Calibri" w:hAnsi="Calibri" w:cs="Calibri"/>
          <w:sz w:val="24"/>
          <w:szCs w:val="24"/>
        </w:rPr>
      </w:pPr>
    </w:p>
    <w:p w:rsidR="00742A8F" w:rsidRDefault="00000000">
      <w:pPr>
        <w:numPr>
          <w:ilvl w:val="0"/>
          <w:numId w:val="4"/>
        </w:numPr>
        <w:rPr>
          <w:rFonts w:ascii="Calibri" w:eastAsia="Calibri" w:hAnsi="Calibri" w:cs="Calibri"/>
          <w:sz w:val="24"/>
          <w:szCs w:val="24"/>
        </w:rPr>
      </w:pPr>
      <w:r>
        <w:rPr>
          <w:rFonts w:ascii="Calibri" w:eastAsia="Calibri" w:hAnsi="Calibri" w:cs="Calibri"/>
          <w:sz w:val="24"/>
          <w:szCs w:val="24"/>
        </w:rPr>
        <w:lastRenderedPageBreak/>
        <w:t>Though passport confiscation is illegal, the practice remains prevalent in Kuwait. Authorities handle cases of passport confiscation administratively, rather than investigating them as potential trafficking cases.</w:t>
      </w:r>
      <w:r>
        <w:rPr>
          <w:rFonts w:ascii="Calibri" w:eastAsia="Calibri" w:hAnsi="Calibri" w:cs="Calibri"/>
          <w:sz w:val="24"/>
          <w:szCs w:val="24"/>
          <w:vertAlign w:val="superscript"/>
        </w:rPr>
        <w:footnoteReference w:id="24"/>
      </w:r>
      <w:r>
        <w:rPr>
          <w:rFonts w:ascii="Calibri" w:eastAsia="Calibri" w:hAnsi="Calibri" w:cs="Calibri"/>
          <w:sz w:val="24"/>
          <w:szCs w:val="24"/>
        </w:rPr>
        <w:t xml:space="preserve"> In 2023, the Domestic Workers Department received 1,177 cases of passport confiscations.</w:t>
      </w:r>
      <w:r>
        <w:rPr>
          <w:rFonts w:ascii="Calibri" w:eastAsia="Calibri" w:hAnsi="Calibri" w:cs="Calibri"/>
          <w:sz w:val="24"/>
          <w:szCs w:val="24"/>
          <w:vertAlign w:val="superscript"/>
        </w:rPr>
        <w:footnoteReference w:id="25"/>
      </w:r>
      <w:r>
        <w:rPr>
          <w:rFonts w:ascii="Calibri" w:eastAsia="Calibri" w:hAnsi="Calibri" w:cs="Calibri"/>
          <w:sz w:val="24"/>
          <w:szCs w:val="24"/>
        </w:rPr>
        <w:t xml:space="preserve"> Although 975 cases were reportedly resolved, and the remaining 202 were referred to labour courts, no information has been released on penalties imposed on errant employers. The Public Authority for Manpower additionally received 3,980 complaints of passport confiscations, and referred 2,677 to labour courts, rather than to the Ministry of Interior for further investigation as potential trafficking cases.</w:t>
      </w:r>
      <w:r>
        <w:rPr>
          <w:rFonts w:ascii="Calibri" w:eastAsia="Calibri" w:hAnsi="Calibri" w:cs="Calibri"/>
          <w:sz w:val="24"/>
          <w:szCs w:val="24"/>
          <w:vertAlign w:val="superscript"/>
        </w:rPr>
        <w:footnoteReference w:id="26"/>
      </w:r>
    </w:p>
    <w:p w:rsidR="00742A8F" w:rsidRDefault="00742A8F">
      <w:pPr>
        <w:rPr>
          <w:rFonts w:ascii="Calibri" w:eastAsia="Calibri" w:hAnsi="Calibri" w:cs="Calibri"/>
          <w:sz w:val="24"/>
          <w:szCs w:val="24"/>
        </w:rPr>
      </w:pPr>
    </w:p>
    <w:p w:rsidR="00742A8F" w:rsidRDefault="00000000">
      <w:pPr>
        <w:numPr>
          <w:ilvl w:val="0"/>
          <w:numId w:val="4"/>
        </w:numPr>
        <w:rPr>
          <w:rFonts w:ascii="Calibri" w:eastAsia="Calibri" w:hAnsi="Calibri" w:cs="Calibri"/>
          <w:sz w:val="24"/>
          <w:szCs w:val="24"/>
        </w:rPr>
      </w:pPr>
      <w:r>
        <w:rPr>
          <w:rFonts w:ascii="Calibri" w:eastAsia="Calibri" w:hAnsi="Calibri" w:cs="Calibri"/>
          <w:sz w:val="24"/>
          <w:szCs w:val="24"/>
        </w:rPr>
        <w:t>The Kuwaiti Penal Code criminalises all aspects of sex work. Migrant women accused of prostitution are routinely arrested and deported. Kuwait’s anti-trafficking policies conflate both sex trafficking and sex work, rather than addressing vulnerabilities faced by sex workers and the protection they need.</w:t>
      </w:r>
      <w:r>
        <w:rPr>
          <w:rFonts w:ascii="Calibri" w:eastAsia="Calibri" w:hAnsi="Calibri" w:cs="Calibri"/>
          <w:sz w:val="24"/>
          <w:szCs w:val="24"/>
          <w:vertAlign w:val="superscript"/>
        </w:rPr>
        <w:footnoteReference w:id="27"/>
      </w:r>
      <w:r>
        <w:rPr>
          <w:rFonts w:ascii="Calibri" w:eastAsia="Calibri" w:hAnsi="Calibri" w:cs="Calibri"/>
          <w:sz w:val="24"/>
          <w:szCs w:val="24"/>
        </w:rPr>
        <w:t xml:space="preserve"> Victims of trafficking and sexual exploitation are vulnerable to further abuse, as they fear arrest and deportation when reporting to authorities. </w:t>
      </w:r>
    </w:p>
    <w:p w:rsidR="00742A8F" w:rsidRDefault="00742A8F">
      <w:pPr>
        <w:ind w:left="1440"/>
        <w:rPr>
          <w:rFonts w:ascii="Calibri" w:eastAsia="Calibri" w:hAnsi="Calibri" w:cs="Calibri"/>
          <w:sz w:val="24"/>
          <w:szCs w:val="24"/>
        </w:rPr>
      </w:pPr>
    </w:p>
    <w:p w:rsidR="00742A8F" w:rsidRDefault="00000000">
      <w:pPr>
        <w:numPr>
          <w:ilvl w:val="0"/>
          <w:numId w:val="4"/>
        </w:numPr>
        <w:rPr>
          <w:rFonts w:ascii="Calibri" w:eastAsia="Calibri" w:hAnsi="Calibri" w:cs="Calibri"/>
          <w:sz w:val="24"/>
          <w:szCs w:val="24"/>
        </w:rPr>
      </w:pPr>
      <w:r>
        <w:rPr>
          <w:rFonts w:ascii="Calibri" w:eastAsia="Calibri" w:hAnsi="Calibri" w:cs="Calibri"/>
          <w:sz w:val="24"/>
          <w:szCs w:val="24"/>
        </w:rPr>
        <w:t>The State party’s report (CEDAW/C/KWT/6, para 29(a)) states that training seminars are provided to judges regarding combating trafficking. Yet, the impact of these trainings is limited given that few cases are referred to courts for prosecution. In 2022, only 13 cases were investigated by the MOI as potential cases of trafficking, and none were referred to the courts because “they lacked the legal requirements to constitute trafficking” and were instead prosecuted under residency and labour laws.</w:t>
      </w:r>
      <w:r>
        <w:rPr>
          <w:rFonts w:ascii="Calibri" w:eastAsia="Calibri" w:hAnsi="Calibri" w:cs="Calibri"/>
          <w:sz w:val="24"/>
          <w:szCs w:val="24"/>
          <w:vertAlign w:val="superscript"/>
        </w:rPr>
        <w:footnoteReference w:id="28"/>
      </w:r>
      <w:r>
        <w:rPr>
          <w:rFonts w:ascii="Calibri" w:eastAsia="Calibri" w:hAnsi="Calibri" w:cs="Calibri"/>
          <w:sz w:val="24"/>
          <w:szCs w:val="24"/>
        </w:rPr>
        <w:t xml:space="preserve"> Furthermore, Migrant-Rights.org has documented several cases where migrant women who experienced indicators of forced labour and trafficking were not identified as potential victims.</w:t>
      </w:r>
    </w:p>
    <w:p w:rsidR="00742A8F" w:rsidRDefault="00742A8F">
      <w:pPr>
        <w:ind w:left="720"/>
        <w:rPr>
          <w:rFonts w:ascii="Calibri" w:eastAsia="Calibri" w:hAnsi="Calibri" w:cs="Calibri"/>
          <w:sz w:val="24"/>
          <w:szCs w:val="24"/>
        </w:rPr>
      </w:pPr>
    </w:p>
    <w:p w:rsidR="00742A8F" w:rsidRDefault="00000000">
      <w:pPr>
        <w:pStyle w:val="Heading2"/>
      </w:pPr>
      <w:bookmarkStart w:id="5" w:name="_heading=h.tyjcwt" w:colFirst="0" w:colLast="0"/>
      <w:bookmarkEnd w:id="5"/>
      <w:r>
        <w:t xml:space="preserve">CEDAW Article 11: Discrimination in employment </w:t>
      </w:r>
    </w:p>
    <w:p w:rsidR="00742A8F" w:rsidRDefault="00742A8F">
      <w:pPr>
        <w:rPr>
          <w:rFonts w:ascii="Calibri" w:eastAsia="Calibri" w:hAnsi="Calibri" w:cs="Calibri"/>
          <w:b/>
          <w:sz w:val="24"/>
          <w:szCs w:val="24"/>
        </w:rPr>
      </w:pPr>
    </w:p>
    <w:p w:rsidR="00742A8F" w:rsidRDefault="00000000">
      <w:pPr>
        <w:numPr>
          <w:ilvl w:val="0"/>
          <w:numId w:val="4"/>
        </w:numPr>
        <w:rPr>
          <w:rFonts w:ascii="Calibri" w:eastAsia="Calibri" w:hAnsi="Calibri" w:cs="Calibri"/>
          <w:sz w:val="24"/>
          <w:szCs w:val="24"/>
        </w:rPr>
      </w:pPr>
      <w:r>
        <w:rPr>
          <w:rFonts w:ascii="Calibri" w:eastAsia="Calibri" w:hAnsi="Calibri" w:cs="Calibri"/>
          <w:sz w:val="24"/>
          <w:szCs w:val="24"/>
        </w:rPr>
        <w:lastRenderedPageBreak/>
        <w:t xml:space="preserve">While the Domestic Workers Law No. 68/2015 and Ministerial Decree No. 22 of 2022, provide some protective measures for </w:t>
      </w:r>
      <w:r w:rsidR="0052067B">
        <w:rPr>
          <w:rFonts w:ascii="Calibri" w:eastAsia="Calibri" w:hAnsi="Calibri" w:cs="Calibri"/>
          <w:sz w:val="24"/>
          <w:szCs w:val="24"/>
        </w:rPr>
        <w:t>MDWs</w:t>
      </w:r>
      <w:r>
        <w:rPr>
          <w:rFonts w:ascii="Calibri" w:eastAsia="Calibri" w:hAnsi="Calibri" w:cs="Calibri"/>
          <w:sz w:val="24"/>
          <w:szCs w:val="24"/>
        </w:rPr>
        <w:t xml:space="preserve">, they remain unequal to those provided for in Labour Law No. 6/2010. Furthermore, the Kafala system maintains unequal terms of employment between all migrant workers and nationals. </w:t>
      </w:r>
    </w:p>
    <w:p w:rsidR="00742A8F" w:rsidRDefault="00742A8F">
      <w:pPr>
        <w:rPr>
          <w:rFonts w:ascii="Calibri" w:eastAsia="Calibri" w:hAnsi="Calibri" w:cs="Calibri"/>
          <w:sz w:val="24"/>
          <w:szCs w:val="24"/>
        </w:rPr>
      </w:pPr>
    </w:p>
    <w:p w:rsidR="00742A8F" w:rsidRDefault="00000000">
      <w:pPr>
        <w:numPr>
          <w:ilvl w:val="0"/>
          <w:numId w:val="4"/>
        </w:numPr>
        <w:rPr>
          <w:rFonts w:ascii="Calibri" w:eastAsia="Calibri" w:hAnsi="Calibri" w:cs="Calibri"/>
          <w:sz w:val="24"/>
          <w:szCs w:val="24"/>
        </w:rPr>
      </w:pPr>
      <w:r>
        <w:rPr>
          <w:rFonts w:ascii="Calibri" w:eastAsia="Calibri" w:hAnsi="Calibri" w:cs="Calibri"/>
          <w:sz w:val="24"/>
          <w:szCs w:val="24"/>
        </w:rPr>
        <w:t>Lack of enforcement mechanisms within the Domestic Workers Law No. 68/2015 is evident in the prevalence of physical, sexual, and psychological abuse and exploitation of domestic workers at the hands of their employers, and the inability to access effective legal remedies for protection fearing reprisal through absconding charges falsely filed by employers, detention, or deportation.</w:t>
      </w:r>
      <w:r>
        <w:rPr>
          <w:rFonts w:ascii="Calibri" w:eastAsia="Calibri" w:hAnsi="Calibri" w:cs="Calibri"/>
          <w:sz w:val="24"/>
          <w:szCs w:val="24"/>
          <w:vertAlign w:val="superscript"/>
        </w:rPr>
        <w:footnoteReference w:id="29"/>
      </w:r>
    </w:p>
    <w:p w:rsidR="00742A8F" w:rsidRDefault="00742A8F">
      <w:pPr>
        <w:rPr>
          <w:rFonts w:ascii="Calibri" w:eastAsia="Calibri" w:hAnsi="Calibri" w:cs="Calibri"/>
          <w:sz w:val="24"/>
          <w:szCs w:val="24"/>
        </w:rPr>
      </w:pPr>
    </w:p>
    <w:p w:rsidR="00742A8F" w:rsidRDefault="00000000">
      <w:pPr>
        <w:numPr>
          <w:ilvl w:val="0"/>
          <w:numId w:val="4"/>
        </w:numPr>
        <w:rPr>
          <w:rFonts w:ascii="Calibri" w:eastAsia="Calibri" w:hAnsi="Calibri" w:cs="Calibri"/>
          <w:sz w:val="24"/>
          <w:szCs w:val="24"/>
        </w:rPr>
      </w:pPr>
      <w:r>
        <w:rPr>
          <w:rFonts w:ascii="Calibri" w:eastAsia="Calibri" w:hAnsi="Calibri" w:cs="Calibri"/>
          <w:sz w:val="24"/>
          <w:szCs w:val="24"/>
        </w:rPr>
        <w:t>Many migrant women domestic workers in Kuwait work for their employers without a contract despite stipulations within the Domestic Workers Law No. 68/2015 requiring employers to provide a signed employment contract, in English and Arabic, prescribed by the Domestic Workers Department of the Public Authority of Manpower. Protections and regulations of employment relationships are thus based on verbal agreements with no legal standing.</w:t>
      </w:r>
    </w:p>
    <w:p w:rsidR="00742A8F" w:rsidRDefault="00742A8F">
      <w:pPr>
        <w:rPr>
          <w:rFonts w:ascii="Calibri" w:eastAsia="Calibri" w:hAnsi="Calibri" w:cs="Calibri"/>
          <w:sz w:val="24"/>
          <w:szCs w:val="24"/>
        </w:rPr>
      </w:pPr>
    </w:p>
    <w:p w:rsidR="00742A8F" w:rsidRDefault="00000000">
      <w:pPr>
        <w:numPr>
          <w:ilvl w:val="0"/>
          <w:numId w:val="4"/>
        </w:numPr>
        <w:rPr>
          <w:rFonts w:ascii="Calibri" w:eastAsia="Calibri" w:hAnsi="Calibri" w:cs="Calibri"/>
          <w:sz w:val="24"/>
          <w:szCs w:val="24"/>
        </w:rPr>
      </w:pPr>
      <w:r>
        <w:rPr>
          <w:rFonts w:ascii="Calibri" w:eastAsia="Calibri" w:hAnsi="Calibri" w:cs="Calibri"/>
          <w:sz w:val="24"/>
          <w:szCs w:val="24"/>
        </w:rPr>
        <w:t>Kuwait lacks measures, such as background checks and orientations, to ensure sponsors are adequately equipped to become employers and are aware of their legal obligations. Furthermore, the lack of labour inspections – justified as protection of the private sphere – provides impunity to exploitative and abusive employers, while leaving domestic workers unprotected. Recurring patterns of abuse by the sponsor against different domestic workers they employ, despite formal complaints and sometimes convictions, are common.</w:t>
      </w:r>
      <w:r>
        <w:rPr>
          <w:rFonts w:ascii="Calibri" w:eastAsia="Calibri" w:hAnsi="Calibri" w:cs="Calibri"/>
          <w:sz w:val="24"/>
          <w:szCs w:val="24"/>
          <w:vertAlign w:val="superscript"/>
        </w:rPr>
        <w:footnoteReference w:id="30"/>
      </w:r>
      <w:r>
        <w:rPr>
          <w:rFonts w:ascii="Calibri" w:eastAsia="Calibri" w:hAnsi="Calibri" w:cs="Calibri"/>
          <w:sz w:val="24"/>
          <w:szCs w:val="24"/>
        </w:rPr>
        <w:t xml:space="preserve"> </w:t>
      </w:r>
    </w:p>
    <w:p w:rsidR="00742A8F" w:rsidRDefault="00742A8F">
      <w:pPr>
        <w:rPr>
          <w:rFonts w:ascii="Calibri" w:eastAsia="Calibri" w:hAnsi="Calibri" w:cs="Calibri"/>
          <w:sz w:val="24"/>
          <w:szCs w:val="24"/>
        </w:rPr>
      </w:pPr>
    </w:p>
    <w:p w:rsidR="00742A8F" w:rsidRDefault="00000000">
      <w:pPr>
        <w:numPr>
          <w:ilvl w:val="0"/>
          <w:numId w:val="4"/>
        </w:numPr>
        <w:rPr>
          <w:rFonts w:ascii="Calibri" w:eastAsia="Calibri" w:hAnsi="Calibri" w:cs="Calibri"/>
          <w:sz w:val="24"/>
          <w:szCs w:val="24"/>
        </w:rPr>
      </w:pPr>
      <w:r>
        <w:rPr>
          <w:rFonts w:ascii="Calibri" w:eastAsia="Calibri" w:hAnsi="Calibri" w:cs="Calibri"/>
          <w:sz w:val="24"/>
          <w:szCs w:val="24"/>
        </w:rPr>
        <w:t xml:space="preserve">Kuwait’s Ministerial Decree No. 177/2021 on Prohibiting Discrimination in Employment and Prohibiting Sexual Harassment at Workplaces excludes </w:t>
      </w:r>
      <w:r w:rsidR="0052067B">
        <w:rPr>
          <w:rFonts w:ascii="Calibri" w:eastAsia="Calibri" w:hAnsi="Calibri" w:cs="Calibri"/>
          <w:sz w:val="24"/>
          <w:szCs w:val="24"/>
        </w:rPr>
        <w:t>MDWs</w:t>
      </w:r>
      <w:r>
        <w:rPr>
          <w:rFonts w:ascii="Calibri" w:eastAsia="Calibri" w:hAnsi="Calibri" w:cs="Calibri"/>
          <w:sz w:val="24"/>
          <w:szCs w:val="24"/>
        </w:rPr>
        <w:t xml:space="preserve"> from its provisions, despite their regular exposure to sexual harassment and discrimination at their workplace.</w:t>
      </w:r>
      <w:r>
        <w:rPr>
          <w:rFonts w:ascii="Calibri" w:eastAsia="Calibri" w:hAnsi="Calibri" w:cs="Calibri"/>
          <w:sz w:val="24"/>
          <w:szCs w:val="24"/>
          <w:vertAlign w:val="superscript"/>
        </w:rPr>
        <w:footnoteReference w:id="31"/>
      </w:r>
      <w:r>
        <w:rPr>
          <w:rFonts w:ascii="Calibri" w:eastAsia="Calibri" w:hAnsi="Calibri" w:cs="Calibri"/>
          <w:sz w:val="24"/>
          <w:szCs w:val="24"/>
        </w:rPr>
        <w:t xml:space="preserve"> </w:t>
      </w:r>
    </w:p>
    <w:p w:rsidR="00742A8F" w:rsidRDefault="00742A8F">
      <w:pPr>
        <w:ind w:left="720"/>
        <w:rPr>
          <w:rFonts w:ascii="Calibri" w:eastAsia="Calibri" w:hAnsi="Calibri" w:cs="Calibri"/>
          <w:sz w:val="24"/>
          <w:szCs w:val="24"/>
        </w:rPr>
      </w:pPr>
    </w:p>
    <w:p w:rsidR="00742A8F" w:rsidRDefault="00000000">
      <w:pPr>
        <w:numPr>
          <w:ilvl w:val="0"/>
          <w:numId w:val="4"/>
        </w:numPr>
        <w:rPr>
          <w:rFonts w:ascii="Calibri" w:eastAsia="Calibri" w:hAnsi="Calibri" w:cs="Calibri"/>
          <w:sz w:val="24"/>
          <w:szCs w:val="24"/>
        </w:rPr>
      </w:pPr>
      <w:r>
        <w:rPr>
          <w:rFonts w:ascii="Calibri" w:eastAsia="Calibri" w:hAnsi="Calibri" w:cs="Calibri"/>
          <w:sz w:val="24"/>
          <w:szCs w:val="24"/>
        </w:rPr>
        <w:lastRenderedPageBreak/>
        <w:t>Minimum salary requirements for migrant workers to qualify for sponsoring their families do not reflect the minimum wages earned by the group. Kuwait requires a high minimum salary of 800 KWD ($2,600) and a university degree relevant to the workers’ sector intending on sponsoring their family.</w:t>
      </w:r>
      <w:r>
        <w:rPr>
          <w:rFonts w:ascii="Calibri" w:eastAsia="Calibri" w:hAnsi="Calibri" w:cs="Calibri"/>
          <w:sz w:val="24"/>
          <w:szCs w:val="24"/>
          <w:vertAlign w:val="superscript"/>
        </w:rPr>
        <w:footnoteReference w:id="32"/>
      </w:r>
      <w:r>
        <w:rPr>
          <w:rFonts w:ascii="Calibri" w:eastAsia="Calibri" w:hAnsi="Calibri" w:cs="Calibri"/>
          <w:sz w:val="24"/>
          <w:szCs w:val="24"/>
        </w:rPr>
        <w:t xml:space="preserve"> This financial disparity results in families being separated for long periods of time. Families born or living in Kuwait are exempt from the minimum salary requirement. Furthermore, female migrant workers are generally not allowed to sponsor family members, except in cases where their husband is deceased or divorced, or if the husband has permanently left the country, leaving his wife and kids behind.</w:t>
      </w:r>
      <w:r>
        <w:rPr>
          <w:rFonts w:ascii="Calibri" w:eastAsia="Calibri" w:hAnsi="Calibri" w:cs="Calibri"/>
          <w:sz w:val="24"/>
          <w:szCs w:val="24"/>
          <w:vertAlign w:val="superscript"/>
        </w:rPr>
        <w:footnoteReference w:id="33"/>
      </w:r>
    </w:p>
    <w:p w:rsidR="00742A8F" w:rsidRDefault="00742A8F">
      <w:pPr>
        <w:ind w:left="720"/>
        <w:rPr>
          <w:rFonts w:ascii="Calibri" w:eastAsia="Calibri" w:hAnsi="Calibri" w:cs="Calibri"/>
          <w:sz w:val="24"/>
          <w:szCs w:val="24"/>
        </w:rPr>
      </w:pPr>
    </w:p>
    <w:p w:rsidR="00742A8F" w:rsidRDefault="00000000">
      <w:pPr>
        <w:pStyle w:val="Heading2"/>
      </w:pPr>
      <w:bookmarkStart w:id="6" w:name="_heading=h.3dy6vkm" w:colFirst="0" w:colLast="0"/>
      <w:bookmarkEnd w:id="6"/>
      <w:r>
        <w:t xml:space="preserve">CEDAW Article 12: Healthcare </w:t>
      </w:r>
    </w:p>
    <w:p w:rsidR="00742A8F" w:rsidRDefault="00742A8F">
      <w:pPr>
        <w:rPr>
          <w:rFonts w:ascii="Calibri" w:eastAsia="Calibri" w:hAnsi="Calibri" w:cs="Calibri"/>
          <w:b/>
          <w:sz w:val="24"/>
          <w:szCs w:val="24"/>
        </w:rPr>
      </w:pPr>
    </w:p>
    <w:p w:rsidR="00742A8F" w:rsidRDefault="00000000">
      <w:pPr>
        <w:numPr>
          <w:ilvl w:val="0"/>
          <w:numId w:val="4"/>
        </w:numPr>
        <w:rPr>
          <w:rFonts w:ascii="Calibri" w:eastAsia="Calibri" w:hAnsi="Calibri" w:cs="Calibri"/>
          <w:sz w:val="24"/>
          <w:szCs w:val="24"/>
        </w:rPr>
      </w:pPr>
      <w:r>
        <w:rPr>
          <w:rFonts w:ascii="Calibri" w:eastAsia="Calibri" w:hAnsi="Calibri" w:cs="Calibri"/>
          <w:sz w:val="24"/>
          <w:szCs w:val="24"/>
        </w:rPr>
        <w:t xml:space="preserve">Low-income migrants and </w:t>
      </w:r>
      <w:r w:rsidR="0052067B">
        <w:rPr>
          <w:rFonts w:ascii="Calibri" w:eastAsia="Calibri" w:hAnsi="Calibri" w:cs="Calibri"/>
          <w:sz w:val="24"/>
          <w:szCs w:val="24"/>
        </w:rPr>
        <w:t>MDWs</w:t>
      </w:r>
      <w:r>
        <w:rPr>
          <w:rFonts w:ascii="Calibri" w:eastAsia="Calibri" w:hAnsi="Calibri" w:cs="Calibri"/>
          <w:sz w:val="24"/>
          <w:szCs w:val="24"/>
        </w:rPr>
        <w:t xml:space="preserve"> in particular face numerous obstacles to accessing healthcare. Though the domestic workers' law stipulates that employers of domestic workers must pay for any required medical care, the law is poorly enforced and there have been numerous recorded cases of employers in Kuwait failing to provide adequate care.</w:t>
      </w:r>
      <w:r>
        <w:rPr>
          <w:rFonts w:ascii="Calibri" w:eastAsia="Calibri" w:hAnsi="Calibri" w:cs="Calibri"/>
          <w:sz w:val="24"/>
          <w:szCs w:val="24"/>
          <w:vertAlign w:val="superscript"/>
        </w:rPr>
        <w:footnoteReference w:id="34"/>
      </w:r>
      <w:r>
        <w:rPr>
          <w:rFonts w:ascii="Calibri" w:eastAsia="Calibri" w:hAnsi="Calibri" w:cs="Calibri"/>
          <w:sz w:val="24"/>
          <w:szCs w:val="24"/>
        </w:rPr>
        <w:t xml:space="preserve"> Domestic workers' access to healthcare depends largely on their employers' benevolence. </w:t>
      </w:r>
    </w:p>
    <w:p w:rsidR="00742A8F" w:rsidRDefault="00742A8F">
      <w:pPr>
        <w:ind w:left="1440"/>
        <w:rPr>
          <w:rFonts w:ascii="Calibri" w:eastAsia="Calibri" w:hAnsi="Calibri" w:cs="Calibri"/>
          <w:sz w:val="24"/>
          <w:szCs w:val="24"/>
        </w:rPr>
      </w:pPr>
    </w:p>
    <w:p w:rsidR="00742A8F" w:rsidRDefault="00000000">
      <w:pPr>
        <w:numPr>
          <w:ilvl w:val="0"/>
          <w:numId w:val="4"/>
        </w:numPr>
        <w:rPr>
          <w:rFonts w:ascii="Calibri" w:eastAsia="Calibri" w:hAnsi="Calibri" w:cs="Calibri"/>
          <w:sz w:val="24"/>
          <w:szCs w:val="24"/>
        </w:rPr>
      </w:pPr>
      <w:r>
        <w:rPr>
          <w:rFonts w:ascii="Calibri" w:eastAsia="Calibri" w:hAnsi="Calibri" w:cs="Calibri"/>
          <w:sz w:val="24"/>
          <w:szCs w:val="24"/>
        </w:rPr>
        <w:t xml:space="preserve">Healthcare services are largely inaccessible to migrant workers without a personal bank account, which domestic workers often lack (see paragraph 6). Kuwait’s Ministry of Health </w:t>
      </w:r>
      <w:r w:rsidR="00D06D36">
        <w:rPr>
          <w:rFonts w:ascii="Calibri" w:eastAsia="Calibri" w:hAnsi="Calibri" w:cs="Calibri"/>
          <w:sz w:val="24"/>
          <w:szCs w:val="24"/>
        </w:rPr>
        <w:t xml:space="preserve">(MOH) </w:t>
      </w:r>
      <w:r>
        <w:rPr>
          <w:rFonts w:ascii="Calibri" w:eastAsia="Calibri" w:hAnsi="Calibri" w:cs="Calibri"/>
          <w:sz w:val="24"/>
          <w:szCs w:val="24"/>
        </w:rPr>
        <w:t>imposed a cashless payment system decision in public clinics and hospitals, requiring patients to have valid bank cards when seeking medical attention. Similarly, a ministerial decision from the Ministry of Trade and Industry requires private pharmacies to only accept card payments for amounts exceeding 10 Kuwaiti dinars (33 USD).</w:t>
      </w:r>
      <w:r>
        <w:rPr>
          <w:rFonts w:ascii="Calibri" w:eastAsia="Calibri" w:hAnsi="Calibri" w:cs="Calibri"/>
          <w:sz w:val="24"/>
          <w:szCs w:val="24"/>
          <w:vertAlign w:val="superscript"/>
        </w:rPr>
        <w:footnoteReference w:id="35"/>
      </w:r>
      <w:r>
        <w:rPr>
          <w:rFonts w:ascii="Calibri" w:eastAsia="Calibri" w:hAnsi="Calibri" w:cs="Calibri"/>
          <w:sz w:val="24"/>
          <w:szCs w:val="24"/>
        </w:rPr>
        <w:t xml:space="preserve"> </w:t>
      </w:r>
    </w:p>
    <w:p w:rsidR="00742A8F" w:rsidRDefault="00742A8F">
      <w:pPr>
        <w:ind w:left="1440"/>
        <w:rPr>
          <w:rFonts w:ascii="Calibri" w:eastAsia="Calibri" w:hAnsi="Calibri" w:cs="Calibri"/>
          <w:sz w:val="24"/>
          <w:szCs w:val="24"/>
        </w:rPr>
      </w:pPr>
    </w:p>
    <w:p w:rsidR="00742A8F" w:rsidRDefault="00000000">
      <w:pPr>
        <w:numPr>
          <w:ilvl w:val="0"/>
          <w:numId w:val="4"/>
        </w:numPr>
        <w:rPr>
          <w:rFonts w:ascii="Calibri" w:eastAsia="Calibri" w:hAnsi="Calibri" w:cs="Calibri"/>
          <w:sz w:val="24"/>
          <w:szCs w:val="24"/>
        </w:rPr>
      </w:pPr>
      <w:r>
        <w:rPr>
          <w:rFonts w:ascii="Calibri" w:eastAsia="Calibri" w:hAnsi="Calibri" w:cs="Calibri"/>
          <w:sz w:val="24"/>
          <w:szCs w:val="24"/>
        </w:rPr>
        <w:t xml:space="preserve"> Kuwait’s </w:t>
      </w:r>
      <w:r w:rsidR="00D06D36">
        <w:rPr>
          <w:rFonts w:ascii="Calibri" w:eastAsia="Calibri" w:hAnsi="Calibri" w:cs="Calibri"/>
          <w:sz w:val="24"/>
          <w:szCs w:val="24"/>
        </w:rPr>
        <w:t>MOH</w:t>
      </w:r>
      <w:r>
        <w:rPr>
          <w:rFonts w:ascii="Calibri" w:eastAsia="Calibri" w:hAnsi="Calibri" w:cs="Calibri"/>
          <w:sz w:val="24"/>
          <w:szCs w:val="24"/>
        </w:rPr>
        <w:t xml:space="preserve"> regularly imposes discriminatory fees for migrant workers accessing public facilities. These policies are influenced by xenophobic rhetoric from government officials, who blame migrant workers for “congestion” at </w:t>
      </w:r>
      <w:r>
        <w:rPr>
          <w:rFonts w:ascii="Calibri" w:eastAsia="Calibri" w:hAnsi="Calibri" w:cs="Calibri"/>
          <w:sz w:val="24"/>
          <w:szCs w:val="24"/>
        </w:rPr>
        <w:lastRenderedPageBreak/>
        <w:t>public hospitals and accuse migrant women of purposefully wanting to take advantage of affordable maternal care in Kuwait.</w:t>
      </w:r>
      <w:r>
        <w:rPr>
          <w:rFonts w:ascii="Calibri" w:eastAsia="Calibri" w:hAnsi="Calibri" w:cs="Calibri"/>
          <w:sz w:val="24"/>
          <w:szCs w:val="24"/>
          <w:vertAlign w:val="superscript"/>
        </w:rPr>
        <w:footnoteReference w:id="36"/>
      </w:r>
      <w:r>
        <w:rPr>
          <w:rFonts w:ascii="Calibri" w:eastAsia="Calibri" w:hAnsi="Calibri" w:cs="Calibri"/>
          <w:sz w:val="24"/>
          <w:szCs w:val="24"/>
        </w:rPr>
        <w:t xml:space="preserve"> </w:t>
      </w:r>
    </w:p>
    <w:p w:rsidR="00742A8F" w:rsidRDefault="00742A8F">
      <w:pPr>
        <w:ind w:left="1440"/>
        <w:rPr>
          <w:rFonts w:ascii="Calibri" w:eastAsia="Calibri" w:hAnsi="Calibri" w:cs="Calibri"/>
          <w:sz w:val="24"/>
          <w:szCs w:val="24"/>
          <w:highlight w:val="yellow"/>
        </w:rPr>
      </w:pPr>
    </w:p>
    <w:p w:rsidR="00742A8F" w:rsidRDefault="00000000">
      <w:pPr>
        <w:numPr>
          <w:ilvl w:val="0"/>
          <w:numId w:val="4"/>
        </w:numPr>
        <w:rPr>
          <w:rFonts w:ascii="Calibri" w:eastAsia="Calibri" w:hAnsi="Calibri" w:cs="Calibri"/>
          <w:sz w:val="24"/>
          <w:szCs w:val="24"/>
        </w:rPr>
      </w:pPr>
      <w:r>
        <w:rPr>
          <w:rFonts w:ascii="Calibri" w:eastAsia="Calibri" w:hAnsi="Calibri" w:cs="Calibri"/>
          <w:sz w:val="24"/>
          <w:szCs w:val="24"/>
        </w:rPr>
        <w:t>Yet, maternity care and services are not available to all female migrant workers. Registering a new</w:t>
      </w:r>
      <w:r w:rsidR="00D06D36">
        <w:rPr>
          <w:rFonts w:ascii="Calibri" w:eastAsia="Calibri" w:hAnsi="Calibri" w:cs="Calibri"/>
          <w:sz w:val="24"/>
          <w:szCs w:val="24"/>
        </w:rPr>
        <w:t>-</w:t>
      </w:r>
      <w:r>
        <w:rPr>
          <w:rFonts w:ascii="Calibri" w:eastAsia="Calibri" w:hAnsi="Calibri" w:cs="Calibri"/>
          <w:sz w:val="24"/>
          <w:szCs w:val="24"/>
        </w:rPr>
        <w:t>born is only possible for migrant workers with valid work permits and marriage certificates. Women in Kuwait are unable to access certain gynaecological or reproductive healthcare services without a valid marriage or divorce certificate, or the presence of a male guardian (often the father), even when the woman’s life is at risk.</w:t>
      </w:r>
      <w:r>
        <w:rPr>
          <w:rFonts w:ascii="Calibri" w:eastAsia="Calibri" w:hAnsi="Calibri" w:cs="Calibri"/>
          <w:sz w:val="24"/>
          <w:szCs w:val="24"/>
          <w:vertAlign w:val="superscript"/>
        </w:rPr>
        <w:footnoteReference w:id="37"/>
      </w:r>
      <w:r>
        <w:rPr>
          <w:rFonts w:ascii="Calibri" w:eastAsia="Calibri" w:hAnsi="Calibri" w:cs="Calibri"/>
          <w:sz w:val="24"/>
          <w:szCs w:val="24"/>
        </w:rPr>
        <w:t xml:space="preserve">  </w:t>
      </w:r>
    </w:p>
    <w:p w:rsidR="00742A8F" w:rsidRDefault="00742A8F">
      <w:pPr>
        <w:ind w:left="1440"/>
        <w:rPr>
          <w:rFonts w:ascii="Calibri" w:eastAsia="Calibri" w:hAnsi="Calibri" w:cs="Calibri"/>
          <w:sz w:val="24"/>
          <w:szCs w:val="24"/>
        </w:rPr>
      </w:pPr>
    </w:p>
    <w:p w:rsidR="00742A8F" w:rsidRDefault="00000000">
      <w:pPr>
        <w:numPr>
          <w:ilvl w:val="0"/>
          <w:numId w:val="4"/>
        </w:numPr>
        <w:rPr>
          <w:rFonts w:ascii="Calibri" w:eastAsia="Calibri" w:hAnsi="Calibri" w:cs="Calibri"/>
          <w:sz w:val="24"/>
          <w:szCs w:val="24"/>
        </w:rPr>
      </w:pPr>
      <w:r>
        <w:rPr>
          <w:rFonts w:ascii="Calibri" w:eastAsia="Calibri" w:hAnsi="Calibri" w:cs="Calibri"/>
          <w:sz w:val="24"/>
          <w:szCs w:val="24"/>
        </w:rPr>
        <w:t xml:space="preserve"> </w:t>
      </w:r>
      <w:r w:rsidR="0052067B">
        <w:rPr>
          <w:rFonts w:ascii="Calibri" w:eastAsia="Calibri" w:hAnsi="Calibri" w:cs="Calibri"/>
          <w:sz w:val="24"/>
          <w:szCs w:val="24"/>
        </w:rPr>
        <w:t>MDWs</w:t>
      </w:r>
      <w:r>
        <w:rPr>
          <w:rFonts w:ascii="Calibri" w:eastAsia="Calibri" w:hAnsi="Calibri" w:cs="Calibri"/>
          <w:sz w:val="24"/>
          <w:szCs w:val="24"/>
        </w:rPr>
        <w:t xml:space="preserve"> face the greatest obstacles in accessing maternity care.  Maternity benefits and medical services are not mandated by the domestic workers law, and employers have the right to cancel worker visas for workers who become pregnant. Domestic workers fall under a distinct ‘Article 20’ visa, and these visa holders cannot formally register their new</w:t>
      </w:r>
      <w:r w:rsidR="00D06D36">
        <w:rPr>
          <w:rFonts w:ascii="Calibri" w:eastAsia="Calibri" w:hAnsi="Calibri" w:cs="Calibri"/>
          <w:sz w:val="24"/>
          <w:szCs w:val="24"/>
        </w:rPr>
        <w:t>-</w:t>
      </w:r>
      <w:r>
        <w:rPr>
          <w:rFonts w:ascii="Calibri" w:eastAsia="Calibri" w:hAnsi="Calibri" w:cs="Calibri"/>
          <w:sz w:val="24"/>
          <w:szCs w:val="24"/>
        </w:rPr>
        <w:t>born</w:t>
      </w:r>
      <w:r w:rsidR="00D06D36">
        <w:rPr>
          <w:rFonts w:ascii="Calibri" w:eastAsia="Calibri" w:hAnsi="Calibri" w:cs="Calibri"/>
          <w:sz w:val="24"/>
          <w:szCs w:val="24"/>
        </w:rPr>
        <w:t>s</w:t>
      </w:r>
      <w:r>
        <w:rPr>
          <w:rFonts w:ascii="Calibri" w:eastAsia="Calibri" w:hAnsi="Calibri" w:cs="Calibri"/>
          <w:sz w:val="24"/>
          <w:szCs w:val="24"/>
        </w:rPr>
        <w:t xml:space="preserve"> even if they provide a valid marriage certificate.</w:t>
      </w:r>
      <w:r>
        <w:rPr>
          <w:rFonts w:ascii="Calibri" w:eastAsia="Calibri" w:hAnsi="Calibri" w:cs="Calibri"/>
          <w:sz w:val="24"/>
          <w:szCs w:val="24"/>
          <w:vertAlign w:val="superscript"/>
        </w:rPr>
        <w:footnoteReference w:id="38"/>
      </w:r>
      <w:r>
        <w:rPr>
          <w:rFonts w:ascii="Calibri" w:eastAsia="Calibri" w:hAnsi="Calibri" w:cs="Calibri"/>
          <w:sz w:val="24"/>
          <w:szCs w:val="24"/>
        </w:rPr>
        <w:t xml:space="preserve"> </w:t>
      </w:r>
    </w:p>
    <w:p w:rsidR="00742A8F" w:rsidRDefault="00742A8F">
      <w:pPr>
        <w:rPr>
          <w:rFonts w:ascii="Calibri" w:eastAsia="Calibri" w:hAnsi="Calibri" w:cs="Calibri"/>
          <w:sz w:val="24"/>
          <w:szCs w:val="24"/>
        </w:rPr>
      </w:pPr>
    </w:p>
    <w:p w:rsidR="00742A8F" w:rsidRDefault="00000000">
      <w:pPr>
        <w:numPr>
          <w:ilvl w:val="0"/>
          <w:numId w:val="4"/>
        </w:numPr>
        <w:rPr>
          <w:rFonts w:ascii="Calibri" w:eastAsia="Calibri" w:hAnsi="Calibri" w:cs="Calibri"/>
          <w:sz w:val="24"/>
          <w:szCs w:val="24"/>
        </w:rPr>
      </w:pPr>
      <w:r>
        <w:rPr>
          <w:rFonts w:ascii="Calibri" w:eastAsia="Calibri" w:hAnsi="Calibri" w:cs="Calibri"/>
          <w:sz w:val="24"/>
          <w:szCs w:val="24"/>
        </w:rPr>
        <w:t>Kuwait’s discriminatory healthcare services are a longstanding issue. In its response to the list of issues and questions regarding its sixth periodic report (CEDAW/C/KWT/RQ/6), Kuwait asserted that it had executed its COVID-19 vaccination program "without any discrimination or differentiation based on gender." However, Kuwait explicitly prioritised vaccinating its citizens against Covid-19. Citizens received vaccinations at a rate six times higher than migrants, who constitute 70 percent of the population.</w:t>
      </w:r>
      <w:r>
        <w:rPr>
          <w:rFonts w:ascii="Calibri" w:eastAsia="Calibri" w:hAnsi="Calibri" w:cs="Calibri"/>
          <w:sz w:val="24"/>
          <w:szCs w:val="24"/>
          <w:vertAlign w:val="superscript"/>
        </w:rPr>
        <w:footnoteReference w:id="39"/>
      </w:r>
    </w:p>
    <w:p w:rsidR="00742A8F" w:rsidRDefault="00742A8F">
      <w:pPr>
        <w:rPr>
          <w:rFonts w:ascii="Calibri" w:eastAsia="Calibri" w:hAnsi="Calibri" w:cs="Calibri"/>
          <w:b/>
          <w:sz w:val="24"/>
          <w:szCs w:val="24"/>
        </w:rPr>
      </w:pPr>
    </w:p>
    <w:p w:rsidR="00742A8F" w:rsidRDefault="00742A8F">
      <w:pPr>
        <w:rPr>
          <w:rFonts w:ascii="Calibri" w:eastAsia="Calibri" w:hAnsi="Calibri" w:cs="Calibri"/>
          <w:b/>
          <w:sz w:val="24"/>
          <w:szCs w:val="24"/>
        </w:rPr>
      </w:pPr>
    </w:p>
    <w:p w:rsidR="00742A8F" w:rsidRDefault="00000000">
      <w:pPr>
        <w:pStyle w:val="Heading2"/>
      </w:pPr>
      <w:bookmarkStart w:id="7" w:name="_heading=h.1t3h5sf" w:colFirst="0" w:colLast="0"/>
      <w:bookmarkEnd w:id="7"/>
      <w:r>
        <w:t xml:space="preserve">Recommendations: </w:t>
      </w:r>
    </w:p>
    <w:p w:rsidR="00742A8F" w:rsidRDefault="00742A8F">
      <w:pPr>
        <w:rPr>
          <w:rFonts w:ascii="Calibri" w:eastAsia="Calibri" w:hAnsi="Calibri" w:cs="Calibri"/>
          <w:b/>
          <w:sz w:val="24"/>
          <w:szCs w:val="24"/>
        </w:rPr>
      </w:pPr>
    </w:p>
    <w:p w:rsidR="00742A8F" w:rsidRDefault="00000000">
      <w:pPr>
        <w:numPr>
          <w:ilvl w:val="0"/>
          <w:numId w:val="2"/>
        </w:numPr>
        <w:rPr>
          <w:rFonts w:ascii="Calibri" w:eastAsia="Calibri" w:hAnsi="Calibri" w:cs="Calibri"/>
          <w:sz w:val="24"/>
          <w:szCs w:val="24"/>
        </w:rPr>
      </w:pPr>
      <w:r>
        <w:rPr>
          <w:rFonts w:ascii="Calibri" w:eastAsia="Calibri" w:hAnsi="Calibri" w:cs="Calibri"/>
          <w:sz w:val="24"/>
          <w:szCs w:val="24"/>
        </w:rPr>
        <w:t>Withdraw reservations made to CEDAW, articles 9(2), 16(1)(f), and 29(1).</w:t>
      </w:r>
    </w:p>
    <w:p w:rsidR="00742A8F" w:rsidRDefault="00000000">
      <w:pPr>
        <w:numPr>
          <w:ilvl w:val="0"/>
          <w:numId w:val="2"/>
        </w:numPr>
        <w:rPr>
          <w:rFonts w:ascii="Calibri" w:eastAsia="Calibri" w:hAnsi="Calibri" w:cs="Calibri"/>
          <w:sz w:val="24"/>
          <w:szCs w:val="24"/>
        </w:rPr>
      </w:pPr>
      <w:r>
        <w:rPr>
          <w:rFonts w:ascii="Calibri" w:eastAsia="Calibri" w:hAnsi="Calibri" w:cs="Calibri"/>
          <w:sz w:val="24"/>
          <w:szCs w:val="24"/>
        </w:rPr>
        <w:lastRenderedPageBreak/>
        <w:t xml:space="preserve">Include domestic workers in Kuwait’s Labour Law No. 6/2010 and extend related legal protections and enforcement mechanisms to domestic workers. </w:t>
      </w:r>
    </w:p>
    <w:p w:rsidR="00742A8F" w:rsidRDefault="00000000">
      <w:pPr>
        <w:numPr>
          <w:ilvl w:val="0"/>
          <w:numId w:val="2"/>
        </w:numPr>
        <w:rPr>
          <w:rFonts w:ascii="Calibri" w:eastAsia="Calibri" w:hAnsi="Calibri" w:cs="Calibri"/>
          <w:sz w:val="24"/>
          <w:szCs w:val="24"/>
        </w:rPr>
      </w:pPr>
      <w:r>
        <w:rPr>
          <w:rFonts w:ascii="Calibri" w:eastAsia="Calibri" w:hAnsi="Calibri" w:cs="Calibri"/>
          <w:sz w:val="24"/>
          <w:szCs w:val="24"/>
        </w:rPr>
        <w:t>Establish an independent national human rights institution in accordance with the Paris Principles to oversee adequate realisation and monitoring of human rights practices.</w:t>
      </w:r>
    </w:p>
    <w:p w:rsidR="00742A8F" w:rsidRDefault="00000000">
      <w:pPr>
        <w:numPr>
          <w:ilvl w:val="0"/>
          <w:numId w:val="2"/>
        </w:numPr>
        <w:rPr>
          <w:rFonts w:ascii="Calibri" w:eastAsia="Calibri" w:hAnsi="Calibri" w:cs="Calibri"/>
          <w:sz w:val="24"/>
          <w:szCs w:val="24"/>
        </w:rPr>
      </w:pPr>
      <w:r>
        <w:rPr>
          <w:rFonts w:ascii="Calibri" w:eastAsia="Calibri" w:hAnsi="Calibri" w:cs="Calibri"/>
          <w:sz w:val="24"/>
          <w:szCs w:val="24"/>
        </w:rPr>
        <w:t>Implement monitoring mechanisms that actively address cases of violence against women to prevent recurrence.</w:t>
      </w:r>
    </w:p>
    <w:p w:rsidR="00742A8F" w:rsidRDefault="00000000">
      <w:pPr>
        <w:numPr>
          <w:ilvl w:val="0"/>
          <w:numId w:val="2"/>
        </w:numPr>
        <w:rPr>
          <w:rFonts w:ascii="Calibri" w:eastAsia="Calibri" w:hAnsi="Calibri" w:cs="Calibri"/>
          <w:sz w:val="24"/>
          <w:szCs w:val="24"/>
        </w:rPr>
      </w:pPr>
      <w:r>
        <w:rPr>
          <w:rFonts w:ascii="Calibri" w:eastAsia="Calibri" w:hAnsi="Calibri" w:cs="Calibri"/>
          <w:sz w:val="24"/>
          <w:szCs w:val="24"/>
        </w:rPr>
        <w:t xml:space="preserve">Abolish laws within the Penal Code that sexually, physically, and psychologically abuse women, in particular Article 153, and Article 182. </w:t>
      </w:r>
    </w:p>
    <w:p w:rsidR="00742A8F" w:rsidRDefault="00000000">
      <w:pPr>
        <w:numPr>
          <w:ilvl w:val="0"/>
          <w:numId w:val="2"/>
        </w:numPr>
        <w:rPr>
          <w:rFonts w:ascii="Calibri" w:eastAsia="Calibri" w:hAnsi="Calibri" w:cs="Calibri"/>
          <w:sz w:val="24"/>
          <w:szCs w:val="24"/>
        </w:rPr>
      </w:pPr>
      <w:r>
        <w:rPr>
          <w:rFonts w:ascii="Calibri" w:eastAsia="Calibri" w:hAnsi="Calibri" w:cs="Calibri"/>
          <w:sz w:val="24"/>
          <w:szCs w:val="24"/>
        </w:rPr>
        <w:t>Make accessible and public information on government shelters for female victims of domestic violence, gender-based violence, trafficking, and forced labour.</w:t>
      </w:r>
    </w:p>
    <w:p w:rsidR="00742A8F" w:rsidRDefault="00000000">
      <w:pPr>
        <w:numPr>
          <w:ilvl w:val="0"/>
          <w:numId w:val="2"/>
        </w:numPr>
        <w:rPr>
          <w:rFonts w:ascii="Calibri" w:eastAsia="Calibri" w:hAnsi="Calibri" w:cs="Calibri"/>
          <w:sz w:val="24"/>
          <w:szCs w:val="24"/>
        </w:rPr>
      </w:pPr>
      <w:r>
        <w:rPr>
          <w:rFonts w:ascii="Calibri" w:eastAsia="Calibri" w:hAnsi="Calibri" w:cs="Calibri"/>
          <w:sz w:val="24"/>
          <w:szCs w:val="24"/>
        </w:rPr>
        <w:t xml:space="preserve">Ensure healthcare and maternal services are accessible to all women, regardless of citizenship, visa status, or marital status. </w:t>
      </w:r>
    </w:p>
    <w:p w:rsidR="00742A8F" w:rsidRDefault="00000000">
      <w:pPr>
        <w:numPr>
          <w:ilvl w:val="0"/>
          <w:numId w:val="2"/>
        </w:numPr>
        <w:rPr>
          <w:rFonts w:ascii="Calibri" w:eastAsia="Calibri" w:hAnsi="Calibri" w:cs="Calibri"/>
          <w:sz w:val="24"/>
          <w:szCs w:val="24"/>
        </w:rPr>
      </w:pPr>
      <w:r>
        <w:rPr>
          <w:rFonts w:ascii="Calibri" w:eastAsia="Calibri" w:hAnsi="Calibri" w:cs="Calibri"/>
          <w:sz w:val="24"/>
          <w:szCs w:val="24"/>
        </w:rPr>
        <w:t xml:space="preserve">Uphold obligations within the International Labour Organisation’s Convention on the Right to Organise and Collective Bargaining, No. 98 of 1949, and the International Labour Organisation’s Convention on Freedom of Association and Protection of the Right to Organise, No. 87 of 1948 to protect migrant workers’ right to representation and organisation. </w:t>
      </w:r>
    </w:p>
    <w:p w:rsidR="00742A8F" w:rsidRDefault="00000000">
      <w:pPr>
        <w:numPr>
          <w:ilvl w:val="1"/>
          <w:numId w:val="2"/>
        </w:numPr>
        <w:rPr>
          <w:rFonts w:ascii="Calibri" w:eastAsia="Calibri" w:hAnsi="Calibri" w:cs="Calibri"/>
          <w:sz w:val="24"/>
          <w:szCs w:val="24"/>
        </w:rPr>
      </w:pPr>
      <w:r>
        <w:rPr>
          <w:rFonts w:ascii="Calibri" w:eastAsia="Calibri" w:hAnsi="Calibri" w:cs="Calibri"/>
          <w:sz w:val="24"/>
          <w:szCs w:val="24"/>
        </w:rPr>
        <w:t xml:space="preserve">Ensure participation of migrant women, and domestic workers, in progress made to policies and frameworks impacting them to effectively consider their lived realities. </w:t>
      </w:r>
    </w:p>
    <w:p w:rsidR="00742A8F" w:rsidRDefault="00000000">
      <w:pPr>
        <w:numPr>
          <w:ilvl w:val="0"/>
          <w:numId w:val="2"/>
        </w:numPr>
        <w:rPr>
          <w:rFonts w:ascii="Calibri" w:eastAsia="Calibri" w:hAnsi="Calibri" w:cs="Calibri"/>
          <w:sz w:val="24"/>
          <w:szCs w:val="24"/>
        </w:rPr>
      </w:pPr>
      <w:r>
        <w:rPr>
          <w:rFonts w:ascii="Calibri" w:eastAsia="Calibri" w:hAnsi="Calibri" w:cs="Calibri"/>
          <w:sz w:val="24"/>
          <w:szCs w:val="24"/>
        </w:rPr>
        <w:t xml:space="preserve">Publicise data on migrant women’s ability to successfully access remedies, public shelters, and other forms of legal protections when faced with abuse. </w:t>
      </w:r>
    </w:p>
    <w:p w:rsidR="00742A8F" w:rsidRDefault="00000000">
      <w:pPr>
        <w:numPr>
          <w:ilvl w:val="1"/>
          <w:numId w:val="2"/>
        </w:numPr>
        <w:rPr>
          <w:rFonts w:ascii="Calibri" w:eastAsia="Calibri" w:hAnsi="Calibri" w:cs="Calibri"/>
          <w:sz w:val="24"/>
          <w:szCs w:val="24"/>
        </w:rPr>
      </w:pPr>
      <w:r>
        <w:rPr>
          <w:rFonts w:ascii="Calibri" w:eastAsia="Calibri" w:hAnsi="Calibri" w:cs="Calibri"/>
          <w:sz w:val="24"/>
          <w:szCs w:val="24"/>
        </w:rPr>
        <w:t xml:space="preserve">Provide free legal aid to migrant women witnessing abuse, and efficient translation services when engaging with government agencies. </w:t>
      </w:r>
    </w:p>
    <w:p w:rsidR="00742A8F" w:rsidRDefault="00000000">
      <w:pPr>
        <w:numPr>
          <w:ilvl w:val="0"/>
          <w:numId w:val="2"/>
        </w:numPr>
        <w:rPr>
          <w:rFonts w:ascii="Calibri" w:eastAsia="Calibri" w:hAnsi="Calibri" w:cs="Calibri"/>
          <w:sz w:val="24"/>
          <w:szCs w:val="24"/>
        </w:rPr>
      </w:pPr>
      <w:r>
        <w:rPr>
          <w:rFonts w:ascii="Calibri" w:eastAsia="Calibri" w:hAnsi="Calibri" w:cs="Calibri"/>
          <w:sz w:val="24"/>
          <w:szCs w:val="24"/>
        </w:rPr>
        <w:t>Ensure financial inclusion and security amongst migrant women in line with CEDAW article 3, particularly within the domestic work sector, and address areas of vulnerability that result in non-payment of wages and jeopardise financial independence amongst migrant women.</w:t>
      </w:r>
    </w:p>
    <w:p w:rsidR="00742A8F" w:rsidRDefault="00000000">
      <w:pPr>
        <w:numPr>
          <w:ilvl w:val="0"/>
          <w:numId w:val="2"/>
        </w:numPr>
        <w:rPr>
          <w:rFonts w:ascii="Calibri" w:eastAsia="Calibri" w:hAnsi="Calibri" w:cs="Calibri"/>
          <w:sz w:val="24"/>
          <w:szCs w:val="24"/>
        </w:rPr>
      </w:pPr>
      <w:r>
        <w:rPr>
          <w:rFonts w:ascii="Calibri" w:eastAsia="Calibri" w:hAnsi="Calibri" w:cs="Calibri"/>
          <w:sz w:val="24"/>
          <w:szCs w:val="24"/>
        </w:rPr>
        <w:t xml:space="preserve">Establish bank account opening criteria that are inclusive and accessible to all members of society. Assess barriers to access minimum requirements may pose and mitigate these barriers to ensure equitable access to banking services for migrant women. </w:t>
      </w:r>
    </w:p>
    <w:p w:rsidR="00742A8F" w:rsidRDefault="00000000">
      <w:pPr>
        <w:numPr>
          <w:ilvl w:val="0"/>
          <w:numId w:val="2"/>
        </w:numPr>
        <w:rPr>
          <w:rFonts w:ascii="Calibri" w:eastAsia="Calibri" w:hAnsi="Calibri" w:cs="Calibri"/>
          <w:sz w:val="24"/>
          <w:szCs w:val="24"/>
        </w:rPr>
      </w:pPr>
      <w:r>
        <w:rPr>
          <w:rFonts w:ascii="Calibri" w:eastAsia="Calibri" w:hAnsi="Calibri" w:cs="Calibri"/>
          <w:sz w:val="24"/>
          <w:szCs w:val="24"/>
        </w:rPr>
        <w:t xml:space="preserve">Enact temporary special measures in line with CEDAW article 4 to accelerate de facto and de jure equality between migrant workers, regardless of visa tier.  </w:t>
      </w:r>
    </w:p>
    <w:p w:rsidR="00742A8F" w:rsidRDefault="00000000">
      <w:pPr>
        <w:numPr>
          <w:ilvl w:val="0"/>
          <w:numId w:val="2"/>
        </w:numPr>
        <w:rPr>
          <w:rFonts w:ascii="Calibri" w:eastAsia="Calibri" w:hAnsi="Calibri" w:cs="Calibri"/>
          <w:sz w:val="24"/>
          <w:szCs w:val="24"/>
        </w:rPr>
      </w:pPr>
      <w:r>
        <w:rPr>
          <w:rFonts w:ascii="Calibri" w:eastAsia="Calibri" w:hAnsi="Calibri" w:cs="Calibri"/>
          <w:sz w:val="24"/>
          <w:szCs w:val="24"/>
        </w:rPr>
        <w:t>Ratify the International Labour Organisation’s Violence and Harassment Convention, No. 190.</w:t>
      </w:r>
    </w:p>
    <w:p w:rsidR="00742A8F" w:rsidRDefault="00000000">
      <w:pPr>
        <w:numPr>
          <w:ilvl w:val="0"/>
          <w:numId w:val="2"/>
        </w:numPr>
        <w:rPr>
          <w:rFonts w:ascii="Calibri" w:eastAsia="Calibri" w:hAnsi="Calibri" w:cs="Calibri"/>
          <w:sz w:val="24"/>
          <w:szCs w:val="24"/>
        </w:rPr>
      </w:pPr>
      <w:r>
        <w:rPr>
          <w:rFonts w:ascii="Calibri" w:eastAsia="Calibri" w:hAnsi="Calibri" w:cs="Calibri"/>
          <w:sz w:val="24"/>
          <w:szCs w:val="24"/>
        </w:rPr>
        <w:t>Ratify the International Labour Organisation’s 2014 Protocol to the Forced Labour Convention, 1930.</w:t>
      </w:r>
    </w:p>
    <w:p w:rsidR="00742A8F" w:rsidRDefault="00000000">
      <w:pPr>
        <w:numPr>
          <w:ilvl w:val="0"/>
          <w:numId w:val="2"/>
        </w:numPr>
        <w:rPr>
          <w:rFonts w:ascii="Calibri" w:eastAsia="Calibri" w:hAnsi="Calibri" w:cs="Calibri"/>
          <w:sz w:val="24"/>
          <w:szCs w:val="24"/>
        </w:rPr>
      </w:pPr>
      <w:r>
        <w:rPr>
          <w:rFonts w:ascii="Calibri" w:eastAsia="Calibri" w:hAnsi="Calibri" w:cs="Calibri"/>
          <w:sz w:val="24"/>
          <w:szCs w:val="24"/>
        </w:rPr>
        <w:lastRenderedPageBreak/>
        <w:t>Ratify the International Labour Organisation’s Domestic Workers Convention, No. 189 of 2011.</w:t>
      </w:r>
    </w:p>
    <w:p w:rsidR="00742A8F" w:rsidRDefault="00000000">
      <w:pPr>
        <w:numPr>
          <w:ilvl w:val="0"/>
          <w:numId w:val="2"/>
        </w:numPr>
        <w:rPr>
          <w:rFonts w:ascii="Calibri" w:eastAsia="Calibri" w:hAnsi="Calibri" w:cs="Calibri"/>
          <w:sz w:val="24"/>
          <w:szCs w:val="24"/>
        </w:rPr>
      </w:pPr>
      <w:r>
        <w:rPr>
          <w:rFonts w:ascii="Calibri" w:eastAsia="Calibri" w:hAnsi="Calibri" w:cs="Calibri"/>
          <w:sz w:val="24"/>
          <w:szCs w:val="24"/>
        </w:rPr>
        <w:t xml:space="preserve">Ratify the International Labour Organisation’s Equal Remuneration Convention, No. 100 of 1951. </w:t>
      </w:r>
    </w:p>
    <w:p w:rsidR="00742A8F" w:rsidRDefault="00000000">
      <w:pPr>
        <w:numPr>
          <w:ilvl w:val="0"/>
          <w:numId w:val="2"/>
        </w:numPr>
        <w:rPr>
          <w:rFonts w:ascii="Calibri" w:eastAsia="Calibri" w:hAnsi="Calibri" w:cs="Calibri"/>
          <w:sz w:val="24"/>
          <w:szCs w:val="24"/>
        </w:rPr>
      </w:pPr>
      <w:r>
        <w:rPr>
          <w:rFonts w:ascii="Calibri" w:eastAsia="Calibri" w:hAnsi="Calibri" w:cs="Calibri"/>
          <w:sz w:val="24"/>
          <w:szCs w:val="24"/>
        </w:rPr>
        <w:t>Ratify the International Convention on the Protection of the Rights of All Migrant Workers and Members of Their Families.</w:t>
      </w:r>
    </w:p>
    <w:p w:rsidR="00742A8F" w:rsidRDefault="00742A8F">
      <w:pPr>
        <w:rPr>
          <w:rFonts w:ascii="Calibri" w:eastAsia="Calibri" w:hAnsi="Calibri" w:cs="Calibri"/>
          <w:b/>
          <w:sz w:val="24"/>
          <w:szCs w:val="24"/>
        </w:rPr>
      </w:pPr>
    </w:p>
    <w:sectPr w:rsidR="00742A8F">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C19AD" w:rsidRDefault="00EC19AD">
      <w:pPr>
        <w:spacing w:line="240" w:lineRule="auto"/>
      </w:pPr>
      <w:r>
        <w:separator/>
      </w:r>
    </w:p>
  </w:endnote>
  <w:endnote w:type="continuationSeparator" w:id="0">
    <w:p w:rsidR="00EC19AD" w:rsidRDefault="00EC19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42A8F" w:rsidRDefault="00000000">
    <w:pPr>
      <w:jc w:val="right"/>
    </w:pPr>
    <w:r>
      <w:fldChar w:fldCharType="begin"/>
    </w:r>
    <w:r>
      <w:instrText>PAGE</w:instrText>
    </w:r>
    <w:r>
      <w:fldChar w:fldCharType="separate"/>
    </w:r>
    <w:r w:rsidR="00171296">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C19AD" w:rsidRDefault="00EC19AD">
      <w:pPr>
        <w:spacing w:line="240" w:lineRule="auto"/>
      </w:pPr>
      <w:r>
        <w:separator/>
      </w:r>
    </w:p>
  </w:footnote>
  <w:footnote w:type="continuationSeparator" w:id="0">
    <w:p w:rsidR="00EC19AD" w:rsidRDefault="00EC19AD">
      <w:pPr>
        <w:spacing w:line="240" w:lineRule="auto"/>
      </w:pPr>
      <w:r>
        <w:continuationSeparator/>
      </w:r>
    </w:p>
  </w:footnote>
  <w:footnote w:id="1">
    <w:p w:rsidR="00742A8F" w:rsidRDefault="00000000">
      <w:pPr>
        <w:spacing w:line="240" w:lineRule="auto"/>
        <w:rPr>
          <w:sz w:val="20"/>
          <w:szCs w:val="20"/>
        </w:rPr>
      </w:pPr>
      <w:r>
        <w:rPr>
          <w:vertAlign w:val="superscript"/>
        </w:rPr>
        <w:footnoteRef/>
      </w:r>
      <w:r>
        <w:rPr>
          <w:sz w:val="20"/>
          <w:szCs w:val="20"/>
        </w:rPr>
        <w:t xml:space="preserve"> Central Statistical Bureau of Kuwait (2023)</w:t>
      </w:r>
      <w:r w:rsidR="00171296">
        <w:rPr>
          <w:sz w:val="20"/>
          <w:szCs w:val="20"/>
        </w:rPr>
        <w:t>.</w:t>
      </w:r>
      <w:r>
        <w:rPr>
          <w:sz w:val="20"/>
          <w:szCs w:val="20"/>
        </w:rPr>
        <w:t xml:space="preserve"> </w:t>
      </w:r>
      <w:hyperlink r:id="rId1">
        <w:r>
          <w:rPr>
            <w:color w:val="1155CC"/>
            <w:sz w:val="20"/>
            <w:szCs w:val="20"/>
            <w:u w:val="single"/>
          </w:rPr>
          <w:t>https://www.csb.gov.kw/Pages/Statistics_en?ID=67&amp;ParentCatID=1</w:t>
        </w:r>
      </w:hyperlink>
      <w:r>
        <w:rPr>
          <w:sz w:val="20"/>
          <w:szCs w:val="20"/>
        </w:rPr>
        <w:t>.</w:t>
      </w:r>
    </w:p>
  </w:footnote>
  <w:footnote w:id="2">
    <w:p w:rsidR="00742A8F" w:rsidRDefault="00000000">
      <w:pPr>
        <w:spacing w:line="240" w:lineRule="auto"/>
        <w:rPr>
          <w:sz w:val="20"/>
          <w:szCs w:val="20"/>
        </w:rPr>
      </w:pPr>
      <w:r>
        <w:rPr>
          <w:vertAlign w:val="superscript"/>
        </w:rPr>
        <w:footnoteRef/>
      </w:r>
      <w:r>
        <w:rPr>
          <w:sz w:val="20"/>
          <w:szCs w:val="20"/>
        </w:rPr>
        <w:t xml:space="preserve"> Central Statistical Bureau of Kuwait (2022)</w:t>
      </w:r>
      <w:r w:rsidR="00171296">
        <w:rPr>
          <w:sz w:val="20"/>
          <w:szCs w:val="20"/>
        </w:rPr>
        <w:t xml:space="preserve">. </w:t>
      </w:r>
      <w:hyperlink r:id="rId2" w:history="1">
        <w:r w:rsidR="00171296" w:rsidRPr="00162EBE">
          <w:rPr>
            <w:rStyle w:val="Hyperlink"/>
            <w:sz w:val="20"/>
            <w:szCs w:val="20"/>
          </w:rPr>
          <w:t>https://www.csb.gov.kw/Pages/Statistics_en?ID=56&amp;ParentCatID=1</w:t>
        </w:r>
      </w:hyperlink>
      <w:r>
        <w:rPr>
          <w:sz w:val="20"/>
          <w:szCs w:val="20"/>
        </w:rPr>
        <w:t>.</w:t>
      </w:r>
    </w:p>
  </w:footnote>
  <w:footnote w:id="3">
    <w:p w:rsidR="00742A8F" w:rsidRDefault="00000000">
      <w:pPr>
        <w:spacing w:line="240" w:lineRule="auto"/>
        <w:rPr>
          <w:sz w:val="20"/>
          <w:szCs w:val="20"/>
        </w:rPr>
      </w:pPr>
      <w:r>
        <w:rPr>
          <w:vertAlign w:val="superscript"/>
        </w:rPr>
        <w:footnoteRef/>
      </w:r>
      <w:r>
        <w:rPr>
          <w:sz w:val="20"/>
          <w:szCs w:val="20"/>
        </w:rPr>
        <w:t xml:space="preserve"> Migrant-Rights.org (2020). </w:t>
      </w:r>
      <w:hyperlink r:id="rId3">
        <w:r>
          <w:rPr>
            <w:color w:val="1155CC"/>
            <w:sz w:val="20"/>
            <w:szCs w:val="20"/>
            <w:u w:val="single"/>
          </w:rPr>
          <w:t>https://www.migrant-rights.org/2022/04/kuwait-reports-high-number-of-undocumented-domestic-workers/</w:t>
        </w:r>
      </w:hyperlink>
    </w:p>
  </w:footnote>
  <w:footnote w:id="4">
    <w:p w:rsidR="00742A8F" w:rsidRDefault="00000000">
      <w:pPr>
        <w:spacing w:line="240" w:lineRule="auto"/>
        <w:rPr>
          <w:sz w:val="20"/>
          <w:szCs w:val="20"/>
        </w:rPr>
      </w:pPr>
      <w:r>
        <w:rPr>
          <w:vertAlign w:val="superscript"/>
        </w:rPr>
        <w:footnoteRef/>
      </w:r>
      <w:r>
        <w:rPr>
          <w:sz w:val="20"/>
          <w:szCs w:val="20"/>
        </w:rPr>
        <w:t xml:space="preserve"> Al Bahrani, N. (2023). </w:t>
      </w:r>
      <w:hyperlink r:id="rId4">
        <w:r>
          <w:rPr>
            <w:color w:val="1155CC"/>
            <w:sz w:val="20"/>
            <w:szCs w:val="20"/>
            <w:u w:val="single"/>
          </w:rPr>
          <w:t>https://blogs.lse.ac.uk/mec/2023/01/20/the-ongoing-fight-to-end-violence-against-women-in-kuwait/</w:t>
        </w:r>
      </w:hyperlink>
      <w:r>
        <w:rPr>
          <w:sz w:val="20"/>
          <w:szCs w:val="20"/>
        </w:rPr>
        <w:t>.</w:t>
      </w:r>
    </w:p>
  </w:footnote>
  <w:footnote w:id="5">
    <w:p w:rsidR="00742A8F" w:rsidRDefault="00000000">
      <w:pPr>
        <w:spacing w:line="240" w:lineRule="auto"/>
        <w:rPr>
          <w:sz w:val="20"/>
          <w:szCs w:val="20"/>
        </w:rPr>
      </w:pPr>
      <w:r>
        <w:rPr>
          <w:vertAlign w:val="superscript"/>
        </w:rPr>
        <w:footnoteRef/>
      </w:r>
      <w:r>
        <w:rPr>
          <w:sz w:val="20"/>
          <w:szCs w:val="20"/>
        </w:rPr>
        <w:t xml:space="preserve"> Al-Sulaiman, N. (2023)</w:t>
      </w:r>
      <w:r w:rsidR="00171296">
        <w:rPr>
          <w:sz w:val="20"/>
          <w:szCs w:val="20"/>
        </w:rPr>
        <w:t>.</w:t>
      </w:r>
      <w:r>
        <w:rPr>
          <w:sz w:val="20"/>
          <w:szCs w:val="20"/>
        </w:rPr>
        <w:t xml:space="preserve"> </w:t>
      </w:r>
      <w:hyperlink r:id="rId5">
        <w:r>
          <w:rPr>
            <w:color w:val="1155CC"/>
            <w:sz w:val="20"/>
            <w:szCs w:val="20"/>
            <w:u w:val="single"/>
          </w:rPr>
          <w:t>https://www.migrant-rights.org/2023/02/jullebee-ranaras-murder-is-a-failure-of-state-and-society/</w:t>
        </w:r>
      </w:hyperlink>
    </w:p>
  </w:footnote>
  <w:footnote w:id="6">
    <w:p w:rsidR="00742A8F" w:rsidRDefault="00000000">
      <w:pPr>
        <w:spacing w:line="240" w:lineRule="auto"/>
        <w:rPr>
          <w:sz w:val="20"/>
          <w:szCs w:val="20"/>
        </w:rPr>
      </w:pPr>
      <w:r>
        <w:rPr>
          <w:vertAlign w:val="superscript"/>
        </w:rPr>
        <w:footnoteRef/>
      </w:r>
      <w:r>
        <w:rPr>
          <w:sz w:val="20"/>
          <w:szCs w:val="20"/>
        </w:rPr>
        <w:t xml:space="preserve"> Also referred to as the Domestic Violence Law.</w:t>
      </w:r>
    </w:p>
  </w:footnote>
  <w:footnote w:id="7">
    <w:p w:rsidR="00742A8F" w:rsidRDefault="00000000">
      <w:pPr>
        <w:spacing w:line="240" w:lineRule="auto"/>
        <w:rPr>
          <w:sz w:val="20"/>
          <w:szCs w:val="20"/>
        </w:rPr>
      </w:pPr>
      <w:r>
        <w:rPr>
          <w:vertAlign w:val="superscript"/>
        </w:rPr>
        <w:footnoteRef/>
      </w:r>
      <w:r>
        <w:rPr>
          <w:sz w:val="20"/>
          <w:szCs w:val="20"/>
        </w:rPr>
        <w:t xml:space="preserve"> See Article 1(1) of Kuwait Family Protection Law No. 16/2020. </w:t>
      </w:r>
    </w:p>
  </w:footnote>
  <w:footnote w:id="8">
    <w:p w:rsidR="00742A8F" w:rsidRDefault="00000000">
      <w:pPr>
        <w:spacing w:line="240" w:lineRule="auto"/>
        <w:rPr>
          <w:sz w:val="20"/>
          <w:szCs w:val="20"/>
        </w:rPr>
      </w:pPr>
      <w:r>
        <w:rPr>
          <w:vertAlign w:val="superscript"/>
        </w:rPr>
        <w:footnoteRef/>
      </w:r>
      <w:r>
        <w:rPr>
          <w:sz w:val="20"/>
          <w:szCs w:val="20"/>
        </w:rPr>
        <w:t xml:space="preserve"> Saraswathi, V. (2020</w:t>
      </w:r>
      <w:r w:rsidR="00171296">
        <w:rPr>
          <w:sz w:val="20"/>
          <w:szCs w:val="20"/>
        </w:rPr>
        <w:t xml:space="preserve">). </w:t>
      </w:r>
      <w:hyperlink r:id="rId6">
        <w:r>
          <w:rPr>
            <w:color w:val="1155CC"/>
            <w:sz w:val="20"/>
            <w:szCs w:val="20"/>
            <w:u w:val="single"/>
          </w:rPr>
          <w:t>https://www.migrant-rights.org/2020/04/domestic-workers-bearing-the-brunt-of-invisibility-isolation-and-inequality/</w:t>
        </w:r>
      </w:hyperlink>
      <w:r>
        <w:rPr>
          <w:sz w:val="20"/>
          <w:szCs w:val="20"/>
        </w:rPr>
        <w:t xml:space="preserve">. </w:t>
      </w:r>
    </w:p>
  </w:footnote>
  <w:footnote w:id="9">
    <w:p w:rsidR="00742A8F" w:rsidRDefault="00000000">
      <w:pPr>
        <w:spacing w:line="240" w:lineRule="auto"/>
        <w:rPr>
          <w:rFonts w:ascii="Aptos" w:eastAsia="Aptos" w:hAnsi="Aptos" w:cs="Aptos"/>
          <w:sz w:val="20"/>
          <w:szCs w:val="20"/>
        </w:rPr>
      </w:pPr>
      <w:r>
        <w:rPr>
          <w:vertAlign w:val="superscript"/>
        </w:rPr>
        <w:footnoteRef/>
      </w:r>
      <w:r>
        <w:rPr>
          <w:rFonts w:ascii="Aptos" w:eastAsia="Aptos" w:hAnsi="Aptos" w:cs="Aptos"/>
          <w:sz w:val="20"/>
          <w:szCs w:val="20"/>
        </w:rPr>
        <w:t xml:space="preserve"> Saraswathi, V. (2024)</w:t>
      </w:r>
      <w:r w:rsidR="00171296">
        <w:rPr>
          <w:rFonts w:ascii="Aptos" w:eastAsia="Aptos" w:hAnsi="Aptos" w:cs="Aptos"/>
          <w:sz w:val="20"/>
          <w:szCs w:val="20"/>
        </w:rPr>
        <w:t>.</w:t>
      </w:r>
      <w:r>
        <w:rPr>
          <w:rFonts w:ascii="Aptos" w:eastAsia="Aptos" w:hAnsi="Aptos" w:cs="Aptos"/>
          <w:sz w:val="20"/>
          <w:szCs w:val="20"/>
        </w:rPr>
        <w:t xml:space="preserve"> </w:t>
      </w:r>
      <w:hyperlink r:id="rId7">
        <w:r>
          <w:rPr>
            <w:rFonts w:ascii="Aptos" w:eastAsia="Aptos" w:hAnsi="Aptos" w:cs="Aptos"/>
            <w:color w:val="1155CC"/>
            <w:sz w:val="20"/>
            <w:szCs w:val="20"/>
            <w:u w:val="single"/>
          </w:rPr>
          <w:t xml:space="preserve">https://www.migrant-rights.org/2024/03/bangladeshi-women-sought-after-but-stigmatised/.  </w:t>
        </w:r>
      </w:hyperlink>
    </w:p>
  </w:footnote>
  <w:footnote w:id="10">
    <w:p w:rsidR="00742A8F" w:rsidRDefault="00000000">
      <w:pPr>
        <w:spacing w:line="240" w:lineRule="auto"/>
        <w:rPr>
          <w:sz w:val="20"/>
          <w:szCs w:val="20"/>
        </w:rPr>
      </w:pPr>
      <w:r>
        <w:rPr>
          <w:vertAlign w:val="superscript"/>
        </w:rPr>
        <w:footnoteRef/>
      </w:r>
      <w:r>
        <w:rPr>
          <w:sz w:val="20"/>
          <w:szCs w:val="20"/>
        </w:rPr>
        <w:t xml:space="preserve"> Arabian Business (2023</w:t>
      </w:r>
      <w:r w:rsidR="00171296">
        <w:rPr>
          <w:sz w:val="20"/>
          <w:szCs w:val="20"/>
        </w:rPr>
        <w:t xml:space="preserve">). </w:t>
      </w:r>
      <w:hyperlink r:id="rId8" w:history="1">
        <w:r w:rsidR="00171296" w:rsidRPr="00162EBE">
          <w:rPr>
            <w:rStyle w:val="Hyperlink"/>
            <w:sz w:val="20"/>
            <w:szCs w:val="20"/>
          </w:rPr>
          <w:t>https://www.arabianbusiness.com/jobs/kuwait-citizen-and-expat-salaries-revealed-who-earns-an-average-of-6277-per-month</w:t>
        </w:r>
      </w:hyperlink>
      <w:r>
        <w:rPr>
          <w:sz w:val="20"/>
          <w:szCs w:val="20"/>
        </w:rPr>
        <w:t xml:space="preserve">. </w:t>
      </w:r>
    </w:p>
  </w:footnote>
  <w:footnote w:id="11">
    <w:p w:rsidR="00742A8F" w:rsidRDefault="00000000">
      <w:pPr>
        <w:spacing w:line="240" w:lineRule="auto"/>
        <w:rPr>
          <w:sz w:val="20"/>
          <w:szCs w:val="20"/>
        </w:rPr>
      </w:pPr>
      <w:r>
        <w:rPr>
          <w:vertAlign w:val="superscript"/>
        </w:rPr>
        <w:footnoteRef/>
      </w:r>
      <w:r>
        <w:rPr>
          <w:sz w:val="20"/>
          <w:szCs w:val="20"/>
        </w:rPr>
        <w:t xml:space="preserve"> Migrant-Rights.org (2021). </w:t>
      </w:r>
      <w:hyperlink r:id="rId9">
        <w:r>
          <w:rPr>
            <w:color w:val="1155CC"/>
            <w:sz w:val="20"/>
            <w:szCs w:val="20"/>
            <w:u w:val="single"/>
          </w:rPr>
          <w:t>https://www.migrant-rights.org/2021/10/non-kuwaiti-government-employees-not-paid-end-of-service-benefits/</w:t>
        </w:r>
      </w:hyperlink>
      <w:r>
        <w:rPr>
          <w:sz w:val="20"/>
          <w:szCs w:val="20"/>
        </w:rPr>
        <w:t>.</w:t>
      </w:r>
    </w:p>
  </w:footnote>
  <w:footnote w:id="12">
    <w:p w:rsidR="00742A8F" w:rsidRDefault="00000000">
      <w:pPr>
        <w:spacing w:line="240" w:lineRule="auto"/>
        <w:rPr>
          <w:sz w:val="20"/>
          <w:szCs w:val="20"/>
        </w:rPr>
      </w:pPr>
      <w:r>
        <w:rPr>
          <w:vertAlign w:val="superscript"/>
        </w:rPr>
        <w:footnoteRef/>
      </w:r>
      <w:r>
        <w:rPr>
          <w:sz w:val="20"/>
          <w:szCs w:val="20"/>
        </w:rPr>
        <w:t xml:space="preserve"> AlSammak, Z. (2022)</w:t>
      </w:r>
      <w:r w:rsidR="00171296">
        <w:rPr>
          <w:sz w:val="20"/>
          <w:szCs w:val="20"/>
        </w:rPr>
        <w:t>.</w:t>
      </w:r>
      <w:r>
        <w:rPr>
          <w:sz w:val="20"/>
          <w:szCs w:val="20"/>
        </w:rPr>
        <w:t xml:space="preserve"> </w:t>
      </w:r>
      <w:hyperlink r:id="rId10">
        <w:r>
          <w:rPr>
            <w:color w:val="1155CC"/>
            <w:sz w:val="20"/>
            <w:szCs w:val="20"/>
            <w:u w:val="single"/>
          </w:rPr>
          <w:t>https://www.migrant-rights.org/2022/02/hundreds-of-kuwaits-public-sector-workers-still-owed-payment/</w:t>
        </w:r>
      </w:hyperlink>
      <w:r>
        <w:rPr>
          <w:sz w:val="20"/>
          <w:szCs w:val="20"/>
        </w:rPr>
        <w:t xml:space="preserve">. </w:t>
      </w:r>
    </w:p>
  </w:footnote>
  <w:footnote w:id="13">
    <w:p w:rsidR="00742A8F" w:rsidRDefault="00000000">
      <w:pPr>
        <w:spacing w:line="240" w:lineRule="auto"/>
        <w:rPr>
          <w:sz w:val="20"/>
          <w:szCs w:val="20"/>
        </w:rPr>
      </w:pPr>
      <w:r>
        <w:rPr>
          <w:vertAlign w:val="superscript"/>
        </w:rPr>
        <w:footnoteRef/>
      </w:r>
      <w:r>
        <w:rPr>
          <w:sz w:val="20"/>
          <w:szCs w:val="20"/>
        </w:rPr>
        <w:t xml:space="preserve"> Shahrokni, N. and Sofos, S. (2022)</w:t>
      </w:r>
      <w:r w:rsidR="00171296">
        <w:rPr>
          <w:sz w:val="20"/>
          <w:szCs w:val="20"/>
        </w:rPr>
        <w:t>.</w:t>
      </w:r>
      <w:r>
        <w:rPr>
          <w:sz w:val="20"/>
          <w:szCs w:val="20"/>
        </w:rPr>
        <w:t xml:space="preserve"> </w:t>
      </w:r>
      <w:hyperlink r:id="rId11">
        <w:r>
          <w:rPr>
            <w:color w:val="1155CC"/>
            <w:sz w:val="20"/>
            <w:szCs w:val="20"/>
            <w:u w:val="single"/>
          </w:rPr>
          <w:t>https://blogs.lse.ac.uk/mec/2022/04/05/kuwait-city-and-its-fragments/</w:t>
        </w:r>
      </w:hyperlink>
      <w:r>
        <w:rPr>
          <w:sz w:val="20"/>
          <w:szCs w:val="20"/>
        </w:rPr>
        <w:t xml:space="preserve">. </w:t>
      </w:r>
    </w:p>
  </w:footnote>
  <w:footnote w:id="14">
    <w:p w:rsidR="00742A8F" w:rsidRDefault="00000000">
      <w:pPr>
        <w:spacing w:line="240" w:lineRule="auto"/>
        <w:rPr>
          <w:sz w:val="20"/>
          <w:szCs w:val="20"/>
        </w:rPr>
      </w:pPr>
      <w:r>
        <w:rPr>
          <w:vertAlign w:val="superscript"/>
        </w:rPr>
        <w:footnoteRef/>
      </w:r>
      <w:r>
        <w:rPr>
          <w:sz w:val="20"/>
          <w:szCs w:val="20"/>
        </w:rPr>
        <w:t xml:space="preserve"> United States State Department (2023)</w:t>
      </w:r>
      <w:r w:rsidR="00171296">
        <w:rPr>
          <w:sz w:val="20"/>
          <w:szCs w:val="20"/>
        </w:rPr>
        <w:t xml:space="preserve">. </w:t>
      </w:r>
      <w:r>
        <w:rPr>
          <w:sz w:val="20"/>
          <w:szCs w:val="20"/>
        </w:rPr>
        <w:t xml:space="preserve"> </w:t>
      </w:r>
      <w:hyperlink r:id="rId12">
        <w:r>
          <w:rPr>
            <w:color w:val="1155CC"/>
            <w:sz w:val="20"/>
            <w:szCs w:val="20"/>
            <w:u w:val="single"/>
          </w:rPr>
          <w:t>https://www.state.gov/reports/2023-trafficking-in-persons-report/kuwait/</w:t>
        </w:r>
      </w:hyperlink>
      <w:r>
        <w:rPr>
          <w:sz w:val="20"/>
          <w:szCs w:val="20"/>
        </w:rPr>
        <w:t xml:space="preserve">. </w:t>
      </w:r>
    </w:p>
  </w:footnote>
  <w:footnote w:id="15">
    <w:p w:rsidR="00742A8F" w:rsidRDefault="00000000">
      <w:pPr>
        <w:spacing w:line="240" w:lineRule="auto"/>
        <w:rPr>
          <w:sz w:val="20"/>
          <w:szCs w:val="20"/>
        </w:rPr>
      </w:pPr>
      <w:r>
        <w:rPr>
          <w:vertAlign w:val="superscript"/>
        </w:rPr>
        <w:footnoteRef/>
      </w:r>
      <w:r>
        <w:rPr>
          <w:sz w:val="20"/>
          <w:szCs w:val="20"/>
        </w:rPr>
        <w:t xml:space="preserve"> Arab Times (2021.) </w:t>
      </w:r>
      <w:hyperlink r:id="rId13">
        <w:r>
          <w:rPr>
            <w:color w:val="1155CC"/>
            <w:sz w:val="20"/>
            <w:szCs w:val="20"/>
            <w:u w:val="single"/>
          </w:rPr>
          <w:t>https://www.arabtimesonline.com/news/fake-domestic-labour-offices-exploiting-current-situation-in-kuwait/</w:t>
        </w:r>
      </w:hyperlink>
      <w:r>
        <w:rPr>
          <w:sz w:val="20"/>
          <w:szCs w:val="20"/>
        </w:rPr>
        <w:t xml:space="preserve">. </w:t>
      </w:r>
    </w:p>
  </w:footnote>
  <w:footnote w:id="16">
    <w:p w:rsidR="00742A8F" w:rsidRDefault="00000000">
      <w:pPr>
        <w:spacing w:line="240" w:lineRule="auto"/>
        <w:rPr>
          <w:sz w:val="20"/>
          <w:szCs w:val="20"/>
        </w:rPr>
      </w:pPr>
      <w:r>
        <w:rPr>
          <w:vertAlign w:val="superscript"/>
        </w:rPr>
        <w:footnoteRef/>
      </w:r>
      <w:r>
        <w:rPr>
          <w:sz w:val="20"/>
          <w:szCs w:val="20"/>
        </w:rPr>
        <w:t xml:space="preserve"> US State Department ibid, n22. </w:t>
      </w:r>
    </w:p>
  </w:footnote>
  <w:footnote w:id="17">
    <w:p w:rsidR="00742A8F" w:rsidRDefault="00000000">
      <w:pPr>
        <w:spacing w:line="240" w:lineRule="auto"/>
        <w:rPr>
          <w:sz w:val="20"/>
          <w:szCs w:val="20"/>
        </w:rPr>
      </w:pPr>
      <w:r>
        <w:rPr>
          <w:vertAlign w:val="superscript"/>
        </w:rPr>
        <w:footnoteRef/>
      </w:r>
      <w:r>
        <w:rPr>
          <w:sz w:val="20"/>
          <w:szCs w:val="20"/>
        </w:rPr>
        <w:t xml:space="preserve"> Gulf News (2024). </w:t>
      </w:r>
      <w:hyperlink r:id="rId14">
        <w:r>
          <w:rPr>
            <w:color w:val="1155CC"/>
            <w:sz w:val="20"/>
            <w:szCs w:val="20"/>
            <w:u w:val="single"/>
          </w:rPr>
          <w:t>https://gulfnews.com/world/gulf/kuwait/kuwait-records-highest-expatriate-deportations-in-2023-for-law-violations-1.1704535927514</w:t>
        </w:r>
      </w:hyperlink>
      <w:r>
        <w:rPr>
          <w:sz w:val="20"/>
          <w:szCs w:val="20"/>
        </w:rPr>
        <w:t xml:space="preserve">. </w:t>
      </w:r>
    </w:p>
  </w:footnote>
  <w:footnote w:id="18">
    <w:p w:rsidR="00742A8F" w:rsidRDefault="00000000">
      <w:pPr>
        <w:spacing w:line="240" w:lineRule="auto"/>
        <w:rPr>
          <w:sz w:val="20"/>
          <w:szCs w:val="20"/>
        </w:rPr>
      </w:pPr>
      <w:r>
        <w:rPr>
          <w:vertAlign w:val="superscript"/>
        </w:rPr>
        <w:footnoteRef/>
      </w:r>
      <w:r>
        <w:rPr>
          <w:sz w:val="20"/>
          <w:szCs w:val="20"/>
        </w:rPr>
        <w:t xml:space="preserve"> ibid. </w:t>
      </w:r>
    </w:p>
  </w:footnote>
  <w:footnote w:id="19">
    <w:p w:rsidR="00742A8F" w:rsidRDefault="00000000">
      <w:pPr>
        <w:spacing w:line="240" w:lineRule="auto"/>
        <w:rPr>
          <w:sz w:val="20"/>
          <w:szCs w:val="20"/>
        </w:rPr>
      </w:pPr>
      <w:r>
        <w:rPr>
          <w:vertAlign w:val="superscript"/>
        </w:rPr>
        <w:footnoteRef/>
      </w:r>
      <w:r>
        <w:rPr>
          <w:sz w:val="20"/>
          <w:szCs w:val="20"/>
        </w:rPr>
        <w:t xml:space="preserve"> Al-Shatti, A. (2022</w:t>
      </w:r>
      <w:r w:rsidR="00171296">
        <w:rPr>
          <w:sz w:val="20"/>
          <w:szCs w:val="20"/>
        </w:rPr>
        <w:t xml:space="preserve">) </w:t>
      </w:r>
      <w:hyperlink r:id="rId15" w:anchor=":~:text=08%3A12%20PM-,Administrative%20deportation,sole%20discretion%20of%20the%20administration.">
        <w:r>
          <w:rPr>
            <w:color w:val="1155CC"/>
            <w:sz w:val="20"/>
            <w:szCs w:val="20"/>
            <w:u w:val="single"/>
          </w:rPr>
          <w:t>https://kuwaittimes.com/administrative-deportation/#:~:text=08%3A12%20PM-,Administrative%20deportation,sole%20discretion%20of%20the%20administration.</w:t>
        </w:r>
      </w:hyperlink>
      <w:r>
        <w:rPr>
          <w:sz w:val="20"/>
          <w:szCs w:val="20"/>
        </w:rPr>
        <w:t>.</w:t>
      </w:r>
    </w:p>
  </w:footnote>
  <w:footnote w:id="20">
    <w:p w:rsidR="00742A8F" w:rsidRDefault="00000000">
      <w:pPr>
        <w:spacing w:line="240" w:lineRule="auto"/>
        <w:rPr>
          <w:sz w:val="20"/>
          <w:szCs w:val="20"/>
        </w:rPr>
      </w:pPr>
      <w:r>
        <w:rPr>
          <w:vertAlign w:val="superscript"/>
        </w:rPr>
        <w:footnoteRef/>
      </w:r>
      <w:r>
        <w:rPr>
          <w:sz w:val="20"/>
          <w:szCs w:val="20"/>
        </w:rPr>
        <w:t xml:space="preserve"> Charges filed by employers against workers who absent themselves from work. Receiving countries in the Gulf maintain the practice, recently developing methods of making filing cases easier for employers through digitalisation efforts, without recognising reasons behind absences or the persistent misuse of absconding charges by employers. See Saraswati, V. (2020)</w:t>
      </w:r>
      <w:r w:rsidR="00171296">
        <w:rPr>
          <w:sz w:val="20"/>
          <w:szCs w:val="20"/>
        </w:rPr>
        <w:t>.</w:t>
      </w:r>
      <w:r>
        <w:rPr>
          <w:sz w:val="20"/>
          <w:szCs w:val="20"/>
        </w:rPr>
        <w:t xml:space="preserve"> </w:t>
      </w:r>
      <w:hyperlink r:id="rId16">
        <w:r>
          <w:rPr>
            <w:color w:val="1155CC"/>
            <w:sz w:val="20"/>
            <w:szCs w:val="20"/>
            <w:u w:val="single"/>
          </w:rPr>
          <w:t>https://www.migrant-rights.org/2020/09/huroob-runaway-absconding-trapping-migrants-in-extreme-abuse/</w:t>
        </w:r>
      </w:hyperlink>
      <w:r>
        <w:rPr>
          <w:sz w:val="20"/>
          <w:szCs w:val="20"/>
        </w:rPr>
        <w:t xml:space="preserve">. </w:t>
      </w:r>
    </w:p>
  </w:footnote>
  <w:footnote w:id="21">
    <w:p w:rsidR="00742A8F" w:rsidRDefault="00000000">
      <w:pPr>
        <w:spacing w:line="240" w:lineRule="auto"/>
        <w:rPr>
          <w:sz w:val="20"/>
          <w:szCs w:val="20"/>
        </w:rPr>
      </w:pPr>
      <w:r>
        <w:rPr>
          <w:vertAlign w:val="superscript"/>
        </w:rPr>
        <w:footnoteRef/>
      </w:r>
      <w:r>
        <w:rPr>
          <w:sz w:val="20"/>
          <w:szCs w:val="20"/>
        </w:rPr>
        <w:t xml:space="preserve"> United States State Department (2023)</w:t>
      </w:r>
      <w:r w:rsidR="00171296">
        <w:rPr>
          <w:sz w:val="20"/>
          <w:szCs w:val="20"/>
        </w:rPr>
        <w:t>.</w:t>
      </w:r>
      <w:r>
        <w:rPr>
          <w:sz w:val="20"/>
          <w:szCs w:val="20"/>
        </w:rPr>
        <w:t xml:space="preserve"> </w:t>
      </w:r>
      <w:hyperlink r:id="rId17">
        <w:r>
          <w:rPr>
            <w:color w:val="1155CC"/>
            <w:sz w:val="20"/>
            <w:szCs w:val="20"/>
            <w:u w:val="single"/>
          </w:rPr>
          <w:t>https://www.state.gov/reports/2023-trafficking-in-persons-report/kuwait/</w:t>
        </w:r>
      </w:hyperlink>
      <w:r>
        <w:rPr>
          <w:sz w:val="20"/>
          <w:szCs w:val="20"/>
        </w:rPr>
        <w:t xml:space="preserve">. </w:t>
      </w:r>
    </w:p>
  </w:footnote>
  <w:footnote w:id="22">
    <w:p w:rsidR="00742A8F" w:rsidRDefault="00000000">
      <w:pPr>
        <w:spacing w:line="240" w:lineRule="auto"/>
        <w:rPr>
          <w:sz w:val="20"/>
          <w:szCs w:val="20"/>
        </w:rPr>
      </w:pPr>
      <w:r>
        <w:rPr>
          <w:vertAlign w:val="superscript"/>
        </w:rPr>
        <w:footnoteRef/>
      </w:r>
      <w:r>
        <w:rPr>
          <w:sz w:val="20"/>
          <w:szCs w:val="20"/>
        </w:rPr>
        <w:t xml:space="preserve"> Arab Times (2023)</w:t>
      </w:r>
      <w:r w:rsidR="00171296">
        <w:rPr>
          <w:sz w:val="20"/>
          <w:szCs w:val="20"/>
        </w:rPr>
        <w:t xml:space="preserve">. </w:t>
      </w:r>
      <w:hyperlink r:id="rId18" w:history="1">
        <w:r w:rsidR="00171296" w:rsidRPr="00162EBE">
          <w:rPr>
            <w:rStyle w:val="Hyperlink"/>
            <w:sz w:val="20"/>
            <w:szCs w:val="20"/>
          </w:rPr>
          <w:t>https://www.arabtimesonline.com/news/500-Filipino-domestic-workers-staying-in-the-philippine-embassy/</w:t>
        </w:r>
      </w:hyperlink>
      <w:r>
        <w:rPr>
          <w:sz w:val="20"/>
          <w:szCs w:val="20"/>
        </w:rPr>
        <w:t xml:space="preserve"> </w:t>
      </w:r>
    </w:p>
  </w:footnote>
  <w:footnote w:id="23">
    <w:p w:rsidR="00742A8F" w:rsidRDefault="00000000">
      <w:pPr>
        <w:spacing w:line="240" w:lineRule="auto"/>
        <w:rPr>
          <w:sz w:val="20"/>
          <w:szCs w:val="20"/>
        </w:rPr>
      </w:pPr>
      <w:r>
        <w:rPr>
          <w:vertAlign w:val="superscript"/>
        </w:rPr>
        <w:footnoteRef/>
      </w:r>
      <w:r>
        <w:rPr>
          <w:sz w:val="20"/>
          <w:szCs w:val="20"/>
        </w:rPr>
        <w:t xml:space="preserve"> Arab Times (2023)</w:t>
      </w:r>
      <w:r w:rsidR="00171296">
        <w:rPr>
          <w:sz w:val="20"/>
          <w:szCs w:val="20"/>
        </w:rPr>
        <w:t>.</w:t>
      </w:r>
      <w:r>
        <w:rPr>
          <w:sz w:val="20"/>
          <w:szCs w:val="20"/>
        </w:rPr>
        <w:t xml:space="preserve"> </w:t>
      </w:r>
      <w:hyperlink r:id="rId19">
        <w:r>
          <w:rPr>
            <w:color w:val="1155CC"/>
            <w:sz w:val="20"/>
            <w:szCs w:val="20"/>
            <w:u w:val="single"/>
          </w:rPr>
          <w:t>https://www.arabtimesonline.com/news/philippine-embassys-shelter-house-in-kuwait-closed/</w:t>
        </w:r>
      </w:hyperlink>
      <w:r>
        <w:rPr>
          <w:sz w:val="20"/>
          <w:szCs w:val="20"/>
        </w:rPr>
        <w:t>.</w:t>
      </w:r>
    </w:p>
  </w:footnote>
  <w:footnote w:id="24">
    <w:p w:rsidR="00742A8F" w:rsidRDefault="00000000">
      <w:pPr>
        <w:spacing w:line="240" w:lineRule="auto"/>
        <w:rPr>
          <w:sz w:val="20"/>
          <w:szCs w:val="20"/>
        </w:rPr>
      </w:pPr>
      <w:r>
        <w:rPr>
          <w:vertAlign w:val="superscript"/>
        </w:rPr>
        <w:footnoteRef/>
      </w:r>
      <w:r>
        <w:rPr>
          <w:sz w:val="20"/>
          <w:szCs w:val="20"/>
        </w:rPr>
        <w:t xml:space="preserve"> United States State Department (2023)</w:t>
      </w:r>
      <w:r w:rsidR="00171296">
        <w:rPr>
          <w:sz w:val="20"/>
          <w:szCs w:val="20"/>
        </w:rPr>
        <w:t xml:space="preserve">. </w:t>
      </w:r>
      <w:hyperlink r:id="rId20">
        <w:r>
          <w:rPr>
            <w:color w:val="1155CC"/>
            <w:sz w:val="20"/>
            <w:szCs w:val="20"/>
            <w:u w:val="single"/>
          </w:rPr>
          <w:t>https://www.state.gov/reports/2023-trafficking-in-persons-report/kuwait/</w:t>
        </w:r>
      </w:hyperlink>
      <w:r>
        <w:rPr>
          <w:sz w:val="20"/>
          <w:szCs w:val="20"/>
        </w:rPr>
        <w:t xml:space="preserve">. </w:t>
      </w:r>
    </w:p>
  </w:footnote>
  <w:footnote w:id="25">
    <w:p w:rsidR="00742A8F" w:rsidRDefault="00000000">
      <w:pPr>
        <w:spacing w:line="240" w:lineRule="auto"/>
        <w:rPr>
          <w:sz w:val="20"/>
          <w:szCs w:val="20"/>
        </w:rPr>
      </w:pPr>
      <w:r>
        <w:rPr>
          <w:vertAlign w:val="superscript"/>
        </w:rPr>
        <w:footnoteRef/>
      </w:r>
      <w:r>
        <w:rPr>
          <w:sz w:val="20"/>
          <w:szCs w:val="20"/>
        </w:rPr>
        <w:t xml:space="preserve"> ibid. </w:t>
      </w:r>
    </w:p>
  </w:footnote>
  <w:footnote w:id="26">
    <w:p w:rsidR="00742A8F" w:rsidRDefault="00000000">
      <w:pPr>
        <w:spacing w:line="240" w:lineRule="auto"/>
        <w:rPr>
          <w:sz w:val="20"/>
          <w:szCs w:val="20"/>
        </w:rPr>
      </w:pPr>
      <w:r>
        <w:rPr>
          <w:vertAlign w:val="superscript"/>
        </w:rPr>
        <w:footnoteRef/>
      </w:r>
      <w:r>
        <w:rPr>
          <w:sz w:val="20"/>
          <w:szCs w:val="20"/>
        </w:rPr>
        <w:t xml:space="preserve"> ibid. </w:t>
      </w:r>
    </w:p>
  </w:footnote>
  <w:footnote w:id="27">
    <w:p w:rsidR="00742A8F" w:rsidRDefault="00000000">
      <w:pPr>
        <w:spacing w:line="240" w:lineRule="auto"/>
        <w:rPr>
          <w:sz w:val="20"/>
          <w:szCs w:val="20"/>
        </w:rPr>
      </w:pPr>
      <w:r>
        <w:rPr>
          <w:vertAlign w:val="superscript"/>
        </w:rPr>
        <w:footnoteRef/>
      </w:r>
      <w:r>
        <w:rPr>
          <w:sz w:val="20"/>
          <w:szCs w:val="20"/>
        </w:rPr>
        <w:t xml:space="preserve"> Arab Times (2023). </w:t>
      </w:r>
      <w:hyperlink r:id="rId21">
        <w:r>
          <w:rPr>
            <w:color w:val="1155CC"/>
            <w:sz w:val="20"/>
            <w:szCs w:val="20"/>
            <w:u w:val="single"/>
          </w:rPr>
          <w:t>https://www.arabtimesonline.com/news/prostitution-ring-busted-159-expats-nabbed-in-kuwaits-massive-crackdown/</w:t>
        </w:r>
      </w:hyperlink>
      <w:r>
        <w:rPr>
          <w:sz w:val="20"/>
          <w:szCs w:val="20"/>
        </w:rPr>
        <w:t xml:space="preserve">. </w:t>
      </w:r>
    </w:p>
  </w:footnote>
  <w:footnote w:id="28">
    <w:p w:rsidR="00742A8F" w:rsidRDefault="00000000">
      <w:pPr>
        <w:spacing w:line="240" w:lineRule="auto"/>
        <w:rPr>
          <w:sz w:val="20"/>
          <w:szCs w:val="20"/>
        </w:rPr>
      </w:pPr>
      <w:r>
        <w:rPr>
          <w:vertAlign w:val="superscript"/>
        </w:rPr>
        <w:footnoteRef/>
      </w:r>
      <w:r>
        <w:rPr>
          <w:sz w:val="20"/>
          <w:szCs w:val="20"/>
        </w:rPr>
        <w:t xml:space="preserve"> United States State Department (2023)</w:t>
      </w:r>
      <w:r w:rsidR="00171296">
        <w:rPr>
          <w:sz w:val="20"/>
          <w:szCs w:val="20"/>
        </w:rPr>
        <w:t xml:space="preserve">. </w:t>
      </w:r>
      <w:hyperlink r:id="rId22">
        <w:r>
          <w:rPr>
            <w:color w:val="1155CC"/>
            <w:sz w:val="20"/>
            <w:szCs w:val="20"/>
            <w:u w:val="single"/>
          </w:rPr>
          <w:t>https://www.state.gov/reports/2023-trafficking-in-persons-report/kuwait/</w:t>
        </w:r>
      </w:hyperlink>
      <w:r>
        <w:rPr>
          <w:sz w:val="20"/>
          <w:szCs w:val="20"/>
        </w:rPr>
        <w:t xml:space="preserve">. </w:t>
      </w:r>
    </w:p>
  </w:footnote>
  <w:footnote w:id="29">
    <w:p w:rsidR="00742A8F" w:rsidRDefault="00000000">
      <w:pPr>
        <w:spacing w:line="240" w:lineRule="auto"/>
        <w:rPr>
          <w:sz w:val="20"/>
          <w:szCs w:val="20"/>
        </w:rPr>
      </w:pPr>
      <w:r>
        <w:rPr>
          <w:vertAlign w:val="superscript"/>
        </w:rPr>
        <w:footnoteRef/>
      </w:r>
      <w:r>
        <w:rPr>
          <w:sz w:val="20"/>
          <w:szCs w:val="20"/>
        </w:rPr>
        <w:t xml:space="preserve"> Lee, S. (2024</w:t>
      </w:r>
      <w:r w:rsidR="00171296">
        <w:rPr>
          <w:sz w:val="20"/>
          <w:szCs w:val="20"/>
        </w:rPr>
        <w:t xml:space="preserve">). </w:t>
      </w:r>
      <w:hyperlink r:id="rId23">
        <w:r>
          <w:rPr>
            <w:color w:val="1155CC"/>
            <w:sz w:val="20"/>
            <w:szCs w:val="20"/>
            <w:u w:val="single"/>
          </w:rPr>
          <w:t>https://catalystmcgill.com/protecting-the-rights-of-migrant-domestic-workers-in-kuwait/</w:t>
        </w:r>
      </w:hyperlink>
      <w:r>
        <w:rPr>
          <w:sz w:val="20"/>
          <w:szCs w:val="20"/>
        </w:rPr>
        <w:t xml:space="preserve">. </w:t>
      </w:r>
    </w:p>
  </w:footnote>
  <w:footnote w:id="30">
    <w:p w:rsidR="00742A8F" w:rsidRDefault="00000000">
      <w:pPr>
        <w:spacing w:line="240" w:lineRule="auto"/>
        <w:rPr>
          <w:sz w:val="20"/>
          <w:szCs w:val="20"/>
        </w:rPr>
      </w:pPr>
      <w:r>
        <w:rPr>
          <w:vertAlign w:val="superscript"/>
        </w:rPr>
        <w:footnoteRef/>
      </w:r>
      <w:r>
        <w:rPr>
          <w:sz w:val="20"/>
          <w:szCs w:val="20"/>
        </w:rPr>
        <w:t xml:space="preserve"> Migrant-Rights.org</w:t>
      </w:r>
      <w:r w:rsidR="00171296">
        <w:rPr>
          <w:sz w:val="20"/>
          <w:szCs w:val="20"/>
        </w:rPr>
        <w:t xml:space="preserve"> </w:t>
      </w:r>
      <w:r>
        <w:rPr>
          <w:sz w:val="20"/>
          <w:szCs w:val="20"/>
        </w:rPr>
        <w:t xml:space="preserve">(2017). </w:t>
      </w:r>
      <w:hyperlink r:id="rId24" w:anchor=":~:text=A%20Kuwaiti%20physician%20who%20was,for%20torturing%20another%20domestic%20worker.">
        <w:r>
          <w:rPr>
            <w:color w:val="1155CC"/>
            <w:sz w:val="20"/>
            <w:szCs w:val="20"/>
            <w:u w:val="single"/>
          </w:rPr>
          <w:t>https://www.migrant-rights.org/2017/12/rosella-kuwait-torture/#:~:text=A%20Kuwaiti%20physician%20who%20was,for%20torturing%20another%20domestic%20worker.</w:t>
        </w:r>
      </w:hyperlink>
      <w:r>
        <w:rPr>
          <w:sz w:val="20"/>
          <w:szCs w:val="20"/>
        </w:rPr>
        <w:t xml:space="preserve">. </w:t>
      </w:r>
    </w:p>
  </w:footnote>
  <w:footnote w:id="31">
    <w:p w:rsidR="00742A8F" w:rsidRDefault="00000000">
      <w:pPr>
        <w:spacing w:line="240" w:lineRule="auto"/>
        <w:rPr>
          <w:sz w:val="20"/>
          <w:szCs w:val="20"/>
        </w:rPr>
      </w:pPr>
      <w:r>
        <w:rPr>
          <w:vertAlign w:val="superscript"/>
        </w:rPr>
        <w:footnoteRef/>
      </w:r>
      <w:r>
        <w:rPr>
          <w:sz w:val="20"/>
          <w:szCs w:val="20"/>
        </w:rPr>
        <w:t xml:space="preserve"> Arab Times (2023)</w:t>
      </w:r>
      <w:r w:rsidR="00171296">
        <w:rPr>
          <w:sz w:val="20"/>
          <w:szCs w:val="20"/>
        </w:rPr>
        <w:t>.</w:t>
      </w:r>
      <w:r>
        <w:rPr>
          <w:sz w:val="20"/>
          <w:szCs w:val="20"/>
        </w:rPr>
        <w:t xml:space="preserve"> </w:t>
      </w:r>
      <w:hyperlink r:id="rId25">
        <w:r>
          <w:rPr>
            <w:color w:val="1155CC"/>
            <w:sz w:val="20"/>
            <w:szCs w:val="20"/>
            <w:u w:val="single"/>
          </w:rPr>
          <w:t>https://www.arabtimesonline.com/news/philippines-stands-firm-on-suspension-of-domestic-workers-to-kuwait/</w:t>
        </w:r>
      </w:hyperlink>
      <w:r>
        <w:rPr>
          <w:sz w:val="20"/>
          <w:szCs w:val="20"/>
        </w:rPr>
        <w:t xml:space="preserve">. </w:t>
      </w:r>
    </w:p>
  </w:footnote>
  <w:footnote w:id="32">
    <w:p w:rsidR="00742A8F" w:rsidRDefault="00000000">
      <w:pPr>
        <w:spacing w:line="240" w:lineRule="auto"/>
        <w:rPr>
          <w:sz w:val="20"/>
          <w:szCs w:val="20"/>
        </w:rPr>
      </w:pPr>
      <w:r>
        <w:rPr>
          <w:vertAlign w:val="superscript"/>
        </w:rPr>
        <w:footnoteRef/>
      </w:r>
      <w:r>
        <w:rPr>
          <w:sz w:val="20"/>
          <w:szCs w:val="20"/>
        </w:rPr>
        <w:t xml:space="preserve"> Migrant-Rights.org</w:t>
      </w:r>
      <w:r w:rsidR="00171296">
        <w:rPr>
          <w:sz w:val="20"/>
          <w:szCs w:val="20"/>
        </w:rPr>
        <w:t xml:space="preserve"> </w:t>
      </w:r>
      <w:r>
        <w:rPr>
          <w:sz w:val="20"/>
          <w:szCs w:val="20"/>
        </w:rPr>
        <w:t>(2024</w:t>
      </w:r>
      <w:r w:rsidR="00171296">
        <w:rPr>
          <w:sz w:val="20"/>
          <w:szCs w:val="20"/>
        </w:rPr>
        <w:t xml:space="preserve">). </w:t>
      </w:r>
      <w:hyperlink r:id="rId26">
        <w:r>
          <w:rPr>
            <w:color w:val="1155CC"/>
            <w:sz w:val="20"/>
            <w:szCs w:val="20"/>
            <w:u w:val="single"/>
          </w:rPr>
          <w:t>https://www.migrant-rights.org/2024/02/kuwait-resumes-family-visa-applications-minimum-salary-threshold-and-qualifications-raised-after-hiatus/</w:t>
        </w:r>
      </w:hyperlink>
    </w:p>
  </w:footnote>
  <w:footnote w:id="33">
    <w:p w:rsidR="00742A8F" w:rsidRDefault="00000000">
      <w:pPr>
        <w:spacing w:line="240" w:lineRule="auto"/>
        <w:rPr>
          <w:sz w:val="20"/>
          <w:szCs w:val="20"/>
        </w:rPr>
      </w:pPr>
      <w:r>
        <w:rPr>
          <w:vertAlign w:val="superscript"/>
        </w:rPr>
        <w:footnoteRef/>
      </w:r>
      <w:r>
        <w:rPr>
          <w:sz w:val="20"/>
          <w:szCs w:val="20"/>
        </w:rPr>
        <w:t xml:space="preserve"> Arab Times (2024)</w:t>
      </w:r>
      <w:r w:rsidR="00171296">
        <w:rPr>
          <w:sz w:val="20"/>
          <w:szCs w:val="20"/>
        </w:rPr>
        <w:t xml:space="preserve">. </w:t>
      </w:r>
      <w:hyperlink r:id="rId27">
        <w:r>
          <w:rPr>
            <w:color w:val="1155CC"/>
            <w:sz w:val="20"/>
            <w:szCs w:val="20"/>
            <w:u w:val="single"/>
          </w:rPr>
          <w:t>https://www.arabtimesonline.com/news/here-is-what-you-need-to-know-females-can-also-sponsor-dependent-visa/</w:t>
        </w:r>
      </w:hyperlink>
    </w:p>
  </w:footnote>
  <w:footnote w:id="34">
    <w:p w:rsidR="00742A8F" w:rsidRDefault="00000000">
      <w:pPr>
        <w:spacing w:line="240" w:lineRule="auto"/>
        <w:rPr>
          <w:sz w:val="20"/>
          <w:szCs w:val="20"/>
        </w:rPr>
      </w:pPr>
      <w:r>
        <w:rPr>
          <w:vertAlign w:val="superscript"/>
        </w:rPr>
        <w:footnoteRef/>
      </w:r>
      <w:r>
        <w:rPr>
          <w:sz w:val="20"/>
          <w:szCs w:val="20"/>
        </w:rPr>
        <w:t xml:space="preserve"> Migrant-Rights.org (2023)</w:t>
      </w:r>
      <w:r w:rsidR="00171296">
        <w:rPr>
          <w:sz w:val="20"/>
          <w:szCs w:val="20"/>
        </w:rPr>
        <w:t xml:space="preserve">. </w:t>
      </w:r>
      <w:hyperlink r:id="rId28">
        <w:r>
          <w:rPr>
            <w:color w:val="1155CC"/>
            <w:sz w:val="20"/>
            <w:szCs w:val="20"/>
            <w:u w:val="single"/>
          </w:rPr>
          <w:t>https://www.migrant-rights.org/2023/02/the-cost-of-good-health-for-kuwaits-migrant-workers/</w:t>
        </w:r>
      </w:hyperlink>
    </w:p>
  </w:footnote>
  <w:footnote w:id="35">
    <w:p w:rsidR="00742A8F" w:rsidRDefault="00000000">
      <w:pPr>
        <w:spacing w:line="240" w:lineRule="auto"/>
        <w:rPr>
          <w:sz w:val="20"/>
          <w:szCs w:val="20"/>
        </w:rPr>
      </w:pPr>
      <w:r>
        <w:rPr>
          <w:vertAlign w:val="superscript"/>
        </w:rPr>
        <w:footnoteRef/>
      </w:r>
      <w:r>
        <w:rPr>
          <w:sz w:val="20"/>
          <w:szCs w:val="20"/>
        </w:rPr>
        <w:t xml:space="preserve"> Arab Times (2023)</w:t>
      </w:r>
      <w:r w:rsidR="00171296">
        <w:rPr>
          <w:sz w:val="20"/>
          <w:szCs w:val="20"/>
        </w:rPr>
        <w:t xml:space="preserve">. </w:t>
      </w:r>
      <w:hyperlink r:id="rId29">
        <w:r>
          <w:rPr>
            <w:color w:val="1155CC"/>
            <w:sz w:val="20"/>
            <w:szCs w:val="20"/>
            <w:u w:val="single"/>
          </w:rPr>
          <w:t>https://www.arabtimesonline.com/news/new-decision-requires-pharmacies-to-restrict-payments-to-prevent-money-laundering/</w:t>
        </w:r>
      </w:hyperlink>
      <w:r>
        <w:rPr>
          <w:sz w:val="20"/>
          <w:szCs w:val="20"/>
        </w:rPr>
        <w:t xml:space="preserve">. </w:t>
      </w:r>
    </w:p>
  </w:footnote>
  <w:footnote w:id="36">
    <w:p w:rsidR="00742A8F" w:rsidRDefault="00000000">
      <w:pPr>
        <w:spacing w:line="240" w:lineRule="auto"/>
        <w:rPr>
          <w:sz w:val="20"/>
          <w:szCs w:val="20"/>
        </w:rPr>
      </w:pPr>
      <w:r>
        <w:rPr>
          <w:vertAlign w:val="superscript"/>
        </w:rPr>
        <w:footnoteRef/>
      </w:r>
      <w:r>
        <w:rPr>
          <w:sz w:val="20"/>
          <w:szCs w:val="20"/>
        </w:rPr>
        <w:t xml:space="preserve"> Migrant-Rights.org (2019)</w:t>
      </w:r>
      <w:r w:rsidR="00171296">
        <w:rPr>
          <w:sz w:val="20"/>
          <w:szCs w:val="20"/>
        </w:rPr>
        <w:t xml:space="preserve">. </w:t>
      </w:r>
      <w:hyperlink r:id="rId30">
        <w:r>
          <w:rPr>
            <w:color w:val="1155CC"/>
            <w:sz w:val="20"/>
            <w:szCs w:val="20"/>
            <w:u w:val="single"/>
          </w:rPr>
          <w:t>https://www.migrant-rights.org/2019/10/kuwait-doubles-maternity-fees-for-migrant-women/</w:t>
        </w:r>
      </w:hyperlink>
      <w:r>
        <w:rPr>
          <w:sz w:val="20"/>
          <w:szCs w:val="20"/>
        </w:rPr>
        <w:t xml:space="preserve">. </w:t>
      </w:r>
    </w:p>
  </w:footnote>
  <w:footnote w:id="37">
    <w:p w:rsidR="00742A8F" w:rsidRDefault="00000000">
      <w:pPr>
        <w:spacing w:line="240" w:lineRule="auto"/>
        <w:rPr>
          <w:sz w:val="20"/>
          <w:szCs w:val="20"/>
        </w:rPr>
      </w:pPr>
      <w:r>
        <w:rPr>
          <w:vertAlign w:val="superscript"/>
        </w:rPr>
        <w:footnoteRef/>
      </w:r>
      <w:r>
        <w:rPr>
          <w:sz w:val="20"/>
          <w:szCs w:val="20"/>
        </w:rPr>
        <w:t xml:space="preserve"> Alawadhi, R. </w:t>
      </w:r>
      <w:hyperlink r:id="rId31">
        <w:r>
          <w:rPr>
            <w:color w:val="1155CC"/>
            <w:sz w:val="20"/>
            <w:szCs w:val="20"/>
            <w:u w:val="single"/>
          </w:rPr>
          <w:t>https://gulfif.org/the-barriers-facing-gynecological-and-reproductive-health-services-for-women-in-the-gulf/</w:t>
        </w:r>
      </w:hyperlink>
      <w:r>
        <w:rPr>
          <w:sz w:val="20"/>
          <w:szCs w:val="20"/>
        </w:rPr>
        <w:t xml:space="preserve">. </w:t>
      </w:r>
    </w:p>
  </w:footnote>
  <w:footnote w:id="38">
    <w:p w:rsidR="00742A8F" w:rsidRDefault="00000000">
      <w:pPr>
        <w:spacing w:line="240" w:lineRule="auto"/>
        <w:rPr>
          <w:sz w:val="20"/>
          <w:szCs w:val="20"/>
        </w:rPr>
      </w:pPr>
      <w:r>
        <w:rPr>
          <w:vertAlign w:val="superscript"/>
        </w:rPr>
        <w:footnoteRef/>
      </w:r>
      <w:r>
        <w:rPr>
          <w:sz w:val="20"/>
          <w:szCs w:val="20"/>
        </w:rPr>
        <w:t xml:space="preserve"> Kuwait has different residency and work visa tiers. The majority of migrant workers in Kuwait fall under either domestic workers Visa-20, or private sector workers, Visa-18. </w:t>
      </w:r>
    </w:p>
  </w:footnote>
  <w:footnote w:id="39">
    <w:p w:rsidR="00742A8F" w:rsidRDefault="00000000">
      <w:pPr>
        <w:spacing w:line="240" w:lineRule="auto"/>
        <w:rPr>
          <w:sz w:val="20"/>
          <w:szCs w:val="20"/>
        </w:rPr>
      </w:pPr>
      <w:r>
        <w:rPr>
          <w:vertAlign w:val="superscript"/>
        </w:rPr>
        <w:footnoteRef/>
      </w:r>
      <w:r>
        <w:rPr>
          <w:sz w:val="20"/>
          <w:szCs w:val="20"/>
        </w:rPr>
        <w:t xml:space="preserve"> Bloomberg (202</w:t>
      </w:r>
      <w:r w:rsidR="00171296">
        <w:rPr>
          <w:sz w:val="20"/>
          <w:szCs w:val="20"/>
        </w:rPr>
        <w:t>).</w:t>
      </w:r>
      <w:r>
        <w:rPr>
          <w:sz w:val="20"/>
          <w:szCs w:val="20"/>
        </w:rPr>
        <w:t xml:space="preserve"> </w:t>
      </w:r>
      <w:hyperlink r:id="rId32">
        <w:r>
          <w:rPr>
            <w:color w:val="1155CC"/>
            <w:sz w:val="20"/>
            <w:szCs w:val="20"/>
            <w:u w:val="single"/>
          </w:rPr>
          <w:t>https://www.bloomberg.com/news/articles/2021-02-18/kuwait-puts-citizens-before-expat s-as-vaccine-push-stirs-anger?leadSource=uverify+wall#xj4y7vzkg</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F60E1"/>
    <w:multiLevelType w:val="multilevel"/>
    <w:tmpl w:val="CE9CF15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 w15:restartNumberingAfterBreak="0">
    <w:nsid w:val="32634903"/>
    <w:multiLevelType w:val="multilevel"/>
    <w:tmpl w:val="99780D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D534D46"/>
    <w:multiLevelType w:val="multilevel"/>
    <w:tmpl w:val="70B0B37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4BDE5556"/>
    <w:multiLevelType w:val="multilevel"/>
    <w:tmpl w:val="1F6843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34C5E54"/>
    <w:multiLevelType w:val="multilevel"/>
    <w:tmpl w:val="1E3C34B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073627878">
    <w:abstractNumId w:val="2"/>
  </w:num>
  <w:num w:numId="2" w16cid:durableId="981957618">
    <w:abstractNumId w:val="4"/>
  </w:num>
  <w:num w:numId="3" w16cid:durableId="275141242">
    <w:abstractNumId w:val="1"/>
  </w:num>
  <w:num w:numId="4" w16cid:durableId="434984162">
    <w:abstractNumId w:val="0"/>
  </w:num>
  <w:num w:numId="5" w16cid:durableId="9044887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2A8F"/>
    <w:rsid w:val="00171296"/>
    <w:rsid w:val="004E21F0"/>
    <w:rsid w:val="0052067B"/>
    <w:rsid w:val="006C6B13"/>
    <w:rsid w:val="00742A8F"/>
    <w:rsid w:val="007C2B50"/>
    <w:rsid w:val="00D06D36"/>
    <w:rsid w:val="00DD6CAB"/>
    <w:rsid w:val="00E35BB3"/>
    <w:rsid w:val="00EC19AD"/>
    <w:rsid w:val="00F011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docId w15:val="{13E3E6BF-EC5F-4649-A5A5-0B25B91B0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171296"/>
    <w:rPr>
      <w:color w:val="0000FF" w:themeColor="hyperlink"/>
      <w:u w:val="single"/>
    </w:rPr>
  </w:style>
  <w:style w:type="character" w:styleId="UnresolvedMention">
    <w:name w:val="Unresolved Mention"/>
    <w:basedOn w:val="DefaultParagraphFont"/>
    <w:uiPriority w:val="99"/>
    <w:semiHidden/>
    <w:unhideWhenUsed/>
    <w:rsid w:val="001712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arabianbusiness.com/jobs/kuwait-citizen-and-expat-salaries-revealed-who-earns-an-average-of-6277-per-month" TargetMode="External"/><Relationship Id="rId13" Type="http://schemas.openxmlformats.org/officeDocument/2006/relationships/hyperlink" Target="https://www.arabtimesonline.com/news/fake-domestic-labor-offices-exploiting-current-situation-in-kuwait/" TargetMode="External"/><Relationship Id="rId18" Type="http://schemas.openxmlformats.org/officeDocument/2006/relationships/hyperlink" Target="https://www.arabtimesonline.com/news/500-Filipino-domestic-workers-staying-in-the-philippine-embassy/" TargetMode="External"/><Relationship Id="rId26" Type="http://schemas.openxmlformats.org/officeDocument/2006/relationships/hyperlink" Target="https://www.migrant-rights.org/2024/02/kuwait-resumes-family-visa-applications-minimum-salary-threshold-and-qualifications-raised-after-hiatus/" TargetMode="External"/><Relationship Id="rId3" Type="http://schemas.openxmlformats.org/officeDocument/2006/relationships/hyperlink" Target="https://www.migrant-rights.org/2022/04/kuwait-reports-high-number-of-undocumented-domestic-workers/" TargetMode="External"/><Relationship Id="rId21" Type="http://schemas.openxmlformats.org/officeDocument/2006/relationships/hyperlink" Target="https://www.arabtimesonline.com/news/prostitution-ring-busted-159-expats-nabbed-in-kuwaits-massive-crackdown/" TargetMode="External"/><Relationship Id="rId7" Type="http://schemas.openxmlformats.org/officeDocument/2006/relationships/hyperlink" Target="https://www.migrant-rights.org/2024/03/bangladeshi-women-sought-after-but-stigmatised/" TargetMode="External"/><Relationship Id="rId12" Type="http://schemas.openxmlformats.org/officeDocument/2006/relationships/hyperlink" Target="https://www.state.gov/reports/2023-trafficking-in-persons-report/kuwait/" TargetMode="External"/><Relationship Id="rId17" Type="http://schemas.openxmlformats.org/officeDocument/2006/relationships/hyperlink" Target="https://www.state.gov/reports/2023-trafficking-in-persons-report/kuwait/" TargetMode="External"/><Relationship Id="rId25" Type="http://schemas.openxmlformats.org/officeDocument/2006/relationships/hyperlink" Target="https://www.arabtimesonline.com/news/philippines-stands-firm-on-suspension-of-domestic-workers-to-kuwait/" TargetMode="External"/><Relationship Id="rId2" Type="http://schemas.openxmlformats.org/officeDocument/2006/relationships/hyperlink" Target="https://www.csb.gov.kw/Pages/Statistics_en?ID=56&amp;ParentCatID=1" TargetMode="External"/><Relationship Id="rId16" Type="http://schemas.openxmlformats.org/officeDocument/2006/relationships/hyperlink" Target="https://www.migrant-rights.org/2020/09/huroob-runaway-absconding-trapping-migrants-in-extreme-abuse/" TargetMode="External"/><Relationship Id="rId20" Type="http://schemas.openxmlformats.org/officeDocument/2006/relationships/hyperlink" Target="https://www.state.gov/reports/2023-trafficking-in-persons-report/kuwait/" TargetMode="External"/><Relationship Id="rId29" Type="http://schemas.openxmlformats.org/officeDocument/2006/relationships/hyperlink" Target="https://www.arabtimesonline.com/news/new-decision-requires-pharmacies-to-restrict-payments-to-prevent-money-laundering/" TargetMode="External"/><Relationship Id="rId1" Type="http://schemas.openxmlformats.org/officeDocument/2006/relationships/hyperlink" Target="https://www.csb.gov.kw/Pages/Statistics_en?ID=67&amp;ParentCatID=1" TargetMode="External"/><Relationship Id="rId6" Type="http://schemas.openxmlformats.org/officeDocument/2006/relationships/hyperlink" Target="https://www.migrant-rights.org/2020/04/domestic-workers-bearing-the-brunt-of-invisibility-isolation-and-inequality/" TargetMode="External"/><Relationship Id="rId11" Type="http://schemas.openxmlformats.org/officeDocument/2006/relationships/hyperlink" Target="https://blogs.lse.ac.uk/mec/2022/04/05/kuwait-city-and-its-fragments/" TargetMode="External"/><Relationship Id="rId24" Type="http://schemas.openxmlformats.org/officeDocument/2006/relationships/hyperlink" Target="https://www.migrant-rights.org/2017/12/rosella-kuwait-torture/" TargetMode="External"/><Relationship Id="rId32" Type="http://schemas.openxmlformats.org/officeDocument/2006/relationships/hyperlink" Target="https://www.bloomberg.com/news/articles/2021-02-18/kuwait-puts-citizens-before-expat" TargetMode="External"/><Relationship Id="rId5" Type="http://schemas.openxmlformats.org/officeDocument/2006/relationships/hyperlink" Target="https://www.migrant-rights.org/2023/02/jullebee-ranaras-murder-is-a-failure-of-state-and-society/" TargetMode="External"/><Relationship Id="rId15" Type="http://schemas.openxmlformats.org/officeDocument/2006/relationships/hyperlink" Target="https://kuwaittimes.com/administrative-deportation/" TargetMode="External"/><Relationship Id="rId23" Type="http://schemas.openxmlformats.org/officeDocument/2006/relationships/hyperlink" Target="https://catalystmcgill.com/protecting-the-rights-of-migrant-domestic-workers-in-kuwait/" TargetMode="External"/><Relationship Id="rId28" Type="http://schemas.openxmlformats.org/officeDocument/2006/relationships/hyperlink" Target="https://www.migrant-rights.org/2023/02/the-cost-of-good-health-for-kuwaits-migrant-workers/" TargetMode="External"/><Relationship Id="rId10" Type="http://schemas.openxmlformats.org/officeDocument/2006/relationships/hyperlink" Target="https://www.migrant-rights.org/2022/02/hundreds-of-kuwaits-public-sector-workers-still-owed-payment/" TargetMode="External"/><Relationship Id="rId19" Type="http://schemas.openxmlformats.org/officeDocument/2006/relationships/hyperlink" Target="https://www.arabtimesonline.com/news/philippine-embassys-shelter-house-in-kuwait-closed/" TargetMode="External"/><Relationship Id="rId31" Type="http://schemas.openxmlformats.org/officeDocument/2006/relationships/hyperlink" Target="https://gulfif.org/the-barriers-facing-gynecological-and-reproductive-health-services-for-women-in-the-gulf/" TargetMode="External"/><Relationship Id="rId4" Type="http://schemas.openxmlformats.org/officeDocument/2006/relationships/hyperlink" Target="https://blogs.lse.ac.uk/mec/2023/01/20/the-ongoing-fight-to-end-violence-against-women-in-kuwait/" TargetMode="External"/><Relationship Id="rId9" Type="http://schemas.openxmlformats.org/officeDocument/2006/relationships/hyperlink" Target="https://www.migrant-rights.org/2021/10/non-kuwaiti-government-employees-not-paid-end-of-service-benefits/" TargetMode="External"/><Relationship Id="rId14" Type="http://schemas.openxmlformats.org/officeDocument/2006/relationships/hyperlink" Target="https://gulfnews.com/world/gulf/kuwait/kuwait-records-highest-expatriate-deportations-in-2023-for-law-violations-1.1704535927514" TargetMode="External"/><Relationship Id="rId22" Type="http://schemas.openxmlformats.org/officeDocument/2006/relationships/hyperlink" Target="https://www.state.gov/reports/2023-trafficking-in-persons-report/kuwait/" TargetMode="External"/><Relationship Id="rId27" Type="http://schemas.openxmlformats.org/officeDocument/2006/relationships/hyperlink" Target="https://www.arabtimesonline.com/news/here-is-what-you-need-to-know-females-can-also-sponsor-dependent-visa/" TargetMode="External"/><Relationship Id="rId30" Type="http://schemas.openxmlformats.org/officeDocument/2006/relationships/hyperlink" Target="https://www.migrant-rights.org/2019/10/kuwait-doubles-maternity-fees-for-migrant-wom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aJOeB69uOQRI1QfSGoTYbeENSQ==">CgMxLjAyCGguZ2pkZ3hzMgloLjMwajB6bGwyCWguMWZvYjl0ZTIJaC4zem55c2g3MgloLjJldDkycDAyCGgudHlqY3d0MgloLjNkeTZ2a20yCWguMXQzaDVzZjgAciExaXBETkNMSzFRZXRsLXhaMWkzU3F6cHM5OHI0dWtDb2I=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13</Pages>
  <Words>3111</Words>
  <Characters>18263</Characters>
  <Application>Microsoft Office Word</Application>
  <DocSecurity>0</DocSecurity>
  <Lines>388</Lines>
  <Paragraphs>104</Paragraphs>
  <ScaleCrop>false</ScaleCrop>
  <Company/>
  <LinksUpToDate>false</LinksUpToDate>
  <CharactersWithSpaces>21270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Rima Kalush</cp:lastModifiedBy>
  <cp:revision>9</cp:revision>
  <dcterms:created xsi:type="dcterms:W3CDTF">2024-04-22T20:40:00Z</dcterms:created>
  <dcterms:modified xsi:type="dcterms:W3CDTF">2024-04-23T17:35:00Z</dcterms:modified>
</cp:coreProperties>
</file>