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91DD1" w14:textId="2295D6DD" w:rsidR="00A86690" w:rsidRPr="00385145" w:rsidRDefault="00C60251" w:rsidP="00A86690">
      <w:pPr>
        <w:rPr>
          <w:rFonts w:ascii="Eudoxus Sans" w:hAnsi="Eudoxus Sans"/>
          <w:b/>
          <w:bCs/>
          <w:sz w:val="44"/>
          <w:szCs w:val="44"/>
        </w:rPr>
      </w:pPr>
      <w:r>
        <w:rPr>
          <w:rFonts w:ascii="Eudoxus Sans" w:hAnsi="Eudoxus Sans"/>
          <w:noProof/>
        </w:rPr>
        <w:drawing>
          <wp:anchor distT="0" distB="0" distL="114300" distR="114300" simplePos="0" relativeHeight="251658240" behindDoc="0" locked="0" layoutInCell="1" allowOverlap="1" wp14:anchorId="350C1CCB" wp14:editId="3C03D99D">
            <wp:simplePos x="0" y="0"/>
            <wp:positionH relativeFrom="margin">
              <wp:align>center</wp:align>
            </wp:positionH>
            <wp:positionV relativeFrom="margin">
              <wp:posOffset>60960</wp:posOffset>
            </wp:positionV>
            <wp:extent cx="2295525" cy="981075"/>
            <wp:effectExtent l="0" t="0" r="0" b="0"/>
            <wp:wrapSquare wrapText="bothSides"/>
            <wp:docPr id="1428563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95525" cy="981075"/>
                    </a:xfrm>
                    <a:prstGeom prst="rect">
                      <a:avLst/>
                    </a:prstGeom>
                    <a:noFill/>
                  </pic:spPr>
                </pic:pic>
              </a:graphicData>
            </a:graphic>
          </wp:anchor>
        </w:drawing>
      </w:r>
    </w:p>
    <w:p w14:paraId="22433BA1" w14:textId="77777777" w:rsidR="00C60251" w:rsidRDefault="00C60251" w:rsidP="00150733">
      <w:pPr>
        <w:jc w:val="center"/>
        <w:rPr>
          <w:rFonts w:ascii="Eudoxus Sans" w:hAnsi="Eudoxus Sans"/>
          <w:b/>
          <w:bCs/>
          <w:sz w:val="44"/>
          <w:szCs w:val="44"/>
        </w:rPr>
      </w:pPr>
    </w:p>
    <w:p w14:paraId="7EA13F5D" w14:textId="77777777" w:rsidR="00C60251" w:rsidRDefault="00C60251" w:rsidP="00150733">
      <w:pPr>
        <w:jc w:val="center"/>
        <w:rPr>
          <w:rFonts w:ascii="Eudoxus Sans" w:hAnsi="Eudoxus Sans"/>
          <w:b/>
          <w:bCs/>
          <w:sz w:val="44"/>
          <w:szCs w:val="44"/>
        </w:rPr>
      </w:pPr>
    </w:p>
    <w:p w14:paraId="3FC9A156" w14:textId="77777777" w:rsidR="00C60251" w:rsidRDefault="00C60251" w:rsidP="00C60251">
      <w:pPr>
        <w:jc w:val="center"/>
        <w:rPr>
          <w:rFonts w:ascii="Eudoxus Sans" w:hAnsi="Eudoxus Sans"/>
          <w:b/>
          <w:bCs/>
          <w:sz w:val="44"/>
          <w:szCs w:val="44"/>
        </w:rPr>
      </w:pPr>
    </w:p>
    <w:p w14:paraId="70961D39" w14:textId="58654309" w:rsidR="00C60251" w:rsidRPr="00AD6765" w:rsidRDefault="00C60251" w:rsidP="00B83F14">
      <w:pPr>
        <w:spacing w:line="276" w:lineRule="auto"/>
        <w:jc w:val="center"/>
        <w:rPr>
          <w:b/>
          <w:sz w:val="44"/>
          <w:szCs w:val="44"/>
        </w:rPr>
      </w:pPr>
      <w:r w:rsidRPr="00AD6765">
        <w:rPr>
          <w:b/>
          <w:sz w:val="44"/>
          <w:szCs w:val="44"/>
        </w:rPr>
        <w:t>Race Equality First Civil Society Follow-Up Submission to the United Nations Committee on the Elimination of Racial Discrimination (CERD) in response to the United Kingdom of Great Britain and Northern Ireland’s follow-up report to the concluding observations on its combined 24</w:t>
      </w:r>
      <w:r w:rsidRPr="00AD6765">
        <w:rPr>
          <w:b/>
          <w:sz w:val="44"/>
          <w:szCs w:val="44"/>
          <w:vertAlign w:val="superscript"/>
        </w:rPr>
        <w:t>th</w:t>
      </w:r>
      <w:r w:rsidRPr="00AD6765">
        <w:rPr>
          <w:b/>
          <w:sz w:val="44"/>
          <w:szCs w:val="44"/>
        </w:rPr>
        <w:t xml:space="preserve"> to 26</w:t>
      </w:r>
      <w:r w:rsidRPr="00AD6765">
        <w:rPr>
          <w:b/>
          <w:sz w:val="44"/>
          <w:szCs w:val="44"/>
          <w:vertAlign w:val="superscript"/>
        </w:rPr>
        <w:t>th</w:t>
      </w:r>
      <w:r w:rsidRPr="00AD6765">
        <w:rPr>
          <w:b/>
          <w:sz w:val="44"/>
          <w:szCs w:val="44"/>
        </w:rPr>
        <w:t xml:space="preserve"> periodic reports.</w:t>
      </w:r>
    </w:p>
    <w:p w14:paraId="6CF9E84E" w14:textId="77777777" w:rsidR="00C60251" w:rsidRPr="00AD6765" w:rsidRDefault="00C60251" w:rsidP="00A86690">
      <w:pPr>
        <w:jc w:val="center"/>
        <w:rPr>
          <w:b/>
          <w:sz w:val="44"/>
          <w:szCs w:val="44"/>
        </w:rPr>
      </w:pPr>
    </w:p>
    <w:p w14:paraId="767B7643" w14:textId="180AAF75" w:rsidR="00A86690" w:rsidRPr="00AD6765" w:rsidRDefault="00A86690" w:rsidP="00A86690">
      <w:pPr>
        <w:jc w:val="center"/>
        <w:rPr>
          <w:b/>
          <w:sz w:val="44"/>
          <w:szCs w:val="44"/>
        </w:rPr>
      </w:pPr>
      <w:r w:rsidRPr="00AD6765">
        <w:rPr>
          <w:b/>
          <w:sz w:val="44"/>
          <w:szCs w:val="44"/>
        </w:rPr>
        <w:t>May 2026</w:t>
      </w:r>
    </w:p>
    <w:p w14:paraId="7974EE89" w14:textId="77777777" w:rsidR="00A86690" w:rsidRPr="00AD6765" w:rsidRDefault="00A86690" w:rsidP="00A86690">
      <w:pPr>
        <w:jc w:val="center"/>
        <w:rPr>
          <w:b/>
          <w:sz w:val="28"/>
          <w:szCs w:val="28"/>
        </w:rPr>
      </w:pPr>
    </w:p>
    <w:p w14:paraId="3DDD9E2D" w14:textId="77777777" w:rsidR="00150733" w:rsidRPr="00AD6765" w:rsidRDefault="00150733" w:rsidP="00A86690">
      <w:pPr>
        <w:rPr>
          <w:b/>
        </w:rPr>
      </w:pPr>
    </w:p>
    <w:p w14:paraId="5A9C0490" w14:textId="77777777" w:rsidR="00150733" w:rsidRPr="00AD6765" w:rsidRDefault="00150733" w:rsidP="00A86690"/>
    <w:p w14:paraId="2F06B836" w14:textId="13E60932" w:rsidR="00A86690" w:rsidRPr="00AD6765" w:rsidRDefault="00A86690" w:rsidP="00A86690">
      <w:r w:rsidRPr="00AD6765">
        <w:t>This report has been curated by Race Equality First. For more information on this submission, please contact:</w:t>
      </w:r>
    </w:p>
    <w:p w14:paraId="41042DFE" w14:textId="353F3DC1" w:rsidR="00C60251" w:rsidRPr="00AD6765" w:rsidRDefault="00A86690" w:rsidP="00A86690">
      <w:r w:rsidRPr="00AD6765">
        <w:t>Aliya Mohammed</w:t>
      </w:r>
      <w:r w:rsidRPr="00AD6765">
        <w:br/>
        <w:t xml:space="preserve">Race Equality First </w:t>
      </w:r>
      <w:r w:rsidRPr="00AD6765">
        <w:br/>
        <w:t>113-116 Bute Street</w:t>
      </w:r>
      <w:r w:rsidRPr="00AD6765">
        <w:br/>
        <w:t>Cardiff</w:t>
      </w:r>
      <w:r w:rsidRPr="00AD6765">
        <w:br/>
        <w:t>CF10 5EQ</w:t>
      </w:r>
      <w:r w:rsidRPr="00AD6765">
        <w:br/>
        <w:t xml:space="preserve">Email: </w:t>
      </w:r>
      <w:hyperlink r:id="rId12" w:history="1">
        <w:r w:rsidRPr="00AD6765">
          <w:rPr>
            <w:rStyle w:val="Hyperlink"/>
          </w:rPr>
          <w:t>aliya.mohammed@raceequalityfirst.org.uk</w:t>
        </w:r>
      </w:hyperlink>
      <w:r w:rsidRPr="00AD6765">
        <w:t xml:space="preserve"> </w:t>
      </w:r>
    </w:p>
    <w:p w14:paraId="3DE6F891" w14:textId="77777777" w:rsidR="00B83F14" w:rsidRPr="00AD6765" w:rsidRDefault="00B83F14" w:rsidP="00A86690"/>
    <w:p w14:paraId="4493EA0B" w14:textId="57DF2DB8" w:rsidR="00C60251" w:rsidRPr="00AD6765" w:rsidRDefault="00C60251" w:rsidP="00C60251">
      <w:pPr>
        <w:rPr>
          <w:b/>
          <w:sz w:val="24"/>
          <w:szCs w:val="24"/>
        </w:rPr>
      </w:pPr>
      <w:r w:rsidRPr="00AD6765">
        <w:rPr>
          <w:b/>
          <w:sz w:val="24"/>
          <w:szCs w:val="24"/>
        </w:rPr>
        <w:lastRenderedPageBreak/>
        <w:t>1. Introduction</w:t>
      </w:r>
      <w:r w:rsidR="002659DB">
        <w:rPr>
          <w:b/>
          <w:bCs/>
          <w:sz w:val="24"/>
          <w:szCs w:val="24"/>
        </w:rPr>
        <w:t>:</w:t>
      </w:r>
    </w:p>
    <w:p w14:paraId="79867398" w14:textId="01DFBC64" w:rsidR="00C60251" w:rsidRPr="00AD6765" w:rsidRDefault="00C60251" w:rsidP="00C60251">
      <w:pPr>
        <w:rPr>
          <w:sz w:val="24"/>
          <w:szCs w:val="24"/>
        </w:rPr>
      </w:pPr>
      <w:r w:rsidRPr="00AD6765">
        <w:rPr>
          <w:sz w:val="24"/>
          <w:szCs w:val="24"/>
        </w:rPr>
        <w:t>Race Equality First (REF) is a</w:t>
      </w:r>
      <w:r w:rsidR="002217D6">
        <w:rPr>
          <w:sz w:val="24"/>
          <w:szCs w:val="24"/>
        </w:rPr>
        <w:t xml:space="preserve"> Wales-</w:t>
      </w:r>
      <w:r>
        <w:rPr>
          <w:sz w:val="24"/>
          <w:szCs w:val="24"/>
        </w:rPr>
        <w:t xml:space="preserve">based </w:t>
      </w:r>
      <w:r w:rsidR="002217D6">
        <w:rPr>
          <w:sz w:val="24"/>
          <w:szCs w:val="24"/>
        </w:rPr>
        <w:t xml:space="preserve">charity with 50 years of experience </w:t>
      </w:r>
      <w:r>
        <w:rPr>
          <w:sz w:val="24"/>
          <w:szCs w:val="24"/>
        </w:rPr>
        <w:t xml:space="preserve">in </w:t>
      </w:r>
      <w:r w:rsidR="002217D6">
        <w:rPr>
          <w:sz w:val="24"/>
          <w:szCs w:val="24"/>
        </w:rPr>
        <w:t>tackling</w:t>
      </w:r>
      <w:r>
        <w:rPr>
          <w:sz w:val="24"/>
          <w:szCs w:val="24"/>
        </w:rPr>
        <w:t xml:space="preserve"> discrimination </w:t>
      </w:r>
      <w:r w:rsidR="002217D6">
        <w:rPr>
          <w:sz w:val="24"/>
          <w:szCs w:val="24"/>
        </w:rPr>
        <w:t>and hate crime</w:t>
      </w:r>
      <w:r>
        <w:rPr>
          <w:sz w:val="24"/>
          <w:szCs w:val="24"/>
        </w:rPr>
        <w:t xml:space="preserve"> and </w:t>
      </w:r>
      <w:r w:rsidR="002217D6">
        <w:rPr>
          <w:sz w:val="24"/>
          <w:szCs w:val="24"/>
        </w:rPr>
        <w:t>promoting race equality as a fundamental human right.</w:t>
      </w:r>
      <w:r>
        <w:rPr>
          <w:sz w:val="24"/>
          <w:szCs w:val="24"/>
        </w:rPr>
        <w:t xml:space="preserve"> </w:t>
      </w:r>
      <w:r w:rsidRPr="00AD6765">
        <w:rPr>
          <w:sz w:val="24"/>
          <w:szCs w:val="24"/>
        </w:rPr>
        <w:t xml:space="preserve">REF has extensive experience engaging with international human rights mechanisms and curated the </w:t>
      </w:r>
      <w:hyperlink r:id="rId13" w:history="1">
        <w:r w:rsidRPr="00AD6765">
          <w:rPr>
            <w:rStyle w:val="Hyperlink"/>
            <w:sz w:val="24"/>
            <w:szCs w:val="24"/>
          </w:rPr>
          <w:t>joint civil society shadow report on racial inequality in Wales</w:t>
        </w:r>
      </w:hyperlink>
      <w:r w:rsidRPr="00AD6765">
        <w:rPr>
          <w:sz w:val="24"/>
          <w:szCs w:val="24"/>
        </w:rPr>
        <w:t xml:space="preserve"> submitted to the Committe</w:t>
      </w:r>
      <w:r>
        <w:rPr>
          <w:sz w:val="24"/>
          <w:szCs w:val="24"/>
        </w:rPr>
        <w:t xml:space="preserve">e </w:t>
      </w:r>
      <w:r w:rsidR="00B465CA" w:rsidRPr="00B465CA">
        <w:rPr>
          <w:sz w:val="24"/>
          <w:szCs w:val="24"/>
        </w:rPr>
        <w:t>on the Elimination of Racial Discrimination (CERD)</w:t>
      </w:r>
      <w:r w:rsidR="00B465CA">
        <w:rPr>
          <w:b/>
          <w:bCs/>
          <w:sz w:val="24"/>
          <w:szCs w:val="24"/>
        </w:rPr>
        <w:t xml:space="preserve"> </w:t>
      </w:r>
      <w:r w:rsidRPr="00AD6765">
        <w:rPr>
          <w:sz w:val="24"/>
          <w:szCs w:val="24"/>
        </w:rPr>
        <w:t>in 2024.</w:t>
      </w:r>
    </w:p>
    <w:p w14:paraId="42B2E4AC" w14:textId="00CBABB7" w:rsidR="00C60251" w:rsidRPr="0076245A" w:rsidRDefault="00C60251" w:rsidP="00C60251">
      <w:pPr>
        <w:rPr>
          <w:color w:val="000000" w:themeColor="text1"/>
          <w:sz w:val="24"/>
          <w:szCs w:val="24"/>
        </w:rPr>
      </w:pPr>
      <w:r w:rsidRPr="00AD6765">
        <w:rPr>
          <w:sz w:val="24"/>
          <w:szCs w:val="24"/>
        </w:rPr>
        <w:t xml:space="preserve">This submission is in response to the follow-up procedure initiated by the Committee following its 2024 review of the </w:t>
      </w:r>
      <w:r w:rsidR="007C64FB" w:rsidRPr="007C64FB">
        <w:rPr>
          <w:bCs/>
          <w:sz w:val="24"/>
          <w:szCs w:val="24"/>
        </w:rPr>
        <w:t>United Kingdom of Great Britain and Northern Ireland</w:t>
      </w:r>
      <w:r w:rsidRPr="007C64FB">
        <w:rPr>
          <w:bCs/>
          <w:sz w:val="24"/>
          <w:szCs w:val="24"/>
        </w:rPr>
        <w:t xml:space="preserve">. </w:t>
      </w:r>
      <w:r w:rsidRPr="00AD6765">
        <w:rPr>
          <w:sz w:val="24"/>
          <w:szCs w:val="24"/>
        </w:rPr>
        <w:t>It focuses on the State party’s implementation of selected recommendations identified for follow-up</w:t>
      </w:r>
      <w:r w:rsidR="007212CC" w:rsidRPr="00AD6765">
        <w:rPr>
          <w:sz w:val="24"/>
          <w:szCs w:val="24"/>
        </w:rPr>
        <w:t xml:space="preserve"> by the Committee</w:t>
      </w:r>
      <w:r w:rsidRPr="00AD6765">
        <w:rPr>
          <w:sz w:val="24"/>
          <w:szCs w:val="24"/>
        </w:rPr>
        <w:t xml:space="preserve">, specifically </w:t>
      </w:r>
      <w:r w:rsidR="007212CC" w:rsidRPr="00AD6765">
        <w:rPr>
          <w:sz w:val="24"/>
          <w:szCs w:val="24"/>
        </w:rPr>
        <w:t xml:space="preserve">detailed in </w:t>
      </w:r>
      <w:r w:rsidRPr="00AD6765">
        <w:rPr>
          <w:sz w:val="24"/>
          <w:szCs w:val="24"/>
        </w:rPr>
        <w:t>paragraphs 30, 34, and 52 of the</w:t>
      </w:r>
      <w:r w:rsidR="00FC7286" w:rsidRPr="00AD6765">
        <w:rPr>
          <w:sz w:val="24"/>
          <w:szCs w:val="24"/>
        </w:rPr>
        <w:t>ir</w:t>
      </w:r>
      <w:r w:rsidRPr="00AD6765">
        <w:rPr>
          <w:sz w:val="24"/>
          <w:szCs w:val="24"/>
        </w:rPr>
        <w:t xml:space="preserve"> concluding observations.</w:t>
      </w:r>
      <w:r w:rsidR="00AD6765" w:rsidRPr="00AD6765">
        <w:rPr>
          <w:sz w:val="24"/>
          <w:szCs w:val="24"/>
        </w:rPr>
        <w:t xml:space="preserve"> </w:t>
      </w:r>
      <w:r w:rsidRPr="0076245A">
        <w:rPr>
          <w:color w:val="000000" w:themeColor="text1"/>
          <w:sz w:val="24"/>
          <w:szCs w:val="24"/>
        </w:rPr>
        <w:t>REF’s submission focuses primarily on paragraph 30 (</w:t>
      </w:r>
      <w:r w:rsidR="00966479" w:rsidRPr="0076245A">
        <w:rPr>
          <w:color w:val="000000" w:themeColor="text1"/>
          <w:sz w:val="24"/>
          <w:szCs w:val="24"/>
        </w:rPr>
        <w:t xml:space="preserve">the right to </w:t>
      </w:r>
      <w:r w:rsidRPr="0076245A">
        <w:rPr>
          <w:color w:val="000000" w:themeColor="text1"/>
          <w:sz w:val="24"/>
          <w:szCs w:val="24"/>
        </w:rPr>
        <w:t>freedom of peaceful assembly) and paragraph 34 (</w:t>
      </w:r>
      <w:r w:rsidR="00BD4C91" w:rsidRPr="0076245A">
        <w:rPr>
          <w:color w:val="000000" w:themeColor="text1"/>
          <w:sz w:val="24"/>
          <w:szCs w:val="24"/>
        </w:rPr>
        <w:t>counterterrorism</w:t>
      </w:r>
      <w:r w:rsidRPr="0076245A">
        <w:rPr>
          <w:color w:val="000000" w:themeColor="text1"/>
          <w:sz w:val="24"/>
          <w:szCs w:val="24"/>
        </w:rPr>
        <w:t>)</w:t>
      </w:r>
      <w:r w:rsidR="00AD6765" w:rsidRPr="0076245A">
        <w:rPr>
          <w:color w:val="000000" w:themeColor="text1"/>
          <w:sz w:val="24"/>
          <w:szCs w:val="24"/>
        </w:rPr>
        <w:t xml:space="preserve">. </w:t>
      </w:r>
    </w:p>
    <w:p w14:paraId="11A90889" w14:textId="45582CB4" w:rsidR="00390F84" w:rsidRDefault="00C60251" w:rsidP="00E2059D">
      <w:pPr>
        <w:rPr>
          <w:sz w:val="24"/>
          <w:szCs w:val="24"/>
        </w:rPr>
      </w:pPr>
      <w:r w:rsidRPr="00AD6765">
        <w:rPr>
          <w:sz w:val="24"/>
          <w:szCs w:val="24"/>
        </w:rPr>
        <w:t xml:space="preserve">REF is concerned that, rather than taking meaningful steps to address the Committee’s recommendations, the State party has continued to expand </w:t>
      </w:r>
      <w:r w:rsidR="00A35185" w:rsidRPr="00A35185">
        <w:rPr>
          <w:sz w:val="24"/>
          <w:szCs w:val="24"/>
        </w:rPr>
        <w:t xml:space="preserve">protest-related policing powers and the use of </w:t>
      </w:r>
      <w:r w:rsidR="00981BD5">
        <w:rPr>
          <w:sz w:val="24"/>
          <w:szCs w:val="24"/>
        </w:rPr>
        <w:t xml:space="preserve">biometric </w:t>
      </w:r>
      <w:r w:rsidR="00A35185" w:rsidRPr="00A35185">
        <w:rPr>
          <w:sz w:val="24"/>
          <w:szCs w:val="24"/>
        </w:rPr>
        <w:t>surveillance technologies</w:t>
      </w:r>
      <w:r w:rsidR="003657F4">
        <w:rPr>
          <w:sz w:val="24"/>
          <w:szCs w:val="24"/>
        </w:rPr>
        <w:t xml:space="preserve">, </w:t>
      </w:r>
      <w:r w:rsidR="007961BA">
        <w:rPr>
          <w:sz w:val="24"/>
          <w:szCs w:val="24"/>
        </w:rPr>
        <w:t>including</w:t>
      </w:r>
      <w:r w:rsidR="003657F4">
        <w:rPr>
          <w:sz w:val="24"/>
          <w:szCs w:val="24"/>
        </w:rPr>
        <w:t xml:space="preserve"> live facial recognition (LFR)</w:t>
      </w:r>
      <w:r w:rsidR="00A66482">
        <w:rPr>
          <w:sz w:val="24"/>
          <w:szCs w:val="24"/>
        </w:rPr>
        <w:t>,</w:t>
      </w:r>
      <w:r w:rsidR="00A35185" w:rsidRPr="00A35185">
        <w:rPr>
          <w:sz w:val="24"/>
          <w:szCs w:val="24"/>
        </w:rPr>
        <w:t xml:space="preserve"> in ways that risk disproportionately impacting racialised communit</w:t>
      </w:r>
      <w:r w:rsidR="007961BA">
        <w:rPr>
          <w:sz w:val="24"/>
          <w:szCs w:val="24"/>
        </w:rPr>
        <w:t>i</w:t>
      </w:r>
      <w:r w:rsidR="00A35185" w:rsidRPr="00A35185">
        <w:rPr>
          <w:sz w:val="24"/>
          <w:szCs w:val="24"/>
        </w:rPr>
        <w:t>es</w:t>
      </w:r>
      <w:r w:rsidR="00EC0E23">
        <w:rPr>
          <w:sz w:val="24"/>
          <w:szCs w:val="24"/>
        </w:rPr>
        <w:t>,</w:t>
      </w:r>
      <w:r w:rsidR="003657F4">
        <w:rPr>
          <w:sz w:val="24"/>
          <w:szCs w:val="24"/>
        </w:rPr>
        <w:t xml:space="preserve"> without a comprehensive statutory framework or sufficient democratic s</w:t>
      </w:r>
      <w:r w:rsidR="00D87DE3">
        <w:rPr>
          <w:sz w:val="24"/>
          <w:szCs w:val="24"/>
        </w:rPr>
        <w:t xml:space="preserve">crutiny. </w:t>
      </w:r>
      <w:r w:rsidR="00390F84" w:rsidRPr="00390F84">
        <w:rPr>
          <w:sz w:val="24"/>
          <w:szCs w:val="24"/>
        </w:rPr>
        <w:t xml:space="preserve">These concerns are particularly acute in the context of </w:t>
      </w:r>
      <w:r w:rsidR="00E2059D">
        <w:rPr>
          <w:sz w:val="24"/>
          <w:szCs w:val="24"/>
        </w:rPr>
        <w:t xml:space="preserve">the right to freedom of peaceful assembly. </w:t>
      </w:r>
    </w:p>
    <w:p w14:paraId="3FC1904D" w14:textId="76C84B04" w:rsidR="00C60251" w:rsidRPr="00AD6765" w:rsidRDefault="00C60251" w:rsidP="00C60251">
      <w:pPr>
        <w:rPr>
          <w:sz w:val="24"/>
          <w:szCs w:val="24"/>
        </w:rPr>
      </w:pPr>
    </w:p>
    <w:p w14:paraId="7FC9A7E5" w14:textId="3AF67178" w:rsidR="00C60251" w:rsidRPr="00AD6765" w:rsidRDefault="00C60251" w:rsidP="00C60251">
      <w:pPr>
        <w:rPr>
          <w:b/>
          <w:sz w:val="24"/>
          <w:szCs w:val="24"/>
        </w:rPr>
      </w:pPr>
      <w:r w:rsidRPr="00AD6765">
        <w:rPr>
          <w:b/>
          <w:sz w:val="24"/>
          <w:szCs w:val="24"/>
        </w:rPr>
        <w:t>2.</w:t>
      </w:r>
      <w:r w:rsidRPr="00AD6765">
        <w:rPr>
          <w:b/>
          <w:bCs/>
          <w:sz w:val="24"/>
          <w:szCs w:val="24"/>
        </w:rPr>
        <w:t xml:space="preserve"> </w:t>
      </w:r>
      <w:r w:rsidR="009B4C0E">
        <w:rPr>
          <w:b/>
          <w:bCs/>
          <w:sz w:val="24"/>
          <w:szCs w:val="24"/>
        </w:rPr>
        <w:t>Right to</w:t>
      </w:r>
      <w:r>
        <w:rPr>
          <w:b/>
          <w:sz w:val="24"/>
          <w:szCs w:val="24"/>
        </w:rPr>
        <w:t xml:space="preserve"> </w:t>
      </w:r>
      <w:r w:rsidRPr="00AD6765">
        <w:rPr>
          <w:b/>
          <w:sz w:val="24"/>
          <w:szCs w:val="24"/>
        </w:rPr>
        <w:t>Freedom of Peaceful Assembly</w:t>
      </w:r>
      <w:r w:rsidR="00103A53">
        <w:rPr>
          <w:b/>
          <w:sz w:val="24"/>
          <w:szCs w:val="24"/>
        </w:rPr>
        <w:t>:</w:t>
      </w:r>
      <w:r w:rsidR="001955B0">
        <w:rPr>
          <w:b/>
          <w:bCs/>
          <w:sz w:val="24"/>
          <w:szCs w:val="24"/>
        </w:rPr>
        <w:t xml:space="preserve"> </w:t>
      </w:r>
    </w:p>
    <w:p w14:paraId="0A70967D" w14:textId="3C5BF90F" w:rsidR="006C5EFB" w:rsidRDefault="00C60251" w:rsidP="00C60251">
      <w:pPr>
        <w:rPr>
          <w:sz w:val="24"/>
          <w:szCs w:val="24"/>
        </w:rPr>
      </w:pPr>
      <w:r w:rsidRPr="00AD6765">
        <w:rPr>
          <w:sz w:val="24"/>
          <w:szCs w:val="24"/>
        </w:rPr>
        <w:t>In paragraph 30 of its concluding observations, the Committee recommended that the State party take all necessary measures to ensure the exercise of the right to freedom of peaceful assembly without discrimination</w:t>
      </w:r>
      <w:r w:rsidR="006C5EFB">
        <w:rPr>
          <w:sz w:val="24"/>
          <w:szCs w:val="24"/>
        </w:rPr>
        <w:t xml:space="preserve">, </w:t>
      </w:r>
      <w:r w:rsidR="006C5EFB" w:rsidRPr="00F73F43">
        <w:rPr>
          <w:sz w:val="24"/>
          <w:szCs w:val="24"/>
        </w:rPr>
        <w:t xml:space="preserve">including reviewing and amending the Police, Crime, Sentencing and Courts Act </w:t>
      </w:r>
      <w:r w:rsidR="009F2977">
        <w:rPr>
          <w:sz w:val="24"/>
          <w:szCs w:val="24"/>
        </w:rPr>
        <w:t>(</w:t>
      </w:r>
      <w:r w:rsidR="006C5EFB" w:rsidRPr="00F73F43">
        <w:rPr>
          <w:sz w:val="24"/>
          <w:szCs w:val="24"/>
        </w:rPr>
        <w:t>2022</w:t>
      </w:r>
      <w:r w:rsidR="009F2977">
        <w:rPr>
          <w:sz w:val="24"/>
          <w:szCs w:val="24"/>
        </w:rPr>
        <w:t>)</w:t>
      </w:r>
      <w:r w:rsidR="006C5EFB" w:rsidRPr="00F73F43">
        <w:rPr>
          <w:sz w:val="24"/>
          <w:szCs w:val="24"/>
        </w:rPr>
        <w:t xml:space="preserve"> and the Public Order Act </w:t>
      </w:r>
      <w:r w:rsidR="009F2977">
        <w:rPr>
          <w:sz w:val="24"/>
          <w:szCs w:val="24"/>
        </w:rPr>
        <w:t>(</w:t>
      </w:r>
      <w:r w:rsidR="006C5EFB" w:rsidRPr="00F73F43">
        <w:rPr>
          <w:sz w:val="24"/>
          <w:szCs w:val="24"/>
        </w:rPr>
        <w:t>2023</w:t>
      </w:r>
      <w:r w:rsidR="009F2977">
        <w:rPr>
          <w:sz w:val="24"/>
          <w:szCs w:val="24"/>
        </w:rPr>
        <w:t>)</w:t>
      </w:r>
      <w:r w:rsidR="006C5EFB">
        <w:rPr>
          <w:sz w:val="24"/>
          <w:szCs w:val="24"/>
        </w:rPr>
        <w:t xml:space="preserve">. </w:t>
      </w:r>
    </w:p>
    <w:p w14:paraId="4C935889" w14:textId="5EEB042E" w:rsidR="00C60251" w:rsidRPr="00AD6765" w:rsidRDefault="00C60251" w:rsidP="00C60251">
      <w:pPr>
        <w:rPr>
          <w:sz w:val="24"/>
          <w:szCs w:val="24"/>
        </w:rPr>
      </w:pPr>
      <w:r w:rsidRPr="00AD6765">
        <w:rPr>
          <w:sz w:val="24"/>
          <w:szCs w:val="24"/>
        </w:rPr>
        <w:t xml:space="preserve">REF is concerned that there has been insufficient progress in implementing this recommendation. </w:t>
      </w:r>
      <w:r w:rsidR="006C5956">
        <w:rPr>
          <w:sz w:val="24"/>
          <w:szCs w:val="24"/>
        </w:rPr>
        <w:t xml:space="preserve">The </w:t>
      </w:r>
      <w:r w:rsidRPr="00AD6765">
        <w:rPr>
          <w:sz w:val="24"/>
          <w:szCs w:val="24"/>
        </w:rPr>
        <w:t>State</w:t>
      </w:r>
      <w:r w:rsidR="006C5956">
        <w:rPr>
          <w:sz w:val="24"/>
          <w:szCs w:val="24"/>
        </w:rPr>
        <w:t xml:space="preserve"> P</w:t>
      </w:r>
      <w:r w:rsidRPr="00AD6765">
        <w:rPr>
          <w:sz w:val="24"/>
          <w:szCs w:val="24"/>
        </w:rPr>
        <w:t xml:space="preserve">arty has not undertaken legislative review </w:t>
      </w:r>
      <w:r w:rsidR="009F2977">
        <w:rPr>
          <w:sz w:val="24"/>
          <w:szCs w:val="24"/>
        </w:rPr>
        <w:t>of the Police, Crime</w:t>
      </w:r>
      <w:r w:rsidR="005A12F1">
        <w:rPr>
          <w:sz w:val="24"/>
          <w:szCs w:val="24"/>
        </w:rPr>
        <w:t>,</w:t>
      </w:r>
      <w:r w:rsidR="009F2977">
        <w:rPr>
          <w:sz w:val="24"/>
          <w:szCs w:val="24"/>
        </w:rPr>
        <w:t xml:space="preserve"> Sentencing and Courts Act (2022) or the Public Order Act (2023)</w:t>
      </w:r>
      <w:r w:rsidR="00C77F37">
        <w:rPr>
          <w:sz w:val="24"/>
          <w:szCs w:val="24"/>
        </w:rPr>
        <w:t>,</w:t>
      </w:r>
      <w:r w:rsidRPr="00AD6765">
        <w:rPr>
          <w:sz w:val="24"/>
          <w:szCs w:val="24"/>
        </w:rPr>
        <w:t xml:space="preserve"> </w:t>
      </w:r>
      <w:r w:rsidR="009F2977">
        <w:rPr>
          <w:sz w:val="24"/>
          <w:szCs w:val="24"/>
        </w:rPr>
        <w:t>as recommended b</w:t>
      </w:r>
      <w:r w:rsidRPr="00AD6765">
        <w:rPr>
          <w:sz w:val="24"/>
          <w:szCs w:val="24"/>
        </w:rPr>
        <w:t xml:space="preserve">y the Committee and has instead introduced and maintained measures that </w:t>
      </w:r>
      <w:r w:rsidR="00CF5329">
        <w:rPr>
          <w:sz w:val="24"/>
          <w:szCs w:val="24"/>
        </w:rPr>
        <w:t xml:space="preserve">risk </w:t>
      </w:r>
      <w:r w:rsidRPr="00AD6765">
        <w:rPr>
          <w:sz w:val="24"/>
          <w:szCs w:val="24"/>
        </w:rPr>
        <w:t>further restrict</w:t>
      </w:r>
      <w:r w:rsidR="00CF5329">
        <w:rPr>
          <w:sz w:val="24"/>
          <w:szCs w:val="24"/>
        </w:rPr>
        <w:t>ions to</w:t>
      </w:r>
      <w:r w:rsidRPr="00AD6765">
        <w:rPr>
          <w:sz w:val="24"/>
          <w:szCs w:val="24"/>
        </w:rPr>
        <w:t xml:space="preserve"> the right to peaceful assembly, with disproportionate impacts on </w:t>
      </w:r>
      <w:r w:rsidR="00AA60CA">
        <w:rPr>
          <w:sz w:val="24"/>
          <w:szCs w:val="24"/>
        </w:rPr>
        <w:t>minority ethnic people</w:t>
      </w:r>
      <w:r w:rsidR="00631E5F">
        <w:rPr>
          <w:sz w:val="24"/>
          <w:szCs w:val="24"/>
        </w:rPr>
        <w:t xml:space="preserve"> across England and Wales</w:t>
      </w:r>
      <w:r w:rsidRPr="00AD6765">
        <w:rPr>
          <w:sz w:val="24"/>
          <w:szCs w:val="24"/>
        </w:rPr>
        <w:t>.</w:t>
      </w:r>
    </w:p>
    <w:p w14:paraId="65AEBE15" w14:textId="774A3EF5" w:rsidR="003C0926" w:rsidRDefault="007421C0" w:rsidP="00C60251">
      <w:pPr>
        <w:rPr>
          <w:sz w:val="24"/>
          <w:szCs w:val="24"/>
        </w:rPr>
      </w:pPr>
      <w:r w:rsidRPr="007421C0">
        <w:rPr>
          <w:sz w:val="24"/>
          <w:szCs w:val="24"/>
        </w:rPr>
        <w:t xml:space="preserve">REF is further concerned that the increasing use of surveillance technologies, including facial recognition and other biometric technologies, risks undermining the right to peaceful protest without discrimination across </w:t>
      </w:r>
      <w:r>
        <w:rPr>
          <w:sz w:val="24"/>
          <w:szCs w:val="24"/>
        </w:rPr>
        <w:t xml:space="preserve">England and Wales. </w:t>
      </w:r>
    </w:p>
    <w:p w14:paraId="6C134950" w14:textId="77777777" w:rsidR="003C0926" w:rsidRDefault="003C0926" w:rsidP="00C60251">
      <w:pPr>
        <w:rPr>
          <w:sz w:val="24"/>
          <w:szCs w:val="24"/>
        </w:rPr>
      </w:pPr>
    </w:p>
    <w:p w14:paraId="0F4A2B26" w14:textId="77777777" w:rsidR="0010425F" w:rsidRDefault="0010425F" w:rsidP="00C60251">
      <w:pPr>
        <w:rPr>
          <w:sz w:val="24"/>
          <w:szCs w:val="24"/>
        </w:rPr>
      </w:pPr>
    </w:p>
    <w:p w14:paraId="05B8F912" w14:textId="77777777" w:rsidR="0010425F" w:rsidRPr="00AD6765" w:rsidRDefault="0010425F" w:rsidP="00C60251">
      <w:pPr>
        <w:rPr>
          <w:sz w:val="24"/>
          <w:szCs w:val="24"/>
        </w:rPr>
      </w:pPr>
    </w:p>
    <w:p w14:paraId="1561BA90" w14:textId="47E39165" w:rsidR="00A420BD" w:rsidRPr="00A420BD" w:rsidRDefault="00A420BD" w:rsidP="00A420BD">
      <w:pPr>
        <w:rPr>
          <w:b/>
          <w:bCs/>
          <w:sz w:val="24"/>
          <w:szCs w:val="24"/>
        </w:rPr>
      </w:pPr>
      <w:r w:rsidRPr="00A420BD">
        <w:rPr>
          <w:b/>
          <w:bCs/>
          <w:sz w:val="24"/>
          <w:szCs w:val="24"/>
        </w:rPr>
        <w:lastRenderedPageBreak/>
        <w:t xml:space="preserve">2.1 </w:t>
      </w:r>
      <w:r w:rsidR="0096636D">
        <w:rPr>
          <w:b/>
          <w:bCs/>
          <w:sz w:val="24"/>
          <w:szCs w:val="24"/>
        </w:rPr>
        <w:t>Discriminatory policing and the e</w:t>
      </w:r>
      <w:r w:rsidRPr="00A420BD">
        <w:rPr>
          <w:b/>
          <w:bCs/>
          <w:sz w:val="24"/>
          <w:szCs w:val="24"/>
        </w:rPr>
        <w:t xml:space="preserve">xpansion of </w:t>
      </w:r>
      <w:r w:rsidR="006C1333">
        <w:rPr>
          <w:b/>
          <w:bCs/>
          <w:sz w:val="24"/>
          <w:szCs w:val="24"/>
        </w:rPr>
        <w:t>police powers relating to protest</w:t>
      </w:r>
      <w:r w:rsidR="00C52746">
        <w:rPr>
          <w:b/>
          <w:bCs/>
          <w:sz w:val="24"/>
          <w:szCs w:val="24"/>
        </w:rPr>
        <w:t>:</w:t>
      </w:r>
    </w:p>
    <w:p w14:paraId="613EF0B7" w14:textId="707E00DA" w:rsidR="00A420BD" w:rsidRPr="00A420BD" w:rsidRDefault="00A420BD" w:rsidP="00A420BD">
      <w:pPr>
        <w:rPr>
          <w:sz w:val="24"/>
          <w:szCs w:val="24"/>
        </w:rPr>
      </w:pPr>
      <w:r w:rsidRPr="00A420BD">
        <w:rPr>
          <w:sz w:val="24"/>
          <w:szCs w:val="24"/>
        </w:rPr>
        <w:t xml:space="preserve">The introduction and implementation of the Police, Crime, Sentencing and Courts Act </w:t>
      </w:r>
      <w:r w:rsidR="000A5A34">
        <w:rPr>
          <w:sz w:val="24"/>
          <w:szCs w:val="24"/>
        </w:rPr>
        <w:t>(</w:t>
      </w:r>
      <w:r w:rsidRPr="00A420BD">
        <w:rPr>
          <w:sz w:val="24"/>
          <w:szCs w:val="24"/>
        </w:rPr>
        <w:t>2022</w:t>
      </w:r>
      <w:r w:rsidR="000A5A34">
        <w:rPr>
          <w:sz w:val="24"/>
          <w:szCs w:val="24"/>
        </w:rPr>
        <w:t>)</w:t>
      </w:r>
      <w:r w:rsidRPr="00A420BD">
        <w:rPr>
          <w:sz w:val="24"/>
          <w:szCs w:val="24"/>
        </w:rPr>
        <w:t xml:space="preserve"> and the Public Order Act </w:t>
      </w:r>
      <w:r w:rsidR="000A5A34">
        <w:rPr>
          <w:sz w:val="24"/>
          <w:szCs w:val="24"/>
        </w:rPr>
        <w:t>(</w:t>
      </w:r>
      <w:r w:rsidRPr="00A420BD">
        <w:rPr>
          <w:sz w:val="24"/>
          <w:szCs w:val="24"/>
        </w:rPr>
        <w:t>2023</w:t>
      </w:r>
      <w:r w:rsidR="000A5A34">
        <w:rPr>
          <w:sz w:val="24"/>
          <w:szCs w:val="24"/>
        </w:rPr>
        <w:t>)</w:t>
      </w:r>
      <w:r w:rsidRPr="00A420BD">
        <w:rPr>
          <w:sz w:val="24"/>
          <w:szCs w:val="24"/>
        </w:rPr>
        <w:t xml:space="preserve"> have expanded the scope of police powers in relation to protests, including through broader definitions of disruption and increased discretion in imposing conditions on assemblies.</w:t>
      </w:r>
    </w:p>
    <w:p w14:paraId="46A5847B" w14:textId="77777777" w:rsidR="00A420BD" w:rsidRPr="00A420BD" w:rsidRDefault="00A420BD" w:rsidP="00A420BD">
      <w:pPr>
        <w:rPr>
          <w:sz w:val="24"/>
          <w:szCs w:val="24"/>
        </w:rPr>
      </w:pPr>
      <w:r w:rsidRPr="00A420BD">
        <w:rPr>
          <w:sz w:val="24"/>
          <w:szCs w:val="24"/>
        </w:rPr>
        <w:t>REF is concerned that these measures have not been subject to the type of review or amendment recommended by the Committee and instead represent a continuation of a legislative trajectory that prioritises control of protest over the protection of fundamental rights.</w:t>
      </w:r>
    </w:p>
    <w:p w14:paraId="3A8167EC" w14:textId="6997E527" w:rsidR="000D3B4E" w:rsidRDefault="00A420BD" w:rsidP="00A420BD">
      <w:pPr>
        <w:rPr>
          <w:sz w:val="24"/>
          <w:szCs w:val="24"/>
        </w:rPr>
      </w:pPr>
      <w:r w:rsidRPr="00A420BD">
        <w:rPr>
          <w:sz w:val="24"/>
          <w:szCs w:val="24"/>
        </w:rPr>
        <w:t>These concerns must be understood in the context of existing evidence of racial disproportionality in policing</w:t>
      </w:r>
      <w:r w:rsidR="002B17E3">
        <w:rPr>
          <w:sz w:val="24"/>
          <w:szCs w:val="24"/>
        </w:rPr>
        <w:t xml:space="preserve"> across</w:t>
      </w:r>
      <w:r w:rsidR="00CA2092">
        <w:rPr>
          <w:sz w:val="24"/>
          <w:szCs w:val="24"/>
        </w:rPr>
        <w:t xml:space="preserve"> Wales and</w:t>
      </w:r>
      <w:r w:rsidR="002B17E3">
        <w:rPr>
          <w:sz w:val="24"/>
          <w:szCs w:val="24"/>
        </w:rPr>
        <w:t xml:space="preserve"> the UK</w:t>
      </w:r>
      <w:r w:rsidRPr="00A420BD">
        <w:rPr>
          <w:sz w:val="24"/>
          <w:szCs w:val="24"/>
        </w:rPr>
        <w:t>. Minority ethnic communities in Wales and across the UK are already disproportionately subject to police powers, including stop and search</w:t>
      </w:r>
      <w:r w:rsidR="00775ED8">
        <w:rPr>
          <w:rStyle w:val="FootnoteReference"/>
          <w:sz w:val="24"/>
          <w:szCs w:val="24"/>
        </w:rPr>
        <w:footnoteReference w:id="1"/>
      </w:r>
      <w:r w:rsidRPr="00A420BD">
        <w:rPr>
          <w:sz w:val="24"/>
          <w:szCs w:val="24"/>
        </w:rPr>
        <w:t>, and report lower levels of trust and confidence in policing.</w:t>
      </w:r>
      <w:r w:rsidR="00CF5F31">
        <w:rPr>
          <w:rStyle w:val="FootnoteReference"/>
          <w:sz w:val="24"/>
          <w:szCs w:val="24"/>
        </w:rPr>
        <w:footnoteReference w:id="2"/>
      </w:r>
      <w:r w:rsidRPr="00A420BD">
        <w:rPr>
          <w:sz w:val="24"/>
          <w:szCs w:val="24"/>
        </w:rPr>
        <w:t xml:space="preserve"> </w:t>
      </w:r>
    </w:p>
    <w:p w14:paraId="6C721BC2" w14:textId="7C0E9D80" w:rsidR="00675972" w:rsidRPr="00675972" w:rsidRDefault="00A420BD" w:rsidP="00675972">
      <w:pPr>
        <w:rPr>
          <w:sz w:val="24"/>
          <w:szCs w:val="24"/>
        </w:rPr>
      </w:pPr>
      <w:r w:rsidRPr="00A420BD">
        <w:rPr>
          <w:sz w:val="24"/>
          <w:szCs w:val="24"/>
        </w:rPr>
        <w:t xml:space="preserve">This raises concerns about the unequal impact of expanded protest-related powers, </w:t>
      </w:r>
      <w:r w:rsidRPr="00C03E4E">
        <w:rPr>
          <w:sz w:val="24"/>
          <w:szCs w:val="24"/>
        </w:rPr>
        <w:t xml:space="preserve">particularly </w:t>
      </w:r>
      <w:r w:rsidR="00826F31" w:rsidRPr="00826F31">
        <w:rPr>
          <w:sz w:val="24"/>
          <w:szCs w:val="24"/>
        </w:rPr>
        <w:t>given the broad discretion afforded to police in their enforcement</w:t>
      </w:r>
      <w:r w:rsidR="00B112B0">
        <w:rPr>
          <w:sz w:val="24"/>
          <w:szCs w:val="24"/>
        </w:rPr>
        <w:t xml:space="preserve"> of such powers. </w:t>
      </w:r>
    </w:p>
    <w:p w14:paraId="709FD52A" w14:textId="77777777" w:rsidR="00675972" w:rsidRPr="00675972" w:rsidRDefault="00675972" w:rsidP="00675972">
      <w:pPr>
        <w:rPr>
          <w:sz w:val="24"/>
          <w:szCs w:val="24"/>
        </w:rPr>
      </w:pPr>
      <w:r w:rsidRPr="00675972">
        <w:rPr>
          <w:sz w:val="24"/>
          <w:szCs w:val="24"/>
        </w:rPr>
        <w:t>Existing racial disproportionalities in policing, including racial profiling and the disproportionate use of police powers against minority ethnic communities, raise concerns that the right to peaceful assembly is not experienced equally across different communities.</w:t>
      </w:r>
    </w:p>
    <w:p w14:paraId="0870CD98" w14:textId="77777777" w:rsidR="00340057" w:rsidRPr="00340057" w:rsidRDefault="00340057" w:rsidP="00340057">
      <w:pPr>
        <w:rPr>
          <w:sz w:val="24"/>
          <w:szCs w:val="24"/>
        </w:rPr>
      </w:pPr>
      <w:r w:rsidRPr="00340057">
        <w:rPr>
          <w:sz w:val="24"/>
          <w:szCs w:val="24"/>
        </w:rPr>
        <w:t>This has significant implications for the exercise of protest rights, as individuals and communities who perceive policing as discriminatory, or who have experienced racial discrimination in policing contexts, may be less likely to participate in public demonstrations, protests, or civic action.</w:t>
      </w:r>
    </w:p>
    <w:p w14:paraId="1D037863" w14:textId="4B920496" w:rsidR="003426B6" w:rsidRPr="00340057" w:rsidRDefault="0066427D" w:rsidP="00C60251">
      <w:pPr>
        <w:rPr>
          <w:sz w:val="24"/>
          <w:szCs w:val="24"/>
        </w:rPr>
      </w:pPr>
      <w:r>
        <w:rPr>
          <w:sz w:val="24"/>
          <w:szCs w:val="24"/>
        </w:rPr>
        <w:t>These</w:t>
      </w:r>
      <w:r w:rsidR="00CA3581">
        <w:rPr>
          <w:sz w:val="24"/>
          <w:szCs w:val="24"/>
        </w:rPr>
        <w:t xml:space="preserve"> </w:t>
      </w:r>
      <w:r w:rsidR="00A420BD" w:rsidRPr="00A420BD">
        <w:rPr>
          <w:sz w:val="24"/>
          <w:szCs w:val="24"/>
        </w:rPr>
        <w:t>concerns are</w:t>
      </w:r>
      <w:r w:rsidR="00340057">
        <w:rPr>
          <w:sz w:val="24"/>
          <w:szCs w:val="24"/>
        </w:rPr>
        <w:t xml:space="preserve"> further</w:t>
      </w:r>
      <w:r w:rsidR="00A420BD" w:rsidRPr="00A420BD">
        <w:rPr>
          <w:sz w:val="24"/>
          <w:szCs w:val="24"/>
        </w:rPr>
        <w:t xml:space="preserve"> </w:t>
      </w:r>
      <w:r w:rsidR="00A420BD" w:rsidRPr="0066427D">
        <w:rPr>
          <w:sz w:val="24"/>
          <w:szCs w:val="24"/>
        </w:rPr>
        <w:t>compounded</w:t>
      </w:r>
      <w:r w:rsidR="00043D29">
        <w:rPr>
          <w:sz w:val="24"/>
          <w:szCs w:val="24"/>
        </w:rPr>
        <w:t xml:space="preserve"> </w:t>
      </w:r>
      <w:r w:rsidR="00A420BD" w:rsidRPr="00A420BD">
        <w:rPr>
          <w:sz w:val="24"/>
          <w:szCs w:val="24"/>
        </w:rPr>
        <w:t>by the increasing deployment of biometric surveillance technologies</w:t>
      </w:r>
      <w:r w:rsidR="00E246D8">
        <w:rPr>
          <w:sz w:val="24"/>
          <w:szCs w:val="24"/>
        </w:rPr>
        <w:t xml:space="preserve">, </w:t>
      </w:r>
      <w:r w:rsidR="00E246D8" w:rsidRPr="00E246D8">
        <w:rPr>
          <w:sz w:val="24"/>
          <w:szCs w:val="24"/>
        </w:rPr>
        <w:t xml:space="preserve">including </w:t>
      </w:r>
      <w:r w:rsidR="004A5E6A">
        <w:rPr>
          <w:sz w:val="24"/>
          <w:szCs w:val="24"/>
        </w:rPr>
        <w:t>LFR</w:t>
      </w:r>
      <w:r w:rsidR="00E246D8" w:rsidRPr="00E246D8">
        <w:rPr>
          <w:sz w:val="24"/>
          <w:szCs w:val="24"/>
        </w:rPr>
        <w:t>,</w:t>
      </w:r>
      <w:r w:rsidR="00A420BD" w:rsidRPr="00A420BD">
        <w:rPr>
          <w:sz w:val="24"/>
          <w:szCs w:val="24"/>
        </w:rPr>
        <w:t xml:space="preserve"> in protest and public space contexts.</w:t>
      </w:r>
    </w:p>
    <w:p w14:paraId="0EE53D75" w14:textId="57BD466D" w:rsidR="00C60251" w:rsidRPr="004C01A7" w:rsidRDefault="00C60251" w:rsidP="00C60251">
      <w:pPr>
        <w:rPr>
          <w:sz w:val="24"/>
          <w:szCs w:val="24"/>
        </w:rPr>
      </w:pPr>
      <w:r w:rsidRPr="00AD6765">
        <w:rPr>
          <w:b/>
          <w:sz w:val="24"/>
          <w:szCs w:val="24"/>
        </w:rPr>
        <w:lastRenderedPageBreak/>
        <w:t>2.</w:t>
      </w:r>
      <w:r w:rsidR="000D3B4E">
        <w:rPr>
          <w:b/>
          <w:sz w:val="24"/>
          <w:szCs w:val="24"/>
        </w:rPr>
        <w:t>2</w:t>
      </w:r>
      <w:r w:rsidRPr="00AD6765">
        <w:rPr>
          <w:b/>
          <w:sz w:val="24"/>
          <w:szCs w:val="24"/>
        </w:rPr>
        <w:t xml:space="preserve"> </w:t>
      </w:r>
      <w:r w:rsidR="00625F3C">
        <w:rPr>
          <w:b/>
          <w:sz w:val="24"/>
          <w:szCs w:val="24"/>
        </w:rPr>
        <w:t>Biometric s</w:t>
      </w:r>
      <w:r w:rsidRPr="00AD6765">
        <w:rPr>
          <w:b/>
          <w:sz w:val="24"/>
          <w:szCs w:val="24"/>
        </w:rPr>
        <w:t>urveillance</w:t>
      </w:r>
      <w:r w:rsidR="00632CFC">
        <w:rPr>
          <w:b/>
          <w:sz w:val="24"/>
          <w:szCs w:val="24"/>
        </w:rPr>
        <w:t>,</w:t>
      </w:r>
      <w:r w:rsidRPr="00AD6765">
        <w:rPr>
          <w:b/>
          <w:sz w:val="24"/>
          <w:szCs w:val="24"/>
        </w:rPr>
        <w:t xml:space="preserve"> facial recognition technolog</w:t>
      </w:r>
      <w:r w:rsidR="00BA5201">
        <w:rPr>
          <w:b/>
          <w:sz w:val="24"/>
          <w:szCs w:val="24"/>
        </w:rPr>
        <w:t>ies</w:t>
      </w:r>
      <w:r w:rsidR="00AD5A06">
        <w:rPr>
          <w:b/>
          <w:sz w:val="24"/>
          <w:szCs w:val="24"/>
        </w:rPr>
        <w:t xml:space="preserve"> (FRT)</w:t>
      </w:r>
      <w:r w:rsidR="00632CFC">
        <w:rPr>
          <w:b/>
          <w:sz w:val="24"/>
          <w:szCs w:val="24"/>
        </w:rPr>
        <w:t xml:space="preserve"> and their expansion</w:t>
      </w:r>
      <w:r w:rsidR="00B03878">
        <w:rPr>
          <w:b/>
          <w:sz w:val="24"/>
          <w:szCs w:val="24"/>
        </w:rPr>
        <w:t>:</w:t>
      </w:r>
    </w:p>
    <w:p w14:paraId="056C1075" w14:textId="65D9D12F" w:rsidR="00210DF3" w:rsidRDefault="00C60251" w:rsidP="00C60251">
      <w:pPr>
        <w:rPr>
          <w:sz w:val="24"/>
          <w:szCs w:val="24"/>
        </w:rPr>
      </w:pPr>
      <w:r w:rsidRPr="00AD6765">
        <w:rPr>
          <w:sz w:val="24"/>
          <w:szCs w:val="24"/>
        </w:rPr>
        <w:t xml:space="preserve">REF is particularly concerned by the increasing use of </w:t>
      </w:r>
      <w:r w:rsidR="00A818E2">
        <w:rPr>
          <w:sz w:val="24"/>
          <w:szCs w:val="24"/>
        </w:rPr>
        <w:t>FRT</w:t>
      </w:r>
      <w:r w:rsidRPr="00AD6765">
        <w:rPr>
          <w:sz w:val="24"/>
          <w:szCs w:val="24"/>
        </w:rPr>
        <w:t xml:space="preserve"> in policing</w:t>
      </w:r>
      <w:r w:rsidR="00632CFC">
        <w:rPr>
          <w:sz w:val="24"/>
          <w:szCs w:val="24"/>
        </w:rPr>
        <w:t xml:space="preserve"> in England and Wales</w:t>
      </w:r>
      <w:r w:rsidRPr="00AD6765">
        <w:rPr>
          <w:sz w:val="24"/>
          <w:szCs w:val="24"/>
        </w:rPr>
        <w:t>, and its implications for the right to freedom of peaceful assembly.</w:t>
      </w:r>
      <w:r w:rsidR="001A5313">
        <w:rPr>
          <w:sz w:val="24"/>
          <w:szCs w:val="24"/>
        </w:rPr>
        <w:t xml:space="preserve"> </w:t>
      </w:r>
    </w:p>
    <w:p w14:paraId="097EC70A" w14:textId="37FD6346" w:rsidR="00C529A2" w:rsidRPr="00C529A2" w:rsidRDefault="00A62DA4" w:rsidP="00C529A2">
      <w:pPr>
        <w:rPr>
          <w:sz w:val="24"/>
          <w:szCs w:val="24"/>
        </w:rPr>
      </w:pPr>
      <w:r>
        <w:rPr>
          <w:sz w:val="24"/>
          <w:szCs w:val="24"/>
        </w:rPr>
        <w:t>F</w:t>
      </w:r>
      <w:r w:rsidR="00B43C34">
        <w:rPr>
          <w:sz w:val="24"/>
          <w:szCs w:val="24"/>
        </w:rPr>
        <w:t>acial recognition technologies</w:t>
      </w:r>
      <w:r w:rsidR="00C529A2" w:rsidRPr="00C529A2">
        <w:rPr>
          <w:sz w:val="24"/>
          <w:szCs w:val="24"/>
        </w:rPr>
        <w:t xml:space="preserve"> engage fundamental rights under Articles 8, 10 and 11 of the Human Rights Act and have been found unlawful when deployed without adequate safeguards.</w:t>
      </w:r>
      <w:r w:rsidR="00A54A8B">
        <w:rPr>
          <w:rStyle w:val="FootnoteReference"/>
          <w:sz w:val="24"/>
          <w:szCs w:val="24"/>
        </w:rPr>
        <w:footnoteReference w:id="3"/>
      </w:r>
    </w:p>
    <w:p w14:paraId="666C55ED" w14:textId="30411403" w:rsidR="00FA5FE6" w:rsidRDefault="00A62DA4" w:rsidP="00053421">
      <w:pPr>
        <w:rPr>
          <w:sz w:val="24"/>
          <w:szCs w:val="24"/>
        </w:rPr>
      </w:pPr>
      <w:r>
        <w:rPr>
          <w:sz w:val="24"/>
          <w:szCs w:val="24"/>
        </w:rPr>
        <w:t>FRT</w:t>
      </w:r>
      <w:r w:rsidR="001C5FD8">
        <w:rPr>
          <w:sz w:val="24"/>
          <w:szCs w:val="24"/>
        </w:rPr>
        <w:t xml:space="preserve">, including </w:t>
      </w:r>
      <w:r>
        <w:rPr>
          <w:sz w:val="24"/>
          <w:szCs w:val="24"/>
        </w:rPr>
        <w:t>L</w:t>
      </w:r>
      <w:r w:rsidR="001C5FD8">
        <w:rPr>
          <w:sz w:val="24"/>
          <w:szCs w:val="24"/>
        </w:rPr>
        <w:t>FR</w:t>
      </w:r>
      <w:r w:rsidR="00294757">
        <w:rPr>
          <w:sz w:val="24"/>
          <w:szCs w:val="24"/>
        </w:rPr>
        <w:t>, have</w:t>
      </w:r>
      <w:r w:rsidR="00C60251" w:rsidRPr="00AD6765">
        <w:rPr>
          <w:sz w:val="24"/>
          <w:szCs w:val="24"/>
        </w:rPr>
        <w:t xml:space="preserve"> been deployed extensively by police forces </w:t>
      </w:r>
      <w:r w:rsidR="00BC6A9A">
        <w:rPr>
          <w:sz w:val="24"/>
          <w:szCs w:val="24"/>
        </w:rPr>
        <w:t>across the UK</w:t>
      </w:r>
      <w:r w:rsidR="00053421">
        <w:rPr>
          <w:sz w:val="24"/>
          <w:szCs w:val="24"/>
        </w:rPr>
        <w:t xml:space="preserve"> and particularly </w:t>
      </w:r>
      <w:r w:rsidR="00C60251" w:rsidRPr="00AD6765">
        <w:rPr>
          <w:sz w:val="24"/>
          <w:szCs w:val="24"/>
        </w:rPr>
        <w:t xml:space="preserve">in Wales, </w:t>
      </w:r>
      <w:r w:rsidR="00053421">
        <w:rPr>
          <w:sz w:val="24"/>
          <w:szCs w:val="24"/>
        </w:rPr>
        <w:t xml:space="preserve">notably </w:t>
      </w:r>
      <w:r w:rsidR="00C60251" w:rsidRPr="00AD6765">
        <w:rPr>
          <w:sz w:val="24"/>
          <w:szCs w:val="24"/>
        </w:rPr>
        <w:t>by South Wales Police</w:t>
      </w:r>
      <w:r w:rsidR="00CE34D6">
        <w:rPr>
          <w:sz w:val="24"/>
          <w:szCs w:val="24"/>
        </w:rPr>
        <w:t xml:space="preserve"> </w:t>
      </w:r>
      <w:r w:rsidR="00A83B8D">
        <w:rPr>
          <w:sz w:val="24"/>
          <w:szCs w:val="24"/>
        </w:rPr>
        <w:t xml:space="preserve">(SWP) </w:t>
      </w:r>
      <w:r w:rsidR="00CE34D6">
        <w:rPr>
          <w:sz w:val="24"/>
          <w:szCs w:val="24"/>
        </w:rPr>
        <w:t>and Gwent police</w:t>
      </w:r>
      <w:r w:rsidR="002F0FA8">
        <w:rPr>
          <w:sz w:val="24"/>
          <w:szCs w:val="24"/>
        </w:rPr>
        <w:t xml:space="preserve">. </w:t>
      </w:r>
    </w:p>
    <w:p w14:paraId="6D30A972" w14:textId="5696477D" w:rsidR="00196252" w:rsidRDefault="00053421" w:rsidP="00053421">
      <w:pPr>
        <w:rPr>
          <w:sz w:val="24"/>
          <w:szCs w:val="24"/>
        </w:rPr>
      </w:pPr>
      <w:r w:rsidRPr="00D320D0">
        <w:rPr>
          <w:sz w:val="24"/>
          <w:szCs w:val="24"/>
        </w:rPr>
        <w:t>There have been at least 80 confirmed</w:t>
      </w:r>
      <w:r w:rsidR="00A53026">
        <w:rPr>
          <w:sz w:val="24"/>
          <w:szCs w:val="24"/>
        </w:rPr>
        <w:t xml:space="preserve"> overt</w:t>
      </w:r>
      <w:r w:rsidRPr="00D320D0">
        <w:rPr>
          <w:sz w:val="24"/>
          <w:szCs w:val="24"/>
        </w:rPr>
        <w:t xml:space="preserve"> police deployments of LFR in the UK since the technology </w:t>
      </w:r>
      <w:r w:rsidR="009E6FC2">
        <w:rPr>
          <w:sz w:val="24"/>
          <w:szCs w:val="24"/>
        </w:rPr>
        <w:t xml:space="preserve">was first deployed </w:t>
      </w:r>
      <w:r w:rsidRPr="00D320D0">
        <w:rPr>
          <w:sz w:val="24"/>
          <w:szCs w:val="24"/>
        </w:rPr>
        <w:t>by Leicestershire Polic</w:t>
      </w:r>
      <w:r w:rsidR="00134D0D">
        <w:rPr>
          <w:sz w:val="24"/>
          <w:szCs w:val="24"/>
        </w:rPr>
        <w:t>e</w:t>
      </w:r>
      <w:r w:rsidR="009E6FC2">
        <w:rPr>
          <w:sz w:val="24"/>
          <w:szCs w:val="24"/>
        </w:rPr>
        <w:t xml:space="preserve"> in 2015</w:t>
      </w:r>
      <w:r w:rsidR="00167964">
        <w:rPr>
          <w:sz w:val="24"/>
          <w:szCs w:val="24"/>
        </w:rPr>
        <w:t>. O</w:t>
      </w:r>
      <w:r w:rsidRPr="00D320D0">
        <w:rPr>
          <w:sz w:val="24"/>
          <w:szCs w:val="24"/>
        </w:rPr>
        <w:t xml:space="preserve">ver 70% (58) of these deployments have been in the </w:t>
      </w:r>
      <w:r w:rsidR="00A83B8D">
        <w:rPr>
          <w:sz w:val="24"/>
          <w:szCs w:val="24"/>
        </w:rPr>
        <w:t>SWP force</w:t>
      </w:r>
      <w:r w:rsidRPr="00D320D0">
        <w:rPr>
          <w:sz w:val="24"/>
          <w:szCs w:val="24"/>
        </w:rPr>
        <w:t xml:space="preserve"> area</w:t>
      </w:r>
      <w:r w:rsidR="00167964">
        <w:rPr>
          <w:sz w:val="24"/>
          <w:szCs w:val="24"/>
        </w:rPr>
        <w:t xml:space="preserve">, </w:t>
      </w:r>
      <w:r w:rsidRPr="00D320D0">
        <w:rPr>
          <w:sz w:val="24"/>
          <w:szCs w:val="24"/>
        </w:rPr>
        <w:t>predominantly</w:t>
      </w:r>
      <w:r w:rsidR="00A83B8D">
        <w:rPr>
          <w:sz w:val="24"/>
          <w:szCs w:val="24"/>
        </w:rPr>
        <w:t xml:space="preserve"> in</w:t>
      </w:r>
      <w:r w:rsidRPr="00D320D0">
        <w:rPr>
          <w:sz w:val="24"/>
          <w:szCs w:val="24"/>
        </w:rPr>
        <w:t xml:space="preserve"> Cardiff and Swansea</w:t>
      </w:r>
      <w:r w:rsidR="00167964">
        <w:rPr>
          <w:sz w:val="24"/>
          <w:szCs w:val="24"/>
        </w:rPr>
        <w:t>.</w:t>
      </w:r>
      <w:r w:rsidR="00237218">
        <w:rPr>
          <w:rStyle w:val="FootnoteReference"/>
          <w:sz w:val="24"/>
          <w:szCs w:val="24"/>
        </w:rPr>
        <w:footnoteReference w:id="4"/>
      </w:r>
      <w:r w:rsidR="00AA582D">
        <w:rPr>
          <w:sz w:val="24"/>
          <w:szCs w:val="24"/>
        </w:rPr>
        <w:t xml:space="preserve"> </w:t>
      </w:r>
    </w:p>
    <w:p w14:paraId="3DF5C627" w14:textId="0D94C11E" w:rsidR="008904C5" w:rsidRDefault="00F31EF4" w:rsidP="00C60251">
      <w:pPr>
        <w:rPr>
          <w:sz w:val="24"/>
          <w:szCs w:val="24"/>
        </w:rPr>
      </w:pPr>
      <w:r>
        <w:rPr>
          <w:sz w:val="24"/>
          <w:szCs w:val="24"/>
        </w:rPr>
        <w:t>These</w:t>
      </w:r>
      <w:r w:rsidR="00A83B8D">
        <w:rPr>
          <w:sz w:val="24"/>
          <w:szCs w:val="24"/>
        </w:rPr>
        <w:t xml:space="preserve"> LFR</w:t>
      </w:r>
      <w:r>
        <w:rPr>
          <w:sz w:val="24"/>
          <w:szCs w:val="24"/>
        </w:rPr>
        <w:t xml:space="preserve"> deployments have involved large-scale scanning of the </w:t>
      </w:r>
      <w:r w:rsidR="00300110">
        <w:rPr>
          <w:sz w:val="24"/>
          <w:szCs w:val="24"/>
        </w:rPr>
        <w:t>public</w:t>
      </w:r>
      <w:r>
        <w:rPr>
          <w:sz w:val="24"/>
          <w:szCs w:val="24"/>
        </w:rPr>
        <w:t xml:space="preserve"> without individualised suspicion and with very high false positive rates</w:t>
      </w:r>
      <w:r w:rsidR="00196252">
        <w:rPr>
          <w:sz w:val="24"/>
          <w:szCs w:val="24"/>
        </w:rPr>
        <w:t xml:space="preserve"> - </w:t>
      </w:r>
      <w:r w:rsidR="00196252" w:rsidRPr="00D320D0">
        <w:rPr>
          <w:sz w:val="24"/>
          <w:szCs w:val="24"/>
        </w:rPr>
        <w:t xml:space="preserve">data shows that </w:t>
      </w:r>
      <w:r w:rsidR="00196252">
        <w:rPr>
          <w:sz w:val="24"/>
          <w:szCs w:val="24"/>
        </w:rPr>
        <w:t>SWP</w:t>
      </w:r>
      <w:r w:rsidR="00196252" w:rsidRPr="00D320D0">
        <w:rPr>
          <w:sz w:val="24"/>
          <w:szCs w:val="24"/>
        </w:rPr>
        <w:t xml:space="preserve"> have a false positive rate of 90%.</w:t>
      </w:r>
      <w:r w:rsidR="00196252" w:rsidRPr="00D320D0">
        <w:rPr>
          <w:sz w:val="24"/>
          <w:szCs w:val="24"/>
          <w:vertAlign w:val="superscript"/>
        </w:rPr>
        <w:footnoteReference w:id="5"/>
      </w:r>
      <w:r w:rsidR="009C1D8C">
        <w:rPr>
          <w:sz w:val="24"/>
          <w:szCs w:val="24"/>
        </w:rPr>
        <w:t xml:space="preserve"> Furthermore, r</w:t>
      </w:r>
      <w:r w:rsidR="009C1D8C" w:rsidRPr="009C1D8C">
        <w:rPr>
          <w:sz w:val="24"/>
          <w:szCs w:val="24"/>
        </w:rPr>
        <w:t xml:space="preserve">ecent evidence presented in litigation concerning the Metropolitan Police’s </w:t>
      </w:r>
      <w:r w:rsidR="00683E64">
        <w:rPr>
          <w:sz w:val="24"/>
          <w:szCs w:val="24"/>
        </w:rPr>
        <w:t xml:space="preserve">live facial recognition technology </w:t>
      </w:r>
      <w:r w:rsidR="009C1D8C" w:rsidRPr="009C1D8C">
        <w:rPr>
          <w:sz w:val="24"/>
          <w:szCs w:val="24"/>
        </w:rPr>
        <w:t>policy further highlighted the increasing scale of deployments, including the integration of LFR</w:t>
      </w:r>
      <w:r w:rsidR="00683E64">
        <w:rPr>
          <w:sz w:val="24"/>
          <w:szCs w:val="24"/>
        </w:rPr>
        <w:t xml:space="preserve"> </w:t>
      </w:r>
      <w:r w:rsidR="009C1D8C" w:rsidRPr="009C1D8C">
        <w:rPr>
          <w:sz w:val="24"/>
          <w:szCs w:val="24"/>
        </w:rPr>
        <w:t>into wider CCTV networks, the routine scanning of thousands of individuals during deployments, and the use of watchlists containing many thousands of images</w:t>
      </w:r>
      <w:r w:rsidR="009C1D8C">
        <w:rPr>
          <w:sz w:val="24"/>
          <w:szCs w:val="24"/>
        </w:rPr>
        <w:t>.</w:t>
      </w:r>
      <w:r w:rsidR="009C1D8C">
        <w:rPr>
          <w:rStyle w:val="FootnoteReference"/>
          <w:sz w:val="24"/>
          <w:szCs w:val="24"/>
        </w:rPr>
        <w:footnoteReference w:id="6"/>
      </w:r>
      <w:r w:rsidR="009C1D8C">
        <w:rPr>
          <w:sz w:val="24"/>
          <w:szCs w:val="24"/>
        </w:rPr>
        <w:t xml:space="preserve"> </w:t>
      </w:r>
    </w:p>
    <w:p w14:paraId="3C62D31F" w14:textId="18356906" w:rsidR="00E93364" w:rsidRDefault="00E93364" w:rsidP="00C60251">
      <w:pPr>
        <w:rPr>
          <w:sz w:val="24"/>
          <w:szCs w:val="24"/>
        </w:rPr>
      </w:pPr>
      <w:r w:rsidRPr="00E93364">
        <w:rPr>
          <w:sz w:val="24"/>
          <w:szCs w:val="24"/>
        </w:rPr>
        <w:t>REF is concerned that the increasingly routine deployment of biometric surveillance technologies in policing and public space contexts risks normalising forms of suspicion-less monitoring that fundamentally alter the relationship between individuals, public authorities, and civic space.</w:t>
      </w:r>
    </w:p>
    <w:p w14:paraId="39A5CE13" w14:textId="7FF4455A" w:rsidR="00B52CE6" w:rsidRDefault="00DD2893" w:rsidP="00C60251">
      <w:pPr>
        <w:rPr>
          <w:sz w:val="24"/>
          <w:szCs w:val="24"/>
        </w:rPr>
      </w:pPr>
      <w:r w:rsidRPr="00DD2893">
        <w:rPr>
          <w:sz w:val="24"/>
          <w:szCs w:val="24"/>
        </w:rPr>
        <w:t xml:space="preserve">REF is </w:t>
      </w:r>
      <w:r w:rsidR="00D67021">
        <w:rPr>
          <w:sz w:val="24"/>
          <w:szCs w:val="24"/>
        </w:rPr>
        <w:t xml:space="preserve">particularly </w:t>
      </w:r>
      <w:r w:rsidRPr="00DD2893">
        <w:rPr>
          <w:sz w:val="24"/>
          <w:szCs w:val="24"/>
        </w:rPr>
        <w:t>concerned that the absence of a comprehensive statutory framework governing facial recognition technologies has enabled highly intrusive surveillance practices to develop incrementally without sufficient democratic scrutiny or independent oversight.</w:t>
      </w:r>
    </w:p>
    <w:p w14:paraId="74C8BC98" w14:textId="77777777" w:rsidR="009C1D8C" w:rsidRDefault="009C1D8C" w:rsidP="00C60251">
      <w:pPr>
        <w:rPr>
          <w:sz w:val="24"/>
          <w:szCs w:val="24"/>
        </w:rPr>
      </w:pPr>
    </w:p>
    <w:p w14:paraId="70664CD3" w14:textId="744B0657" w:rsidR="004B5AAA" w:rsidRPr="004B5AAA" w:rsidRDefault="004B5AAA" w:rsidP="004B5AAA">
      <w:pPr>
        <w:rPr>
          <w:b/>
          <w:bCs/>
          <w:sz w:val="24"/>
          <w:szCs w:val="24"/>
        </w:rPr>
      </w:pPr>
      <w:r w:rsidRPr="004B5AAA">
        <w:rPr>
          <w:b/>
          <w:bCs/>
          <w:sz w:val="24"/>
          <w:szCs w:val="24"/>
        </w:rPr>
        <w:lastRenderedPageBreak/>
        <w:t>2.</w:t>
      </w:r>
      <w:r w:rsidR="003426B6">
        <w:rPr>
          <w:b/>
          <w:bCs/>
          <w:sz w:val="24"/>
          <w:szCs w:val="24"/>
        </w:rPr>
        <w:t>2</w:t>
      </w:r>
      <w:r w:rsidRPr="004B5AAA">
        <w:rPr>
          <w:b/>
          <w:bCs/>
          <w:sz w:val="24"/>
          <w:szCs w:val="24"/>
        </w:rPr>
        <w:t>.</w:t>
      </w:r>
      <w:r w:rsidR="00FA7D24">
        <w:rPr>
          <w:b/>
          <w:bCs/>
          <w:sz w:val="24"/>
          <w:szCs w:val="24"/>
        </w:rPr>
        <w:t>1</w:t>
      </w:r>
      <w:r w:rsidRPr="004B5AAA">
        <w:rPr>
          <w:b/>
          <w:bCs/>
          <w:sz w:val="24"/>
          <w:szCs w:val="24"/>
        </w:rPr>
        <w:t xml:space="preserve"> Discrimination, bias and racial disproportionality</w:t>
      </w:r>
      <w:r w:rsidR="00AD5A06">
        <w:rPr>
          <w:b/>
          <w:bCs/>
          <w:sz w:val="24"/>
          <w:szCs w:val="24"/>
        </w:rPr>
        <w:t xml:space="preserve"> in FRT: </w:t>
      </w:r>
    </w:p>
    <w:p w14:paraId="70424FF7" w14:textId="285B5413" w:rsidR="006E0972" w:rsidRPr="00CA7C5D" w:rsidRDefault="006E0972" w:rsidP="004B5AAA">
      <w:pPr>
        <w:rPr>
          <w:sz w:val="24"/>
          <w:szCs w:val="24"/>
        </w:rPr>
      </w:pPr>
      <w:r w:rsidRPr="00CA7C5D">
        <w:rPr>
          <w:sz w:val="24"/>
          <w:szCs w:val="24"/>
        </w:rPr>
        <w:t xml:space="preserve">The use of </w:t>
      </w:r>
      <w:r w:rsidR="00634DE5" w:rsidRPr="00CA7C5D">
        <w:rPr>
          <w:sz w:val="24"/>
          <w:szCs w:val="24"/>
        </w:rPr>
        <w:t>FRT</w:t>
      </w:r>
      <w:r w:rsidR="004A5E6A" w:rsidRPr="00CA7C5D">
        <w:rPr>
          <w:sz w:val="24"/>
          <w:szCs w:val="24"/>
        </w:rPr>
        <w:t xml:space="preserve"> </w:t>
      </w:r>
      <w:r w:rsidRPr="00CA7C5D">
        <w:rPr>
          <w:sz w:val="24"/>
          <w:szCs w:val="24"/>
        </w:rPr>
        <w:t xml:space="preserve">raises significant concerns regarding discrimination, particularly given documented biases in algorithmic systems and the risk of misidentification. </w:t>
      </w:r>
    </w:p>
    <w:p w14:paraId="11CC51C3" w14:textId="4B674843" w:rsidR="004B5AAA" w:rsidRPr="00CA7C5D" w:rsidRDefault="004B5AAA" w:rsidP="00CA7C5D">
      <w:pPr>
        <w:rPr>
          <w:sz w:val="24"/>
          <w:szCs w:val="24"/>
        </w:rPr>
      </w:pPr>
      <w:r w:rsidRPr="00CA7C5D">
        <w:rPr>
          <w:sz w:val="24"/>
          <w:szCs w:val="24"/>
        </w:rPr>
        <w:t>Research has consistently highlighted the inaccuracy of FRT and how the technology discriminates against women and minority ethnic people.</w:t>
      </w:r>
      <w:r w:rsidR="00221C46" w:rsidRPr="00CA7C5D">
        <w:rPr>
          <w:rStyle w:val="FootnoteReference"/>
          <w:sz w:val="24"/>
          <w:szCs w:val="24"/>
        </w:rPr>
        <w:footnoteReference w:id="7"/>
      </w:r>
      <w:r w:rsidR="00A0092A">
        <w:rPr>
          <w:sz w:val="24"/>
          <w:szCs w:val="24"/>
        </w:rPr>
        <w:t xml:space="preserve"> </w:t>
      </w:r>
      <w:r w:rsidRPr="00CA7C5D">
        <w:rPr>
          <w:sz w:val="24"/>
          <w:szCs w:val="24"/>
        </w:rPr>
        <w:t>One study found that FRT systems had higher error rates for darker-skinned and female</w:t>
      </w:r>
      <w:r w:rsidR="00CA7C5D">
        <w:rPr>
          <w:sz w:val="24"/>
          <w:szCs w:val="24"/>
        </w:rPr>
        <w:t xml:space="preserve"> </w:t>
      </w:r>
      <w:r w:rsidRPr="00CA7C5D">
        <w:rPr>
          <w:sz w:val="24"/>
          <w:szCs w:val="24"/>
        </w:rPr>
        <w:t>faces compared to lighter-skinned and male faces, with error rates for darker-skinned women as high as 34.7% compared to less than 1% for lighter-skinned men.</w:t>
      </w:r>
      <w:r w:rsidR="002D2F8A" w:rsidRPr="00CA7C5D">
        <w:rPr>
          <w:rStyle w:val="FootnoteReference"/>
          <w:sz w:val="24"/>
          <w:szCs w:val="24"/>
        </w:rPr>
        <w:footnoteReference w:id="8"/>
      </w:r>
    </w:p>
    <w:p w14:paraId="666951BF" w14:textId="3DBD25A2" w:rsidR="004B5AAA" w:rsidRPr="000D5387" w:rsidRDefault="004B5AAA" w:rsidP="004B5AAA">
      <w:pPr>
        <w:rPr>
          <w:color w:val="000000" w:themeColor="text1"/>
          <w:sz w:val="24"/>
          <w:szCs w:val="24"/>
        </w:rPr>
      </w:pPr>
      <w:r w:rsidRPr="00CA7C5D">
        <w:rPr>
          <w:sz w:val="24"/>
          <w:szCs w:val="24"/>
        </w:rPr>
        <w:t xml:space="preserve">Individuals from racialised communities </w:t>
      </w:r>
      <w:r w:rsidR="000A0330">
        <w:rPr>
          <w:sz w:val="24"/>
          <w:szCs w:val="24"/>
        </w:rPr>
        <w:t>are</w:t>
      </w:r>
      <w:r w:rsidR="00256EC6" w:rsidRPr="00CA7C5D">
        <w:rPr>
          <w:sz w:val="24"/>
          <w:szCs w:val="24"/>
        </w:rPr>
        <w:t xml:space="preserve"> mo</w:t>
      </w:r>
      <w:r w:rsidRPr="00CA7C5D">
        <w:rPr>
          <w:sz w:val="24"/>
          <w:szCs w:val="24"/>
        </w:rPr>
        <w:t xml:space="preserve">re likely to be incorrectly </w:t>
      </w:r>
      <w:r w:rsidRPr="000D5387">
        <w:rPr>
          <w:color w:val="000000" w:themeColor="text1"/>
          <w:sz w:val="24"/>
          <w:szCs w:val="24"/>
        </w:rPr>
        <w:t>flagged</w:t>
      </w:r>
      <w:r w:rsidR="00562118" w:rsidRPr="000D5387">
        <w:rPr>
          <w:color w:val="000000" w:themeColor="text1"/>
          <w:sz w:val="24"/>
          <w:szCs w:val="24"/>
        </w:rPr>
        <w:t xml:space="preserve">. </w:t>
      </w:r>
      <w:r w:rsidR="00A15A06" w:rsidRPr="000D5387">
        <w:rPr>
          <w:color w:val="000000" w:themeColor="text1"/>
          <w:sz w:val="24"/>
          <w:szCs w:val="24"/>
        </w:rPr>
        <w:t>The consequences of false alerts can be significant, including police intervention, reputational harm, wrongful suspicion</w:t>
      </w:r>
      <w:r w:rsidR="00562118" w:rsidRPr="000D5387">
        <w:rPr>
          <w:color w:val="000000" w:themeColor="text1"/>
          <w:sz w:val="24"/>
          <w:szCs w:val="24"/>
        </w:rPr>
        <w:t xml:space="preserve"> and further entrenchment of mistrust in policing among minority ethnic communities</w:t>
      </w:r>
      <w:r w:rsidR="00A15A06" w:rsidRPr="000D5387">
        <w:rPr>
          <w:color w:val="000000" w:themeColor="text1"/>
          <w:sz w:val="24"/>
          <w:szCs w:val="24"/>
        </w:rPr>
        <w:t xml:space="preserve">. </w:t>
      </w:r>
      <w:r w:rsidR="000A0330" w:rsidRPr="000D5387">
        <w:rPr>
          <w:color w:val="000000" w:themeColor="text1"/>
          <w:sz w:val="24"/>
          <w:szCs w:val="24"/>
        </w:rPr>
        <w:t>Furthermore, it’s important to note here that e</w:t>
      </w:r>
      <w:r w:rsidR="00A15A06" w:rsidRPr="000D5387">
        <w:rPr>
          <w:color w:val="000000" w:themeColor="text1"/>
          <w:sz w:val="24"/>
          <w:szCs w:val="24"/>
        </w:rPr>
        <w:t>ven low error rates may translate into substantial numbers of incorrect identifications where deployments involve the scanning of thousands of individuals and the use of large watchlists.</w:t>
      </w:r>
      <w:r w:rsidR="00562118" w:rsidRPr="000D5387">
        <w:rPr>
          <w:rStyle w:val="FootnoteReference"/>
          <w:color w:val="000000" w:themeColor="text1"/>
          <w:sz w:val="24"/>
          <w:szCs w:val="24"/>
        </w:rPr>
        <w:footnoteReference w:id="9"/>
      </w:r>
    </w:p>
    <w:p w14:paraId="7171F728" w14:textId="38AB293D" w:rsidR="004B5AAA" w:rsidRPr="00CA7C5D" w:rsidRDefault="004B5AAA" w:rsidP="004B5AAA">
      <w:pPr>
        <w:rPr>
          <w:sz w:val="24"/>
          <w:szCs w:val="24"/>
        </w:rPr>
      </w:pPr>
      <w:r w:rsidRPr="00CA7C5D">
        <w:rPr>
          <w:sz w:val="24"/>
          <w:szCs w:val="24"/>
        </w:rPr>
        <w:t>The Ryder Review</w:t>
      </w:r>
      <w:r w:rsidR="00A42B8B" w:rsidRPr="00CA7C5D">
        <w:rPr>
          <w:rStyle w:val="FootnoteReference"/>
          <w:sz w:val="24"/>
          <w:szCs w:val="24"/>
        </w:rPr>
        <w:footnoteReference w:id="10"/>
      </w:r>
      <w:r w:rsidRPr="00CA7C5D">
        <w:rPr>
          <w:sz w:val="24"/>
          <w:szCs w:val="24"/>
        </w:rPr>
        <w:t xml:space="preserve"> highlighted that large-scale biometric data collection has historically led to disproportionate inclusion of racialised communities, and that courts and public authorities have repeatedly underestimated the level of rights interference caused by mass biometric databases.</w:t>
      </w:r>
    </w:p>
    <w:p w14:paraId="3C23B384" w14:textId="7FC87FBD" w:rsidR="004B5AAA" w:rsidRPr="00CA7C5D" w:rsidRDefault="004B5AAA" w:rsidP="004B5AAA">
      <w:pPr>
        <w:rPr>
          <w:sz w:val="24"/>
          <w:szCs w:val="24"/>
        </w:rPr>
      </w:pPr>
      <w:r w:rsidRPr="00CA7C5D">
        <w:rPr>
          <w:sz w:val="24"/>
          <w:szCs w:val="24"/>
        </w:rPr>
        <w:t>REF is concerned that the increasing use of biometric technologies risks compounding existing racial disproportionalities in policing and surveillance.</w:t>
      </w:r>
    </w:p>
    <w:p w14:paraId="6BBB4157" w14:textId="77777777" w:rsidR="00625F3C" w:rsidRDefault="00625F3C" w:rsidP="00C60251">
      <w:pPr>
        <w:rPr>
          <w:sz w:val="24"/>
          <w:szCs w:val="24"/>
        </w:rPr>
      </w:pPr>
    </w:p>
    <w:p w14:paraId="17A32F2F" w14:textId="53997CD8" w:rsidR="006D0706" w:rsidRPr="0066068D" w:rsidRDefault="006D0706" w:rsidP="006D0706">
      <w:pPr>
        <w:spacing w:line="278" w:lineRule="auto"/>
        <w:rPr>
          <w:b/>
          <w:bCs/>
          <w:sz w:val="24"/>
          <w:szCs w:val="24"/>
        </w:rPr>
      </w:pPr>
      <w:r w:rsidRPr="0066068D">
        <w:rPr>
          <w:b/>
          <w:bCs/>
          <w:sz w:val="24"/>
          <w:szCs w:val="24"/>
        </w:rPr>
        <w:t>2.</w:t>
      </w:r>
      <w:r w:rsidR="00AD5A06" w:rsidRPr="0066068D">
        <w:rPr>
          <w:b/>
          <w:bCs/>
          <w:sz w:val="24"/>
          <w:szCs w:val="24"/>
        </w:rPr>
        <w:t>2.2</w:t>
      </w:r>
      <w:r w:rsidRPr="0066068D">
        <w:rPr>
          <w:b/>
          <w:bCs/>
          <w:sz w:val="24"/>
          <w:szCs w:val="24"/>
        </w:rPr>
        <w:t xml:space="preserve"> </w:t>
      </w:r>
      <w:r w:rsidR="0066068D">
        <w:rPr>
          <w:b/>
          <w:bCs/>
          <w:sz w:val="24"/>
          <w:szCs w:val="24"/>
        </w:rPr>
        <w:t>FRT impact on p</w:t>
      </w:r>
      <w:r w:rsidRPr="0066068D">
        <w:rPr>
          <w:b/>
          <w:bCs/>
          <w:sz w:val="24"/>
          <w:szCs w:val="24"/>
        </w:rPr>
        <w:t>rotest rights and democratic participation</w:t>
      </w:r>
      <w:r w:rsidR="00204AD9" w:rsidRPr="0066068D">
        <w:rPr>
          <w:b/>
          <w:bCs/>
          <w:sz w:val="24"/>
          <w:szCs w:val="24"/>
        </w:rPr>
        <w:t xml:space="preserve">: </w:t>
      </w:r>
    </w:p>
    <w:p w14:paraId="27C6A63E" w14:textId="7A9682E2" w:rsidR="00637D39" w:rsidRPr="0066068D" w:rsidRDefault="00D52299" w:rsidP="00C60251">
      <w:pPr>
        <w:rPr>
          <w:sz w:val="24"/>
          <w:szCs w:val="24"/>
        </w:rPr>
      </w:pPr>
      <w:r w:rsidRPr="0066068D">
        <w:rPr>
          <w:sz w:val="24"/>
          <w:szCs w:val="24"/>
        </w:rPr>
        <w:t xml:space="preserve">In addition to issues of accuracy and bias, the deployment of </w:t>
      </w:r>
      <w:r w:rsidR="004374BD" w:rsidRPr="0066068D">
        <w:rPr>
          <w:sz w:val="24"/>
          <w:szCs w:val="24"/>
        </w:rPr>
        <w:t>FRT</w:t>
      </w:r>
      <w:r w:rsidRPr="0066068D">
        <w:rPr>
          <w:sz w:val="24"/>
          <w:szCs w:val="24"/>
        </w:rPr>
        <w:t xml:space="preserve"> in public spaces raises fundamental concerns regarding anonymity and participation in democratic life</w:t>
      </w:r>
      <w:r w:rsidR="006D40C6">
        <w:rPr>
          <w:sz w:val="24"/>
          <w:szCs w:val="24"/>
        </w:rPr>
        <w:t>, as t</w:t>
      </w:r>
      <w:r w:rsidR="00F711FF" w:rsidRPr="0066068D">
        <w:rPr>
          <w:sz w:val="24"/>
          <w:szCs w:val="24"/>
        </w:rPr>
        <w:t xml:space="preserve">he ability to participate in protests without being subject to identification or monitoring is a key component of the right to peaceful assembly. </w:t>
      </w:r>
    </w:p>
    <w:p w14:paraId="6C4DCCE7" w14:textId="170FCD09" w:rsidR="00CC410E" w:rsidRPr="0066068D" w:rsidRDefault="00CC410E" w:rsidP="00C60251">
      <w:pPr>
        <w:rPr>
          <w:sz w:val="24"/>
          <w:szCs w:val="24"/>
        </w:rPr>
      </w:pPr>
      <w:r w:rsidRPr="0066068D">
        <w:rPr>
          <w:sz w:val="24"/>
          <w:szCs w:val="24"/>
        </w:rPr>
        <w:t xml:space="preserve">Biometric technologies, including </w:t>
      </w:r>
      <w:r w:rsidR="006D40C6">
        <w:rPr>
          <w:sz w:val="24"/>
          <w:szCs w:val="24"/>
        </w:rPr>
        <w:t>FRT</w:t>
      </w:r>
      <w:r w:rsidRPr="0066068D">
        <w:rPr>
          <w:sz w:val="24"/>
          <w:szCs w:val="24"/>
        </w:rPr>
        <w:t>, engage fundamental rights by their very nature, regardless of the specific operational context</w:t>
      </w:r>
      <w:r w:rsidR="008234A3">
        <w:rPr>
          <w:sz w:val="24"/>
          <w:szCs w:val="24"/>
        </w:rPr>
        <w:t xml:space="preserve"> and moreover, the threat or possibility of surveillance itself can inter</w:t>
      </w:r>
      <w:r w:rsidR="000253C5">
        <w:rPr>
          <w:sz w:val="24"/>
          <w:szCs w:val="24"/>
        </w:rPr>
        <w:t>fere with rights</w:t>
      </w:r>
      <w:r w:rsidR="005F1EA3">
        <w:rPr>
          <w:sz w:val="24"/>
          <w:szCs w:val="24"/>
        </w:rPr>
        <w:t xml:space="preserve"> as this alo</w:t>
      </w:r>
      <w:r w:rsidR="00A53026">
        <w:rPr>
          <w:sz w:val="24"/>
          <w:szCs w:val="24"/>
        </w:rPr>
        <w:t>ne</w:t>
      </w:r>
      <w:r w:rsidR="005F1EA3">
        <w:rPr>
          <w:sz w:val="24"/>
          <w:szCs w:val="24"/>
        </w:rPr>
        <w:t xml:space="preserve"> can result in individuals altering </w:t>
      </w:r>
      <w:r w:rsidR="005F1EA3">
        <w:rPr>
          <w:sz w:val="24"/>
          <w:szCs w:val="24"/>
        </w:rPr>
        <w:lastRenderedPageBreak/>
        <w:t>their behaviour due to fear of monitoring or identification</w:t>
      </w:r>
      <w:r w:rsidR="000253C5">
        <w:rPr>
          <w:sz w:val="24"/>
          <w:szCs w:val="24"/>
        </w:rPr>
        <w:t>.</w:t>
      </w:r>
      <w:r w:rsidR="003C5F03" w:rsidRPr="0066068D">
        <w:rPr>
          <w:sz w:val="24"/>
          <w:szCs w:val="24"/>
        </w:rPr>
        <w:t xml:space="preserve"> </w:t>
      </w:r>
      <w:r w:rsidR="00FD0DF5">
        <w:rPr>
          <w:sz w:val="24"/>
          <w:szCs w:val="24"/>
        </w:rPr>
        <w:t>REF is</w:t>
      </w:r>
      <w:r w:rsidR="003C5F03" w:rsidRPr="0066068D">
        <w:rPr>
          <w:sz w:val="24"/>
          <w:szCs w:val="24"/>
        </w:rPr>
        <w:t xml:space="preserve"> concerned that such technologies pose a serious risk to the effective enjoyment of Articles 8, 10 and 11 of the H</w:t>
      </w:r>
      <w:r w:rsidR="00CE1279" w:rsidRPr="0066068D">
        <w:rPr>
          <w:sz w:val="24"/>
          <w:szCs w:val="24"/>
        </w:rPr>
        <w:t xml:space="preserve">uman Rights Act, particularly for </w:t>
      </w:r>
      <w:r w:rsidR="00E77CBD" w:rsidRPr="0066068D">
        <w:rPr>
          <w:sz w:val="24"/>
          <w:szCs w:val="24"/>
        </w:rPr>
        <w:t>groups already subject to disproportionate</w:t>
      </w:r>
      <w:r w:rsidR="009F69A9" w:rsidRPr="0066068D">
        <w:rPr>
          <w:sz w:val="24"/>
          <w:szCs w:val="24"/>
        </w:rPr>
        <w:t xml:space="preserve"> </w:t>
      </w:r>
      <w:r w:rsidR="00E77CBD" w:rsidRPr="0066068D">
        <w:rPr>
          <w:sz w:val="24"/>
          <w:szCs w:val="24"/>
        </w:rPr>
        <w:t xml:space="preserve">policing, including people </w:t>
      </w:r>
      <w:r w:rsidR="00CE1279" w:rsidRPr="0066068D">
        <w:rPr>
          <w:sz w:val="24"/>
          <w:szCs w:val="24"/>
        </w:rPr>
        <w:t xml:space="preserve">from minority ethnic backgrounds </w:t>
      </w:r>
      <w:r w:rsidR="006F6335" w:rsidRPr="0066068D">
        <w:rPr>
          <w:sz w:val="24"/>
          <w:szCs w:val="24"/>
        </w:rPr>
        <w:t>in the UK.</w:t>
      </w:r>
    </w:p>
    <w:p w14:paraId="7CA99C53" w14:textId="7FFF6CD7" w:rsidR="0024033E" w:rsidRPr="0066068D" w:rsidRDefault="00A07381" w:rsidP="00C60251">
      <w:pPr>
        <w:rPr>
          <w:sz w:val="24"/>
          <w:szCs w:val="24"/>
        </w:rPr>
      </w:pPr>
      <w:r w:rsidRPr="0066068D">
        <w:rPr>
          <w:sz w:val="24"/>
          <w:szCs w:val="24"/>
        </w:rPr>
        <w:t xml:space="preserve">The </w:t>
      </w:r>
      <w:r w:rsidR="0024033E" w:rsidRPr="0066068D">
        <w:rPr>
          <w:sz w:val="24"/>
          <w:szCs w:val="24"/>
        </w:rPr>
        <w:t xml:space="preserve">broader context of policing practices that consistently </w:t>
      </w:r>
      <w:r w:rsidR="00853021" w:rsidRPr="0066068D">
        <w:rPr>
          <w:sz w:val="24"/>
          <w:szCs w:val="24"/>
        </w:rPr>
        <w:t>produce disproportionate outcomes for min</w:t>
      </w:r>
      <w:r w:rsidR="00A344DC" w:rsidRPr="0066068D">
        <w:rPr>
          <w:sz w:val="24"/>
          <w:szCs w:val="24"/>
        </w:rPr>
        <w:t>ority ethnic groups must be considered when assessing interference with rights to freedom of expression</w:t>
      </w:r>
      <w:r w:rsidR="00687710">
        <w:rPr>
          <w:sz w:val="24"/>
          <w:szCs w:val="24"/>
        </w:rPr>
        <w:t>,</w:t>
      </w:r>
      <w:r w:rsidR="00A344DC" w:rsidRPr="0066068D">
        <w:rPr>
          <w:sz w:val="24"/>
          <w:szCs w:val="24"/>
        </w:rPr>
        <w:t xml:space="preserve"> assembly</w:t>
      </w:r>
      <w:r w:rsidR="00687710">
        <w:rPr>
          <w:sz w:val="24"/>
          <w:szCs w:val="24"/>
        </w:rPr>
        <w:t xml:space="preserve"> and association</w:t>
      </w:r>
      <w:r w:rsidRPr="0066068D">
        <w:rPr>
          <w:sz w:val="24"/>
          <w:szCs w:val="24"/>
        </w:rPr>
        <w:t xml:space="preserve">, as </w:t>
      </w:r>
      <w:r w:rsidR="0049240C">
        <w:rPr>
          <w:sz w:val="24"/>
          <w:szCs w:val="24"/>
        </w:rPr>
        <w:t>outlined</w:t>
      </w:r>
      <w:r w:rsidRPr="0066068D">
        <w:rPr>
          <w:sz w:val="24"/>
          <w:szCs w:val="24"/>
        </w:rPr>
        <w:t xml:space="preserve"> in </w:t>
      </w:r>
      <w:r w:rsidR="000041FE" w:rsidRPr="0066068D">
        <w:rPr>
          <w:sz w:val="24"/>
          <w:szCs w:val="24"/>
        </w:rPr>
        <w:t xml:space="preserve">section </w:t>
      </w:r>
      <w:r w:rsidRPr="0066068D">
        <w:rPr>
          <w:sz w:val="24"/>
          <w:szCs w:val="24"/>
        </w:rPr>
        <w:t>2.</w:t>
      </w:r>
      <w:r w:rsidR="00B73AA3">
        <w:rPr>
          <w:sz w:val="24"/>
          <w:szCs w:val="24"/>
        </w:rPr>
        <w:t>1</w:t>
      </w:r>
      <w:r w:rsidRPr="0066068D">
        <w:rPr>
          <w:sz w:val="24"/>
          <w:szCs w:val="24"/>
        </w:rPr>
        <w:t xml:space="preserve"> of this submission. </w:t>
      </w:r>
    </w:p>
    <w:p w14:paraId="3E5D8496" w14:textId="65BBBC96" w:rsidR="0088545B" w:rsidRPr="0043573E" w:rsidRDefault="0088545B" w:rsidP="00C60251">
      <w:pPr>
        <w:rPr>
          <w:sz w:val="24"/>
          <w:szCs w:val="24"/>
        </w:rPr>
      </w:pPr>
      <w:r w:rsidRPr="0066068D">
        <w:rPr>
          <w:sz w:val="24"/>
          <w:szCs w:val="24"/>
        </w:rPr>
        <w:t xml:space="preserve">The use of </w:t>
      </w:r>
      <w:r w:rsidR="00DA50FC">
        <w:rPr>
          <w:sz w:val="24"/>
          <w:szCs w:val="24"/>
        </w:rPr>
        <w:t>FRT</w:t>
      </w:r>
      <w:r w:rsidRPr="0066068D">
        <w:rPr>
          <w:sz w:val="24"/>
          <w:szCs w:val="24"/>
        </w:rPr>
        <w:t xml:space="preserve"> at or near peaceful protests, demonstrations, or political events creates a significant risk that individuals may alter their behaviour or refrain from participating in protests altogether due to concerns about being monitored or identified.</w:t>
      </w:r>
      <w:r w:rsidR="009C269E">
        <w:rPr>
          <w:rStyle w:val="FootnoteReference"/>
          <w:sz w:val="24"/>
          <w:szCs w:val="24"/>
        </w:rPr>
        <w:footnoteReference w:id="11"/>
      </w:r>
      <w:r w:rsidR="005E37DA">
        <w:rPr>
          <w:sz w:val="24"/>
          <w:szCs w:val="24"/>
        </w:rPr>
        <w:t xml:space="preserve"> </w:t>
      </w:r>
      <w:r w:rsidR="005E37DA" w:rsidRPr="006C4FC1">
        <w:rPr>
          <w:sz w:val="24"/>
          <w:szCs w:val="24"/>
        </w:rPr>
        <w:t xml:space="preserve">This chilling effect on protest rights is likely to be more pronounced among communities that already experience disproportionate policing and lower levels of trust in law </w:t>
      </w:r>
      <w:r w:rsidR="005E37DA" w:rsidRPr="0043573E">
        <w:rPr>
          <w:sz w:val="24"/>
          <w:szCs w:val="24"/>
        </w:rPr>
        <w:t>enforcement.</w:t>
      </w:r>
    </w:p>
    <w:p w14:paraId="59A83030" w14:textId="5B1D112D" w:rsidR="0068097B" w:rsidRPr="0043573E" w:rsidRDefault="0068097B" w:rsidP="00C60251">
      <w:pPr>
        <w:rPr>
          <w:color w:val="000000" w:themeColor="text1"/>
          <w:sz w:val="24"/>
          <w:szCs w:val="24"/>
        </w:rPr>
      </w:pPr>
      <w:r w:rsidRPr="0043573E">
        <w:rPr>
          <w:sz w:val="24"/>
          <w:szCs w:val="24"/>
        </w:rPr>
        <w:t xml:space="preserve">International human rights experts have increasingly warned that digital surveillance technologies create a “climate of constant observability” </w:t>
      </w:r>
      <w:r w:rsidR="0043573E" w:rsidRPr="0043573E">
        <w:rPr>
          <w:sz w:val="24"/>
          <w:szCs w:val="24"/>
        </w:rPr>
        <w:t>that</w:t>
      </w:r>
      <w:r w:rsidRPr="0043573E">
        <w:rPr>
          <w:sz w:val="24"/>
          <w:szCs w:val="24"/>
        </w:rPr>
        <w:t xml:space="preserve"> </w:t>
      </w:r>
      <w:r w:rsidR="009E239B" w:rsidRPr="0043573E">
        <w:rPr>
          <w:sz w:val="24"/>
          <w:szCs w:val="24"/>
        </w:rPr>
        <w:t>risks undermining</w:t>
      </w:r>
      <w:r w:rsidRPr="0043573E">
        <w:rPr>
          <w:sz w:val="24"/>
          <w:szCs w:val="24"/>
        </w:rPr>
        <w:t xml:space="preserve"> democratic participation </w:t>
      </w:r>
      <w:r w:rsidR="0014111D" w:rsidRPr="0043573E">
        <w:rPr>
          <w:sz w:val="24"/>
          <w:szCs w:val="24"/>
        </w:rPr>
        <w:t>and</w:t>
      </w:r>
      <w:r w:rsidRPr="0043573E">
        <w:rPr>
          <w:sz w:val="24"/>
          <w:szCs w:val="24"/>
        </w:rPr>
        <w:t xml:space="preserve"> the exercise of rights to freedom of peaceful assembly and association</w:t>
      </w:r>
      <w:r w:rsidR="0043573E" w:rsidRPr="0043573E">
        <w:rPr>
          <w:sz w:val="24"/>
          <w:szCs w:val="24"/>
        </w:rPr>
        <w:t xml:space="preserve">. </w:t>
      </w:r>
      <w:r w:rsidR="0043573E" w:rsidRPr="0043573E">
        <w:rPr>
          <w:color w:val="000000" w:themeColor="text1"/>
          <w:sz w:val="24"/>
          <w:szCs w:val="24"/>
        </w:rPr>
        <w:t>Such surveillance may also give rise to “compound human rights harms”, whereby interference with privacy rights simultaneously undermines rights to freedom of expression, assembly, association, and broader civic participation</w:t>
      </w:r>
      <w:r w:rsidR="0014111D" w:rsidRPr="0043573E">
        <w:rPr>
          <w:sz w:val="24"/>
          <w:szCs w:val="24"/>
        </w:rPr>
        <w:t>.</w:t>
      </w:r>
      <w:r w:rsidR="00CB0C87" w:rsidRPr="0043573E">
        <w:rPr>
          <w:rStyle w:val="FootnoteReference"/>
          <w:sz w:val="24"/>
          <w:szCs w:val="24"/>
        </w:rPr>
        <w:footnoteReference w:id="12"/>
      </w:r>
      <w:r w:rsidRPr="0043573E">
        <w:rPr>
          <w:sz w:val="24"/>
          <w:szCs w:val="24"/>
        </w:rPr>
        <w:t xml:space="preserve"> </w:t>
      </w:r>
      <w:r w:rsidR="0014111D" w:rsidRPr="0043573E">
        <w:rPr>
          <w:sz w:val="24"/>
          <w:szCs w:val="24"/>
        </w:rPr>
        <w:t>S</w:t>
      </w:r>
      <w:r w:rsidR="0014111D">
        <w:rPr>
          <w:sz w:val="24"/>
          <w:szCs w:val="24"/>
        </w:rPr>
        <w:t>uch</w:t>
      </w:r>
      <w:r w:rsidRPr="0068097B">
        <w:rPr>
          <w:sz w:val="24"/>
          <w:szCs w:val="24"/>
        </w:rPr>
        <w:t xml:space="preserve"> chilling effects may occur even where individuals are not directly targeted or subject to any allegation of wrongdoing</w:t>
      </w:r>
      <w:r w:rsidR="00CB0C87">
        <w:rPr>
          <w:sz w:val="24"/>
          <w:szCs w:val="24"/>
        </w:rPr>
        <w:t xml:space="preserve">. </w:t>
      </w:r>
    </w:p>
    <w:p w14:paraId="07D6C079" w14:textId="5AE9C6AF" w:rsidR="001424EA" w:rsidRPr="0060415B" w:rsidRDefault="001424EA" w:rsidP="00C60251">
      <w:pPr>
        <w:rPr>
          <w:color w:val="000000" w:themeColor="text1"/>
          <w:sz w:val="24"/>
          <w:szCs w:val="24"/>
        </w:rPr>
      </w:pPr>
      <w:r w:rsidRPr="0066068D">
        <w:rPr>
          <w:sz w:val="24"/>
          <w:szCs w:val="24"/>
        </w:rPr>
        <w:t>These concerns are not hypothetical as such technologies have already been found unlawful</w:t>
      </w:r>
      <w:r>
        <w:rPr>
          <w:sz w:val="24"/>
          <w:szCs w:val="24"/>
        </w:rPr>
        <w:t>.</w:t>
      </w:r>
      <w:r w:rsidRPr="0066068D">
        <w:rPr>
          <w:sz w:val="24"/>
          <w:szCs w:val="24"/>
          <w:vertAlign w:val="superscript"/>
        </w:rPr>
        <w:footnoteReference w:id="13"/>
      </w:r>
      <w:r w:rsidRPr="0066068D">
        <w:rPr>
          <w:sz w:val="24"/>
          <w:szCs w:val="24"/>
        </w:rPr>
        <w:t xml:space="preserve"> </w:t>
      </w:r>
      <w:r>
        <w:rPr>
          <w:sz w:val="24"/>
          <w:szCs w:val="24"/>
        </w:rPr>
        <w:t>I</w:t>
      </w:r>
      <w:r w:rsidRPr="0066068D">
        <w:rPr>
          <w:sz w:val="24"/>
          <w:szCs w:val="24"/>
        </w:rPr>
        <w:t>n a landmark legal case in August 2020, the Court of Appeal found that the use of LFR by SWP at an anti-arms fair protest in 2018 was unlawful and in breach of privacy rights, data protection laws and equality laws</w:t>
      </w:r>
      <w:r w:rsidRPr="00394785">
        <w:rPr>
          <w:color w:val="000000" w:themeColor="text1"/>
          <w:sz w:val="24"/>
          <w:szCs w:val="24"/>
        </w:rPr>
        <w:t>.</w:t>
      </w:r>
      <w:r w:rsidRPr="00394785">
        <w:rPr>
          <w:rStyle w:val="FootnoteReference"/>
          <w:color w:val="000000" w:themeColor="text1"/>
          <w:sz w:val="24"/>
          <w:szCs w:val="24"/>
        </w:rPr>
        <w:footnoteReference w:id="14"/>
      </w:r>
      <w:r w:rsidR="003F5784" w:rsidRPr="00394785">
        <w:rPr>
          <w:color w:val="000000" w:themeColor="text1"/>
          <w:sz w:val="24"/>
          <w:szCs w:val="24"/>
        </w:rPr>
        <w:t xml:space="preserve"> More recently, in 2025 and 2026 submissions relating to R (Thompson and Carlo) v Commissioner of Police of the Metropolis, the Equality and Human Rights Commission (EHRC) similarly concluded that the Metropolitan Police’s </w:t>
      </w:r>
      <w:r w:rsidR="00C40EEA">
        <w:rPr>
          <w:color w:val="000000" w:themeColor="text1"/>
          <w:sz w:val="24"/>
          <w:szCs w:val="24"/>
        </w:rPr>
        <w:t>LFR</w:t>
      </w:r>
      <w:r w:rsidR="003F5784" w:rsidRPr="00394785">
        <w:rPr>
          <w:color w:val="000000" w:themeColor="text1"/>
          <w:sz w:val="24"/>
          <w:szCs w:val="24"/>
        </w:rPr>
        <w:t xml:space="preserve"> policy was incomp</w:t>
      </w:r>
      <w:r w:rsidR="00A47C1F" w:rsidRPr="00394785">
        <w:rPr>
          <w:color w:val="000000" w:themeColor="text1"/>
          <w:sz w:val="24"/>
          <w:szCs w:val="24"/>
        </w:rPr>
        <w:t xml:space="preserve">atible with Articles 8, 10 and 11 of the Human Rights Act </w:t>
      </w:r>
      <w:r w:rsidR="0060415B">
        <w:rPr>
          <w:color w:val="000000" w:themeColor="text1"/>
          <w:sz w:val="24"/>
          <w:szCs w:val="24"/>
        </w:rPr>
        <w:t>b</w:t>
      </w:r>
      <w:r w:rsidR="0060415B" w:rsidRPr="0060415B">
        <w:rPr>
          <w:color w:val="000000" w:themeColor="text1"/>
          <w:sz w:val="24"/>
          <w:szCs w:val="24"/>
        </w:rPr>
        <w:t>ecause the composition of watchlists (who) is largely unconnected to the location (where) and</w:t>
      </w:r>
      <w:r w:rsidR="0060415B">
        <w:rPr>
          <w:color w:val="000000" w:themeColor="text1"/>
          <w:sz w:val="24"/>
          <w:szCs w:val="24"/>
        </w:rPr>
        <w:t xml:space="preserve"> </w:t>
      </w:r>
      <w:r w:rsidR="0060415B" w:rsidRPr="0060415B">
        <w:rPr>
          <w:color w:val="000000" w:themeColor="text1"/>
          <w:sz w:val="24"/>
          <w:szCs w:val="24"/>
        </w:rPr>
        <w:t>/</w:t>
      </w:r>
      <w:r w:rsidR="0060415B">
        <w:rPr>
          <w:color w:val="000000" w:themeColor="text1"/>
          <w:sz w:val="24"/>
          <w:szCs w:val="24"/>
        </w:rPr>
        <w:t xml:space="preserve"> </w:t>
      </w:r>
      <w:r w:rsidR="0060415B" w:rsidRPr="0060415B">
        <w:rPr>
          <w:color w:val="000000" w:themeColor="text1"/>
          <w:sz w:val="24"/>
          <w:szCs w:val="24"/>
        </w:rPr>
        <w:t>or the policing objectives for which LFR is deployed (why)</w:t>
      </w:r>
      <w:r w:rsidR="0060415B">
        <w:rPr>
          <w:color w:val="000000" w:themeColor="text1"/>
          <w:sz w:val="24"/>
          <w:szCs w:val="24"/>
        </w:rPr>
        <w:t xml:space="preserve">, </w:t>
      </w:r>
      <w:r w:rsidR="000C16F1">
        <w:rPr>
          <w:color w:val="000000" w:themeColor="text1"/>
          <w:sz w:val="24"/>
          <w:szCs w:val="24"/>
        </w:rPr>
        <w:t>resulting in the indiscriminate and arbitrary processing of data without adequate safeguards</w:t>
      </w:r>
      <w:r w:rsidR="00A47C1F" w:rsidRPr="00394785">
        <w:rPr>
          <w:color w:val="000000" w:themeColor="text1"/>
          <w:sz w:val="24"/>
          <w:szCs w:val="24"/>
        </w:rPr>
        <w:t>.</w:t>
      </w:r>
      <w:r w:rsidR="00C7455B" w:rsidRPr="00394785">
        <w:rPr>
          <w:rStyle w:val="FootnoteReference"/>
          <w:color w:val="000000" w:themeColor="text1"/>
          <w:sz w:val="24"/>
          <w:szCs w:val="24"/>
        </w:rPr>
        <w:footnoteReference w:id="15"/>
      </w:r>
    </w:p>
    <w:p w14:paraId="44EEB69E" w14:textId="23A4CDDC" w:rsidR="00814E53" w:rsidRDefault="00814E53" w:rsidP="00C60251">
      <w:pPr>
        <w:rPr>
          <w:sz w:val="24"/>
          <w:szCs w:val="24"/>
        </w:rPr>
      </w:pPr>
      <w:r w:rsidRPr="00814E53">
        <w:rPr>
          <w:sz w:val="24"/>
          <w:szCs w:val="24"/>
        </w:rPr>
        <w:lastRenderedPageBreak/>
        <w:t>Thu</w:t>
      </w:r>
      <w:r>
        <w:rPr>
          <w:sz w:val="24"/>
          <w:szCs w:val="24"/>
        </w:rPr>
        <w:t>s</w:t>
      </w:r>
      <w:r w:rsidRPr="00814E53">
        <w:rPr>
          <w:sz w:val="24"/>
          <w:szCs w:val="24"/>
        </w:rPr>
        <w:t xml:space="preserve">, for minority ethnic individuals and communities, the intersection of existing racial inequalities in policing and the expansion of biometric surveillance technologies may further inhibit participation in public life, </w:t>
      </w:r>
      <w:r w:rsidR="00C162A9">
        <w:rPr>
          <w:sz w:val="24"/>
          <w:szCs w:val="24"/>
        </w:rPr>
        <w:t xml:space="preserve">civic engagement and action and </w:t>
      </w:r>
      <w:r w:rsidRPr="00814E53">
        <w:rPr>
          <w:sz w:val="24"/>
          <w:szCs w:val="24"/>
        </w:rPr>
        <w:t>democratic processes.</w:t>
      </w:r>
      <w:r w:rsidR="009D7852">
        <w:rPr>
          <w:sz w:val="24"/>
          <w:szCs w:val="24"/>
        </w:rPr>
        <w:t xml:space="preserve"> </w:t>
      </w:r>
    </w:p>
    <w:p w14:paraId="1BD13B41" w14:textId="67B663AC" w:rsidR="00D715DA" w:rsidRDefault="00D715DA" w:rsidP="00C60251">
      <w:pPr>
        <w:rPr>
          <w:sz w:val="24"/>
          <w:szCs w:val="24"/>
        </w:rPr>
      </w:pPr>
      <w:r w:rsidRPr="002F14EC">
        <w:rPr>
          <w:sz w:val="24"/>
          <w:szCs w:val="24"/>
        </w:rPr>
        <w:t>Furthermore, a global study on the chilling effects of digital surveillance, which included the UK, found that persistent or perceived monitoring can create a constant state of hypervigilance and exert serious psychological impacts, including depression, burnout, and PTSD among activists and</w:t>
      </w:r>
      <w:r>
        <w:rPr>
          <w:sz w:val="24"/>
          <w:szCs w:val="24"/>
        </w:rPr>
        <w:t xml:space="preserve"> those in</w:t>
      </w:r>
      <w:r w:rsidRPr="002F14EC">
        <w:rPr>
          <w:sz w:val="24"/>
          <w:szCs w:val="24"/>
        </w:rPr>
        <w:t xml:space="preserve"> surveilled communities. The study also highlighted that such harms may be particularly acute for individuals experiencing intersectional discrimination and compounded restrictions on their civil, political, economic, social, or cultural </w:t>
      </w:r>
      <w:r w:rsidRPr="00D715DA">
        <w:rPr>
          <w:sz w:val="24"/>
          <w:szCs w:val="24"/>
        </w:rPr>
        <w:t>rights</w:t>
      </w:r>
      <w:r w:rsidR="00815357" w:rsidRPr="00D715DA">
        <w:rPr>
          <w:sz w:val="24"/>
          <w:szCs w:val="24"/>
        </w:rPr>
        <w:t>.</w:t>
      </w:r>
      <w:r w:rsidR="00E860DB" w:rsidRPr="00D715DA">
        <w:rPr>
          <w:rStyle w:val="FootnoteReference"/>
          <w:sz w:val="24"/>
          <w:szCs w:val="24"/>
        </w:rPr>
        <w:footnoteReference w:id="16"/>
      </w:r>
    </w:p>
    <w:p w14:paraId="3879A318" w14:textId="77777777" w:rsidR="00403E4C" w:rsidRDefault="00403E4C" w:rsidP="00C60251">
      <w:pPr>
        <w:rPr>
          <w:sz w:val="24"/>
          <w:szCs w:val="24"/>
        </w:rPr>
      </w:pPr>
    </w:p>
    <w:p w14:paraId="63AE010B" w14:textId="083E1859" w:rsidR="00C000E7" w:rsidRPr="006364B0" w:rsidRDefault="00C000E7" w:rsidP="00C000E7">
      <w:pPr>
        <w:rPr>
          <w:b/>
          <w:bCs/>
          <w:sz w:val="24"/>
          <w:szCs w:val="24"/>
        </w:rPr>
      </w:pPr>
      <w:r w:rsidRPr="006364B0">
        <w:rPr>
          <w:b/>
          <w:bCs/>
          <w:sz w:val="24"/>
          <w:szCs w:val="24"/>
        </w:rPr>
        <w:t>2.2.</w:t>
      </w:r>
      <w:r>
        <w:rPr>
          <w:b/>
          <w:bCs/>
          <w:sz w:val="24"/>
          <w:szCs w:val="24"/>
        </w:rPr>
        <w:t>3</w:t>
      </w:r>
      <w:r w:rsidRPr="006364B0">
        <w:rPr>
          <w:b/>
          <w:bCs/>
          <w:sz w:val="24"/>
          <w:szCs w:val="24"/>
        </w:rPr>
        <w:t xml:space="preserve"> The increasing use of biometric surveillance technologies in the private sector: </w:t>
      </w:r>
    </w:p>
    <w:p w14:paraId="256AEBF9" w14:textId="77777777" w:rsidR="00C000E7" w:rsidRDefault="00C000E7" w:rsidP="00C000E7">
      <w:pPr>
        <w:rPr>
          <w:sz w:val="24"/>
          <w:szCs w:val="24"/>
        </w:rPr>
      </w:pPr>
      <w:r>
        <w:rPr>
          <w:sz w:val="24"/>
          <w:szCs w:val="24"/>
        </w:rPr>
        <w:t xml:space="preserve">Furthermore, REF is concerned </w:t>
      </w:r>
      <w:r w:rsidRPr="006364B0">
        <w:rPr>
          <w:sz w:val="24"/>
          <w:szCs w:val="24"/>
        </w:rPr>
        <w:t>by the growing blurring of boundaries between law enforcement and non-law-enforcement use of</w:t>
      </w:r>
      <w:r w:rsidRPr="00C63297">
        <w:rPr>
          <w:b/>
          <w:bCs/>
          <w:sz w:val="24"/>
          <w:szCs w:val="24"/>
        </w:rPr>
        <w:t xml:space="preserve"> </w:t>
      </w:r>
      <w:r w:rsidRPr="00C63297">
        <w:rPr>
          <w:sz w:val="24"/>
          <w:szCs w:val="24"/>
        </w:rPr>
        <w:t>biometric surveillance technologies</w:t>
      </w:r>
      <w:r>
        <w:rPr>
          <w:sz w:val="24"/>
          <w:szCs w:val="24"/>
        </w:rPr>
        <w:t xml:space="preserve">. Such technologies, including FRT, are already being used extensively across the private sector and by non-policing bodies in England and Wales, often in ways that are highly intrusive, poorly regulated and harmful to individuals’ rights. </w:t>
      </w:r>
    </w:p>
    <w:p w14:paraId="11EB754B" w14:textId="77777777" w:rsidR="00C000E7" w:rsidRPr="005F430B" w:rsidRDefault="00C000E7" w:rsidP="00C000E7">
      <w:pPr>
        <w:rPr>
          <w:sz w:val="28"/>
          <w:szCs w:val="28"/>
        </w:rPr>
      </w:pPr>
      <w:r>
        <w:rPr>
          <w:sz w:val="24"/>
          <w:szCs w:val="24"/>
        </w:rPr>
        <w:t>Biometric surveillance technologies have been</w:t>
      </w:r>
      <w:r w:rsidRPr="005F430B">
        <w:rPr>
          <w:sz w:val="24"/>
          <w:szCs w:val="24"/>
        </w:rPr>
        <w:t xml:space="preserve"> increasingly deployed by retailers, local authorities, transport operators, and private companies in publicly accessible spaces</w:t>
      </w:r>
      <w:r>
        <w:rPr>
          <w:sz w:val="24"/>
          <w:szCs w:val="24"/>
        </w:rPr>
        <w:t xml:space="preserve"> in England and Wales. </w:t>
      </w:r>
      <w:r w:rsidRPr="0026678C">
        <w:rPr>
          <w:sz w:val="24"/>
          <w:szCs w:val="24"/>
        </w:rPr>
        <w:t>Retailers have increasingly adopted live facial recognition systems to deter and investigate shoplifting, leading to numerous documented cases of misidentification, wrongful accusations, and individuals being placed on shared watchlists without due process. These harms have disproportionately affected young people and other vulnerable individuals, with limited routes for redress.</w:t>
      </w:r>
      <w:r w:rsidRPr="0026678C">
        <w:rPr>
          <w:sz w:val="24"/>
          <w:szCs w:val="24"/>
          <w:vertAlign w:val="superscript"/>
        </w:rPr>
        <w:footnoteReference w:id="17"/>
      </w:r>
    </w:p>
    <w:p w14:paraId="10FF7CD0" w14:textId="77777777" w:rsidR="00C000E7" w:rsidRPr="00855D4E" w:rsidRDefault="00C000E7" w:rsidP="00C000E7">
      <w:pPr>
        <w:rPr>
          <w:sz w:val="24"/>
          <w:szCs w:val="24"/>
        </w:rPr>
      </w:pPr>
      <w:r>
        <w:rPr>
          <w:sz w:val="24"/>
          <w:szCs w:val="24"/>
        </w:rPr>
        <w:t>Furthermore, e</w:t>
      </w:r>
      <w:r w:rsidRPr="00457F9C">
        <w:rPr>
          <w:sz w:val="24"/>
          <w:szCs w:val="24"/>
        </w:rPr>
        <w:t xml:space="preserve">vidence from recent investigations </w:t>
      </w:r>
      <w:r>
        <w:rPr>
          <w:sz w:val="24"/>
          <w:szCs w:val="24"/>
        </w:rPr>
        <w:t xml:space="preserve">has shown </w:t>
      </w:r>
      <w:r w:rsidRPr="00457F9C">
        <w:rPr>
          <w:sz w:val="24"/>
          <w:szCs w:val="24"/>
        </w:rPr>
        <w:t>that police forces have previously accessed or approved the use of facial recognition systems operated by private entities in publicly accessible but privately owned spaces, enabling de facto policing through private camera networks without democratic scrutiny.</w:t>
      </w:r>
      <w:r>
        <w:rPr>
          <w:sz w:val="24"/>
          <w:szCs w:val="24"/>
        </w:rPr>
        <w:t xml:space="preserve"> </w:t>
      </w:r>
      <w:r w:rsidRPr="00855D4E">
        <w:rPr>
          <w:sz w:val="24"/>
          <w:szCs w:val="24"/>
        </w:rPr>
        <w:t>These developments</w:t>
      </w:r>
      <w:r>
        <w:rPr>
          <w:sz w:val="24"/>
          <w:szCs w:val="24"/>
        </w:rPr>
        <w:t xml:space="preserve"> are particularly concerning and</w:t>
      </w:r>
      <w:r w:rsidRPr="00855D4E">
        <w:rPr>
          <w:sz w:val="24"/>
          <w:szCs w:val="24"/>
        </w:rPr>
        <w:t xml:space="preserve"> risk creating a fragmented and inconsistent surveillance landscape in which highly intrusive monitoring practices are expanded through partnerships and private-sector deployment.</w:t>
      </w:r>
    </w:p>
    <w:p w14:paraId="142022F3" w14:textId="66454871" w:rsidR="007333A4" w:rsidRDefault="00C000E7" w:rsidP="00C60251">
      <w:pPr>
        <w:rPr>
          <w:sz w:val="24"/>
          <w:szCs w:val="24"/>
        </w:rPr>
      </w:pPr>
      <w:r w:rsidRPr="00083B6E">
        <w:rPr>
          <w:sz w:val="24"/>
          <w:szCs w:val="24"/>
        </w:rPr>
        <w:t>While some argue that private-sector use of facial recognition is already constrained by data protection legislation, the persistence and expansion of these practices demonstrate that reliance on existing frameworks alone is insufficient.</w:t>
      </w:r>
      <w:r>
        <w:rPr>
          <w:sz w:val="24"/>
          <w:szCs w:val="24"/>
        </w:rPr>
        <w:t xml:space="preserve"> P</w:t>
      </w:r>
      <w:r w:rsidRPr="003F04D1">
        <w:rPr>
          <w:sz w:val="24"/>
          <w:szCs w:val="24"/>
        </w:rPr>
        <w:t xml:space="preserve">rivate </w:t>
      </w:r>
      <w:r w:rsidRPr="003F04D1">
        <w:rPr>
          <w:sz w:val="24"/>
          <w:szCs w:val="24"/>
        </w:rPr>
        <w:lastRenderedPageBreak/>
        <w:t>companies are not subject to the Human Rights Act in the same way as public authorities, making explicit legislative safeguards even more important</w:t>
      </w:r>
      <w:r>
        <w:rPr>
          <w:sz w:val="24"/>
          <w:szCs w:val="24"/>
        </w:rPr>
        <w:t xml:space="preserve"> as </w:t>
      </w:r>
      <w:r w:rsidRPr="00090C3B">
        <w:rPr>
          <w:sz w:val="24"/>
          <w:szCs w:val="24"/>
        </w:rPr>
        <w:t xml:space="preserve">comparable risks to privacy, equality, and dignity </w:t>
      </w:r>
      <w:r>
        <w:rPr>
          <w:sz w:val="24"/>
          <w:szCs w:val="24"/>
        </w:rPr>
        <w:t>exist</w:t>
      </w:r>
      <w:r w:rsidRPr="00090C3B">
        <w:rPr>
          <w:sz w:val="24"/>
          <w:szCs w:val="24"/>
        </w:rPr>
        <w:t>, regardless of whether a system is operated by a private entity or a policing public body.</w:t>
      </w:r>
    </w:p>
    <w:p w14:paraId="25904C3B" w14:textId="77777777" w:rsidR="00340039" w:rsidRPr="0066068D" w:rsidRDefault="00340039" w:rsidP="00C60251">
      <w:pPr>
        <w:rPr>
          <w:sz w:val="24"/>
          <w:szCs w:val="24"/>
        </w:rPr>
      </w:pPr>
    </w:p>
    <w:p w14:paraId="213F2F4A" w14:textId="2CAB3BDA" w:rsidR="0088545B" w:rsidRPr="0066068D" w:rsidRDefault="000737DB" w:rsidP="00C60251">
      <w:pPr>
        <w:rPr>
          <w:b/>
          <w:bCs/>
          <w:sz w:val="24"/>
          <w:szCs w:val="24"/>
        </w:rPr>
      </w:pPr>
      <w:r w:rsidRPr="0066068D">
        <w:rPr>
          <w:b/>
          <w:bCs/>
          <w:sz w:val="24"/>
          <w:szCs w:val="24"/>
        </w:rPr>
        <w:t>2.</w:t>
      </w:r>
      <w:r w:rsidR="00D92FB6">
        <w:rPr>
          <w:b/>
          <w:bCs/>
          <w:sz w:val="24"/>
          <w:szCs w:val="24"/>
        </w:rPr>
        <w:t>2</w:t>
      </w:r>
      <w:r w:rsidRPr="0066068D">
        <w:rPr>
          <w:b/>
          <w:bCs/>
          <w:sz w:val="24"/>
          <w:szCs w:val="24"/>
        </w:rPr>
        <w:t>.</w:t>
      </w:r>
      <w:r w:rsidR="00C000E7">
        <w:rPr>
          <w:b/>
          <w:bCs/>
          <w:sz w:val="24"/>
          <w:szCs w:val="24"/>
        </w:rPr>
        <w:t xml:space="preserve">4 </w:t>
      </w:r>
      <w:r w:rsidR="005F280E" w:rsidRPr="0066068D">
        <w:rPr>
          <w:b/>
          <w:bCs/>
          <w:sz w:val="24"/>
          <w:szCs w:val="24"/>
        </w:rPr>
        <w:t>Regulatory gaps</w:t>
      </w:r>
      <w:r w:rsidR="00DA7BA3">
        <w:rPr>
          <w:b/>
          <w:bCs/>
          <w:sz w:val="24"/>
          <w:szCs w:val="24"/>
        </w:rPr>
        <w:t xml:space="preserve">, inadequate safeguards and the absence of a comprehensive statutory framework: </w:t>
      </w:r>
    </w:p>
    <w:p w14:paraId="11FEBD80" w14:textId="60484664" w:rsidR="001A5E3B" w:rsidRDefault="00017111" w:rsidP="002337DC">
      <w:pPr>
        <w:rPr>
          <w:sz w:val="24"/>
          <w:szCs w:val="24"/>
        </w:rPr>
      </w:pPr>
      <w:r w:rsidRPr="009375B8">
        <w:rPr>
          <w:sz w:val="24"/>
          <w:szCs w:val="24"/>
        </w:rPr>
        <w:t xml:space="preserve">Despite the significant human rights, privacy and equality implications associated with these </w:t>
      </w:r>
      <w:r w:rsidR="00231B9C">
        <w:rPr>
          <w:sz w:val="24"/>
          <w:szCs w:val="24"/>
        </w:rPr>
        <w:t xml:space="preserve">biometric surveillance </w:t>
      </w:r>
      <w:r w:rsidRPr="009375B8">
        <w:rPr>
          <w:sz w:val="24"/>
          <w:szCs w:val="24"/>
        </w:rPr>
        <w:t>technologies, their use has expanded</w:t>
      </w:r>
      <w:r w:rsidR="007505C7" w:rsidRPr="009375B8">
        <w:rPr>
          <w:sz w:val="24"/>
          <w:szCs w:val="24"/>
        </w:rPr>
        <w:t xml:space="preserve"> significantly</w:t>
      </w:r>
      <w:r w:rsidR="00636325" w:rsidRPr="009375B8">
        <w:rPr>
          <w:sz w:val="24"/>
          <w:szCs w:val="24"/>
        </w:rPr>
        <w:t xml:space="preserve"> and become </w:t>
      </w:r>
      <w:r w:rsidR="00231B9C">
        <w:rPr>
          <w:sz w:val="24"/>
          <w:szCs w:val="24"/>
        </w:rPr>
        <w:t>increasingly</w:t>
      </w:r>
      <w:r w:rsidR="00636325" w:rsidRPr="009375B8">
        <w:rPr>
          <w:sz w:val="24"/>
          <w:szCs w:val="24"/>
        </w:rPr>
        <w:t xml:space="preserve"> intrusive </w:t>
      </w:r>
      <w:r w:rsidRPr="009375B8">
        <w:rPr>
          <w:sz w:val="24"/>
          <w:szCs w:val="24"/>
        </w:rPr>
        <w:t xml:space="preserve">in the absence of a comprehensive statutory framework, clear legal safeguards and sufficient democratic scrutiny. </w:t>
      </w:r>
    </w:p>
    <w:p w14:paraId="682455DF" w14:textId="1C755297" w:rsidR="00385BE1" w:rsidRPr="009375B8" w:rsidRDefault="00385BE1" w:rsidP="002337DC">
      <w:pPr>
        <w:rPr>
          <w:sz w:val="24"/>
          <w:szCs w:val="24"/>
        </w:rPr>
      </w:pPr>
      <w:r w:rsidRPr="00385BE1">
        <w:rPr>
          <w:sz w:val="24"/>
          <w:szCs w:val="24"/>
        </w:rPr>
        <w:t xml:space="preserve">Since Bridges, </w:t>
      </w:r>
      <w:r w:rsidR="00031815">
        <w:rPr>
          <w:sz w:val="24"/>
          <w:szCs w:val="24"/>
        </w:rPr>
        <w:t xml:space="preserve">LFR </w:t>
      </w:r>
      <w:r w:rsidRPr="00385BE1">
        <w:rPr>
          <w:sz w:val="24"/>
          <w:szCs w:val="24"/>
        </w:rPr>
        <w:t>deployment</w:t>
      </w:r>
      <w:r w:rsidR="00031815">
        <w:rPr>
          <w:sz w:val="24"/>
          <w:szCs w:val="24"/>
        </w:rPr>
        <w:t>s</w:t>
      </w:r>
      <w:r w:rsidRPr="00385BE1">
        <w:rPr>
          <w:sz w:val="24"/>
          <w:szCs w:val="24"/>
        </w:rPr>
        <w:t xml:space="preserve"> </w:t>
      </w:r>
      <w:r w:rsidR="00031815">
        <w:rPr>
          <w:sz w:val="24"/>
          <w:szCs w:val="24"/>
        </w:rPr>
        <w:t xml:space="preserve">have </w:t>
      </w:r>
      <w:r w:rsidR="000A4F98" w:rsidRPr="000A4F98">
        <w:rPr>
          <w:sz w:val="24"/>
          <w:szCs w:val="24"/>
        </w:rPr>
        <w:t>become more frequent and expansive, including through integration into wider CCTV networks, the use of increasingly large watchlists, and the routine scanning of substantially greater numbers of individuals during deployments</w:t>
      </w:r>
      <w:r w:rsidR="00754FE0">
        <w:rPr>
          <w:sz w:val="24"/>
          <w:szCs w:val="24"/>
        </w:rPr>
        <w:t xml:space="preserve">, many of whom are not suspected of any wrongdoing </w:t>
      </w:r>
      <w:r w:rsidR="00F0334B">
        <w:rPr>
          <w:sz w:val="24"/>
          <w:szCs w:val="24"/>
        </w:rPr>
        <w:t>and are</w:t>
      </w:r>
      <w:r w:rsidR="00754FE0">
        <w:rPr>
          <w:sz w:val="24"/>
          <w:szCs w:val="24"/>
        </w:rPr>
        <w:t xml:space="preserve"> of </w:t>
      </w:r>
      <w:r w:rsidR="00F0334B">
        <w:rPr>
          <w:sz w:val="24"/>
          <w:szCs w:val="24"/>
        </w:rPr>
        <w:t xml:space="preserve">no </w:t>
      </w:r>
      <w:r w:rsidR="00754FE0">
        <w:rPr>
          <w:sz w:val="24"/>
          <w:szCs w:val="24"/>
        </w:rPr>
        <w:t>polic</w:t>
      </w:r>
      <w:r w:rsidR="00F0334B">
        <w:rPr>
          <w:sz w:val="24"/>
          <w:szCs w:val="24"/>
        </w:rPr>
        <w:t>ing</w:t>
      </w:r>
      <w:r w:rsidR="00754FE0">
        <w:rPr>
          <w:sz w:val="24"/>
          <w:szCs w:val="24"/>
        </w:rPr>
        <w:t xml:space="preserve"> interest</w:t>
      </w:r>
      <w:r w:rsidRPr="00385BE1">
        <w:rPr>
          <w:sz w:val="24"/>
          <w:szCs w:val="24"/>
        </w:rPr>
        <w:t>.</w:t>
      </w:r>
      <w:r w:rsidR="00044ED2">
        <w:rPr>
          <w:rStyle w:val="FootnoteReference"/>
          <w:sz w:val="24"/>
          <w:szCs w:val="24"/>
        </w:rPr>
        <w:footnoteReference w:id="18"/>
      </w:r>
    </w:p>
    <w:p w14:paraId="047A0CAC" w14:textId="64273D90" w:rsidR="008D55FA" w:rsidRPr="00EC5FE9" w:rsidRDefault="001C0DB5" w:rsidP="002337DC">
      <w:pPr>
        <w:rPr>
          <w:sz w:val="24"/>
          <w:szCs w:val="24"/>
        </w:rPr>
      </w:pPr>
      <w:r>
        <w:rPr>
          <w:sz w:val="24"/>
          <w:szCs w:val="24"/>
        </w:rPr>
        <w:t>N</w:t>
      </w:r>
      <w:r w:rsidR="008D55FA" w:rsidRPr="00AD546C">
        <w:rPr>
          <w:sz w:val="24"/>
          <w:szCs w:val="24"/>
        </w:rPr>
        <w:t>early six years on from the</w:t>
      </w:r>
      <w:r w:rsidR="00FB03D4">
        <w:rPr>
          <w:sz w:val="24"/>
          <w:szCs w:val="24"/>
        </w:rPr>
        <w:t xml:space="preserve"> Court of Appeal’s ruling in the landmark Bridges case</w:t>
      </w:r>
      <w:r w:rsidR="003D284D">
        <w:rPr>
          <w:sz w:val="24"/>
          <w:szCs w:val="24"/>
        </w:rPr>
        <w:t xml:space="preserve"> – </w:t>
      </w:r>
      <w:r w:rsidR="002448E4">
        <w:rPr>
          <w:sz w:val="24"/>
          <w:szCs w:val="24"/>
        </w:rPr>
        <w:t>in which the</w:t>
      </w:r>
      <w:r w:rsidR="003D284D">
        <w:rPr>
          <w:sz w:val="24"/>
          <w:szCs w:val="24"/>
        </w:rPr>
        <w:t xml:space="preserve"> Cour</w:t>
      </w:r>
      <w:r w:rsidR="002448E4">
        <w:rPr>
          <w:sz w:val="24"/>
          <w:szCs w:val="24"/>
        </w:rPr>
        <w:t>t</w:t>
      </w:r>
      <w:r w:rsidR="003D284D">
        <w:rPr>
          <w:sz w:val="24"/>
          <w:szCs w:val="24"/>
        </w:rPr>
        <w:t xml:space="preserve"> recognised that the more intrusive a surveillance measure is, the more precise and specific the legal framework governing its use must be</w:t>
      </w:r>
      <w:r w:rsidR="008C74FF">
        <w:rPr>
          <w:sz w:val="24"/>
          <w:szCs w:val="24"/>
        </w:rPr>
        <w:t xml:space="preserve"> –</w:t>
      </w:r>
      <w:r w:rsidR="008D55FA" w:rsidRPr="00AD546C">
        <w:rPr>
          <w:sz w:val="24"/>
          <w:szCs w:val="24"/>
        </w:rPr>
        <w:t xml:space="preserve"> the UK Government is only </w:t>
      </w:r>
      <w:r w:rsidR="008D55FA" w:rsidRPr="00EC5FE9">
        <w:rPr>
          <w:sz w:val="24"/>
          <w:szCs w:val="24"/>
        </w:rPr>
        <w:t>now in the process of formulating a legal framework governing the use of FRT and other biometric technologies by law enforcement authorities</w:t>
      </w:r>
      <w:r w:rsidR="00237D7A">
        <w:rPr>
          <w:sz w:val="24"/>
          <w:szCs w:val="24"/>
        </w:rPr>
        <w:t xml:space="preserve">, </w:t>
      </w:r>
      <w:r w:rsidR="002448E4">
        <w:rPr>
          <w:sz w:val="24"/>
          <w:szCs w:val="24"/>
        </w:rPr>
        <w:t xml:space="preserve">through </w:t>
      </w:r>
      <w:r w:rsidR="0037161F">
        <w:rPr>
          <w:sz w:val="24"/>
          <w:szCs w:val="24"/>
        </w:rPr>
        <w:t xml:space="preserve">the </w:t>
      </w:r>
      <w:r w:rsidR="006930B9">
        <w:rPr>
          <w:sz w:val="24"/>
          <w:szCs w:val="24"/>
        </w:rPr>
        <w:t>launch</w:t>
      </w:r>
      <w:r w:rsidR="00FB2C57">
        <w:rPr>
          <w:sz w:val="24"/>
          <w:szCs w:val="24"/>
        </w:rPr>
        <w:t xml:space="preserve"> of</w:t>
      </w:r>
      <w:r w:rsidR="0037161F">
        <w:rPr>
          <w:sz w:val="24"/>
          <w:szCs w:val="24"/>
        </w:rPr>
        <w:t xml:space="preserve"> </w:t>
      </w:r>
      <w:r w:rsidR="006930B9">
        <w:rPr>
          <w:sz w:val="24"/>
          <w:szCs w:val="24"/>
        </w:rPr>
        <w:t xml:space="preserve">a public consultation </w:t>
      </w:r>
      <w:r w:rsidR="00B33790">
        <w:rPr>
          <w:sz w:val="24"/>
          <w:szCs w:val="24"/>
        </w:rPr>
        <w:t>from</w:t>
      </w:r>
      <w:r w:rsidR="006930B9">
        <w:rPr>
          <w:sz w:val="24"/>
          <w:szCs w:val="24"/>
        </w:rPr>
        <w:t xml:space="preserve"> December 2025</w:t>
      </w:r>
      <w:r w:rsidR="00B33790">
        <w:rPr>
          <w:sz w:val="24"/>
          <w:szCs w:val="24"/>
        </w:rPr>
        <w:t xml:space="preserve"> to February 2026</w:t>
      </w:r>
      <w:r w:rsidR="006930B9">
        <w:rPr>
          <w:sz w:val="24"/>
          <w:szCs w:val="24"/>
        </w:rPr>
        <w:t>.</w:t>
      </w:r>
      <w:r w:rsidR="00C13EC2">
        <w:rPr>
          <w:rStyle w:val="FootnoteReference"/>
          <w:sz w:val="24"/>
          <w:szCs w:val="24"/>
        </w:rPr>
        <w:footnoteReference w:id="19"/>
      </w:r>
      <w:r w:rsidR="006930B9">
        <w:rPr>
          <w:sz w:val="24"/>
          <w:szCs w:val="24"/>
        </w:rPr>
        <w:t xml:space="preserve"> </w:t>
      </w:r>
    </w:p>
    <w:p w14:paraId="33F5AFFD" w14:textId="77777777" w:rsidR="004E2DAC" w:rsidRDefault="00CF0D6E" w:rsidP="00036369">
      <w:pPr>
        <w:rPr>
          <w:sz w:val="24"/>
          <w:szCs w:val="24"/>
        </w:rPr>
      </w:pPr>
      <w:r>
        <w:rPr>
          <w:sz w:val="24"/>
          <w:szCs w:val="24"/>
        </w:rPr>
        <w:t xml:space="preserve">While REF welcomes the UK Government’s decision to undertake public consultation on the future regulation of facial recognition and biometric technologies, we remain concerned </w:t>
      </w:r>
      <w:r w:rsidR="008F4E7E">
        <w:rPr>
          <w:sz w:val="24"/>
          <w:szCs w:val="24"/>
        </w:rPr>
        <w:t xml:space="preserve">by the </w:t>
      </w:r>
      <w:r w:rsidR="00FD7081">
        <w:rPr>
          <w:sz w:val="24"/>
          <w:szCs w:val="24"/>
        </w:rPr>
        <w:t>highly</w:t>
      </w:r>
      <w:r w:rsidR="008F4E7E">
        <w:rPr>
          <w:sz w:val="24"/>
          <w:szCs w:val="24"/>
        </w:rPr>
        <w:t xml:space="preserve"> permissive </w:t>
      </w:r>
      <w:r w:rsidR="00FD7081">
        <w:rPr>
          <w:sz w:val="24"/>
          <w:szCs w:val="24"/>
        </w:rPr>
        <w:t xml:space="preserve">framing </w:t>
      </w:r>
      <w:r w:rsidR="008F4E7E">
        <w:rPr>
          <w:sz w:val="24"/>
          <w:szCs w:val="24"/>
        </w:rPr>
        <w:t>of the consultation</w:t>
      </w:r>
      <w:r w:rsidR="004E2DAC">
        <w:rPr>
          <w:sz w:val="24"/>
          <w:szCs w:val="24"/>
        </w:rPr>
        <w:t>.</w:t>
      </w:r>
      <w:r w:rsidR="008F4E7E">
        <w:rPr>
          <w:sz w:val="24"/>
          <w:szCs w:val="24"/>
        </w:rPr>
        <w:t xml:space="preserve"> </w:t>
      </w:r>
    </w:p>
    <w:p w14:paraId="555AFDB8" w14:textId="3B953326" w:rsidR="00A44872" w:rsidRDefault="004E2DAC" w:rsidP="00036369">
      <w:pPr>
        <w:rPr>
          <w:sz w:val="24"/>
          <w:szCs w:val="24"/>
        </w:rPr>
      </w:pPr>
      <w:r>
        <w:rPr>
          <w:sz w:val="24"/>
          <w:szCs w:val="24"/>
        </w:rPr>
        <w:t>M</w:t>
      </w:r>
      <w:r w:rsidR="008F4E7E">
        <w:rPr>
          <w:sz w:val="24"/>
          <w:szCs w:val="24"/>
        </w:rPr>
        <w:t xml:space="preserve">any of the consultation questions proceeded from the assumption that the use of biometric technologies by </w:t>
      </w:r>
      <w:r>
        <w:rPr>
          <w:sz w:val="24"/>
          <w:szCs w:val="24"/>
        </w:rPr>
        <w:t>law e</w:t>
      </w:r>
      <w:r w:rsidR="008F4E7E">
        <w:rPr>
          <w:sz w:val="24"/>
          <w:szCs w:val="24"/>
        </w:rPr>
        <w:t>nforcement is both legitimate and necessary,</w:t>
      </w:r>
      <w:r w:rsidR="001B396F">
        <w:rPr>
          <w:sz w:val="24"/>
          <w:szCs w:val="24"/>
        </w:rPr>
        <w:t xml:space="preserve"> </w:t>
      </w:r>
      <w:r w:rsidR="001B396F" w:rsidRPr="001B396F">
        <w:rPr>
          <w:sz w:val="24"/>
          <w:szCs w:val="24"/>
        </w:rPr>
        <w:t xml:space="preserve">with the primary issue </w:t>
      </w:r>
      <w:r>
        <w:rPr>
          <w:sz w:val="24"/>
          <w:szCs w:val="24"/>
        </w:rPr>
        <w:t>framed as how</w:t>
      </w:r>
      <w:r w:rsidR="001B396F" w:rsidRPr="001B396F">
        <w:rPr>
          <w:sz w:val="24"/>
          <w:szCs w:val="24"/>
        </w:rPr>
        <w:t xml:space="preserve"> such</w:t>
      </w:r>
      <w:r w:rsidR="005601AB">
        <w:rPr>
          <w:sz w:val="24"/>
          <w:szCs w:val="24"/>
        </w:rPr>
        <w:t xml:space="preserve"> technologies should be</w:t>
      </w:r>
      <w:r w:rsidR="001B396F" w:rsidRPr="001B396F">
        <w:rPr>
          <w:sz w:val="24"/>
          <w:szCs w:val="24"/>
        </w:rPr>
        <w:t xml:space="preserve"> managed</w:t>
      </w:r>
      <w:r w:rsidR="005601AB">
        <w:rPr>
          <w:sz w:val="24"/>
          <w:szCs w:val="24"/>
        </w:rPr>
        <w:t xml:space="preserve">, </w:t>
      </w:r>
      <w:r w:rsidR="001B396F" w:rsidRPr="001B396F">
        <w:rPr>
          <w:sz w:val="24"/>
          <w:szCs w:val="24"/>
        </w:rPr>
        <w:t xml:space="preserve">rather than </w:t>
      </w:r>
      <w:r w:rsidR="007C54A6">
        <w:rPr>
          <w:sz w:val="24"/>
          <w:szCs w:val="24"/>
        </w:rPr>
        <w:t xml:space="preserve">considering from the outset </w:t>
      </w:r>
      <w:r w:rsidR="001B396F" w:rsidRPr="001B396F">
        <w:rPr>
          <w:sz w:val="24"/>
          <w:szCs w:val="24"/>
        </w:rPr>
        <w:t xml:space="preserve">whether </w:t>
      </w:r>
      <w:r w:rsidR="00B45DC1">
        <w:rPr>
          <w:sz w:val="24"/>
          <w:szCs w:val="24"/>
        </w:rPr>
        <w:t xml:space="preserve">their use is compatible with </w:t>
      </w:r>
      <w:r w:rsidR="00792083">
        <w:rPr>
          <w:sz w:val="24"/>
          <w:szCs w:val="24"/>
        </w:rPr>
        <w:t>fundamental rights protections.</w:t>
      </w:r>
      <w:r w:rsidR="00885D8C">
        <w:rPr>
          <w:sz w:val="24"/>
          <w:szCs w:val="24"/>
        </w:rPr>
        <w:t xml:space="preserve"> </w:t>
      </w:r>
      <w:r w:rsidR="00A44872" w:rsidRPr="00A44872">
        <w:rPr>
          <w:sz w:val="24"/>
          <w:szCs w:val="24"/>
        </w:rPr>
        <w:t>REF is concerned that this framing narrows the scope of public debate and underplays the extent to which biometric surveillance technologies interfere with rights to privacy, freedom of expression, freedom of assembly, and equality. We are further concerned that this, alongside the increasingly routine deployment of biometric surveillance technologies across both policing and non-policing contexts, risks normalising suspicion-less monitoring within public and civic spaces.</w:t>
      </w:r>
    </w:p>
    <w:p w14:paraId="556990ED" w14:textId="017F4659" w:rsidR="0014258A" w:rsidRDefault="0014258A" w:rsidP="0014258A">
      <w:pPr>
        <w:rPr>
          <w:sz w:val="24"/>
          <w:szCs w:val="24"/>
        </w:rPr>
      </w:pPr>
      <w:r>
        <w:rPr>
          <w:sz w:val="24"/>
          <w:szCs w:val="24"/>
        </w:rPr>
        <w:lastRenderedPageBreak/>
        <w:t>In our response</w:t>
      </w:r>
      <w:r w:rsidR="000E61CB">
        <w:rPr>
          <w:sz w:val="24"/>
          <w:szCs w:val="24"/>
        </w:rPr>
        <w:t xml:space="preserve"> to</w:t>
      </w:r>
      <w:r>
        <w:rPr>
          <w:sz w:val="24"/>
          <w:szCs w:val="24"/>
        </w:rPr>
        <w:t xml:space="preserve"> th</w:t>
      </w:r>
      <w:r w:rsidR="00B04427">
        <w:rPr>
          <w:sz w:val="24"/>
          <w:szCs w:val="24"/>
        </w:rPr>
        <w:t xml:space="preserve">is </w:t>
      </w:r>
      <w:r>
        <w:rPr>
          <w:sz w:val="24"/>
          <w:szCs w:val="24"/>
        </w:rPr>
        <w:t xml:space="preserve">consultation, we outlined our </w:t>
      </w:r>
      <w:r w:rsidRPr="003920BC">
        <w:rPr>
          <w:sz w:val="24"/>
          <w:szCs w:val="24"/>
        </w:rPr>
        <w:t>concern</w:t>
      </w:r>
      <w:r>
        <w:rPr>
          <w:sz w:val="24"/>
          <w:szCs w:val="24"/>
        </w:rPr>
        <w:t>s</w:t>
      </w:r>
      <w:r w:rsidRPr="003920BC">
        <w:rPr>
          <w:sz w:val="24"/>
          <w:szCs w:val="24"/>
        </w:rPr>
        <w:t xml:space="preserve"> that </w:t>
      </w:r>
      <w:r>
        <w:rPr>
          <w:sz w:val="24"/>
          <w:szCs w:val="24"/>
        </w:rPr>
        <w:t>biometric surveillance</w:t>
      </w:r>
      <w:r w:rsidRPr="003920BC">
        <w:rPr>
          <w:sz w:val="24"/>
          <w:szCs w:val="24"/>
        </w:rPr>
        <w:t xml:space="preserve"> technologies pose a serious risk to the effective enjoyment of</w:t>
      </w:r>
      <w:r w:rsidR="00FB464C">
        <w:rPr>
          <w:sz w:val="24"/>
          <w:szCs w:val="24"/>
        </w:rPr>
        <w:t xml:space="preserve"> Article 8 (the right to </w:t>
      </w:r>
      <w:r w:rsidR="00E638A4">
        <w:rPr>
          <w:sz w:val="24"/>
          <w:szCs w:val="24"/>
        </w:rPr>
        <w:t>a private and family life),</w:t>
      </w:r>
      <w:r w:rsidRPr="003920BC">
        <w:rPr>
          <w:sz w:val="24"/>
          <w:szCs w:val="24"/>
        </w:rPr>
        <w:t xml:space="preserve"> </w:t>
      </w:r>
      <w:r w:rsidR="00C47419" w:rsidRPr="00FA2B69">
        <w:rPr>
          <w:sz w:val="24"/>
          <w:szCs w:val="24"/>
        </w:rPr>
        <w:t>Article 10 (</w:t>
      </w:r>
      <w:r w:rsidR="00B25FF0">
        <w:rPr>
          <w:sz w:val="24"/>
          <w:szCs w:val="24"/>
        </w:rPr>
        <w:t xml:space="preserve">the right to </w:t>
      </w:r>
      <w:r w:rsidR="00C47419" w:rsidRPr="00FA2B69">
        <w:rPr>
          <w:sz w:val="24"/>
          <w:szCs w:val="24"/>
        </w:rPr>
        <w:t xml:space="preserve">freedom of expression) and </w:t>
      </w:r>
      <w:r w:rsidR="004623F8">
        <w:rPr>
          <w:sz w:val="24"/>
          <w:szCs w:val="24"/>
        </w:rPr>
        <w:t xml:space="preserve">Article </w:t>
      </w:r>
      <w:r w:rsidR="00C47419" w:rsidRPr="00FA2B69">
        <w:rPr>
          <w:sz w:val="24"/>
          <w:szCs w:val="24"/>
        </w:rPr>
        <w:t>11 (</w:t>
      </w:r>
      <w:r w:rsidR="00B25FF0">
        <w:rPr>
          <w:sz w:val="24"/>
          <w:szCs w:val="24"/>
        </w:rPr>
        <w:t xml:space="preserve">the right to </w:t>
      </w:r>
      <w:r w:rsidR="00C47419" w:rsidRPr="00FA2B69">
        <w:rPr>
          <w:sz w:val="24"/>
          <w:szCs w:val="24"/>
        </w:rPr>
        <w:t>freedom of</w:t>
      </w:r>
      <w:r w:rsidR="005C1F33">
        <w:rPr>
          <w:sz w:val="24"/>
          <w:szCs w:val="24"/>
        </w:rPr>
        <w:t xml:space="preserve"> peaceful</w:t>
      </w:r>
      <w:r w:rsidR="00C47419" w:rsidRPr="00FA2B69">
        <w:rPr>
          <w:sz w:val="24"/>
          <w:szCs w:val="24"/>
        </w:rPr>
        <w:t xml:space="preserve"> assembly) of the Human Rights Act</w:t>
      </w:r>
      <w:r w:rsidRPr="003920BC">
        <w:rPr>
          <w:sz w:val="24"/>
          <w:szCs w:val="24"/>
        </w:rPr>
        <w:t>, particularly for minority ethnic communities and groups already subject to disproportionate policing</w:t>
      </w:r>
      <w:r w:rsidR="007E1353">
        <w:rPr>
          <w:sz w:val="24"/>
          <w:szCs w:val="24"/>
        </w:rPr>
        <w:t xml:space="preserve"> in England and Wales. </w:t>
      </w:r>
    </w:p>
    <w:p w14:paraId="63725C48" w14:textId="77777777" w:rsidR="00A768C8" w:rsidRPr="00BF183C" w:rsidRDefault="00A768C8" w:rsidP="00A768C8">
      <w:pPr>
        <w:rPr>
          <w:color w:val="000000" w:themeColor="text1"/>
          <w:sz w:val="24"/>
          <w:szCs w:val="24"/>
        </w:rPr>
      </w:pPr>
      <w:r w:rsidRPr="00BF183C">
        <w:rPr>
          <w:color w:val="000000" w:themeColor="text1"/>
          <w:sz w:val="24"/>
          <w:szCs w:val="24"/>
        </w:rPr>
        <w:t>REF further highlighted that the current regulatory landscape governing biometric surveillance technologies remains fragmented and inconsistent and has failed to keep pace with rapid technological developments. This has enabled highly intrusive technologies to be deployed without adequate democratic scrutiny, transparency, accountability, or clear legal safeguards.</w:t>
      </w:r>
    </w:p>
    <w:p w14:paraId="3168C04E" w14:textId="35524CB4" w:rsidR="00A768C8" w:rsidRDefault="00BF183C" w:rsidP="0014258A">
      <w:pPr>
        <w:rPr>
          <w:sz w:val="24"/>
          <w:szCs w:val="24"/>
        </w:rPr>
      </w:pPr>
      <w:r>
        <w:rPr>
          <w:sz w:val="24"/>
          <w:szCs w:val="24"/>
        </w:rPr>
        <w:t>W</w:t>
      </w:r>
      <w:r w:rsidR="00B32348">
        <w:rPr>
          <w:sz w:val="24"/>
          <w:szCs w:val="24"/>
        </w:rPr>
        <w:t xml:space="preserve">e </w:t>
      </w:r>
      <w:r w:rsidR="00A768C8" w:rsidRPr="00A768C8">
        <w:rPr>
          <w:sz w:val="24"/>
          <w:szCs w:val="24"/>
        </w:rPr>
        <w:t>raised particular concerns regarding emerging biometric and AI-enabled technologies, including inferential technologies and object recognition systems, and strongly emphasised that such technologies must fall within the scope of any future legal framework, as the absence of regulation risks enabling the adoption of such tools without meaningful assessment of necessity, accuracy, or proportionality.</w:t>
      </w:r>
    </w:p>
    <w:p w14:paraId="686D35CD" w14:textId="1AE0691D" w:rsidR="00EF0F48" w:rsidRDefault="003D341F" w:rsidP="00385F03">
      <w:pPr>
        <w:rPr>
          <w:sz w:val="24"/>
          <w:szCs w:val="24"/>
        </w:rPr>
      </w:pPr>
      <w:r>
        <w:rPr>
          <w:sz w:val="24"/>
          <w:szCs w:val="24"/>
        </w:rPr>
        <w:t>Inferential t</w:t>
      </w:r>
      <w:r w:rsidR="00761DD4" w:rsidRPr="00761DD4">
        <w:rPr>
          <w:sz w:val="24"/>
          <w:szCs w:val="24"/>
        </w:rPr>
        <w:t>echnologies</w:t>
      </w:r>
      <w:r w:rsidR="009E6FC2">
        <w:rPr>
          <w:sz w:val="24"/>
          <w:szCs w:val="24"/>
        </w:rPr>
        <w:t xml:space="preserve"> </w:t>
      </w:r>
      <w:r w:rsidR="00761DD4" w:rsidRPr="00761DD4">
        <w:rPr>
          <w:sz w:val="24"/>
          <w:szCs w:val="24"/>
        </w:rPr>
        <w:t xml:space="preserve">that attempt to infer emotions, behaviours, intent, or personal characteristics from physical or behavioural data </w:t>
      </w:r>
      <w:r w:rsidR="00561139">
        <w:rPr>
          <w:sz w:val="24"/>
          <w:szCs w:val="24"/>
        </w:rPr>
        <w:t xml:space="preserve">are already being trialled </w:t>
      </w:r>
      <w:r w:rsidR="00245160">
        <w:rPr>
          <w:sz w:val="24"/>
          <w:szCs w:val="24"/>
        </w:rPr>
        <w:t>and</w:t>
      </w:r>
      <w:r w:rsidR="00561139">
        <w:rPr>
          <w:sz w:val="24"/>
          <w:szCs w:val="24"/>
        </w:rPr>
        <w:t xml:space="preserve"> deployed in public and private settings</w:t>
      </w:r>
      <w:r w:rsidR="00B32348">
        <w:rPr>
          <w:sz w:val="24"/>
          <w:szCs w:val="24"/>
        </w:rPr>
        <w:t xml:space="preserve"> in England and Wales</w:t>
      </w:r>
      <w:r w:rsidR="00561139">
        <w:rPr>
          <w:sz w:val="24"/>
          <w:szCs w:val="24"/>
        </w:rPr>
        <w:t xml:space="preserve">, including </w:t>
      </w:r>
      <w:r w:rsidR="00894622">
        <w:rPr>
          <w:sz w:val="24"/>
          <w:szCs w:val="24"/>
        </w:rPr>
        <w:t xml:space="preserve">in </w:t>
      </w:r>
      <w:r w:rsidR="00561139">
        <w:rPr>
          <w:sz w:val="24"/>
          <w:szCs w:val="24"/>
        </w:rPr>
        <w:t>transport hubs</w:t>
      </w:r>
      <w:r w:rsidR="00894622">
        <w:rPr>
          <w:sz w:val="24"/>
          <w:szCs w:val="24"/>
        </w:rPr>
        <w:t>, recruitment processes and surveillance contexts</w:t>
      </w:r>
      <w:r w:rsidR="00DE3C3E">
        <w:rPr>
          <w:sz w:val="24"/>
          <w:szCs w:val="24"/>
        </w:rPr>
        <w:t xml:space="preserve">. </w:t>
      </w:r>
      <w:r w:rsidR="00D54D3F">
        <w:rPr>
          <w:sz w:val="24"/>
          <w:szCs w:val="24"/>
        </w:rPr>
        <w:t xml:space="preserve">Such technologies </w:t>
      </w:r>
      <w:r w:rsidR="00761DD4" w:rsidRPr="00761DD4">
        <w:rPr>
          <w:sz w:val="24"/>
          <w:szCs w:val="24"/>
        </w:rPr>
        <w:t>pose significant risks to privacy, equality, and human dignity, particularly where their scientific validity remains contested</w:t>
      </w:r>
      <w:r w:rsidR="00856D92">
        <w:rPr>
          <w:sz w:val="24"/>
          <w:szCs w:val="24"/>
        </w:rPr>
        <w:t>, as they ri</w:t>
      </w:r>
      <w:r w:rsidR="00856D92" w:rsidRPr="00D54D3F">
        <w:rPr>
          <w:sz w:val="24"/>
          <w:szCs w:val="24"/>
        </w:rPr>
        <w:t>sk embedding discriminatory assumptions, amplifying bias, and producing harmful outcomes for racialised communities, disabled people, and other marginalised groups</w:t>
      </w:r>
      <w:r w:rsidR="000123AA">
        <w:rPr>
          <w:sz w:val="24"/>
          <w:szCs w:val="24"/>
        </w:rPr>
        <w:t xml:space="preserve">. </w:t>
      </w:r>
    </w:p>
    <w:p w14:paraId="5F59521F" w14:textId="1B6EE413" w:rsidR="00BC0983" w:rsidRDefault="006522E1" w:rsidP="00761DD4">
      <w:pPr>
        <w:rPr>
          <w:sz w:val="24"/>
          <w:szCs w:val="24"/>
        </w:rPr>
      </w:pPr>
      <w:r>
        <w:rPr>
          <w:sz w:val="24"/>
          <w:szCs w:val="24"/>
        </w:rPr>
        <w:t>Object</w:t>
      </w:r>
      <w:r w:rsidR="00761DD4" w:rsidRPr="0033557D">
        <w:rPr>
          <w:sz w:val="24"/>
          <w:szCs w:val="24"/>
        </w:rPr>
        <w:t xml:space="preserve"> recognition technologies</w:t>
      </w:r>
      <w:r>
        <w:rPr>
          <w:sz w:val="24"/>
          <w:szCs w:val="24"/>
        </w:rPr>
        <w:t xml:space="preserve">, while </w:t>
      </w:r>
      <w:r w:rsidR="004E44EF">
        <w:rPr>
          <w:sz w:val="24"/>
          <w:szCs w:val="24"/>
        </w:rPr>
        <w:t xml:space="preserve">they do not process biometric data in the same way as </w:t>
      </w:r>
      <w:r w:rsidR="007C1401">
        <w:rPr>
          <w:sz w:val="24"/>
          <w:szCs w:val="24"/>
        </w:rPr>
        <w:t>facial recognition technologies</w:t>
      </w:r>
      <w:r>
        <w:rPr>
          <w:sz w:val="24"/>
          <w:szCs w:val="24"/>
        </w:rPr>
        <w:t xml:space="preserve">, </w:t>
      </w:r>
      <w:r w:rsidR="007C1401">
        <w:rPr>
          <w:sz w:val="24"/>
          <w:szCs w:val="24"/>
        </w:rPr>
        <w:t xml:space="preserve">they </w:t>
      </w:r>
      <w:r w:rsidR="002700D7">
        <w:rPr>
          <w:sz w:val="24"/>
          <w:szCs w:val="24"/>
        </w:rPr>
        <w:t>can</w:t>
      </w:r>
      <w:r w:rsidR="007F1B02">
        <w:rPr>
          <w:sz w:val="24"/>
          <w:szCs w:val="24"/>
        </w:rPr>
        <w:t xml:space="preserve"> identify clothing, belongings, vehicles and other personal items, </w:t>
      </w:r>
      <w:r w:rsidR="00E71F23">
        <w:rPr>
          <w:sz w:val="24"/>
          <w:szCs w:val="24"/>
        </w:rPr>
        <w:t>and c</w:t>
      </w:r>
      <w:r w:rsidR="00761DD4" w:rsidRPr="0033557D">
        <w:rPr>
          <w:sz w:val="24"/>
          <w:szCs w:val="24"/>
        </w:rPr>
        <w:t>an be used to track, monitor, and profile individuals in public spaces</w:t>
      </w:r>
      <w:r w:rsidR="00006E8A">
        <w:rPr>
          <w:sz w:val="24"/>
          <w:szCs w:val="24"/>
        </w:rPr>
        <w:t>.</w:t>
      </w:r>
      <w:r w:rsidR="006013CD">
        <w:rPr>
          <w:sz w:val="24"/>
          <w:szCs w:val="24"/>
        </w:rPr>
        <w:t xml:space="preserve"> </w:t>
      </w:r>
      <w:r w:rsidR="00385F03" w:rsidRPr="00385F03">
        <w:rPr>
          <w:sz w:val="24"/>
          <w:szCs w:val="24"/>
        </w:rPr>
        <w:t xml:space="preserve">Such tools can and already are deployed in ways that interfere with rights to privacy, freedom of expression, and freedom of assembly </w:t>
      </w:r>
      <w:r w:rsidR="00006E8A">
        <w:rPr>
          <w:sz w:val="24"/>
          <w:szCs w:val="24"/>
        </w:rPr>
        <w:t xml:space="preserve">– </w:t>
      </w:r>
      <w:r w:rsidR="00385F03" w:rsidRPr="00385F03">
        <w:rPr>
          <w:sz w:val="24"/>
          <w:szCs w:val="24"/>
        </w:rPr>
        <w:t xml:space="preserve">for example, by targeting individuals at protests based on symbols, clothing, or insignia. </w:t>
      </w:r>
    </w:p>
    <w:p w14:paraId="00B4A5A4" w14:textId="0587D30F" w:rsidR="00650D0C" w:rsidRPr="00650D0C" w:rsidRDefault="00650D0C" w:rsidP="00761DD4">
      <w:pPr>
        <w:rPr>
          <w:sz w:val="24"/>
          <w:szCs w:val="24"/>
        </w:rPr>
      </w:pPr>
      <w:r w:rsidRPr="00483524">
        <w:rPr>
          <w:sz w:val="24"/>
          <w:szCs w:val="24"/>
        </w:rPr>
        <w:t xml:space="preserve">REF </w:t>
      </w:r>
      <w:r w:rsidR="005216A1">
        <w:rPr>
          <w:sz w:val="24"/>
          <w:szCs w:val="24"/>
        </w:rPr>
        <w:t>detailed additional concerns</w:t>
      </w:r>
      <w:r w:rsidRPr="00483524">
        <w:rPr>
          <w:sz w:val="24"/>
          <w:szCs w:val="24"/>
        </w:rPr>
        <w:t xml:space="preserve"> about the risk of function creep, whereby technologies introduced for limited or exceptional purposes are gradually expanded into routine, large-scale, or unrelated uses without adequate public scrutiny, democratic oversight, or explicit parliamentary approval. Given the scale of rights interference involved, REF believes the inclusion of new biometric or AI-enabled surveillance technologies within any future framework should require full parliamentary scrutiny and independent expert consultation.</w:t>
      </w:r>
    </w:p>
    <w:p w14:paraId="45B6F086" w14:textId="66FD474C" w:rsidR="0018624E" w:rsidRDefault="00FC5AB1" w:rsidP="00761DD4">
      <w:pPr>
        <w:rPr>
          <w:sz w:val="24"/>
          <w:szCs w:val="24"/>
        </w:rPr>
      </w:pPr>
      <w:r w:rsidRPr="00C000E7">
        <w:rPr>
          <w:sz w:val="24"/>
          <w:szCs w:val="24"/>
        </w:rPr>
        <w:t>We</w:t>
      </w:r>
      <w:r>
        <w:rPr>
          <w:sz w:val="24"/>
          <w:szCs w:val="24"/>
        </w:rPr>
        <w:t xml:space="preserve"> also</w:t>
      </w:r>
      <w:r w:rsidRPr="00C000E7">
        <w:rPr>
          <w:sz w:val="24"/>
          <w:szCs w:val="24"/>
        </w:rPr>
        <w:t xml:space="preserve"> </w:t>
      </w:r>
      <w:r w:rsidR="00471601">
        <w:rPr>
          <w:sz w:val="24"/>
          <w:szCs w:val="24"/>
        </w:rPr>
        <w:t>outlined</w:t>
      </w:r>
      <w:r w:rsidRPr="00C000E7">
        <w:rPr>
          <w:sz w:val="24"/>
          <w:szCs w:val="24"/>
        </w:rPr>
        <w:t xml:space="preserve"> our concern at </w:t>
      </w:r>
      <w:r w:rsidRPr="00761DD4">
        <w:rPr>
          <w:sz w:val="24"/>
          <w:szCs w:val="24"/>
        </w:rPr>
        <w:t xml:space="preserve">the UK Government’s </w:t>
      </w:r>
      <w:r w:rsidRPr="00C000E7">
        <w:rPr>
          <w:sz w:val="24"/>
          <w:szCs w:val="24"/>
        </w:rPr>
        <w:t xml:space="preserve">continued </w:t>
      </w:r>
      <w:r w:rsidRPr="00761DD4">
        <w:rPr>
          <w:sz w:val="24"/>
          <w:szCs w:val="24"/>
        </w:rPr>
        <w:t>approach</w:t>
      </w:r>
      <w:r w:rsidRPr="00C000E7">
        <w:rPr>
          <w:sz w:val="24"/>
          <w:szCs w:val="24"/>
        </w:rPr>
        <w:t xml:space="preserve"> </w:t>
      </w:r>
      <w:r w:rsidRPr="00761DD4">
        <w:rPr>
          <w:sz w:val="24"/>
          <w:szCs w:val="24"/>
        </w:rPr>
        <w:t xml:space="preserve">to rely heavily on discretionary police judgement, operational guidance, and fragmented oversight mechanisms, despite the scale of rights interference associated with biometric surveillance technologies. </w:t>
      </w:r>
      <w:r w:rsidR="00AF18F1">
        <w:rPr>
          <w:sz w:val="24"/>
          <w:szCs w:val="24"/>
        </w:rPr>
        <w:t>REF further emphasised</w:t>
      </w:r>
      <w:r w:rsidR="00981526">
        <w:rPr>
          <w:sz w:val="24"/>
          <w:szCs w:val="24"/>
        </w:rPr>
        <w:t xml:space="preserve"> that existing operational </w:t>
      </w:r>
      <w:r w:rsidR="00981526">
        <w:rPr>
          <w:sz w:val="24"/>
          <w:szCs w:val="24"/>
        </w:rPr>
        <w:lastRenderedPageBreak/>
        <w:t xml:space="preserve">safeguards associated with </w:t>
      </w:r>
      <w:r w:rsidR="00C42ADF">
        <w:rPr>
          <w:sz w:val="24"/>
          <w:szCs w:val="24"/>
        </w:rPr>
        <w:t xml:space="preserve">live facial recognition technologies, such as </w:t>
      </w:r>
      <w:r w:rsidR="00E312C5">
        <w:rPr>
          <w:sz w:val="24"/>
          <w:szCs w:val="24"/>
        </w:rPr>
        <w:t xml:space="preserve">signage to notify the public of LFR use, </w:t>
      </w:r>
      <w:r w:rsidR="000143CE">
        <w:rPr>
          <w:sz w:val="24"/>
          <w:szCs w:val="24"/>
        </w:rPr>
        <w:t xml:space="preserve">image blurring, </w:t>
      </w:r>
      <w:r w:rsidR="00AF18F1">
        <w:rPr>
          <w:sz w:val="24"/>
          <w:szCs w:val="24"/>
        </w:rPr>
        <w:t xml:space="preserve">or </w:t>
      </w:r>
      <w:r w:rsidR="000143CE">
        <w:rPr>
          <w:sz w:val="24"/>
          <w:szCs w:val="24"/>
        </w:rPr>
        <w:t xml:space="preserve">the deletion of unmatched biometric templates </w:t>
      </w:r>
      <w:r w:rsidR="0018624E" w:rsidRPr="0018624E">
        <w:rPr>
          <w:sz w:val="24"/>
          <w:szCs w:val="24"/>
        </w:rPr>
        <w:t>are insufficient to adequately mitigate the significant interference such technologies pose to rights to privacy, freedom of expression, and peaceful assembl</w:t>
      </w:r>
      <w:r w:rsidR="0018624E">
        <w:rPr>
          <w:sz w:val="24"/>
          <w:szCs w:val="24"/>
        </w:rPr>
        <w:t xml:space="preserve">y. </w:t>
      </w:r>
      <w:r w:rsidR="004E6225">
        <w:rPr>
          <w:sz w:val="24"/>
          <w:szCs w:val="24"/>
        </w:rPr>
        <w:t xml:space="preserve">Alongside this, we </w:t>
      </w:r>
      <w:r w:rsidR="0018624E">
        <w:rPr>
          <w:sz w:val="24"/>
          <w:szCs w:val="24"/>
        </w:rPr>
        <w:t>raised</w:t>
      </w:r>
      <w:r w:rsidR="004E6225">
        <w:rPr>
          <w:sz w:val="24"/>
          <w:szCs w:val="24"/>
        </w:rPr>
        <w:t xml:space="preserve"> concern</w:t>
      </w:r>
      <w:r w:rsidR="0018624E">
        <w:rPr>
          <w:sz w:val="24"/>
          <w:szCs w:val="24"/>
        </w:rPr>
        <w:t>s</w:t>
      </w:r>
      <w:r w:rsidR="004E6225">
        <w:rPr>
          <w:sz w:val="24"/>
          <w:szCs w:val="24"/>
        </w:rPr>
        <w:t xml:space="preserve"> </w:t>
      </w:r>
      <w:r w:rsidR="0018624E">
        <w:rPr>
          <w:sz w:val="24"/>
          <w:szCs w:val="24"/>
        </w:rPr>
        <w:t>regarding</w:t>
      </w:r>
      <w:r w:rsidR="00B81F98">
        <w:rPr>
          <w:sz w:val="24"/>
          <w:szCs w:val="24"/>
        </w:rPr>
        <w:t xml:space="preserve"> the increasing deployment of biometric surveillance technologies by private companies and non-policing public bodies</w:t>
      </w:r>
      <w:r w:rsidR="004C4DD5">
        <w:rPr>
          <w:sz w:val="24"/>
          <w:szCs w:val="24"/>
        </w:rPr>
        <w:t xml:space="preserve">, as outlined in section 2.2.3 of this submission. </w:t>
      </w:r>
    </w:p>
    <w:p w14:paraId="10E10EFA" w14:textId="77777777" w:rsidR="00B00701" w:rsidRDefault="00B00701" w:rsidP="00761DD4">
      <w:pPr>
        <w:rPr>
          <w:sz w:val="24"/>
          <w:szCs w:val="24"/>
        </w:rPr>
      </w:pPr>
    </w:p>
    <w:p w14:paraId="03FBA082" w14:textId="0A1DAF60" w:rsidR="00F4042E" w:rsidRPr="00761DD4" w:rsidRDefault="003953BE" w:rsidP="00761DD4">
      <w:pPr>
        <w:rPr>
          <w:b/>
          <w:bCs/>
          <w:sz w:val="24"/>
          <w:szCs w:val="24"/>
        </w:rPr>
      </w:pPr>
      <w:r w:rsidRPr="003953BE">
        <w:rPr>
          <w:b/>
          <w:bCs/>
          <w:sz w:val="24"/>
          <w:szCs w:val="24"/>
        </w:rPr>
        <w:t>2.2.5 International Regulatory Approaches:</w:t>
      </w:r>
    </w:p>
    <w:p w14:paraId="799444EB" w14:textId="37F2CE11" w:rsidR="00410D83" w:rsidRPr="00410D83" w:rsidRDefault="00410D83" w:rsidP="00410D83">
      <w:pPr>
        <w:rPr>
          <w:sz w:val="24"/>
          <w:szCs w:val="24"/>
        </w:rPr>
      </w:pPr>
      <w:r w:rsidRPr="00410D83">
        <w:rPr>
          <w:sz w:val="24"/>
          <w:szCs w:val="24"/>
        </w:rPr>
        <w:t>REF calls for a comprehensive and whole-system approach to regulating the use of biometric surveillance technologies in the UK, and for a statutory framework comparable to the safeguards contained within the EU AI Act.</w:t>
      </w:r>
      <w:r w:rsidR="00511B5F">
        <w:rPr>
          <w:rStyle w:val="FootnoteReference"/>
          <w:sz w:val="24"/>
          <w:szCs w:val="24"/>
        </w:rPr>
        <w:footnoteReference w:id="20"/>
      </w:r>
    </w:p>
    <w:p w14:paraId="4824D2EC" w14:textId="239CEBE7" w:rsidR="00410D83" w:rsidRPr="00410D83" w:rsidRDefault="00410D83" w:rsidP="00410D83">
      <w:pPr>
        <w:rPr>
          <w:sz w:val="24"/>
          <w:szCs w:val="24"/>
        </w:rPr>
      </w:pPr>
      <w:r w:rsidRPr="00410D83">
        <w:rPr>
          <w:sz w:val="24"/>
          <w:szCs w:val="24"/>
        </w:rPr>
        <w:t>International regulatory approaches</w:t>
      </w:r>
      <w:r w:rsidR="005879B2">
        <w:rPr>
          <w:sz w:val="24"/>
          <w:szCs w:val="24"/>
        </w:rPr>
        <w:t xml:space="preserve"> to</w:t>
      </w:r>
      <w:r w:rsidRPr="00410D83">
        <w:rPr>
          <w:sz w:val="24"/>
          <w:szCs w:val="24"/>
        </w:rPr>
        <w:t xml:space="preserve"> </w:t>
      </w:r>
      <w:r w:rsidR="00FE6115" w:rsidRPr="00410D83">
        <w:rPr>
          <w:sz w:val="24"/>
          <w:szCs w:val="24"/>
        </w:rPr>
        <w:t xml:space="preserve">biometric surveillance technologies </w:t>
      </w:r>
      <w:r w:rsidRPr="00410D83">
        <w:rPr>
          <w:sz w:val="24"/>
          <w:szCs w:val="24"/>
        </w:rPr>
        <w:t xml:space="preserve">further underline the need for stronger safeguards governing the use of </w:t>
      </w:r>
      <w:r w:rsidR="007402D6">
        <w:rPr>
          <w:sz w:val="24"/>
          <w:szCs w:val="24"/>
        </w:rPr>
        <w:t xml:space="preserve">these </w:t>
      </w:r>
      <w:r w:rsidRPr="00410D83">
        <w:rPr>
          <w:sz w:val="24"/>
          <w:szCs w:val="24"/>
        </w:rPr>
        <w:t>technologies</w:t>
      </w:r>
      <w:r w:rsidR="007402D6">
        <w:rPr>
          <w:sz w:val="24"/>
          <w:szCs w:val="24"/>
        </w:rPr>
        <w:t xml:space="preserve"> in the UK</w:t>
      </w:r>
      <w:r w:rsidRPr="00410D83">
        <w:rPr>
          <w:sz w:val="24"/>
          <w:szCs w:val="24"/>
        </w:rPr>
        <w:t xml:space="preserve">. </w:t>
      </w:r>
      <w:r w:rsidR="007402D6">
        <w:rPr>
          <w:sz w:val="24"/>
          <w:szCs w:val="24"/>
        </w:rPr>
        <w:t>T</w:t>
      </w:r>
      <w:r w:rsidRPr="00410D83">
        <w:rPr>
          <w:sz w:val="24"/>
          <w:szCs w:val="24"/>
        </w:rPr>
        <w:t>he EU AI Act adopts a holistic approach to biometric surveillance, with restrictions applying across both public and private contexts. This whole-system approach helps ensure consistency across sectors, prevents regulatory loopholes, protects communities who experience disproportionate policing and surveillance, and supports public trust.</w:t>
      </w:r>
    </w:p>
    <w:p w14:paraId="47BC82C6" w14:textId="77777777" w:rsidR="00410D83" w:rsidRPr="00410D83" w:rsidRDefault="00410D83" w:rsidP="00410D83">
      <w:pPr>
        <w:rPr>
          <w:sz w:val="24"/>
          <w:szCs w:val="24"/>
        </w:rPr>
      </w:pPr>
      <w:r w:rsidRPr="00410D83">
        <w:rPr>
          <w:sz w:val="24"/>
          <w:szCs w:val="24"/>
        </w:rPr>
        <w:t>REF is concerned that a framework limited solely to policing contexts risks creating significant regulatory gaps and enabling rights-intrusive surveillance practices to expand through public-private partnerships and non-policing uses.</w:t>
      </w:r>
    </w:p>
    <w:p w14:paraId="25F1B402" w14:textId="3DA3D8BC" w:rsidR="00410D83" w:rsidRPr="00410D83" w:rsidRDefault="00EE5ADE" w:rsidP="00410D83">
      <w:pPr>
        <w:rPr>
          <w:sz w:val="24"/>
          <w:szCs w:val="24"/>
        </w:rPr>
      </w:pPr>
      <w:r>
        <w:rPr>
          <w:sz w:val="24"/>
          <w:szCs w:val="24"/>
        </w:rPr>
        <w:t>Furthermore, t</w:t>
      </w:r>
      <w:r w:rsidR="00410D83" w:rsidRPr="00410D83">
        <w:rPr>
          <w:sz w:val="24"/>
          <w:szCs w:val="24"/>
        </w:rPr>
        <w:t xml:space="preserve">he EU AI Act also recognises the particular risks posed by </w:t>
      </w:r>
      <w:r w:rsidR="00B17EE9">
        <w:rPr>
          <w:sz w:val="24"/>
          <w:szCs w:val="24"/>
        </w:rPr>
        <w:t>LFR</w:t>
      </w:r>
      <w:r w:rsidR="00410D83" w:rsidRPr="00410D83">
        <w:rPr>
          <w:sz w:val="24"/>
          <w:szCs w:val="24"/>
        </w:rPr>
        <w:t xml:space="preserve"> and other forms of real-time biometric identification in publicly accessible spaces. It identifies such technologies as posing significant risks to rights to privacy, freedom of expression, and freedom of assembly because they create a climate of constant observability</w:t>
      </w:r>
      <w:r w:rsidR="00034497">
        <w:rPr>
          <w:sz w:val="24"/>
          <w:szCs w:val="24"/>
        </w:rPr>
        <w:t xml:space="preserve">. The EU AI Act </w:t>
      </w:r>
      <w:r w:rsidR="00440E6F">
        <w:rPr>
          <w:sz w:val="24"/>
          <w:szCs w:val="24"/>
        </w:rPr>
        <w:t>prohibits the use of LFR for law enforcement purposes other than when it is strictly necessary</w:t>
      </w:r>
      <w:r w:rsidR="00987EE3">
        <w:rPr>
          <w:sz w:val="24"/>
          <w:szCs w:val="24"/>
        </w:rPr>
        <w:t xml:space="preserve"> to achieve narrow objectives which link to the seriousness, probability and scale of the potential harms</w:t>
      </w:r>
      <w:r w:rsidR="00410D83" w:rsidRPr="00410D83">
        <w:rPr>
          <w:sz w:val="24"/>
          <w:szCs w:val="24"/>
        </w:rPr>
        <w:t>.</w:t>
      </w:r>
      <w:r w:rsidR="00987EE3">
        <w:rPr>
          <w:rStyle w:val="FootnoteReference"/>
          <w:sz w:val="24"/>
          <w:szCs w:val="24"/>
        </w:rPr>
        <w:footnoteReference w:id="21"/>
      </w:r>
      <w:r w:rsidR="00410D83" w:rsidRPr="00410D83">
        <w:rPr>
          <w:sz w:val="24"/>
          <w:szCs w:val="24"/>
        </w:rPr>
        <w:t xml:space="preserve"> REF is concerned that the proposed UK framework </w:t>
      </w:r>
      <w:r w:rsidR="00E708F4">
        <w:rPr>
          <w:sz w:val="24"/>
          <w:szCs w:val="24"/>
        </w:rPr>
        <w:t>will not</w:t>
      </w:r>
      <w:r w:rsidR="00410D83" w:rsidRPr="00410D83">
        <w:rPr>
          <w:sz w:val="24"/>
          <w:szCs w:val="24"/>
        </w:rPr>
        <w:t xml:space="preserve"> reflect equivalent safeguards or restrictions.</w:t>
      </w:r>
    </w:p>
    <w:p w14:paraId="216B7A5E" w14:textId="23F9DA2B" w:rsidR="000924BC" w:rsidRDefault="00813B7C" w:rsidP="008676CC">
      <w:pPr>
        <w:rPr>
          <w:sz w:val="24"/>
          <w:szCs w:val="24"/>
        </w:rPr>
      </w:pPr>
      <w:r>
        <w:rPr>
          <w:sz w:val="24"/>
          <w:szCs w:val="24"/>
        </w:rPr>
        <w:t>Furthermore,</w:t>
      </w:r>
      <w:r w:rsidR="00410D83" w:rsidRPr="00410D83">
        <w:rPr>
          <w:sz w:val="24"/>
          <w:szCs w:val="24"/>
        </w:rPr>
        <w:t xml:space="preserve"> the EU AI Act restricts AI systems that attempt to infer sensitive attributes such as emotions in high-risk settings due to concerns regarding scientific validity, discrimination, and disproportionate interference with fundamental rights. </w:t>
      </w:r>
      <w:r w:rsidR="008A43BC" w:rsidRPr="008A43BC">
        <w:rPr>
          <w:sz w:val="24"/>
          <w:szCs w:val="24"/>
        </w:rPr>
        <w:t>REF is concerned that the UK currently lacks equivalent safeguards</w:t>
      </w:r>
      <w:r w:rsidR="00D95448">
        <w:rPr>
          <w:sz w:val="24"/>
          <w:szCs w:val="24"/>
        </w:rPr>
        <w:t xml:space="preserve"> and argues that i</w:t>
      </w:r>
      <w:r w:rsidR="00410D83" w:rsidRPr="00410D83">
        <w:rPr>
          <w:sz w:val="24"/>
          <w:szCs w:val="24"/>
        </w:rPr>
        <w:t>ncorporating comparable safeguards within the UK framework would help ensure that individuals are not subjected to unproven or discriminatory inference-based systems.</w:t>
      </w:r>
      <w:r w:rsidR="00CE4257">
        <w:rPr>
          <w:sz w:val="24"/>
          <w:szCs w:val="24"/>
        </w:rPr>
        <w:t xml:space="preserve"> </w:t>
      </w:r>
      <w:r w:rsidR="00512F80">
        <w:rPr>
          <w:sz w:val="24"/>
          <w:szCs w:val="24"/>
        </w:rPr>
        <w:t xml:space="preserve">More </w:t>
      </w:r>
      <w:r w:rsidR="000924BC">
        <w:rPr>
          <w:sz w:val="24"/>
          <w:szCs w:val="24"/>
        </w:rPr>
        <w:t>broadly</w:t>
      </w:r>
      <w:r w:rsidR="00512F80">
        <w:rPr>
          <w:sz w:val="24"/>
          <w:szCs w:val="24"/>
        </w:rPr>
        <w:t>, t</w:t>
      </w:r>
      <w:r w:rsidR="00410D83" w:rsidRPr="00410D83">
        <w:rPr>
          <w:sz w:val="24"/>
          <w:szCs w:val="24"/>
        </w:rPr>
        <w:t xml:space="preserve">he precautionary approach adopted within the EU AI Act reflects the </w:t>
      </w:r>
      <w:r w:rsidR="00410D83" w:rsidRPr="00410D83">
        <w:rPr>
          <w:sz w:val="24"/>
          <w:szCs w:val="24"/>
        </w:rPr>
        <w:lastRenderedPageBreak/>
        <w:t>need for clear safeguards in the UK to prevent function creep</w:t>
      </w:r>
      <w:r w:rsidR="000924BC">
        <w:rPr>
          <w:sz w:val="24"/>
          <w:szCs w:val="24"/>
        </w:rPr>
        <w:t xml:space="preserve"> </w:t>
      </w:r>
      <w:r w:rsidR="000924BC" w:rsidRPr="000924BC">
        <w:rPr>
          <w:sz w:val="24"/>
          <w:szCs w:val="24"/>
        </w:rPr>
        <w:t>and the gradual normalisation of highly intrusive surveillance technologies.</w:t>
      </w:r>
    </w:p>
    <w:p w14:paraId="5289160A" w14:textId="77777777" w:rsidR="00202802" w:rsidRDefault="00202802" w:rsidP="002337DC">
      <w:pPr>
        <w:rPr>
          <w:sz w:val="24"/>
          <w:szCs w:val="24"/>
        </w:rPr>
      </w:pPr>
    </w:p>
    <w:p w14:paraId="6A1C4858" w14:textId="0B0EBCC0" w:rsidR="00671D2D" w:rsidRPr="00227542" w:rsidRDefault="00202802" w:rsidP="002337DC">
      <w:pPr>
        <w:rPr>
          <w:b/>
          <w:bCs/>
          <w:sz w:val="24"/>
          <w:szCs w:val="24"/>
        </w:rPr>
      </w:pPr>
      <w:r w:rsidRPr="00F14717">
        <w:rPr>
          <w:b/>
          <w:bCs/>
          <w:sz w:val="24"/>
          <w:szCs w:val="24"/>
        </w:rPr>
        <w:t xml:space="preserve">2.3 </w:t>
      </w:r>
      <w:r w:rsidR="0035304D" w:rsidRPr="00F14717">
        <w:rPr>
          <w:b/>
          <w:bCs/>
          <w:sz w:val="24"/>
          <w:szCs w:val="24"/>
        </w:rPr>
        <w:t>Discriminatory</w:t>
      </w:r>
      <w:r w:rsidRPr="00F14717">
        <w:rPr>
          <w:b/>
          <w:bCs/>
          <w:sz w:val="24"/>
          <w:szCs w:val="24"/>
        </w:rPr>
        <w:t xml:space="preserve"> policing</w:t>
      </w:r>
      <w:r w:rsidRPr="00227542">
        <w:rPr>
          <w:b/>
          <w:bCs/>
          <w:sz w:val="24"/>
          <w:szCs w:val="24"/>
        </w:rPr>
        <w:t xml:space="preserve"> of protest and racialised </w:t>
      </w:r>
      <w:r w:rsidR="0035304D">
        <w:rPr>
          <w:b/>
          <w:bCs/>
          <w:sz w:val="24"/>
          <w:szCs w:val="24"/>
        </w:rPr>
        <w:t>restrictions</w:t>
      </w:r>
      <w:r w:rsidR="00E42F69">
        <w:rPr>
          <w:b/>
          <w:bCs/>
          <w:sz w:val="24"/>
          <w:szCs w:val="24"/>
        </w:rPr>
        <w:t xml:space="preserve"> on the right to freedom of </w:t>
      </w:r>
      <w:r w:rsidR="004443E9">
        <w:rPr>
          <w:b/>
          <w:bCs/>
          <w:sz w:val="24"/>
          <w:szCs w:val="24"/>
        </w:rPr>
        <w:t xml:space="preserve">peaceful </w:t>
      </w:r>
      <w:r w:rsidR="00E42F69">
        <w:rPr>
          <w:b/>
          <w:bCs/>
          <w:sz w:val="24"/>
          <w:szCs w:val="24"/>
        </w:rPr>
        <w:t>assembly</w:t>
      </w:r>
      <w:r w:rsidRPr="00227542">
        <w:rPr>
          <w:b/>
          <w:bCs/>
          <w:sz w:val="24"/>
          <w:szCs w:val="24"/>
        </w:rPr>
        <w:t xml:space="preserve">: </w:t>
      </w:r>
    </w:p>
    <w:p w14:paraId="64AD6B39" w14:textId="7B2F2460" w:rsidR="00227542" w:rsidRPr="003D6503" w:rsidRDefault="00227542" w:rsidP="00227542">
      <w:pPr>
        <w:rPr>
          <w:sz w:val="24"/>
          <w:szCs w:val="24"/>
        </w:rPr>
      </w:pPr>
      <w:r w:rsidRPr="00227542">
        <w:rPr>
          <w:sz w:val="24"/>
          <w:szCs w:val="24"/>
        </w:rPr>
        <w:t xml:space="preserve">REF is concerned by increasing differential treatment in the policing and public framing of protests involving different racialised and religious communities across the UK. </w:t>
      </w:r>
      <w:r w:rsidRPr="003D6503">
        <w:rPr>
          <w:sz w:val="24"/>
          <w:szCs w:val="24"/>
        </w:rPr>
        <w:t xml:space="preserve">These concerns are particularly acute in the context of </w:t>
      </w:r>
      <w:r w:rsidR="00211CE4">
        <w:rPr>
          <w:sz w:val="24"/>
          <w:szCs w:val="24"/>
        </w:rPr>
        <w:t>the ‘Unite the Kingdom</w:t>
      </w:r>
      <w:r w:rsidR="00EF1705">
        <w:rPr>
          <w:sz w:val="24"/>
          <w:szCs w:val="24"/>
        </w:rPr>
        <w:t>’</w:t>
      </w:r>
      <w:r w:rsidR="00211CE4">
        <w:rPr>
          <w:sz w:val="24"/>
          <w:szCs w:val="24"/>
        </w:rPr>
        <w:t xml:space="preserve"> rallies organised by far-right figure Tommy Robinson and </w:t>
      </w:r>
      <w:r w:rsidRPr="003D6503">
        <w:rPr>
          <w:sz w:val="24"/>
          <w:szCs w:val="24"/>
        </w:rPr>
        <w:t>Palestine solidarity demonstrations.</w:t>
      </w:r>
    </w:p>
    <w:p w14:paraId="26EAFFF9" w14:textId="2A3E850C" w:rsidR="000A7B03" w:rsidRDefault="00227542" w:rsidP="00227542">
      <w:pPr>
        <w:rPr>
          <w:sz w:val="24"/>
          <w:szCs w:val="24"/>
        </w:rPr>
      </w:pPr>
      <w:r w:rsidRPr="00227542">
        <w:rPr>
          <w:sz w:val="24"/>
          <w:szCs w:val="24"/>
        </w:rPr>
        <w:t>REF recognises the serious and legitimate concerns regarding rising antisemitism in the UK, particularly following violent attacks targeting Jewish communities and places of worship</w:t>
      </w:r>
      <w:r w:rsidR="005734CF">
        <w:rPr>
          <w:sz w:val="24"/>
          <w:szCs w:val="24"/>
        </w:rPr>
        <w:t xml:space="preserve">, </w:t>
      </w:r>
      <w:r w:rsidR="006F5AC4">
        <w:rPr>
          <w:sz w:val="24"/>
          <w:szCs w:val="24"/>
        </w:rPr>
        <w:t>including</w:t>
      </w:r>
      <w:r w:rsidR="005734CF">
        <w:rPr>
          <w:sz w:val="24"/>
          <w:szCs w:val="24"/>
        </w:rPr>
        <w:t xml:space="preserve"> the</w:t>
      </w:r>
      <w:r w:rsidR="00891EFC">
        <w:rPr>
          <w:sz w:val="24"/>
          <w:szCs w:val="24"/>
        </w:rPr>
        <w:t xml:space="preserve"> synagogue attack in Greater Manchester in October 2025</w:t>
      </w:r>
      <w:r w:rsidR="007A059A">
        <w:rPr>
          <w:sz w:val="24"/>
          <w:szCs w:val="24"/>
        </w:rPr>
        <w:t xml:space="preserve">, in which two </w:t>
      </w:r>
      <w:r w:rsidR="00E52F79">
        <w:rPr>
          <w:sz w:val="24"/>
          <w:szCs w:val="24"/>
        </w:rPr>
        <w:t xml:space="preserve">people of Jewish faith </w:t>
      </w:r>
      <w:r w:rsidR="00D33D3F">
        <w:rPr>
          <w:sz w:val="24"/>
          <w:szCs w:val="24"/>
        </w:rPr>
        <w:t>were killed</w:t>
      </w:r>
      <w:r w:rsidR="009B3090">
        <w:rPr>
          <w:sz w:val="24"/>
          <w:szCs w:val="24"/>
        </w:rPr>
        <w:t>.</w:t>
      </w:r>
      <w:r w:rsidR="0010726C">
        <w:rPr>
          <w:rStyle w:val="FootnoteReference"/>
          <w:sz w:val="24"/>
          <w:szCs w:val="24"/>
        </w:rPr>
        <w:footnoteReference w:id="22"/>
      </w:r>
      <w:r w:rsidRPr="00227542">
        <w:rPr>
          <w:sz w:val="24"/>
          <w:szCs w:val="24"/>
        </w:rPr>
        <w:t xml:space="preserve"> Jewish communities across the UK continue to face significant risks from hate crime, extremist violence, and hostile threats, </w:t>
      </w:r>
      <w:r w:rsidR="007A059A">
        <w:rPr>
          <w:sz w:val="24"/>
          <w:szCs w:val="24"/>
        </w:rPr>
        <w:t>epitomised by the actions of the attacker, who had a history of mental illness and violence</w:t>
      </w:r>
      <w:r w:rsidR="00CB269A">
        <w:rPr>
          <w:sz w:val="24"/>
          <w:szCs w:val="24"/>
        </w:rPr>
        <w:t xml:space="preserve">, </w:t>
      </w:r>
      <w:r w:rsidR="007A059A">
        <w:rPr>
          <w:sz w:val="24"/>
          <w:szCs w:val="24"/>
        </w:rPr>
        <w:t xml:space="preserve">and stabbed </w:t>
      </w:r>
      <w:r w:rsidR="005E355D">
        <w:rPr>
          <w:sz w:val="24"/>
          <w:szCs w:val="24"/>
        </w:rPr>
        <w:t>a</w:t>
      </w:r>
      <w:r w:rsidR="00CB269A">
        <w:rPr>
          <w:sz w:val="24"/>
          <w:szCs w:val="24"/>
        </w:rPr>
        <w:t xml:space="preserve"> Muslim</w:t>
      </w:r>
      <w:r w:rsidR="005E355D">
        <w:rPr>
          <w:sz w:val="24"/>
          <w:szCs w:val="24"/>
        </w:rPr>
        <w:t xml:space="preserve"> man</w:t>
      </w:r>
      <w:r w:rsidR="006A74F1">
        <w:rPr>
          <w:rStyle w:val="FootnoteReference"/>
          <w:sz w:val="24"/>
          <w:szCs w:val="24"/>
        </w:rPr>
        <w:footnoteReference w:id="23"/>
      </w:r>
      <w:r w:rsidR="005E355D">
        <w:rPr>
          <w:sz w:val="24"/>
          <w:szCs w:val="24"/>
        </w:rPr>
        <w:t xml:space="preserve"> before going to Golders Green</w:t>
      </w:r>
      <w:r w:rsidR="00F91DC1">
        <w:rPr>
          <w:sz w:val="24"/>
          <w:szCs w:val="24"/>
        </w:rPr>
        <w:t xml:space="preserve">, </w:t>
      </w:r>
      <w:r w:rsidR="009B3090">
        <w:rPr>
          <w:sz w:val="24"/>
          <w:szCs w:val="24"/>
        </w:rPr>
        <w:t xml:space="preserve">an area of London </w:t>
      </w:r>
      <w:r w:rsidR="00F91DC1">
        <w:rPr>
          <w:sz w:val="24"/>
          <w:szCs w:val="24"/>
        </w:rPr>
        <w:t>known for its large Jewish population</w:t>
      </w:r>
      <w:r w:rsidR="009826A6">
        <w:rPr>
          <w:sz w:val="24"/>
          <w:szCs w:val="24"/>
        </w:rPr>
        <w:t>,</w:t>
      </w:r>
      <w:r w:rsidR="005E355D">
        <w:rPr>
          <w:sz w:val="24"/>
          <w:szCs w:val="24"/>
        </w:rPr>
        <w:t xml:space="preserve"> with the specific intention of hunting for anyone who was ‘visibly Jewish’.</w:t>
      </w:r>
      <w:r w:rsidR="00F91DC1">
        <w:rPr>
          <w:rStyle w:val="FootnoteReference"/>
          <w:sz w:val="24"/>
          <w:szCs w:val="24"/>
        </w:rPr>
        <w:footnoteReference w:id="24"/>
      </w:r>
      <w:r w:rsidR="005E355D">
        <w:rPr>
          <w:sz w:val="24"/>
          <w:szCs w:val="24"/>
        </w:rPr>
        <w:t xml:space="preserve"> </w:t>
      </w:r>
      <w:r w:rsidR="000A7B03">
        <w:rPr>
          <w:sz w:val="24"/>
          <w:szCs w:val="24"/>
        </w:rPr>
        <w:t>In response</w:t>
      </w:r>
      <w:r w:rsidR="00A16E30">
        <w:rPr>
          <w:sz w:val="24"/>
          <w:szCs w:val="24"/>
        </w:rPr>
        <w:t xml:space="preserve"> to the attacks and the number of recorded antisemitic hate crimes in London in April </w:t>
      </w:r>
      <w:r w:rsidR="00FE116C">
        <w:rPr>
          <w:sz w:val="24"/>
          <w:szCs w:val="24"/>
        </w:rPr>
        <w:t xml:space="preserve">2026 </w:t>
      </w:r>
      <w:r w:rsidR="00A16E30">
        <w:rPr>
          <w:sz w:val="24"/>
          <w:szCs w:val="24"/>
        </w:rPr>
        <w:t>being at their highest in two years</w:t>
      </w:r>
      <w:r w:rsidR="000A7B03">
        <w:rPr>
          <w:sz w:val="24"/>
          <w:szCs w:val="24"/>
        </w:rPr>
        <w:t>, the Metropolitan police ha</w:t>
      </w:r>
      <w:r w:rsidR="00E17CBC">
        <w:rPr>
          <w:sz w:val="24"/>
          <w:szCs w:val="24"/>
        </w:rPr>
        <w:t>s set up a “community protection team”</w:t>
      </w:r>
      <w:r w:rsidR="00366BEE">
        <w:rPr>
          <w:sz w:val="24"/>
          <w:szCs w:val="24"/>
        </w:rPr>
        <w:t xml:space="preserve"> deploying 100 extra officers to protect Jewish communities.</w:t>
      </w:r>
      <w:r w:rsidR="00366BEE">
        <w:rPr>
          <w:rStyle w:val="FootnoteReference"/>
          <w:sz w:val="24"/>
          <w:szCs w:val="24"/>
        </w:rPr>
        <w:footnoteReference w:id="25"/>
      </w:r>
      <w:r w:rsidR="00366BEE">
        <w:rPr>
          <w:sz w:val="24"/>
          <w:szCs w:val="24"/>
        </w:rPr>
        <w:t xml:space="preserve"> </w:t>
      </w:r>
    </w:p>
    <w:p w14:paraId="77888F9D" w14:textId="099E0097" w:rsidR="009826A6" w:rsidRDefault="00227542" w:rsidP="00227542">
      <w:pPr>
        <w:rPr>
          <w:sz w:val="24"/>
          <w:szCs w:val="24"/>
        </w:rPr>
      </w:pPr>
      <w:r w:rsidRPr="00227542">
        <w:rPr>
          <w:sz w:val="24"/>
          <w:szCs w:val="24"/>
        </w:rPr>
        <w:t xml:space="preserve">REF </w:t>
      </w:r>
      <w:r w:rsidR="00F91DC1">
        <w:rPr>
          <w:sz w:val="24"/>
          <w:szCs w:val="24"/>
        </w:rPr>
        <w:t xml:space="preserve">fully </w:t>
      </w:r>
      <w:r w:rsidRPr="00227542">
        <w:rPr>
          <w:sz w:val="24"/>
          <w:szCs w:val="24"/>
        </w:rPr>
        <w:t>supports the need for effective protection against antisemitic violence and abuse.</w:t>
      </w:r>
      <w:r w:rsidR="00490BD0">
        <w:rPr>
          <w:sz w:val="24"/>
          <w:szCs w:val="24"/>
        </w:rPr>
        <w:t xml:space="preserve"> </w:t>
      </w:r>
      <w:r w:rsidRPr="00227542">
        <w:rPr>
          <w:sz w:val="24"/>
          <w:szCs w:val="24"/>
        </w:rPr>
        <w:t xml:space="preserve">At the same time, REF is concerned by growing perceptions among civil society organisations and minority ethnic communities that anti-Muslim </w:t>
      </w:r>
      <w:r w:rsidR="005E31C2">
        <w:rPr>
          <w:sz w:val="24"/>
          <w:szCs w:val="24"/>
        </w:rPr>
        <w:t xml:space="preserve">hate, </w:t>
      </w:r>
      <w:r w:rsidRPr="00227542">
        <w:rPr>
          <w:sz w:val="24"/>
          <w:szCs w:val="24"/>
        </w:rPr>
        <w:t xml:space="preserve">racism and far-right mobilisation are not treated with the same level of seriousness by </w:t>
      </w:r>
      <w:r w:rsidR="00E54127">
        <w:rPr>
          <w:sz w:val="24"/>
          <w:szCs w:val="24"/>
        </w:rPr>
        <w:t xml:space="preserve">government and </w:t>
      </w:r>
      <w:r w:rsidRPr="00227542">
        <w:rPr>
          <w:sz w:val="24"/>
          <w:szCs w:val="24"/>
        </w:rPr>
        <w:t>public authorities.</w:t>
      </w:r>
      <w:r w:rsidR="00001F9D">
        <w:rPr>
          <w:rStyle w:val="FootnoteReference"/>
          <w:sz w:val="24"/>
          <w:szCs w:val="24"/>
        </w:rPr>
        <w:footnoteReference w:id="26"/>
      </w:r>
      <w:r w:rsidRPr="00227542">
        <w:rPr>
          <w:sz w:val="24"/>
          <w:szCs w:val="24"/>
        </w:rPr>
        <w:t xml:space="preserve"> </w:t>
      </w:r>
      <w:r w:rsidR="00E54127">
        <w:rPr>
          <w:sz w:val="24"/>
          <w:szCs w:val="24"/>
        </w:rPr>
        <w:t xml:space="preserve">Earlier this month, leader of the Conversative Party, Kemi Badenoch argued that </w:t>
      </w:r>
      <w:r w:rsidR="004902D2" w:rsidRPr="004902D2">
        <w:rPr>
          <w:sz w:val="24"/>
          <w:szCs w:val="24"/>
        </w:rPr>
        <w:t xml:space="preserve">pro-Palestine marches should be banned because </w:t>
      </w:r>
      <w:r w:rsidR="004902D2">
        <w:rPr>
          <w:sz w:val="24"/>
          <w:szCs w:val="24"/>
        </w:rPr>
        <w:t>“</w:t>
      </w:r>
      <w:r w:rsidR="004902D2" w:rsidRPr="004902D2">
        <w:rPr>
          <w:sz w:val="24"/>
          <w:szCs w:val="24"/>
        </w:rPr>
        <w:t>they platform antisemitism,</w:t>
      </w:r>
      <w:r w:rsidR="004902D2">
        <w:rPr>
          <w:sz w:val="24"/>
          <w:szCs w:val="24"/>
        </w:rPr>
        <w:t>”</w:t>
      </w:r>
      <w:r w:rsidR="004902D2" w:rsidRPr="004902D2">
        <w:rPr>
          <w:sz w:val="24"/>
          <w:szCs w:val="24"/>
        </w:rPr>
        <w:t xml:space="preserve"> but that marches organised by the far-right activist Tommy </w:t>
      </w:r>
      <w:r w:rsidR="004902D2" w:rsidRPr="004902D2">
        <w:rPr>
          <w:sz w:val="24"/>
          <w:szCs w:val="24"/>
        </w:rPr>
        <w:lastRenderedPageBreak/>
        <w:t>Robinson should be allowed.</w:t>
      </w:r>
      <w:r w:rsidR="0068092D">
        <w:rPr>
          <w:rStyle w:val="FootnoteReference"/>
          <w:sz w:val="24"/>
          <w:szCs w:val="24"/>
        </w:rPr>
        <w:footnoteReference w:id="27"/>
      </w:r>
      <w:r w:rsidR="00F75C91">
        <w:rPr>
          <w:sz w:val="24"/>
          <w:szCs w:val="24"/>
        </w:rPr>
        <w:t xml:space="preserve"> The Cons</w:t>
      </w:r>
      <w:r w:rsidR="00E836DC">
        <w:rPr>
          <w:sz w:val="24"/>
          <w:szCs w:val="24"/>
        </w:rPr>
        <w:t>erv</w:t>
      </w:r>
      <w:r w:rsidR="00F75C91">
        <w:rPr>
          <w:sz w:val="24"/>
          <w:szCs w:val="24"/>
        </w:rPr>
        <w:t xml:space="preserve">ative Party leader dismissed the view that the Robinson marches were a platform for anti-Muslim hate </w:t>
      </w:r>
      <w:r w:rsidR="00895074">
        <w:rPr>
          <w:sz w:val="24"/>
          <w:szCs w:val="24"/>
        </w:rPr>
        <w:t xml:space="preserve">and that Muslims might feel threatened by some of the </w:t>
      </w:r>
      <w:r w:rsidR="007000F9">
        <w:rPr>
          <w:sz w:val="24"/>
          <w:szCs w:val="24"/>
        </w:rPr>
        <w:t>rhetoric expressed at such</w:t>
      </w:r>
      <w:r w:rsidR="00895074">
        <w:rPr>
          <w:sz w:val="24"/>
          <w:szCs w:val="24"/>
        </w:rPr>
        <w:t xml:space="preserve"> event</w:t>
      </w:r>
      <w:r w:rsidR="007000F9">
        <w:rPr>
          <w:sz w:val="24"/>
          <w:szCs w:val="24"/>
        </w:rPr>
        <w:t>s</w:t>
      </w:r>
      <w:r w:rsidR="00895074">
        <w:rPr>
          <w:sz w:val="24"/>
          <w:szCs w:val="24"/>
        </w:rPr>
        <w:t xml:space="preserve">, insisting that the two </w:t>
      </w:r>
      <w:r w:rsidR="009750A9">
        <w:rPr>
          <w:sz w:val="24"/>
          <w:szCs w:val="24"/>
        </w:rPr>
        <w:t>types</w:t>
      </w:r>
      <w:r w:rsidR="00895074">
        <w:rPr>
          <w:sz w:val="24"/>
          <w:szCs w:val="24"/>
        </w:rPr>
        <w:t xml:space="preserve"> of marches were “not the same</w:t>
      </w:r>
      <w:r w:rsidR="00DD1450">
        <w:rPr>
          <w:sz w:val="24"/>
          <w:szCs w:val="24"/>
        </w:rPr>
        <w:t>,</w:t>
      </w:r>
      <w:r w:rsidR="00895074">
        <w:rPr>
          <w:sz w:val="24"/>
          <w:szCs w:val="24"/>
        </w:rPr>
        <w:t>”</w:t>
      </w:r>
      <w:r w:rsidR="009750A9">
        <w:rPr>
          <w:sz w:val="24"/>
          <w:szCs w:val="24"/>
        </w:rPr>
        <w:t xml:space="preserve"> </w:t>
      </w:r>
      <w:r w:rsidR="00DD1450">
        <w:rPr>
          <w:sz w:val="24"/>
          <w:szCs w:val="24"/>
        </w:rPr>
        <w:t>arguing th</w:t>
      </w:r>
      <w:r w:rsidR="00EE541E">
        <w:rPr>
          <w:sz w:val="24"/>
          <w:szCs w:val="24"/>
        </w:rPr>
        <w:t xml:space="preserve">at the </w:t>
      </w:r>
      <w:r w:rsidR="00DD1450">
        <w:rPr>
          <w:sz w:val="24"/>
          <w:szCs w:val="24"/>
        </w:rPr>
        <w:t xml:space="preserve">anti-Muslim rhetoric associated with such demonstrations constituted </w:t>
      </w:r>
      <w:r w:rsidR="00731674">
        <w:rPr>
          <w:sz w:val="24"/>
          <w:szCs w:val="24"/>
        </w:rPr>
        <w:t>legitimate speech as “criticism of religion is allowed in this country.”</w:t>
      </w:r>
      <w:r w:rsidR="00895074">
        <w:rPr>
          <w:rStyle w:val="FootnoteReference"/>
          <w:sz w:val="24"/>
          <w:szCs w:val="24"/>
        </w:rPr>
        <w:footnoteReference w:id="28"/>
      </w:r>
      <w:r w:rsidR="00895074">
        <w:rPr>
          <w:sz w:val="24"/>
          <w:szCs w:val="24"/>
        </w:rPr>
        <w:t xml:space="preserve"> </w:t>
      </w:r>
    </w:p>
    <w:p w14:paraId="2E22C72F" w14:textId="42EA56F4" w:rsidR="00F4720F" w:rsidRDefault="00D75CC0" w:rsidP="00227542">
      <w:pPr>
        <w:rPr>
          <w:sz w:val="24"/>
          <w:szCs w:val="24"/>
        </w:rPr>
      </w:pPr>
      <w:r>
        <w:rPr>
          <w:sz w:val="24"/>
          <w:szCs w:val="24"/>
        </w:rPr>
        <w:t xml:space="preserve">Civil society </w:t>
      </w:r>
      <w:r w:rsidR="00101B3D">
        <w:rPr>
          <w:sz w:val="24"/>
          <w:szCs w:val="24"/>
        </w:rPr>
        <w:t xml:space="preserve">have </w:t>
      </w:r>
      <w:r w:rsidR="00617C10">
        <w:rPr>
          <w:sz w:val="24"/>
          <w:szCs w:val="24"/>
        </w:rPr>
        <w:t xml:space="preserve">raised concerns that this reflects a broader </w:t>
      </w:r>
      <w:r w:rsidR="001C12C8">
        <w:rPr>
          <w:sz w:val="24"/>
          <w:szCs w:val="24"/>
        </w:rPr>
        <w:t>permissiv</w:t>
      </w:r>
      <w:r w:rsidR="00227542" w:rsidRPr="00227542">
        <w:rPr>
          <w:sz w:val="24"/>
          <w:szCs w:val="24"/>
        </w:rPr>
        <w:t xml:space="preserve">e </w:t>
      </w:r>
      <w:r w:rsidR="00101B3D">
        <w:rPr>
          <w:sz w:val="24"/>
          <w:szCs w:val="24"/>
        </w:rPr>
        <w:t>attitude</w:t>
      </w:r>
      <w:r w:rsidR="00227542" w:rsidRPr="00227542">
        <w:rPr>
          <w:sz w:val="24"/>
          <w:szCs w:val="24"/>
        </w:rPr>
        <w:t xml:space="preserve"> towards</w:t>
      </w:r>
      <w:r w:rsidR="00101B3D">
        <w:rPr>
          <w:sz w:val="24"/>
          <w:szCs w:val="24"/>
        </w:rPr>
        <w:t xml:space="preserve"> the</w:t>
      </w:r>
      <w:r w:rsidR="00227542" w:rsidRPr="00227542">
        <w:rPr>
          <w:sz w:val="24"/>
          <w:szCs w:val="24"/>
        </w:rPr>
        <w:t xml:space="preserve"> far-right</w:t>
      </w:r>
      <w:r w:rsidR="00F4720F">
        <w:rPr>
          <w:sz w:val="24"/>
          <w:szCs w:val="24"/>
        </w:rPr>
        <w:t>, t</w:t>
      </w:r>
      <w:r w:rsidR="00101B3D">
        <w:rPr>
          <w:sz w:val="24"/>
          <w:szCs w:val="24"/>
        </w:rPr>
        <w:t>heir</w:t>
      </w:r>
      <w:r w:rsidR="00227542" w:rsidRPr="00227542">
        <w:rPr>
          <w:sz w:val="24"/>
          <w:szCs w:val="24"/>
        </w:rPr>
        <w:t xml:space="preserve"> demonstrations and anti-Muslim mobilisation,</w:t>
      </w:r>
      <w:r w:rsidR="00F4720F">
        <w:rPr>
          <w:sz w:val="24"/>
          <w:szCs w:val="24"/>
        </w:rPr>
        <w:t xml:space="preserve"> with specific concern</w:t>
      </w:r>
      <w:r w:rsidR="00DF0CCC">
        <w:rPr>
          <w:sz w:val="24"/>
          <w:szCs w:val="24"/>
        </w:rPr>
        <w:t xml:space="preserve"> r</w:t>
      </w:r>
      <w:r w:rsidR="00DF0CCC" w:rsidRPr="00DF0CCC">
        <w:rPr>
          <w:sz w:val="24"/>
          <w:szCs w:val="24"/>
        </w:rPr>
        <w:t>egarding the lack of consistent protection from Islamophobic hate speech and racist violence afforded to Muslim communities across the</w:t>
      </w:r>
      <w:r w:rsidR="00CB269A">
        <w:rPr>
          <w:sz w:val="24"/>
          <w:szCs w:val="24"/>
        </w:rPr>
        <w:t xml:space="preserve"> </w:t>
      </w:r>
      <w:r w:rsidR="005B2CEE">
        <w:rPr>
          <w:sz w:val="24"/>
          <w:szCs w:val="24"/>
        </w:rPr>
        <w:t>UK.</w:t>
      </w:r>
      <w:r w:rsidR="006044A9">
        <w:rPr>
          <w:rStyle w:val="FootnoteReference"/>
          <w:sz w:val="24"/>
          <w:szCs w:val="24"/>
        </w:rPr>
        <w:footnoteReference w:id="29"/>
      </w:r>
      <w:r w:rsidR="005B2CEE">
        <w:rPr>
          <w:sz w:val="24"/>
          <w:szCs w:val="24"/>
        </w:rPr>
        <w:t xml:space="preserve"> </w:t>
      </w:r>
    </w:p>
    <w:p w14:paraId="05B5ED36" w14:textId="3C0E5F98" w:rsidR="00227542" w:rsidRPr="00227542" w:rsidRDefault="00227542" w:rsidP="00227542">
      <w:pPr>
        <w:rPr>
          <w:sz w:val="24"/>
          <w:szCs w:val="24"/>
        </w:rPr>
      </w:pPr>
      <w:r w:rsidRPr="00227542">
        <w:rPr>
          <w:sz w:val="24"/>
          <w:szCs w:val="24"/>
        </w:rPr>
        <w:t>These concerns raise broader questions regarding whether rights to freedom of peaceful assembly and protection from discriminatory policing are being applied equally across different communities. Differential approaches to protest policing and public discourse risk undermining trust and confidence in public authorities among racialised communities and contribute to perceptions that certain forms of racism or hate speech are treated less seriously than others.</w:t>
      </w:r>
    </w:p>
    <w:p w14:paraId="7E801453" w14:textId="77777777" w:rsidR="00A65774" w:rsidRDefault="00A65774" w:rsidP="002337DC">
      <w:pPr>
        <w:rPr>
          <w:sz w:val="24"/>
          <w:szCs w:val="24"/>
        </w:rPr>
      </w:pPr>
    </w:p>
    <w:p w14:paraId="14251CD2" w14:textId="7E1312C4" w:rsidR="00E44DB9" w:rsidRDefault="00E76A2F" w:rsidP="002337DC">
      <w:pPr>
        <w:rPr>
          <w:b/>
          <w:bCs/>
          <w:sz w:val="24"/>
          <w:szCs w:val="24"/>
        </w:rPr>
      </w:pPr>
      <w:r w:rsidRPr="00A65774">
        <w:rPr>
          <w:b/>
          <w:bCs/>
          <w:sz w:val="24"/>
          <w:szCs w:val="24"/>
        </w:rPr>
        <w:t xml:space="preserve">2.3.1 </w:t>
      </w:r>
      <w:r w:rsidR="00E44DB9">
        <w:rPr>
          <w:b/>
          <w:bCs/>
          <w:sz w:val="24"/>
          <w:szCs w:val="24"/>
        </w:rPr>
        <w:t>Criminalisation of Palestine solida</w:t>
      </w:r>
      <w:r w:rsidR="009E3466">
        <w:rPr>
          <w:b/>
          <w:bCs/>
          <w:sz w:val="24"/>
          <w:szCs w:val="24"/>
        </w:rPr>
        <w:t>rity activism</w:t>
      </w:r>
      <w:r w:rsidR="00FA4941">
        <w:rPr>
          <w:b/>
          <w:bCs/>
          <w:sz w:val="24"/>
          <w:szCs w:val="24"/>
        </w:rPr>
        <w:t>,</w:t>
      </w:r>
      <w:r w:rsidR="009E3466">
        <w:rPr>
          <w:b/>
          <w:bCs/>
          <w:sz w:val="24"/>
          <w:szCs w:val="24"/>
        </w:rPr>
        <w:t xml:space="preserve"> protest and legal </w:t>
      </w:r>
      <w:r w:rsidR="00FA4941">
        <w:rPr>
          <w:b/>
          <w:bCs/>
          <w:sz w:val="24"/>
          <w:szCs w:val="24"/>
        </w:rPr>
        <w:t>advocacy</w:t>
      </w:r>
      <w:r w:rsidR="009E3466">
        <w:rPr>
          <w:b/>
          <w:bCs/>
          <w:sz w:val="24"/>
          <w:szCs w:val="24"/>
        </w:rPr>
        <w:t xml:space="preserve">: </w:t>
      </w:r>
    </w:p>
    <w:p w14:paraId="16A640B0" w14:textId="0D914E26" w:rsidR="00A703E7" w:rsidRPr="00A703E7" w:rsidRDefault="00A703E7" w:rsidP="00A703E7">
      <w:pPr>
        <w:rPr>
          <w:sz w:val="24"/>
          <w:szCs w:val="24"/>
        </w:rPr>
      </w:pPr>
      <w:r w:rsidRPr="00A703E7">
        <w:rPr>
          <w:sz w:val="24"/>
          <w:szCs w:val="24"/>
        </w:rPr>
        <w:t xml:space="preserve">REF is additionally concerned by increasing legal and policing measures that have a chilling effect on freedom of expression and freedom of </w:t>
      </w:r>
      <w:r w:rsidR="001501D5">
        <w:rPr>
          <w:sz w:val="24"/>
          <w:szCs w:val="24"/>
        </w:rPr>
        <w:t xml:space="preserve">peaceful </w:t>
      </w:r>
      <w:r w:rsidRPr="00A703E7">
        <w:rPr>
          <w:sz w:val="24"/>
          <w:szCs w:val="24"/>
        </w:rPr>
        <w:t>assembly in relation to Palestine solidarity activism and protest.</w:t>
      </w:r>
    </w:p>
    <w:p w14:paraId="030C6FBD" w14:textId="38A9BB7B" w:rsidR="00A703E7" w:rsidRPr="00A703E7" w:rsidRDefault="00A703E7" w:rsidP="00A703E7">
      <w:pPr>
        <w:rPr>
          <w:sz w:val="24"/>
          <w:szCs w:val="24"/>
        </w:rPr>
      </w:pPr>
      <w:r w:rsidRPr="00A703E7">
        <w:rPr>
          <w:sz w:val="24"/>
          <w:szCs w:val="24"/>
        </w:rPr>
        <w:t>Civil society organisations, legal professionals, and campaign groups have raised concerns regarding the criminalisation and suppression of Palestine solidarity protest activity, including the use of prosecutions, protest restrictions, and public statements by senior policing figures.</w:t>
      </w:r>
      <w:r w:rsidR="00AB60B9">
        <w:rPr>
          <w:rStyle w:val="FootnoteReference"/>
          <w:sz w:val="24"/>
          <w:szCs w:val="24"/>
        </w:rPr>
        <w:footnoteReference w:id="30"/>
      </w:r>
    </w:p>
    <w:p w14:paraId="0F276A4C" w14:textId="2703E136" w:rsidR="00A703E7" w:rsidRPr="00A703E7" w:rsidRDefault="00A703E7" w:rsidP="00A703E7">
      <w:pPr>
        <w:rPr>
          <w:sz w:val="24"/>
          <w:szCs w:val="24"/>
        </w:rPr>
      </w:pPr>
      <w:r w:rsidRPr="00A703E7">
        <w:rPr>
          <w:sz w:val="24"/>
          <w:szCs w:val="24"/>
        </w:rPr>
        <w:t>Recent legal challenges have further highlighted these concerns. In May 2026, the Court of Appeal overturned contempt of court proceedings brought against barrister Rajiv Menon KC in relation to comments made during his closing speech in the trial of Palestine Action activists.</w:t>
      </w:r>
      <w:r w:rsidR="008D40FB">
        <w:rPr>
          <w:rStyle w:val="FootnoteReference"/>
          <w:sz w:val="24"/>
          <w:szCs w:val="24"/>
        </w:rPr>
        <w:footnoteReference w:id="31"/>
      </w:r>
      <w:r w:rsidRPr="00A703E7">
        <w:rPr>
          <w:sz w:val="24"/>
          <w:szCs w:val="24"/>
        </w:rPr>
        <w:t xml:space="preserve"> </w:t>
      </w:r>
      <w:r w:rsidR="00706308">
        <w:rPr>
          <w:sz w:val="24"/>
          <w:szCs w:val="24"/>
        </w:rPr>
        <w:t>O</w:t>
      </w:r>
      <w:r w:rsidRPr="00A703E7">
        <w:rPr>
          <w:sz w:val="24"/>
          <w:szCs w:val="24"/>
        </w:rPr>
        <w:t xml:space="preserve">bservers viewed the proceedings as raising serious </w:t>
      </w:r>
      <w:r w:rsidRPr="00A703E7">
        <w:rPr>
          <w:sz w:val="24"/>
          <w:szCs w:val="24"/>
        </w:rPr>
        <w:lastRenderedPageBreak/>
        <w:t>concerns regarding freedom of expression, legal advocacy, and the treatment of Palestine-related protest activity.</w:t>
      </w:r>
    </w:p>
    <w:p w14:paraId="1DA23052" w14:textId="3555154B" w:rsidR="00A703E7" w:rsidRPr="00A703E7" w:rsidRDefault="00A703E7" w:rsidP="00A703E7">
      <w:pPr>
        <w:rPr>
          <w:sz w:val="24"/>
          <w:szCs w:val="24"/>
        </w:rPr>
      </w:pPr>
      <w:r w:rsidRPr="00A703E7">
        <w:rPr>
          <w:sz w:val="24"/>
          <w:szCs w:val="24"/>
        </w:rPr>
        <w:t>REF is concerned that the cumulative effect of such measures, public discourse, and legal interventions risks contributing to a broader climate in which Palestine solidarity activism and Muslim communities are subject to heightened suspicion, scrutiny, and restrictions on civic participation. This raises significant concerns regarding equal enjoyment of rights to freedom of expression and peaceful assembly without discrimination.</w:t>
      </w:r>
      <w:r w:rsidR="00E02716">
        <w:rPr>
          <w:sz w:val="24"/>
          <w:szCs w:val="24"/>
        </w:rPr>
        <w:t xml:space="preserve"> </w:t>
      </w:r>
    </w:p>
    <w:p w14:paraId="24939EA5" w14:textId="77777777" w:rsidR="00202802" w:rsidRDefault="00202802" w:rsidP="002337DC">
      <w:pPr>
        <w:rPr>
          <w:sz w:val="24"/>
          <w:szCs w:val="24"/>
        </w:rPr>
      </w:pPr>
    </w:p>
    <w:p w14:paraId="6DED4C42" w14:textId="3E4223F3" w:rsidR="00F27925" w:rsidRPr="002D7102" w:rsidRDefault="00350057" w:rsidP="00E363C0">
      <w:pPr>
        <w:rPr>
          <w:b/>
          <w:bCs/>
          <w:sz w:val="24"/>
          <w:szCs w:val="24"/>
        </w:rPr>
      </w:pPr>
      <w:r w:rsidRPr="00E363C0">
        <w:rPr>
          <w:b/>
          <w:bCs/>
          <w:sz w:val="24"/>
          <w:szCs w:val="24"/>
        </w:rPr>
        <w:t xml:space="preserve">2.4 </w:t>
      </w:r>
      <w:r w:rsidR="00E363C0">
        <w:rPr>
          <w:b/>
          <w:bCs/>
          <w:sz w:val="24"/>
          <w:szCs w:val="24"/>
        </w:rPr>
        <w:t>C</w:t>
      </w:r>
      <w:r w:rsidRPr="00E363C0">
        <w:rPr>
          <w:b/>
          <w:bCs/>
          <w:sz w:val="24"/>
          <w:szCs w:val="24"/>
        </w:rPr>
        <w:t>onclusion</w:t>
      </w:r>
      <w:r w:rsidR="00E363C0">
        <w:rPr>
          <w:b/>
          <w:bCs/>
          <w:sz w:val="24"/>
          <w:szCs w:val="24"/>
        </w:rPr>
        <w:t xml:space="preserve">: </w:t>
      </w:r>
    </w:p>
    <w:p w14:paraId="6AE4914F" w14:textId="22C4A0FF" w:rsidR="002A2D98" w:rsidRPr="00AD6765" w:rsidRDefault="002A2D98" w:rsidP="00E363C0">
      <w:pPr>
        <w:rPr>
          <w:sz w:val="24"/>
          <w:szCs w:val="24"/>
        </w:rPr>
      </w:pPr>
      <w:r w:rsidRPr="002A2D98">
        <w:rPr>
          <w:sz w:val="24"/>
          <w:szCs w:val="24"/>
        </w:rPr>
        <w:t>REF is concerned that the State party has not taken sufficient steps to implement the recommendation</w:t>
      </w:r>
      <w:r w:rsidR="00161164">
        <w:rPr>
          <w:sz w:val="24"/>
          <w:szCs w:val="24"/>
        </w:rPr>
        <w:t>s</w:t>
      </w:r>
      <w:r w:rsidRPr="002A2D98">
        <w:rPr>
          <w:sz w:val="24"/>
          <w:szCs w:val="24"/>
        </w:rPr>
        <w:t xml:space="preserve"> in paragraph 30 of the Committee’s concluding observations.</w:t>
      </w:r>
    </w:p>
    <w:p w14:paraId="3F9334F1" w14:textId="482935B5" w:rsidR="00E363C0" w:rsidRPr="00AD6765" w:rsidRDefault="00E363C0" w:rsidP="00E363C0">
      <w:pPr>
        <w:rPr>
          <w:sz w:val="24"/>
          <w:szCs w:val="24"/>
        </w:rPr>
      </w:pPr>
      <w:r w:rsidRPr="00AD6765">
        <w:rPr>
          <w:sz w:val="24"/>
          <w:szCs w:val="24"/>
        </w:rPr>
        <w:t xml:space="preserve">Rather than reviewing and amending existing legislation to ensure non-discriminatory </w:t>
      </w:r>
      <w:r w:rsidR="00EA300B">
        <w:rPr>
          <w:sz w:val="24"/>
          <w:szCs w:val="24"/>
        </w:rPr>
        <w:t>enjoyment</w:t>
      </w:r>
      <w:r w:rsidRPr="00AD6765">
        <w:rPr>
          <w:sz w:val="24"/>
          <w:szCs w:val="24"/>
        </w:rPr>
        <w:t xml:space="preserve"> of protest rights, the State party has maintained and expanded powers that risk further restricting peaceful assembly</w:t>
      </w:r>
      <w:r w:rsidR="009577EE">
        <w:rPr>
          <w:sz w:val="24"/>
          <w:szCs w:val="24"/>
        </w:rPr>
        <w:t xml:space="preserve"> without clear legal safeguards or a statutory framework and without sufficient democratic scrutiny or independent oversight</w:t>
      </w:r>
      <w:r w:rsidRPr="00AD6765">
        <w:rPr>
          <w:sz w:val="24"/>
          <w:szCs w:val="24"/>
        </w:rPr>
        <w:t xml:space="preserve">. At the same time, the </w:t>
      </w:r>
      <w:r w:rsidR="001B163B">
        <w:rPr>
          <w:sz w:val="24"/>
          <w:szCs w:val="24"/>
        </w:rPr>
        <w:t>expansion</w:t>
      </w:r>
      <w:r w:rsidRPr="00AD6765">
        <w:rPr>
          <w:sz w:val="24"/>
          <w:szCs w:val="24"/>
        </w:rPr>
        <w:t xml:space="preserve"> of</w:t>
      </w:r>
      <w:r w:rsidR="001B163B">
        <w:rPr>
          <w:sz w:val="24"/>
          <w:szCs w:val="24"/>
        </w:rPr>
        <w:t xml:space="preserve"> intrusive </w:t>
      </w:r>
      <w:r w:rsidR="00A01ABE">
        <w:rPr>
          <w:sz w:val="24"/>
          <w:szCs w:val="24"/>
        </w:rPr>
        <w:t xml:space="preserve">biometric </w:t>
      </w:r>
      <w:r w:rsidRPr="00AD6765">
        <w:rPr>
          <w:sz w:val="24"/>
          <w:szCs w:val="24"/>
        </w:rPr>
        <w:t>surveillance technologies</w:t>
      </w:r>
      <w:r w:rsidR="000128C1">
        <w:rPr>
          <w:sz w:val="24"/>
          <w:szCs w:val="24"/>
        </w:rPr>
        <w:t xml:space="preserve"> has</w:t>
      </w:r>
      <w:r w:rsidRPr="00AD6765">
        <w:rPr>
          <w:sz w:val="24"/>
          <w:szCs w:val="24"/>
        </w:rPr>
        <w:t xml:space="preserve"> introduce</w:t>
      </w:r>
      <w:r w:rsidR="000128C1">
        <w:rPr>
          <w:sz w:val="24"/>
          <w:szCs w:val="24"/>
        </w:rPr>
        <w:t>d</w:t>
      </w:r>
      <w:r w:rsidRPr="00AD6765">
        <w:rPr>
          <w:sz w:val="24"/>
          <w:szCs w:val="24"/>
        </w:rPr>
        <w:t xml:space="preserve"> new and significant risks to the enjoyment of these rights, particularly for racialised communities.</w:t>
      </w:r>
      <w:r w:rsidR="00A01ABE">
        <w:rPr>
          <w:sz w:val="24"/>
          <w:szCs w:val="24"/>
        </w:rPr>
        <w:t xml:space="preserve"> </w:t>
      </w:r>
    </w:p>
    <w:p w14:paraId="0D62CFDB" w14:textId="048E02E6" w:rsidR="00E363C0" w:rsidRDefault="00E363C0" w:rsidP="00E363C0">
      <w:pPr>
        <w:rPr>
          <w:sz w:val="24"/>
          <w:szCs w:val="24"/>
        </w:rPr>
      </w:pPr>
      <w:r w:rsidRPr="00AD6765">
        <w:rPr>
          <w:sz w:val="24"/>
          <w:szCs w:val="24"/>
        </w:rPr>
        <w:t xml:space="preserve">Taken together, these developments </w:t>
      </w:r>
      <w:r w:rsidR="004D3C0E">
        <w:rPr>
          <w:sz w:val="24"/>
          <w:szCs w:val="24"/>
        </w:rPr>
        <w:t>illustrate how</w:t>
      </w:r>
      <w:r w:rsidRPr="00AD6765">
        <w:rPr>
          <w:sz w:val="24"/>
          <w:szCs w:val="24"/>
        </w:rPr>
        <w:t xml:space="preserve"> the State party is not meeting its obligations to ensure that the right to peaceful assembly can be exercised without discrimination</w:t>
      </w:r>
      <w:r w:rsidR="00D87DD6">
        <w:rPr>
          <w:sz w:val="24"/>
          <w:szCs w:val="24"/>
        </w:rPr>
        <w:t xml:space="preserve"> in the UK. </w:t>
      </w:r>
    </w:p>
    <w:p w14:paraId="703F6CA6" w14:textId="77777777" w:rsidR="00D87DD6" w:rsidRDefault="00D87DD6" w:rsidP="00E363C0">
      <w:pPr>
        <w:rPr>
          <w:sz w:val="24"/>
          <w:szCs w:val="24"/>
        </w:rPr>
      </w:pPr>
    </w:p>
    <w:p w14:paraId="3D3A2DFA" w14:textId="41D62DEE" w:rsidR="00FD29C6" w:rsidRPr="008A6D2B" w:rsidRDefault="002D7102" w:rsidP="00C60251">
      <w:pPr>
        <w:rPr>
          <w:b/>
          <w:bCs/>
          <w:sz w:val="24"/>
          <w:szCs w:val="24"/>
        </w:rPr>
      </w:pPr>
      <w:r w:rsidRPr="008A6D2B">
        <w:rPr>
          <w:b/>
          <w:bCs/>
          <w:sz w:val="24"/>
          <w:szCs w:val="24"/>
        </w:rPr>
        <w:t xml:space="preserve">2.5 Recommendations: </w:t>
      </w:r>
    </w:p>
    <w:p w14:paraId="45F2429D" w14:textId="1C45457E" w:rsidR="008A6D2B" w:rsidRPr="008A6D2B" w:rsidRDefault="008A6D2B" w:rsidP="008A6D2B">
      <w:pPr>
        <w:rPr>
          <w:sz w:val="24"/>
          <w:szCs w:val="24"/>
        </w:rPr>
      </w:pPr>
      <w:r w:rsidRPr="008A6D2B">
        <w:rPr>
          <w:sz w:val="24"/>
          <w:szCs w:val="24"/>
        </w:rPr>
        <w:t xml:space="preserve">REF recommends that the </w:t>
      </w:r>
      <w:r w:rsidR="00776976">
        <w:rPr>
          <w:sz w:val="24"/>
          <w:szCs w:val="24"/>
        </w:rPr>
        <w:t>UK</w:t>
      </w:r>
      <w:r w:rsidR="001F1511">
        <w:rPr>
          <w:sz w:val="24"/>
          <w:szCs w:val="24"/>
        </w:rPr>
        <w:t xml:space="preserve"> Government</w:t>
      </w:r>
      <w:r w:rsidRPr="008A6D2B">
        <w:rPr>
          <w:sz w:val="24"/>
          <w:szCs w:val="24"/>
        </w:rPr>
        <w:t>:</w:t>
      </w:r>
    </w:p>
    <w:p w14:paraId="0C166ACD" w14:textId="7AC19DB9" w:rsidR="009251EE" w:rsidRDefault="008A6D2B" w:rsidP="008A6D2B">
      <w:pPr>
        <w:pStyle w:val="ListParagraph"/>
        <w:numPr>
          <w:ilvl w:val="0"/>
          <w:numId w:val="7"/>
        </w:numPr>
        <w:rPr>
          <w:sz w:val="24"/>
          <w:szCs w:val="24"/>
        </w:rPr>
      </w:pPr>
      <w:r w:rsidRPr="00185A1E">
        <w:rPr>
          <w:sz w:val="24"/>
          <w:szCs w:val="24"/>
        </w:rPr>
        <w:t xml:space="preserve">Review and amend the Police, Crime, Sentencing and Courts Act </w:t>
      </w:r>
      <w:r w:rsidR="00A4698A">
        <w:rPr>
          <w:sz w:val="24"/>
          <w:szCs w:val="24"/>
        </w:rPr>
        <w:t>(</w:t>
      </w:r>
      <w:r w:rsidRPr="00185A1E">
        <w:rPr>
          <w:sz w:val="24"/>
          <w:szCs w:val="24"/>
        </w:rPr>
        <w:t>2022</w:t>
      </w:r>
      <w:r w:rsidR="00A4698A">
        <w:rPr>
          <w:sz w:val="24"/>
          <w:szCs w:val="24"/>
        </w:rPr>
        <w:t>)</w:t>
      </w:r>
      <w:r w:rsidRPr="00185A1E">
        <w:rPr>
          <w:sz w:val="24"/>
          <w:szCs w:val="24"/>
        </w:rPr>
        <w:t xml:space="preserve"> and the Public Order Act </w:t>
      </w:r>
      <w:r w:rsidR="009251EE">
        <w:rPr>
          <w:sz w:val="24"/>
          <w:szCs w:val="24"/>
        </w:rPr>
        <w:t>(</w:t>
      </w:r>
      <w:r w:rsidRPr="00185A1E">
        <w:rPr>
          <w:sz w:val="24"/>
          <w:szCs w:val="24"/>
        </w:rPr>
        <w:t>2023</w:t>
      </w:r>
      <w:r w:rsidR="009251EE">
        <w:rPr>
          <w:sz w:val="24"/>
          <w:szCs w:val="24"/>
        </w:rPr>
        <w:t>)</w:t>
      </w:r>
      <w:r w:rsidRPr="00185A1E">
        <w:rPr>
          <w:sz w:val="24"/>
          <w:szCs w:val="24"/>
        </w:rPr>
        <w:t xml:space="preserve"> in line with the Committee’s recommendations to ensure that the right to freedom of peaceful assembly can be exercised without discrimination</w:t>
      </w:r>
      <w:r w:rsidR="00A041F5">
        <w:rPr>
          <w:sz w:val="24"/>
          <w:szCs w:val="24"/>
        </w:rPr>
        <w:t xml:space="preserve">. </w:t>
      </w:r>
      <w:r w:rsidR="00510C83">
        <w:rPr>
          <w:sz w:val="24"/>
          <w:szCs w:val="24"/>
        </w:rPr>
        <w:br/>
      </w:r>
    </w:p>
    <w:p w14:paraId="0526C264" w14:textId="36DE0FBE" w:rsidR="009251EE" w:rsidRDefault="008A6D2B" w:rsidP="008A6D2B">
      <w:pPr>
        <w:pStyle w:val="ListParagraph"/>
        <w:numPr>
          <w:ilvl w:val="0"/>
          <w:numId w:val="7"/>
        </w:numPr>
        <w:rPr>
          <w:sz w:val="24"/>
          <w:szCs w:val="24"/>
        </w:rPr>
      </w:pPr>
      <w:r w:rsidRPr="009251EE">
        <w:rPr>
          <w:sz w:val="24"/>
          <w:szCs w:val="24"/>
        </w:rPr>
        <w:t>Introduce a comprehensive statutory framework governing the use of facial recognition and biometric surveillance technologies across both public and private contexts, ensuring consistency across sectors and preventing regulatory loopholes.</w:t>
      </w:r>
      <w:r w:rsidR="00D94917">
        <w:rPr>
          <w:sz w:val="24"/>
          <w:szCs w:val="24"/>
        </w:rPr>
        <w:br/>
      </w:r>
    </w:p>
    <w:p w14:paraId="33D14E7F" w14:textId="7FBD3F9D" w:rsidR="00D94917" w:rsidRDefault="008A6D2B" w:rsidP="008A6D2B">
      <w:pPr>
        <w:pStyle w:val="ListParagraph"/>
        <w:numPr>
          <w:ilvl w:val="0"/>
          <w:numId w:val="7"/>
        </w:numPr>
        <w:rPr>
          <w:sz w:val="24"/>
          <w:szCs w:val="24"/>
        </w:rPr>
      </w:pPr>
      <w:r w:rsidRPr="009251EE">
        <w:rPr>
          <w:sz w:val="24"/>
          <w:szCs w:val="24"/>
        </w:rPr>
        <w:t xml:space="preserve">Ensure that any future statutory framework prioritises the protection of fundamental rights, including rights to privacy, freedom of expression, equality, and freedom of peaceful assembly, and incorporates safeguards comparable to </w:t>
      </w:r>
      <w:r w:rsidRPr="009251EE">
        <w:rPr>
          <w:sz w:val="24"/>
          <w:szCs w:val="24"/>
        </w:rPr>
        <w:lastRenderedPageBreak/>
        <w:t>those contained within the EU AI Act.</w:t>
      </w:r>
      <w:r w:rsidR="00D94917">
        <w:rPr>
          <w:sz w:val="24"/>
          <w:szCs w:val="24"/>
        </w:rPr>
        <w:br/>
      </w:r>
    </w:p>
    <w:p w14:paraId="08E535FD" w14:textId="5C54CF79" w:rsidR="00D94917" w:rsidRDefault="008A6D2B" w:rsidP="008A6D2B">
      <w:pPr>
        <w:pStyle w:val="ListParagraph"/>
        <w:numPr>
          <w:ilvl w:val="0"/>
          <w:numId w:val="7"/>
        </w:numPr>
        <w:rPr>
          <w:sz w:val="24"/>
          <w:szCs w:val="24"/>
        </w:rPr>
      </w:pPr>
      <w:r w:rsidRPr="00D94917">
        <w:rPr>
          <w:sz w:val="24"/>
          <w:szCs w:val="24"/>
        </w:rPr>
        <w:t>Explicitly prohibit or tightly restrict the use of live facial recognition and other biometric surveillance technologies at or near peaceful protests, demonstrations, political events, lawful assemblies, and in contexts where political expression, civic participation, or community organising occur.</w:t>
      </w:r>
      <w:r w:rsidR="00D94917">
        <w:rPr>
          <w:sz w:val="24"/>
          <w:szCs w:val="24"/>
        </w:rPr>
        <w:br/>
      </w:r>
    </w:p>
    <w:p w14:paraId="30005E8B" w14:textId="3FE9330B" w:rsidR="00CD6ADD" w:rsidRDefault="00CD6ADD" w:rsidP="00642BD1">
      <w:pPr>
        <w:pStyle w:val="ListParagraph"/>
        <w:numPr>
          <w:ilvl w:val="0"/>
          <w:numId w:val="7"/>
        </w:numPr>
        <w:rPr>
          <w:sz w:val="24"/>
          <w:szCs w:val="24"/>
        </w:rPr>
      </w:pPr>
      <w:r w:rsidRPr="00CD6ADD">
        <w:rPr>
          <w:sz w:val="24"/>
          <w:szCs w:val="24"/>
        </w:rPr>
        <w:t xml:space="preserve">Ensure that live facial recognition technologies </w:t>
      </w:r>
      <w:r>
        <w:rPr>
          <w:sz w:val="24"/>
          <w:szCs w:val="24"/>
        </w:rPr>
        <w:t>can only be</w:t>
      </w:r>
      <w:r w:rsidRPr="00CD6ADD">
        <w:rPr>
          <w:sz w:val="24"/>
          <w:szCs w:val="24"/>
        </w:rPr>
        <w:t xml:space="preserve"> deployed</w:t>
      </w:r>
      <w:r w:rsidR="000859B6">
        <w:rPr>
          <w:sz w:val="24"/>
          <w:szCs w:val="24"/>
        </w:rPr>
        <w:t xml:space="preserve"> </w:t>
      </w:r>
      <w:r w:rsidRPr="00CD6ADD">
        <w:rPr>
          <w:sz w:val="24"/>
          <w:szCs w:val="24"/>
        </w:rPr>
        <w:t>by law enforcement bodies for clearly defined policing purposes and restricted to narrowly defined and exceptional circumstances, including:</w:t>
      </w:r>
    </w:p>
    <w:p w14:paraId="7D38CFE0" w14:textId="77777777" w:rsidR="00642BD1" w:rsidRDefault="008A6D2B" w:rsidP="00642BD1">
      <w:pPr>
        <w:pStyle w:val="ListParagraph"/>
        <w:numPr>
          <w:ilvl w:val="1"/>
          <w:numId w:val="7"/>
        </w:numPr>
        <w:rPr>
          <w:sz w:val="24"/>
          <w:szCs w:val="24"/>
        </w:rPr>
      </w:pPr>
      <w:r w:rsidRPr="00642BD1">
        <w:rPr>
          <w:sz w:val="24"/>
          <w:szCs w:val="24"/>
        </w:rPr>
        <w:t xml:space="preserve">preventing an imminent threat to life or physical safety; </w:t>
      </w:r>
    </w:p>
    <w:p w14:paraId="49A6A1E5" w14:textId="2EB600B5" w:rsidR="00642BD1" w:rsidRDefault="008A6D2B" w:rsidP="00642BD1">
      <w:pPr>
        <w:pStyle w:val="ListParagraph"/>
        <w:numPr>
          <w:ilvl w:val="1"/>
          <w:numId w:val="7"/>
        </w:numPr>
        <w:rPr>
          <w:sz w:val="24"/>
          <w:szCs w:val="24"/>
        </w:rPr>
      </w:pPr>
      <w:r w:rsidRPr="00642BD1">
        <w:rPr>
          <w:sz w:val="24"/>
          <w:szCs w:val="24"/>
        </w:rPr>
        <w:t>locating victims of</w:t>
      </w:r>
      <w:r w:rsidR="006204E2">
        <w:rPr>
          <w:sz w:val="24"/>
          <w:szCs w:val="24"/>
        </w:rPr>
        <w:t xml:space="preserve"> serious exploitation </w:t>
      </w:r>
      <w:r w:rsidR="00092315">
        <w:rPr>
          <w:sz w:val="24"/>
          <w:szCs w:val="24"/>
        </w:rPr>
        <w:t>(e.g.,</w:t>
      </w:r>
      <w:r w:rsidRPr="00642BD1">
        <w:rPr>
          <w:sz w:val="24"/>
          <w:szCs w:val="24"/>
        </w:rPr>
        <w:t xml:space="preserve"> trafficking, sexual exploitation</w:t>
      </w:r>
      <w:r w:rsidR="00092315">
        <w:rPr>
          <w:sz w:val="24"/>
          <w:szCs w:val="24"/>
        </w:rPr>
        <w:t>)</w:t>
      </w:r>
      <w:r w:rsidRPr="00642BD1">
        <w:rPr>
          <w:sz w:val="24"/>
          <w:szCs w:val="24"/>
        </w:rPr>
        <w:t xml:space="preserve">, or high-risk missing persons; and </w:t>
      </w:r>
    </w:p>
    <w:p w14:paraId="45589FD5" w14:textId="45079F64" w:rsidR="00004D30" w:rsidRPr="00C01239" w:rsidRDefault="008A6D2B" w:rsidP="00C01239">
      <w:pPr>
        <w:pStyle w:val="ListParagraph"/>
        <w:numPr>
          <w:ilvl w:val="1"/>
          <w:numId w:val="7"/>
        </w:numPr>
        <w:rPr>
          <w:sz w:val="24"/>
          <w:szCs w:val="24"/>
        </w:rPr>
      </w:pPr>
      <w:r w:rsidRPr="00642BD1">
        <w:rPr>
          <w:sz w:val="24"/>
          <w:szCs w:val="24"/>
        </w:rPr>
        <w:t>identifying individuals reasonably suspected of serious criminal offences.</w:t>
      </w:r>
      <w:r w:rsidR="00E47619">
        <w:rPr>
          <w:rStyle w:val="FootnoteReference"/>
          <w:sz w:val="24"/>
          <w:szCs w:val="24"/>
        </w:rPr>
        <w:footnoteReference w:id="32"/>
      </w:r>
      <w:r w:rsidR="00C01239" w:rsidRPr="00C01239">
        <w:rPr>
          <w:sz w:val="24"/>
          <w:szCs w:val="24"/>
        </w:rPr>
        <w:br/>
      </w:r>
    </w:p>
    <w:p w14:paraId="157628B1" w14:textId="11DD300D" w:rsidR="00051CA8" w:rsidRDefault="00014173" w:rsidP="00D13F34">
      <w:pPr>
        <w:pStyle w:val="ListParagraph"/>
        <w:numPr>
          <w:ilvl w:val="0"/>
          <w:numId w:val="7"/>
        </w:numPr>
        <w:rPr>
          <w:sz w:val="24"/>
          <w:szCs w:val="24"/>
        </w:rPr>
      </w:pPr>
      <w:r>
        <w:rPr>
          <w:sz w:val="24"/>
          <w:szCs w:val="24"/>
        </w:rPr>
        <w:t>Ensure that an</w:t>
      </w:r>
      <w:r w:rsidR="00051CA8" w:rsidRPr="00051CA8">
        <w:rPr>
          <w:sz w:val="24"/>
          <w:szCs w:val="24"/>
        </w:rPr>
        <w:t xml:space="preserve">y watchlists used in connection with </w:t>
      </w:r>
      <w:r w:rsidR="00BC5891">
        <w:rPr>
          <w:sz w:val="24"/>
          <w:szCs w:val="24"/>
        </w:rPr>
        <w:t>LFR</w:t>
      </w:r>
      <w:r w:rsidR="00051CA8" w:rsidRPr="00051CA8">
        <w:rPr>
          <w:sz w:val="24"/>
          <w:szCs w:val="24"/>
        </w:rPr>
        <w:t xml:space="preserve"> deployments contain only images that are strictly relevant and necessary for the purposes outlined </w:t>
      </w:r>
      <w:r w:rsidR="001C483C">
        <w:rPr>
          <w:sz w:val="24"/>
          <w:szCs w:val="24"/>
        </w:rPr>
        <w:t>in the above point</w:t>
      </w:r>
      <w:r w:rsidR="00051CA8" w:rsidRPr="00051CA8">
        <w:rPr>
          <w:sz w:val="24"/>
          <w:szCs w:val="24"/>
        </w:rPr>
        <w:t>.</w:t>
      </w:r>
      <w:r w:rsidR="00051CA8">
        <w:rPr>
          <w:sz w:val="24"/>
          <w:szCs w:val="24"/>
        </w:rPr>
        <w:t xml:space="preserve"> Any images of a sought person to be included on a watchlist must: </w:t>
      </w:r>
    </w:p>
    <w:p w14:paraId="61576D56" w14:textId="01566505" w:rsidR="00051CA8" w:rsidRDefault="004B70BE" w:rsidP="00051CA8">
      <w:pPr>
        <w:pStyle w:val="ListParagraph"/>
        <w:numPr>
          <w:ilvl w:val="1"/>
          <w:numId w:val="7"/>
        </w:numPr>
        <w:rPr>
          <w:sz w:val="24"/>
          <w:szCs w:val="24"/>
        </w:rPr>
      </w:pPr>
      <w:r>
        <w:rPr>
          <w:sz w:val="24"/>
          <w:szCs w:val="24"/>
        </w:rPr>
        <w:t>b</w:t>
      </w:r>
      <w:r w:rsidR="00051CA8">
        <w:rPr>
          <w:sz w:val="24"/>
          <w:szCs w:val="24"/>
        </w:rPr>
        <w:t>e lawfully-held by the law enforcement body</w:t>
      </w:r>
      <w:r>
        <w:rPr>
          <w:sz w:val="24"/>
          <w:szCs w:val="24"/>
        </w:rPr>
        <w:t>:</w:t>
      </w:r>
    </w:p>
    <w:p w14:paraId="52B6531B" w14:textId="3A7AA91F" w:rsidR="00051CA8" w:rsidRDefault="004B70BE" w:rsidP="00051CA8">
      <w:pPr>
        <w:pStyle w:val="ListParagraph"/>
        <w:numPr>
          <w:ilvl w:val="1"/>
          <w:numId w:val="7"/>
        </w:numPr>
        <w:rPr>
          <w:sz w:val="24"/>
          <w:szCs w:val="24"/>
        </w:rPr>
      </w:pPr>
      <w:r>
        <w:rPr>
          <w:sz w:val="24"/>
          <w:szCs w:val="24"/>
        </w:rPr>
        <w:t>b</w:t>
      </w:r>
      <w:r w:rsidR="00051CA8">
        <w:rPr>
          <w:sz w:val="24"/>
          <w:szCs w:val="24"/>
        </w:rPr>
        <w:t>e the most up to date and / or suitable image that is of appropriate quality</w:t>
      </w:r>
      <w:r w:rsidR="008E0D11">
        <w:rPr>
          <w:sz w:val="24"/>
          <w:szCs w:val="24"/>
        </w:rPr>
        <w:t>; and</w:t>
      </w:r>
    </w:p>
    <w:p w14:paraId="3CD65596" w14:textId="1A8FFD27" w:rsidR="00051CA8" w:rsidRDefault="008E0D11" w:rsidP="00051CA8">
      <w:pPr>
        <w:pStyle w:val="ListParagraph"/>
        <w:numPr>
          <w:ilvl w:val="1"/>
          <w:numId w:val="7"/>
        </w:numPr>
        <w:rPr>
          <w:sz w:val="24"/>
          <w:szCs w:val="24"/>
        </w:rPr>
      </w:pPr>
      <w:r>
        <w:rPr>
          <w:sz w:val="24"/>
          <w:szCs w:val="24"/>
        </w:rPr>
        <w:t>n</w:t>
      </w:r>
      <w:r w:rsidR="00051CA8">
        <w:rPr>
          <w:sz w:val="24"/>
          <w:szCs w:val="24"/>
        </w:rPr>
        <w:t xml:space="preserve">ot be composite images (such as an e-fit, police sketch, photofit). </w:t>
      </w:r>
      <w:r w:rsidR="00051CA8">
        <w:rPr>
          <w:sz w:val="24"/>
          <w:szCs w:val="24"/>
        </w:rPr>
        <w:br/>
      </w:r>
    </w:p>
    <w:p w14:paraId="51A724E5" w14:textId="6A50E7B7" w:rsidR="00D13F34" w:rsidRPr="00D13F34" w:rsidRDefault="00D13F34" w:rsidP="00D13F34">
      <w:pPr>
        <w:pStyle w:val="ListParagraph"/>
        <w:numPr>
          <w:ilvl w:val="0"/>
          <w:numId w:val="7"/>
        </w:numPr>
        <w:rPr>
          <w:sz w:val="24"/>
          <w:szCs w:val="24"/>
        </w:rPr>
      </w:pPr>
      <w:r w:rsidRPr="00BF31E3">
        <w:rPr>
          <w:sz w:val="24"/>
          <w:szCs w:val="24"/>
        </w:rPr>
        <w:t>Require law enforcement bodies to exhaust less intrusive and more proportionate means before deploying facial recognition technologies on a case-by-case basis, with such steps documented and subject to independent review.</w:t>
      </w:r>
      <w:r>
        <w:rPr>
          <w:sz w:val="24"/>
          <w:szCs w:val="24"/>
        </w:rPr>
        <w:br/>
      </w:r>
    </w:p>
    <w:p w14:paraId="38E8E6BC" w14:textId="62A3E955" w:rsidR="001D07EA" w:rsidRPr="003422EF" w:rsidRDefault="003422EF" w:rsidP="003422EF">
      <w:pPr>
        <w:pStyle w:val="ListParagraph"/>
        <w:numPr>
          <w:ilvl w:val="0"/>
          <w:numId w:val="7"/>
        </w:numPr>
        <w:rPr>
          <w:sz w:val="24"/>
          <w:szCs w:val="24"/>
        </w:rPr>
      </w:pPr>
      <w:r>
        <w:rPr>
          <w:sz w:val="24"/>
          <w:szCs w:val="24"/>
        </w:rPr>
        <w:t>Implement clear statutory thresholds to prevent the use of</w:t>
      </w:r>
      <w:r w:rsidRPr="00642BD1">
        <w:rPr>
          <w:sz w:val="24"/>
          <w:szCs w:val="24"/>
        </w:rPr>
        <w:t xml:space="preserve"> biometric surveillance technologies for low-level, routine, speculative, or suspicion-less policing purposes.</w:t>
      </w:r>
      <w:r w:rsidR="00464384" w:rsidRPr="003422EF">
        <w:rPr>
          <w:sz w:val="24"/>
          <w:szCs w:val="24"/>
        </w:rPr>
        <w:br/>
      </w:r>
    </w:p>
    <w:p w14:paraId="2A2B1A8D" w14:textId="684D101D" w:rsidR="00951CE3" w:rsidRDefault="008A6D2B" w:rsidP="00951CE3">
      <w:pPr>
        <w:pStyle w:val="ListParagraph"/>
        <w:numPr>
          <w:ilvl w:val="0"/>
          <w:numId w:val="7"/>
        </w:numPr>
        <w:rPr>
          <w:sz w:val="24"/>
          <w:szCs w:val="24"/>
        </w:rPr>
      </w:pPr>
      <w:r w:rsidRPr="00951CE3">
        <w:rPr>
          <w:sz w:val="24"/>
          <w:szCs w:val="24"/>
        </w:rPr>
        <w:t>Establish a</w:t>
      </w:r>
      <w:r w:rsidR="00D053DC">
        <w:rPr>
          <w:sz w:val="24"/>
          <w:szCs w:val="24"/>
        </w:rPr>
        <w:t>n a</w:t>
      </w:r>
      <w:r w:rsidRPr="00951CE3">
        <w:rPr>
          <w:sz w:val="24"/>
          <w:szCs w:val="24"/>
        </w:rPr>
        <w:t>ppropriately resourced and fully independent authorisation and oversight bod</w:t>
      </w:r>
      <w:r w:rsidR="00D053DC">
        <w:rPr>
          <w:sz w:val="24"/>
          <w:szCs w:val="24"/>
        </w:rPr>
        <w:t>y</w:t>
      </w:r>
      <w:r w:rsidRPr="00951CE3">
        <w:rPr>
          <w:sz w:val="24"/>
          <w:szCs w:val="24"/>
        </w:rPr>
        <w:t xml:space="preserve"> responsible for:</w:t>
      </w:r>
    </w:p>
    <w:p w14:paraId="5F1908C0" w14:textId="77777777" w:rsidR="00951CE3" w:rsidRDefault="008A6D2B" w:rsidP="00181430">
      <w:pPr>
        <w:pStyle w:val="ListParagraph"/>
        <w:numPr>
          <w:ilvl w:val="1"/>
          <w:numId w:val="7"/>
        </w:numPr>
        <w:rPr>
          <w:sz w:val="24"/>
          <w:szCs w:val="24"/>
        </w:rPr>
      </w:pPr>
      <w:r w:rsidRPr="00951CE3">
        <w:rPr>
          <w:sz w:val="24"/>
          <w:szCs w:val="24"/>
        </w:rPr>
        <w:t>prior authorisation of deployments of biometric surveillance technologies;</w:t>
      </w:r>
    </w:p>
    <w:p w14:paraId="01CF47DA" w14:textId="77777777" w:rsidR="00951CE3" w:rsidRDefault="008A6D2B" w:rsidP="00181430">
      <w:pPr>
        <w:pStyle w:val="ListParagraph"/>
        <w:numPr>
          <w:ilvl w:val="1"/>
          <w:numId w:val="7"/>
        </w:numPr>
        <w:rPr>
          <w:sz w:val="24"/>
          <w:szCs w:val="24"/>
        </w:rPr>
      </w:pPr>
      <w:r w:rsidRPr="00951CE3">
        <w:rPr>
          <w:sz w:val="24"/>
          <w:szCs w:val="24"/>
        </w:rPr>
        <w:t xml:space="preserve">reviewing the necessity and proportionality of deployments; </w:t>
      </w:r>
    </w:p>
    <w:p w14:paraId="5DBADD00" w14:textId="715D1B8F" w:rsidR="00951CE3" w:rsidRDefault="008A6D2B" w:rsidP="00181430">
      <w:pPr>
        <w:pStyle w:val="ListParagraph"/>
        <w:numPr>
          <w:ilvl w:val="1"/>
          <w:numId w:val="7"/>
        </w:numPr>
        <w:rPr>
          <w:sz w:val="24"/>
          <w:szCs w:val="24"/>
        </w:rPr>
      </w:pPr>
      <w:r w:rsidRPr="00951CE3">
        <w:rPr>
          <w:sz w:val="24"/>
          <w:szCs w:val="24"/>
        </w:rPr>
        <w:lastRenderedPageBreak/>
        <w:t>conducting ongoing oversight and post-deployment review</w:t>
      </w:r>
      <w:r w:rsidR="006F1A2F">
        <w:rPr>
          <w:rStyle w:val="FootnoteReference"/>
          <w:sz w:val="24"/>
          <w:szCs w:val="24"/>
        </w:rPr>
        <w:footnoteReference w:id="33"/>
      </w:r>
      <w:r w:rsidRPr="00951CE3">
        <w:rPr>
          <w:sz w:val="24"/>
          <w:szCs w:val="24"/>
        </w:rPr>
        <w:t xml:space="preserve">; </w:t>
      </w:r>
    </w:p>
    <w:p w14:paraId="7D8DC61B" w14:textId="77777777" w:rsidR="00AC0EBE" w:rsidRDefault="008A6D2B" w:rsidP="00181430">
      <w:pPr>
        <w:pStyle w:val="ListParagraph"/>
        <w:numPr>
          <w:ilvl w:val="1"/>
          <w:numId w:val="7"/>
        </w:numPr>
        <w:rPr>
          <w:sz w:val="24"/>
          <w:szCs w:val="24"/>
        </w:rPr>
      </w:pPr>
      <w:r w:rsidRPr="00951CE3">
        <w:rPr>
          <w:sz w:val="24"/>
          <w:szCs w:val="24"/>
        </w:rPr>
        <w:t xml:space="preserve">assessing compliance with equality and human rights obligations; </w:t>
      </w:r>
    </w:p>
    <w:p w14:paraId="3621A5F6" w14:textId="6C61BA15" w:rsidR="00181430" w:rsidRDefault="00C71000" w:rsidP="00181430">
      <w:pPr>
        <w:pStyle w:val="ListParagraph"/>
        <w:numPr>
          <w:ilvl w:val="1"/>
          <w:numId w:val="7"/>
        </w:numPr>
        <w:rPr>
          <w:sz w:val="24"/>
          <w:szCs w:val="24"/>
        </w:rPr>
      </w:pPr>
      <w:r>
        <w:rPr>
          <w:sz w:val="24"/>
          <w:szCs w:val="24"/>
        </w:rPr>
        <w:t>s</w:t>
      </w:r>
      <w:r w:rsidR="003F7B58">
        <w:rPr>
          <w:sz w:val="24"/>
          <w:szCs w:val="24"/>
        </w:rPr>
        <w:t xml:space="preserve">etting testing standards to assure scientific validity of algorithms; </w:t>
      </w:r>
      <w:r w:rsidR="008A6D2B" w:rsidRPr="00951CE3">
        <w:rPr>
          <w:sz w:val="24"/>
          <w:szCs w:val="24"/>
        </w:rPr>
        <w:t>and</w:t>
      </w:r>
      <w:r w:rsidR="00181430">
        <w:rPr>
          <w:sz w:val="24"/>
          <w:szCs w:val="24"/>
        </w:rPr>
        <w:t xml:space="preserve"> </w:t>
      </w:r>
    </w:p>
    <w:p w14:paraId="1296DBC1" w14:textId="40793748" w:rsidR="00181430" w:rsidRPr="004A0ADF" w:rsidRDefault="008A6D2B" w:rsidP="00181430">
      <w:pPr>
        <w:pStyle w:val="ListParagraph"/>
        <w:numPr>
          <w:ilvl w:val="1"/>
          <w:numId w:val="7"/>
        </w:numPr>
        <w:rPr>
          <w:sz w:val="24"/>
          <w:szCs w:val="24"/>
        </w:rPr>
      </w:pPr>
      <w:r w:rsidRPr="00951CE3">
        <w:rPr>
          <w:sz w:val="24"/>
          <w:szCs w:val="24"/>
        </w:rPr>
        <w:t xml:space="preserve">publishing regular public reports regarding the use of such technologies. </w:t>
      </w:r>
      <w:r w:rsidR="00181430">
        <w:rPr>
          <w:sz w:val="24"/>
          <w:szCs w:val="24"/>
        </w:rPr>
        <w:br/>
      </w:r>
    </w:p>
    <w:p w14:paraId="30758256" w14:textId="74384FF5" w:rsidR="00EF6C81" w:rsidRPr="004A0ADF" w:rsidRDefault="00513738" w:rsidP="00EF6C81">
      <w:pPr>
        <w:pStyle w:val="ListParagraph"/>
        <w:numPr>
          <w:ilvl w:val="0"/>
          <w:numId w:val="7"/>
        </w:numPr>
        <w:rPr>
          <w:sz w:val="24"/>
          <w:szCs w:val="24"/>
        </w:rPr>
      </w:pPr>
      <w:r w:rsidRPr="004A0ADF">
        <w:rPr>
          <w:sz w:val="24"/>
          <w:szCs w:val="24"/>
        </w:rPr>
        <w:t>Require mandatory independent authorisation in advance of all live facial recognition deployments</w:t>
      </w:r>
      <w:r w:rsidR="00A3346A" w:rsidRPr="004A0ADF">
        <w:rPr>
          <w:sz w:val="24"/>
          <w:szCs w:val="24"/>
        </w:rPr>
        <w:t xml:space="preserve"> </w:t>
      </w:r>
      <w:r w:rsidRPr="004A0ADF">
        <w:rPr>
          <w:sz w:val="24"/>
          <w:szCs w:val="24"/>
        </w:rPr>
        <w:t xml:space="preserve">where deployments </w:t>
      </w:r>
      <w:r w:rsidR="003E1AD4" w:rsidRPr="004A0ADF">
        <w:rPr>
          <w:sz w:val="24"/>
          <w:szCs w:val="24"/>
        </w:rPr>
        <w:t>pose</w:t>
      </w:r>
      <w:r w:rsidRPr="004A0ADF">
        <w:rPr>
          <w:sz w:val="24"/>
          <w:szCs w:val="24"/>
        </w:rPr>
        <w:t xml:space="preserve"> heightened risks to fundamental rights</w:t>
      </w:r>
      <w:r w:rsidR="00EF6C81" w:rsidRPr="004A0ADF">
        <w:rPr>
          <w:sz w:val="24"/>
          <w:szCs w:val="24"/>
        </w:rPr>
        <w:t xml:space="preserve">, including but not limited to: </w:t>
      </w:r>
    </w:p>
    <w:p w14:paraId="06054E6E" w14:textId="0E69B667" w:rsidR="00EF6C81" w:rsidRPr="004A0ADF" w:rsidRDefault="00E87884" w:rsidP="00EF6C81">
      <w:pPr>
        <w:pStyle w:val="ListParagraph"/>
        <w:numPr>
          <w:ilvl w:val="1"/>
          <w:numId w:val="7"/>
        </w:numPr>
        <w:rPr>
          <w:sz w:val="24"/>
          <w:szCs w:val="24"/>
        </w:rPr>
      </w:pPr>
      <w:r w:rsidRPr="004A0ADF">
        <w:rPr>
          <w:sz w:val="24"/>
          <w:szCs w:val="24"/>
        </w:rPr>
        <w:t>u</w:t>
      </w:r>
      <w:r w:rsidR="00EF6C81" w:rsidRPr="004A0ADF">
        <w:rPr>
          <w:sz w:val="24"/>
          <w:szCs w:val="24"/>
        </w:rPr>
        <w:t xml:space="preserve">se in </w:t>
      </w:r>
      <w:r w:rsidR="00513738" w:rsidRPr="004A0ADF">
        <w:rPr>
          <w:sz w:val="24"/>
          <w:szCs w:val="24"/>
        </w:rPr>
        <w:t>publicly accessible spaces</w:t>
      </w:r>
      <w:r w:rsidRPr="004A0ADF">
        <w:rPr>
          <w:sz w:val="24"/>
          <w:szCs w:val="24"/>
        </w:rPr>
        <w:t xml:space="preserve">; </w:t>
      </w:r>
    </w:p>
    <w:p w14:paraId="23FEB9A2" w14:textId="7B59997D" w:rsidR="00EA24BA" w:rsidRPr="004A0ADF" w:rsidRDefault="00E87884" w:rsidP="00EF6C81">
      <w:pPr>
        <w:pStyle w:val="ListParagraph"/>
        <w:numPr>
          <w:ilvl w:val="1"/>
          <w:numId w:val="7"/>
        </w:numPr>
        <w:rPr>
          <w:sz w:val="24"/>
          <w:szCs w:val="24"/>
        </w:rPr>
      </w:pPr>
      <w:r w:rsidRPr="004A0ADF">
        <w:rPr>
          <w:sz w:val="24"/>
          <w:szCs w:val="24"/>
        </w:rPr>
        <w:t>u</w:t>
      </w:r>
      <w:r w:rsidR="00EF6C81" w:rsidRPr="004A0ADF">
        <w:rPr>
          <w:sz w:val="24"/>
          <w:szCs w:val="24"/>
        </w:rPr>
        <w:t xml:space="preserve">se at or near </w:t>
      </w:r>
      <w:r w:rsidR="00513738" w:rsidRPr="004A0ADF">
        <w:rPr>
          <w:sz w:val="24"/>
          <w:szCs w:val="24"/>
        </w:rPr>
        <w:t>protests, demonstrations,</w:t>
      </w:r>
      <w:r w:rsidR="00EA24BA" w:rsidRPr="004A0ADF">
        <w:rPr>
          <w:sz w:val="24"/>
          <w:szCs w:val="24"/>
        </w:rPr>
        <w:t xml:space="preserve"> or</w:t>
      </w:r>
      <w:r w:rsidR="00513738" w:rsidRPr="004A0ADF">
        <w:rPr>
          <w:sz w:val="24"/>
          <w:szCs w:val="24"/>
        </w:rPr>
        <w:t xml:space="preserve"> political events</w:t>
      </w:r>
      <w:r w:rsidRPr="004A0ADF">
        <w:rPr>
          <w:sz w:val="24"/>
          <w:szCs w:val="24"/>
        </w:rPr>
        <w:t xml:space="preserve">; </w:t>
      </w:r>
    </w:p>
    <w:p w14:paraId="0CAB8E3C" w14:textId="0E60DA08" w:rsidR="00513738" w:rsidRPr="004A0ADF" w:rsidRDefault="00E87884" w:rsidP="00E846B3">
      <w:pPr>
        <w:pStyle w:val="ListParagraph"/>
        <w:numPr>
          <w:ilvl w:val="1"/>
          <w:numId w:val="7"/>
        </w:numPr>
        <w:rPr>
          <w:sz w:val="24"/>
          <w:szCs w:val="24"/>
        </w:rPr>
      </w:pPr>
      <w:r w:rsidRPr="004A0ADF">
        <w:rPr>
          <w:sz w:val="24"/>
          <w:szCs w:val="24"/>
        </w:rPr>
        <w:t>u</w:t>
      </w:r>
      <w:r w:rsidR="00EA24BA" w:rsidRPr="004A0ADF">
        <w:rPr>
          <w:sz w:val="24"/>
          <w:szCs w:val="24"/>
        </w:rPr>
        <w:t xml:space="preserve">se involving </w:t>
      </w:r>
      <w:r w:rsidR="00513738" w:rsidRPr="004A0ADF">
        <w:rPr>
          <w:sz w:val="24"/>
          <w:szCs w:val="24"/>
        </w:rPr>
        <w:t>non-police-originated images or databases (e.g.,</w:t>
      </w:r>
      <w:r w:rsidR="00513738" w:rsidRPr="004A0ADF">
        <w:rPr>
          <w:kern w:val="2"/>
          <w:sz w:val="24"/>
          <w:szCs w:val="24"/>
          <w14:ligatures w14:val="standardContextual"/>
        </w:rPr>
        <w:t xml:space="preserve"> </w:t>
      </w:r>
      <w:r w:rsidR="00513738" w:rsidRPr="004A0ADF">
        <w:rPr>
          <w:sz w:val="24"/>
          <w:szCs w:val="24"/>
        </w:rPr>
        <w:t>CCTV footage, social media images or videos, smart doorbell or dashcam footage)</w:t>
      </w:r>
      <w:r w:rsidR="00E846B3" w:rsidRPr="004A0ADF">
        <w:rPr>
          <w:sz w:val="24"/>
          <w:szCs w:val="24"/>
        </w:rPr>
        <w:t xml:space="preserve">. </w:t>
      </w:r>
      <w:r w:rsidR="00F818B8" w:rsidRPr="004A0ADF">
        <w:rPr>
          <w:sz w:val="24"/>
          <w:szCs w:val="24"/>
        </w:rPr>
        <w:br/>
      </w:r>
    </w:p>
    <w:p w14:paraId="416D9B97" w14:textId="490E5BD1" w:rsidR="004B5CD4" w:rsidRPr="002B1C4C" w:rsidRDefault="002B1C4C" w:rsidP="002B1C4C">
      <w:pPr>
        <w:pStyle w:val="ListParagraph"/>
        <w:numPr>
          <w:ilvl w:val="0"/>
          <w:numId w:val="7"/>
        </w:numPr>
        <w:rPr>
          <w:sz w:val="24"/>
          <w:szCs w:val="24"/>
        </w:rPr>
      </w:pPr>
      <w:r w:rsidRPr="002B1C4C">
        <w:rPr>
          <w:sz w:val="24"/>
          <w:szCs w:val="24"/>
        </w:rPr>
        <w:t xml:space="preserve">Require advance public notification of </w:t>
      </w:r>
      <w:r w:rsidR="00E87884">
        <w:rPr>
          <w:sz w:val="24"/>
          <w:szCs w:val="24"/>
        </w:rPr>
        <w:t>LFR</w:t>
      </w:r>
      <w:r w:rsidRPr="002B1C4C">
        <w:rPr>
          <w:sz w:val="24"/>
          <w:szCs w:val="24"/>
        </w:rPr>
        <w:t xml:space="preserve"> deployments with a minimum of 14 days’ notice, subject only to clearly defined and tightly limited urgency exceptions.</w:t>
      </w:r>
      <w:r>
        <w:rPr>
          <w:sz w:val="24"/>
          <w:szCs w:val="24"/>
        </w:rPr>
        <w:br/>
      </w:r>
    </w:p>
    <w:p w14:paraId="0A55059B" w14:textId="1BB31D09" w:rsidR="000F3C26" w:rsidRDefault="008A6D2B" w:rsidP="008A6D2B">
      <w:pPr>
        <w:pStyle w:val="ListParagraph"/>
        <w:numPr>
          <w:ilvl w:val="0"/>
          <w:numId w:val="7"/>
        </w:numPr>
        <w:rPr>
          <w:sz w:val="24"/>
          <w:szCs w:val="24"/>
        </w:rPr>
      </w:pPr>
      <w:r w:rsidRPr="001D07EA">
        <w:rPr>
          <w:sz w:val="24"/>
          <w:szCs w:val="24"/>
        </w:rPr>
        <w:t>Introduce stronger safeguards against racial discrimination, racial profiling, algorithmic bias, and disproportionate surveillance of minority ethnic communities.</w:t>
      </w:r>
      <w:r w:rsidR="000F3C26">
        <w:rPr>
          <w:sz w:val="24"/>
          <w:szCs w:val="24"/>
        </w:rPr>
        <w:br/>
      </w:r>
    </w:p>
    <w:p w14:paraId="01CAD97F" w14:textId="565F3722" w:rsidR="000F3C26" w:rsidRDefault="008A6D2B" w:rsidP="008A6D2B">
      <w:pPr>
        <w:pStyle w:val="ListParagraph"/>
        <w:numPr>
          <w:ilvl w:val="0"/>
          <w:numId w:val="7"/>
        </w:numPr>
        <w:rPr>
          <w:sz w:val="24"/>
          <w:szCs w:val="24"/>
        </w:rPr>
      </w:pPr>
      <w:r w:rsidRPr="000F3C26">
        <w:rPr>
          <w:sz w:val="24"/>
          <w:szCs w:val="24"/>
        </w:rPr>
        <w:t xml:space="preserve">Require independent testing of biometric and AI-enabled systems for demographic accuracy and discriminatory bias, and prohibit the deployment of systems that cannot be demonstrated to meet robust standards of scientific validity, necessity, proportionality, and non-discrimination. </w:t>
      </w:r>
      <w:r w:rsidR="000F3C26">
        <w:rPr>
          <w:sz w:val="24"/>
          <w:szCs w:val="24"/>
        </w:rPr>
        <w:br/>
      </w:r>
    </w:p>
    <w:p w14:paraId="134FC8BB" w14:textId="1DD2EDCB" w:rsidR="000F3C26" w:rsidRDefault="008A6D2B" w:rsidP="008A6D2B">
      <w:pPr>
        <w:pStyle w:val="ListParagraph"/>
        <w:numPr>
          <w:ilvl w:val="0"/>
          <w:numId w:val="7"/>
        </w:numPr>
        <w:rPr>
          <w:sz w:val="24"/>
          <w:szCs w:val="24"/>
        </w:rPr>
      </w:pPr>
      <w:r w:rsidRPr="000F3C26">
        <w:rPr>
          <w:sz w:val="24"/>
          <w:szCs w:val="24"/>
        </w:rPr>
        <w:t>Ensure that emerging biometric and AI-enabled technologies, including inferential technologies and object recognition systems, fall within the scope of any future statutory framework and are subject to clear legal safeguards, democratic oversight, and independent scrutiny.</w:t>
      </w:r>
      <w:r w:rsidR="000F3C26">
        <w:rPr>
          <w:sz w:val="24"/>
          <w:szCs w:val="24"/>
        </w:rPr>
        <w:br/>
      </w:r>
    </w:p>
    <w:p w14:paraId="519B6601" w14:textId="3FF94170" w:rsidR="000F3C26" w:rsidRDefault="008A6D2B" w:rsidP="008A6D2B">
      <w:pPr>
        <w:pStyle w:val="ListParagraph"/>
        <w:numPr>
          <w:ilvl w:val="0"/>
          <w:numId w:val="7"/>
        </w:numPr>
        <w:rPr>
          <w:sz w:val="24"/>
          <w:szCs w:val="24"/>
        </w:rPr>
      </w:pPr>
      <w:r w:rsidRPr="000F3C26">
        <w:rPr>
          <w:sz w:val="24"/>
          <w:szCs w:val="24"/>
        </w:rPr>
        <w:t>Prevent the expansion of biometric surveillance through private-sector deployment, public-private partnerships, or non-policing public authorities without explicit statutory safeguards, democratic scrutiny, and independent oversight.</w:t>
      </w:r>
      <w:r w:rsidR="000F3C26">
        <w:rPr>
          <w:sz w:val="24"/>
          <w:szCs w:val="24"/>
        </w:rPr>
        <w:br/>
      </w:r>
    </w:p>
    <w:p w14:paraId="3696637B" w14:textId="2532AF74" w:rsidR="000F3C26" w:rsidRDefault="008A6D2B" w:rsidP="008A6D2B">
      <w:pPr>
        <w:pStyle w:val="ListParagraph"/>
        <w:numPr>
          <w:ilvl w:val="0"/>
          <w:numId w:val="7"/>
        </w:numPr>
        <w:rPr>
          <w:sz w:val="24"/>
          <w:szCs w:val="24"/>
        </w:rPr>
      </w:pPr>
      <w:r w:rsidRPr="000F3C26">
        <w:rPr>
          <w:sz w:val="24"/>
          <w:szCs w:val="24"/>
        </w:rPr>
        <w:t xml:space="preserve">Introduce safeguards to prevent function creep, including restrictions on the expansion of </w:t>
      </w:r>
      <w:r w:rsidR="00CA4241">
        <w:rPr>
          <w:sz w:val="24"/>
          <w:szCs w:val="24"/>
        </w:rPr>
        <w:t xml:space="preserve">biometric </w:t>
      </w:r>
      <w:r w:rsidRPr="000F3C26">
        <w:rPr>
          <w:sz w:val="24"/>
          <w:szCs w:val="24"/>
        </w:rPr>
        <w:t xml:space="preserve">technologies introduced for limited or exceptional purposes into routine or large-scale surveillance practices without explicit </w:t>
      </w:r>
      <w:r w:rsidRPr="000F3C26">
        <w:rPr>
          <w:sz w:val="24"/>
          <w:szCs w:val="24"/>
        </w:rPr>
        <w:lastRenderedPageBreak/>
        <w:t>parliamentary approval.</w:t>
      </w:r>
      <w:r w:rsidR="000F3C26">
        <w:rPr>
          <w:sz w:val="24"/>
          <w:szCs w:val="24"/>
        </w:rPr>
        <w:br/>
      </w:r>
    </w:p>
    <w:p w14:paraId="5A3BB15D" w14:textId="10E01539" w:rsidR="008A6D2B" w:rsidRDefault="008A6D2B" w:rsidP="008A6D2B">
      <w:pPr>
        <w:pStyle w:val="ListParagraph"/>
        <w:numPr>
          <w:ilvl w:val="0"/>
          <w:numId w:val="7"/>
        </w:numPr>
        <w:rPr>
          <w:sz w:val="24"/>
          <w:szCs w:val="24"/>
        </w:rPr>
      </w:pPr>
      <w:r w:rsidRPr="000F3C26">
        <w:rPr>
          <w:sz w:val="24"/>
          <w:szCs w:val="24"/>
        </w:rPr>
        <w:t>Ensure that the acquisition, retention, processing, and sharing of biometric data are strictly limited to clearly defined and proportionate purposes and subject to robust safeguards, transparency requirements, and effective remedies.</w:t>
      </w:r>
      <w:r w:rsidR="00C65AC2">
        <w:rPr>
          <w:sz w:val="24"/>
          <w:szCs w:val="24"/>
        </w:rPr>
        <w:br/>
      </w:r>
    </w:p>
    <w:p w14:paraId="65E9F8A8" w14:textId="65868A7F" w:rsidR="002126A8" w:rsidRPr="00B2419D" w:rsidRDefault="00566B5D" w:rsidP="00B2419D">
      <w:pPr>
        <w:pStyle w:val="ListParagraph"/>
        <w:numPr>
          <w:ilvl w:val="0"/>
          <w:numId w:val="7"/>
        </w:numPr>
        <w:rPr>
          <w:sz w:val="24"/>
          <w:szCs w:val="24"/>
        </w:rPr>
      </w:pPr>
      <w:r>
        <w:rPr>
          <w:sz w:val="24"/>
          <w:szCs w:val="24"/>
        </w:rPr>
        <w:t>Ensure that l</w:t>
      </w:r>
      <w:r w:rsidR="00477663">
        <w:rPr>
          <w:sz w:val="24"/>
          <w:szCs w:val="24"/>
        </w:rPr>
        <w:t xml:space="preserve">aw </w:t>
      </w:r>
      <w:r w:rsidR="00C65AC2" w:rsidRPr="00C65AC2">
        <w:rPr>
          <w:sz w:val="24"/>
          <w:szCs w:val="24"/>
        </w:rPr>
        <w:t xml:space="preserve">enforcement bodies </w:t>
      </w:r>
      <w:r w:rsidR="00014173">
        <w:rPr>
          <w:sz w:val="24"/>
          <w:szCs w:val="24"/>
        </w:rPr>
        <w:t>are</w:t>
      </w:r>
      <w:r w:rsidR="00C65AC2" w:rsidRPr="00C65AC2">
        <w:rPr>
          <w:sz w:val="24"/>
          <w:szCs w:val="24"/>
        </w:rPr>
        <w:t xml:space="preserve"> required to keep detailed records of their reasons for deploying </w:t>
      </w:r>
      <w:r w:rsidR="00C65AC2">
        <w:rPr>
          <w:sz w:val="24"/>
          <w:szCs w:val="24"/>
        </w:rPr>
        <w:t>retrospective facial recognition</w:t>
      </w:r>
      <w:r w:rsidR="00C65AC2" w:rsidRPr="00C65AC2">
        <w:rPr>
          <w:sz w:val="24"/>
          <w:szCs w:val="24"/>
        </w:rPr>
        <w:t xml:space="preserve"> on a case-by-case basis, which should be open to subsequent scrutiny by </w:t>
      </w:r>
      <w:r w:rsidR="001F1511">
        <w:rPr>
          <w:sz w:val="24"/>
          <w:szCs w:val="24"/>
        </w:rPr>
        <w:t>an</w:t>
      </w:r>
      <w:r w:rsidR="00382479">
        <w:rPr>
          <w:sz w:val="24"/>
          <w:szCs w:val="24"/>
        </w:rPr>
        <w:t xml:space="preserve"> independent </w:t>
      </w:r>
      <w:r w:rsidR="00C65AC2" w:rsidRPr="00C65AC2">
        <w:rPr>
          <w:sz w:val="24"/>
          <w:szCs w:val="24"/>
        </w:rPr>
        <w:t>oversight body.</w:t>
      </w:r>
    </w:p>
    <w:p w14:paraId="68D01E99" w14:textId="77777777" w:rsidR="002126A8" w:rsidRDefault="002126A8">
      <w:pPr>
        <w:rPr>
          <w:sz w:val="24"/>
          <w:szCs w:val="24"/>
        </w:rPr>
      </w:pPr>
    </w:p>
    <w:p w14:paraId="645AE93D" w14:textId="77777777" w:rsidR="00E846B3" w:rsidRDefault="00E846B3">
      <w:pPr>
        <w:rPr>
          <w:sz w:val="24"/>
          <w:szCs w:val="24"/>
        </w:rPr>
      </w:pPr>
    </w:p>
    <w:p w14:paraId="5695E0EB" w14:textId="22287567" w:rsidR="007F6B79" w:rsidRDefault="005C4E41" w:rsidP="007F6B79">
      <w:pPr>
        <w:rPr>
          <w:b/>
          <w:bCs/>
          <w:sz w:val="24"/>
          <w:szCs w:val="24"/>
        </w:rPr>
      </w:pPr>
      <w:r>
        <w:rPr>
          <w:b/>
          <w:sz w:val="24"/>
          <w:szCs w:val="24"/>
        </w:rPr>
        <w:t>3</w:t>
      </w:r>
      <w:r w:rsidRPr="00AD6765">
        <w:rPr>
          <w:b/>
          <w:sz w:val="24"/>
          <w:szCs w:val="24"/>
        </w:rPr>
        <w:t>.</w:t>
      </w:r>
      <w:r w:rsidRPr="00AD6765">
        <w:rPr>
          <w:b/>
          <w:bCs/>
          <w:sz w:val="24"/>
          <w:szCs w:val="24"/>
        </w:rPr>
        <w:t xml:space="preserve"> </w:t>
      </w:r>
      <w:r w:rsidR="007F6B79">
        <w:rPr>
          <w:b/>
          <w:bCs/>
          <w:sz w:val="24"/>
          <w:szCs w:val="24"/>
        </w:rPr>
        <w:t xml:space="preserve">Counter-terrorism </w:t>
      </w:r>
      <w:r w:rsidR="007C7DD6">
        <w:rPr>
          <w:b/>
          <w:bCs/>
          <w:sz w:val="24"/>
          <w:szCs w:val="24"/>
        </w:rPr>
        <w:t>m</w:t>
      </w:r>
      <w:r w:rsidR="007F6B79">
        <w:rPr>
          <w:b/>
          <w:bCs/>
          <w:sz w:val="24"/>
          <w:szCs w:val="24"/>
        </w:rPr>
        <w:t>easures and the P</w:t>
      </w:r>
      <w:r w:rsidR="004479A6">
        <w:rPr>
          <w:b/>
          <w:bCs/>
          <w:sz w:val="24"/>
          <w:szCs w:val="24"/>
        </w:rPr>
        <w:t>revent</w:t>
      </w:r>
      <w:r w:rsidR="007F6B79">
        <w:rPr>
          <w:b/>
          <w:bCs/>
          <w:sz w:val="24"/>
          <w:szCs w:val="24"/>
        </w:rPr>
        <w:t xml:space="preserve"> Duty: </w:t>
      </w:r>
    </w:p>
    <w:p w14:paraId="0ED55E4E" w14:textId="4C7663EB" w:rsidR="00E31EF9" w:rsidRPr="00E31EF9" w:rsidRDefault="00E31EF9" w:rsidP="00E31EF9">
      <w:pPr>
        <w:rPr>
          <w:sz w:val="24"/>
          <w:szCs w:val="24"/>
        </w:rPr>
      </w:pPr>
      <w:r w:rsidRPr="00E31EF9">
        <w:rPr>
          <w:sz w:val="24"/>
          <w:szCs w:val="24"/>
        </w:rPr>
        <w:t xml:space="preserve">In paragraph 34 of its concluding observations, the Committee urged the State party to revise the CONTEST and Prevent counter-terrorism strategies, including the Prevent duty, </w:t>
      </w:r>
      <w:r w:rsidR="000D0505" w:rsidRPr="00E31EF9">
        <w:rPr>
          <w:sz w:val="24"/>
          <w:szCs w:val="24"/>
        </w:rPr>
        <w:t>to</w:t>
      </w:r>
      <w:r w:rsidRPr="00E31EF9">
        <w:rPr>
          <w:sz w:val="24"/>
          <w:szCs w:val="24"/>
        </w:rPr>
        <w:t xml:space="preserve"> eliminate any discriminatory and disproportionate impact on the human rights and fundamental freedoms of ethnic and ethno-religious minorities, including children. The Committee further recommended that the State party suspend the Prevent dut</w:t>
      </w:r>
      <w:r w:rsidR="00E4648F">
        <w:rPr>
          <w:sz w:val="24"/>
          <w:szCs w:val="24"/>
        </w:rPr>
        <w:t>y</w:t>
      </w:r>
      <w:r w:rsidR="002D7539">
        <w:rPr>
          <w:sz w:val="24"/>
          <w:szCs w:val="24"/>
        </w:rPr>
        <w:t xml:space="preserve">, </w:t>
      </w:r>
      <w:r w:rsidRPr="00E31EF9">
        <w:rPr>
          <w:sz w:val="24"/>
          <w:szCs w:val="24"/>
        </w:rPr>
        <w:t>introduce robust safeguards against profiling and discrimination, establish effective and independent monitoring mechanisms, and ensure access to effective remedies and reparations for those affected.</w:t>
      </w:r>
    </w:p>
    <w:p w14:paraId="2A8F8697" w14:textId="77777777" w:rsidR="00E31EF9" w:rsidRPr="00E31EF9" w:rsidRDefault="00E31EF9" w:rsidP="00E31EF9">
      <w:pPr>
        <w:rPr>
          <w:sz w:val="24"/>
          <w:szCs w:val="24"/>
        </w:rPr>
      </w:pPr>
      <w:r w:rsidRPr="00E31EF9">
        <w:rPr>
          <w:sz w:val="24"/>
          <w:szCs w:val="24"/>
        </w:rPr>
        <w:t>REF is concerned that there has been insufficient progress in implementing these recommendations. Despite the Committee’s concerns regarding the discriminatory impact of Prevent on Muslim communities and ethnic and ethno-religious minorities, the State party has continued to maintain and expand the Prevent programme and broader counter-terrorism framework without adequately addressing longstanding concerns regarding racial profiling, discrimination, transparency, accountability, and the impact of such measures on fundamental rights and freedoms.</w:t>
      </w:r>
    </w:p>
    <w:p w14:paraId="34FE7979" w14:textId="30EE1E7F" w:rsidR="00B2419D" w:rsidRDefault="00E31EF9">
      <w:pPr>
        <w:rPr>
          <w:sz w:val="24"/>
          <w:szCs w:val="24"/>
        </w:rPr>
      </w:pPr>
      <w:r w:rsidRPr="00E31EF9">
        <w:rPr>
          <w:sz w:val="24"/>
          <w:szCs w:val="24"/>
        </w:rPr>
        <w:t>REF is particularly concerned that Prevent continues to create an atmosphere of suspicion towards Muslim communities across the UK, including children, and risks undermining rights to freedom of expression, religion, education, privacy, and peaceful assembly. While the State party maintains that Prevent is “ideologically agnostic”, civil society organisations, affected communities, and human rights bodies have consistently raised concerns regarding the disproportionate impact of the programme on Muslim communities and the broader effect such measures have on civic participation, political expression, and trust in public authorities.</w:t>
      </w:r>
      <w:r w:rsidR="006B1473">
        <w:rPr>
          <w:rStyle w:val="FootnoteReference"/>
          <w:sz w:val="24"/>
          <w:szCs w:val="24"/>
        </w:rPr>
        <w:footnoteReference w:id="34"/>
      </w:r>
    </w:p>
    <w:p w14:paraId="4D66BB19" w14:textId="77777777" w:rsidR="00B2419D" w:rsidRDefault="00B2419D">
      <w:pPr>
        <w:rPr>
          <w:sz w:val="24"/>
          <w:szCs w:val="24"/>
        </w:rPr>
      </w:pPr>
    </w:p>
    <w:p w14:paraId="71954233" w14:textId="77777777" w:rsidR="004C6F34" w:rsidRPr="00300A4B" w:rsidRDefault="004C6F34" w:rsidP="004C6F34">
      <w:pPr>
        <w:rPr>
          <w:b/>
          <w:bCs/>
          <w:color w:val="000000" w:themeColor="text1"/>
          <w:sz w:val="24"/>
          <w:szCs w:val="24"/>
        </w:rPr>
      </w:pPr>
      <w:r w:rsidRPr="00300A4B">
        <w:rPr>
          <w:b/>
          <w:bCs/>
          <w:color w:val="000000" w:themeColor="text1"/>
          <w:sz w:val="24"/>
          <w:szCs w:val="24"/>
        </w:rPr>
        <w:lastRenderedPageBreak/>
        <w:t>3.1 Discriminatory impact of Prevent on Muslim communities:</w:t>
      </w:r>
    </w:p>
    <w:p w14:paraId="0619A22E" w14:textId="77777777" w:rsidR="004C6F34" w:rsidRPr="00300A4B" w:rsidRDefault="004C6F34" w:rsidP="004C6F34">
      <w:pPr>
        <w:rPr>
          <w:color w:val="000000" w:themeColor="text1"/>
          <w:sz w:val="24"/>
          <w:szCs w:val="24"/>
        </w:rPr>
      </w:pPr>
      <w:r w:rsidRPr="00300A4B">
        <w:rPr>
          <w:color w:val="000000" w:themeColor="text1"/>
          <w:sz w:val="24"/>
          <w:szCs w:val="24"/>
        </w:rPr>
        <w:t>REF remains concerned that, despite repeated criticism from UN treaty bodies, civil society organisations, and affected communities, the Prevent programme and wider counter-terrorism framework continue to disproportionately impact Muslim communities across the UK.</w:t>
      </w:r>
    </w:p>
    <w:p w14:paraId="206F77BC" w14:textId="5FEB6FC7" w:rsidR="004C6F34" w:rsidRPr="00300A4B" w:rsidRDefault="004C6F34" w:rsidP="004C6F34">
      <w:pPr>
        <w:rPr>
          <w:color w:val="000000" w:themeColor="text1"/>
          <w:sz w:val="24"/>
          <w:szCs w:val="24"/>
        </w:rPr>
      </w:pPr>
      <w:r w:rsidRPr="00300A4B">
        <w:rPr>
          <w:color w:val="000000" w:themeColor="text1"/>
          <w:sz w:val="24"/>
          <w:szCs w:val="24"/>
        </w:rPr>
        <w:t>While the State party maintains that Prevent is “ideologically agnostic”, longstanding concerns remain regarding the extent to which the programme continues</w:t>
      </w:r>
      <w:r w:rsidR="00CA0531" w:rsidRPr="00300A4B">
        <w:rPr>
          <w:color w:val="000000" w:themeColor="text1"/>
          <w:sz w:val="24"/>
          <w:szCs w:val="24"/>
        </w:rPr>
        <w:t xml:space="preserve"> </w:t>
      </w:r>
      <w:r w:rsidRPr="00300A4B">
        <w:rPr>
          <w:color w:val="000000" w:themeColor="text1"/>
          <w:sz w:val="24"/>
          <w:szCs w:val="24"/>
        </w:rPr>
        <w:t>to create an atmosphere of suspicion towards Muslims and Muslim communities. These concerns are reflected in the Committee’s concluding observations and continue to be raised by civil society organisations, academics, and communities affected by Prevent-related interventions.</w:t>
      </w:r>
      <w:r w:rsidR="00EF36A0">
        <w:rPr>
          <w:rStyle w:val="FootnoteReference"/>
          <w:color w:val="000000" w:themeColor="text1"/>
          <w:sz w:val="24"/>
          <w:szCs w:val="24"/>
        </w:rPr>
        <w:footnoteReference w:id="35"/>
      </w:r>
    </w:p>
    <w:p w14:paraId="6F512389" w14:textId="77777777" w:rsidR="004C6F34" w:rsidRPr="00300A4B" w:rsidRDefault="004C6F34" w:rsidP="004C6F34">
      <w:pPr>
        <w:rPr>
          <w:color w:val="000000" w:themeColor="text1"/>
          <w:sz w:val="24"/>
          <w:szCs w:val="24"/>
        </w:rPr>
      </w:pPr>
      <w:r w:rsidRPr="00300A4B">
        <w:rPr>
          <w:color w:val="000000" w:themeColor="text1"/>
          <w:sz w:val="24"/>
          <w:szCs w:val="24"/>
        </w:rPr>
        <w:t>REF is concerned that the State party’s follow-up response does not adequately engage with the central concern identified by the Committee, namely whether Prevent continues to result, in purpose or effect, in profiling and discrimination against ethnic and ethno-religious minorities. Instead, the State party’s response focuses largely on operational processes, safeguarding language, and oversight structures, without addressing the broader discriminatory and chilling effects associated with the programme.</w:t>
      </w:r>
    </w:p>
    <w:p w14:paraId="4ADD1290" w14:textId="77777777" w:rsidR="00B217B2" w:rsidRPr="00C477A2" w:rsidRDefault="00B217B2">
      <w:pPr>
        <w:rPr>
          <w:color w:val="FF0000"/>
          <w:sz w:val="24"/>
          <w:szCs w:val="24"/>
        </w:rPr>
      </w:pPr>
    </w:p>
    <w:p w14:paraId="561D83BE" w14:textId="78450229" w:rsidR="00C107E7" w:rsidRPr="00E125BA" w:rsidRDefault="00C107E7" w:rsidP="00C107E7">
      <w:pPr>
        <w:rPr>
          <w:b/>
          <w:bCs/>
          <w:color w:val="000000" w:themeColor="text1"/>
          <w:sz w:val="24"/>
          <w:szCs w:val="24"/>
        </w:rPr>
      </w:pPr>
      <w:r w:rsidRPr="00E125BA">
        <w:rPr>
          <w:b/>
          <w:bCs/>
          <w:color w:val="000000" w:themeColor="text1"/>
          <w:sz w:val="24"/>
          <w:szCs w:val="24"/>
        </w:rPr>
        <w:t xml:space="preserve">3.2 </w:t>
      </w:r>
      <w:r w:rsidR="00F219B8">
        <w:rPr>
          <w:b/>
          <w:bCs/>
          <w:color w:val="000000" w:themeColor="text1"/>
          <w:sz w:val="24"/>
          <w:szCs w:val="24"/>
        </w:rPr>
        <w:t xml:space="preserve">The </w:t>
      </w:r>
      <w:r w:rsidRPr="00E125BA">
        <w:rPr>
          <w:b/>
          <w:bCs/>
          <w:color w:val="000000" w:themeColor="text1"/>
          <w:sz w:val="24"/>
          <w:szCs w:val="24"/>
        </w:rPr>
        <w:t xml:space="preserve">Prevent </w:t>
      </w:r>
      <w:r w:rsidR="00F219B8">
        <w:rPr>
          <w:b/>
          <w:bCs/>
          <w:color w:val="000000" w:themeColor="text1"/>
          <w:sz w:val="24"/>
          <w:szCs w:val="24"/>
        </w:rPr>
        <w:t xml:space="preserve">Duty, public sector referrals </w:t>
      </w:r>
      <w:r w:rsidRPr="00E125BA">
        <w:rPr>
          <w:b/>
          <w:bCs/>
          <w:color w:val="000000" w:themeColor="text1"/>
          <w:sz w:val="24"/>
          <w:szCs w:val="24"/>
        </w:rPr>
        <w:t>and</w:t>
      </w:r>
      <w:r w:rsidR="00F219B8">
        <w:rPr>
          <w:b/>
          <w:bCs/>
          <w:color w:val="000000" w:themeColor="text1"/>
          <w:sz w:val="24"/>
          <w:szCs w:val="24"/>
        </w:rPr>
        <w:t xml:space="preserve"> impact</w:t>
      </w:r>
      <w:r w:rsidRPr="00E125BA">
        <w:rPr>
          <w:b/>
          <w:bCs/>
          <w:color w:val="000000" w:themeColor="text1"/>
          <w:sz w:val="24"/>
          <w:szCs w:val="24"/>
        </w:rPr>
        <w:t xml:space="preserve"> on fundamental rights:</w:t>
      </w:r>
    </w:p>
    <w:p w14:paraId="4553E9DD" w14:textId="64EAFE55" w:rsidR="00C107E7" w:rsidRPr="00E125BA" w:rsidRDefault="00C107E7" w:rsidP="00C107E7">
      <w:pPr>
        <w:rPr>
          <w:color w:val="000000" w:themeColor="text1"/>
          <w:sz w:val="24"/>
          <w:szCs w:val="24"/>
        </w:rPr>
      </w:pPr>
      <w:r w:rsidRPr="00E125BA">
        <w:rPr>
          <w:color w:val="000000" w:themeColor="text1"/>
          <w:sz w:val="24"/>
          <w:szCs w:val="24"/>
        </w:rPr>
        <w:t>The Committee previously expressed concern regarding the high number of Prevent referrals involving Muslim communities, including children, and the role of teachers, healthcare professionals, and other public sector personnel in making referrals. REF remains concerned that the framing of Prevent</w:t>
      </w:r>
      <w:r w:rsidR="00DB2385">
        <w:rPr>
          <w:color w:val="000000" w:themeColor="text1"/>
          <w:sz w:val="24"/>
          <w:szCs w:val="24"/>
        </w:rPr>
        <w:t>,</w:t>
      </w:r>
      <w:r w:rsidRPr="00E125BA">
        <w:rPr>
          <w:color w:val="000000" w:themeColor="text1"/>
          <w:sz w:val="24"/>
          <w:szCs w:val="24"/>
        </w:rPr>
        <w:t xml:space="preserve"> as a safeguarding mechanism</w:t>
      </w:r>
      <w:r w:rsidR="00DB2385">
        <w:rPr>
          <w:color w:val="000000" w:themeColor="text1"/>
          <w:sz w:val="24"/>
          <w:szCs w:val="24"/>
        </w:rPr>
        <w:t>,</w:t>
      </w:r>
      <w:r w:rsidRPr="00E125BA">
        <w:rPr>
          <w:color w:val="000000" w:themeColor="text1"/>
          <w:sz w:val="24"/>
          <w:szCs w:val="24"/>
        </w:rPr>
        <w:t xml:space="preserve"> risks embedding counter-terrorism surveillance practices within ordinary educational, healthcare, and public service settings.</w:t>
      </w:r>
    </w:p>
    <w:p w14:paraId="3F3F94F5" w14:textId="77777777" w:rsidR="00C107E7" w:rsidRPr="00E125BA" w:rsidRDefault="00C107E7" w:rsidP="00C107E7">
      <w:pPr>
        <w:rPr>
          <w:color w:val="000000" w:themeColor="text1"/>
          <w:sz w:val="24"/>
          <w:szCs w:val="24"/>
        </w:rPr>
      </w:pPr>
      <w:r w:rsidRPr="00E125BA">
        <w:rPr>
          <w:color w:val="000000" w:themeColor="text1"/>
          <w:sz w:val="24"/>
          <w:szCs w:val="24"/>
        </w:rPr>
        <w:t>Although the State party characterises Prevent as an early intervention safeguarding programme, concerns remain regarding the impact that referrals and Prevent-related monitoring may have on rights to freedom of expression, religion, education, privacy, and peaceful assembly, particularly for Muslim children and young people.</w:t>
      </w:r>
    </w:p>
    <w:p w14:paraId="5745B660" w14:textId="28E0DE91" w:rsidR="0077764B" w:rsidRPr="009A776B" w:rsidRDefault="00C107E7" w:rsidP="00C107E7">
      <w:pPr>
        <w:rPr>
          <w:sz w:val="24"/>
          <w:szCs w:val="24"/>
        </w:rPr>
      </w:pPr>
      <w:r w:rsidRPr="00E125BA">
        <w:rPr>
          <w:color w:val="000000" w:themeColor="text1"/>
          <w:sz w:val="24"/>
          <w:szCs w:val="24"/>
        </w:rPr>
        <w:t>The integration of</w:t>
      </w:r>
      <w:r w:rsidR="0053617C">
        <w:rPr>
          <w:color w:val="000000" w:themeColor="text1"/>
          <w:sz w:val="24"/>
          <w:szCs w:val="24"/>
        </w:rPr>
        <w:t xml:space="preserve"> the</w:t>
      </w:r>
      <w:r w:rsidRPr="00E125BA">
        <w:rPr>
          <w:color w:val="000000" w:themeColor="text1"/>
          <w:sz w:val="24"/>
          <w:szCs w:val="24"/>
        </w:rPr>
        <w:t xml:space="preserve"> Prevent </w:t>
      </w:r>
      <w:r w:rsidR="00AF6DC6">
        <w:rPr>
          <w:color w:val="000000" w:themeColor="text1"/>
          <w:sz w:val="24"/>
          <w:szCs w:val="24"/>
        </w:rPr>
        <w:t>Duty</w:t>
      </w:r>
      <w:r w:rsidRPr="00E125BA">
        <w:rPr>
          <w:color w:val="000000" w:themeColor="text1"/>
          <w:sz w:val="24"/>
          <w:szCs w:val="24"/>
        </w:rPr>
        <w:t xml:space="preserve"> into schools, universities, healthcare settings, and community services risks creating environments in which individuals may feel unable to express political opinions, discuss matters relating to religion or international affairs, or engage fully in civic and democratic life without fear of scrutiny or referral. </w:t>
      </w:r>
      <w:r w:rsidR="0077764B" w:rsidRPr="0077764B">
        <w:rPr>
          <w:sz w:val="24"/>
          <w:szCs w:val="24"/>
        </w:rPr>
        <w:t xml:space="preserve">REF is concerned that </w:t>
      </w:r>
      <w:r w:rsidR="00AF6DC6">
        <w:rPr>
          <w:sz w:val="24"/>
          <w:szCs w:val="24"/>
        </w:rPr>
        <w:t>the Prevent Duty</w:t>
      </w:r>
      <w:r w:rsidR="0077764B" w:rsidRPr="0077764B">
        <w:rPr>
          <w:sz w:val="24"/>
          <w:szCs w:val="24"/>
        </w:rPr>
        <w:t xml:space="preserve"> </w:t>
      </w:r>
      <w:r w:rsidR="004D664C">
        <w:rPr>
          <w:sz w:val="24"/>
          <w:szCs w:val="24"/>
        </w:rPr>
        <w:t xml:space="preserve">therefore </w:t>
      </w:r>
      <w:r w:rsidR="0077764B" w:rsidRPr="0077764B">
        <w:rPr>
          <w:sz w:val="24"/>
          <w:szCs w:val="24"/>
        </w:rPr>
        <w:t>contribute</w:t>
      </w:r>
      <w:r w:rsidR="00AF6DC6">
        <w:rPr>
          <w:sz w:val="24"/>
          <w:szCs w:val="24"/>
        </w:rPr>
        <w:t>s</w:t>
      </w:r>
      <w:r w:rsidR="0077764B" w:rsidRPr="0077764B">
        <w:rPr>
          <w:sz w:val="24"/>
          <w:szCs w:val="24"/>
        </w:rPr>
        <w:t xml:space="preserve"> to self-censorship, mistrust of public institutions, and deterrence from participation in civic and public life.</w:t>
      </w:r>
    </w:p>
    <w:p w14:paraId="5CAC74EA" w14:textId="703E07DC" w:rsidR="00C107E7" w:rsidRPr="009A776B" w:rsidRDefault="00C107E7" w:rsidP="00C107E7">
      <w:pPr>
        <w:rPr>
          <w:sz w:val="24"/>
          <w:szCs w:val="24"/>
        </w:rPr>
      </w:pPr>
      <w:r w:rsidRPr="009A776B">
        <w:rPr>
          <w:sz w:val="24"/>
          <w:szCs w:val="24"/>
        </w:rPr>
        <w:lastRenderedPageBreak/>
        <w:t xml:space="preserve">These concerns are particularly significant in the context of broader patterns of racial disproportionality and discriminatory policing experienced by minority ethnic communities across the UK, as outlined </w:t>
      </w:r>
      <w:r w:rsidR="00CB7455" w:rsidRPr="009A776B">
        <w:rPr>
          <w:sz w:val="24"/>
          <w:szCs w:val="24"/>
        </w:rPr>
        <w:t>earlier i</w:t>
      </w:r>
      <w:r w:rsidRPr="009A776B">
        <w:rPr>
          <w:sz w:val="24"/>
          <w:szCs w:val="24"/>
        </w:rPr>
        <w:t>n this submission.</w:t>
      </w:r>
    </w:p>
    <w:p w14:paraId="2D7884EC" w14:textId="1BFB4020" w:rsidR="00AD6A1B" w:rsidRDefault="00467B1A">
      <w:pPr>
        <w:rPr>
          <w:sz w:val="24"/>
          <w:szCs w:val="24"/>
        </w:rPr>
      </w:pPr>
      <w:r w:rsidRPr="00024260">
        <w:rPr>
          <w:sz w:val="24"/>
          <w:szCs w:val="24"/>
        </w:rPr>
        <w:t xml:space="preserve">REF is therefore concerned about </w:t>
      </w:r>
      <w:r w:rsidR="00CB7455" w:rsidRPr="00024260">
        <w:rPr>
          <w:sz w:val="24"/>
          <w:szCs w:val="24"/>
        </w:rPr>
        <w:t xml:space="preserve">the </w:t>
      </w:r>
      <w:r w:rsidR="00CB7455" w:rsidRPr="009A776B">
        <w:rPr>
          <w:sz w:val="24"/>
          <w:szCs w:val="24"/>
        </w:rPr>
        <w:t>extent to which subjective judgement</w:t>
      </w:r>
      <w:r w:rsidR="00634FEC" w:rsidRPr="009A776B">
        <w:rPr>
          <w:sz w:val="24"/>
          <w:szCs w:val="24"/>
        </w:rPr>
        <w:t xml:space="preserve"> </w:t>
      </w:r>
      <w:r w:rsidR="00917763" w:rsidRPr="009A776B">
        <w:rPr>
          <w:sz w:val="24"/>
          <w:szCs w:val="24"/>
        </w:rPr>
        <w:t xml:space="preserve">and </w:t>
      </w:r>
      <w:r w:rsidR="00CB7455" w:rsidRPr="009A776B">
        <w:rPr>
          <w:sz w:val="24"/>
          <w:szCs w:val="24"/>
        </w:rPr>
        <w:t>unconscious bias</w:t>
      </w:r>
      <w:r w:rsidR="00917763" w:rsidRPr="009A776B">
        <w:rPr>
          <w:sz w:val="24"/>
          <w:szCs w:val="24"/>
        </w:rPr>
        <w:t xml:space="preserve"> </w:t>
      </w:r>
      <w:r w:rsidR="00310A26" w:rsidRPr="009A776B">
        <w:rPr>
          <w:sz w:val="24"/>
          <w:szCs w:val="24"/>
        </w:rPr>
        <w:t xml:space="preserve">from public sector professionals </w:t>
      </w:r>
      <w:r w:rsidR="00CB7455" w:rsidRPr="009A776B">
        <w:rPr>
          <w:sz w:val="24"/>
          <w:szCs w:val="24"/>
        </w:rPr>
        <w:t>within educational, healthcare, and safeguarding settings may result in ordinary religious expression, political views, or discussions relating to international conflicts being treated with undue suspicion</w:t>
      </w:r>
      <w:r w:rsidR="00DE32BD" w:rsidRPr="009A776B">
        <w:rPr>
          <w:sz w:val="24"/>
          <w:szCs w:val="24"/>
        </w:rPr>
        <w:t>, i</w:t>
      </w:r>
      <w:r w:rsidR="00CB7455" w:rsidRPr="009A776B">
        <w:rPr>
          <w:sz w:val="24"/>
          <w:szCs w:val="24"/>
        </w:rPr>
        <w:t xml:space="preserve">nterpreted through </w:t>
      </w:r>
      <w:r w:rsidR="00CB7455" w:rsidRPr="00CD653F">
        <w:rPr>
          <w:color w:val="000000" w:themeColor="text1"/>
          <w:sz w:val="24"/>
          <w:szCs w:val="24"/>
        </w:rPr>
        <w:t xml:space="preserve">a terrorism </w:t>
      </w:r>
      <w:r w:rsidR="00CD653F">
        <w:rPr>
          <w:color w:val="000000" w:themeColor="text1"/>
          <w:sz w:val="24"/>
          <w:szCs w:val="24"/>
        </w:rPr>
        <w:t xml:space="preserve">or </w:t>
      </w:r>
      <w:r w:rsidR="008A773C" w:rsidRPr="00CD653F">
        <w:rPr>
          <w:color w:val="000000" w:themeColor="text1"/>
          <w:sz w:val="24"/>
          <w:szCs w:val="24"/>
        </w:rPr>
        <w:t xml:space="preserve">extremism </w:t>
      </w:r>
      <w:r w:rsidR="00CB7455" w:rsidRPr="00CD653F">
        <w:rPr>
          <w:color w:val="000000" w:themeColor="text1"/>
          <w:sz w:val="24"/>
          <w:szCs w:val="24"/>
        </w:rPr>
        <w:t>lens</w:t>
      </w:r>
      <w:r w:rsidR="00DE32BD" w:rsidRPr="00CD653F">
        <w:rPr>
          <w:color w:val="000000" w:themeColor="text1"/>
          <w:sz w:val="24"/>
          <w:szCs w:val="24"/>
        </w:rPr>
        <w:t xml:space="preserve"> or </w:t>
      </w:r>
      <w:r w:rsidR="00DE32BD" w:rsidRPr="009A776B">
        <w:rPr>
          <w:sz w:val="24"/>
          <w:szCs w:val="24"/>
        </w:rPr>
        <w:t>subject to referral under counter-terrorism</w:t>
      </w:r>
      <w:r w:rsidR="00BD3049" w:rsidRPr="009A776B">
        <w:rPr>
          <w:sz w:val="24"/>
          <w:szCs w:val="24"/>
        </w:rPr>
        <w:t xml:space="preserve"> frameworks. </w:t>
      </w:r>
      <w:r w:rsidR="00DE32BD" w:rsidRPr="009A776B">
        <w:rPr>
          <w:sz w:val="24"/>
          <w:szCs w:val="24"/>
        </w:rPr>
        <w:t xml:space="preserve"> </w:t>
      </w:r>
    </w:p>
    <w:p w14:paraId="3D074124" w14:textId="58AB22A3" w:rsidR="00467B1A" w:rsidRPr="001972C3" w:rsidRDefault="00467B1A">
      <w:pPr>
        <w:rPr>
          <w:sz w:val="24"/>
          <w:szCs w:val="24"/>
        </w:rPr>
      </w:pPr>
      <w:r w:rsidRPr="009A776B">
        <w:rPr>
          <w:sz w:val="24"/>
          <w:szCs w:val="24"/>
        </w:rPr>
        <w:t xml:space="preserve">We are further concerned that Prevent </w:t>
      </w:r>
      <w:r w:rsidR="00FC161B">
        <w:rPr>
          <w:sz w:val="24"/>
          <w:szCs w:val="24"/>
        </w:rPr>
        <w:t>will</w:t>
      </w:r>
      <w:r w:rsidRPr="009A776B">
        <w:rPr>
          <w:sz w:val="24"/>
          <w:szCs w:val="24"/>
        </w:rPr>
        <w:t xml:space="preserve"> therefore continue to contribute to distrust and fear towards public authorities and public services</w:t>
      </w:r>
      <w:r w:rsidR="000411BF">
        <w:rPr>
          <w:sz w:val="24"/>
          <w:szCs w:val="24"/>
        </w:rPr>
        <w:t xml:space="preserve"> within Muslim communities. </w:t>
      </w:r>
    </w:p>
    <w:p w14:paraId="2AB750A4" w14:textId="488CD2AD" w:rsidR="00497780" w:rsidRPr="00C477A2" w:rsidRDefault="00497780">
      <w:pPr>
        <w:rPr>
          <w:color w:val="FF0000"/>
          <w:sz w:val="24"/>
          <w:szCs w:val="24"/>
        </w:rPr>
      </w:pPr>
      <w:r>
        <w:rPr>
          <w:color w:val="FF0000"/>
          <w:sz w:val="24"/>
          <w:szCs w:val="24"/>
        </w:rPr>
        <w:t xml:space="preserve"> </w:t>
      </w:r>
    </w:p>
    <w:p w14:paraId="6A045834" w14:textId="0AC3C6DA" w:rsidR="00C107E7" w:rsidRPr="0005480A" w:rsidRDefault="00C13B54" w:rsidP="00C107E7">
      <w:pPr>
        <w:rPr>
          <w:b/>
          <w:bCs/>
          <w:sz w:val="24"/>
          <w:szCs w:val="24"/>
        </w:rPr>
      </w:pPr>
      <w:r w:rsidRPr="001972C3">
        <w:rPr>
          <w:b/>
          <w:bCs/>
          <w:sz w:val="24"/>
          <w:szCs w:val="24"/>
        </w:rPr>
        <w:t xml:space="preserve">3.3 Concerns regarding the effectiveness of </w:t>
      </w:r>
      <w:r w:rsidRPr="0005480A">
        <w:rPr>
          <w:b/>
          <w:bCs/>
          <w:sz w:val="24"/>
          <w:szCs w:val="24"/>
        </w:rPr>
        <w:t>Prevent</w:t>
      </w:r>
      <w:r w:rsidR="00A47198" w:rsidRPr="0005480A">
        <w:rPr>
          <w:b/>
          <w:bCs/>
          <w:sz w:val="24"/>
          <w:szCs w:val="24"/>
        </w:rPr>
        <w:t xml:space="preserve"> and </w:t>
      </w:r>
      <w:r w:rsidR="004D6B6F" w:rsidRPr="0005480A">
        <w:rPr>
          <w:b/>
          <w:bCs/>
          <w:sz w:val="24"/>
          <w:szCs w:val="24"/>
        </w:rPr>
        <w:t>broader counter-terrorism measures</w:t>
      </w:r>
      <w:r w:rsidRPr="0005480A">
        <w:rPr>
          <w:b/>
          <w:bCs/>
          <w:sz w:val="24"/>
          <w:szCs w:val="24"/>
        </w:rPr>
        <w:t xml:space="preserve">: </w:t>
      </w:r>
    </w:p>
    <w:p w14:paraId="1424A713" w14:textId="0A43387E" w:rsidR="00AE3379" w:rsidRPr="00452DB3" w:rsidRDefault="0054764C" w:rsidP="00AE3379">
      <w:pPr>
        <w:rPr>
          <w:sz w:val="24"/>
          <w:szCs w:val="24"/>
        </w:rPr>
      </w:pPr>
      <w:r w:rsidRPr="00452DB3">
        <w:rPr>
          <w:sz w:val="24"/>
          <w:szCs w:val="24"/>
        </w:rPr>
        <w:t>Furthermore,</w:t>
      </w:r>
      <w:r w:rsidR="00AE3379" w:rsidRPr="00452DB3">
        <w:rPr>
          <w:sz w:val="24"/>
          <w:szCs w:val="24"/>
        </w:rPr>
        <w:t xml:space="preserve"> recent parliamentary scrutiny has raised </w:t>
      </w:r>
      <w:r w:rsidRPr="00452DB3">
        <w:rPr>
          <w:sz w:val="24"/>
          <w:szCs w:val="24"/>
        </w:rPr>
        <w:t>additional</w:t>
      </w:r>
      <w:r w:rsidR="00AE3379" w:rsidRPr="00452DB3">
        <w:rPr>
          <w:sz w:val="24"/>
          <w:szCs w:val="24"/>
        </w:rPr>
        <w:t xml:space="preserve"> questions regarding the effectiveness and operation of Prevent and whether the programme is equipped to respond appropriately to contemporary forms of extremism.</w:t>
      </w:r>
    </w:p>
    <w:p w14:paraId="5D2A3DBF" w14:textId="3E7C2EA2" w:rsidR="00AE3379" w:rsidRPr="00A808AD" w:rsidRDefault="00AE3379" w:rsidP="00AE3379">
      <w:pPr>
        <w:rPr>
          <w:sz w:val="24"/>
          <w:szCs w:val="24"/>
        </w:rPr>
      </w:pPr>
      <w:r w:rsidRPr="00A808AD">
        <w:rPr>
          <w:sz w:val="24"/>
          <w:szCs w:val="24"/>
        </w:rPr>
        <w:t xml:space="preserve">In April 2026, the Home Affairs Committee warned that the Prevent referral mechanism was </w:t>
      </w:r>
      <w:r w:rsidR="001F7785" w:rsidRPr="00A808AD">
        <w:rPr>
          <w:sz w:val="24"/>
          <w:szCs w:val="24"/>
        </w:rPr>
        <w:t>“outdated”</w:t>
      </w:r>
      <w:r w:rsidR="006A3150">
        <w:rPr>
          <w:sz w:val="24"/>
          <w:szCs w:val="24"/>
        </w:rPr>
        <w:t>,</w:t>
      </w:r>
      <w:r w:rsidR="001F7785" w:rsidRPr="00A808AD">
        <w:rPr>
          <w:sz w:val="24"/>
          <w:szCs w:val="24"/>
        </w:rPr>
        <w:t xml:space="preserve"> </w:t>
      </w:r>
      <w:r w:rsidRPr="00A808AD">
        <w:rPr>
          <w:sz w:val="24"/>
          <w:szCs w:val="24"/>
        </w:rPr>
        <w:t>“</w:t>
      </w:r>
      <w:r w:rsidR="001F7785" w:rsidRPr="00A808AD">
        <w:rPr>
          <w:sz w:val="24"/>
          <w:szCs w:val="24"/>
        </w:rPr>
        <w:t xml:space="preserve">inadequately </w:t>
      </w:r>
      <w:r w:rsidRPr="00A808AD">
        <w:rPr>
          <w:sz w:val="24"/>
          <w:szCs w:val="24"/>
        </w:rPr>
        <w:t>prepared to deal with modern extremism</w:t>
      </w:r>
      <w:r w:rsidR="001F7785" w:rsidRPr="00A808AD">
        <w:rPr>
          <w:sz w:val="24"/>
          <w:szCs w:val="24"/>
        </w:rPr>
        <w:t xml:space="preserve"> challenges in the digital world</w:t>
      </w:r>
      <w:r w:rsidRPr="00A808AD">
        <w:rPr>
          <w:sz w:val="24"/>
          <w:szCs w:val="24"/>
        </w:rPr>
        <w:t>” and criticised the Government’s continued reliance on a “counter-terror mindset” in circumstances where many referrals involve individuals with complex safeguarding, mental health, or social support needs</w:t>
      </w:r>
      <w:r w:rsidR="00965929">
        <w:rPr>
          <w:sz w:val="24"/>
          <w:szCs w:val="24"/>
        </w:rPr>
        <w:t xml:space="preserve">, </w:t>
      </w:r>
      <w:r w:rsidRPr="00A808AD">
        <w:rPr>
          <w:sz w:val="24"/>
          <w:szCs w:val="24"/>
        </w:rPr>
        <w:t>rather than clear ideological motivations.</w:t>
      </w:r>
      <w:r w:rsidR="00256873" w:rsidRPr="00A808AD">
        <w:rPr>
          <w:rStyle w:val="FootnoteReference"/>
          <w:sz w:val="24"/>
          <w:szCs w:val="24"/>
        </w:rPr>
        <w:footnoteReference w:id="36"/>
      </w:r>
      <w:r w:rsidRPr="00A808AD">
        <w:rPr>
          <w:sz w:val="24"/>
          <w:szCs w:val="24"/>
        </w:rPr>
        <w:t xml:space="preserve"> The Committee further warned that Prevent has increasingly become the “go-to mechanism” for responding to a broad range of concerns and called for a more effective multi-agency approach capable of triaging referrals to more appropriate support services.</w:t>
      </w:r>
      <w:r w:rsidR="00A808AD" w:rsidRPr="00A808AD">
        <w:rPr>
          <w:rStyle w:val="FootnoteReference"/>
          <w:sz w:val="24"/>
          <w:szCs w:val="24"/>
        </w:rPr>
        <w:footnoteReference w:id="37"/>
      </w:r>
      <w:r w:rsidRPr="00A808AD">
        <w:rPr>
          <w:sz w:val="24"/>
          <w:szCs w:val="24"/>
        </w:rPr>
        <w:t xml:space="preserve"> </w:t>
      </w:r>
    </w:p>
    <w:p w14:paraId="7A9CCDBD" w14:textId="71B161A0" w:rsidR="00AE3379" w:rsidRPr="00D83F3E" w:rsidRDefault="00AE3379" w:rsidP="00AE3379">
      <w:pPr>
        <w:rPr>
          <w:sz w:val="24"/>
          <w:szCs w:val="24"/>
        </w:rPr>
      </w:pPr>
      <w:r w:rsidRPr="00D83F3E">
        <w:rPr>
          <w:sz w:val="24"/>
          <w:szCs w:val="24"/>
        </w:rPr>
        <w:t xml:space="preserve">Recent cases have </w:t>
      </w:r>
      <w:r w:rsidR="00322BDC" w:rsidRPr="00D83F3E">
        <w:rPr>
          <w:sz w:val="24"/>
          <w:szCs w:val="24"/>
        </w:rPr>
        <w:t xml:space="preserve">further </w:t>
      </w:r>
      <w:r w:rsidR="0005480A">
        <w:rPr>
          <w:sz w:val="24"/>
          <w:szCs w:val="24"/>
        </w:rPr>
        <w:t>reinforced</w:t>
      </w:r>
      <w:r w:rsidRPr="00D83F3E">
        <w:rPr>
          <w:sz w:val="24"/>
          <w:szCs w:val="24"/>
        </w:rPr>
        <w:t xml:space="preserve"> concerns</w:t>
      </w:r>
      <w:r w:rsidR="0005480A">
        <w:rPr>
          <w:sz w:val="24"/>
          <w:szCs w:val="24"/>
        </w:rPr>
        <w:t xml:space="preserve"> regarding</w:t>
      </w:r>
      <w:r w:rsidR="00B867CA" w:rsidRPr="00D83F3E">
        <w:rPr>
          <w:sz w:val="24"/>
          <w:szCs w:val="24"/>
        </w:rPr>
        <w:t xml:space="preserve"> the</w:t>
      </w:r>
      <w:r w:rsidRPr="00D83F3E">
        <w:rPr>
          <w:sz w:val="24"/>
          <w:szCs w:val="24"/>
        </w:rPr>
        <w:t xml:space="preserve"> effectiveness of Prevent</w:t>
      </w:r>
      <w:r w:rsidR="008536C6">
        <w:rPr>
          <w:sz w:val="24"/>
          <w:szCs w:val="24"/>
        </w:rPr>
        <w:t xml:space="preserve"> and wider counter-terrorism </w:t>
      </w:r>
      <w:r w:rsidR="008B28F7">
        <w:rPr>
          <w:sz w:val="24"/>
          <w:szCs w:val="24"/>
        </w:rPr>
        <w:t>measures</w:t>
      </w:r>
      <w:r w:rsidRPr="00D83F3E">
        <w:rPr>
          <w:sz w:val="24"/>
          <w:szCs w:val="24"/>
        </w:rPr>
        <w:t xml:space="preserve"> in responding appropriately to individuals who pose genuine risks of serious violence. </w:t>
      </w:r>
      <w:r w:rsidR="0008793B" w:rsidRPr="00D83F3E">
        <w:rPr>
          <w:sz w:val="24"/>
          <w:szCs w:val="24"/>
        </w:rPr>
        <w:t>A P</w:t>
      </w:r>
      <w:r w:rsidRPr="00D83F3E">
        <w:rPr>
          <w:sz w:val="24"/>
          <w:szCs w:val="24"/>
        </w:rPr>
        <w:t xml:space="preserve">ublic </w:t>
      </w:r>
      <w:r w:rsidR="0008793B" w:rsidRPr="00D83F3E">
        <w:rPr>
          <w:sz w:val="24"/>
          <w:szCs w:val="24"/>
        </w:rPr>
        <w:t>Inquiry</w:t>
      </w:r>
      <w:r w:rsidRPr="00D83F3E">
        <w:rPr>
          <w:sz w:val="24"/>
          <w:szCs w:val="24"/>
        </w:rPr>
        <w:t xml:space="preserve"> following the Southport attack committed by Axel Rudakubana highlighted failures across multiple agencies, including concerns regarding information sharing, coordination, and repeated missed opportunities for intervention despite </w:t>
      </w:r>
      <w:r w:rsidR="00D61BB6" w:rsidRPr="00D83F3E">
        <w:rPr>
          <w:sz w:val="24"/>
          <w:szCs w:val="24"/>
        </w:rPr>
        <w:t xml:space="preserve">multiple </w:t>
      </w:r>
      <w:r w:rsidRPr="00D83F3E">
        <w:rPr>
          <w:sz w:val="24"/>
          <w:szCs w:val="24"/>
        </w:rPr>
        <w:t>prior Prevent referrals</w:t>
      </w:r>
      <w:r w:rsidR="00D61BB6" w:rsidRPr="00D83F3E">
        <w:rPr>
          <w:sz w:val="24"/>
          <w:szCs w:val="24"/>
        </w:rPr>
        <w:t xml:space="preserve"> from</w:t>
      </w:r>
      <w:r w:rsidR="00BF15A2">
        <w:rPr>
          <w:sz w:val="24"/>
          <w:szCs w:val="24"/>
        </w:rPr>
        <w:t xml:space="preserve"> </w:t>
      </w:r>
      <w:r w:rsidR="00082C25" w:rsidRPr="00D83F3E">
        <w:rPr>
          <w:sz w:val="24"/>
          <w:szCs w:val="24"/>
        </w:rPr>
        <w:t>Rudakubana’s school</w:t>
      </w:r>
      <w:r w:rsidRPr="00D83F3E">
        <w:rPr>
          <w:sz w:val="24"/>
          <w:szCs w:val="24"/>
        </w:rPr>
        <w:t>.</w:t>
      </w:r>
      <w:r w:rsidR="004B0B48" w:rsidRPr="00D83F3E">
        <w:rPr>
          <w:rStyle w:val="FootnoteReference"/>
          <w:sz w:val="24"/>
          <w:szCs w:val="24"/>
        </w:rPr>
        <w:footnoteReference w:id="38"/>
      </w:r>
      <w:r w:rsidRPr="00D83F3E">
        <w:rPr>
          <w:sz w:val="24"/>
          <w:szCs w:val="24"/>
        </w:rPr>
        <w:t xml:space="preserve"> </w:t>
      </w:r>
    </w:p>
    <w:p w14:paraId="6D7C6DD2" w14:textId="35EAD9D4" w:rsidR="00082C25" w:rsidRPr="00A96C28" w:rsidRDefault="00D273F3" w:rsidP="00AE3379">
      <w:pPr>
        <w:rPr>
          <w:sz w:val="24"/>
          <w:szCs w:val="24"/>
        </w:rPr>
      </w:pPr>
      <w:r w:rsidRPr="00A96C28">
        <w:rPr>
          <w:sz w:val="24"/>
          <w:szCs w:val="24"/>
        </w:rPr>
        <w:lastRenderedPageBreak/>
        <w:t>Furthermore, Alina Burns, who</w:t>
      </w:r>
      <w:r w:rsidR="00992630" w:rsidRPr="00A96C28">
        <w:rPr>
          <w:sz w:val="24"/>
          <w:szCs w:val="24"/>
        </w:rPr>
        <w:t xml:space="preserve"> committed the terrorism-motivated</w:t>
      </w:r>
      <w:r w:rsidRPr="00A96C28">
        <w:rPr>
          <w:sz w:val="24"/>
          <w:szCs w:val="24"/>
        </w:rPr>
        <w:t xml:space="preserve"> </w:t>
      </w:r>
      <w:r w:rsidR="00992630" w:rsidRPr="00A96C28">
        <w:rPr>
          <w:sz w:val="24"/>
          <w:szCs w:val="24"/>
        </w:rPr>
        <w:t>attack on a Kurdish barber with an axe</w:t>
      </w:r>
      <w:r w:rsidR="005B33F4" w:rsidRPr="00A96C28">
        <w:rPr>
          <w:sz w:val="24"/>
          <w:szCs w:val="24"/>
        </w:rPr>
        <w:t xml:space="preserve"> in</w:t>
      </w:r>
      <w:r w:rsidR="00F50C1E">
        <w:rPr>
          <w:sz w:val="24"/>
          <w:szCs w:val="24"/>
        </w:rPr>
        <w:t xml:space="preserve"> Bedminster in</w:t>
      </w:r>
      <w:r w:rsidR="005B33F4" w:rsidRPr="00A96C28">
        <w:rPr>
          <w:sz w:val="24"/>
          <w:szCs w:val="24"/>
        </w:rPr>
        <w:t xml:space="preserve"> 2025</w:t>
      </w:r>
      <w:r w:rsidR="008A68E1">
        <w:rPr>
          <w:sz w:val="24"/>
          <w:szCs w:val="24"/>
        </w:rPr>
        <w:t xml:space="preserve">, </w:t>
      </w:r>
      <w:r w:rsidR="005B33F4" w:rsidRPr="00A96C28">
        <w:rPr>
          <w:sz w:val="24"/>
          <w:szCs w:val="24"/>
        </w:rPr>
        <w:t>was reported by a man</w:t>
      </w:r>
      <w:r w:rsidR="00B66C46" w:rsidRPr="00A96C28">
        <w:rPr>
          <w:sz w:val="24"/>
          <w:szCs w:val="24"/>
        </w:rPr>
        <w:t xml:space="preserve"> she met on a dating app several months prior following her threat to </w:t>
      </w:r>
      <w:r w:rsidR="00F22352" w:rsidRPr="00A96C28">
        <w:rPr>
          <w:sz w:val="24"/>
          <w:szCs w:val="24"/>
        </w:rPr>
        <w:t>“</w:t>
      </w:r>
      <w:r w:rsidR="00B66C46" w:rsidRPr="00A96C28">
        <w:rPr>
          <w:sz w:val="24"/>
          <w:szCs w:val="24"/>
        </w:rPr>
        <w:t>kill all the Jews and Muslims in Britain</w:t>
      </w:r>
      <w:r w:rsidR="00F22352" w:rsidRPr="00A96C28">
        <w:rPr>
          <w:sz w:val="24"/>
          <w:szCs w:val="24"/>
        </w:rPr>
        <w:t>”</w:t>
      </w:r>
      <w:r w:rsidR="00B66C46" w:rsidRPr="00A96C28">
        <w:rPr>
          <w:sz w:val="24"/>
          <w:szCs w:val="24"/>
        </w:rPr>
        <w:t>.</w:t>
      </w:r>
      <w:r w:rsidR="00D960B8" w:rsidRPr="00A96C28">
        <w:rPr>
          <w:rStyle w:val="FootnoteReference"/>
          <w:sz w:val="24"/>
          <w:szCs w:val="24"/>
        </w:rPr>
        <w:footnoteReference w:id="39"/>
      </w:r>
      <w:r w:rsidR="00B66C46" w:rsidRPr="00A96C28">
        <w:rPr>
          <w:sz w:val="24"/>
          <w:szCs w:val="24"/>
        </w:rPr>
        <w:t xml:space="preserve"> However </w:t>
      </w:r>
      <w:r w:rsidR="00A47198" w:rsidRPr="00A96C28">
        <w:rPr>
          <w:sz w:val="24"/>
          <w:szCs w:val="24"/>
        </w:rPr>
        <w:t xml:space="preserve">Counter Terrorism Policing </w:t>
      </w:r>
      <w:r w:rsidR="00A226A0">
        <w:rPr>
          <w:sz w:val="24"/>
          <w:szCs w:val="24"/>
        </w:rPr>
        <w:t>subsequently referred</w:t>
      </w:r>
      <w:r w:rsidR="00FE49BC" w:rsidRPr="00A96C28">
        <w:rPr>
          <w:sz w:val="24"/>
          <w:szCs w:val="24"/>
        </w:rPr>
        <w:t xml:space="preserve"> the matter back to local police and </w:t>
      </w:r>
      <w:r w:rsidR="00A226A0">
        <w:rPr>
          <w:sz w:val="24"/>
          <w:szCs w:val="24"/>
        </w:rPr>
        <w:t>later acknowledged that</w:t>
      </w:r>
      <w:r w:rsidR="00FE49BC" w:rsidRPr="00A96C28">
        <w:rPr>
          <w:sz w:val="24"/>
          <w:szCs w:val="24"/>
        </w:rPr>
        <w:t xml:space="preserve"> this was a mistake and that Burns should have been dealt with differently.</w:t>
      </w:r>
      <w:r w:rsidR="00A96C28" w:rsidRPr="00A96C28">
        <w:rPr>
          <w:rStyle w:val="FootnoteReference"/>
          <w:sz w:val="24"/>
          <w:szCs w:val="24"/>
        </w:rPr>
        <w:footnoteReference w:id="40"/>
      </w:r>
      <w:r w:rsidR="00FE49BC" w:rsidRPr="00A96C28">
        <w:rPr>
          <w:sz w:val="24"/>
          <w:szCs w:val="24"/>
        </w:rPr>
        <w:t xml:space="preserve"> </w:t>
      </w:r>
    </w:p>
    <w:p w14:paraId="73FCAAA6" w14:textId="1918F104" w:rsidR="001972C3" w:rsidRPr="007416C7" w:rsidRDefault="00473043" w:rsidP="001972C3">
      <w:pPr>
        <w:rPr>
          <w:sz w:val="24"/>
          <w:szCs w:val="24"/>
        </w:rPr>
      </w:pPr>
      <w:r w:rsidRPr="007416C7">
        <w:rPr>
          <w:sz w:val="24"/>
          <w:szCs w:val="24"/>
        </w:rPr>
        <w:t>These events</w:t>
      </w:r>
      <w:r w:rsidR="00AE3379" w:rsidRPr="007416C7">
        <w:rPr>
          <w:sz w:val="24"/>
          <w:szCs w:val="24"/>
        </w:rPr>
        <w:t xml:space="preserve"> raise </w:t>
      </w:r>
      <w:r w:rsidR="00E71E3C" w:rsidRPr="007416C7">
        <w:rPr>
          <w:sz w:val="24"/>
          <w:szCs w:val="24"/>
        </w:rPr>
        <w:t>important</w:t>
      </w:r>
      <w:r w:rsidR="00AE3379" w:rsidRPr="007416C7">
        <w:rPr>
          <w:sz w:val="24"/>
          <w:szCs w:val="24"/>
        </w:rPr>
        <w:t xml:space="preserve"> questions regarding the effectiveness of Prevent </w:t>
      </w:r>
      <w:r w:rsidR="00DD694A" w:rsidRPr="00DD694A">
        <w:rPr>
          <w:sz w:val="24"/>
          <w:szCs w:val="24"/>
        </w:rPr>
        <w:t>and broader counter-terrorism measures</w:t>
      </w:r>
      <w:r w:rsidR="00DD694A" w:rsidRPr="00DD694A">
        <w:rPr>
          <w:sz w:val="24"/>
          <w:szCs w:val="24"/>
        </w:rPr>
        <w:t xml:space="preserve"> </w:t>
      </w:r>
      <w:r w:rsidR="00AE3379" w:rsidRPr="007416C7">
        <w:rPr>
          <w:sz w:val="24"/>
          <w:szCs w:val="24"/>
        </w:rPr>
        <w:t>as</w:t>
      </w:r>
      <w:r w:rsidR="00B67F30">
        <w:rPr>
          <w:sz w:val="24"/>
          <w:szCs w:val="24"/>
        </w:rPr>
        <w:t xml:space="preserve"> both</w:t>
      </w:r>
      <w:r w:rsidR="00AE3379" w:rsidRPr="007416C7">
        <w:rPr>
          <w:sz w:val="24"/>
          <w:szCs w:val="24"/>
        </w:rPr>
        <w:t xml:space="preserve"> safeguarding and counter-extremism mechanism</w:t>
      </w:r>
      <w:r w:rsidR="006D7305">
        <w:rPr>
          <w:sz w:val="24"/>
          <w:szCs w:val="24"/>
        </w:rPr>
        <w:t>s</w:t>
      </w:r>
      <w:r w:rsidR="00BA0102">
        <w:rPr>
          <w:sz w:val="24"/>
          <w:szCs w:val="24"/>
        </w:rPr>
        <w:t>,</w:t>
      </w:r>
      <w:r w:rsidR="00605369">
        <w:rPr>
          <w:sz w:val="24"/>
          <w:szCs w:val="24"/>
        </w:rPr>
        <w:t xml:space="preserve"> </w:t>
      </w:r>
      <w:r w:rsidR="00D65686" w:rsidRPr="007416C7">
        <w:rPr>
          <w:sz w:val="24"/>
          <w:szCs w:val="24"/>
        </w:rPr>
        <w:t>but</w:t>
      </w:r>
      <w:r w:rsidR="005D396C" w:rsidRPr="007416C7">
        <w:rPr>
          <w:sz w:val="24"/>
          <w:szCs w:val="24"/>
        </w:rPr>
        <w:t xml:space="preserve"> also</w:t>
      </w:r>
      <w:r w:rsidR="00F96C29" w:rsidRPr="007416C7">
        <w:rPr>
          <w:sz w:val="24"/>
          <w:szCs w:val="24"/>
        </w:rPr>
        <w:t xml:space="preserve"> serv</w:t>
      </w:r>
      <w:r w:rsidR="00D65686" w:rsidRPr="007416C7">
        <w:rPr>
          <w:sz w:val="24"/>
          <w:szCs w:val="24"/>
        </w:rPr>
        <w:t>e</w:t>
      </w:r>
      <w:r w:rsidR="005D396C" w:rsidRPr="007416C7">
        <w:rPr>
          <w:sz w:val="24"/>
          <w:szCs w:val="24"/>
        </w:rPr>
        <w:t xml:space="preserve"> </w:t>
      </w:r>
      <w:r w:rsidR="00F96C29" w:rsidRPr="007416C7">
        <w:rPr>
          <w:sz w:val="24"/>
          <w:szCs w:val="24"/>
        </w:rPr>
        <w:t xml:space="preserve">as a stark reminder of </w:t>
      </w:r>
      <w:r w:rsidR="00AE3379" w:rsidRPr="007416C7">
        <w:rPr>
          <w:sz w:val="24"/>
          <w:szCs w:val="24"/>
        </w:rPr>
        <w:t>the consequences of an increasingly expansive referral system</w:t>
      </w:r>
      <w:r w:rsidR="00BA0102">
        <w:rPr>
          <w:sz w:val="24"/>
          <w:szCs w:val="24"/>
        </w:rPr>
        <w:t>,</w:t>
      </w:r>
      <w:r w:rsidR="00AE3379" w:rsidRPr="007416C7">
        <w:rPr>
          <w:sz w:val="24"/>
          <w:szCs w:val="24"/>
        </w:rPr>
        <w:t xml:space="preserve"> which fail</w:t>
      </w:r>
      <w:r w:rsidR="00D65686" w:rsidRPr="007416C7">
        <w:rPr>
          <w:sz w:val="24"/>
          <w:szCs w:val="24"/>
        </w:rPr>
        <w:t>s</w:t>
      </w:r>
      <w:r w:rsidR="00AE3379" w:rsidRPr="007416C7">
        <w:rPr>
          <w:sz w:val="24"/>
          <w:szCs w:val="24"/>
        </w:rPr>
        <w:t xml:space="preserve"> to </w:t>
      </w:r>
      <w:r w:rsidR="00E17820" w:rsidRPr="007416C7">
        <w:rPr>
          <w:sz w:val="24"/>
          <w:szCs w:val="24"/>
        </w:rPr>
        <w:t>appropriately deal with</w:t>
      </w:r>
      <w:r w:rsidR="00AE3379" w:rsidRPr="007416C7">
        <w:rPr>
          <w:sz w:val="24"/>
          <w:szCs w:val="24"/>
        </w:rPr>
        <w:t xml:space="preserve"> individuals who present serious risks of harm.</w:t>
      </w:r>
    </w:p>
    <w:p w14:paraId="066DF957" w14:textId="77777777" w:rsidR="001972C3" w:rsidRPr="00E05FF1" w:rsidRDefault="001972C3" w:rsidP="001972C3">
      <w:pPr>
        <w:rPr>
          <w:color w:val="000000" w:themeColor="text1"/>
          <w:sz w:val="24"/>
          <w:szCs w:val="24"/>
        </w:rPr>
      </w:pPr>
    </w:p>
    <w:p w14:paraId="393B321A" w14:textId="72FCBFA3" w:rsidR="0084255B" w:rsidRPr="00E05FF1" w:rsidRDefault="0084255B" w:rsidP="0084255B">
      <w:pPr>
        <w:rPr>
          <w:b/>
          <w:bCs/>
          <w:color w:val="000000" w:themeColor="text1"/>
          <w:sz w:val="24"/>
          <w:szCs w:val="24"/>
        </w:rPr>
      </w:pPr>
      <w:r w:rsidRPr="00E05FF1">
        <w:rPr>
          <w:b/>
          <w:bCs/>
          <w:color w:val="000000" w:themeColor="text1"/>
          <w:sz w:val="24"/>
          <w:szCs w:val="24"/>
        </w:rPr>
        <w:t>3.4 Conclusion:</w:t>
      </w:r>
    </w:p>
    <w:p w14:paraId="1A509585" w14:textId="3EFA3F1F" w:rsidR="00721EBE" w:rsidRPr="00245439" w:rsidRDefault="00721EBE" w:rsidP="0084255B">
      <w:pPr>
        <w:rPr>
          <w:sz w:val="24"/>
          <w:szCs w:val="24"/>
        </w:rPr>
      </w:pPr>
      <w:r w:rsidRPr="00E05FF1">
        <w:rPr>
          <w:color w:val="000000" w:themeColor="text1"/>
          <w:sz w:val="24"/>
          <w:szCs w:val="24"/>
        </w:rPr>
        <w:t xml:space="preserve">REF is concerned </w:t>
      </w:r>
      <w:r w:rsidRPr="002A2D98">
        <w:rPr>
          <w:sz w:val="24"/>
          <w:szCs w:val="24"/>
        </w:rPr>
        <w:t>that the State party has not taken sufficient steps to implement the recommendation</w:t>
      </w:r>
      <w:r>
        <w:rPr>
          <w:sz w:val="24"/>
          <w:szCs w:val="24"/>
        </w:rPr>
        <w:t>s</w:t>
      </w:r>
      <w:r w:rsidRPr="002A2D98">
        <w:rPr>
          <w:sz w:val="24"/>
          <w:szCs w:val="24"/>
        </w:rPr>
        <w:t xml:space="preserve"> in paragraph 3</w:t>
      </w:r>
      <w:r w:rsidR="00E05FF1">
        <w:rPr>
          <w:sz w:val="24"/>
          <w:szCs w:val="24"/>
        </w:rPr>
        <w:t>4</w:t>
      </w:r>
      <w:r w:rsidRPr="002A2D98">
        <w:rPr>
          <w:sz w:val="24"/>
          <w:szCs w:val="24"/>
        </w:rPr>
        <w:t xml:space="preserve"> of the Committee’s concluding observations.</w:t>
      </w:r>
    </w:p>
    <w:p w14:paraId="2EFDD907" w14:textId="4534F1CA" w:rsidR="0084255B" w:rsidRPr="009B4DD2" w:rsidRDefault="0084255B" w:rsidP="0084255B">
      <w:pPr>
        <w:rPr>
          <w:color w:val="000000" w:themeColor="text1"/>
          <w:sz w:val="24"/>
          <w:szCs w:val="24"/>
        </w:rPr>
      </w:pPr>
      <w:r w:rsidRPr="009B4DD2">
        <w:rPr>
          <w:color w:val="000000" w:themeColor="text1"/>
          <w:sz w:val="24"/>
          <w:szCs w:val="24"/>
        </w:rPr>
        <w:t xml:space="preserve">Despite the Committee’s longstanding concerns regarding </w:t>
      </w:r>
      <w:r w:rsidRPr="00E85B6E">
        <w:rPr>
          <w:sz w:val="24"/>
          <w:szCs w:val="24"/>
        </w:rPr>
        <w:t>the discriminatory impact</w:t>
      </w:r>
      <w:r w:rsidR="00E85B6E" w:rsidRPr="00E85B6E">
        <w:rPr>
          <w:sz w:val="24"/>
          <w:szCs w:val="24"/>
        </w:rPr>
        <w:t>s</w:t>
      </w:r>
      <w:r w:rsidRPr="00E85B6E">
        <w:rPr>
          <w:sz w:val="24"/>
          <w:szCs w:val="24"/>
        </w:rPr>
        <w:t xml:space="preserve"> </w:t>
      </w:r>
      <w:r w:rsidRPr="009B4DD2">
        <w:rPr>
          <w:color w:val="000000" w:themeColor="text1"/>
          <w:sz w:val="24"/>
          <w:szCs w:val="24"/>
        </w:rPr>
        <w:t xml:space="preserve">of Prevent and wider counter-terrorism measures on Muslim communities and ethnic and ethno-religious minorities, the State party continues to maintain and expand the programme without adequately addressing </w:t>
      </w:r>
      <w:r w:rsidR="00407A27">
        <w:rPr>
          <w:color w:val="000000" w:themeColor="text1"/>
          <w:sz w:val="24"/>
          <w:szCs w:val="24"/>
        </w:rPr>
        <w:t xml:space="preserve">longstanding </w:t>
      </w:r>
      <w:r w:rsidRPr="009B4DD2">
        <w:rPr>
          <w:color w:val="000000" w:themeColor="text1"/>
          <w:sz w:val="24"/>
          <w:szCs w:val="24"/>
        </w:rPr>
        <w:t>concerns relating to profiling,</w:t>
      </w:r>
      <w:r w:rsidR="00D906C3">
        <w:rPr>
          <w:color w:val="000000" w:themeColor="text1"/>
          <w:sz w:val="24"/>
          <w:szCs w:val="24"/>
        </w:rPr>
        <w:t xml:space="preserve"> </w:t>
      </w:r>
      <w:r w:rsidRPr="009B4DD2">
        <w:rPr>
          <w:color w:val="000000" w:themeColor="text1"/>
          <w:sz w:val="24"/>
          <w:szCs w:val="24"/>
        </w:rPr>
        <w:t xml:space="preserve">discrimination, </w:t>
      </w:r>
      <w:r w:rsidR="00E95D2D" w:rsidRPr="009B4DD2">
        <w:rPr>
          <w:color w:val="000000" w:themeColor="text1"/>
          <w:sz w:val="24"/>
          <w:szCs w:val="24"/>
        </w:rPr>
        <w:t>i</w:t>
      </w:r>
      <w:r w:rsidR="001378D3">
        <w:rPr>
          <w:color w:val="000000" w:themeColor="text1"/>
          <w:sz w:val="24"/>
          <w:szCs w:val="24"/>
        </w:rPr>
        <w:t>nterference with</w:t>
      </w:r>
      <w:r w:rsidRPr="009B4DD2">
        <w:rPr>
          <w:color w:val="000000" w:themeColor="text1"/>
          <w:sz w:val="24"/>
          <w:szCs w:val="24"/>
        </w:rPr>
        <w:t xml:space="preserve"> fundamental rights, and </w:t>
      </w:r>
      <w:r w:rsidR="001378D3">
        <w:rPr>
          <w:color w:val="000000" w:themeColor="text1"/>
          <w:sz w:val="24"/>
          <w:szCs w:val="24"/>
        </w:rPr>
        <w:t>the lack of</w:t>
      </w:r>
      <w:r w:rsidRPr="009B4DD2">
        <w:rPr>
          <w:color w:val="000000" w:themeColor="text1"/>
          <w:sz w:val="24"/>
          <w:szCs w:val="24"/>
        </w:rPr>
        <w:t xml:space="preserve"> effective remedies.</w:t>
      </w:r>
    </w:p>
    <w:p w14:paraId="1B6493CC" w14:textId="6819FCAF" w:rsidR="005E6AB4" w:rsidRPr="00AB6603" w:rsidRDefault="0084255B">
      <w:pPr>
        <w:rPr>
          <w:color w:val="FF0000"/>
          <w:sz w:val="24"/>
          <w:szCs w:val="24"/>
        </w:rPr>
      </w:pPr>
      <w:r w:rsidRPr="009B4DD2">
        <w:rPr>
          <w:color w:val="000000" w:themeColor="text1"/>
          <w:sz w:val="24"/>
          <w:szCs w:val="24"/>
        </w:rPr>
        <w:t xml:space="preserve">REF remains concerned that the Prevent duty and broader counter-terrorism framework </w:t>
      </w:r>
      <w:r w:rsidR="009B4DD2" w:rsidRPr="009B4DD2">
        <w:rPr>
          <w:color w:val="000000" w:themeColor="text1"/>
          <w:sz w:val="24"/>
          <w:szCs w:val="24"/>
        </w:rPr>
        <w:t xml:space="preserve">in the UK </w:t>
      </w:r>
      <w:r w:rsidRPr="009B4DD2">
        <w:rPr>
          <w:color w:val="000000" w:themeColor="text1"/>
          <w:sz w:val="24"/>
          <w:szCs w:val="24"/>
        </w:rPr>
        <w:t xml:space="preserve">continue to risk undermining rights to freedom of expression, religion, education, privacy, and peaceful </w:t>
      </w:r>
      <w:r w:rsidRPr="004C408F">
        <w:rPr>
          <w:color w:val="000000" w:themeColor="text1"/>
          <w:sz w:val="24"/>
          <w:szCs w:val="24"/>
        </w:rPr>
        <w:t xml:space="preserve">assembly, </w:t>
      </w:r>
      <w:r w:rsidR="007727C1" w:rsidRPr="004C408F">
        <w:rPr>
          <w:color w:val="000000" w:themeColor="text1"/>
          <w:sz w:val="24"/>
          <w:szCs w:val="24"/>
        </w:rPr>
        <w:t>particularly for Muslim communities, including Muslim children and young people, across the UK.</w:t>
      </w:r>
    </w:p>
    <w:p w14:paraId="55138E1D" w14:textId="77777777" w:rsidR="005E6AB4" w:rsidRPr="00C477A2" w:rsidRDefault="005E6AB4">
      <w:pPr>
        <w:rPr>
          <w:color w:val="FF0000"/>
          <w:sz w:val="24"/>
          <w:szCs w:val="24"/>
        </w:rPr>
      </w:pPr>
    </w:p>
    <w:p w14:paraId="694DBA66" w14:textId="77777777" w:rsidR="005E6AB4" w:rsidRPr="00A06D66" w:rsidRDefault="005E6AB4" w:rsidP="005E6AB4">
      <w:pPr>
        <w:rPr>
          <w:b/>
          <w:bCs/>
          <w:color w:val="000000" w:themeColor="text1"/>
          <w:sz w:val="24"/>
          <w:szCs w:val="24"/>
        </w:rPr>
      </w:pPr>
      <w:r w:rsidRPr="00A06D66">
        <w:rPr>
          <w:b/>
          <w:bCs/>
          <w:color w:val="000000" w:themeColor="text1"/>
          <w:sz w:val="24"/>
          <w:szCs w:val="24"/>
        </w:rPr>
        <w:t>3.5 Recommendations:</w:t>
      </w:r>
    </w:p>
    <w:p w14:paraId="7A53553A" w14:textId="7868210F" w:rsidR="005E6AB4" w:rsidRPr="00074D21" w:rsidRDefault="005E6AB4" w:rsidP="00074D21">
      <w:pPr>
        <w:rPr>
          <w:color w:val="000000" w:themeColor="text1"/>
          <w:sz w:val="24"/>
          <w:szCs w:val="24"/>
        </w:rPr>
      </w:pPr>
      <w:r w:rsidRPr="00A06D66">
        <w:rPr>
          <w:color w:val="000000" w:themeColor="text1"/>
          <w:sz w:val="24"/>
          <w:szCs w:val="24"/>
        </w:rPr>
        <w:t>REF recommends that the State party:</w:t>
      </w:r>
    </w:p>
    <w:p w14:paraId="69F98349" w14:textId="6EC10C80" w:rsidR="005E6AB4" w:rsidRPr="009D34CB" w:rsidRDefault="001577C6" w:rsidP="00B2419D">
      <w:pPr>
        <w:pStyle w:val="ListParagraph"/>
        <w:numPr>
          <w:ilvl w:val="0"/>
          <w:numId w:val="10"/>
        </w:numPr>
        <w:rPr>
          <w:color w:val="000000" w:themeColor="text1"/>
          <w:sz w:val="24"/>
          <w:szCs w:val="24"/>
        </w:rPr>
      </w:pPr>
      <w:r w:rsidRPr="009D34CB">
        <w:rPr>
          <w:color w:val="000000" w:themeColor="text1"/>
          <w:sz w:val="24"/>
          <w:szCs w:val="24"/>
        </w:rPr>
        <w:t>S</w:t>
      </w:r>
      <w:r w:rsidR="005E6AB4" w:rsidRPr="009D34CB">
        <w:rPr>
          <w:color w:val="000000" w:themeColor="text1"/>
          <w:sz w:val="24"/>
          <w:szCs w:val="24"/>
        </w:rPr>
        <w:t>uspen</w:t>
      </w:r>
      <w:r w:rsidRPr="009D34CB">
        <w:rPr>
          <w:color w:val="000000" w:themeColor="text1"/>
          <w:sz w:val="24"/>
          <w:szCs w:val="24"/>
        </w:rPr>
        <w:t>d</w:t>
      </w:r>
      <w:r w:rsidR="005E6AB4" w:rsidRPr="009D34CB">
        <w:rPr>
          <w:color w:val="000000" w:themeColor="text1"/>
          <w:sz w:val="24"/>
          <w:szCs w:val="24"/>
        </w:rPr>
        <w:t xml:space="preserve"> the Prevent duty until effective </w:t>
      </w:r>
      <w:r w:rsidR="009D34CB" w:rsidRPr="009D34CB">
        <w:rPr>
          <w:color w:val="000000" w:themeColor="text1"/>
          <w:sz w:val="24"/>
          <w:szCs w:val="24"/>
        </w:rPr>
        <w:t xml:space="preserve">protections </w:t>
      </w:r>
      <w:r w:rsidR="005E6AB4" w:rsidRPr="009D34CB">
        <w:rPr>
          <w:color w:val="000000" w:themeColor="text1"/>
          <w:sz w:val="24"/>
          <w:szCs w:val="24"/>
        </w:rPr>
        <w:t>against profiling, discrimination, and rights violations can be demonstrated.</w:t>
      </w:r>
      <w:r w:rsidR="00B2419D" w:rsidRPr="009D34CB">
        <w:rPr>
          <w:color w:val="000000" w:themeColor="text1"/>
          <w:sz w:val="24"/>
          <w:szCs w:val="24"/>
        </w:rPr>
        <w:br/>
      </w:r>
    </w:p>
    <w:p w14:paraId="242E730B" w14:textId="78A1826E" w:rsidR="005E6AB4" w:rsidRPr="0005220A" w:rsidRDefault="005E6AB4" w:rsidP="0005220A">
      <w:pPr>
        <w:pStyle w:val="ListParagraph"/>
        <w:numPr>
          <w:ilvl w:val="0"/>
          <w:numId w:val="10"/>
        </w:numPr>
        <w:rPr>
          <w:color w:val="000000" w:themeColor="text1"/>
          <w:sz w:val="24"/>
          <w:szCs w:val="24"/>
        </w:rPr>
      </w:pPr>
      <w:r w:rsidRPr="009D34CB">
        <w:rPr>
          <w:color w:val="000000" w:themeColor="text1"/>
          <w:sz w:val="24"/>
          <w:szCs w:val="24"/>
        </w:rPr>
        <w:t xml:space="preserve">Introduce stronger </w:t>
      </w:r>
      <w:r w:rsidR="00B21131" w:rsidRPr="009D34CB">
        <w:rPr>
          <w:color w:val="000000" w:themeColor="text1"/>
          <w:sz w:val="24"/>
          <w:szCs w:val="24"/>
        </w:rPr>
        <w:t>protections</w:t>
      </w:r>
      <w:r w:rsidRPr="009D34CB">
        <w:rPr>
          <w:color w:val="000000" w:themeColor="text1"/>
          <w:sz w:val="24"/>
          <w:szCs w:val="24"/>
        </w:rPr>
        <w:t xml:space="preserve"> to ensure that Prevent-related referrals and interventions do not result, in purpose or effect, in racial profiling, discrimination, or disproportionate monitoring of Muslim communities.</w:t>
      </w:r>
      <w:r w:rsidR="00B2419D" w:rsidRPr="0005220A">
        <w:rPr>
          <w:color w:val="000000" w:themeColor="text1"/>
          <w:sz w:val="24"/>
          <w:szCs w:val="24"/>
        </w:rPr>
        <w:br/>
      </w:r>
    </w:p>
    <w:p w14:paraId="25003993" w14:textId="1F390D44" w:rsidR="005E6AB4" w:rsidRPr="00A15045" w:rsidRDefault="005E6AB4" w:rsidP="00B2419D">
      <w:pPr>
        <w:pStyle w:val="ListParagraph"/>
        <w:numPr>
          <w:ilvl w:val="0"/>
          <w:numId w:val="10"/>
        </w:numPr>
        <w:rPr>
          <w:color w:val="000000" w:themeColor="text1"/>
          <w:sz w:val="24"/>
          <w:szCs w:val="24"/>
        </w:rPr>
      </w:pPr>
      <w:r w:rsidRPr="00766DE3">
        <w:rPr>
          <w:color w:val="000000" w:themeColor="text1"/>
          <w:sz w:val="24"/>
          <w:szCs w:val="24"/>
        </w:rPr>
        <w:lastRenderedPageBreak/>
        <w:t xml:space="preserve">Ensure that schools, universities, healthcare providers, and other public bodies are </w:t>
      </w:r>
      <w:r w:rsidRPr="00A15045">
        <w:rPr>
          <w:color w:val="000000" w:themeColor="text1"/>
          <w:sz w:val="24"/>
          <w:szCs w:val="24"/>
        </w:rPr>
        <w:t xml:space="preserve">provided with clear </w:t>
      </w:r>
      <w:r w:rsidR="00766DE3" w:rsidRPr="00A15045">
        <w:rPr>
          <w:color w:val="000000" w:themeColor="text1"/>
          <w:sz w:val="24"/>
          <w:szCs w:val="24"/>
        </w:rPr>
        <w:t xml:space="preserve">training and </w:t>
      </w:r>
      <w:r w:rsidRPr="00A15045">
        <w:rPr>
          <w:color w:val="000000" w:themeColor="text1"/>
          <w:sz w:val="24"/>
          <w:szCs w:val="24"/>
        </w:rPr>
        <w:t>guidance to prevent discriminatory or inappropriate referrals, particularly involving children and young people.</w:t>
      </w:r>
      <w:r w:rsidR="00B2419D" w:rsidRPr="00A15045">
        <w:rPr>
          <w:color w:val="000000" w:themeColor="text1"/>
          <w:sz w:val="24"/>
          <w:szCs w:val="24"/>
        </w:rPr>
        <w:br/>
      </w:r>
    </w:p>
    <w:p w14:paraId="14AD884F" w14:textId="37C0E1C8" w:rsidR="005E6AB4" w:rsidRPr="00A90675" w:rsidRDefault="00475881" w:rsidP="00A90675">
      <w:pPr>
        <w:pStyle w:val="ListParagraph"/>
        <w:numPr>
          <w:ilvl w:val="0"/>
          <w:numId w:val="10"/>
        </w:numPr>
        <w:rPr>
          <w:color w:val="000000" w:themeColor="text1"/>
          <w:sz w:val="24"/>
          <w:szCs w:val="24"/>
        </w:rPr>
      </w:pPr>
      <w:r>
        <w:rPr>
          <w:color w:val="000000" w:themeColor="text1"/>
          <w:sz w:val="24"/>
          <w:szCs w:val="24"/>
        </w:rPr>
        <w:t>E</w:t>
      </w:r>
      <w:r w:rsidRPr="00475881">
        <w:rPr>
          <w:color w:val="000000" w:themeColor="text1"/>
          <w:sz w:val="24"/>
          <w:szCs w:val="24"/>
        </w:rPr>
        <w:t>stablish independent oversight of Prevent, including independent investigation of complaints</w:t>
      </w:r>
      <w:r w:rsidR="00807A11">
        <w:rPr>
          <w:color w:val="000000" w:themeColor="text1"/>
          <w:sz w:val="24"/>
          <w:szCs w:val="24"/>
        </w:rPr>
        <w:t xml:space="preserve">, reviewing </w:t>
      </w:r>
      <w:r w:rsidRPr="00475881">
        <w:rPr>
          <w:color w:val="000000" w:themeColor="text1"/>
          <w:sz w:val="24"/>
          <w:szCs w:val="24"/>
        </w:rPr>
        <w:t>referrals and robust accountability for discriminatory practices.</w:t>
      </w:r>
      <w:r w:rsidR="00B2419D" w:rsidRPr="00A90675">
        <w:rPr>
          <w:color w:val="000000" w:themeColor="text1"/>
          <w:sz w:val="24"/>
          <w:szCs w:val="24"/>
        </w:rPr>
        <w:br/>
      </w:r>
    </w:p>
    <w:p w14:paraId="692459E3" w14:textId="17C07254" w:rsidR="005E6AB4" w:rsidRPr="00A06D66" w:rsidRDefault="005E6AB4" w:rsidP="00A06D66">
      <w:pPr>
        <w:pStyle w:val="ListParagraph"/>
        <w:numPr>
          <w:ilvl w:val="0"/>
          <w:numId w:val="10"/>
        </w:numPr>
        <w:rPr>
          <w:color w:val="000000" w:themeColor="text1"/>
          <w:sz w:val="24"/>
          <w:szCs w:val="24"/>
        </w:rPr>
      </w:pPr>
      <w:r w:rsidRPr="00A15045">
        <w:rPr>
          <w:color w:val="000000" w:themeColor="text1"/>
          <w:sz w:val="24"/>
          <w:szCs w:val="24"/>
        </w:rPr>
        <w:t xml:space="preserve">Ensure that </w:t>
      </w:r>
      <w:r w:rsidRPr="00A06D66">
        <w:rPr>
          <w:color w:val="000000" w:themeColor="text1"/>
          <w:sz w:val="24"/>
          <w:szCs w:val="24"/>
        </w:rPr>
        <w:t>individuals affected by Prevent-related referrals have access to transparent information, effective complaints mechanisms, prompt remedies, and appropriate redress where discriminatory or inappropriate referrals occur.</w:t>
      </w:r>
      <w:r w:rsidR="00B2419D" w:rsidRPr="00A06D66">
        <w:rPr>
          <w:color w:val="000000" w:themeColor="text1"/>
          <w:sz w:val="24"/>
          <w:szCs w:val="24"/>
        </w:rPr>
        <w:br/>
      </w:r>
    </w:p>
    <w:p w14:paraId="62FBC8AE" w14:textId="1B255A0A" w:rsidR="00B217B2" w:rsidRPr="00A32DF5" w:rsidRDefault="005E6AB4" w:rsidP="00B2419D">
      <w:pPr>
        <w:pStyle w:val="ListParagraph"/>
        <w:numPr>
          <w:ilvl w:val="0"/>
          <w:numId w:val="10"/>
        </w:numPr>
        <w:rPr>
          <w:color w:val="000000" w:themeColor="text1"/>
          <w:sz w:val="24"/>
          <w:szCs w:val="24"/>
        </w:rPr>
      </w:pPr>
      <w:r w:rsidRPr="00A06D66">
        <w:rPr>
          <w:color w:val="000000" w:themeColor="text1"/>
          <w:sz w:val="24"/>
          <w:szCs w:val="24"/>
        </w:rPr>
        <w:t xml:space="preserve">Ensure </w:t>
      </w:r>
      <w:r w:rsidRPr="00A32DF5">
        <w:rPr>
          <w:color w:val="000000" w:themeColor="text1"/>
          <w:sz w:val="24"/>
          <w:szCs w:val="24"/>
        </w:rPr>
        <w:t>that counter-terrorism measures fully comply with obligations under the International Convention on the Elimination of All Forms of Racial Discrimination and do not undermine rights to freedom of expression, religion, education, privacy, and peaceful assembly without discrimination.</w:t>
      </w:r>
    </w:p>
    <w:p w14:paraId="652E7CED" w14:textId="0F796237" w:rsidR="00B217B2" w:rsidRPr="00183EB6" w:rsidRDefault="00B217B2">
      <w:pPr>
        <w:rPr>
          <w:sz w:val="24"/>
          <w:szCs w:val="24"/>
        </w:rPr>
      </w:pPr>
    </w:p>
    <w:sectPr w:rsidR="00B217B2" w:rsidRPr="00183EB6">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845CDE" w14:textId="77777777" w:rsidR="00E805AE" w:rsidRDefault="00E805AE" w:rsidP="00C60251">
      <w:pPr>
        <w:spacing w:after="0" w:line="240" w:lineRule="auto"/>
      </w:pPr>
      <w:r>
        <w:separator/>
      </w:r>
    </w:p>
  </w:endnote>
  <w:endnote w:type="continuationSeparator" w:id="0">
    <w:p w14:paraId="2165A9F8" w14:textId="77777777" w:rsidR="00E805AE" w:rsidRDefault="00E805AE" w:rsidP="00C602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1"/>
    <w:family w:val="auto"/>
    <w:pitch w:val="variable"/>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Eudoxus Sans">
    <w:altName w:val="Cambria"/>
    <w:charset w:val="00"/>
    <w:family w:val="auto"/>
    <w:pitch w:val="variable"/>
    <w:sig w:usb0="A10000FF" w:usb1="4000607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7438654"/>
      <w:docPartObj>
        <w:docPartGallery w:val="Page Numbers (Bottom of Page)"/>
        <w:docPartUnique/>
      </w:docPartObj>
    </w:sdtPr>
    <w:sdtContent>
      <w:p w14:paraId="46104602" w14:textId="237E01CB" w:rsidR="00C60251" w:rsidRDefault="00C60251">
        <w:pPr>
          <w:pStyle w:val="Footer"/>
          <w:jc w:val="center"/>
        </w:pPr>
        <w:r>
          <w:fldChar w:fldCharType="begin"/>
        </w:r>
        <w:r>
          <w:instrText>PAGE   \* MERGEFORMAT</w:instrText>
        </w:r>
        <w:r>
          <w:fldChar w:fldCharType="separate"/>
        </w:r>
        <w:r>
          <w:t>2</w:t>
        </w:r>
        <w:r>
          <w:fldChar w:fldCharType="end"/>
        </w:r>
      </w:p>
    </w:sdtContent>
  </w:sdt>
  <w:p w14:paraId="170552E9" w14:textId="77777777" w:rsidR="00C60251" w:rsidRDefault="00C602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421E50" w14:textId="77777777" w:rsidR="00E805AE" w:rsidRDefault="00E805AE" w:rsidP="00C60251">
      <w:pPr>
        <w:spacing w:after="0" w:line="240" w:lineRule="auto"/>
      </w:pPr>
      <w:r>
        <w:separator/>
      </w:r>
    </w:p>
  </w:footnote>
  <w:footnote w:type="continuationSeparator" w:id="0">
    <w:p w14:paraId="7F31D353" w14:textId="77777777" w:rsidR="00E805AE" w:rsidRDefault="00E805AE" w:rsidP="00C60251">
      <w:pPr>
        <w:spacing w:after="0" w:line="240" w:lineRule="auto"/>
      </w:pPr>
      <w:r>
        <w:continuationSeparator/>
      </w:r>
    </w:p>
  </w:footnote>
  <w:footnote w:id="1">
    <w:p w14:paraId="4B599581" w14:textId="06A40846" w:rsidR="00775ED8" w:rsidRPr="00FA7226" w:rsidRDefault="00775ED8">
      <w:pPr>
        <w:pStyle w:val="FootnoteText"/>
      </w:pPr>
      <w:r>
        <w:rPr>
          <w:rStyle w:val="FootnoteReference"/>
        </w:rPr>
        <w:footnoteRef/>
      </w:r>
      <w:r>
        <w:t xml:space="preserve"> </w:t>
      </w:r>
      <w:r w:rsidR="00194B77">
        <w:t>Using official Home Office statistics on stop and search</w:t>
      </w:r>
      <w:r w:rsidR="003F32F8">
        <w:t xml:space="preserve"> for the year ending March 2025</w:t>
      </w:r>
      <w:r w:rsidR="000A49BA">
        <w:t>, alongside</w:t>
      </w:r>
      <w:r w:rsidR="00194B77">
        <w:t xml:space="preserve"> the </w:t>
      </w:r>
      <w:r w:rsidR="003F32F8">
        <w:t xml:space="preserve">most recent comprehensive </w:t>
      </w:r>
      <w:r w:rsidR="00FA7226">
        <w:t>population data</w:t>
      </w:r>
      <w:r w:rsidR="003F32F8">
        <w:t xml:space="preserve"> from the 2021 Census</w:t>
      </w:r>
      <w:r w:rsidR="00E973E2">
        <w:t xml:space="preserve"> for Wales</w:t>
      </w:r>
      <w:r w:rsidRPr="00775ED8">
        <w:t xml:space="preserve">, Black people in Wales were stopped and searched at an estimated rate of 21 per 1,000 people, compared with </w:t>
      </w:r>
      <w:r w:rsidRPr="00FA7226">
        <w:t>5 per 1,000 White people</w:t>
      </w:r>
      <w:r w:rsidRPr="00775ED8">
        <w:t xml:space="preserve">. This means Black people were stopped and searched at </w:t>
      </w:r>
      <w:r w:rsidR="00F266B5">
        <w:t>more than</w:t>
      </w:r>
      <w:r w:rsidRPr="00775ED8">
        <w:t xml:space="preserve"> </w:t>
      </w:r>
      <w:r w:rsidRPr="00FA7226">
        <w:t>four times the rate of White people</w:t>
      </w:r>
      <w:r w:rsidR="00B86340">
        <w:t xml:space="preserve"> </w:t>
      </w:r>
      <w:r w:rsidR="00B80C19">
        <w:t>in Wales</w:t>
      </w:r>
      <w:r w:rsidRPr="00FA7226">
        <w:t>.</w:t>
      </w:r>
      <w:r w:rsidR="00B80C19">
        <w:t xml:space="preserve"> See: </w:t>
      </w:r>
      <w:r w:rsidR="00CB34CD">
        <w:t xml:space="preserve">Home Office., (2025). </w:t>
      </w:r>
      <w:hyperlink r:id="rId1" w:history="1">
        <w:r w:rsidR="00CB34CD" w:rsidRPr="00266ABE">
          <w:rPr>
            <w:rStyle w:val="Hyperlink"/>
          </w:rPr>
          <w:t>Stop and search summary data tables, year ending 31 March 2025</w:t>
        </w:r>
      </w:hyperlink>
      <w:r w:rsidR="00CB34CD">
        <w:t xml:space="preserve">. </w:t>
      </w:r>
      <w:r w:rsidR="00266ABE">
        <w:t xml:space="preserve">Table SS_06. See also: </w:t>
      </w:r>
      <w:r w:rsidR="00E41B06">
        <w:t xml:space="preserve">Welsh Government., (2022). </w:t>
      </w:r>
      <w:hyperlink r:id="rId2" w:anchor="110364" w:history="1">
        <w:r w:rsidR="00E41B06" w:rsidRPr="00EB04B8">
          <w:rPr>
            <w:rStyle w:val="Hyperlink"/>
          </w:rPr>
          <w:t>Ethnic group, national identity, language and religion in Wales (Census 2021)</w:t>
        </w:r>
      </w:hyperlink>
      <w:r w:rsidR="00E41B06">
        <w:t xml:space="preserve">. </w:t>
      </w:r>
    </w:p>
  </w:footnote>
  <w:footnote w:id="2">
    <w:p w14:paraId="507C4E49" w14:textId="2476D68B" w:rsidR="00CF5F31" w:rsidRPr="00D93C3D" w:rsidRDefault="00CF5F31">
      <w:pPr>
        <w:pStyle w:val="FootnoteText"/>
      </w:pPr>
      <w:r>
        <w:rPr>
          <w:rStyle w:val="FootnoteReference"/>
        </w:rPr>
        <w:footnoteRef/>
      </w:r>
      <w:r w:rsidR="002D513A">
        <w:t xml:space="preserve"> </w:t>
      </w:r>
      <w:r w:rsidR="002D513A" w:rsidRPr="002D513A">
        <w:t>Recent official data show that Black and Mixed ethnicity people in England and Wales report lower levels of confidence in their local police than the</w:t>
      </w:r>
      <w:r w:rsidR="00FC04A5">
        <w:t xml:space="preserve"> overall</w:t>
      </w:r>
      <w:r w:rsidR="002D513A" w:rsidRPr="002D513A">
        <w:t xml:space="preserve"> population</w:t>
      </w:r>
      <w:r w:rsidR="008F60B0">
        <w:t xml:space="preserve">. In the Crime Survey for England and Wales, in the year ending March 2023, confidence in local police was at 68% </w:t>
      </w:r>
      <w:r w:rsidR="005467E2">
        <w:t>overall and among White respondents, 73% among Asian respondents, 60% among Black respondents</w:t>
      </w:r>
      <w:r w:rsidR="00954150">
        <w:t xml:space="preserve"> and 57% among </w:t>
      </w:r>
      <w:r w:rsidR="009632F9">
        <w:t>M</w:t>
      </w:r>
      <w:r w:rsidR="00954150">
        <w:t xml:space="preserve">ixed-ethnicity respondents. Looking at more specific groups, confidence was particularly low among Black Caribbean people </w:t>
      </w:r>
      <w:r w:rsidR="009632F9">
        <w:t xml:space="preserve">and Mixed White and Black Caribbean people, both at 49%. See: </w:t>
      </w:r>
      <w:r w:rsidR="00570616">
        <w:t xml:space="preserve">UK Government., (2024). </w:t>
      </w:r>
      <w:hyperlink r:id="rId3" w:history="1">
        <w:r w:rsidR="00570616" w:rsidRPr="00D93C3D">
          <w:rPr>
            <w:rStyle w:val="Hyperlink"/>
          </w:rPr>
          <w:t>Confidence in the local police</w:t>
        </w:r>
      </w:hyperlink>
      <w:r w:rsidR="00570616" w:rsidRPr="00D93C3D">
        <w:t xml:space="preserve">. </w:t>
      </w:r>
      <w:r w:rsidR="00B112B0">
        <w:t>See also</w:t>
      </w:r>
      <w:r w:rsidR="00EA3E89">
        <w:t xml:space="preserve">: </w:t>
      </w:r>
      <w:r w:rsidR="00EA3E89" w:rsidRPr="00EA3E89">
        <w:t xml:space="preserve">Keeling, P., (2017). </w:t>
      </w:r>
      <w:hyperlink r:id="rId4" w:history="1">
        <w:r w:rsidR="00EA3E89" w:rsidRPr="00EA3E89">
          <w:rPr>
            <w:rStyle w:val="Hyperlink"/>
          </w:rPr>
          <w:t>No respect: Young BAME men, the police and stop and search</w:t>
        </w:r>
      </w:hyperlink>
      <w:r w:rsidR="00EA3E89" w:rsidRPr="00EA3E89">
        <w:t xml:space="preserve">. Criminal Justice Alliance, p.2. </w:t>
      </w:r>
    </w:p>
  </w:footnote>
  <w:footnote w:id="3">
    <w:p w14:paraId="3419B4BD" w14:textId="1CE2FD9E" w:rsidR="00A54A8B" w:rsidRDefault="00A54A8B">
      <w:pPr>
        <w:pStyle w:val="FootnoteText"/>
      </w:pPr>
      <w:r>
        <w:rPr>
          <w:rStyle w:val="FootnoteReference"/>
        </w:rPr>
        <w:footnoteRef/>
      </w:r>
      <w:r>
        <w:t xml:space="preserve"> </w:t>
      </w:r>
      <w:r w:rsidRPr="00A54A8B">
        <w:t xml:space="preserve">R (Bridges) v The Chief Constable of South Wales Police, Court of Appeal (Civil Division). EWCA Civ 1058, 11th August 2020. Available at: </w:t>
      </w:r>
      <w:hyperlink r:id="rId5" w:history="1">
        <w:r w:rsidR="00E446EC" w:rsidRPr="00593453">
          <w:rPr>
            <w:rStyle w:val="Hyperlink"/>
          </w:rPr>
          <w:t>https://www.libertyhumanrights.org.uk/issue/legal-challenge-ed-bridges-v-south-wales-police/</w:t>
        </w:r>
      </w:hyperlink>
      <w:r w:rsidR="00E446EC">
        <w:t xml:space="preserve"> </w:t>
      </w:r>
      <w:r w:rsidRPr="00A54A8B">
        <w:t xml:space="preserve">See also: Big Brother Watch., (2023). </w:t>
      </w:r>
      <w:hyperlink r:id="rId6" w:history="1">
        <w:r w:rsidRPr="003563A2">
          <w:rPr>
            <w:rStyle w:val="Hyperlink"/>
          </w:rPr>
          <w:t>Biometric Britain: The Expansion of Facial Recognition Surveillance</w:t>
        </w:r>
      </w:hyperlink>
      <w:r w:rsidRPr="00A54A8B">
        <w:t>, p.1 &amp; 66. The Court of Appeal ruled in Bridges’s favour stating that privacy rights, under Article 8 of the ECHR, were breached because of the insufficient legal framework governing LFR, leaving officers on the deployment with too much discretion in how they used the biometric technology.</w:t>
      </w:r>
    </w:p>
  </w:footnote>
  <w:footnote w:id="4">
    <w:p w14:paraId="28CD2CE0" w14:textId="2B03FAB0" w:rsidR="00237218" w:rsidRDefault="00237218">
      <w:pPr>
        <w:pStyle w:val="FootnoteText"/>
      </w:pPr>
      <w:r>
        <w:rPr>
          <w:rStyle w:val="FootnoteReference"/>
        </w:rPr>
        <w:footnoteRef/>
      </w:r>
      <w:r>
        <w:t xml:space="preserve"> Big Brother Watch., (2023). </w:t>
      </w:r>
      <w:hyperlink r:id="rId7" w:history="1">
        <w:r w:rsidRPr="0035041A">
          <w:rPr>
            <w:rStyle w:val="Hyperlink"/>
          </w:rPr>
          <w:t>Biometric Britain: The Expansion of Facial Recognition Surveillance</w:t>
        </w:r>
      </w:hyperlink>
      <w:r>
        <w:t xml:space="preserve">, p.20-21. </w:t>
      </w:r>
    </w:p>
  </w:footnote>
  <w:footnote w:id="5">
    <w:p w14:paraId="5D7DBBAC" w14:textId="7DC749EE" w:rsidR="00196252" w:rsidRPr="008416C3" w:rsidRDefault="00196252" w:rsidP="00196252">
      <w:pPr>
        <w:pStyle w:val="FootnoteText"/>
        <w:rPr>
          <w:i/>
          <w:iCs/>
        </w:rPr>
      </w:pPr>
      <w:r>
        <w:rPr>
          <w:rStyle w:val="FootnoteReference"/>
        </w:rPr>
        <w:footnoteRef/>
      </w:r>
      <w:r>
        <w:t xml:space="preserve"> </w:t>
      </w:r>
      <w:r w:rsidR="008416C3">
        <w:rPr>
          <w:i/>
          <w:iCs/>
        </w:rPr>
        <w:t xml:space="preserve">Ibid. </w:t>
      </w:r>
    </w:p>
  </w:footnote>
  <w:footnote w:id="6">
    <w:p w14:paraId="6FC8CAC2" w14:textId="1C315540" w:rsidR="009C1D8C" w:rsidRDefault="009C1D8C">
      <w:pPr>
        <w:pStyle w:val="FootnoteText"/>
      </w:pPr>
      <w:r>
        <w:rPr>
          <w:rStyle w:val="FootnoteReference"/>
        </w:rPr>
        <w:footnoteRef/>
      </w:r>
      <w:r>
        <w:t xml:space="preserve"> </w:t>
      </w:r>
      <w:r w:rsidR="000654AF">
        <w:t xml:space="preserve">See: Equality and Human Rights Commission., (2026). </w:t>
      </w:r>
      <w:hyperlink r:id="rId8" w:history="1">
        <w:r w:rsidR="00DE79C4" w:rsidRPr="00DE79C4">
          <w:rPr>
            <w:rStyle w:val="Hyperlink"/>
          </w:rPr>
          <w:t>The King (on the application of Thompson and another) v Commissioner of Police of the Metropolis: a summary of our intervention</w:t>
        </w:r>
      </w:hyperlink>
      <w:r w:rsidR="00DE79C4">
        <w:t xml:space="preserve">. </w:t>
      </w:r>
    </w:p>
  </w:footnote>
  <w:footnote w:id="7">
    <w:p w14:paraId="67FD9BFE" w14:textId="14BE1577" w:rsidR="00221C46" w:rsidRDefault="00221C46">
      <w:pPr>
        <w:pStyle w:val="FootnoteText"/>
      </w:pPr>
      <w:r>
        <w:rPr>
          <w:rStyle w:val="FootnoteReference"/>
        </w:rPr>
        <w:footnoteRef/>
      </w:r>
      <w:r>
        <w:t xml:space="preserve"> See: </w:t>
      </w:r>
      <w:r w:rsidRPr="00023B13">
        <w:t xml:space="preserve">Buolamwini, J., &amp; Gebru, T. (2018). </w:t>
      </w:r>
      <w:hyperlink r:id="rId9" w:history="1">
        <w:r w:rsidRPr="0054514E">
          <w:rPr>
            <w:rStyle w:val="Hyperlink"/>
          </w:rPr>
          <w:t>Gender Shades: Intersectional Accuracy Disparities in Commercial Gender Classification</w:t>
        </w:r>
      </w:hyperlink>
      <w:r w:rsidRPr="00023B13">
        <w:t xml:space="preserve">. </w:t>
      </w:r>
      <w:r w:rsidRPr="00023B13">
        <w:rPr>
          <w:i/>
          <w:iCs/>
        </w:rPr>
        <w:t>Proceedings of Machine Learning Research</w:t>
      </w:r>
      <w:r w:rsidRPr="00023B13">
        <w:t xml:space="preserve">, </w:t>
      </w:r>
      <w:r>
        <w:t>vol (</w:t>
      </w:r>
      <w:r w:rsidRPr="00023B13">
        <w:t>81</w:t>
      </w:r>
      <w:r>
        <w:t>)</w:t>
      </w:r>
      <w:r w:rsidRPr="00023B13">
        <w:t xml:space="preserve">, </w:t>
      </w:r>
      <w:r>
        <w:t>pp.</w:t>
      </w:r>
      <w:r w:rsidRPr="00023B13">
        <w:t>1-15.</w:t>
      </w:r>
      <w:r w:rsidRPr="00C503EC">
        <w:rPr>
          <w:sz w:val="22"/>
          <w:szCs w:val="22"/>
        </w:rPr>
        <w:t xml:space="preserve"> </w:t>
      </w:r>
      <w:r w:rsidRPr="00C503EC">
        <w:t>National Institute of Standards and Technology (NIST).</w:t>
      </w:r>
      <w:r>
        <w:t xml:space="preserve">, </w:t>
      </w:r>
      <w:r w:rsidRPr="00C503EC">
        <w:t xml:space="preserve">(2019). </w:t>
      </w:r>
      <w:hyperlink r:id="rId10" w:history="1">
        <w:r w:rsidRPr="00462F3E">
          <w:rPr>
            <w:rStyle w:val="Hyperlink"/>
          </w:rPr>
          <w:t>NIST Study Evaluates Effects of Race, Age, Sex on Face Recognition Software</w:t>
        </w:r>
      </w:hyperlink>
      <w:r w:rsidRPr="00507395">
        <w:t>.</w:t>
      </w:r>
      <w:r>
        <w:t xml:space="preserve"> </w:t>
      </w:r>
      <w:r w:rsidRPr="007437D5">
        <w:t>American Civil Liberties Union (ACLU).</w:t>
      </w:r>
      <w:r>
        <w:t xml:space="preserve">, </w:t>
      </w:r>
      <w:r w:rsidRPr="007437D5">
        <w:t xml:space="preserve">(2018). </w:t>
      </w:r>
      <w:hyperlink r:id="rId11" w:history="1">
        <w:r w:rsidRPr="00F46820">
          <w:rPr>
            <w:rStyle w:val="Hyperlink"/>
          </w:rPr>
          <w:t>Amazon’s Face Recognition Falsely Matched 28 Members of Congress With Mugshots</w:t>
        </w:r>
      </w:hyperlink>
      <w:r>
        <w:t>.</w:t>
      </w:r>
    </w:p>
  </w:footnote>
  <w:footnote w:id="8">
    <w:p w14:paraId="412C1596" w14:textId="06312859" w:rsidR="002D2F8A" w:rsidRPr="002D2F8A" w:rsidRDefault="002D2F8A" w:rsidP="002D2F8A">
      <w:pPr>
        <w:pStyle w:val="FootnoteText"/>
        <w:tabs>
          <w:tab w:val="left" w:pos="2703"/>
        </w:tabs>
        <w:rPr>
          <w:b/>
          <w:bCs/>
        </w:rPr>
      </w:pPr>
      <w:r>
        <w:rPr>
          <w:rStyle w:val="FootnoteReference"/>
        </w:rPr>
        <w:footnoteRef/>
      </w:r>
      <w:r>
        <w:t xml:space="preserve"> Hardesty, L., (2018). </w:t>
      </w:r>
      <w:hyperlink r:id="rId12" w:history="1">
        <w:r w:rsidRPr="009949AF">
          <w:rPr>
            <w:rStyle w:val="Hyperlink"/>
          </w:rPr>
          <w:t>Study finds gender and skin-type bias in commercial artificial-intelligence systems</w:t>
        </w:r>
      </w:hyperlink>
      <w:r w:rsidRPr="00CB1742">
        <w:t>.</w:t>
      </w:r>
      <w:r>
        <w:t xml:space="preserve"> </w:t>
      </w:r>
      <w:r>
        <w:rPr>
          <w:i/>
          <w:iCs/>
        </w:rPr>
        <w:t xml:space="preserve">MIT News, </w:t>
      </w:r>
      <w:r>
        <w:t xml:space="preserve">11 February. </w:t>
      </w:r>
    </w:p>
  </w:footnote>
  <w:footnote w:id="9">
    <w:p w14:paraId="50FF74BB" w14:textId="0069DFB0" w:rsidR="00562118" w:rsidRDefault="00562118">
      <w:pPr>
        <w:pStyle w:val="FootnoteText"/>
      </w:pPr>
      <w:r>
        <w:rPr>
          <w:rStyle w:val="FootnoteReference"/>
        </w:rPr>
        <w:footnoteRef/>
      </w:r>
      <w:r>
        <w:t xml:space="preserve"> See: Equality and Human Rights Commission., (2026). </w:t>
      </w:r>
      <w:hyperlink r:id="rId13" w:history="1">
        <w:r w:rsidRPr="00DE79C4">
          <w:rPr>
            <w:rStyle w:val="Hyperlink"/>
          </w:rPr>
          <w:t>The King (on the application of Thompson and another) v Commissioner of Police of the Metropolis: a summary of our intervention</w:t>
        </w:r>
      </w:hyperlink>
      <w:r>
        <w:t xml:space="preserve">. </w:t>
      </w:r>
    </w:p>
  </w:footnote>
  <w:footnote w:id="10">
    <w:p w14:paraId="1959CBED" w14:textId="68512C6A" w:rsidR="00A42B8B" w:rsidRDefault="00A42B8B">
      <w:pPr>
        <w:pStyle w:val="FootnoteText"/>
      </w:pPr>
      <w:r>
        <w:rPr>
          <w:rStyle w:val="FootnoteReference"/>
        </w:rPr>
        <w:footnoteRef/>
      </w:r>
      <w:r>
        <w:t xml:space="preserve"> See: </w:t>
      </w:r>
      <w:r w:rsidR="00CF71F7">
        <w:t xml:space="preserve">Ryder, M., (2022). </w:t>
      </w:r>
      <w:hyperlink r:id="rId14" w:history="1">
        <w:r w:rsidR="00CF71F7" w:rsidRPr="009D599C">
          <w:rPr>
            <w:rStyle w:val="Hyperlink"/>
          </w:rPr>
          <w:t>The Ryder Review: Independent legal review of the governance of biometric data in England and Wales</w:t>
        </w:r>
      </w:hyperlink>
      <w:r w:rsidR="00CF71F7">
        <w:t xml:space="preserve">, Ada Lovelace Institute. </w:t>
      </w:r>
    </w:p>
  </w:footnote>
  <w:footnote w:id="11">
    <w:p w14:paraId="6E3EC605" w14:textId="4B7E2987" w:rsidR="009C269E" w:rsidRDefault="009C269E">
      <w:pPr>
        <w:pStyle w:val="FootnoteText"/>
      </w:pPr>
      <w:r>
        <w:rPr>
          <w:rStyle w:val="FootnoteReference"/>
        </w:rPr>
        <w:footnoteRef/>
      </w:r>
      <w:r>
        <w:t xml:space="preserve"> See: </w:t>
      </w:r>
      <w:r w:rsidR="00D827CC">
        <w:t xml:space="preserve">Romero, G., Fussey, P., and Murray, D., (2026). </w:t>
      </w:r>
      <w:hyperlink r:id="rId15" w:history="1">
        <w:r w:rsidR="00516748" w:rsidRPr="003A74F9">
          <w:rPr>
            <w:rStyle w:val="Hyperlink"/>
          </w:rPr>
          <w:t>“Pushed into the Shadows”: Evidencing digital surveillance chilling effects and the erosion of the rights to freedom of assembly and of association</w:t>
        </w:r>
      </w:hyperlink>
      <w:r w:rsidR="00516748">
        <w:t>.</w:t>
      </w:r>
      <w:r w:rsidR="00C51487">
        <w:t xml:space="preserve"> Special Procedures</w:t>
      </w:r>
      <w:r w:rsidR="00CD359F">
        <w:t xml:space="preserve"> –</w:t>
      </w:r>
      <w:r w:rsidR="00C51487">
        <w:t xml:space="preserve"> United Nations Human Rights Council. </w:t>
      </w:r>
      <w:r w:rsidR="00516748">
        <w:t xml:space="preserve"> </w:t>
      </w:r>
    </w:p>
  </w:footnote>
  <w:footnote w:id="12">
    <w:p w14:paraId="45046B77" w14:textId="5895F58E" w:rsidR="00CB0C87" w:rsidRPr="00CB0C87" w:rsidRDefault="00CB0C87">
      <w:pPr>
        <w:pStyle w:val="FootnoteText"/>
      </w:pPr>
      <w:r>
        <w:rPr>
          <w:rStyle w:val="FootnoteReference"/>
        </w:rPr>
        <w:footnoteRef/>
      </w:r>
      <w:r>
        <w:t xml:space="preserve"> </w:t>
      </w:r>
      <w:r>
        <w:rPr>
          <w:i/>
          <w:iCs/>
        </w:rPr>
        <w:t xml:space="preserve">Ibid. </w:t>
      </w:r>
      <w:r>
        <w:t xml:space="preserve">See also: Ryder, M., (2022). </w:t>
      </w:r>
      <w:hyperlink r:id="rId16" w:history="1">
        <w:r w:rsidRPr="009D599C">
          <w:rPr>
            <w:rStyle w:val="Hyperlink"/>
          </w:rPr>
          <w:t>The Ryder Review: Independent legal review of the governance of biometric data in England and Wales</w:t>
        </w:r>
      </w:hyperlink>
      <w:r>
        <w:t xml:space="preserve">, Ada Lovelace Institute. </w:t>
      </w:r>
    </w:p>
  </w:footnote>
  <w:footnote w:id="13">
    <w:p w14:paraId="7B3D6126" w14:textId="775E64EE" w:rsidR="001424EA" w:rsidRDefault="001424EA" w:rsidP="001424EA">
      <w:pPr>
        <w:pStyle w:val="FootnoteText"/>
      </w:pPr>
      <w:r>
        <w:rPr>
          <w:rStyle w:val="FootnoteReference"/>
        </w:rPr>
        <w:footnoteRef/>
      </w:r>
      <w:r>
        <w:t xml:space="preserve"> </w:t>
      </w:r>
      <w:r w:rsidRPr="003B08A6">
        <w:t>See</w:t>
      </w:r>
      <w:r w:rsidR="00480EE5">
        <w:t xml:space="preserve">: Liberty., (n.d.)., </w:t>
      </w:r>
      <w:hyperlink r:id="rId17" w:history="1">
        <w:r w:rsidR="00480EE5" w:rsidRPr="00403E4C">
          <w:rPr>
            <w:rStyle w:val="Hyperlink"/>
          </w:rPr>
          <w:t>Legal Challenge: Ed Bridges v South Wales Police</w:t>
        </w:r>
      </w:hyperlink>
      <w:r w:rsidR="00480EE5">
        <w:t>.</w:t>
      </w:r>
      <w:r w:rsidR="00403E4C">
        <w:t xml:space="preserve"> </w:t>
      </w:r>
      <w:r w:rsidRPr="003B08A6">
        <w:t>and</w:t>
      </w:r>
      <w:r w:rsidR="00C45421">
        <w:t xml:space="preserve"> Liberty., (2020). </w:t>
      </w:r>
      <w:hyperlink r:id="rId18" w:history="1">
        <w:r w:rsidR="00C45421" w:rsidRPr="00C45421">
          <w:rPr>
            <w:rStyle w:val="Hyperlink"/>
          </w:rPr>
          <w:t>Liberty wins ground-breaking victory against facial recognition tech</w:t>
        </w:r>
      </w:hyperlink>
      <w:r w:rsidR="00C45421">
        <w:t xml:space="preserve">. </w:t>
      </w:r>
      <w:r w:rsidRPr="003B08A6">
        <w:t xml:space="preserve"> </w:t>
      </w:r>
    </w:p>
  </w:footnote>
  <w:footnote w:id="14">
    <w:p w14:paraId="7CC4F24D" w14:textId="77777777" w:rsidR="001424EA" w:rsidRPr="00DA7702" w:rsidRDefault="001424EA" w:rsidP="001424EA">
      <w:pPr>
        <w:pStyle w:val="FootnoteText"/>
        <w:rPr>
          <w:i/>
          <w:iCs/>
        </w:rPr>
      </w:pPr>
      <w:r>
        <w:rPr>
          <w:rStyle w:val="FootnoteReference"/>
        </w:rPr>
        <w:footnoteRef/>
      </w:r>
      <w:r>
        <w:t xml:space="preserve"> </w:t>
      </w:r>
      <w:r>
        <w:rPr>
          <w:i/>
          <w:iCs/>
        </w:rPr>
        <w:t xml:space="preserve">Ibid. </w:t>
      </w:r>
    </w:p>
  </w:footnote>
  <w:footnote w:id="15">
    <w:p w14:paraId="7F6C739C" w14:textId="678C1E17" w:rsidR="00C7455B" w:rsidRDefault="00C7455B">
      <w:pPr>
        <w:pStyle w:val="FootnoteText"/>
      </w:pPr>
      <w:r>
        <w:rPr>
          <w:rStyle w:val="FootnoteReference"/>
        </w:rPr>
        <w:footnoteRef/>
      </w:r>
      <w:r>
        <w:t xml:space="preserve"> See: Equality and Human Rights Commission., (2026). </w:t>
      </w:r>
      <w:hyperlink r:id="rId19" w:history="1">
        <w:r w:rsidRPr="00DE79C4">
          <w:rPr>
            <w:rStyle w:val="Hyperlink"/>
          </w:rPr>
          <w:t>The King (on the application of Thompson and another) v Commissioner of Police of the Metropolis: a summary of our intervention</w:t>
        </w:r>
      </w:hyperlink>
      <w:r>
        <w:t>.</w:t>
      </w:r>
    </w:p>
  </w:footnote>
  <w:footnote w:id="16">
    <w:p w14:paraId="3DAF26AF" w14:textId="51CB1325" w:rsidR="00E860DB" w:rsidRDefault="00E860DB">
      <w:pPr>
        <w:pStyle w:val="FootnoteText"/>
      </w:pPr>
      <w:r>
        <w:rPr>
          <w:rStyle w:val="FootnoteReference"/>
        </w:rPr>
        <w:footnoteRef/>
      </w:r>
      <w:r>
        <w:t xml:space="preserve"> See: Romero, G., Fussey, P., and Murray, D., (2026). </w:t>
      </w:r>
      <w:hyperlink r:id="rId20" w:history="1">
        <w:r w:rsidRPr="003A74F9">
          <w:rPr>
            <w:rStyle w:val="Hyperlink"/>
          </w:rPr>
          <w:t>“Pushed into the Shadows”: Evidencing digital surveillance chilling effects and the erosion of the rights to freedom of assembly and of association</w:t>
        </w:r>
      </w:hyperlink>
      <w:r>
        <w:t>.</w:t>
      </w:r>
    </w:p>
  </w:footnote>
  <w:footnote w:id="17">
    <w:p w14:paraId="7C16A3F1" w14:textId="58CC42AC" w:rsidR="00C000E7" w:rsidRPr="000C095B" w:rsidRDefault="00C000E7" w:rsidP="00C000E7">
      <w:pPr>
        <w:pStyle w:val="FootnoteText"/>
      </w:pPr>
      <w:r>
        <w:rPr>
          <w:rStyle w:val="FootnoteReference"/>
        </w:rPr>
        <w:footnoteRef/>
      </w:r>
      <w:r>
        <w:t xml:space="preserve"> See: </w:t>
      </w:r>
      <w:r w:rsidR="00A63112">
        <w:t xml:space="preserve">Clayton, J., (2024). </w:t>
      </w:r>
      <w:hyperlink r:id="rId21" w:history="1">
        <w:r w:rsidR="00A63112" w:rsidRPr="000C095B">
          <w:rPr>
            <w:rStyle w:val="Hyperlink"/>
          </w:rPr>
          <w:t>‘I was misidentified as shoplifter by facial recognition tech</w:t>
        </w:r>
        <w:r w:rsidR="000C095B" w:rsidRPr="000C095B">
          <w:rPr>
            <w:rStyle w:val="Hyperlink"/>
          </w:rPr>
          <w:t>’</w:t>
        </w:r>
      </w:hyperlink>
      <w:r w:rsidR="000C095B">
        <w:t xml:space="preserve">, </w:t>
      </w:r>
      <w:r w:rsidR="000C095B">
        <w:rPr>
          <w:i/>
          <w:iCs/>
        </w:rPr>
        <w:t xml:space="preserve">BBC News, </w:t>
      </w:r>
      <w:r w:rsidR="000C095B">
        <w:t xml:space="preserve">26 May. </w:t>
      </w:r>
    </w:p>
  </w:footnote>
  <w:footnote w:id="18">
    <w:p w14:paraId="5A3FB6DE" w14:textId="114EC334" w:rsidR="00044ED2" w:rsidRDefault="00044ED2">
      <w:pPr>
        <w:pStyle w:val="FootnoteText"/>
      </w:pPr>
      <w:r>
        <w:rPr>
          <w:rStyle w:val="FootnoteReference"/>
        </w:rPr>
        <w:footnoteRef/>
      </w:r>
      <w:r>
        <w:t xml:space="preserve"> See: Equality and Human Rights Commission., (2026). </w:t>
      </w:r>
      <w:hyperlink r:id="rId22" w:history="1">
        <w:r w:rsidRPr="00DE79C4">
          <w:rPr>
            <w:rStyle w:val="Hyperlink"/>
          </w:rPr>
          <w:t>The King (on the application of Thompson and another) v Commissioner of Police of the Metropolis: a summary of our intervention</w:t>
        </w:r>
      </w:hyperlink>
      <w:r>
        <w:t>.</w:t>
      </w:r>
    </w:p>
  </w:footnote>
  <w:footnote w:id="19">
    <w:p w14:paraId="7B8BABE5" w14:textId="2C867B11" w:rsidR="00C13EC2" w:rsidRDefault="00C13EC2">
      <w:pPr>
        <w:pStyle w:val="FootnoteText"/>
      </w:pPr>
      <w:r>
        <w:rPr>
          <w:rStyle w:val="FootnoteReference"/>
        </w:rPr>
        <w:footnoteRef/>
      </w:r>
      <w:r>
        <w:t xml:space="preserve"> See: </w:t>
      </w:r>
      <w:hyperlink r:id="rId23" w:history="1">
        <w:r w:rsidR="002D441A" w:rsidRPr="003F0AD2">
          <w:rPr>
            <w:rStyle w:val="Hyperlink"/>
          </w:rPr>
          <w:t>https://www.gov.uk/government/consultations/legal-framework-for-using-facial-recognition-in-law-enforcement/consultation-on-a-new-legal-framework-for-law-enforcement-use-of-biometrics-facial-recognition-and-similar-technologies-accessible</w:t>
        </w:r>
      </w:hyperlink>
      <w:r w:rsidR="002D441A">
        <w:t xml:space="preserve"> </w:t>
      </w:r>
    </w:p>
  </w:footnote>
  <w:footnote w:id="20">
    <w:p w14:paraId="78D82B61" w14:textId="464307E7" w:rsidR="00511B5F" w:rsidRDefault="00511B5F">
      <w:pPr>
        <w:pStyle w:val="FootnoteText"/>
      </w:pPr>
      <w:r>
        <w:rPr>
          <w:rStyle w:val="FootnoteReference"/>
        </w:rPr>
        <w:footnoteRef/>
      </w:r>
      <w:r>
        <w:t xml:space="preserve"> </w:t>
      </w:r>
      <w:r w:rsidR="00E81115">
        <w:t xml:space="preserve">See: </w:t>
      </w:r>
      <w:hyperlink r:id="rId24" w:history="1">
        <w:r w:rsidR="00E81115" w:rsidRPr="00E81115">
          <w:rPr>
            <w:rStyle w:val="Hyperlink"/>
          </w:rPr>
          <w:t>The EU Regulation 2024/1689</w:t>
        </w:r>
      </w:hyperlink>
    </w:p>
  </w:footnote>
  <w:footnote w:id="21">
    <w:p w14:paraId="5531EC47" w14:textId="20A9EB81" w:rsidR="00987EE3" w:rsidRDefault="00987EE3">
      <w:pPr>
        <w:pStyle w:val="FootnoteText"/>
      </w:pPr>
      <w:r>
        <w:rPr>
          <w:rStyle w:val="FootnoteReference"/>
        </w:rPr>
        <w:footnoteRef/>
      </w:r>
      <w:r>
        <w:t xml:space="preserve"> </w:t>
      </w:r>
      <w:hyperlink r:id="rId25" w:history="1">
        <w:r w:rsidR="00573955" w:rsidRPr="00034497">
          <w:rPr>
            <w:rStyle w:val="Hyperlink"/>
          </w:rPr>
          <w:t>EU AI Act Article 5(1)(h) and (2) to (7)</w:t>
        </w:r>
      </w:hyperlink>
      <w:r w:rsidR="00573955">
        <w:t xml:space="preserve">. </w:t>
      </w:r>
    </w:p>
  </w:footnote>
  <w:footnote w:id="22">
    <w:p w14:paraId="4FF9949F" w14:textId="06AEE4E1" w:rsidR="0010726C" w:rsidRDefault="0010726C">
      <w:pPr>
        <w:pStyle w:val="FootnoteText"/>
      </w:pPr>
      <w:r>
        <w:rPr>
          <w:rStyle w:val="FootnoteReference"/>
        </w:rPr>
        <w:footnoteRef/>
      </w:r>
      <w:r>
        <w:t xml:space="preserve"> See:</w:t>
      </w:r>
      <w:r w:rsidR="00A53ED4">
        <w:t xml:space="preserve"> H</w:t>
      </w:r>
      <w:r w:rsidR="00173BE1">
        <w:t xml:space="preserve">alliday, J., (2025). </w:t>
      </w:r>
      <w:hyperlink r:id="rId26" w:history="1">
        <w:r w:rsidR="00173BE1" w:rsidRPr="00CA527D">
          <w:rPr>
            <w:rStyle w:val="Hyperlink"/>
          </w:rPr>
          <w:t>Six Minutes of terror: how the Manchester Synagogue attack unfolded</w:t>
        </w:r>
      </w:hyperlink>
      <w:r w:rsidR="00B013C1">
        <w:t>,</w:t>
      </w:r>
      <w:r w:rsidR="00173BE1">
        <w:t xml:space="preserve"> </w:t>
      </w:r>
      <w:r w:rsidR="00173BE1" w:rsidRPr="00B013C1">
        <w:rPr>
          <w:i/>
          <w:iCs/>
        </w:rPr>
        <w:t>The Guardian</w:t>
      </w:r>
      <w:r w:rsidR="00173BE1">
        <w:t>, 3</w:t>
      </w:r>
      <w:r w:rsidR="00173BE1" w:rsidRPr="00173BE1">
        <w:rPr>
          <w:vertAlign w:val="superscript"/>
        </w:rPr>
        <w:t>rd</w:t>
      </w:r>
      <w:r w:rsidR="00173BE1">
        <w:t xml:space="preserve"> October.</w:t>
      </w:r>
      <w:r>
        <w:t xml:space="preserve"> </w:t>
      </w:r>
    </w:p>
  </w:footnote>
  <w:footnote w:id="23">
    <w:p w14:paraId="6CED85F4" w14:textId="52D700D9" w:rsidR="006A74F1" w:rsidRPr="00307FE2" w:rsidRDefault="006A74F1">
      <w:pPr>
        <w:pStyle w:val="FootnoteText"/>
      </w:pPr>
      <w:r>
        <w:rPr>
          <w:rStyle w:val="FootnoteReference"/>
        </w:rPr>
        <w:footnoteRef/>
      </w:r>
      <w:r>
        <w:t xml:space="preserve"> See: </w:t>
      </w:r>
      <w:r w:rsidR="00307FE2">
        <w:t xml:space="preserve">Rawlinson, K., (2026). </w:t>
      </w:r>
      <w:hyperlink r:id="rId27" w:history="1">
        <w:r w:rsidR="00307FE2" w:rsidRPr="00573787">
          <w:rPr>
            <w:rStyle w:val="Hyperlink"/>
          </w:rPr>
          <w:t>Man appears in court over attempted murders of three people in London knife attacks</w:t>
        </w:r>
      </w:hyperlink>
      <w:r w:rsidR="00307FE2">
        <w:t xml:space="preserve">, </w:t>
      </w:r>
      <w:r w:rsidR="00307FE2">
        <w:rPr>
          <w:i/>
          <w:iCs/>
        </w:rPr>
        <w:t xml:space="preserve">The Guardian, </w:t>
      </w:r>
      <w:r w:rsidR="00307FE2">
        <w:t>1</w:t>
      </w:r>
      <w:r w:rsidR="00307FE2" w:rsidRPr="00307FE2">
        <w:rPr>
          <w:vertAlign w:val="superscript"/>
        </w:rPr>
        <w:t>st</w:t>
      </w:r>
      <w:r w:rsidR="00307FE2">
        <w:t xml:space="preserve"> May. </w:t>
      </w:r>
    </w:p>
  </w:footnote>
  <w:footnote w:id="24">
    <w:p w14:paraId="5389B339" w14:textId="135364D9" w:rsidR="00F91DC1" w:rsidRPr="001A3634" w:rsidRDefault="00F91DC1">
      <w:pPr>
        <w:pStyle w:val="FootnoteText"/>
      </w:pPr>
      <w:r>
        <w:rPr>
          <w:rStyle w:val="FootnoteReference"/>
        </w:rPr>
        <w:footnoteRef/>
      </w:r>
      <w:r>
        <w:t xml:space="preserve"> See: </w:t>
      </w:r>
      <w:r w:rsidR="001A3634">
        <w:t xml:space="preserve">Dodd, V., Mohdin, A., and Ahmed, A., (2026). </w:t>
      </w:r>
      <w:hyperlink r:id="rId28" w:history="1">
        <w:r w:rsidR="001A3634" w:rsidRPr="00CA5625">
          <w:rPr>
            <w:rStyle w:val="Hyperlink"/>
          </w:rPr>
          <w:t>Police treating stabbing of two men in Golders Green as terrorism</w:t>
        </w:r>
      </w:hyperlink>
      <w:r w:rsidR="001A3634">
        <w:t xml:space="preserve">, </w:t>
      </w:r>
      <w:r w:rsidR="001A3634">
        <w:rPr>
          <w:i/>
          <w:iCs/>
        </w:rPr>
        <w:t xml:space="preserve">The Guardian, </w:t>
      </w:r>
      <w:r w:rsidR="001A3634">
        <w:t>29</w:t>
      </w:r>
      <w:r w:rsidR="001A3634" w:rsidRPr="001A3634">
        <w:rPr>
          <w:vertAlign w:val="superscript"/>
        </w:rPr>
        <w:t>th</w:t>
      </w:r>
      <w:r w:rsidR="001A3634">
        <w:t xml:space="preserve"> April. </w:t>
      </w:r>
    </w:p>
  </w:footnote>
  <w:footnote w:id="25">
    <w:p w14:paraId="3DC388AE" w14:textId="7DC9532F" w:rsidR="00366BEE" w:rsidRPr="007E2EEE" w:rsidRDefault="00366BEE">
      <w:pPr>
        <w:pStyle w:val="FootnoteText"/>
      </w:pPr>
      <w:r>
        <w:rPr>
          <w:rStyle w:val="FootnoteReference"/>
        </w:rPr>
        <w:footnoteRef/>
      </w:r>
      <w:r>
        <w:t xml:space="preserve"> </w:t>
      </w:r>
      <w:r w:rsidR="00490BD0">
        <w:t xml:space="preserve">See: </w:t>
      </w:r>
      <w:r>
        <w:t>Osuh</w:t>
      </w:r>
      <w:r w:rsidR="007E2EEE">
        <w:t xml:space="preserve">, C., (2026). </w:t>
      </w:r>
      <w:hyperlink r:id="rId29" w:history="1">
        <w:r w:rsidR="007E2EEE" w:rsidRPr="007E2EEE">
          <w:rPr>
            <w:rStyle w:val="Hyperlink"/>
          </w:rPr>
          <w:t>Met sets up specialist unit as antisemitic hate crimes in London hit two-year high</w:t>
        </w:r>
      </w:hyperlink>
      <w:r w:rsidR="007E2EEE">
        <w:t xml:space="preserve">, </w:t>
      </w:r>
      <w:r w:rsidR="007E2EEE">
        <w:rPr>
          <w:i/>
          <w:iCs/>
        </w:rPr>
        <w:t xml:space="preserve">The Guardian, </w:t>
      </w:r>
      <w:r w:rsidR="007E2EEE">
        <w:t>6</w:t>
      </w:r>
      <w:r w:rsidR="007E2EEE" w:rsidRPr="007E2EEE">
        <w:rPr>
          <w:vertAlign w:val="superscript"/>
        </w:rPr>
        <w:t>th</w:t>
      </w:r>
      <w:r w:rsidR="007E2EEE">
        <w:t xml:space="preserve"> May. </w:t>
      </w:r>
    </w:p>
  </w:footnote>
  <w:footnote w:id="26">
    <w:p w14:paraId="7CF8E85B" w14:textId="65412E8A" w:rsidR="00001F9D" w:rsidRDefault="00001F9D">
      <w:pPr>
        <w:pStyle w:val="FootnoteText"/>
      </w:pPr>
      <w:r>
        <w:rPr>
          <w:rStyle w:val="FootnoteReference"/>
        </w:rPr>
        <w:footnoteRef/>
      </w:r>
      <w:r>
        <w:t xml:space="preserve"> </w:t>
      </w:r>
      <w:r w:rsidR="00D41EE2" w:rsidRPr="00D41EE2">
        <w:t xml:space="preserve">While </w:t>
      </w:r>
      <w:r w:rsidR="00D41EE2">
        <w:t>we</w:t>
      </w:r>
      <w:r w:rsidR="00D41EE2" w:rsidRPr="00D41EE2">
        <w:t xml:space="preserve"> recognise the legitimacy and importance of measures intended to protect communities facing antisemitic violence and hate crime, concerns remain regarding whether Muslim communities experiencing Islamophobic hate, intimidation, and far-right mobilisation are afforded equivalent levels of protection, visibility, and public reassurance. These concerns are heightened within a broader context in which racialised communities may experience differing levels of trust and confidence in policing institutions.</w:t>
      </w:r>
    </w:p>
  </w:footnote>
  <w:footnote w:id="27">
    <w:p w14:paraId="5D9AAD2E" w14:textId="39F07836" w:rsidR="0068092D" w:rsidRDefault="0068092D">
      <w:pPr>
        <w:pStyle w:val="FootnoteText"/>
      </w:pPr>
      <w:r>
        <w:rPr>
          <w:rStyle w:val="FootnoteReference"/>
        </w:rPr>
        <w:footnoteRef/>
      </w:r>
      <w:r>
        <w:t xml:space="preserve"> See: Sparrow, A., (2026). </w:t>
      </w:r>
      <w:hyperlink r:id="rId30" w:history="1">
        <w:r w:rsidRPr="005C3378">
          <w:rPr>
            <w:rStyle w:val="Hyperlink"/>
          </w:rPr>
          <w:t>Badenoch defends seeking a ban on pro-Palestine marches but not Tommy Robinson ones – as it happened</w:t>
        </w:r>
      </w:hyperlink>
      <w:r>
        <w:t xml:space="preserve">, </w:t>
      </w:r>
      <w:r>
        <w:rPr>
          <w:i/>
          <w:iCs/>
        </w:rPr>
        <w:t xml:space="preserve">The Guardian, </w:t>
      </w:r>
      <w:r>
        <w:t>5</w:t>
      </w:r>
      <w:r w:rsidRPr="003932D8">
        <w:rPr>
          <w:vertAlign w:val="superscript"/>
        </w:rPr>
        <w:t>th</w:t>
      </w:r>
      <w:r>
        <w:t xml:space="preserve"> May.  </w:t>
      </w:r>
    </w:p>
  </w:footnote>
  <w:footnote w:id="28">
    <w:p w14:paraId="57A51E49" w14:textId="7CEEA6CB" w:rsidR="00895074" w:rsidRPr="00895074" w:rsidRDefault="00895074">
      <w:pPr>
        <w:pStyle w:val="FootnoteText"/>
        <w:rPr>
          <w:i/>
          <w:iCs/>
        </w:rPr>
      </w:pPr>
      <w:r>
        <w:rPr>
          <w:rStyle w:val="FootnoteReference"/>
        </w:rPr>
        <w:footnoteRef/>
      </w:r>
      <w:r>
        <w:t xml:space="preserve"> </w:t>
      </w:r>
      <w:r>
        <w:rPr>
          <w:i/>
          <w:iCs/>
        </w:rPr>
        <w:t xml:space="preserve">Ibid. </w:t>
      </w:r>
    </w:p>
  </w:footnote>
  <w:footnote w:id="29">
    <w:p w14:paraId="0261FE7E" w14:textId="663CBDDC" w:rsidR="006044A9" w:rsidRDefault="006044A9">
      <w:pPr>
        <w:pStyle w:val="FootnoteText"/>
      </w:pPr>
      <w:r>
        <w:rPr>
          <w:rStyle w:val="FootnoteReference"/>
        </w:rPr>
        <w:footnoteRef/>
      </w:r>
      <w:r>
        <w:t xml:space="preserve"> Institute of Race Relations., (2026). </w:t>
      </w:r>
      <w:hyperlink r:id="rId31" w:history="1">
        <w:r w:rsidRPr="002642DB">
          <w:rPr>
            <w:rStyle w:val="Hyperlink"/>
          </w:rPr>
          <w:t>Defending universal anti-racist principles – the defining struggle of our times</w:t>
        </w:r>
      </w:hyperlink>
      <w:r>
        <w:t xml:space="preserve">. </w:t>
      </w:r>
    </w:p>
  </w:footnote>
  <w:footnote w:id="30">
    <w:p w14:paraId="628A3B7E" w14:textId="3C6833F6" w:rsidR="00AB60B9" w:rsidRPr="00E02716" w:rsidRDefault="00AB60B9">
      <w:pPr>
        <w:pStyle w:val="FootnoteText"/>
      </w:pPr>
      <w:r>
        <w:rPr>
          <w:rStyle w:val="FootnoteReference"/>
        </w:rPr>
        <w:footnoteRef/>
      </w:r>
      <w:r>
        <w:t xml:space="preserve"> </w:t>
      </w:r>
      <w:r>
        <w:rPr>
          <w:i/>
          <w:iCs/>
        </w:rPr>
        <w:t xml:space="preserve">Ibid. </w:t>
      </w:r>
      <w:r w:rsidR="00E02716">
        <w:t>See also</w:t>
      </w:r>
      <w:r w:rsidR="00E566D4">
        <w:t>:</w:t>
      </w:r>
      <w:r w:rsidR="00C504ED">
        <w:t xml:space="preserve"> </w:t>
      </w:r>
      <w:hyperlink r:id="rId32" w:history="1">
        <w:r w:rsidR="00C504ED" w:rsidRPr="009E60DE">
          <w:rPr>
            <w:rStyle w:val="Hyperlink"/>
          </w:rPr>
          <w:t>https://palestinecampaign.org/wp-content/uploads/2026/05/Letter-of-complaint-to-MOPAC-1.pdf?ml_sub=3009037182166897677&amp;ml_sub_hash=e2l3&amp;utm_source=newsletter&amp;utm_medium=email&amp;utm_campaign=defending_universal_anti_racist_principles_the_defining_struggle_of_our_times&amp;utm_term=2026-05-14</w:t>
        </w:r>
      </w:hyperlink>
      <w:r w:rsidR="00C504ED">
        <w:t xml:space="preserve"> </w:t>
      </w:r>
      <w:r w:rsidR="00E566D4">
        <w:t xml:space="preserve"> </w:t>
      </w:r>
      <w:r w:rsidR="00C504ED">
        <w:t xml:space="preserve"> </w:t>
      </w:r>
    </w:p>
  </w:footnote>
  <w:footnote w:id="31">
    <w:p w14:paraId="1A25BEAF" w14:textId="7057B7B0" w:rsidR="008D40FB" w:rsidRPr="00831905" w:rsidRDefault="008D40FB">
      <w:pPr>
        <w:pStyle w:val="FootnoteText"/>
      </w:pPr>
      <w:r>
        <w:rPr>
          <w:rStyle w:val="FootnoteReference"/>
        </w:rPr>
        <w:footnoteRef/>
      </w:r>
      <w:r>
        <w:t xml:space="preserve"> </w:t>
      </w:r>
      <w:r w:rsidR="00831905">
        <w:t xml:space="preserve">Siddique, H., (2026). </w:t>
      </w:r>
      <w:hyperlink r:id="rId33" w:history="1">
        <w:r w:rsidR="00831905" w:rsidRPr="00D7615A">
          <w:rPr>
            <w:rStyle w:val="Hyperlink"/>
          </w:rPr>
          <w:t>Palestine Action trial lawyer wins appeal against contempt of court charge</w:t>
        </w:r>
      </w:hyperlink>
      <w:r w:rsidR="00831905">
        <w:t xml:space="preserve">, </w:t>
      </w:r>
      <w:r w:rsidR="00831905">
        <w:rPr>
          <w:i/>
          <w:iCs/>
        </w:rPr>
        <w:t xml:space="preserve">The Guardian, </w:t>
      </w:r>
      <w:r w:rsidR="00831905">
        <w:t xml:space="preserve">12th May. </w:t>
      </w:r>
    </w:p>
  </w:footnote>
  <w:footnote w:id="32">
    <w:p w14:paraId="507A8C6E" w14:textId="2F2673A7" w:rsidR="00E47619" w:rsidRDefault="00E47619">
      <w:pPr>
        <w:pStyle w:val="FootnoteText"/>
      </w:pPr>
      <w:r>
        <w:rPr>
          <w:rStyle w:val="FootnoteReference"/>
        </w:rPr>
        <w:footnoteRef/>
      </w:r>
      <w:r>
        <w:t xml:space="preserve"> </w:t>
      </w:r>
      <w:r w:rsidR="0008385A">
        <w:t>A s</w:t>
      </w:r>
      <w:r w:rsidRPr="00E47619">
        <w:t xml:space="preserve">erious criminal offence is to be defined as: </w:t>
      </w:r>
      <w:r w:rsidR="0008385A">
        <w:t xml:space="preserve">a </w:t>
      </w:r>
      <w:r>
        <w:t>q</w:t>
      </w:r>
      <w:r w:rsidRPr="00E47619">
        <w:t>ualifying offence under s65A of the PACE 1984; and</w:t>
      </w:r>
      <w:r>
        <w:t xml:space="preserve"> </w:t>
      </w:r>
      <w:r w:rsidRPr="00E47619">
        <w:t>where the sought person could reasonably be expected to be sentenced to imprisonment for a term of no less than four years.</w:t>
      </w:r>
    </w:p>
  </w:footnote>
  <w:footnote w:id="33">
    <w:p w14:paraId="1BF74279" w14:textId="140B4408" w:rsidR="006F1A2F" w:rsidRDefault="006F1A2F">
      <w:pPr>
        <w:pStyle w:val="FootnoteText"/>
      </w:pPr>
      <w:r>
        <w:rPr>
          <w:rStyle w:val="FootnoteReference"/>
        </w:rPr>
        <w:footnoteRef/>
      </w:r>
      <w:r>
        <w:t xml:space="preserve"> Including ongoing review and assessment of any disproportionate impacts of biometric surveillance technologies </w:t>
      </w:r>
      <w:r w:rsidR="005E063B">
        <w:t xml:space="preserve">on racialised communities and other protected groups, including consideration of deployment patterns, misidentification rates and cumulative surveillance impacts. </w:t>
      </w:r>
    </w:p>
  </w:footnote>
  <w:footnote w:id="34">
    <w:p w14:paraId="0F812F85" w14:textId="0CAC4985" w:rsidR="006B1473" w:rsidRDefault="006B1473">
      <w:pPr>
        <w:pStyle w:val="FootnoteText"/>
      </w:pPr>
      <w:r>
        <w:rPr>
          <w:rStyle w:val="FootnoteReference"/>
        </w:rPr>
        <w:footnoteRef/>
      </w:r>
      <w:r>
        <w:t xml:space="preserve"> See: </w:t>
      </w:r>
      <w:hyperlink r:id="rId34" w:history="1">
        <w:r w:rsidR="00CD3A97" w:rsidRPr="009D53E4">
          <w:rPr>
            <w:rStyle w:val="Hyperlink"/>
          </w:rPr>
          <w:t>https://committees.parliament.uk/writtenevidence/139769/pdf/</w:t>
        </w:r>
      </w:hyperlink>
      <w:r>
        <w:t xml:space="preserve"> </w:t>
      </w:r>
      <w:r w:rsidR="00CD3A97">
        <w:t xml:space="preserve">See also: </w:t>
      </w:r>
      <w:r w:rsidR="00E60942">
        <w:t xml:space="preserve">Runnymede Trust., (2024). </w:t>
      </w:r>
      <w:hyperlink r:id="rId35" w:history="1">
        <w:r w:rsidR="00E60942" w:rsidRPr="00E60942">
          <w:rPr>
            <w:rStyle w:val="Hyperlink"/>
          </w:rPr>
          <w:t>Islamophobia – The intensification of racism against Muslim communities in the UK</w:t>
        </w:r>
      </w:hyperlink>
      <w:r w:rsidR="00E60942">
        <w:t xml:space="preserve">. </w:t>
      </w:r>
    </w:p>
  </w:footnote>
  <w:footnote w:id="35">
    <w:p w14:paraId="662C1F20" w14:textId="25EDDFA2" w:rsidR="00EF36A0" w:rsidRPr="00EF36A0" w:rsidRDefault="00EF36A0">
      <w:pPr>
        <w:pStyle w:val="FootnoteText"/>
        <w:rPr>
          <w:i/>
          <w:iCs/>
        </w:rPr>
      </w:pPr>
      <w:r>
        <w:rPr>
          <w:rStyle w:val="FootnoteReference"/>
        </w:rPr>
        <w:footnoteRef/>
      </w:r>
      <w:r>
        <w:t xml:space="preserve"> </w:t>
      </w:r>
      <w:r>
        <w:rPr>
          <w:i/>
          <w:iCs/>
        </w:rPr>
        <w:t xml:space="preserve">Ibid. </w:t>
      </w:r>
    </w:p>
  </w:footnote>
  <w:footnote w:id="36">
    <w:p w14:paraId="31E50E6B" w14:textId="1047D238" w:rsidR="00256873" w:rsidRDefault="00256873">
      <w:pPr>
        <w:pStyle w:val="FootnoteText"/>
      </w:pPr>
      <w:r>
        <w:rPr>
          <w:rStyle w:val="FootnoteReference"/>
        </w:rPr>
        <w:footnoteRef/>
      </w:r>
      <w:r>
        <w:t xml:space="preserve"> </w:t>
      </w:r>
      <w:r w:rsidR="000820FE">
        <w:t xml:space="preserve">House of Commons., (2026). </w:t>
      </w:r>
      <w:hyperlink r:id="rId36" w:history="1">
        <w:r w:rsidR="000820FE" w:rsidRPr="00170123">
          <w:rPr>
            <w:rStyle w:val="Hyperlink"/>
          </w:rPr>
          <w:t>Home Affairs Committee – Combatting new forms of e</w:t>
        </w:r>
        <w:r w:rsidR="00170123" w:rsidRPr="00170123">
          <w:rPr>
            <w:rStyle w:val="Hyperlink"/>
          </w:rPr>
          <w:t>xtremism</w:t>
        </w:r>
      </w:hyperlink>
      <w:r w:rsidR="00170123">
        <w:t>.</w:t>
      </w:r>
      <w:r w:rsidR="00E60F09">
        <w:t xml:space="preserve"> See also: </w:t>
      </w:r>
      <w:hyperlink r:id="rId37" w:history="1">
        <w:r w:rsidR="00E60F09" w:rsidRPr="00BC2F12">
          <w:rPr>
            <w:rStyle w:val="Hyperlink"/>
          </w:rPr>
          <w:t>https://committees.parliament.uk/committee/83/home-affairs-committee/news/212957/prevent-referral-mechanism-unprepared-to-deal-with-reality-of-modern-extremism-home-affairs-committee-warns/</w:t>
        </w:r>
      </w:hyperlink>
      <w:r w:rsidR="00E60F09">
        <w:t xml:space="preserve"> </w:t>
      </w:r>
      <w:r w:rsidR="00170123">
        <w:t xml:space="preserve"> </w:t>
      </w:r>
    </w:p>
  </w:footnote>
  <w:footnote w:id="37">
    <w:p w14:paraId="5691F909" w14:textId="561A1344" w:rsidR="00A808AD" w:rsidRPr="00A808AD" w:rsidRDefault="00A808AD">
      <w:pPr>
        <w:pStyle w:val="FootnoteText"/>
        <w:rPr>
          <w:i/>
          <w:iCs/>
        </w:rPr>
      </w:pPr>
      <w:r>
        <w:rPr>
          <w:rStyle w:val="FootnoteReference"/>
        </w:rPr>
        <w:footnoteRef/>
      </w:r>
      <w:r>
        <w:t xml:space="preserve"> </w:t>
      </w:r>
      <w:r>
        <w:rPr>
          <w:i/>
          <w:iCs/>
        </w:rPr>
        <w:t xml:space="preserve">Ibid. </w:t>
      </w:r>
    </w:p>
  </w:footnote>
  <w:footnote w:id="38">
    <w:p w14:paraId="17D5FD8F" w14:textId="676A5CC1" w:rsidR="004B0B48" w:rsidRPr="00D426BB" w:rsidRDefault="004B0B48">
      <w:pPr>
        <w:pStyle w:val="FootnoteText"/>
      </w:pPr>
      <w:r>
        <w:rPr>
          <w:rStyle w:val="FootnoteReference"/>
        </w:rPr>
        <w:footnoteRef/>
      </w:r>
      <w:r>
        <w:t xml:space="preserve"> </w:t>
      </w:r>
      <w:r w:rsidR="00E70A9B">
        <w:t xml:space="preserve">The Southport Inquiry </w:t>
      </w:r>
      <w:hyperlink r:id="rId38" w:history="1">
        <w:r w:rsidR="00E70A9B" w:rsidRPr="0048115F">
          <w:rPr>
            <w:rStyle w:val="Hyperlink"/>
          </w:rPr>
          <w:t>Phase 1</w:t>
        </w:r>
        <w:r w:rsidR="0048115F" w:rsidRPr="0048115F">
          <w:rPr>
            <w:rStyle w:val="Hyperlink"/>
          </w:rPr>
          <w:t>, Volume 1</w:t>
        </w:r>
      </w:hyperlink>
      <w:r w:rsidR="0048115F">
        <w:t xml:space="preserve"> </w:t>
      </w:r>
      <w:r w:rsidR="00E70A9B">
        <w:t xml:space="preserve">and </w:t>
      </w:r>
      <w:hyperlink r:id="rId39" w:history="1">
        <w:r w:rsidR="00E70A9B" w:rsidRPr="00DB44DB">
          <w:rPr>
            <w:rStyle w:val="Hyperlink"/>
          </w:rPr>
          <w:t xml:space="preserve">Phase </w:t>
        </w:r>
        <w:r w:rsidR="0048115F" w:rsidRPr="00DB44DB">
          <w:rPr>
            <w:rStyle w:val="Hyperlink"/>
          </w:rPr>
          <w:t>1, Volume 2</w:t>
        </w:r>
      </w:hyperlink>
      <w:r w:rsidR="00E70A9B">
        <w:t xml:space="preserve"> reports. </w:t>
      </w:r>
      <w:r w:rsidR="007B2E67">
        <w:t xml:space="preserve">See also: </w:t>
      </w:r>
      <w:r w:rsidR="00D426BB">
        <w:t xml:space="preserve">Goldsmith, A., (2026). </w:t>
      </w:r>
      <w:hyperlink r:id="rId40" w:history="1">
        <w:r w:rsidR="00D426BB" w:rsidRPr="0027252B">
          <w:rPr>
            <w:rStyle w:val="Hyperlink"/>
          </w:rPr>
          <w:t>Five key failures of killer’s parents and agencies ahead of Southport attack</w:t>
        </w:r>
      </w:hyperlink>
      <w:r w:rsidR="00D426BB">
        <w:t xml:space="preserve">, </w:t>
      </w:r>
      <w:r w:rsidR="00D426BB">
        <w:rPr>
          <w:i/>
          <w:iCs/>
        </w:rPr>
        <w:t xml:space="preserve">BBC News, </w:t>
      </w:r>
      <w:r w:rsidR="00D426BB">
        <w:t>13</w:t>
      </w:r>
      <w:r w:rsidR="00D426BB" w:rsidRPr="00D426BB">
        <w:rPr>
          <w:vertAlign w:val="superscript"/>
        </w:rPr>
        <w:t>th</w:t>
      </w:r>
      <w:r w:rsidR="00D426BB">
        <w:t xml:space="preserve"> April. </w:t>
      </w:r>
    </w:p>
  </w:footnote>
  <w:footnote w:id="39">
    <w:p w14:paraId="1B9F467B" w14:textId="0521F7CA" w:rsidR="00D960B8" w:rsidRPr="00D960B8" w:rsidRDefault="00D960B8">
      <w:pPr>
        <w:pStyle w:val="FootnoteText"/>
      </w:pPr>
      <w:r>
        <w:rPr>
          <w:rStyle w:val="FootnoteReference"/>
        </w:rPr>
        <w:footnoteRef/>
      </w:r>
      <w:r>
        <w:t xml:space="preserve"> Dennis, C., Edwards, M., and Swallow, B., (2026). </w:t>
      </w:r>
      <w:hyperlink r:id="rId41" w:history="1">
        <w:r w:rsidRPr="00D960B8">
          <w:rPr>
            <w:rStyle w:val="Hyperlink"/>
          </w:rPr>
          <w:t>Axe attack sparks review of counter-terror process</w:t>
        </w:r>
      </w:hyperlink>
      <w:r>
        <w:t xml:space="preserve">, </w:t>
      </w:r>
      <w:r>
        <w:rPr>
          <w:i/>
          <w:iCs/>
        </w:rPr>
        <w:t xml:space="preserve">BBC News, </w:t>
      </w:r>
      <w:r>
        <w:t>20</w:t>
      </w:r>
      <w:r w:rsidRPr="00D960B8">
        <w:rPr>
          <w:vertAlign w:val="superscript"/>
        </w:rPr>
        <w:t>th</w:t>
      </w:r>
      <w:r>
        <w:t xml:space="preserve"> May. </w:t>
      </w:r>
    </w:p>
  </w:footnote>
  <w:footnote w:id="40">
    <w:p w14:paraId="6D722AC3" w14:textId="454CF7F9" w:rsidR="00A96C28" w:rsidRPr="00A96C28" w:rsidRDefault="00A96C28">
      <w:pPr>
        <w:pStyle w:val="FootnoteText"/>
        <w:rPr>
          <w:i/>
          <w:iCs/>
        </w:rPr>
      </w:pPr>
      <w:r>
        <w:rPr>
          <w:rStyle w:val="FootnoteReference"/>
        </w:rPr>
        <w:footnoteRef/>
      </w:r>
      <w:r>
        <w:t xml:space="preserve"> </w:t>
      </w:r>
      <w:r>
        <w:rPr>
          <w:i/>
          <w:iCs/>
        </w:rPr>
        <w:t xml:space="preserve">Ibid.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D14EC6"/>
    <w:multiLevelType w:val="multilevel"/>
    <w:tmpl w:val="A8881AE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18E8382E"/>
    <w:multiLevelType w:val="hybridMultilevel"/>
    <w:tmpl w:val="1CF2DC0E"/>
    <w:lvl w:ilvl="0" w:tplc="C2BADF18">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D03C30"/>
    <w:multiLevelType w:val="multilevel"/>
    <w:tmpl w:val="92261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CA3D2E"/>
    <w:multiLevelType w:val="hybridMultilevel"/>
    <w:tmpl w:val="B4A80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330A47"/>
    <w:multiLevelType w:val="multilevel"/>
    <w:tmpl w:val="F2AEC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F84576"/>
    <w:multiLevelType w:val="multilevel"/>
    <w:tmpl w:val="E9A26D58"/>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5D6E12B0"/>
    <w:multiLevelType w:val="multilevel"/>
    <w:tmpl w:val="54EA2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67330A"/>
    <w:multiLevelType w:val="hybridMultilevel"/>
    <w:tmpl w:val="7FECFE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0D6F96"/>
    <w:multiLevelType w:val="multilevel"/>
    <w:tmpl w:val="1EC00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E22B65"/>
    <w:multiLevelType w:val="hybridMultilevel"/>
    <w:tmpl w:val="0A1A01A0"/>
    <w:lvl w:ilvl="0" w:tplc="C2BADF18">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627545">
    <w:abstractNumId w:val="8"/>
  </w:num>
  <w:num w:numId="2" w16cid:durableId="1102258374">
    <w:abstractNumId w:val="4"/>
  </w:num>
  <w:num w:numId="3" w16cid:durableId="191042983">
    <w:abstractNumId w:val="2"/>
  </w:num>
  <w:num w:numId="4" w16cid:durableId="1260598110">
    <w:abstractNumId w:val="6"/>
  </w:num>
  <w:num w:numId="5" w16cid:durableId="1585608657">
    <w:abstractNumId w:val="1"/>
  </w:num>
  <w:num w:numId="6" w16cid:durableId="1674724325">
    <w:abstractNumId w:val="9"/>
  </w:num>
  <w:num w:numId="7" w16cid:durableId="733118298">
    <w:abstractNumId w:val="7"/>
  </w:num>
  <w:num w:numId="8" w16cid:durableId="964584408">
    <w:abstractNumId w:val="5"/>
  </w:num>
  <w:num w:numId="9" w16cid:durableId="1369375982">
    <w:abstractNumId w:val="0"/>
  </w:num>
  <w:num w:numId="10" w16cid:durableId="7109621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690"/>
    <w:rsid w:val="00001F9D"/>
    <w:rsid w:val="000041FE"/>
    <w:rsid w:val="000043A4"/>
    <w:rsid w:val="00004D30"/>
    <w:rsid w:val="00006E8A"/>
    <w:rsid w:val="000123AA"/>
    <w:rsid w:val="000128C1"/>
    <w:rsid w:val="000133DD"/>
    <w:rsid w:val="00014173"/>
    <w:rsid w:val="000143CE"/>
    <w:rsid w:val="00017111"/>
    <w:rsid w:val="00024260"/>
    <w:rsid w:val="000253C5"/>
    <w:rsid w:val="00025E3F"/>
    <w:rsid w:val="00031815"/>
    <w:rsid w:val="00034497"/>
    <w:rsid w:val="00034709"/>
    <w:rsid w:val="00036369"/>
    <w:rsid w:val="000411BF"/>
    <w:rsid w:val="00043D29"/>
    <w:rsid w:val="00044ED2"/>
    <w:rsid w:val="00051CA8"/>
    <w:rsid w:val="0005220A"/>
    <w:rsid w:val="00053421"/>
    <w:rsid w:val="0005480A"/>
    <w:rsid w:val="00060A36"/>
    <w:rsid w:val="000610BC"/>
    <w:rsid w:val="00064C8A"/>
    <w:rsid w:val="000654AF"/>
    <w:rsid w:val="00071D1F"/>
    <w:rsid w:val="000728F1"/>
    <w:rsid w:val="000737DB"/>
    <w:rsid w:val="000748B3"/>
    <w:rsid w:val="00074D21"/>
    <w:rsid w:val="000820FE"/>
    <w:rsid w:val="000829D1"/>
    <w:rsid w:val="00082C25"/>
    <w:rsid w:val="0008385A"/>
    <w:rsid w:val="00083B6E"/>
    <w:rsid w:val="000859B6"/>
    <w:rsid w:val="0008793B"/>
    <w:rsid w:val="00090C3B"/>
    <w:rsid w:val="00092315"/>
    <w:rsid w:val="000924BC"/>
    <w:rsid w:val="00092CB5"/>
    <w:rsid w:val="000A0330"/>
    <w:rsid w:val="000A49BA"/>
    <w:rsid w:val="000A4F98"/>
    <w:rsid w:val="000A58BE"/>
    <w:rsid w:val="000A5A34"/>
    <w:rsid w:val="000A7B03"/>
    <w:rsid w:val="000B3DC2"/>
    <w:rsid w:val="000B3EFD"/>
    <w:rsid w:val="000C095B"/>
    <w:rsid w:val="000C16F1"/>
    <w:rsid w:val="000C6BC5"/>
    <w:rsid w:val="000D0505"/>
    <w:rsid w:val="000D07EC"/>
    <w:rsid w:val="000D1314"/>
    <w:rsid w:val="000D3B4E"/>
    <w:rsid w:val="000D5387"/>
    <w:rsid w:val="000E39C2"/>
    <w:rsid w:val="000E61CB"/>
    <w:rsid w:val="000F3C26"/>
    <w:rsid w:val="000F7B95"/>
    <w:rsid w:val="00101B3D"/>
    <w:rsid w:val="00103A53"/>
    <w:rsid w:val="0010425F"/>
    <w:rsid w:val="0010726C"/>
    <w:rsid w:val="001113B4"/>
    <w:rsid w:val="00124593"/>
    <w:rsid w:val="0012470F"/>
    <w:rsid w:val="00130EFD"/>
    <w:rsid w:val="0013262B"/>
    <w:rsid w:val="00134D0D"/>
    <w:rsid w:val="001357A4"/>
    <w:rsid w:val="001378D3"/>
    <w:rsid w:val="00137912"/>
    <w:rsid w:val="0014111D"/>
    <w:rsid w:val="001424EA"/>
    <w:rsid w:val="0014258A"/>
    <w:rsid w:val="00145B47"/>
    <w:rsid w:val="001501D5"/>
    <w:rsid w:val="00150733"/>
    <w:rsid w:val="00151AF8"/>
    <w:rsid w:val="0015515A"/>
    <w:rsid w:val="00155ED7"/>
    <w:rsid w:val="001577C6"/>
    <w:rsid w:val="00161164"/>
    <w:rsid w:val="00167964"/>
    <w:rsid w:val="00167ACE"/>
    <w:rsid w:val="00170123"/>
    <w:rsid w:val="00171C2C"/>
    <w:rsid w:val="00173BE1"/>
    <w:rsid w:val="00181430"/>
    <w:rsid w:val="00183EB6"/>
    <w:rsid w:val="00185A1E"/>
    <w:rsid w:val="0018624E"/>
    <w:rsid w:val="00194B77"/>
    <w:rsid w:val="001955B0"/>
    <w:rsid w:val="00196252"/>
    <w:rsid w:val="001972C3"/>
    <w:rsid w:val="001A3634"/>
    <w:rsid w:val="001A5313"/>
    <w:rsid w:val="001A5E3B"/>
    <w:rsid w:val="001B0666"/>
    <w:rsid w:val="001B06B9"/>
    <w:rsid w:val="001B163B"/>
    <w:rsid w:val="001B396F"/>
    <w:rsid w:val="001B3B2F"/>
    <w:rsid w:val="001B6622"/>
    <w:rsid w:val="001C0DB5"/>
    <w:rsid w:val="001C12C8"/>
    <w:rsid w:val="001C15F5"/>
    <w:rsid w:val="001C42DD"/>
    <w:rsid w:val="001C483C"/>
    <w:rsid w:val="001C5E04"/>
    <w:rsid w:val="001C5FD8"/>
    <w:rsid w:val="001C7069"/>
    <w:rsid w:val="001D07EA"/>
    <w:rsid w:val="001D0C7A"/>
    <w:rsid w:val="001D27FA"/>
    <w:rsid w:val="001D45AC"/>
    <w:rsid w:val="001D4EF4"/>
    <w:rsid w:val="001E7E0A"/>
    <w:rsid w:val="001F1511"/>
    <w:rsid w:val="001F36C7"/>
    <w:rsid w:val="001F7785"/>
    <w:rsid w:val="001F7D33"/>
    <w:rsid w:val="002023EE"/>
    <w:rsid w:val="00202802"/>
    <w:rsid w:val="00204456"/>
    <w:rsid w:val="00204AD9"/>
    <w:rsid w:val="002106A0"/>
    <w:rsid w:val="00210DF3"/>
    <w:rsid w:val="00211CE4"/>
    <w:rsid w:val="00211EA8"/>
    <w:rsid w:val="002126A8"/>
    <w:rsid w:val="00217FEC"/>
    <w:rsid w:val="002217D6"/>
    <w:rsid w:val="00221C46"/>
    <w:rsid w:val="002221A7"/>
    <w:rsid w:val="00222F7A"/>
    <w:rsid w:val="00223758"/>
    <w:rsid w:val="00224FE0"/>
    <w:rsid w:val="00226720"/>
    <w:rsid w:val="00227542"/>
    <w:rsid w:val="00231B9C"/>
    <w:rsid w:val="002337DC"/>
    <w:rsid w:val="00237218"/>
    <w:rsid w:val="00237D7A"/>
    <w:rsid w:val="0024033E"/>
    <w:rsid w:val="002431A3"/>
    <w:rsid w:val="0024332C"/>
    <w:rsid w:val="002448E4"/>
    <w:rsid w:val="00245160"/>
    <w:rsid w:val="00245439"/>
    <w:rsid w:val="00252531"/>
    <w:rsid w:val="0025472C"/>
    <w:rsid w:val="00255889"/>
    <w:rsid w:val="00256873"/>
    <w:rsid w:val="00256EC6"/>
    <w:rsid w:val="00257C47"/>
    <w:rsid w:val="00262624"/>
    <w:rsid w:val="002642DB"/>
    <w:rsid w:val="002659DB"/>
    <w:rsid w:val="0026678C"/>
    <w:rsid w:val="00266ABE"/>
    <w:rsid w:val="002700D7"/>
    <w:rsid w:val="0027252B"/>
    <w:rsid w:val="00276E5B"/>
    <w:rsid w:val="00292BB4"/>
    <w:rsid w:val="0029471E"/>
    <w:rsid w:val="00294757"/>
    <w:rsid w:val="002A2D98"/>
    <w:rsid w:val="002A6600"/>
    <w:rsid w:val="002B17E3"/>
    <w:rsid w:val="002B1C4C"/>
    <w:rsid w:val="002B41F3"/>
    <w:rsid w:val="002B4532"/>
    <w:rsid w:val="002C0E2C"/>
    <w:rsid w:val="002C1171"/>
    <w:rsid w:val="002C503F"/>
    <w:rsid w:val="002C646E"/>
    <w:rsid w:val="002C7C06"/>
    <w:rsid w:val="002D19FC"/>
    <w:rsid w:val="002D2F8A"/>
    <w:rsid w:val="002D441A"/>
    <w:rsid w:val="002D513A"/>
    <w:rsid w:val="002D7102"/>
    <w:rsid w:val="002D7539"/>
    <w:rsid w:val="002E34FE"/>
    <w:rsid w:val="002F0FA8"/>
    <w:rsid w:val="002F14EC"/>
    <w:rsid w:val="00300110"/>
    <w:rsid w:val="00300A4B"/>
    <w:rsid w:val="00302554"/>
    <w:rsid w:val="00303F23"/>
    <w:rsid w:val="00307FE2"/>
    <w:rsid w:val="00310A26"/>
    <w:rsid w:val="00322BDC"/>
    <w:rsid w:val="0032333D"/>
    <w:rsid w:val="00331684"/>
    <w:rsid w:val="0033557D"/>
    <w:rsid w:val="003356A9"/>
    <w:rsid w:val="00340039"/>
    <w:rsid w:val="00340057"/>
    <w:rsid w:val="003422EF"/>
    <w:rsid w:val="003426B6"/>
    <w:rsid w:val="00350057"/>
    <w:rsid w:val="0035304D"/>
    <w:rsid w:val="0035633C"/>
    <w:rsid w:val="003563A2"/>
    <w:rsid w:val="003657F4"/>
    <w:rsid w:val="00366BEE"/>
    <w:rsid w:val="0037161F"/>
    <w:rsid w:val="00380FB3"/>
    <w:rsid w:val="00382479"/>
    <w:rsid w:val="00382789"/>
    <w:rsid w:val="00383BF7"/>
    <w:rsid w:val="00384AA2"/>
    <w:rsid w:val="00385BE1"/>
    <w:rsid w:val="00385F03"/>
    <w:rsid w:val="00390F84"/>
    <w:rsid w:val="003920BC"/>
    <w:rsid w:val="003932D8"/>
    <w:rsid w:val="00394785"/>
    <w:rsid w:val="00395317"/>
    <w:rsid w:val="003953BE"/>
    <w:rsid w:val="0039568D"/>
    <w:rsid w:val="003A1993"/>
    <w:rsid w:val="003A6B72"/>
    <w:rsid w:val="003A74F9"/>
    <w:rsid w:val="003B08A6"/>
    <w:rsid w:val="003C03A1"/>
    <w:rsid w:val="003C0926"/>
    <w:rsid w:val="003C153E"/>
    <w:rsid w:val="003C5F03"/>
    <w:rsid w:val="003D284D"/>
    <w:rsid w:val="003D341F"/>
    <w:rsid w:val="003D6503"/>
    <w:rsid w:val="003E1AD4"/>
    <w:rsid w:val="003E202D"/>
    <w:rsid w:val="003E56C8"/>
    <w:rsid w:val="003F04D1"/>
    <w:rsid w:val="003F32F8"/>
    <w:rsid w:val="003F5784"/>
    <w:rsid w:val="003F7B58"/>
    <w:rsid w:val="00401512"/>
    <w:rsid w:val="00403E4C"/>
    <w:rsid w:val="004050BC"/>
    <w:rsid w:val="00405BEA"/>
    <w:rsid w:val="00407A27"/>
    <w:rsid w:val="00407DF6"/>
    <w:rsid w:val="00410D83"/>
    <w:rsid w:val="00412A19"/>
    <w:rsid w:val="004136B1"/>
    <w:rsid w:val="004153A9"/>
    <w:rsid w:val="004160DA"/>
    <w:rsid w:val="00434118"/>
    <w:rsid w:val="0043573E"/>
    <w:rsid w:val="00436D38"/>
    <w:rsid w:val="004374BD"/>
    <w:rsid w:val="0044079E"/>
    <w:rsid w:val="00440E6F"/>
    <w:rsid w:val="004443E9"/>
    <w:rsid w:val="004461D3"/>
    <w:rsid w:val="00446D10"/>
    <w:rsid w:val="004479A6"/>
    <w:rsid w:val="00452DB3"/>
    <w:rsid w:val="00457F9C"/>
    <w:rsid w:val="004623F8"/>
    <w:rsid w:val="0046264B"/>
    <w:rsid w:val="00464384"/>
    <w:rsid w:val="00466CBC"/>
    <w:rsid w:val="00467B1A"/>
    <w:rsid w:val="00471601"/>
    <w:rsid w:val="00473043"/>
    <w:rsid w:val="004740D4"/>
    <w:rsid w:val="00475881"/>
    <w:rsid w:val="00477663"/>
    <w:rsid w:val="00477ACE"/>
    <w:rsid w:val="00480EE5"/>
    <w:rsid w:val="0048115F"/>
    <w:rsid w:val="00483524"/>
    <w:rsid w:val="004902D2"/>
    <w:rsid w:val="00490872"/>
    <w:rsid w:val="00490BD0"/>
    <w:rsid w:val="0049240C"/>
    <w:rsid w:val="004955E9"/>
    <w:rsid w:val="004962B8"/>
    <w:rsid w:val="00497780"/>
    <w:rsid w:val="004A0229"/>
    <w:rsid w:val="004A0ADF"/>
    <w:rsid w:val="004A5E6A"/>
    <w:rsid w:val="004B0B48"/>
    <w:rsid w:val="004B5AAA"/>
    <w:rsid w:val="004B5CD4"/>
    <w:rsid w:val="004B6CFA"/>
    <w:rsid w:val="004B70BE"/>
    <w:rsid w:val="004C01A7"/>
    <w:rsid w:val="004C0EBC"/>
    <w:rsid w:val="004C3FA8"/>
    <w:rsid w:val="004C408F"/>
    <w:rsid w:val="004C4DD5"/>
    <w:rsid w:val="004C6D52"/>
    <w:rsid w:val="004C6F34"/>
    <w:rsid w:val="004D3C0E"/>
    <w:rsid w:val="004D664C"/>
    <w:rsid w:val="004D6B6F"/>
    <w:rsid w:val="004E2DAC"/>
    <w:rsid w:val="004E44EF"/>
    <w:rsid w:val="004E6225"/>
    <w:rsid w:val="004F02D9"/>
    <w:rsid w:val="004F0CD9"/>
    <w:rsid w:val="004F113B"/>
    <w:rsid w:val="004F1A6B"/>
    <w:rsid w:val="004F1CFB"/>
    <w:rsid w:val="004F25BD"/>
    <w:rsid w:val="004F544B"/>
    <w:rsid w:val="005033FF"/>
    <w:rsid w:val="00505059"/>
    <w:rsid w:val="00510C83"/>
    <w:rsid w:val="00511B5F"/>
    <w:rsid w:val="00512F80"/>
    <w:rsid w:val="00513738"/>
    <w:rsid w:val="00515407"/>
    <w:rsid w:val="00516748"/>
    <w:rsid w:val="005216A1"/>
    <w:rsid w:val="0052470B"/>
    <w:rsid w:val="0053617C"/>
    <w:rsid w:val="0054160A"/>
    <w:rsid w:val="005454A9"/>
    <w:rsid w:val="005467E2"/>
    <w:rsid w:val="0054764C"/>
    <w:rsid w:val="00550D56"/>
    <w:rsid w:val="005601AB"/>
    <w:rsid w:val="0056096A"/>
    <w:rsid w:val="00561139"/>
    <w:rsid w:val="00562118"/>
    <w:rsid w:val="00566B5D"/>
    <w:rsid w:val="00570616"/>
    <w:rsid w:val="005734CF"/>
    <w:rsid w:val="00573787"/>
    <w:rsid w:val="00573955"/>
    <w:rsid w:val="005769DC"/>
    <w:rsid w:val="005835D3"/>
    <w:rsid w:val="005879B2"/>
    <w:rsid w:val="005879B8"/>
    <w:rsid w:val="005906AF"/>
    <w:rsid w:val="005A05F9"/>
    <w:rsid w:val="005A12F1"/>
    <w:rsid w:val="005A1C0B"/>
    <w:rsid w:val="005A3E5E"/>
    <w:rsid w:val="005A7327"/>
    <w:rsid w:val="005B2CEE"/>
    <w:rsid w:val="005B33F4"/>
    <w:rsid w:val="005B7035"/>
    <w:rsid w:val="005C1F33"/>
    <w:rsid w:val="005C3378"/>
    <w:rsid w:val="005C4E41"/>
    <w:rsid w:val="005C652C"/>
    <w:rsid w:val="005C678B"/>
    <w:rsid w:val="005D396C"/>
    <w:rsid w:val="005D4755"/>
    <w:rsid w:val="005E063B"/>
    <w:rsid w:val="005E31C2"/>
    <w:rsid w:val="005E355D"/>
    <w:rsid w:val="005E37DA"/>
    <w:rsid w:val="005E6AB4"/>
    <w:rsid w:val="005F0830"/>
    <w:rsid w:val="005F1EA3"/>
    <w:rsid w:val="005F280E"/>
    <w:rsid w:val="005F2CB8"/>
    <w:rsid w:val="005F430B"/>
    <w:rsid w:val="005F51B0"/>
    <w:rsid w:val="005F562C"/>
    <w:rsid w:val="005F71D2"/>
    <w:rsid w:val="006013CD"/>
    <w:rsid w:val="0060415B"/>
    <w:rsid w:val="006044A9"/>
    <w:rsid w:val="00605369"/>
    <w:rsid w:val="0060701B"/>
    <w:rsid w:val="00613133"/>
    <w:rsid w:val="00615F35"/>
    <w:rsid w:val="00617C10"/>
    <w:rsid w:val="006204E2"/>
    <w:rsid w:val="00625F3C"/>
    <w:rsid w:val="006314A1"/>
    <w:rsid w:val="00631707"/>
    <w:rsid w:val="00631E5F"/>
    <w:rsid w:val="00632CFC"/>
    <w:rsid w:val="00634CBE"/>
    <w:rsid w:val="00634DE5"/>
    <w:rsid w:val="00634FEC"/>
    <w:rsid w:val="00636325"/>
    <w:rsid w:val="006364B0"/>
    <w:rsid w:val="00636E5D"/>
    <w:rsid w:val="00637D39"/>
    <w:rsid w:val="00642BD1"/>
    <w:rsid w:val="00650D0C"/>
    <w:rsid w:val="006522E1"/>
    <w:rsid w:val="006569F8"/>
    <w:rsid w:val="0066068D"/>
    <w:rsid w:val="0066427D"/>
    <w:rsid w:val="00671D2D"/>
    <w:rsid w:val="00675972"/>
    <w:rsid w:val="0068092D"/>
    <w:rsid w:val="0068097B"/>
    <w:rsid w:val="00683E64"/>
    <w:rsid w:val="00687710"/>
    <w:rsid w:val="00690CEE"/>
    <w:rsid w:val="00691A38"/>
    <w:rsid w:val="006930B9"/>
    <w:rsid w:val="006943C1"/>
    <w:rsid w:val="00695616"/>
    <w:rsid w:val="00696EF7"/>
    <w:rsid w:val="006A3150"/>
    <w:rsid w:val="006A34B6"/>
    <w:rsid w:val="006A74F1"/>
    <w:rsid w:val="006A7877"/>
    <w:rsid w:val="006B1473"/>
    <w:rsid w:val="006C0E3E"/>
    <w:rsid w:val="006C1333"/>
    <w:rsid w:val="006C2610"/>
    <w:rsid w:val="006C50AA"/>
    <w:rsid w:val="006C5547"/>
    <w:rsid w:val="006C5956"/>
    <w:rsid w:val="006C5EFB"/>
    <w:rsid w:val="006D0706"/>
    <w:rsid w:val="006D0B93"/>
    <w:rsid w:val="006D40C6"/>
    <w:rsid w:val="006D7305"/>
    <w:rsid w:val="006E0972"/>
    <w:rsid w:val="006E481C"/>
    <w:rsid w:val="006E7F97"/>
    <w:rsid w:val="006F1A2F"/>
    <w:rsid w:val="006F5AC4"/>
    <w:rsid w:val="006F6335"/>
    <w:rsid w:val="007000F9"/>
    <w:rsid w:val="00700F27"/>
    <w:rsid w:val="0070258A"/>
    <w:rsid w:val="00702E8C"/>
    <w:rsid w:val="00706308"/>
    <w:rsid w:val="00717DBC"/>
    <w:rsid w:val="007211A3"/>
    <w:rsid w:val="007212CC"/>
    <w:rsid w:val="00721EBE"/>
    <w:rsid w:val="0072337A"/>
    <w:rsid w:val="00731674"/>
    <w:rsid w:val="007333A4"/>
    <w:rsid w:val="00734F1F"/>
    <w:rsid w:val="00737417"/>
    <w:rsid w:val="007402D6"/>
    <w:rsid w:val="00740B7B"/>
    <w:rsid w:val="007416C7"/>
    <w:rsid w:val="00741A4A"/>
    <w:rsid w:val="007421C0"/>
    <w:rsid w:val="007451A9"/>
    <w:rsid w:val="0074755D"/>
    <w:rsid w:val="007505C7"/>
    <w:rsid w:val="00751BBF"/>
    <w:rsid w:val="007537FF"/>
    <w:rsid w:val="00754FE0"/>
    <w:rsid w:val="007610E0"/>
    <w:rsid w:val="00761DD4"/>
    <w:rsid w:val="0076245A"/>
    <w:rsid w:val="007658EE"/>
    <w:rsid w:val="00765C30"/>
    <w:rsid w:val="00766DE3"/>
    <w:rsid w:val="007727C1"/>
    <w:rsid w:val="007731B4"/>
    <w:rsid w:val="00774B2B"/>
    <w:rsid w:val="00774F5F"/>
    <w:rsid w:val="00775ED8"/>
    <w:rsid w:val="00776976"/>
    <w:rsid w:val="0077764B"/>
    <w:rsid w:val="00790ED2"/>
    <w:rsid w:val="00792083"/>
    <w:rsid w:val="007961BA"/>
    <w:rsid w:val="007A059A"/>
    <w:rsid w:val="007A5883"/>
    <w:rsid w:val="007A5CC5"/>
    <w:rsid w:val="007B2E67"/>
    <w:rsid w:val="007B4174"/>
    <w:rsid w:val="007B61EC"/>
    <w:rsid w:val="007C1401"/>
    <w:rsid w:val="007C54A6"/>
    <w:rsid w:val="007C64FB"/>
    <w:rsid w:val="007C7C3F"/>
    <w:rsid w:val="007C7DD6"/>
    <w:rsid w:val="007D6887"/>
    <w:rsid w:val="007D6997"/>
    <w:rsid w:val="007D6CD6"/>
    <w:rsid w:val="007E1353"/>
    <w:rsid w:val="007E2EEE"/>
    <w:rsid w:val="007E58FB"/>
    <w:rsid w:val="007F1B02"/>
    <w:rsid w:val="007F6B79"/>
    <w:rsid w:val="00807A11"/>
    <w:rsid w:val="00811910"/>
    <w:rsid w:val="00813B7C"/>
    <w:rsid w:val="00814E53"/>
    <w:rsid w:val="00815357"/>
    <w:rsid w:val="00815874"/>
    <w:rsid w:val="00821F0C"/>
    <w:rsid w:val="008234A3"/>
    <w:rsid w:val="00826F31"/>
    <w:rsid w:val="0083033A"/>
    <w:rsid w:val="00831905"/>
    <w:rsid w:val="00836087"/>
    <w:rsid w:val="008416C3"/>
    <w:rsid w:val="0084255B"/>
    <w:rsid w:val="00844634"/>
    <w:rsid w:val="00853021"/>
    <w:rsid w:val="008536C6"/>
    <w:rsid w:val="00854B2B"/>
    <w:rsid w:val="00855D4E"/>
    <w:rsid w:val="00856D92"/>
    <w:rsid w:val="008676CC"/>
    <w:rsid w:val="0087093B"/>
    <w:rsid w:val="0087138C"/>
    <w:rsid w:val="008721F6"/>
    <w:rsid w:val="00874F17"/>
    <w:rsid w:val="00880867"/>
    <w:rsid w:val="0088247E"/>
    <w:rsid w:val="0088545B"/>
    <w:rsid w:val="00885D8C"/>
    <w:rsid w:val="008904C5"/>
    <w:rsid w:val="00891068"/>
    <w:rsid w:val="00891EFC"/>
    <w:rsid w:val="00894622"/>
    <w:rsid w:val="00895074"/>
    <w:rsid w:val="008A0E2F"/>
    <w:rsid w:val="008A1712"/>
    <w:rsid w:val="008A43BC"/>
    <w:rsid w:val="008A68E1"/>
    <w:rsid w:val="008A6D2B"/>
    <w:rsid w:val="008A773C"/>
    <w:rsid w:val="008B0139"/>
    <w:rsid w:val="008B28F7"/>
    <w:rsid w:val="008C2315"/>
    <w:rsid w:val="008C27A4"/>
    <w:rsid w:val="008C74FF"/>
    <w:rsid w:val="008D40FB"/>
    <w:rsid w:val="008D55FA"/>
    <w:rsid w:val="008D5D8C"/>
    <w:rsid w:val="008E0D11"/>
    <w:rsid w:val="008F1586"/>
    <w:rsid w:val="008F2015"/>
    <w:rsid w:val="008F4E7E"/>
    <w:rsid w:val="008F60B0"/>
    <w:rsid w:val="00903E61"/>
    <w:rsid w:val="00904DEA"/>
    <w:rsid w:val="00917763"/>
    <w:rsid w:val="009251EE"/>
    <w:rsid w:val="0092695A"/>
    <w:rsid w:val="00930766"/>
    <w:rsid w:val="009375B8"/>
    <w:rsid w:val="00947BE4"/>
    <w:rsid w:val="00951CE3"/>
    <w:rsid w:val="00954150"/>
    <w:rsid w:val="009577EE"/>
    <w:rsid w:val="009632F9"/>
    <w:rsid w:val="00965929"/>
    <w:rsid w:val="0096636D"/>
    <w:rsid w:val="00966479"/>
    <w:rsid w:val="009717EA"/>
    <w:rsid w:val="009750A9"/>
    <w:rsid w:val="00981526"/>
    <w:rsid w:val="00981BD5"/>
    <w:rsid w:val="009826A6"/>
    <w:rsid w:val="00986F3E"/>
    <w:rsid w:val="00987EE3"/>
    <w:rsid w:val="00992630"/>
    <w:rsid w:val="0099562C"/>
    <w:rsid w:val="0099582B"/>
    <w:rsid w:val="009A776B"/>
    <w:rsid w:val="009B3090"/>
    <w:rsid w:val="009B4C0E"/>
    <w:rsid w:val="009B4DD2"/>
    <w:rsid w:val="009C1D8C"/>
    <w:rsid w:val="009C269E"/>
    <w:rsid w:val="009C3A93"/>
    <w:rsid w:val="009C6869"/>
    <w:rsid w:val="009D1239"/>
    <w:rsid w:val="009D177A"/>
    <w:rsid w:val="009D34CB"/>
    <w:rsid w:val="009D599C"/>
    <w:rsid w:val="009D76CB"/>
    <w:rsid w:val="009D7852"/>
    <w:rsid w:val="009E239B"/>
    <w:rsid w:val="009E3466"/>
    <w:rsid w:val="009E6B4C"/>
    <w:rsid w:val="009E6F8F"/>
    <w:rsid w:val="009E6FC2"/>
    <w:rsid w:val="009F2977"/>
    <w:rsid w:val="009F4304"/>
    <w:rsid w:val="009F69A9"/>
    <w:rsid w:val="00A0092A"/>
    <w:rsid w:val="00A01ABE"/>
    <w:rsid w:val="00A01C2A"/>
    <w:rsid w:val="00A0397B"/>
    <w:rsid w:val="00A041F5"/>
    <w:rsid w:val="00A05A21"/>
    <w:rsid w:val="00A05FB7"/>
    <w:rsid w:val="00A06D66"/>
    <w:rsid w:val="00A07381"/>
    <w:rsid w:val="00A10F6E"/>
    <w:rsid w:val="00A15045"/>
    <w:rsid w:val="00A15349"/>
    <w:rsid w:val="00A15A06"/>
    <w:rsid w:val="00A16E30"/>
    <w:rsid w:val="00A177B5"/>
    <w:rsid w:val="00A2112B"/>
    <w:rsid w:val="00A226A0"/>
    <w:rsid w:val="00A26F48"/>
    <w:rsid w:val="00A323B1"/>
    <w:rsid w:val="00A32DF5"/>
    <w:rsid w:val="00A32FD6"/>
    <w:rsid w:val="00A33387"/>
    <w:rsid w:val="00A3346A"/>
    <w:rsid w:val="00A344DC"/>
    <w:rsid w:val="00A35185"/>
    <w:rsid w:val="00A420BD"/>
    <w:rsid w:val="00A42B8B"/>
    <w:rsid w:val="00A4306A"/>
    <w:rsid w:val="00A445DD"/>
    <w:rsid w:val="00A44872"/>
    <w:rsid w:val="00A4698A"/>
    <w:rsid w:val="00A47198"/>
    <w:rsid w:val="00A47C1F"/>
    <w:rsid w:val="00A51039"/>
    <w:rsid w:val="00A53026"/>
    <w:rsid w:val="00A53ED4"/>
    <w:rsid w:val="00A54A8B"/>
    <w:rsid w:val="00A60E0D"/>
    <w:rsid w:val="00A61DEC"/>
    <w:rsid w:val="00A62DA4"/>
    <w:rsid w:val="00A63112"/>
    <w:rsid w:val="00A65774"/>
    <w:rsid w:val="00A66482"/>
    <w:rsid w:val="00A678F4"/>
    <w:rsid w:val="00A703E7"/>
    <w:rsid w:val="00A70420"/>
    <w:rsid w:val="00A768C8"/>
    <w:rsid w:val="00A808AD"/>
    <w:rsid w:val="00A818E2"/>
    <w:rsid w:val="00A83B8D"/>
    <w:rsid w:val="00A86690"/>
    <w:rsid w:val="00A87238"/>
    <w:rsid w:val="00A87A0C"/>
    <w:rsid w:val="00A90675"/>
    <w:rsid w:val="00A9312A"/>
    <w:rsid w:val="00A93883"/>
    <w:rsid w:val="00A9468C"/>
    <w:rsid w:val="00A96C28"/>
    <w:rsid w:val="00AA18AF"/>
    <w:rsid w:val="00AA582D"/>
    <w:rsid w:val="00AA60CA"/>
    <w:rsid w:val="00AA7618"/>
    <w:rsid w:val="00AB1ED8"/>
    <w:rsid w:val="00AB49EB"/>
    <w:rsid w:val="00AB60B9"/>
    <w:rsid w:val="00AB6603"/>
    <w:rsid w:val="00AC0EBE"/>
    <w:rsid w:val="00AD546C"/>
    <w:rsid w:val="00AD5A06"/>
    <w:rsid w:val="00AD6765"/>
    <w:rsid w:val="00AD6A1B"/>
    <w:rsid w:val="00AE0EB6"/>
    <w:rsid w:val="00AE3379"/>
    <w:rsid w:val="00AF18F1"/>
    <w:rsid w:val="00AF3094"/>
    <w:rsid w:val="00AF6DC6"/>
    <w:rsid w:val="00B00701"/>
    <w:rsid w:val="00B013C1"/>
    <w:rsid w:val="00B02A8F"/>
    <w:rsid w:val="00B03878"/>
    <w:rsid w:val="00B04427"/>
    <w:rsid w:val="00B04FCA"/>
    <w:rsid w:val="00B07076"/>
    <w:rsid w:val="00B112B0"/>
    <w:rsid w:val="00B11E73"/>
    <w:rsid w:val="00B130AB"/>
    <w:rsid w:val="00B14EE0"/>
    <w:rsid w:val="00B17EE9"/>
    <w:rsid w:val="00B20038"/>
    <w:rsid w:val="00B20438"/>
    <w:rsid w:val="00B21131"/>
    <w:rsid w:val="00B217B2"/>
    <w:rsid w:val="00B21B54"/>
    <w:rsid w:val="00B2419D"/>
    <w:rsid w:val="00B24B39"/>
    <w:rsid w:val="00B25397"/>
    <w:rsid w:val="00B25FF0"/>
    <w:rsid w:val="00B30E9A"/>
    <w:rsid w:val="00B32348"/>
    <w:rsid w:val="00B32F80"/>
    <w:rsid w:val="00B33790"/>
    <w:rsid w:val="00B42C6E"/>
    <w:rsid w:val="00B43C34"/>
    <w:rsid w:val="00B45DC1"/>
    <w:rsid w:val="00B465CA"/>
    <w:rsid w:val="00B46AD1"/>
    <w:rsid w:val="00B52CE6"/>
    <w:rsid w:val="00B53FC8"/>
    <w:rsid w:val="00B5571A"/>
    <w:rsid w:val="00B6402E"/>
    <w:rsid w:val="00B66C46"/>
    <w:rsid w:val="00B67F30"/>
    <w:rsid w:val="00B70222"/>
    <w:rsid w:val="00B73AA3"/>
    <w:rsid w:val="00B80C19"/>
    <w:rsid w:val="00B81F98"/>
    <w:rsid w:val="00B827E1"/>
    <w:rsid w:val="00B83F14"/>
    <w:rsid w:val="00B86340"/>
    <w:rsid w:val="00B867CA"/>
    <w:rsid w:val="00B90003"/>
    <w:rsid w:val="00BA0102"/>
    <w:rsid w:val="00BA25B1"/>
    <w:rsid w:val="00BA4C20"/>
    <w:rsid w:val="00BA5201"/>
    <w:rsid w:val="00BB0ED2"/>
    <w:rsid w:val="00BB2C6F"/>
    <w:rsid w:val="00BB3CB9"/>
    <w:rsid w:val="00BC0983"/>
    <w:rsid w:val="00BC2403"/>
    <w:rsid w:val="00BC5891"/>
    <w:rsid w:val="00BC63EE"/>
    <w:rsid w:val="00BC6A9A"/>
    <w:rsid w:val="00BD3049"/>
    <w:rsid w:val="00BD4C91"/>
    <w:rsid w:val="00BE129F"/>
    <w:rsid w:val="00BF15A2"/>
    <w:rsid w:val="00BF183C"/>
    <w:rsid w:val="00BF1C38"/>
    <w:rsid w:val="00BF31E3"/>
    <w:rsid w:val="00C000E7"/>
    <w:rsid w:val="00C01239"/>
    <w:rsid w:val="00C03E4E"/>
    <w:rsid w:val="00C107E7"/>
    <w:rsid w:val="00C13B54"/>
    <w:rsid w:val="00C13EC2"/>
    <w:rsid w:val="00C162A9"/>
    <w:rsid w:val="00C17B35"/>
    <w:rsid w:val="00C20CB3"/>
    <w:rsid w:val="00C249F9"/>
    <w:rsid w:val="00C33D86"/>
    <w:rsid w:val="00C37D25"/>
    <w:rsid w:val="00C40EEA"/>
    <w:rsid w:val="00C4180F"/>
    <w:rsid w:val="00C42ADF"/>
    <w:rsid w:val="00C44667"/>
    <w:rsid w:val="00C45421"/>
    <w:rsid w:val="00C45AF6"/>
    <w:rsid w:val="00C47419"/>
    <w:rsid w:val="00C477A2"/>
    <w:rsid w:val="00C504ED"/>
    <w:rsid w:val="00C51487"/>
    <w:rsid w:val="00C52746"/>
    <w:rsid w:val="00C529A2"/>
    <w:rsid w:val="00C57397"/>
    <w:rsid w:val="00C60251"/>
    <w:rsid w:val="00C63297"/>
    <w:rsid w:val="00C653DE"/>
    <w:rsid w:val="00C6557F"/>
    <w:rsid w:val="00C65AC2"/>
    <w:rsid w:val="00C65ACC"/>
    <w:rsid w:val="00C65C3A"/>
    <w:rsid w:val="00C668E9"/>
    <w:rsid w:val="00C71000"/>
    <w:rsid w:val="00C7455B"/>
    <w:rsid w:val="00C77638"/>
    <w:rsid w:val="00C77F37"/>
    <w:rsid w:val="00C808D3"/>
    <w:rsid w:val="00C9322B"/>
    <w:rsid w:val="00CA0531"/>
    <w:rsid w:val="00CA0FA3"/>
    <w:rsid w:val="00CA2092"/>
    <w:rsid w:val="00CA258B"/>
    <w:rsid w:val="00CA2873"/>
    <w:rsid w:val="00CA2CE4"/>
    <w:rsid w:val="00CA3581"/>
    <w:rsid w:val="00CA3D73"/>
    <w:rsid w:val="00CA4241"/>
    <w:rsid w:val="00CA527D"/>
    <w:rsid w:val="00CA5625"/>
    <w:rsid w:val="00CA5F5A"/>
    <w:rsid w:val="00CA7C5D"/>
    <w:rsid w:val="00CB0C87"/>
    <w:rsid w:val="00CB0F0A"/>
    <w:rsid w:val="00CB269A"/>
    <w:rsid w:val="00CB34CD"/>
    <w:rsid w:val="00CB4712"/>
    <w:rsid w:val="00CB7455"/>
    <w:rsid w:val="00CC410E"/>
    <w:rsid w:val="00CC437A"/>
    <w:rsid w:val="00CC4802"/>
    <w:rsid w:val="00CC60C1"/>
    <w:rsid w:val="00CD0B09"/>
    <w:rsid w:val="00CD359F"/>
    <w:rsid w:val="00CD3A97"/>
    <w:rsid w:val="00CD653F"/>
    <w:rsid w:val="00CD6ADD"/>
    <w:rsid w:val="00CD7498"/>
    <w:rsid w:val="00CE1279"/>
    <w:rsid w:val="00CE34D6"/>
    <w:rsid w:val="00CE4257"/>
    <w:rsid w:val="00CF0D6E"/>
    <w:rsid w:val="00CF1CEB"/>
    <w:rsid w:val="00CF2CC2"/>
    <w:rsid w:val="00CF2FD7"/>
    <w:rsid w:val="00CF329D"/>
    <w:rsid w:val="00CF5329"/>
    <w:rsid w:val="00CF5F31"/>
    <w:rsid w:val="00CF71F7"/>
    <w:rsid w:val="00D00416"/>
    <w:rsid w:val="00D053DC"/>
    <w:rsid w:val="00D13A01"/>
    <w:rsid w:val="00D13F34"/>
    <w:rsid w:val="00D2591F"/>
    <w:rsid w:val="00D273F3"/>
    <w:rsid w:val="00D320D0"/>
    <w:rsid w:val="00D33D3F"/>
    <w:rsid w:val="00D33DE3"/>
    <w:rsid w:val="00D35A94"/>
    <w:rsid w:val="00D408EA"/>
    <w:rsid w:val="00D41EE2"/>
    <w:rsid w:val="00D426BB"/>
    <w:rsid w:val="00D52299"/>
    <w:rsid w:val="00D53558"/>
    <w:rsid w:val="00D54D3F"/>
    <w:rsid w:val="00D55F7B"/>
    <w:rsid w:val="00D61BB6"/>
    <w:rsid w:val="00D65686"/>
    <w:rsid w:val="00D65762"/>
    <w:rsid w:val="00D67021"/>
    <w:rsid w:val="00D700B2"/>
    <w:rsid w:val="00D7069E"/>
    <w:rsid w:val="00D715DA"/>
    <w:rsid w:val="00D73F34"/>
    <w:rsid w:val="00D75CC0"/>
    <w:rsid w:val="00D7615A"/>
    <w:rsid w:val="00D76AF5"/>
    <w:rsid w:val="00D7772D"/>
    <w:rsid w:val="00D827CC"/>
    <w:rsid w:val="00D83353"/>
    <w:rsid w:val="00D83F3E"/>
    <w:rsid w:val="00D8550B"/>
    <w:rsid w:val="00D87DD6"/>
    <w:rsid w:val="00D87DE3"/>
    <w:rsid w:val="00D906C3"/>
    <w:rsid w:val="00D92FB6"/>
    <w:rsid w:val="00D92FDE"/>
    <w:rsid w:val="00D93C3D"/>
    <w:rsid w:val="00D94917"/>
    <w:rsid w:val="00D95448"/>
    <w:rsid w:val="00D960B8"/>
    <w:rsid w:val="00D96815"/>
    <w:rsid w:val="00DA0D3D"/>
    <w:rsid w:val="00DA50FC"/>
    <w:rsid w:val="00DA7702"/>
    <w:rsid w:val="00DA7BA3"/>
    <w:rsid w:val="00DB2385"/>
    <w:rsid w:val="00DB44DB"/>
    <w:rsid w:val="00DC2E0D"/>
    <w:rsid w:val="00DC3B1D"/>
    <w:rsid w:val="00DD1450"/>
    <w:rsid w:val="00DD25FC"/>
    <w:rsid w:val="00DD2893"/>
    <w:rsid w:val="00DD3E2E"/>
    <w:rsid w:val="00DD694A"/>
    <w:rsid w:val="00DE1619"/>
    <w:rsid w:val="00DE1CB9"/>
    <w:rsid w:val="00DE32BD"/>
    <w:rsid w:val="00DE3C3E"/>
    <w:rsid w:val="00DE79C4"/>
    <w:rsid w:val="00DF0CCC"/>
    <w:rsid w:val="00DF32D3"/>
    <w:rsid w:val="00E02716"/>
    <w:rsid w:val="00E05FF1"/>
    <w:rsid w:val="00E0730C"/>
    <w:rsid w:val="00E079C2"/>
    <w:rsid w:val="00E1171A"/>
    <w:rsid w:val="00E125BA"/>
    <w:rsid w:val="00E13898"/>
    <w:rsid w:val="00E17820"/>
    <w:rsid w:val="00E17CBC"/>
    <w:rsid w:val="00E2059D"/>
    <w:rsid w:val="00E20873"/>
    <w:rsid w:val="00E246D8"/>
    <w:rsid w:val="00E312C5"/>
    <w:rsid w:val="00E31EF9"/>
    <w:rsid w:val="00E363C0"/>
    <w:rsid w:val="00E36486"/>
    <w:rsid w:val="00E37087"/>
    <w:rsid w:val="00E40999"/>
    <w:rsid w:val="00E40A81"/>
    <w:rsid w:val="00E41B06"/>
    <w:rsid w:val="00E42F69"/>
    <w:rsid w:val="00E433A1"/>
    <w:rsid w:val="00E446EC"/>
    <w:rsid w:val="00E44DB9"/>
    <w:rsid w:val="00E4648F"/>
    <w:rsid w:val="00E46C57"/>
    <w:rsid w:val="00E47619"/>
    <w:rsid w:val="00E52F79"/>
    <w:rsid w:val="00E54127"/>
    <w:rsid w:val="00E566D4"/>
    <w:rsid w:val="00E60942"/>
    <w:rsid w:val="00E60F09"/>
    <w:rsid w:val="00E638A4"/>
    <w:rsid w:val="00E63F27"/>
    <w:rsid w:val="00E657BC"/>
    <w:rsid w:val="00E66CFE"/>
    <w:rsid w:val="00E708F4"/>
    <w:rsid w:val="00E70A9B"/>
    <w:rsid w:val="00E71E3C"/>
    <w:rsid w:val="00E71F23"/>
    <w:rsid w:val="00E76A2F"/>
    <w:rsid w:val="00E770D3"/>
    <w:rsid w:val="00E77CBD"/>
    <w:rsid w:val="00E805AE"/>
    <w:rsid w:val="00E81115"/>
    <w:rsid w:val="00E836DC"/>
    <w:rsid w:val="00E846B3"/>
    <w:rsid w:val="00E85B6E"/>
    <w:rsid w:val="00E860DB"/>
    <w:rsid w:val="00E87884"/>
    <w:rsid w:val="00E901E6"/>
    <w:rsid w:val="00E93364"/>
    <w:rsid w:val="00E93725"/>
    <w:rsid w:val="00E94028"/>
    <w:rsid w:val="00E95D2D"/>
    <w:rsid w:val="00E973E2"/>
    <w:rsid w:val="00EA0A4A"/>
    <w:rsid w:val="00EA1233"/>
    <w:rsid w:val="00EA176D"/>
    <w:rsid w:val="00EA24BA"/>
    <w:rsid w:val="00EA300B"/>
    <w:rsid w:val="00EA3E89"/>
    <w:rsid w:val="00EA5913"/>
    <w:rsid w:val="00EB02DB"/>
    <w:rsid w:val="00EB0443"/>
    <w:rsid w:val="00EB04B8"/>
    <w:rsid w:val="00EB21D3"/>
    <w:rsid w:val="00EB353A"/>
    <w:rsid w:val="00EB3F81"/>
    <w:rsid w:val="00EB4590"/>
    <w:rsid w:val="00EC08AF"/>
    <w:rsid w:val="00EC0D35"/>
    <w:rsid w:val="00EC0E23"/>
    <w:rsid w:val="00EC5FE9"/>
    <w:rsid w:val="00ED17F1"/>
    <w:rsid w:val="00ED1F18"/>
    <w:rsid w:val="00EE4430"/>
    <w:rsid w:val="00EE541E"/>
    <w:rsid w:val="00EE5ADE"/>
    <w:rsid w:val="00EF0F48"/>
    <w:rsid w:val="00EF1705"/>
    <w:rsid w:val="00EF1990"/>
    <w:rsid w:val="00EF203D"/>
    <w:rsid w:val="00EF36A0"/>
    <w:rsid w:val="00EF48BF"/>
    <w:rsid w:val="00EF6C81"/>
    <w:rsid w:val="00F0334B"/>
    <w:rsid w:val="00F070F0"/>
    <w:rsid w:val="00F12D66"/>
    <w:rsid w:val="00F14717"/>
    <w:rsid w:val="00F14A9A"/>
    <w:rsid w:val="00F17689"/>
    <w:rsid w:val="00F219B8"/>
    <w:rsid w:val="00F22352"/>
    <w:rsid w:val="00F239D5"/>
    <w:rsid w:val="00F266B5"/>
    <w:rsid w:val="00F2701B"/>
    <w:rsid w:val="00F27925"/>
    <w:rsid w:val="00F31EF4"/>
    <w:rsid w:val="00F34E24"/>
    <w:rsid w:val="00F36C01"/>
    <w:rsid w:val="00F4042E"/>
    <w:rsid w:val="00F41018"/>
    <w:rsid w:val="00F44454"/>
    <w:rsid w:val="00F4720F"/>
    <w:rsid w:val="00F50C1E"/>
    <w:rsid w:val="00F62FF6"/>
    <w:rsid w:val="00F677ED"/>
    <w:rsid w:val="00F711FF"/>
    <w:rsid w:val="00F73F43"/>
    <w:rsid w:val="00F750ED"/>
    <w:rsid w:val="00F75C91"/>
    <w:rsid w:val="00F77198"/>
    <w:rsid w:val="00F77C98"/>
    <w:rsid w:val="00F818B8"/>
    <w:rsid w:val="00F8487D"/>
    <w:rsid w:val="00F86C10"/>
    <w:rsid w:val="00F90B69"/>
    <w:rsid w:val="00F90D03"/>
    <w:rsid w:val="00F91DC1"/>
    <w:rsid w:val="00F922F9"/>
    <w:rsid w:val="00F93CA9"/>
    <w:rsid w:val="00F96C29"/>
    <w:rsid w:val="00FA1637"/>
    <w:rsid w:val="00FA2B69"/>
    <w:rsid w:val="00FA4941"/>
    <w:rsid w:val="00FA5944"/>
    <w:rsid w:val="00FA5FE6"/>
    <w:rsid w:val="00FA7226"/>
    <w:rsid w:val="00FA7D24"/>
    <w:rsid w:val="00FB03D4"/>
    <w:rsid w:val="00FB2C57"/>
    <w:rsid w:val="00FB32B6"/>
    <w:rsid w:val="00FB464C"/>
    <w:rsid w:val="00FC04A5"/>
    <w:rsid w:val="00FC161B"/>
    <w:rsid w:val="00FC262B"/>
    <w:rsid w:val="00FC5AB1"/>
    <w:rsid w:val="00FC7242"/>
    <w:rsid w:val="00FC7286"/>
    <w:rsid w:val="00FD0DF5"/>
    <w:rsid w:val="00FD29C6"/>
    <w:rsid w:val="00FD2F71"/>
    <w:rsid w:val="00FD68E2"/>
    <w:rsid w:val="00FD7081"/>
    <w:rsid w:val="00FE116C"/>
    <w:rsid w:val="00FE1F77"/>
    <w:rsid w:val="00FE2C63"/>
    <w:rsid w:val="00FE33FF"/>
    <w:rsid w:val="00FE49BC"/>
    <w:rsid w:val="00FE6115"/>
    <w:rsid w:val="00FF08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6D404"/>
  <w15:chartTrackingRefBased/>
  <w15:docId w15:val="{4CF5DE11-7F8F-4361-9A31-6003E3A56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6690"/>
    <w:pPr>
      <w:spacing w:line="259" w:lineRule="auto"/>
    </w:pPr>
    <w:rPr>
      <w:kern w:val="0"/>
      <w:sz w:val="22"/>
      <w:szCs w:val="22"/>
      <w14:ligatures w14:val="none"/>
    </w:rPr>
  </w:style>
  <w:style w:type="paragraph" w:styleId="Heading1">
    <w:name w:val="heading 1"/>
    <w:basedOn w:val="Normal"/>
    <w:next w:val="Normal"/>
    <w:link w:val="Heading1Char"/>
    <w:uiPriority w:val="9"/>
    <w:qFormat/>
    <w:rsid w:val="00A866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66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66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66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66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66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66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66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66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66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66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66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66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66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66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66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66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6690"/>
    <w:rPr>
      <w:rFonts w:eastAsiaTheme="majorEastAsia" w:cstheme="majorBidi"/>
      <w:color w:val="272727" w:themeColor="text1" w:themeTint="D8"/>
    </w:rPr>
  </w:style>
  <w:style w:type="paragraph" w:styleId="Title">
    <w:name w:val="Title"/>
    <w:basedOn w:val="Normal"/>
    <w:next w:val="Normal"/>
    <w:link w:val="TitleChar"/>
    <w:uiPriority w:val="10"/>
    <w:qFormat/>
    <w:rsid w:val="00A866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66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66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66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6690"/>
    <w:pPr>
      <w:spacing w:before="160"/>
      <w:jc w:val="center"/>
    </w:pPr>
    <w:rPr>
      <w:i/>
      <w:iCs/>
      <w:color w:val="404040" w:themeColor="text1" w:themeTint="BF"/>
    </w:rPr>
  </w:style>
  <w:style w:type="character" w:customStyle="1" w:styleId="QuoteChar">
    <w:name w:val="Quote Char"/>
    <w:basedOn w:val="DefaultParagraphFont"/>
    <w:link w:val="Quote"/>
    <w:uiPriority w:val="29"/>
    <w:rsid w:val="00A86690"/>
    <w:rPr>
      <w:i/>
      <w:iCs/>
      <w:color w:val="404040" w:themeColor="text1" w:themeTint="BF"/>
    </w:rPr>
  </w:style>
  <w:style w:type="paragraph" w:styleId="ListParagraph">
    <w:name w:val="List Paragraph"/>
    <w:basedOn w:val="Normal"/>
    <w:uiPriority w:val="34"/>
    <w:qFormat/>
    <w:rsid w:val="00A86690"/>
    <w:pPr>
      <w:ind w:left="720"/>
      <w:contextualSpacing/>
    </w:pPr>
  </w:style>
  <w:style w:type="character" w:styleId="IntenseEmphasis">
    <w:name w:val="Intense Emphasis"/>
    <w:basedOn w:val="DefaultParagraphFont"/>
    <w:uiPriority w:val="21"/>
    <w:qFormat/>
    <w:rsid w:val="00A86690"/>
    <w:rPr>
      <w:i/>
      <w:iCs/>
      <w:color w:val="0F4761" w:themeColor="accent1" w:themeShade="BF"/>
    </w:rPr>
  </w:style>
  <w:style w:type="paragraph" w:styleId="IntenseQuote">
    <w:name w:val="Intense Quote"/>
    <w:basedOn w:val="Normal"/>
    <w:next w:val="Normal"/>
    <w:link w:val="IntenseQuoteChar"/>
    <w:uiPriority w:val="30"/>
    <w:qFormat/>
    <w:rsid w:val="00A866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6690"/>
    <w:rPr>
      <w:i/>
      <w:iCs/>
      <w:color w:val="0F4761" w:themeColor="accent1" w:themeShade="BF"/>
    </w:rPr>
  </w:style>
  <w:style w:type="character" w:styleId="IntenseReference">
    <w:name w:val="Intense Reference"/>
    <w:basedOn w:val="DefaultParagraphFont"/>
    <w:uiPriority w:val="32"/>
    <w:qFormat/>
    <w:rsid w:val="00A86690"/>
    <w:rPr>
      <w:b/>
      <w:bCs/>
      <w:smallCaps/>
      <w:color w:val="0F4761" w:themeColor="accent1" w:themeShade="BF"/>
      <w:spacing w:val="5"/>
    </w:rPr>
  </w:style>
  <w:style w:type="character" w:styleId="Hyperlink">
    <w:name w:val="Hyperlink"/>
    <w:basedOn w:val="DefaultParagraphFont"/>
    <w:uiPriority w:val="99"/>
    <w:unhideWhenUsed/>
    <w:rsid w:val="00A86690"/>
    <w:rPr>
      <w:color w:val="467886" w:themeColor="hyperlink"/>
      <w:u w:val="single"/>
    </w:rPr>
  </w:style>
  <w:style w:type="paragraph" w:styleId="Header">
    <w:name w:val="header"/>
    <w:basedOn w:val="Normal"/>
    <w:link w:val="HeaderChar"/>
    <w:uiPriority w:val="99"/>
    <w:unhideWhenUsed/>
    <w:rsid w:val="00C602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0251"/>
    <w:rPr>
      <w:kern w:val="0"/>
      <w:sz w:val="22"/>
      <w:szCs w:val="22"/>
      <w14:ligatures w14:val="none"/>
    </w:rPr>
  </w:style>
  <w:style w:type="paragraph" w:styleId="Footer">
    <w:name w:val="footer"/>
    <w:basedOn w:val="Normal"/>
    <w:link w:val="FooterChar"/>
    <w:uiPriority w:val="99"/>
    <w:unhideWhenUsed/>
    <w:rsid w:val="00C602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0251"/>
    <w:rPr>
      <w:kern w:val="0"/>
      <w:sz w:val="22"/>
      <w:szCs w:val="22"/>
      <w14:ligatures w14:val="none"/>
    </w:rPr>
  </w:style>
  <w:style w:type="character" w:styleId="UnresolvedMention">
    <w:name w:val="Unresolved Mention"/>
    <w:basedOn w:val="DefaultParagraphFont"/>
    <w:uiPriority w:val="99"/>
    <w:semiHidden/>
    <w:unhideWhenUsed/>
    <w:rsid w:val="00C60251"/>
    <w:rPr>
      <w:color w:val="605E5C"/>
      <w:shd w:val="clear" w:color="auto" w:fill="E1DFDD"/>
    </w:rPr>
  </w:style>
  <w:style w:type="character" w:styleId="CommentReference">
    <w:name w:val="annotation reference"/>
    <w:basedOn w:val="DefaultParagraphFont"/>
    <w:uiPriority w:val="99"/>
    <w:semiHidden/>
    <w:unhideWhenUsed/>
    <w:rsid w:val="004136B1"/>
    <w:rPr>
      <w:sz w:val="16"/>
      <w:szCs w:val="16"/>
    </w:rPr>
  </w:style>
  <w:style w:type="paragraph" w:styleId="CommentText">
    <w:name w:val="annotation text"/>
    <w:basedOn w:val="Normal"/>
    <w:link w:val="CommentTextChar"/>
    <w:uiPriority w:val="99"/>
    <w:unhideWhenUsed/>
    <w:rsid w:val="004136B1"/>
    <w:pPr>
      <w:spacing w:line="240" w:lineRule="auto"/>
    </w:pPr>
    <w:rPr>
      <w:sz w:val="20"/>
      <w:szCs w:val="20"/>
    </w:rPr>
  </w:style>
  <w:style w:type="character" w:customStyle="1" w:styleId="CommentTextChar">
    <w:name w:val="Comment Text Char"/>
    <w:basedOn w:val="DefaultParagraphFont"/>
    <w:link w:val="CommentText"/>
    <w:uiPriority w:val="99"/>
    <w:rsid w:val="004136B1"/>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136B1"/>
    <w:rPr>
      <w:b/>
      <w:bCs/>
    </w:rPr>
  </w:style>
  <w:style w:type="character" w:customStyle="1" w:styleId="CommentSubjectChar">
    <w:name w:val="Comment Subject Char"/>
    <w:basedOn w:val="CommentTextChar"/>
    <w:link w:val="CommentSubject"/>
    <w:uiPriority w:val="99"/>
    <w:semiHidden/>
    <w:rsid w:val="004136B1"/>
    <w:rPr>
      <w:b/>
      <w:bCs/>
      <w:kern w:val="0"/>
      <w:sz w:val="20"/>
      <w:szCs w:val="20"/>
      <w14:ligatures w14:val="none"/>
    </w:rPr>
  </w:style>
  <w:style w:type="paragraph" w:styleId="FootnoteText">
    <w:name w:val="footnote text"/>
    <w:basedOn w:val="Normal"/>
    <w:link w:val="FootnoteTextChar"/>
    <w:uiPriority w:val="99"/>
    <w:unhideWhenUsed/>
    <w:rsid w:val="0087138C"/>
    <w:pPr>
      <w:spacing w:after="0" w:line="240" w:lineRule="auto"/>
    </w:pPr>
    <w:rPr>
      <w:sz w:val="20"/>
      <w:szCs w:val="20"/>
    </w:rPr>
  </w:style>
  <w:style w:type="character" w:customStyle="1" w:styleId="FootnoteTextChar">
    <w:name w:val="Footnote Text Char"/>
    <w:basedOn w:val="DefaultParagraphFont"/>
    <w:link w:val="FootnoteText"/>
    <w:uiPriority w:val="99"/>
    <w:rsid w:val="0087138C"/>
    <w:rPr>
      <w:kern w:val="0"/>
      <w:sz w:val="20"/>
      <w:szCs w:val="20"/>
      <w14:ligatures w14:val="none"/>
    </w:rPr>
  </w:style>
  <w:style w:type="character" w:styleId="FootnoteReference">
    <w:name w:val="footnote reference"/>
    <w:basedOn w:val="DefaultParagraphFont"/>
    <w:uiPriority w:val="99"/>
    <w:semiHidden/>
    <w:unhideWhenUsed/>
    <w:rsid w:val="0087138C"/>
    <w:rPr>
      <w:vertAlign w:val="superscript"/>
    </w:rPr>
  </w:style>
  <w:style w:type="paragraph" w:customStyle="1" w:styleId="pf0">
    <w:name w:val="pf0"/>
    <w:basedOn w:val="Normal"/>
    <w:rsid w:val="005E37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5E37D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raceequalityfirst.org/assets/Joint-NGO-Shadow-Report-for-Wales-June-2024-REF.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liya.mohammed@raceequalityfirst.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3" Type="http://schemas.openxmlformats.org/officeDocument/2006/relationships/hyperlink" Target="https://www.equalityhumanrights.com/our-work/king-application-thompson-and-another-v-commissioner-police-metropolis-summary-our?utm_source=e-shot&amp;utm_medium=email&amp;utm_campaign=March+2026+newsletter" TargetMode="External"/><Relationship Id="rId18" Type="http://schemas.openxmlformats.org/officeDocument/2006/relationships/hyperlink" Target="https://www.libertyhumanrights.org.uk/issue/liberty-wins-ground-breaking-victory-against-facial-recognition-tech/" TargetMode="External"/><Relationship Id="rId26" Type="http://schemas.openxmlformats.org/officeDocument/2006/relationships/hyperlink" Target="https://www.theguardian.com/uk-news/2025/oct/02/six-minutes-of-terror-how-manchester-synagogue-attack-unfolded" TargetMode="External"/><Relationship Id="rId39" Type="http://schemas.openxmlformats.org/officeDocument/2006/relationships/hyperlink" Target="https://southport-prod.s3.eu-west-2.amazonaws.com/2026/04/31.236_HO_Southport-Inquiry_Volume2_WEB.pdf" TargetMode="External"/><Relationship Id="rId21" Type="http://schemas.openxmlformats.org/officeDocument/2006/relationships/hyperlink" Target="https://www.bbc.co.uk/news/technology-69055945" TargetMode="External"/><Relationship Id="rId34" Type="http://schemas.openxmlformats.org/officeDocument/2006/relationships/hyperlink" Target="https://committees.parliament.uk/writtenevidence/139769/pdf/" TargetMode="External"/><Relationship Id="rId7" Type="http://schemas.openxmlformats.org/officeDocument/2006/relationships/hyperlink" Target="https://bigbrotherwatch.org.uk/wp-content/uploads/2023/05/Biometric-Britain.pdf" TargetMode="External"/><Relationship Id="rId2" Type="http://schemas.openxmlformats.org/officeDocument/2006/relationships/hyperlink" Target="https://www.gov.wales/ethnic-group-national-identity-language-and-religion-wales-census-2021-html?utm_source=chatgpt.com" TargetMode="External"/><Relationship Id="rId16" Type="http://schemas.openxmlformats.org/officeDocument/2006/relationships/hyperlink" Target="https://www.adalovelaceinstitute.org/wp-content/uploads/2025/06/The-Ryder-Review-Ada-Lovelace-Institute-June-2022.pdf?v=1748879730" TargetMode="External"/><Relationship Id="rId20" Type="http://schemas.openxmlformats.org/officeDocument/2006/relationships/hyperlink" Target="https://www.ohchr.org/sites/default/files/documents/form/digital-surveillance-chilling-effects-shadows-erosion-freedom-1-en.pdf" TargetMode="External"/><Relationship Id="rId29" Type="http://schemas.openxmlformats.org/officeDocument/2006/relationships/hyperlink" Target="https://www.theguardian.com/news/2026/may/06/met-police-specialist-unit-antisemitic-hate-crime-london-high" TargetMode="External"/><Relationship Id="rId41" Type="http://schemas.openxmlformats.org/officeDocument/2006/relationships/hyperlink" Target="https://www.bbc.co.uk/news/articles/c9d3673693eo" TargetMode="External"/><Relationship Id="rId1" Type="http://schemas.openxmlformats.org/officeDocument/2006/relationships/hyperlink" Target="https://www.gov.uk/government/statistics/stop-and-search-arrests-and-mental-health-detentions-march-2025" TargetMode="External"/><Relationship Id="rId6" Type="http://schemas.openxmlformats.org/officeDocument/2006/relationships/hyperlink" Target="https://bigbrotherwatch.org.uk/wp-content/uploads/2023/05/Biometric-Britain.pdf" TargetMode="External"/><Relationship Id="rId11" Type="http://schemas.openxmlformats.org/officeDocument/2006/relationships/hyperlink" Target="https://www.aclu.org/news/privacy-technology/amazons-face-recognition-falsely-matched-28" TargetMode="External"/><Relationship Id="rId24" Type="http://schemas.openxmlformats.org/officeDocument/2006/relationships/hyperlink" Target="https://eur-lex.europa.eu/legal-content/EN/TXT/HTML/?uri=OJ:L_202401689" TargetMode="External"/><Relationship Id="rId32" Type="http://schemas.openxmlformats.org/officeDocument/2006/relationships/hyperlink" Target="https://palestinecampaign.org/wp-content/uploads/2026/05/Letter-of-complaint-to-MOPAC-1.pdf?ml_sub=3009037182166897677&amp;ml_sub_hash=e2l3&amp;utm_source=newsletter&amp;utm_medium=email&amp;utm_campaign=defending_universal_anti_racist_principles_the_defining_struggle_of_our_times&amp;utm_term=2026-05-14" TargetMode="External"/><Relationship Id="rId37" Type="http://schemas.openxmlformats.org/officeDocument/2006/relationships/hyperlink" Target="https://committees.parliament.uk/committee/83/home-affairs-committee/news/212957/prevent-referral-mechanism-unprepared-to-deal-with-reality-of-modern-extremism-home-affairs-committee-warns/" TargetMode="External"/><Relationship Id="rId40" Type="http://schemas.openxmlformats.org/officeDocument/2006/relationships/hyperlink" Target="https://www.bbc.co.uk/news/articles/c239zz1m324o" TargetMode="External"/><Relationship Id="rId5" Type="http://schemas.openxmlformats.org/officeDocument/2006/relationships/hyperlink" Target="https://www.libertyhumanrights.org.uk/issue/legal-challenge-ed-bridges-v-south-wales-police/" TargetMode="External"/><Relationship Id="rId15" Type="http://schemas.openxmlformats.org/officeDocument/2006/relationships/hyperlink" Target="https://www.ohchr.org/sites/default/files/documents/form/digital-surveillance-chilling-effects-shadows-erosion-freedom-1-en.pdf" TargetMode="External"/><Relationship Id="rId23" Type="http://schemas.openxmlformats.org/officeDocument/2006/relationships/hyperlink" Target="https://www.gov.uk/government/consultations/legal-framework-for-using-facial-recognition-in-law-enforcement/consultation-on-a-new-legal-framework-for-law-enforcement-use-of-biometrics-facial-recognition-and-similar-technologies-accessible" TargetMode="External"/><Relationship Id="rId28" Type="http://schemas.openxmlformats.org/officeDocument/2006/relationships/hyperlink" Target="https://www.theguardian.com/uk-news/2026/apr/29/stabbing-golders-green-london" TargetMode="External"/><Relationship Id="rId36" Type="http://schemas.openxmlformats.org/officeDocument/2006/relationships/hyperlink" Target="https://committees.parliament.uk/publications/52458/documents/291283/default/" TargetMode="External"/><Relationship Id="rId10" Type="http://schemas.openxmlformats.org/officeDocument/2006/relationships/hyperlink" Target="https://www.nist.gov/news-events/news/2019/12/nist-study-evaluates-effects-race-age-sex-face-recognition-software" TargetMode="External"/><Relationship Id="rId19" Type="http://schemas.openxmlformats.org/officeDocument/2006/relationships/hyperlink" Target="https://www.equalityhumanrights.com/our-work/king-application-thompson-and-another-v-commissioner-police-metropolis-summary-our?utm_source=e-shot&amp;utm_medium=email&amp;utm_campaign=March+2026+newsletter" TargetMode="External"/><Relationship Id="rId31" Type="http://schemas.openxmlformats.org/officeDocument/2006/relationships/hyperlink" Target="https://irr.org.uk/article/defending-universal-anti-racist-principles-the-defining-struggle-of-our-times/" TargetMode="External"/><Relationship Id="rId4" Type="http://schemas.openxmlformats.org/officeDocument/2006/relationships/hyperlink" Target="https://criminaljusticealliance.org/wp-content/uploads/No-Respect-290617.pdf" TargetMode="External"/><Relationship Id="rId9" Type="http://schemas.openxmlformats.org/officeDocument/2006/relationships/hyperlink" Target="https://www.media.mit.edu/publications/gender-shades-intersectional-accuracy-disparities-in-commercial-gender-classification/" TargetMode="External"/><Relationship Id="rId14" Type="http://schemas.openxmlformats.org/officeDocument/2006/relationships/hyperlink" Target="https://www.adalovelaceinstitute.org/wp-content/uploads/2025/06/The-Ryder-Review-Ada-Lovelace-Institute-June-2022.pdf?v=1748879730" TargetMode="External"/><Relationship Id="rId22" Type="http://schemas.openxmlformats.org/officeDocument/2006/relationships/hyperlink" Target="https://www.equalityhumanrights.com/our-work/king-application-thompson-and-another-v-commissioner-police-metropolis-summary-our?utm_source=e-shot&amp;utm_medium=email&amp;utm_campaign=March+2026+newsletter" TargetMode="External"/><Relationship Id="rId27" Type="http://schemas.openxmlformats.org/officeDocument/2006/relationships/hyperlink" Target="https://www.theguardian.com/uk-news/2026/may/01/essa-suleiman-man-charged-attempted-three-people-london-knife-attacks-golders-green?ml_sub=3009037182166897677&amp;ml_sub_hash=e2l3&amp;utm_source=newsletter&amp;utm_medium=email&amp;utm_campaign=defending_universal_anti_racist_principles_the_defining_struggle_of_our_times&amp;utm_term=2026-05-14" TargetMode="External"/><Relationship Id="rId30" Type="http://schemas.openxmlformats.org/officeDocument/2006/relationships/hyperlink" Target="https://www.theguardian.com/politics/live/2026/may/05/keir-starmer-uk-antisemitism-summit-golders-green-terror-latest-news-updates?filterKeyEvents=false&amp;page=with:block-69f9d7818f08437d5ad9e058&amp;ml_sub=3009037182166897677&amp;ml_sub_hash=e2l3&amp;utm_source=newsletter&amp;utm_medium=email&amp;utm_campaign=defending_universal_anti_racist_principles_the_defining_struggle_of_our_times&amp;utm_term=2026-05-14" TargetMode="External"/><Relationship Id="rId35" Type="http://schemas.openxmlformats.org/officeDocument/2006/relationships/hyperlink" Target="https://cdn.prod.website-files.com/61488f992b58e687f1108c7c/67507138f93ab16b069b3375_Runnymede_Islamophobia%20Report_Final_11_compressed-compressed.pdf" TargetMode="External"/><Relationship Id="rId8" Type="http://schemas.openxmlformats.org/officeDocument/2006/relationships/hyperlink" Target="https://www.equalityhumanrights.com/our-work/king-application-thompson-and-another-v-commissioner-police-metropolis-summary-our?utm_source=e-shot&amp;utm_medium=email&amp;utm_campaign=March+2026+newsletter" TargetMode="External"/><Relationship Id="rId3" Type="http://schemas.openxmlformats.org/officeDocument/2006/relationships/hyperlink" Target="https://www.ethnicity-facts-figures.service.gov.uk/crime-justice-and-the-law/policing/confidence-in-the-local-police/latest/" TargetMode="External"/><Relationship Id="rId12" Type="http://schemas.openxmlformats.org/officeDocument/2006/relationships/hyperlink" Target="https://news.mit.edu/2018/study-finds-gender-skin-type-bias-artificial-intelligence-systems-0212" TargetMode="External"/><Relationship Id="rId17" Type="http://schemas.openxmlformats.org/officeDocument/2006/relationships/hyperlink" Target="https://www.libertyhumanrights.org.uk/issue/legal-challenge-ed-bridges-v-south-wales-police/" TargetMode="External"/><Relationship Id="rId25" Type="http://schemas.openxmlformats.org/officeDocument/2006/relationships/hyperlink" Target="https://artificialintelligenceact.eu/article/5/" TargetMode="External"/><Relationship Id="rId33" Type="http://schemas.openxmlformats.org/officeDocument/2006/relationships/hyperlink" Target="https://www.theguardian.com/law/2026/may/12/palestine-action-trial-lawyer-wins-appeal-contempt-court-charge?ml_sub=3009037182166897677&amp;ml_sub_hash=e2l3&amp;utm_source=newsletter&amp;utm_medium=email&amp;utm_campaign=defending_universal_anti_racist_principles_the_defining_struggle_of_our_times&amp;utm_term=2026-05-14" TargetMode="External"/><Relationship Id="rId38" Type="http://schemas.openxmlformats.org/officeDocument/2006/relationships/hyperlink" Target="https://southport-prod.s3.eu-west-2.amazonaws.com/2026/04/31.236_HO_Southport-Inquiry_Volume1_WE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c7f5752-6344-4405-a98d-e072ad927fb3" xsi:nil="true"/>
    <lcf76f155ced4ddcb4097134ff3c332f xmlns="e91b11b9-afb5-4405-b8ea-af36a366c417">
      <Terms xmlns="http://schemas.microsoft.com/office/infopath/2007/PartnerControls"/>
    </lcf76f155ced4ddcb4097134ff3c332f>
    <Interview xmlns="e91b11b9-afb5-4405-b8ea-af36a366c417"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17417107945BF47901AC11D52C09B3B" ma:contentTypeVersion="21" ma:contentTypeDescription="Create a new document." ma:contentTypeScope="" ma:versionID="ff71300cba56a885fa6942bfefdebdbe">
  <xsd:schema xmlns:xsd="http://www.w3.org/2001/XMLSchema" xmlns:xs="http://www.w3.org/2001/XMLSchema" xmlns:p="http://schemas.microsoft.com/office/2006/metadata/properties" xmlns:ns2="e91b11b9-afb5-4405-b8ea-af36a366c417" xmlns:ns3="dc7f5752-6344-4405-a98d-e072ad927fb3" targetNamespace="http://schemas.microsoft.com/office/2006/metadata/properties" ma:root="true" ma:fieldsID="c347e0f61df37b720cd6345eeacd0f87" ns2:_="" ns3:_="">
    <xsd:import namespace="e91b11b9-afb5-4405-b8ea-af36a366c417"/>
    <xsd:import namespace="dc7f5752-6344-4405-a98d-e072ad927fb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Interview"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1b11b9-afb5-4405-b8ea-af36a366c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1b124af-02ff-448f-8635-340dd832c9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Interview" ma:index="27" nillable="true" ma:displayName="Interview" ma:format="Dropdown" ma:internalName="Interview">
      <xsd:simpleType>
        <xsd:union memberTypes="dms:Text">
          <xsd:simpleType>
            <xsd:restriction base="dms:Choice">
              <xsd:enumeration value="Yes"/>
              <xsd:enumeration value="No"/>
              <xsd:enumeration value="Choice 3"/>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dc7f5752-6344-4405-a98d-e072ad927fb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661425a-0643-4c38-b58d-bfca16775a5b}" ma:internalName="TaxCatchAll" ma:showField="CatchAllData" ma:web="dc7f5752-6344-4405-a98d-e072ad927f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4E13F9-FE4C-40F6-A732-CA9B57BE7554}">
  <ds:schemaRefs>
    <ds:schemaRef ds:uri="http://schemas.microsoft.com/office/2006/metadata/properties"/>
    <ds:schemaRef ds:uri="http://schemas.microsoft.com/office/infopath/2007/PartnerControls"/>
    <ds:schemaRef ds:uri="dc7f5752-6344-4405-a98d-e072ad927fb3"/>
    <ds:schemaRef ds:uri="e91b11b9-afb5-4405-b8ea-af36a366c417"/>
  </ds:schemaRefs>
</ds:datastoreItem>
</file>

<file path=customXml/itemProps2.xml><?xml version="1.0" encoding="utf-8"?>
<ds:datastoreItem xmlns:ds="http://schemas.openxmlformats.org/officeDocument/2006/customXml" ds:itemID="{044B32BF-95C0-4BCD-8DD5-4E59B23472E5}">
  <ds:schemaRefs>
    <ds:schemaRef ds:uri="http://schemas.openxmlformats.org/officeDocument/2006/bibliography"/>
  </ds:schemaRefs>
</ds:datastoreItem>
</file>

<file path=customXml/itemProps3.xml><?xml version="1.0" encoding="utf-8"?>
<ds:datastoreItem xmlns:ds="http://schemas.openxmlformats.org/officeDocument/2006/customXml" ds:itemID="{4FECEE64-39B0-48B1-B4FA-A51BC0E5B770}">
  <ds:schemaRefs>
    <ds:schemaRef ds:uri="http://schemas.microsoft.com/sharepoint/v3/contenttype/forms"/>
  </ds:schemaRefs>
</ds:datastoreItem>
</file>

<file path=customXml/itemProps4.xml><?xml version="1.0" encoding="utf-8"?>
<ds:datastoreItem xmlns:ds="http://schemas.openxmlformats.org/officeDocument/2006/customXml" ds:itemID="{72449ECA-33E3-4BA5-9B2E-EEE7FDBFE1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1b11b9-afb5-4405-b8ea-af36a366c417"/>
    <ds:schemaRef ds:uri="dc7f5752-6344-4405-a98d-e072ad927f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4069</TotalTime>
  <Pages>20</Pages>
  <Words>6847</Words>
  <Characters>37457</Characters>
  <Application>Microsoft Office Word</Application>
  <DocSecurity>0</DocSecurity>
  <Lines>634</Lines>
  <Paragraphs>190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Tanti</dc:creator>
  <cp:keywords/>
  <dc:description/>
  <cp:lastModifiedBy>christina tanti</cp:lastModifiedBy>
  <cp:revision>969</cp:revision>
  <dcterms:created xsi:type="dcterms:W3CDTF">2026-05-01T11:15:00Z</dcterms:created>
  <dcterms:modified xsi:type="dcterms:W3CDTF">2026-05-22T14:16:00Z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0x010100D17417107945BF47901AC11D52C09B3B</vt:lpwstr>
  </property>
  <property fmtid="{D5CDD505-2E9C-101B-9397-08002B2CF9AE}" pid="3" name="MediaServiceImageTags">
    <vt:lpwstr/>
  </property>
</Properties>
</file>