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Rule="auto"/>
        <w:ind w:left="-283.46456692913375" w:right="-430.8661417322827" w:firstLine="0"/>
        <w:rPr>
          <w:rFonts w:ascii="Lato Black" w:cs="Lato Black" w:eastAsia="Lato Black" w:hAnsi="Lato Black"/>
          <w:b w:val="1"/>
          <w:color w:val="434343"/>
          <w:sz w:val="44"/>
          <w:szCs w:val="44"/>
        </w:rPr>
      </w:pPr>
      <w:r w:rsidDel="00000000" w:rsidR="00000000" w:rsidRPr="00000000">
        <w:rPr>
          <w:rtl w:val="0"/>
        </w:rPr>
      </w:r>
    </w:p>
    <w:p w:rsidR="00000000" w:rsidDel="00000000" w:rsidP="00000000" w:rsidRDefault="00000000" w:rsidRPr="00000000" w14:paraId="00000002">
      <w:pPr>
        <w:spacing w:after="200" w:before="200" w:lineRule="auto"/>
        <w:ind w:left="-283.46456692913375" w:right="-430.8661417322827" w:firstLine="0"/>
        <w:jc w:val="center"/>
        <w:rPr>
          <w:rFonts w:ascii="Lato Black" w:cs="Lato Black" w:eastAsia="Lato Black" w:hAnsi="Lato Black"/>
          <w:b w:val="1"/>
          <w:color w:val="434343"/>
          <w:sz w:val="44"/>
          <w:szCs w:val="44"/>
        </w:rPr>
      </w:pPr>
      <w:r w:rsidDel="00000000" w:rsidR="00000000" w:rsidRPr="00000000">
        <w:rPr>
          <w:rFonts w:ascii="Lato Black" w:cs="Lato Black" w:eastAsia="Lato Black" w:hAnsi="Lato Black"/>
          <w:b w:val="1"/>
          <w:color w:val="434343"/>
          <w:sz w:val="44"/>
          <w:szCs w:val="44"/>
          <w:rtl w:val="0"/>
        </w:rPr>
        <w:t xml:space="preserve">Informe alternativo conjunto al Comité de Derechos Económicos, Sociales y Culturales de Naciones Unidas</w:t>
      </w:r>
    </w:p>
    <w:p w:rsidR="00000000" w:rsidDel="00000000" w:rsidP="00000000" w:rsidRDefault="00000000" w:rsidRPr="00000000" w14:paraId="00000003">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b w:val="1"/>
          <w:color w:val="434343"/>
          <w:sz w:val="36"/>
          <w:szCs w:val="36"/>
          <w:rtl w:val="0"/>
        </w:rPr>
        <w:t xml:space="preserve">(Quinto Informe Periódico del Estado de Chile)</w:t>
      </w:r>
      <w:r w:rsidDel="00000000" w:rsidR="00000000" w:rsidRPr="00000000">
        <w:rPr>
          <w:rtl w:val="0"/>
        </w:rPr>
      </w:r>
    </w:p>
    <w:p w:rsidR="00000000" w:rsidDel="00000000" w:rsidP="00000000" w:rsidRDefault="00000000" w:rsidRPr="00000000" w14:paraId="00000004">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i w:val="1"/>
          <w:color w:val="434343"/>
          <w:sz w:val="38"/>
          <w:szCs w:val="38"/>
          <w:rtl w:val="0"/>
        </w:rPr>
        <w:t xml:space="preserve">Corporación Miles</w:t>
      </w:r>
    </w:p>
    <w:p w:rsidR="00000000" w:rsidDel="00000000" w:rsidP="00000000" w:rsidRDefault="00000000" w:rsidRPr="00000000" w14:paraId="00000005">
      <w:pPr>
        <w:spacing w:after="200" w:before="200" w:lineRule="auto"/>
        <w:ind w:left="-283.46456692913375" w:right="-430.8661417322827" w:firstLine="0"/>
        <w:jc w:val="center"/>
        <w:rPr>
          <w:rFonts w:ascii="Lato Black" w:cs="Lato Black" w:eastAsia="Lato Black" w:hAnsi="Lato Black"/>
          <w:i w:val="1"/>
          <w:color w:val="434343"/>
          <w:sz w:val="38"/>
          <w:szCs w:val="38"/>
        </w:rPr>
      </w:pPr>
      <w:r w:rsidDel="00000000" w:rsidR="00000000" w:rsidRPr="00000000">
        <w:rPr>
          <w:rFonts w:ascii="Lato Black" w:cs="Lato Black" w:eastAsia="Lato Black" w:hAnsi="Lato Black"/>
          <w:i w:val="1"/>
          <w:color w:val="434343"/>
          <w:sz w:val="38"/>
          <w:szCs w:val="38"/>
          <w:rtl w:val="0"/>
        </w:rPr>
        <w:t xml:space="preserve">Women’s Link Worldwide</w:t>
      </w:r>
    </w:p>
    <w:p w:rsidR="00000000" w:rsidDel="00000000" w:rsidP="00000000" w:rsidRDefault="00000000" w:rsidRPr="00000000" w14:paraId="00000006">
      <w:pPr>
        <w:spacing w:after="200" w:before="200" w:lineRule="auto"/>
        <w:ind w:left="-283.46456692913375" w:right="-430.8661417322827" w:firstLine="0"/>
        <w:jc w:val="center"/>
        <w:rPr>
          <w:rFonts w:ascii="Lato" w:cs="Lato" w:eastAsia="Lato" w:hAnsi="Lato"/>
          <w:color w:val="434343"/>
          <w:sz w:val="38"/>
          <w:szCs w:val="38"/>
        </w:rPr>
      </w:pPr>
      <w:r w:rsidDel="00000000" w:rsidR="00000000" w:rsidRPr="00000000">
        <w:rPr>
          <w:rFonts w:ascii="Lato Black" w:cs="Lato Black" w:eastAsia="Lato Black" w:hAnsi="Lato Black"/>
          <w:i w:val="1"/>
          <w:color w:val="434343"/>
          <w:sz w:val="38"/>
          <w:szCs w:val="38"/>
          <w:rtl w:val="0"/>
        </w:rPr>
        <w:t xml:space="preserve">Chile necesita ESI</w:t>
      </w:r>
      <w:r w:rsidDel="00000000" w:rsidR="00000000" w:rsidRPr="00000000">
        <w:rPr>
          <w:rtl w:val="0"/>
        </w:rPr>
      </w:r>
    </w:p>
    <w:p w:rsidR="00000000" w:rsidDel="00000000" w:rsidP="00000000" w:rsidRDefault="00000000" w:rsidRPr="00000000" w14:paraId="00000007">
      <w:pPr>
        <w:spacing w:after="200" w:before="200" w:lineRule="auto"/>
        <w:ind w:left="-283.46456692913375" w:right="-430.8661417322827" w:firstLine="0"/>
        <w:rPr>
          <w:rFonts w:ascii="Lato" w:cs="Lato" w:eastAsia="Lato" w:hAnsi="Lato"/>
          <w:color w:val="434343"/>
          <w:sz w:val="38"/>
          <w:szCs w:val="38"/>
        </w:rPr>
      </w:pPr>
      <w:r w:rsidDel="00000000" w:rsidR="00000000" w:rsidRPr="00000000">
        <w:rPr>
          <w:rtl w:val="0"/>
        </w:rPr>
      </w:r>
    </w:p>
    <w:p w:rsidR="00000000" w:rsidDel="00000000" w:rsidP="00000000" w:rsidRDefault="00000000" w:rsidRPr="00000000" w14:paraId="00000008">
      <w:pPr>
        <w:spacing w:after="200" w:before="200" w:lineRule="auto"/>
        <w:ind w:left="-283.46456692913375" w:right="-430.8661417322827" w:firstLine="0"/>
        <w:jc w:val="center"/>
        <w:rPr>
          <w:rFonts w:ascii="Lato" w:cs="Lato" w:eastAsia="Lato" w:hAnsi="Lato"/>
          <w:color w:val="434343"/>
          <w:sz w:val="30"/>
          <w:szCs w:val="30"/>
        </w:rPr>
      </w:pPr>
      <w:bookmarkStart w:colFirst="0" w:colLast="0" w:name="_heading=h.eotu915ztqoi" w:id="0"/>
      <w:bookmarkEnd w:id="0"/>
      <w:r w:rsidDel="00000000" w:rsidR="00000000" w:rsidRPr="00000000">
        <w:rPr>
          <w:rFonts w:ascii="Lato" w:cs="Lato" w:eastAsia="Lato" w:hAnsi="Lato"/>
          <w:color w:val="434343"/>
          <w:sz w:val="30"/>
          <w:szCs w:val="30"/>
          <w:rtl w:val="0"/>
        </w:rPr>
        <w:t xml:space="preserve">Agosto, 2025</w:t>
      </w:r>
    </w:p>
    <w:p w:rsidR="00000000" w:rsidDel="00000000" w:rsidP="00000000" w:rsidRDefault="00000000" w:rsidRPr="00000000" w14:paraId="00000009">
      <w:pPr>
        <w:spacing w:after="200" w:before="200" w:lineRule="auto"/>
        <w:ind w:left="-283.46456692913375" w:right="-430.8661417322827" w:firstLine="0"/>
        <w:jc w:val="left"/>
        <w:rPr>
          <w:rFonts w:ascii="Lato" w:cs="Lato" w:eastAsia="Lato" w:hAnsi="Lato"/>
          <w:color w:val="434343"/>
          <w:sz w:val="30"/>
          <w:szCs w:val="30"/>
        </w:rPr>
      </w:pPr>
      <w:bookmarkStart w:colFirst="0" w:colLast="0" w:name="_heading=h.g0p34u1ea941" w:id="1"/>
      <w:bookmarkEnd w:id="1"/>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430.8661417322827" w:firstLine="0"/>
        <w:jc w:val="left"/>
        <w:rPr>
          <w:rFonts w:ascii="Lato Black" w:cs="Lato Black" w:eastAsia="Lato Black" w:hAnsi="Lato Black"/>
          <w:b w:val="1"/>
          <w:color w:val="434343"/>
          <w:sz w:val="22"/>
          <w:szCs w:val="22"/>
        </w:rPr>
      </w:pPr>
      <w:r w:rsidDel="00000000" w:rsidR="00000000" w:rsidRPr="00000000">
        <w:rPr>
          <w:rFonts w:ascii="Lato Black" w:cs="Lato Black" w:eastAsia="Lato Black" w:hAnsi="Lato Black"/>
          <w:b w:val="1"/>
          <w:i w:val="0"/>
          <w:smallCaps w:val="0"/>
          <w:strike w:val="0"/>
          <w:color w:val="434343"/>
          <w:sz w:val="22"/>
          <w:szCs w:val="22"/>
          <w:u w:val="none"/>
          <w:shd w:fill="auto" w:val="clear"/>
          <w:vertAlign w:val="baseline"/>
          <w:rtl w:val="0"/>
        </w:rPr>
        <w:t xml:space="preserve">Tabla de contenido</w:t>
      </w:r>
      <w:r w:rsidDel="00000000" w:rsidR="00000000" w:rsidRPr="00000000">
        <w:rPr>
          <w:rtl w:val="0"/>
        </w:rPr>
      </w:r>
    </w:p>
    <w:sdt>
      <w:sdtPr>
        <w:id w:val="-1193895236"/>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o8za55x12n7">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Introducción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yew4zfm5lm5t">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12 – Derecho a la Salud: Sobre el acceso a la justicia</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sa21quaaw34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12 – Derecho a la Salud: Sobre VIH e ITS</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4yars7f2c37q">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12 – Derecho a la Salud: Sobre las mujeres con discapacidad</w:t>
              <w:tab/>
              <w:t xml:space="preserve">9</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u75abqrvgsqb">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12 – Derecho a la Salud: Sobre la anticoncepción</w:t>
              <w:tab/>
              <w:t xml:space="preserve">11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rFonts w:ascii="Lato" w:cs="Lato" w:eastAsia="Lato" w:hAnsi="Lato"/>
              <w:b w:val="0"/>
              <w:i w:val="0"/>
              <w:smallCaps w:val="0"/>
              <w:strike w:val="0"/>
              <w:color w:val="434343"/>
              <w:sz w:val="22"/>
              <w:szCs w:val="22"/>
              <w:u w:val="none"/>
              <w:shd w:fill="auto" w:val="clear"/>
              <w:vertAlign w:val="baseline"/>
            </w:rPr>
          </w:pPr>
          <w:hyperlink w:anchor="_heading=h.wgv5x0icofez">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12 – Derecho a la Salud: Sobre la implementación de la Ley IVE</w:t>
              <w:tab/>
              <w:t xml:space="preserve">13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630"/>
            </w:tabs>
            <w:spacing w:after="0" w:before="0" w:line="276" w:lineRule="auto"/>
            <w:ind w:left="-283.46456692913375" w:right="-430.8661417322827" w:firstLine="0"/>
            <w:jc w:val="left"/>
            <w:rPr>
              <w:color w:val="434343"/>
              <w:sz w:val="22"/>
              <w:szCs w:val="22"/>
            </w:rPr>
          </w:pPr>
          <w:hyperlink w:anchor="_heading=h.f1w86wz0aivz">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Artículo 13 – Derecho a la Educación: Sobre la educación sexual integral</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430.8661417322827" w:firstLine="0"/>
        <w:jc w:val="both"/>
        <w:rPr>
          <w:rFonts w:ascii="Lato" w:cs="Lato" w:eastAsia="Lato" w:hAnsi="Lato"/>
          <w:color w:val="434343"/>
          <w:sz w:val="22"/>
          <w:szCs w:val="22"/>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b w:val="1"/>
          <w:color w:val="434343"/>
          <w:sz w:val="22"/>
          <w:szCs w:val="22"/>
          <w:rtl w:val="0"/>
        </w:rPr>
        <w:t xml:space="preserve">Corporación Miles Chile</w:t>
      </w:r>
      <w:r w:rsidDel="00000000" w:rsidR="00000000" w:rsidRPr="00000000">
        <w:rPr>
          <w:rFonts w:ascii="Lato" w:cs="Lato" w:eastAsia="Lato" w:hAnsi="Lato"/>
          <w:color w:val="434343"/>
          <w:sz w:val="22"/>
          <w:szCs w:val="22"/>
          <w:rtl w:val="0"/>
        </w:rPr>
        <w:t xml:space="preserve"> es una organización no gubernamental de derecho privado sin fines de lucro que tiene como misión promover y proteger los derechos sexuales y reproductivos de las mujeres en toda su diversidad y durante todo su ciclo vital. Actualmente, ofrece servicios gratuitos de carácter legal, psicosocial y en salud sexual y reproductiva mediante telemedicina en todo el territorio nacional. Además, trabaja en incidencia social y política, promoviendo cambios sociales, legislativos y en políticas públicas para garantizar los derechos sexuales y reproductivos.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b w:val="1"/>
          <w:color w:val="434343"/>
          <w:sz w:val="22"/>
          <w:szCs w:val="22"/>
          <w:rtl w:val="0"/>
        </w:rPr>
        <w:t xml:space="preserve">Women's Link Worldwide</w:t>
      </w:r>
      <w:r w:rsidDel="00000000" w:rsidR="00000000" w:rsidRPr="00000000">
        <w:rPr>
          <w:rFonts w:ascii="Lato" w:cs="Lato" w:eastAsia="Lato" w:hAnsi="Lato"/>
          <w:color w:val="434343"/>
          <w:sz w:val="22"/>
          <w:szCs w:val="22"/>
          <w:rtl w:val="0"/>
        </w:rPr>
        <w:t xml:space="preserve"> es una organización transregional feminista interseccional, antirracista, anticapacitista y anticolonialista de derechos humanos, liderada desde el Sur Global y que trabaja en América Latina y el Caribe, África Oriental y Europa. En colaboración con otras aliadas, se esfuerzan por llevar justicia a las mujeres, niñas y personas de género diverso, desmantelando las barreras estructurales que obstaculizan sus derechos. Women's Link adopta un enfoque visionario para promover la justicia de género. Reconociendo la compleja red de opresiones que enfrentan las mujeres y niñas de todo el mundo, emplea el litigio estratégico, la defensa legal y las comunicaciones estratégicas para desafiar las leyes y prácticas discriminatorias.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6"/>
          <w:szCs w:val="26"/>
        </w:rPr>
      </w:pPr>
      <w:r w:rsidDel="00000000" w:rsidR="00000000" w:rsidRPr="00000000">
        <w:rPr>
          <w:rFonts w:ascii="Lato" w:cs="Lato" w:eastAsia="Lato" w:hAnsi="Lato"/>
          <w:b w:val="1"/>
          <w:color w:val="434343"/>
          <w:sz w:val="22"/>
          <w:szCs w:val="22"/>
          <w:rtl w:val="0"/>
        </w:rPr>
        <w:t xml:space="preserve">Chile necesita ESI</w:t>
      </w:r>
      <w:r w:rsidDel="00000000" w:rsidR="00000000" w:rsidRPr="00000000">
        <w:rPr>
          <w:rFonts w:ascii="Lato" w:cs="Lato" w:eastAsia="Lato" w:hAnsi="Lato"/>
          <w:color w:val="434343"/>
          <w:sz w:val="22"/>
          <w:szCs w:val="22"/>
          <w:rtl w:val="0"/>
        </w:rPr>
        <w:t xml:space="preserve"> es una Fundación sin fines de lucro que trabaja por promover la Educación Sexual Integral a lo largo de todo el curso de la vida. Trabajan de manera interdisciplinaria en tres líneas estratégicas: la ESI como perspectiva, la ESI como disciplina y la ESI como derecho. Su equipo estudia y propone programas y proyectos para hacer realidad la integralidad de la educación en sexualidad y afectividad, incorporando los aspectos sociales y subjetivos de su vivencia, y comprendiendo a todas las personas como sujetos en desarrollo, que en virtud de su autonomía, buscan la satisfacción de sus afectos, deseos y necesidades en esta dimensión constitutiva de la humanidad.</w:t>
      </w:r>
      <w:r w:rsidDel="00000000" w:rsidR="00000000" w:rsidRPr="00000000">
        <w:rPr>
          <w:rtl w:val="0"/>
        </w:rPr>
      </w:r>
    </w:p>
    <w:p w:rsidR="00000000" w:rsidDel="00000000" w:rsidP="00000000" w:rsidRDefault="00000000" w:rsidRPr="00000000" w14:paraId="00000016">
      <w:pPr>
        <w:pStyle w:val="Heading1"/>
        <w:spacing w:after="200" w:before="200" w:lineRule="auto"/>
        <w:ind w:left="-283.46456692913375" w:right="-430.8661417322827" w:firstLine="0"/>
        <w:rPr>
          <w:rFonts w:ascii="Lato" w:cs="Lato" w:eastAsia="Lato" w:hAnsi="Lato"/>
          <w:color w:val="434343"/>
          <w:sz w:val="26"/>
          <w:szCs w:val="26"/>
        </w:rPr>
      </w:pPr>
      <w:bookmarkStart w:colFirst="0" w:colLast="0" w:name="_heading=h.eo8za55x12n7" w:id="2"/>
      <w:bookmarkEnd w:id="2"/>
      <w:r w:rsidDel="00000000" w:rsidR="00000000" w:rsidRPr="00000000">
        <w:rPr>
          <w:rFonts w:ascii="Lato" w:cs="Lato" w:eastAsia="Lato" w:hAnsi="Lato"/>
          <w:color w:val="434343"/>
          <w:sz w:val="26"/>
          <w:szCs w:val="26"/>
          <w:rtl w:val="0"/>
        </w:rPr>
        <w:t xml:space="preserve">Introducción</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El presente informe ha sido elaborado con el propósito de aportar antecedentes sustantivos sobre la situación actual del Estado de Chile en relación con el cumplimiento de sus obligaciones internacionales en materia de derechos sexuales y reproductivos, en el marco de lo dispuesto </w:t>
      </w:r>
      <w:r w:rsidDel="00000000" w:rsidR="00000000" w:rsidRPr="00000000">
        <w:rPr>
          <w:rFonts w:ascii="Lato" w:cs="Lato" w:eastAsia="Lato" w:hAnsi="Lato"/>
          <w:color w:val="434343"/>
          <w:sz w:val="22"/>
          <w:szCs w:val="22"/>
          <w:rtl w:val="0"/>
        </w:rPr>
        <w:t xml:space="preserve">en el</w:t>
      </w: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 artículo 12 del Pacto Internacional de Derechos Económicos, Sociales y Culturales (PIDESC), y otros artículos complementarios según cada dimensión tratada. Su objetivo es informar al Comité de Derechos Económicos, Sociales y Culturales (CDESC) respecto a los avances, brechas, obstáculos y desafíos que persisten en la garantía de estos derechos, así como formular recomendaciones específicas al Estado, basadas en evidencia empírica, normativa y testimonial.</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El documento aborda en profundidad distintas dimensiones que inciden en el ejercicio efectivo de los derechos sexuales y reproductivos en Chile: el acceso a servicios de salud sexual y reproductiva, incluidas la atención en VIH/ITS, la anticoncepción y la interrupción voluntaria del embarazo; la educación sexual integral; la situación de grupos históricamente excluidos como mujeres con discapacidad, niñas y adolescentes; así como las barreras institucionales y legales que obstaculizan el acceso a la justicia reproductiva. Asimismo, se examinan los efectos de la pandemia de COVID-19 en la continuidad de los servicios, la criminalización del aborto fuera de las tres causales permitidas por ley, y las deficiencias en la provisión de información pública en materia reproductiva.</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Este informe ha sido construido desde un enfoque de derechos humanos, con perspectiva de género, interseccional y territorial, reconociendo que la desigualdad en el acceso y garantía de los derechos sexuales y reproductivos no afecta a todas las personas por igual. Las mujeres, niñas, adolescentes, personas LGBTIQ+, personas migrantes, pueblos indígenas y personas con discapacidad enfrentan obstáculos particulares que profundizan la exclusión estructural y la discriminación en el acceso a servicios de salud, educación e información.</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La elaboración de este documento se ha sustentado en un análisis combinado de normativa nacional e internacional, políticas públicas, estadísticas oficiales, estudios académicos y evidencia producida por organizaciones de la sociedad civil, incluyendo testimonios, encuestas, solicitudes de acceso a la información y monitoreo de casos. En cada sección se expone un diagnóstico con base empírica, se identifica la norma del PIDESC o de otros instrumentos internacionales aplicables, se establecen las obligaciones del Estado en cuanto a respeto, protección y garantía de derechos, y se presenta una recomendación concreta al Comité, en coherencia con sus observaciones anteriores, con el objetivo de fortalecer el seguimiento y el cumplimiento efectivo de los derechos sexuales y reproductivos en el país.</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u w:val="none"/>
          <w:shd w:fill="auto" w:val="clear"/>
          <w:vertAlign w:val="baseline"/>
        </w:rPr>
      </w:pPr>
      <w:r w:rsidDel="00000000" w:rsidR="00000000" w:rsidRPr="00000000">
        <w:rPr>
          <w:rFonts w:ascii="Lato" w:cs="Lato" w:eastAsia="Lato" w:hAnsi="Lato"/>
          <w:b w:val="0"/>
          <w:i w:val="0"/>
          <w:smallCaps w:val="0"/>
          <w:strike w:val="0"/>
          <w:color w:val="434343"/>
          <w:sz w:val="22"/>
          <w:szCs w:val="22"/>
          <w:u w:val="none"/>
          <w:shd w:fill="auto" w:val="clear"/>
          <w:vertAlign w:val="baseline"/>
          <w:rtl w:val="0"/>
        </w:rPr>
        <w:t xml:space="preserve">Este informe busca contribuir al diálogo internacional sobre los estándares de protección de los DESC, y en particular, evidenciar la necesidad de avanzar hacia una política pública robusta, articulada y con enfoque de derechos que asegure el acceso universal, informado, libre de violencia y discriminación a los derechos sexuales y reproductivos en Chile.</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b w:val="1"/>
          <w:i w:val="1"/>
          <w:color w:val="434343"/>
        </w:rPr>
      </w:pPr>
      <w:r w:rsidDel="00000000" w:rsidR="00000000" w:rsidRPr="00000000">
        <w:rPr>
          <w:rFonts w:ascii="Lato" w:cs="Lato" w:eastAsia="Lato" w:hAnsi="Lato"/>
          <w:b w:val="1"/>
          <w:color w:val="434343"/>
          <w:sz w:val="26"/>
          <w:szCs w:val="26"/>
          <w:rtl w:val="0"/>
        </w:rPr>
        <w:t xml:space="preserve">Artículo 12 – Derecho a la Salud: </w:t>
      </w:r>
      <w:r w:rsidDel="00000000" w:rsidR="00000000" w:rsidRPr="00000000">
        <w:rPr>
          <w:rFonts w:ascii="Lato" w:cs="Lato" w:eastAsia="Lato" w:hAnsi="Lato"/>
          <w:b w:val="1"/>
          <w:i w:val="1"/>
          <w:color w:val="434343"/>
          <w:sz w:val="26"/>
          <w:szCs w:val="26"/>
          <w:rtl w:val="0"/>
        </w:rPr>
        <w:t xml:space="preserve">Sobre el acceso a la justicia</w:t>
      </w:r>
      <w:r w:rsidDel="00000000" w:rsidR="00000000" w:rsidRPr="00000000">
        <w:rPr>
          <w:rtl w:val="0"/>
        </w:rPr>
      </w:r>
    </w:p>
    <w:p w:rsidR="00000000" w:rsidDel="00000000" w:rsidP="00000000" w:rsidRDefault="00000000" w:rsidRPr="00000000" w14:paraId="0000001D">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el contexto normativo chileno, la interrupción del embarazo continúa siendo regulada en el Código Penal, con tres excepciones estrictas, despenalizadas por la Ley Nº21.030 en 2017 (riesgo de vida para la persona gestante, inviabilidad fetal y violación). Este cuerpo legal exige que las niñas menores de 14 años cuenten con la autorización de sus tutores legales para acceder a la prestación, lo que constituye un obstáculo adicional al experimentado por adolescentes y adultas.. En caso de no contar con dicha autorización, se contempla la figura de la </w:t>
      </w:r>
      <w:r w:rsidDel="00000000" w:rsidR="00000000" w:rsidRPr="00000000">
        <w:rPr>
          <w:rFonts w:ascii="Lato" w:cs="Lato" w:eastAsia="Lato" w:hAnsi="Lato"/>
          <w:b w:val="1"/>
          <w:color w:val="434343"/>
          <w:sz w:val="22"/>
          <w:szCs w:val="22"/>
          <w:rtl w:val="0"/>
        </w:rPr>
        <w:t xml:space="preserve">autorización judicial sustitutiva,</w:t>
      </w:r>
      <w:r w:rsidDel="00000000" w:rsidR="00000000" w:rsidRPr="00000000">
        <w:rPr>
          <w:rFonts w:ascii="Lato" w:cs="Lato" w:eastAsia="Lato" w:hAnsi="Lato"/>
          <w:color w:val="434343"/>
          <w:sz w:val="22"/>
          <w:szCs w:val="22"/>
          <w:rtl w:val="0"/>
        </w:rPr>
        <w:t xml:space="preserve"> es decir, que un tribunal autorice el procedimiento en ausencia o negativa de los tutores. Sin embargo, se observa un acceso limitado de las niñas a la justicia en este ámbito; no se han adoptado medidas mínimas para llevar registrar estos casos ni existen protocolos establecidos para proceder</w:t>
      </w:r>
      <w:r w:rsidDel="00000000" w:rsidR="00000000" w:rsidRPr="00000000">
        <w:rPr>
          <w:rFonts w:ascii="Lato" w:cs="Lato" w:eastAsia="Lato" w:hAnsi="Lato"/>
          <w:color w:val="434343"/>
          <w:sz w:val="22"/>
          <w:szCs w:val="22"/>
          <w:vertAlign w:val="superscript"/>
        </w:rPr>
        <w:footnoteReference w:customMarkFollows="0" w:id="0"/>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1E">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Entre 2017 y 2022, se tramitaron solo 14 autorizaciones judiciales para acceder a la interrupción voluntaria del embarazo en niñas menores de 14 años, de las cuales solo 2 fueron concedidas</w:t>
      </w:r>
      <w:r w:rsidDel="00000000" w:rsidR="00000000" w:rsidRPr="00000000">
        <w:rPr>
          <w:rFonts w:ascii="Lato" w:cs="Lato" w:eastAsia="Lato" w:hAnsi="Lato"/>
          <w:color w:val="434343"/>
          <w:sz w:val="22"/>
          <w:szCs w:val="22"/>
          <w:vertAlign w:val="superscript"/>
        </w:rPr>
        <w:footnoteReference w:customMarkFollows="0" w:id="1"/>
      </w:r>
      <w:r w:rsidDel="00000000" w:rsidR="00000000" w:rsidRPr="00000000">
        <w:rPr>
          <w:rFonts w:ascii="Lato" w:cs="Lato" w:eastAsia="Lato" w:hAnsi="Lato"/>
          <w:color w:val="434343"/>
          <w:sz w:val="22"/>
          <w:szCs w:val="22"/>
          <w:rtl w:val="0"/>
        </w:rPr>
        <w:t xml:space="preserve">. Durante el mismo período, egresaron 214 niñas desde hospitales públicos como madres, mientras que solo 93 casos fueron constituidos bajo la causal de violación y solo 72 interrumpieron el embarazo en el marco de la Ley Nº 21.030</w:t>
      </w:r>
      <w:r w:rsidDel="00000000" w:rsidR="00000000" w:rsidRPr="00000000">
        <w:rPr>
          <w:rFonts w:ascii="Lato" w:cs="Lato" w:eastAsia="Lato" w:hAnsi="Lato"/>
          <w:color w:val="434343"/>
          <w:sz w:val="22"/>
          <w:szCs w:val="22"/>
          <w:vertAlign w:val="superscript"/>
        </w:rPr>
        <w:footnoteReference w:customMarkFollows="0" w:id="2"/>
      </w:r>
      <w:r w:rsidDel="00000000" w:rsidR="00000000" w:rsidRPr="00000000">
        <w:rPr>
          <w:rFonts w:ascii="Lato" w:cs="Lato" w:eastAsia="Lato" w:hAnsi="Lato"/>
          <w:color w:val="434343"/>
          <w:sz w:val="22"/>
          <w:szCs w:val="22"/>
          <w:rtl w:val="0"/>
        </w:rPr>
        <w:t xml:space="preserve">. Estos datos reflejan la existencia de serias barreras estructurales y normativas para el acceso efectivo a la prestación de aborto legal en niñas víctimas de violencia sexual. Aunque la ley contempla la figura de la autorización judicial sustitutiva en casos donde no exista consentimiento de los tutores legales, no existen protocolos ni lineamientos oficiales que regulen el procedimiento, lo que restringe severamente su implementación.</w:t>
      </w:r>
    </w:p>
    <w:p w:rsidR="00000000" w:rsidDel="00000000" w:rsidP="00000000" w:rsidRDefault="00000000" w:rsidRPr="00000000" w14:paraId="0000001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Además,</w:t>
      </w:r>
      <w:r w:rsidDel="00000000" w:rsidR="00000000" w:rsidRPr="00000000">
        <w:rPr>
          <w:rFonts w:ascii="Lato" w:cs="Lato" w:eastAsia="Lato" w:hAnsi="Lato"/>
          <w:b w:val="1"/>
          <w:color w:val="434343"/>
          <w:sz w:val="22"/>
          <w:szCs w:val="22"/>
          <w:rtl w:val="0"/>
        </w:rPr>
        <w:t xml:space="preserve"> persiste una contradicción normativa entre el artículo 175 d) del Código Procesal Penal, que obliga a profesionales de salud a denunciar cuando adviertan señales de delito, y el artículo 247 del Código Penal, que sanciona la revelación de secretos profesionales.</w:t>
      </w:r>
      <w:r w:rsidDel="00000000" w:rsidR="00000000" w:rsidRPr="00000000">
        <w:rPr>
          <w:rFonts w:ascii="Lato" w:cs="Lato" w:eastAsia="Lato" w:hAnsi="Lato"/>
          <w:color w:val="434343"/>
          <w:sz w:val="22"/>
          <w:szCs w:val="22"/>
          <w:rtl w:val="0"/>
        </w:rPr>
        <w:t xml:space="preserve"> En la práctica, esta ambigüedad ha derivado en una cultura institucional de denuncia, especialmente hacia mujeres que acuden a los servicios de salud con complicaciones obstétricas. Según un análisis de 391 causas realizado por Corporación Miles, un 19,6% de las denuncias provino directamente de personal de salud, y en un 25,7% de los casos donde no se identificó al denunciante, la atención se había producido en un establecimiento hospitalario, lo que permite inferir que </w:t>
      </w:r>
      <w:r w:rsidDel="00000000" w:rsidR="00000000" w:rsidRPr="00000000">
        <w:rPr>
          <w:rFonts w:ascii="Lato" w:cs="Lato" w:eastAsia="Lato" w:hAnsi="Lato"/>
          <w:b w:val="1"/>
          <w:color w:val="434343"/>
          <w:sz w:val="22"/>
          <w:szCs w:val="22"/>
          <w:rtl w:val="0"/>
        </w:rPr>
        <w:t xml:space="preserve">hasta un 45,3% de las imputaciones fueron iniciadas por equipos médicos</w:t>
      </w:r>
      <w:r w:rsidDel="00000000" w:rsidR="00000000" w:rsidRPr="00000000">
        <w:rPr>
          <w:rFonts w:ascii="Lato" w:cs="Lato" w:eastAsia="Lato" w:hAnsi="Lato"/>
          <w:color w:val="434343"/>
          <w:sz w:val="22"/>
          <w:szCs w:val="22"/>
          <w:vertAlign w:val="superscript"/>
        </w:rPr>
        <w:footnoteReference w:customMarkFollows="0" w:id="3"/>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2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Este panorama constituye una </w:t>
      </w:r>
      <w:r w:rsidDel="00000000" w:rsidR="00000000" w:rsidRPr="00000000">
        <w:rPr>
          <w:rFonts w:ascii="Lato" w:cs="Lato" w:eastAsia="Lato" w:hAnsi="Lato"/>
          <w:b w:val="1"/>
          <w:color w:val="434343"/>
          <w:sz w:val="22"/>
          <w:szCs w:val="22"/>
          <w:rtl w:val="0"/>
        </w:rPr>
        <w:t xml:space="preserve">vulneración del derecho a la salud y a la confidencialidad en el acceso a servicios de salud sexual y reproductiva</w:t>
      </w:r>
      <w:r w:rsidDel="00000000" w:rsidR="00000000" w:rsidRPr="00000000">
        <w:rPr>
          <w:rFonts w:ascii="Lato" w:cs="Lato" w:eastAsia="Lato" w:hAnsi="Lato"/>
          <w:color w:val="434343"/>
          <w:sz w:val="22"/>
          <w:szCs w:val="22"/>
          <w:rtl w:val="0"/>
        </w:rPr>
        <w:t xml:space="preserve">, protegido por el artículo 12 del Pacto Internacional de Derechos Económicos, Sociales y Culturales, y contraviene lo establecido en la Observación General N°22 del Comité, que prohíbe expresamente la criminalización del aborto como mecanismo de regulación de la salud reproductiva. Asimismo, infringe estándares internacionales sobre el interés superior de la niñez, establecidos en la Convención sobre los Derechos del Niño y desarrollados por el Comité de los Derechos del Niño en su Observación General N°3.</w:t>
      </w:r>
    </w:p>
    <w:p w:rsidR="00000000" w:rsidDel="00000000" w:rsidP="00000000" w:rsidRDefault="00000000" w:rsidRPr="00000000" w14:paraId="00000021">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22">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Emitir los instrumentos administrativos, por parte del Ministerio de Salud, que instruyan a las instituciones y profesionales de salud a no denunciar a mujeres y niñas cuando presenten síntomas o indicios compatibles con aborto provocado.</w:t>
      </w:r>
    </w:p>
    <w:p w:rsidR="00000000" w:rsidDel="00000000" w:rsidP="00000000" w:rsidRDefault="00000000" w:rsidRPr="00000000" w14:paraId="00000023">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Capacitar a las y los profesionales de salud sobre el sentido y alcance del deber de denuncia y el secreto profesional, con perspectiva de género y en el marco del derecho internacional de los derechos humanos. </w:t>
      </w:r>
    </w:p>
    <w:p w:rsidR="00000000" w:rsidDel="00000000" w:rsidP="00000000" w:rsidRDefault="00000000" w:rsidRPr="00000000" w14:paraId="00000024">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Emitir, con urgencia, los instrumentos normativos necesarios por parte de la Corte Suprema que regulen de manera clara el procedimiento para la autorización judicial sustitutiva en el marco de la Ley IVE.</w:t>
      </w:r>
    </w:p>
    <w:p w:rsidR="00000000" w:rsidDel="00000000" w:rsidP="00000000" w:rsidRDefault="00000000" w:rsidRPr="00000000" w14:paraId="00000025">
      <w:pPr>
        <w:numPr>
          <w:ilvl w:val="0"/>
          <w:numId w:val="3"/>
        </w:num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Fonts w:ascii="Lato" w:cs="Lato" w:eastAsia="Lato" w:hAnsi="Lato"/>
          <w:b w:val="1"/>
          <w:sz w:val="22"/>
          <w:szCs w:val="22"/>
          <w:rtl w:val="0"/>
        </w:rPr>
        <w:t xml:space="preserve">Implementar capacitaciones destinadas al personal de salud y del Poder Judicial sobre el procedimiento de autorización judicial sustitutiva y los derechos de las niñas, en particular su derecho de acceder a la justicia.</w:t>
      </w:r>
    </w:p>
    <w:p w:rsidR="00000000" w:rsidDel="00000000" w:rsidP="00000000" w:rsidRDefault="00000000" w:rsidRPr="00000000" w14:paraId="00000026">
      <w:pPr>
        <w:spacing w:after="200" w:before="200" w:line="276" w:lineRule="auto"/>
        <w:ind w:left="-283.46456692913375" w:right="-430.8661417322827" w:firstLine="0"/>
        <w:jc w:val="both"/>
        <w:rPr>
          <w:rFonts w:ascii="Lato" w:cs="Lato" w:eastAsia="Lato" w:hAnsi="Lato"/>
          <w:b w:val="1"/>
          <w:sz w:val="22"/>
          <w:szCs w:val="22"/>
        </w:rPr>
      </w:pPr>
      <w:r w:rsidDel="00000000" w:rsidR="00000000" w:rsidRPr="00000000">
        <w:rPr>
          <w:rtl w:val="0"/>
        </w:rPr>
      </w:r>
    </w:p>
    <w:p w:rsidR="00000000" w:rsidDel="00000000" w:rsidP="00000000" w:rsidRDefault="00000000" w:rsidRPr="00000000" w14:paraId="00000027">
      <w:pPr>
        <w:pStyle w:val="Heading1"/>
        <w:spacing w:after="200" w:before="200" w:lineRule="auto"/>
        <w:ind w:left="-283.46456692913375" w:right="-430.8661417322827" w:firstLine="0"/>
        <w:rPr/>
      </w:pPr>
      <w:bookmarkStart w:colFirst="0" w:colLast="0" w:name="_heading=h.sa21quaaw34r" w:id="3"/>
      <w:bookmarkEnd w:id="3"/>
      <w:r w:rsidDel="00000000" w:rsidR="00000000" w:rsidRPr="00000000">
        <w:rPr>
          <w:rFonts w:ascii="Lato" w:cs="Lato" w:eastAsia="Lato" w:hAnsi="Lato"/>
          <w:color w:val="434343"/>
          <w:sz w:val="26"/>
          <w:szCs w:val="26"/>
          <w:rtl w:val="0"/>
        </w:rPr>
        <w:t xml:space="preserve">Artículo 12 – Derecho a la Salud: Sobre VIH e ITS</w:t>
      </w:r>
      <w:r w:rsidDel="00000000" w:rsidR="00000000" w:rsidRPr="00000000">
        <w:rPr>
          <w:rtl w:val="0"/>
        </w:rPr>
      </w:r>
    </w:p>
    <w:p w:rsidR="00000000" w:rsidDel="00000000" w:rsidP="00000000" w:rsidRDefault="00000000" w:rsidRPr="00000000" w14:paraId="00000028">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2023, se incorporó oficialmente el autotest de VIH como modalidad gratuita, universal e independiente del tipo de previsión o inscripción en un centro de salud, estando disponible en todas las regiones del país</w:t>
      </w:r>
      <w:r w:rsidDel="00000000" w:rsidR="00000000" w:rsidRPr="00000000">
        <w:rPr>
          <w:rFonts w:ascii="Lato" w:cs="Lato" w:eastAsia="Lato" w:hAnsi="Lato"/>
          <w:color w:val="434343"/>
          <w:sz w:val="22"/>
          <w:szCs w:val="22"/>
          <w:vertAlign w:val="superscript"/>
        </w:rPr>
        <w:footnoteReference w:customMarkFollows="0" w:id="4"/>
      </w:r>
      <w:r w:rsidDel="00000000" w:rsidR="00000000" w:rsidRPr="00000000">
        <w:rPr>
          <w:rFonts w:ascii="Lato" w:cs="Lato" w:eastAsia="Lato" w:hAnsi="Lato"/>
          <w:color w:val="434343"/>
          <w:sz w:val="22"/>
          <w:szCs w:val="22"/>
          <w:rtl w:val="0"/>
        </w:rPr>
        <w:t xml:space="preserve">. Esta medida representa un avance relevante en el acceso al diagnóstico oportuno, sin embargo, aún persisten desafíos estructurales en la prevención, detección y tratamiento del VIH y otras Infecciones de Transmisión Sexual (ITS), especialmente en poblaciones claves como personas LGBTIQ+, migrantes, trabajadoras sexuales y adolescentes. Chile cuenta con un marco normativo compuesto por leyes generales como la Ley N° 20.584 sobre derechos y deberes en salud, la Ley N° 20.418 sobre regulación de la fertilidad, y la Ley N° 19.966 que establece las Garantías Explícitas en Salud (GES), que incluyen prestaciones relacionadas al VIH e ITS</w:t>
      </w:r>
      <w:r w:rsidDel="00000000" w:rsidR="00000000" w:rsidRPr="00000000">
        <w:rPr>
          <w:rFonts w:ascii="Lato" w:cs="Lato" w:eastAsia="Lato" w:hAnsi="Lato"/>
          <w:color w:val="434343"/>
          <w:sz w:val="22"/>
          <w:szCs w:val="22"/>
          <w:vertAlign w:val="superscript"/>
        </w:rPr>
        <w:footnoteReference w:customMarkFollows="0" w:id="5"/>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29">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 su vez, la Ley N° 19.779 establece normas específicas sobre VIH, y se han desarrollado normas técnicas relevantes como la Norma General Técnica N° 0141 sobre prevención de la transmisión vertical del VIH y sífilis, y la N° 0187 sobre diagnóstico y tratamiento de ITS</w:t>
      </w:r>
      <w:r w:rsidDel="00000000" w:rsidR="00000000" w:rsidRPr="00000000">
        <w:rPr>
          <w:rFonts w:ascii="Lato" w:cs="Lato" w:eastAsia="Lato" w:hAnsi="Lato"/>
          <w:color w:val="434343"/>
          <w:sz w:val="22"/>
          <w:szCs w:val="22"/>
          <w:vertAlign w:val="superscript"/>
        </w:rPr>
        <w:footnoteReference w:customMarkFollows="0" w:id="6"/>
      </w:r>
      <w:r w:rsidDel="00000000" w:rsidR="00000000" w:rsidRPr="00000000">
        <w:rPr>
          <w:rFonts w:ascii="Lato" w:cs="Lato" w:eastAsia="Lato" w:hAnsi="Lato"/>
          <w:color w:val="434343"/>
          <w:sz w:val="22"/>
          <w:szCs w:val="22"/>
          <w:rtl w:val="0"/>
        </w:rPr>
        <w:t xml:space="preserve">. No obstante, su aplicación efectiva depende de la disponibilidad local de servicios y del enfoque de cada establecimiento. Por ejemplo, el tamizaje para sífilis está disponible en atención primaria solo para ciertas poblaciones objetivo, y el acceso a exámenes más específicos como gonorrea, chlamydia, herpes o VPH varía significativamente entre regiones.</w:t>
      </w:r>
    </w:p>
    <w:p w:rsidR="00000000" w:rsidDel="00000000" w:rsidP="00000000" w:rsidRDefault="00000000" w:rsidRPr="00000000" w14:paraId="0000002A">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 pesar de los avances en testeo rápido (TRVIH), campañas de prevención lideradas por ONG y la incorporación del autotest, el Ministerio de Salud reconoce que aún existen brechas importantes en diagnóstico oportuno, especialmente entre jóvenes y personas que no acuden regularmente a centros de salud. La focalización y frecuencia de estos servicios sigue siendo insuficiente para garantizar una estrategia de prevención integral.</w:t>
      </w:r>
    </w:p>
    <w:p w:rsidR="00000000" w:rsidDel="00000000" w:rsidP="00000000" w:rsidRDefault="00000000" w:rsidRPr="00000000" w14:paraId="0000002B">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 situación vulnera el derecho al disfrute del más alto nivel posible de salud física y mental, protegido por el artículo 12 del Pacto Internacional de Derechos Económicos, Sociales y Culturales (PIDESC), y ha sido señalado por el Comité en su Observación General N°14, que destaca la obligación de los Estados de garantizar servicios preventivos accesibles, adecuados y culturalmente aceptables para toda la población. Asimismo, contraviene el Plan de Acción Mundial del VIH/SIDA de ONUSIDA y las recomendaciones del Consenso de Montevideo respecto a la eliminación de barreras estructurales en el acceso a servicios de salud sexual y reproductiva.</w:t>
      </w:r>
    </w:p>
    <w:p w:rsidR="00000000" w:rsidDel="00000000" w:rsidP="00000000" w:rsidRDefault="00000000" w:rsidRPr="00000000" w14:paraId="0000002C">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1"/>
          <w:i w:val="0"/>
          <w:smallCaps w:val="0"/>
          <w:strike w:val="0"/>
          <w:color w:val="434343"/>
          <w:sz w:val="22"/>
          <w:szCs w:val="22"/>
          <w:shd w:fill="auto" w:val="clear"/>
          <w:vertAlign w:val="baseline"/>
        </w:rPr>
      </w:pPr>
      <w:r w:rsidDel="00000000" w:rsidR="00000000" w:rsidRPr="00000000">
        <w:rPr>
          <w:rFonts w:ascii="Lato" w:cs="Lato" w:eastAsia="Lato" w:hAnsi="Lato"/>
          <w:b w:val="1"/>
          <w:color w:val="434343"/>
          <w:sz w:val="22"/>
          <w:szCs w:val="22"/>
          <w:rtl w:val="0"/>
        </w:rPr>
        <w:t xml:space="preserve">Fortalecer</w:t>
      </w:r>
      <w:r w:rsidDel="00000000" w:rsidR="00000000" w:rsidRPr="00000000">
        <w:rPr>
          <w:rFonts w:ascii="Lato" w:cs="Lato" w:eastAsia="Lato" w:hAnsi="Lato"/>
          <w:b w:val="1"/>
          <w:i w:val="0"/>
          <w:smallCaps w:val="0"/>
          <w:strike w:val="0"/>
          <w:color w:val="434343"/>
          <w:sz w:val="22"/>
          <w:szCs w:val="22"/>
          <w:u w:val="none"/>
          <w:shd w:fill="auto" w:val="clear"/>
          <w:vertAlign w:val="baseline"/>
          <w:rtl w:val="0"/>
        </w:rPr>
        <w:t xml:space="preserve"> la implementación de políticas públicas integrales en materia de VIH e ITS, asegurando cobertura universal, testeo oportuno, formación continua del personal de salud y articulación efectiva con organizaciones comunitarias.</w:t>
      </w:r>
      <w:r w:rsidDel="00000000" w:rsidR="00000000" w:rsidRPr="00000000">
        <w:rPr>
          <w:rtl w:val="0"/>
        </w:rPr>
      </w:r>
    </w:p>
    <w:p w:rsidR="00000000" w:rsidDel="00000000" w:rsidP="00000000" w:rsidRDefault="00000000" w:rsidRPr="00000000" w14:paraId="0000002E">
      <w:pPr>
        <w:pStyle w:val="Heading1"/>
        <w:spacing w:after="200" w:before="200" w:lineRule="auto"/>
        <w:ind w:left="-283.46456692913375" w:right="-430.8661417322827" w:firstLine="0"/>
        <w:rPr/>
      </w:pPr>
      <w:bookmarkStart w:colFirst="0" w:colLast="0" w:name="_heading=h.4yars7f2c37q" w:id="4"/>
      <w:bookmarkEnd w:id="4"/>
      <w:r w:rsidDel="00000000" w:rsidR="00000000" w:rsidRPr="00000000">
        <w:rPr>
          <w:rFonts w:ascii="Lato" w:cs="Lato" w:eastAsia="Lato" w:hAnsi="Lato"/>
          <w:color w:val="434343"/>
          <w:sz w:val="26"/>
          <w:szCs w:val="26"/>
          <w:rtl w:val="0"/>
        </w:rPr>
        <w:t xml:space="preserve">Artículo 12 – Derecho a la Salud: Sobre las mujeres con discapacidad</w:t>
      </w:r>
      <w:r w:rsidDel="00000000" w:rsidR="00000000" w:rsidRPr="00000000">
        <w:rPr>
          <w:rtl w:val="0"/>
        </w:rPr>
      </w:r>
    </w:p>
    <w:p w:rsidR="00000000" w:rsidDel="00000000" w:rsidP="00000000" w:rsidRDefault="00000000" w:rsidRPr="00000000" w14:paraId="0000002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2024, ONU Chile junto a ACNUDH, ONU Mujeres, la OPS/OMS, el Ministerio de Salud y el Servicio Nacional de la Discapacidad presentaron el “Modelo de protocolo para la maternidad de mujeres con discapacidad”, el cual promueve un enfoque respetuoso de los derechos, la autonomía y la dignidad de las mujeres con discapacidad durante todas las etapas del embarazo, parto y puerperio</w:t>
      </w:r>
      <w:r w:rsidDel="00000000" w:rsidR="00000000" w:rsidRPr="00000000">
        <w:rPr>
          <w:rFonts w:ascii="Lato" w:cs="Lato" w:eastAsia="Lato" w:hAnsi="Lato"/>
          <w:color w:val="434343"/>
          <w:sz w:val="22"/>
          <w:szCs w:val="22"/>
          <w:vertAlign w:val="superscript"/>
        </w:rPr>
        <w:footnoteReference w:customMarkFollows="0" w:id="7"/>
      </w:r>
      <w:r w:rsidDel="00000000" w:rsidR="00000000" w:rsidRPr="00000000">
        <w:rPr>
          <w:rFonts w:ascii="Lato" w:cs="Lato" w:eastAsia="Lato" w:hAnsi="Lato"/>
          <w:color w:val="434343"/>
          <w:sz w:val="22"/>
          <w:szCs w:val="22"/>
          <w:rtl w:val="0"/>
        </w:rPr>
        <w:t xml:space="preserve">. Esta iniciativa representa un hito importante, pero hasta la fecha no ha sido implementada como política pública obligatoria, ni se han adoptado mecanismos para su seguimiento y evaluación en los distintos niveles del sistema de salud.</w:t>
      </w:r>
    </w:p>
    <w:p w:rsidR="00000000" w:rsidDel="00000000" w:rsidP="00000000" w:rsidRDefault="00000000" w:rsidRPr="00000000" w14:paraId="00000030">
      <w:pPr>
        <w:numPr>
          <w:ilvl w:val="0"/>
          <w:numId w:val="4"/>
        </w:numPr>
        <w:spacing w:after="200" w:before="200" w:lineRule="auto"/>
        <w:ind w:left="-283.46456692913375" w:right="-430.8661417322827" w:firstLine="0"/>
        <w:jc w:val="both"/>
        <w:rPr>
          <w:rFonts w:ascii="Lato" w:cs="Lato" w:eastAsia="Lato" w:hAnsi="Lato"/>
          <w:sz w:val="22"/>
          <w:szCs w:val="22"/>
          <w:u w:val="none"/>
        </w:rPr>
      </w:pPr>
      <w:r w:rsidDel="00000000" w:rsidR="00000000" w:rsidRPr="00000000">
        <w:rPr>
          <w:rFonts w:ascii="Lato" w:cs="Lato" w:eastAsia="Lato" w:hAnsi="Lato"/>
          <w:color w:val="434343"/>
          <w:sz w:val="22"/>
          <w:szCs w:val="22"/>
          <w:rtl w:val="0"/>
        </w:rPr>
        <w:t xml:space="preserve">La invisibilización estadística de las mujeres con discapacidad en el sistema de salud chileno constituye una de las principales barreras estructurales para el diseño e implementación de servicios de salud sexual y reproductiva con enfoque inclusivo. Actualmente, las variables relacionadas a discapacidad no son incorporadas de manera sistemática en los registros clínicos ni en la producción estadística oficial, impidiendo generar diagnósticos adecuados y medidas diferenciadas de atención</w:t>
      </w:r>
      <w:r w:rsidDel="00000000" w:rsidR="00000000" w:rsidRPr="00000000">
        <w:rPr>
          <w:rFonts w:ascii="Lato" w:cs="Lato" w:eastAsia="Lato" w:hAnsi="Lato"/>
          <w:color w:val="434343"/>
          <w:sz w:val="22"/>
          <w:szCs w:val="22"/>
          <w:vertAlign w:val="superscript"/>
        </w:rPr>
        <w:footnoteReference w:customMarkFollows="0" w:id="8"/>
      </w:r>
      <w:r w:rsidDel="00000000" w:rsidR="00000000" w:rsidRPr="00000000">
        <w:rPr>
          <w:rFonts w:ascii="Lato" w:cs="Lato" w:eastAsia="Lato" w:hAnsi="Lato"/>
          <w:color w:val="434343"/>
          <w:sz w:val="22"/>
          <w:szCs w:val="22"/>
          <w:rtl w:val="0"/>
        </w:rPr>
        <w:t xml:space="preserve">, redundando en un </w:t>
      </w:r>
      <w:r w:rsidDel="00000000" w:rsidR="00000000" w:rsidRPr="00000000">
        <w:rPr>
          <w:rFonts w:ascii="Lato" w:cs="Lato" w:eastAsia="Lato" w:hAnsi="Lato"/>
          <w:b w:val="1"/>
          <w:sz w:val="22"/>
          <w:szCs w:val="22"/>
          <w:rtl w:val="0"/>
        </w:rPr>
        <w:t xml:space="preserve"> una invisibilización y trato capacitista autorizado por el Estado .</w:t>
      </w:r>
    </w:p>
    <w:p w:rsidR="00000000" w:rsidDel="00000000" w:rsidP="00000000" w:rsidRDefault="00000000" w:rsidRPr="00000000" w14:paraId="0000003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 omisión vulnera el derecho a la salud de las mujeres con discapacidad, consagrado en el artículo 12 del Pacto Internacional de Derechos Económicos, Sociales y Culturales, y contradice las obligaciones internacionales asumidas por Chile en virtud de la Convención sobre los Derechos de las Personas con Discapacidad. La falta de datos desagregados también impide cumplir con la Observación General N°22 del Comité de Derechos Económicos, Sociales y Culturales, que exige a los Estados parte desarrollar servicios de salud sexual y reproductiva accesibles, aceptables y adaptados a las necesidades de grupos en situación de vulnerabilidad.</w:t>
      </w:r>
    </w:p>
    <w:p w:rsidR="00000000" w:rsidDel="00000000" w:rsidP="00000000" w:rsidRDefault="00000000" w:rsidRPr="00000000" w14:paraId="00000032">
      <w:pPr>
        <w:numPr>
          <w:ilvl w:val="0"/>
          <w:numId w:val="4"/>
        </w:numPr>
        <w:spacing w:after="200" w:before="200" w:lineRule="auto"/>
        <w:ind w:left="-283.46456692913375" w:right="-430.8661417322827" w:firstLine="0"/>
        <w:jc w:val="both"/>
        <w:rPr>
          <w:rFonts w:ascii="Lato" w:cs="Lato" w:eastAsia="Lato" w:hAnsi="Lato"/>
          <w:b w:val="1"/>
          <w:color w:val="434343"/>
          <w:sz w:val="22"/>
          <w:szCs w:val="22"/>
          <w:u w:val="none"/>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Incorporar en todos los sistemas de monitoreo, registro y producción estadística del Ministerio de Salud, variables desagregadas por sexo, edad y tipo de discapacidad, con el fin de generar datos suficientes, actualizados y comparables que permitan contar con un diagnóstico detallado y permanente sobre el acceso efectivo de mujeres y niñas con discapacidad a los servicios de salud sexual y reproductiva.</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Implementar el protocolo sobre maternidad de mujeres con discapacidad como una política nacional obligatoria, asegurando su financiamiento, mecanismos de monitoreo y evaluación, y un plan de capacitación continua para el personal de salud</w:t>
      </w:r>
      <w:r w:rsidDel="00000000" w:rsidR="00000000" w:rsidRPr="00000000">
        <w:rPr>
          <w:rtl w:val="0"/>
        </w:rPr>
      </w:r>
    </w:p>
    <w:p w:rsidR="00000000" w:rsidDel="00000000" w:rsidP="00000000" w:rsidRDefault="00000000" w:rsidRPr="00000000" w14:paraId="00000035">
      <w:pPr>
        <w:pStyle w:val="Heading1"/>
        <w:spacing w:after="200" w:before="200" w:lineRule="auto"/>
        <w:ind w:left="-283.46456692913375" w:right="-430.8661417322827" w:firstLine="0"/>
        <w:rPr>
          <w:color w:val="434343"/>
        </w:rPr>
      </w:pPr>
      <w:bookmarkStart w:colFirst="0" w:colLast="0" w:name="_heading=h.u75abqrvgsqb" w:id="5"/>
      <w:bookmarkEnd w:id="5"/>
      <w:r w:rsidDel="00000000" w:rsidR="00000000" w:rsidRPr="00000000">
        <w:rPr>
          <w:rFonts w:ascii="Lato" w:cs="Lato" w:eastAsia="Lato" w:hAnsi="Lato"/>
          <w:color w:val="434343"/>
          <w:sz w:val="26"/>
          <w:szCs w:val="26"/>
          <w:rtl w:val="0"/>
        </w:rPr>
        <w:t xml:space="preserve">Artículo 12 – Derecho a la Salud: Sobre la anticoncepción</w:t>
      </w:r>
      <w:r w:rsidDel="00000000" w:rsidR="00000000" w:rsidRPr="00000000">
        <w:rPr>
          <w:rtl w:val="0"/>
        </w:rPr>
      </w:r>
    </w:p>
    <w:p w:rsidR="00000000" w:rsidDel="00000000" w:rsidP="00000000" w:rsidRDefault="00000000" w:rsidRPr="00000000" w14:paraId="00000036">
      <w:pPr>
        <w:numPr>
          <w:ilvl w:val="0"/>
          <w:numId w:val="4"/>
        </w:num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s>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sz w:val="22"/>
          <w:szCs w:val="22"/>
          <w:rtl w:val="0"/>
        </w:rPr>
        <w:t xml:space="preserve">En Chile, la Ley Nº 20.418 del año 2010 regula los servicios de anticoncepción, estableciendo el derecho de toda persona a la información, orientación y acceso a métodos anticonceptivos disponibles en condiciones de confidencialidad. La única excepción a esta confidencialidad es para </w:t>
      </w:r>
      <w:r w:rsidDel="00000000" w:rsidR="00000000" w:rsidRPr="00000000">
        <w:rPr>
          <w:rFonts w:ascii="Lato" w:cs="Lato" w:eastAsia="Lato" w:hAnsi="Lato"/>
          <w:b w:val="1"/>
          <w:sz w:val="22"/>
          <w:szCs w:val="22"/>
          <w:rtl w:val="0"/>
        </w:rPr>
        <w:t xml:space="preserve">menores de 14 años que soliciten anticonceptivos de emergencia, en cuyo caso el método debe entregarse y luego notificar al padre, madre o adulto responsable que la niña indique</w:t>
      </w:r>
      <w:r w:rsidDel="00000000" w:rsidR="00000000" w:rsidRPr="00000000">
        <w:rPr>
          <w:rFonts w:ascii="Lato" w:cs="Lato" w:eastAsia="Lato" w:hAnsi="Lato"/>
          <w:sz w:val="22"/>
          <w:szCs w:val="22"/>
          <w:vertAlign w:val="superscript"/>
        </w:rPr>
        <w:footnoteReference w:customMarkFollows="0" w:id="9"/>
      </w:r>
      <w:r w:rsidDel="00000000" w:rsidR="00000000" w:rsidRPr="00000000">
        <w:rPr>
          <w:rFonts w:ascii="Lato" w:cs="Lato" w:eastAsia="Lato" w:hAnsi="Lato"/>
          <w:sz w:val="22"/>
          <w:szCs w:val="22"/>
          <w:rtl w:val="0"/>
        </w:rPr>
        <w:t xml:space="preserve"> .</w:t>
      </w:r>
    </w:p>
    <w:p w:rsidR="00000000" w:rsidDel="00000000" w:rsidP="00000000" w:rsidRDefault="00000000" w:rsidRPr="00000000" w14:paraId="00000037">
      <w:pPr>
        <w:numPr>
          <w:ilvl w:val="0"/>
          <w:numId w:val="4"/>
        </w:numPr>
        <w:tabs>
          <w:tab w:val="left" w:leader="none" w:pos="1267"/>
          <w:tab w:val="left" w:leader="none" w:pos="1742"/>
          <w:tab w:val="left" w:leader="none" w:pos="2218"/>
          <w:tab w:val="left" w:leader="none" w:pos="2693"/>
          <w:tab w:val="left" w:leader="none" w:pos="3182"/>
          <w:tab w:val="left" w:leader="none" w:pos="3658"/>
          <w:tab w:val="left" w:leader="none" w:pos="4133"/>
          <w:tab w:val="left" w:leader="none" w:pos="4622"/>
          <w:tab w:val="left" w:leader="none" w:pos="5098"/>
          <w:tab w:val="left" w:leader="none" w:pos="5573"/>
          <w:tab w:val="left" w:leader="none" w:pos="6048"/>
        </w:tabs>
        <w:spacing w:after="200" w:before="200" w:line="276" w:lineRule="auto"/>
        <w:ind w:left="-283.46456692913375" w:right="-430.8661417322827" w:firstLine="0"/>
        <w:jc w:val="both"/>
        <w:rPr>
          <w:rFonts w:ascii="Lato" w:cs="Lato" w:eastAsia="Lato" w:hAnsi="Lato"/>
          <w:color w:val="434343"/>
          <w:sz w:val="22"/>
          <w:szCs w:val="22"/>
        </w:rPr>
      </w:pPr>
      <w:r w:rsidDel="00000000" w:rsidR="00000000" w:rsidRPr="00000000">
        <w:rPr>
          <w:rFonts w:ascii="Lato" w:cs="Lato" w:eastAsia="Lato" w:hAnsi="Lato"/>
          <w:sz w:val="22"/>
          <w:szCs w:val="22"/>
          <w:rtl w:val="0"/>
        </w:rPr>
        <w:t xml:space="preserve">Esta normativa se complementa con otros dos instrumentos ministeriales: la Norma Nacional sobre Regulación de la fertilidad</w:t>
      </w:r>
      <w:r w:rsidDel="00000000" w:rsidR="00000000" w:rsidRPr="00000000">
        <w:rPr>
          <w:rFonts w:ascii="Lato" w:cs="Lato" w:eastAsia="Lato" w:hAnsi="Lato"/>
          <w:sz w:val="22"/>
          <w:szCs w:val="22"/>
          <w:vertAlign w:val="superscript"/>
        </w:rPr>
        <w:footnoteReference w:customMarkFollows="0" w:id="10"/>
      </w:r>
      <w:r w:rsidDel="00000000" w:rsidR="00000000" w:rsidRPr="00000000">
        <w:rPr>
          <w:rFonts w:ascii="Lato" w:cs="Lato" w:eastAsia="Lato" w:hAnsi="Lato"/>
          <w:sz w:val="22"/>
          <w:szCs w:val="22"/>
          <w:rtl w:val="0"/>
        </w:rPr>
        <w:t xml:space="preserve"> y el Protocolo de entrega de anticoncepción de emergencia</w:t>
      </w:r>
      <w:r w:rsidDel="00000000" w:rsidR="00000000" w:rsidRPr="00000000">
        <w:rPr>
          <w:rFonts w:ascii="Lato" w:cs="Lato" w:eastAsia="Lato" w:hAnsi="Lato"/>
          <w:sz w:val="22"/>
          <w:szCs w:val="22"/>
          <w:vertAlign w:val="superscript"/>
        </w:rPr>
        <w:footnoteReference w:customMarkFollows="0" w:id="11"/>
      </w:r>
      <w:r w:rsidDel="00000000" w:rsidR="00000000" w:rsidRPr="00000000">
        <w:rPr>
          <w:rFonts w:ascii="Lato" w:cs="Lato" w:eastAsia="Lato" w:hAnsi="Lato"/>
          <w:sz w:val="22"/>
          <w:szCs w:val="22"/>
          <w:rtl w:val="0"/>
        </w:rPr>
        <w:t xml:space="preserve">.</w:t>
      </w:r>
    </w:p>
    <w:p w:rsidR="00000000" w:rsidDel="00000000" w:rsidP="00000000" w:rsidRDefault="00000000" w:rsidRPr="00000000" w14:paraId="00000038">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sz w:val="22"/>
          <w:szCs w:val="22"/>
          <w:rtl w:val="0"/>
        </w:rPr>
        <w:t xml:space="preserve">Aunque estas normas no imponen requisitos innecesarios, e</w:t>
      </w:r>
      <w:r w:rsidDel="00000000" w:rsidR="00000000" w:rsidRPr="00000000">
        <w:rPr>
          <w:rFonts w:ascii="Lato" w:cs="Lato" w:eastAsia="Lato" w:hAnsi="Lato"/>
          <w:color w:val="434343"/>
          <w:sz w:val="22"/>
          <w:szCs w:val="22"/>
          <w:rtl w:val="0"/>
        </w:rPr>
        <w:t xml:space="preserve">n 2022, un estudio de Corporación Miles reveló que el 38% de los establecimientos de salud exigía estar inscrita en un CESFAM para acceder a métodos anticonceptivos por primera vez, mientras que un 34% requería una consulta previa con matrona y el 67% exigía consentimiento de un adulto responsable en el caso de adolescentes menores de 14 años</w:t>
      </w:r>
      <w:r w:rsidDel="00000000" w:rsidR="00000000" w:rsidRPr="00000000">
        <w:rPr>
          <w:rFonts w:ascii="Lato" w:cs="Lato" w:eastAsia="Lato" w:hAnsi="Lato"/>
          <w:color w:val="434343"/>
          <w:sz w:val="22"/>
          <w:szCs w:val="22"/>
          <w:vertAlign w:val="superscript"/>
        </w:rPr>
        <w:footnoteReference w:customMarkFollows="0" w:id="12"/>
      </w:r>
      <w:r w:rsidDel="00000000" w:rsidR="00000000" w:rsidRPr="00000000">
        <w:rPr>
          <w:rFonts w:ascii="Lato" w:cs="Lato" w:eastAsia="Lato" w:hAnsi="Lato"/>
          <w:color w:val="434343"/>
          <w:sz w:val="22"/>
          <w:szCs w:val="22"/>
          <w:rtl w:val="0"/>
        </w:rPr>
        <w:t xml:space="preserve">. </w:t>
      </w:r>
      <w:r w:rsidDel="00000000" w:rsidR="00000000" w:rsidRPr="00000000">
        <w:rPr>
          <w:rFonts w:ascii="Lato" w:cs="Lato" w:eastAsia="Lato" w:hAnsi="Lato"/>
          <w:b w:val="1"/>
          <w:color w:val="434343"/>
          <w:sz w:val="22"/>
          <w:szCs w:val="22"/>
          <w:rtl w:val="0"/>
        </w:rPr>
        <w:t xml:space="preserve">Estas barreras administrativas, junto a prácticas discriminatorias como el uso indebido de la objeción de conciencia para negar anticoncepción, dificultan el acceso a servicios esenciales de salud sexual y reproductiva. </w:t>
      </w:r>
    </w:p>
    <w:p w:rsidR="00000000" w:rsidDel="00000000" w:rsidP="00000000" w:rsidRDefault="00000000" w:rsidRPr="00000000" w14:paraId="00000039">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Además,</w:t>
      </w:r>
      <w:r w:rsidDel="00000000" w:rsidR="00000000" w:rsidRPr="00000000">
        <w:rPr>
          <w:rFonts w:ascii="Lato" w:cs="Lato" w:eastAsia="Lato" w:hAnsi="Lato"/>
          <w:b w:val="1"/>
          <w:color w:val="434343"/>
          <w:sz w:val="22"/>
          <w:szCs w:val="22"/>
          <w:rtl w:val="0"/>
        </w:rPr>
        <w:t xml:space="preserve"> desde el año 2020 el Instituto de Salud Pública (ISP) ha emitido siete alertas por anticonceptivos defectuosos distribuidos en el sistema público, </w:t>
      </w:r>
      <w:r w:rsidDel="00000000" w:rsidR="00000000" w:rsidRPr="00000000">
        <w:rPr>
          <w:rFonts w:ascii="Lato" w:cs="Lato" w:eastAsia="Lato" w:hAnsi="Lato"/>
          <w:color w:val="434343"/>
          <w:sz w:val="22"/>
          <w:szCs w:val="22"/>
          <w:rtl w:val="0"/>
        </w:rPr>
        <w:t xml:space="preserve">afectando a más de 170.000 blísteres solo en el caso del medicamento Anulette CD, lo que provocó embarazos no planificados sin posibilidad de acceder a la interrupción del embarazo por no cumplirse alguna de las tres causales legales</w:t>
      </w:r>
      <w:r w:rsidDel="00000000" w:rsidR="00000000" w:rsidRPr="00000000">
        <w:rPr>
          <w:rFonts w:ascii="Lato" w:cs="Lato" w:eastAsia="Lato" w:hAnsi="Lato"/>
          <w:color w:val="434343"/>
          <w:sz w:val="22"/>
          <w:szCs w:val="22"/>
          <w:vertAlign w:val="superscript"/>
        </w:rPr>
        <w:footnoteReference w:customMarkFollows="0" w:id="13"/>
      </w:r>
      <w:r w:rsidDel="00000000" w:rsidR="00000000" w:rsidRPr="00000000">
        <w:rPr>
          <w:rFonts w:ascii="Lato" w:cs="Lato" w:eastAsia="Lato" w:hAnsi="Lato"/>
          <w:color w:val="434343"/>
          <w:sz w:val="22"/>
          <w:szCs w:val="22"/>
          <w:rtl w:val="0"/>
        </w:rPr>
        <w:t xml:space="preserve">. A pesar de que al menos 227 mujeres contactaron a Corporación Miles en busca de apoyo, solo 7 pudieron iniciar acciones legales, dado que no existe un procedimiento especial que facilite el acceso a la justicia en estos casos.</w:t>
      </w:r>
    </w:p>
    <w:p w:rsidR="00000000" w:rsidDel="00000000" w:rsidP="00000000" w:rsidRDefault="00000000" w:rsidRPr="00000000" w14:paraId="0000003A">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2021, se presentó un proyecto de ley para modificar el Código Sanitario e incorporar una presunción de responsabilidad civil ante la falla de anticonceptivos, pero se encuentra detenido en segundo trámite desde enero de 2024</w:t>
      </w:r>
      <w:r w:rsidDel="00000000" w:rsidR="00000000" w:rsidRPr="00000000">
        <w:rPr>
          <w:rFonts w:ascii="Lato" w:cs="Lato" w:eastAsia="Lato" w:hAnsi="Lato"/>
          <w:color w:val="434343"/>
          <w:sz w:val="22"/>
          <w:szCs w:val="22"/>
          <w:vertAlign w:val="superscript"/>
        </w:rPr>
        <w:footnoteReference w:customMarkFollows="0" w:id="14"/>
      </w:r>
      <w:r w:rsidDel="00000000" w:rsidR="00000000" w:rsidRPr="00000000">
        <w:rPr>
          <w:rFonts w:ascii="Lato" w:cs="Lato" w:eastAsia="Lato" w:hAnsi="Lato"/>
          <w:color w:val="434343"/>
          <w:sz w:val="22"/>
          <w:szCs w:val="22"/>
          <w:rtl w:val="0"/>
        </w:rPr>
        <w:t xml:space="preserve">. Mientras tanto, las medidas adoptadas por los Ministerios de Salud y de la Mujer han sido insuficientes, trasladando a las usuarias la carga de detectar fallas en el envasado sin haber implementado sistemas de trazabilidad o fiscalización robustos.</w:t>
      </w:r>
    </w:p>
    <w:p w:rsidR="00000000" w:rsidDel="00000000" w:rsidP="00000000" w:rsidRDefault="00000000" w:rsidRPr="00000000" w14:paraId="0000003B">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Por otro lado, a pesar de que la </w:t>
      </w:r>
      <w:r w:rsidDel="00000000" w:rsidR="00000000" w:rsidRPr="00000000">
        <w:rPr>
          <w:rFonts w:ascii="Lato" w:cs="Lato" w:eastAsia="Lato" w:hAnsi="Lato"/>
          <w:b w:val="1"/>
          <w:color w:val="434343"/>
          <w:sz w:val="22"/>
          <w:szCs w:val="22"/>
          <w:rtl w:val="0"/>
        </w:rPr>
        <w:t xml:space="preserve">anticoncepción de emergencia (PAE)</w:t>
      </w:r>
      <w:r w:rsidDel="00000000" w:rsidR="00000000" w:rsidRPr="00000000">
        <w:rPr>
          <w:rFonts w:ascii="Lato" w:cs="Lato" w:eastAsia="Lato" w:hAnsi="Lato"/>
          <w:color w:val="434343"/>
          <w:sz w:val="22"/>
          <w:szCs w:val="22"/>
          <w:rtl w:val="0"/>
        </w:rPr>
        <w:t xml:space="preserve"> está garantizada por la Ley Nº 20.418, </w:t>
      </w:r>
      <w:r w:rsidDel="00000000" w:rsidR="00000000" w:rsidRPr="00000000">
        <w:rPr>
          <w:rFonts w:ascii="Lato" w:cs="Lato" w:eastAsia="Lato" w:hAnsi="Lato"/>
          <w:b w:val="1"/>
          <w:color w:val="434343"/>
          <w:sz w:val="22"/>
          <w:szCs w:val="22"/>
          <w:rtl w:val="0"/>
        </w:rPr>
        <w:t xml:space="preserve">persisten barreras en su entrega efectiva: un 24% de las personas que la solicitaron en el sistema público no pudieron acceder a ella, </w:t>
      </w:r>
      <w:r w:rsidDel="00000000" w:rsidR="00000000" w:rsidRPr="00000000">
        <w:rPr>
          <w:rFonts w:ascii="Lato" w:cs="Lato" w:eastAsia="Lato" w:hAnsi="Lato"/>
          <w:color w:val="434343"/>
          <w:sz w:val="22"/>
          <w:szCs w:val="22"/>
          <w:rtl w:val="0"/>
        </w:rPr>
        <w:t xml:space="preserve">alegando falta de stock o justificaciones arbitrarias como edad o estado civil. Esto ha llevado a que un 84% de las personas adquiera la PAE en farmacias privadas, donde el acceso es más expedito</w:t>
      </w:r>
      <w:r w:rsidDel="00000000" w:rsidR="00000000" w:rsidRPr="00000000">
        <w:rPr>
          <w:rFonts w:ascii="Lato" w:cs="Lato" w:eastAsia="Lato" w:hAnsi="Lato"/>
          <w:color w:val="434343"/>
          <w:sz w:val="22"/>
          <w:szCs w:val="22"/>
          <w:vertAlign w:val="superscript"/>
        </w:rPr>
        <w:footnoteReference w:customMarkFollows="0" w:id="15"/>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3C">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Estas situaciones configuran una vulneración del derecho a la salud, consagrado en el artículo 12 del PIDESC y desarrollado por el Comité en su Observación General N°22, que establece la obligación de los Estados de garantizar servicios de anticoncepción seguros, accesibles y no discriminatorios. La falla sistemática en la provisión de métodos anticonceptivos, así como las barreras institucionales para su acceso, afectan de manera desproporcionada a mujeres jóvenes, de menores ingresos y residentes en zonas rurales.</w:t>
      </w:r>
    </w:p>
    <w:p w:rsidR="00000000" w:rsidDel="00000000" w:rsidP="00000000" w:rsidRDefault="00000000" w:rsidRPr="00000000" w14:paraId="0000003D">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Despenalizar el aborto eliminando su regulación del Código Penal, garantizando el acceso a servicios de aborto, en seguimiento a la recomendación de los mecanismos especiales de la comunicación AL CHL/421 de fecha 7 de junio de 2021 específica al respecto.</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Reparar de manera íntegra a todas las mujeres afectadas por la distribución de anticonceptivos defectuosos en el sistema público de salud.</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Implementar capacitaciones permanentes a funcionarios de distintos estamentos, para la actualización en métodos anticonceptivos, con énfasis en aquellos de larga duración.</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Implementar acompañamiento técnico desde los Servicios de Salud para la eliminación de barreras de acceso y el trabajo conjunto con equipos de la atención primaria de salud en la elaboración de protocolos actualizados y basados en la normativa vigente.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Diseñar e implementar un manual de fiscalizaciones que vele por el cumplimiento de la Norma Nacional sobre Regulación de la Fertilidad, publicada el año 2010.</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Contratar personal de salud idóneo y suficiente para permitir un acceso expedito a los métodos de regulación de la fertilidad.</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Generar mecanismos para asegurar la provisión oportuna de métodos anticonceptivos y anticoncepción de emergencia en el sistema público de salud en base a la demanda actual.</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Modificar el sistema informático Rayen, o cualquiera que lo reemplace, para que el número del lote del anticonceptivo pueda ser registrado al momento de la entrega del medicamento.</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Reforzar y mejorar los protocolos de inspección y de alertas sanitarias en anticoncepción.</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Ampliar y fortalecer normas de regulación de fertilidad de la Ley Nº20.418, para la difusión de información, orientación y prestaciones de servicios, en temas como fallas en la anticoncepción y embarazos no planificados en mujeres adultas, así como sus consecuencias físicas, emocionales y sociales.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Aprobar el proyecto de ley que Modifica el Código Sanitario para establecer una presunción de responsabilidad civil por los daños causados por medicamentos anticonceptivos defectuosos (Boletín Nº14094-11).</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Implementar un protocolo dirigido a funcionarias/os de los CESFAM y de todos los servicios de atención primaria del país, para la verificación visual de los anticonceptivos que entregan en el ejercicio de sus funciones y de aviso ante alerta de defectos en medicamentos anticonceptivos.</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vertAlign w:val="baseline"/>
        </w:rPr>
      </w:pPr>
      <w:r w:rsidDel="00000000" w:rsidR="00000000" w:rsidRPr="00000000">
        <w:rPr>
          <w:rFonts w:ascii="Lato" w:cs="Lato" w:eastAsia="Lato" w:hAnsi="Lato"/>
          <w:color w:val="434343"/>
          <w:sz w:val="22"/>
          <w:szCs w:val="22"/>
          <w:rtl w:val="0"/>
        </w:rPr>
        <w:t xml:space="preserve">Elaborar un protocolo especial de alerta en caso de fallas de anticonceptivos a fin de prevenir y minimizar de manera efectiva los potenciales daños de la circulación de medicamentos anticonceptivos con falla.</w:t>
      </w:r>
      <w:r w:rsidDel="00000000" w:rsidR="00000000" w:rsidRPr="00000000">
        <w:rPr>
          <w:rtl w:val="0"/>
        </w:rPr>
      </w:r>
    </w:p>
    <w:p w:rsidR="00000000" w:rsidDel="00000000" w:rsidP="00000000" w:rsidRDefault="00000000" w:rsidRPr="00000000" w14:paraId="0000004B">
      <w:pPr>
        <w:pStyle w:val="Heading1"/>
        <w:spacing w:after="200" w:before="200" w:lineRule="auto"/>
        <w:ind w:left="-283.46456692913375" w:right="-430.8661417322827" w:firstLine="0"/>
        <w:rPr>
          <w:color w:val="434343"/>
        </w:rPr>
      </w:pPr>
      <w:bookmarkStart w:colFirst="0" w:colLast="0" w:name="_heading=h.wgv5x0icofez" w:id="6"/>
      <w:bookmarkEnd w:id="6"/>
      <w:r w:rsidDel="00000000" w:rsidR="00000000" w:rsidRPr="00000000">
        <w:rPr>
          <w:rFonts w:ascii="Lato" w:cs="Lato" w:eastAsia="Lato" w:hAnsi="Lato"/>
          <w:color w:val="434343"/>
          <w:sz w:val="26"/>
          <w:szCs w:val="26"/>
          <w:rtl w:val="0"/>
        </w:rPr>
        <w:t xml:space="preserve">Artículo 12 – Derecho a la Salud: Sobre la implementación de la Ley IVE</w:t>
      </w:r>
      <w:r w:rsidDel="00000000" w:rsidR="00000000" w:rsidRPr="00000000">
        <w:rPr>
          <w:rtl w:val="0"/>
        </w:rPr>
      </w:r>
    </w:p>
    <w:p w:rsidR="00000000" w:rsidDel="00000000" w:rsidP="00000000" w:rsidRDefault="00000000" w:rsidRPr="00000000" w14:paraId="0000004C">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 siete años de la entrada en vigencia de la Ley N° 21.030 que regula la interrupción voluntaria del embarazo en tres causales, persisten serias deficiencias en su implementación efectiva. </w:t>
      </w:r>
      <w:r w:rsidDel="00000000" w:rsidR="00000000" w:rsidRPr="00000000">
        <w:rPr>
          <w:rFonts w:ascii="Lato" w:cs="Lato" w:eastAsia="Lato" w:hAnsi="Lato"/>
          <w:sz w:val="22"/>
          <w:szCs w:val="22"/>
          <w:rtl w:val="0"/>
        </w:rPr>
        <w:t xml:space="preserve">Aunque representa un avance importante en el reconocimiento de los derechos reproductivos, </w:t>
      </w:r>
      <w:r w:rsidDel="00000000" w:rsidR="00000000" w:rsidRPr="00000000">
        <w:rPr>
          <w:rFonts w:ascii="Lato" w:cs="Lato" w:eastAsia="Lato" w:hAnsi="Lato"/>
          <w:b w:val="1"/>
          <w:sz w:val="22"/>
          <w:szCs w:val="22"/>
          <w:rtl w:val="0"/>
        </w:rPr>
        <w:t xml:space="preserve">su implementación ha presentado diversas irregularidades que afectan el ejercicio de estos derechos, </w:t>
      </w:r>
      <w:r w:rsidDel="00000000" w:rsidR="00000000" w:rsidRPr="00000000">
        <w:rPr>
          <w:rFonts w:ascii="Lato" w:cs="Lato" w:eastAsia="Lato" w:hAnsi="Lato"/>
          <w:sz w:val="22"/>
          <w:szCs w:val="22"/>
          <w:rtl w:val="0"/>
        </w:rPr>
        <w:t xml:space="preserve">especialmente en lo referente a la integridad personal y autonomía reproductiva de las mujeres y personas gestantes. El caso de los anticonceptivos defectuosos Anulette CD también es una muestra muy grave de que la implementación de la ley no es la que debería ser, pues muchas mujeres afectadas por la falla, no pudieron interrumpir su embarazo porque supuestamente la situación no entraba en las causales despenalizadas.</w:t>
      </w:r>
    </w:p>
    <w:p w:rsidR="00000000" w:rsidDel="00000000" w:rsidP="00000000" w:rsidRDefault="00000000" w:rsidRPr="00000000" w14:paraId="0000004D">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Asimismo, un estudio de Corporación Miles reveló que 57 de los 69 hospitales habilitados cuentan con protocolos internos, varios de los cuales imponen requisitos adicionales a los exigidos por la ley, como diagnósticos redundantes, restricciones gestacionales indebidas y exigencia de denuncias obligatorias que contravienen el marco normativo vigente</w:t>
      </w:r>
      <w:r w:rsidDel="00000000" w:rsidR="00000000" w:rsidRPr="00000000">
        <w:rPr>
          <w:rFonts w:ascii="Lato" w:cs="Lato" w:eastAsia="Lato" w:hAnsi="Lato"/>
          <w:color w:val="434343"/>
          <w:sz w:val="22"/>
          <w:szCs w:val="22"/>
          <w:vertAlign w:val="superscript"/>
        </w:rPr>
        <w:footnoteReference w:customMarkFollows="0" w:id="16"/>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4E">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La objeción de conciencia, tanto individual como institucional, sigue siendo una barrera estructural para el acceso a la IVE. En 2023, el 45,8% de los ginecobstetras se declaró objetor en casos de violación, porcentaje que se mantiene estable desde 2018. En cinco hospitales públicos la totalidad de los profesionales se acoge a esta figura, afectando el acceso de usuarias a la prestación</w:t>
      </w:r>
      <w:r w:rsidDel="00000000" w:rsidR="00000000" w:rsidRPr="00000000">
        <w:rPr>
          <w:rFonts w:ascii="Lato" w:cs="Lato" w:eastAsia="Lato" w:hAnsi="Lato"/>
          <w:color w:val="434343"/>
          <w:sz w:val="22"/>
          <w:szCs w:val="22"/>
          <w:vertAlign w:val="superscript"/>
        </w:rPr>
        <w:footnoteReference w:customMarkFollows="0" w:id="17"/>
      </w:r>
      <w:r w:rsidDel="00000000" w:rsidR="00000000" w:rsidRPr="00000000">
        <w:rPr>
          <w:rFonts w:ascii="Lato" w:cs="Lato" w:eastAsia="Lato" w:hAnsi="Lato"/>
          <w:color w:val="434343"/>
          <w:sz w:val="22"/>
          <w:szCs w:val="22"/>
          <w:rtl w:val="0"/>
        </w:rPr>
        <w:t xml:space="preserve">. Además, un estudio evidenció que uno de cada tres profesionales desconoce los límites legales de esta objeción, y el 87,8% considera que afecta negativamente la atención oportuna</w:t>
      </w:r>
      <w:r w:rsidDel="00000000" w:rsidR="00000000" w:rsidRPr="00000000">
        <w:rPr>
          <w:rFonts w:ascii="Lato" w:cs="Lato" w:eastAsia="Lato" w:hAnsi="Lato"/>
          <w:color w:val="434343"/>
          <w:sz w:val="22"/>
          <w:szCs w:val="22"/>
          <w:vertAlign w:val="superscript"/>
        </w:rPr>
        <w:footnoteReference w:customMarkFollows="0" w:id="18"/>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4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Las técnicas utilizadas también reflejan un incumplimiento de los estándares internacionales. El legrado uterino sigue siendo de uso extendido, a pesar de las recomendaciones de la OMS sobre el uso de AMEU y esquemas farmacológicos con mifepristona y misoprostol. La falta de disponibilidad de mifepristona ha llevado a una dependencia casi exclusiva del uso de misoprostol en varios hospitales del país</w:t>
      </w:r>
      <w:r w:rsidDel="00000000" w:rsidR="00000000" w:rsidRPr="00000000">
        <w:rPr>
          <w:rFonts w:ascii="Lato" w:cs="Lato" w:eastAsia="Lato" w:hAnsi="Lato"/>
          <w:color w:val="434343"/>
          <w:sz w:val="22"/>
          <w:szCs w:val="22"/>
          <w:vertAlign w:val="superscript"/>
        </w:rPr>
        <w:footnoteReference w:customMarkFollows="0" w:id="19"/>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5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cuanto al acceso a información, el artículo 119 quáter de la Ley IVE prohíbe difundir públicamente información sobre la oferta de servicios de aborto, lo que constituye una grave restricción al derecho a la información y obstaculiza el acceso efectivo a la prestación. El Consejo para la Transparencia advirtió en 2021 que uno de cada tres hospitales no publica ni entrega protocolos de atención, y que existe bajo conocimiento institucional sobre los mecanismos de derivación y reclamo</w:t>
      </w:r>
      <w:r w:rsidDel="00000000" w:rsidR="00000000" w:rsidRPr="00000000">
        <w:rPr>
          <w:rFonts w:ascii="Lato" w:cs="Lato" w:eastAsia="Lato" w:hAnsi="Lato"/>
          <w:color w:val="434343"/>
          <w:sz w:val="22"/>
          <w:szCs w:val="22"/>
          <w:vertAlign w:val="superscript"/>
        </w:rPr>
        <w:footnoteReference w:customMarkFollows="0" w:id="20"/>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5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Estas situaciones configuran una vulneración al derecho a la salud, protegido por el artículo 12 del PIDESC, así como al derecho a la información y al principio de no discriminación. El Comité ha señalado en su Observación General N°22 que los Estados parte deben garantizar la disponibilidad y accesibilidad de servicios de aborto legal, eliminar las barreras jurídicas y prácticas que impiden el acceso, y asegurar el acceso a información completa, basada en evidencia y culturalmente adecuada.</w:t>
      </w:r>
    </w:p>
    <w:p w:rsidR="00000000" w:rsidDel="00000000" w:rsidP="00000000" w:rsidRDefault="00000000" w:rsidRPr="00000000" w14:paraId="00000052">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Aplicar requisitos estrictos de justificación para impedir el uso general de la objeción de conciencia por los médicos que se niegan a practicar abortos, en particular en los casos de embarazos de adolescentes, y asegurar que estas medidas se apliquen también al personal médico de las clínicas privadas.</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Derogar la figura del la objeción de conciencia institucional de la Ley Nº21.030</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Velar por que las mujeres, incluidas niñas y adolescentes menores de 18 años, tengan acceso a aborto seguros y a servicios de atención posteriores al aborto, y que los servicios sanitarios proporcionen apoyo psicológico a víctimas de violencia sexual.</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Simplificar procesos administrativos o fortalecer la capacitación para reducir preocupaciones legales que puedan desincentivar la participación de los profesionales.</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Procurar que los métodos anticonceptivos modernos sean universales, asequibles y estén a disposición de todas las mujeres y las niñas, en particular en zonas rurales o remotas.</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Adoptar medidas para garantizar que los servicios públicos de asistencia sanitaria, especialmente los servicios ginecológicos, sean accesibles para todas las mujeres, incluidas migrantes, indígenas y con discapacidad.</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Asegurar la implementación plena de las Normas Nacionales sobre Regulación de la Fertilidad, garantizando que el personal médico solicite el consentimiento plenamente informado antes de realizar esterilizaciones, que se sancione a los profesionales que realicen esterilizaciones sin dicho consentimiento y que se ofrezca una reparación e indemnización monetaria a las víctimas de esterilizaciones no consentidas.</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Implementar capacitaciones al personal de salud las instituciones responsables de la fiscalización y vigilancia del cumplimiento de la Ley IVE, con el fin de reforzar el conocimiento de la normativa vigente y promover un rol activo en las labores de inspección, sin limitarse a la pauta establecida en el Manual de Fiscalización.</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Realizar una revisión y actualización de la pauta de inspección del Manual de Fiscalización mediante un proceso participativo, de modo que esta posibilite una fiscalización integral de la ruta de la IVE.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Promover que las autoridades sanitarias encargadas de la fiscalización y vigilancia del cumplimiento de la Ley IVE registren de manera adecuada la información sobre reclamos e inspecciones. Esto implica fomentar la implementación de mecanismos de desagregación de datos con un enfoque de derechos humanos y género.</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Revisar la Ley IVE, especialmente su artículo 119 quáter del Código Sanitario Chileno, para levantar la prohibición de difusión de información sobre el aborto en medios físicos o digitales, basándose en las buenas prácticas de otros Estados y en los estándares internacionales pertinentes en materia de salud sexual y reproductiva, libertad de expresión, derecho a la información, derechos digitales y acceso a internet. </w:t>
      </w:r>
      <w:r w:rsidDel="00000000" w:rsidR="00000000" w:rsidRPr="00000000">
        <w:rPr>
          <w:rtl w:val="0"/>
        </w:rPr>
      </w:r>
    </w:p>
    <w:p w:rsidR="00000000" w:rsidDel="00000000" w:rsidP="00000000" w:rsidRDefault="00000000" w:rsidRPr="00000000" w14:paraId="0000005E">
      <w:pPr>
        <w:pStyle w:val="Heading1"/>
        <w:spacing w:after="200" w:before="200" w:lineRule="auto"/>
        <w:ind w:left="-283.46456692913375" w:right="-430.8661417322827" w:firstLine="0"/>
        <w:rPr>
          <w:color w:val="434343"/>
        </w:rPr>
      </w:pPr>
      <w:bookmarkStart w:colFirst="0" w:colLast="0" w:name="_heading=h.f1w86wz0aivz" w:id="7"/>
      <w:bookmarkEnd w:id="7"/>
      <w:r w:rsidDel="00000000" w:rsidR="00000000" w:rsidRPr="00000000">
        <w:rPr>
          <w:rFonts w:ascii="Lato" w:cs="Lato" w:eastAsia="Lato" w:hAnsi="Lato"/>
          <w:color w:val="434343"/>
          <w:sz w:val="26"/>
          <w:szCs w:val="26"/>
          <w:rtl w:val="0"/>
        </w:rPr>
        <w:t xml:space="preserve">Artículo 13 – Derecho a la Educación: Sobre la educación sexual integral</w:t>
      </w:r>
      <w:r w:rsidDel="00000000" w:rsidR="00000000" w:rsidRPr="00000000">
        <w:rPr>
          <w:rtl w:val="0"/>
        </w:rPr>
      </w:r>
    </w:p>
    <w:p w:rsidR="00000000" w:rsidDel="00000000" w:rsidP="00000000" w:rsidRDefault="00000000" w:rsidRPr="00000000" w14:paraId="0000005F">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En 2021, el 56% de los docentes en ejercicio en Chile no había recibido formación en educación sexual, según la Fundación Chile necesita ESI</w:t>
      </w:r>
      <w:r w:rsidDel="00000000" w:rsidR="00000000" w:rsidRPr="00000000">
        <w:rPr>
          <w:rFonts w:ascii="Lato" w:cs="Lato" w:eastAsia="Lato" w:hAnsi="Lato"/>
          <w:color w:val="434343"/>
          <w:sz w:val="22"/>
          <w:szCs w:val="22"/>
          <w:vertAlign w:val="superscript"/>
        </w:rPr>
        <w:footnoteReference w:customMarkFollows="0" w:id="21"/>
      </w:r>
      <w:r w:rsidDel="00000000" w:rsidR="00000000" w:rsidRPr="00000000">
        <w:rPr>
          <w:rFonts w:ascii="Lato" w:cs="Lato" w:eastAsia="Lato" w:hAnsi="Lato"/>
          <w:color w:val="434343"/>
          <w:sz w:val="22"/>
          <w:szCs w:val="22"/>
          <w:rtl w:val="0"/>
        </w:rPr>
        <w:t xml:space="preserve">. Esta situación pone en evidencia una grave omisión del Estado en garantizar una educación sexual integral, científica y laica en todos los niveles del sistema educativo, conforme a los estándares internacionales de derechos humanos. Las poblaciones más afectadas por esta carencia son niñas, niños y adolescentes pertenecientes a contextos vulnerables, incluyendo zonas rurales, población migrante y estudiantes LGBTIQ+. Aunque la Ley N° 20.418 mandata la existencia de programas de Afectividad, Sexualidad y Género en enseñanza media, su implementación depende del criterio de cada establecimiento educacional, sin fiscalización ni contenidos mínimos obligatorios</w:t>
      </w:r>
      <w:r w:rsidDel="00000000" w:rsidR="00000000" w:rsidRPr="00000000">
        <w:rPr>
          <w:rFonts w:ascii="Lato" w:cs="Lato" w:eastAsia="Lato" w:hAnsi="Lato"/>
          <w:color w:val="434343"/>
          <w:sz w:val="22"/>
          <w:szCs w:val="22"/>
          <w:vertAlign w:val="superscript"/>
        </w:rPr>
        <w:footnoteReference w:customMarkFollows="0" w:id="22"/>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60">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Por otra parte, la Ley N° 21.430, que establece un Sistema de Garantías de los Derechos de la Niñez y Adolescencia, mandata en su artículo 41 al Estado a garantizar una educación sexual y afectiva integral</w:t>
      </w:r>
      <w:r w:rsidDel="00000000" w:rsidR="00000000" w:rsidRPr="00000000">
        <w:rPr>
          <w:rFonts w:ascii="Lato" w:cs="Lato" w:eastAsia="Lato" w:hAnsi="Lato"/>
          <w:color w:val="434343"/>
          <w:sz w:val="22"/>
          <w:szCs w:val="22"/>
          <w:vertAlign w:val="superscript"/>
        </w:rPr>
        <w:footnoteReference w:customMarkFollows="0" w:id="23"/>
      </w:r>
      <w:r w:rsidDel="00000000" w:rsidR="00000000" w:rsidRPr="00000000">
        <w:rPr>
          <w:rFonts w:ascii="Lato" w:cs="Lato" w:eastAsia="Lato" w:hAnsi="Lato"/>
          <w:color w:val="434343"/>
          <w:sz w:val="22"/>
          <w:szCs w:val="22"/>
          <w:rtl w:val="0"/>
        </w:rPr>
        <w:t xml:space="preserve">. Sin embargo, la Política Nacional y su Plan de Acción (2024–2032) apenas mencionan el desarrollo de una estrategia en la materia, sin brindar garantías de ejecución o institucionalidad intersectorial. Además, la propuesta de actualización curricular presentada en 2023 fue evaluada por la Fundación Chile necesita ESI, que advirtió debilidades persistentes como la escasa progresión de contenidos, falta de transversalización y débil incorporación de temas como consentimiento, placer, autocuidado y diversidad</w:t>
      </w:r>
      <w:r w:rsidDel="00000000" w:rsidR="00000000" w:rsidRPr="00000000">
        <w:rPr>
          <w:rFonts w:ascii="Lato" w:cs="Lato" w:eastAsia="Lato" w:hAnsi="Lato"/>
          <w:color w:val="434343"/>
          <w:sz w:val="22"/>
          <w:szCs w:val="22"/>
          <w:vertAlign w:val="superscript"/>
        </w:rPr>
        <w:footnoteReference w:customMarkFollows="0" w:id="24"/>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61">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 falta de educación sexual se manifiesta también en la percepción de las comunidades educativas. El Diagnóstico sobre los Derechos de la Niñez y Adolescencia 2025, elaborado por la Defensoría de la Niñez, revela que un 41,5% de los niños, niñas y adolescentes identifica la falta de educación sexual como su principal preocupación, mientras que solo un 57% recibió clases de sexualidad durante el último año, de los cuales apenas la mitad se mostró satisfecho con los contenidos abordados</w:t>
      </w:r>
      <w:r w:rsidDel="00000000" w:rsidR="00000000" w:rsidRPr="00000000">
        <w:rPr>
          <w:rFonts w:ascii="Lato" w:cs="Lato" w:eastAsia="Lato" w:hAnsi="Lato"/>
          <w:color w:val="434343"/>
          <w:sz w:val="22"/>
          <w:szCs w:val="22"/>
          <w:vertAlign w:val="superscript"/>
        </w:rPr>
        <w:footnoteReference w:customMarkFollows="0" w:id="25"/>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62">
      <w:pPr>
        <w:numPr>
          <w:ilvl w:val="0"/>
          <w:numId w:val="4"/>
        </w:numPr>
        <w:spacing w:after="200" w:before="200" w:lineRule="auto"/>
        <w:ind w:left="-283.46456692913375" w:right="-430.8661417322827" w:firstLine="0"/>
        <w:jc w:val="both"/>
        <w:rPr>
          <w:rFonts w:ascii="Lato" w:cs="Lato" w:eastAsia="Lato" w:hAnsi="Lato"/>
          <w:color w:val="434343"/>
          <w:sz w:val="22"/>
          <w:szCs w:val="22"/>
          <w:u w:val="none"/>
        </w:rPr>
      </w:pPr>
      <w:r w:rsidDel="00000000" w:rsidR="00000000" w:rsidRPr="00000000">
        <w:rPr>
          <w:rFonts w:ascii="Lato" w:cs="Lato" w:eastAsia="Lato" w:hAnsi="Lato"/>
          <w:color w:val="434343"/>
          <w:sz w:val="22"/>
          <w:szCs w:val="22"/>
          <w:rtl w:val="0"/>
        </w:rPr>
        <w:t xml:space="preserve">Esta situación constituye una vulneración al derecho a la educación, consagrado en el artículo 13 del Pacto Internacional de Derechos Económicos, Sociales y Culturales. El Comité, en sus Observaciones Finales a Chile de 2015, recomendó asegurar una educación sexual integral y basada en derechos, promoviendo la igualdad de género y la prevención de violencia</w:t>
      </w:r>
      <w:r w:rsidDel="00000000" w:rsidR="00000000" w:rsidRPr="00000000">
        <w:rPr>
          <w:rFonts w:ascii="Lato" w:cs="Lato" w:eastAsia="Lato" w:hAnsi="Lato"/>
          <w:color w:val="434343"/>
          <w:sz w:val="22"/>
          <w:szCs w:val="22"/>
          <w:vertAlign w:val="superscript"/>
        </w:rPr>
        <w:footnoteReference w:customMarkFollows="0" w:id="26"/>
      </w:r>
      <w:r w:rsidDel="00000000" w:rsidR="00000000" w:rsidRPr="00000000">
        <w:rPr>
          <w:rFonts w:ascii="Lato" w:cs="Lato" w:eastAsia="Lato" w:hAnsi="Lato"/>
          <w:color w:val="434343"/>
          <w:sz w:val="22"/>
          <w:szCs w:val="22"/>
          <w:rtl w:val="0"/>
        </w:rPr>
        <w:t xml:space="preserve">. Además, el Comité de los Derechos del Niño ha reiterado la obligación del Estado de integrar la educación sexual como parte obligatoria del currículo escolar, en coherencia con la Observación General N°20 sobre adolescencia</w:t>
      </w:r>
      <w:r w:rsidDel="00000000" w:rsidR="00000000" w:rsidRPr="00000000">
        <w:rPr>
          <w:rFonts w:ascii="Lato" w:cs="Lato" w:eastAsia="Lato" w:hAnsi="Lato"/>
          <w:color w:val="434343"/>
          <w:sz w:val="22"/>
          <w:szCs w:val="22"/>
          <w:vertAlign w:val="superscript"/>
        </w:rPr>
        <w:footnoteReference w:customMarkFollows="0" w:id="27"/>
      </w:r>
      <w:r w:rsidDel="00000000" w:rsidR="00000000" w:rsidRPr="00000000">
        <w:rPr>
          <w:rFonts w:ascii="Lato" w:cs="Lato" w:eastAsia="Lato" w:hAnsi="Lato"/>
          <w:color w:val="434343"/>
          <w:sz w:val="22"/>
          <w:szCs w:val="22"/>
          <w:rtl w:val="0"/>
        </w:rPr>
        <w:t xml:space="preserve">. Asimismo, en el Informe de la Relatora Especial sobre el derecho de toda persona al disfrute del más alto nivel posible de salud física y mental, sobre su reciente visita a Chile, destacó su preocupación por la ausencia de programas de educación sexual integral en las escuelas instando a la adopción de un plan exhaustivo en la materia, recomendando específicamente “L) Formular y promover programas de educación integral en materia de salud sexual y reproductiva en las escuelas públicas”</w:t>
      </w:r>
      <w:r w:rsidDel="00000000" w:rsidR="00000000" w:rsidRPr="00000000">
        <w:rPr>
          <w:rFonts w:ascii="Lato" w:cs="Lato" w:eastAsia="Lato" w:hAnsi="Lato"/>
          <w:color w:val="434343"/>
          <w:sz w:val="22"/>
          <w:szCs w:val="22"/>
          <w:vertAlign w:val="superscript"/>
        </w:rPr>
        <w:footnoteReference w:customMarkFollows="0" w:id="28"/>
      </w:r>
      <w:r w:rsidDel="00000000" w:rsidR="00000000" w:rsidRPr="00000000">
        <w:rPr>
          <w:rFonts w:ascii="Lato" w:cs="Lato" w:eastAsia="Lato" w:hAnsi="Lato"/>
          <w:color w:val="434343"/>
          <w:sz w:val="22"/>
          <w:szCs w:val="22"/>
          <w:rtl w:val="0"/>
        </w:rPr>
        <w:t xml:space="preserve">.</w:t>
      </w:r>
    </w:p>
    <w:p w:rsidR="00000000" w:rsidDel="00000000" w:rsidP="00000000" w:rsidRDefault="00000000" w:rsidRPr="00000000" w14:paraId="00000063">
      <w:pPr>
        <w:numPr>
          <w:ilvl w:val="0"/>
          <w:numId w:val="4"/>
        </w:numPr>
        <w:spacing w:after="200" w:before="200" w:lineRule="auto"/>
        <w:ind w:left="-283.46456692913375" w:right="-430.8661417322827" w:firstLine="0"/>
        <w:jc w:val="both"/>
        <w:rPr>
          <w:rFonts w:ascii="Lato" w:cs="Lato" w:eastAsia="Lato" w:hAnsi="Lato"/>
          <w:b w:val="1"/>
          <w:color w:val="434343"/>
          <w:sz w:val="22"/>
          <w:szCs w:val="22"/>
        </w:rPr>
      </w:pPr>
      <w:r w:rsidDel="00000000" w:rsidR="00000000" w:rsidRPr="00000000">
        <w:rPr>
          <w:rFonts w:ascii="Lato" w:cs="Lato" w:eastAsia="Lato" w:hAnsi="Lato"/>
          <w:b w:val="1"/>
          <w:color w:val="434343"/>
          <w:sz w:val="22"/>
          <w:szCs w:val="22"/>
          <w:rtl w:val="0"/>
        </w:rPr>
        <w:t xml:space="preserve">Recomendaciones:</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Aprobar una ley de educación sexual integral, obligatoria en todos los niveles educativos, con contenidos progresivos y adecuados a la edad.</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Incorporar estándares mínimos y obligatorios de educación sexual integral en las bases curriculares nacionales, asegurando la transversalización de contenidos como consentimiento, diversidad, autocuidado y prevención de violencias, en todos los niveles educativos desde la educación parvularia.</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Diseñar e implementar, un plan nacional de formación inicial y continua en educación sexual integral para docentes y equipos psicosociales, con metas anuales y presupuesto asignado, priorizando territorios rurales y comunidades educativas con mayor desigualdad estructural.</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Establecer un sistema de fiscalización y monitoreo sobre la implementación de los contenidos de Afectividad, Sexualidad y Género en los establecimientos educacionales, incluyendo indicadores de cumplimiento y participación activa de estudiantes, docentes y apoderados/as.</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Reformar el Plan de Acción de la Política Nacional de Garantías de Derechos de la Niñez y Adolescencia, incorporando un eje específico de educación sexual integral, con metas verificables, asignación presupuestaria e institucionalidad intersectorial a cargo de su implementación y evaluación.</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200" w:line="276" w:lineRule="auto"/>
        <w:ind w:left="-283.46456692913375" w:right="-430.8661417322827" w:firstLine="0"/>
        <w:jc w:val="both"/>
        <w:rPr>
          <w:rFonts w:ascii="Lato" w:cs="Lato" w:eastAsia="Lato" w:hAnsi="Lato"/>
          <w:b w:val="0"/>
          <w:i w:val="0"/>
          <w:smallCaps w:val="0"/>
          <w:strike w:val="0"/>
          <w:color w:val="434343"/>
          <w:sz w:val="22"/>
          <w:szCs w:val="22"/>
          <w:shd w:fill="auto" w:val="clear"/>
          <w:vertAlign w:val="baseline"/>
        </w:rPr>
      </w:pPr>
      <w:r w:rsidDel="00000000" w:rsidR="00000000" w:rsidRPr="00000000">
        <w:rPr>
          <w:rFonts w:ascii="Lato" w:cs="Lato" w:eastAsia="Lato" w:hAnsi="Lato"/>
          <w:color w:val="434343"/>
          <w:sz w:val="22"/>
          <w:szCs w:val="22"/>
          <w:rtl w:val="0"/>
        </w:rPr>
        <w:t xml:space="preserve">Levantar, anualmente desde 2025, un diagnóstico nacional participativo sobre la percepción de niños, niñas y adolescentes en relación a la educación sexual que reciben, desagregado por territorio, edad, género, orientación sexual, identidad de género, origen migrante o situación de discapacidad, para fortalecer el enfoque inclusivo y de no discriminación en la política educativa.</w:t>
      </w:r>
      <w:r w:rsidDel="00000000" w:rsidR="00000000" w:rsidRPr="00000000">
        <w:rPr>
          <w:rtl w:val="0"/>
        </w:rPr>
      </w:r>
    </w:p>
    <w:p w:rsidR="00000000" w:rsidDel="00000000" w:rsidP="00000000" w:rsidRDefault="00000000" w:rsidRPr="00000000" w14:paraId="0000006A">
      <w:pPr>
        <w:spacing w:after="200" w:before="200" w:lineRule="auto"/>
        <w:ind w:left="-283.46456692913375" w:right="-430.8661417322827" w:firstLine="0"/>
        <w:jc w:val="both"/>
        <w:rPr>
          <w:rFonts w:ascii="Lato" w:cs="Lato" w:eastAsia="Lato" w:hAnsi="Lato"/>
          <w:color w:val="434343"/>
          <w:sz w:val="22"/>
          <w:szCs w:val="22"/>
        </w:rPr>
      </w:pPr>
      <w:r w:rsidDel="00000000" w:rsidR="00000000" w:rsidRPr="00000000">
        <w:rPr>
          <w:rtl w:val="0"/>
        </w:rPr>
      </w:r>
    </w:p>
    <w:sectPr>
      <w:headerReference r:id="rId8" w:type="default"/>
      <w:footerReference r:id="rId9" w:type="default"/>
      <w:pgSz w:h="15840" w:w="12240" w:orient="portrait"/>
      <w:pgMar w:bottom="1440" w:top="1440" w:left="1800" w:right="1800" w:header="833.385826771653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Black">
    <w:embedBold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Informe sobre acceso a la IVE para niñas menores de 14 años, 2023.</w:t>
      </w:r>
    </w:p>
  </w:footnote>
  <w:footnote w:id="2">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Ministerio de Salud y registros hospitalarios. Datos sobre egresos hospitalarios por maternidad infantil y causales de la Ley 21.030, período 2023–2024.</w:t>
      </w:r>
    </w:p>
  </w:footnote>
  <w:footnote w:id="3">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Análisis de causas judiciales por aborto y rol del personal de salud, 2023.</w:t>
      </w:r>
      <w:r w:rsidDel="00000000" w:rsidR="00000000" w:rsidRPr="00000000">
        <w:rPr>
          <w:rtl w:val="0"/>
        </w:rPr>
      </w:r>
    </w:p>
  </w:footnote>
  <w:footnote w:id="4">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Ministerio de Salud de Chile. “Plan Nacional VIH/SIDA e ITS”, 2023. Disponible en: </w:t>
      </w:r>
      <w:hyperlink r:id="rId1">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https://www.minsal.cl/</w:t>
        </w:r>
      </w:hyperlink>
      <w:r w:rsidDel="00000000" w:rsidR="00000000" w:rsidRPr="00000000">
        <w:rPr>
          <w:rtl w:val="0"/>
        </w:rPr>
      </w:r>
    </w:p>
  </w:footnote>
  <w:footnote w:id="5">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Ley N° 20.584. Regula los derechos y deberes que tienen las personas en relación con acciones vinculadas a su atención en salud. Diario Oficial, 24 de abril de 2012.</w:t>
      </w:r>
    </w:p>
  </w:footnote>
  <w:footnote w:id="6">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Ministerio de Salud. Norma General Técnica N° 0187 sobre diagnóstico y tratamiento de infecciones de transmisión sexual. Disponible en: </w:t>
      </w:r>
      <w:hyperlink r:id="rId2">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https://www.minsal.cl/</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tl w:val="0"/>
        </w:rPr>
      </w:r>
    </w:p>
  </w:footnote>
  <w:footnote w:id="7">
    <w:p w:rsidR="00000000" w:rsidDel="00000000" w:rsidP="00000000" w:rsidRDefault="00000000" w:rsidRPr="00000000" w14:paraId="00000072">
      <w:pPr>
        <w:spacing w:after="0" w:line="240" w:lineRule="auto"/>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ONU Chile, ACNUDH, ONU Mujeres, OPS/OMS, Ministerio de Salud y SENADIS. Modelo de protocolo para la maternidad de mujeres con discapacidad, 2024.</w:t>
      </w:r>
      <w:r w:rsidDel="00000000" w:rsidR="00000000" w:rsidRPr="00000000">
        <w:rPr>
          <w:rtl w:val="0"/>
        </w:rPr>
      </w:r>
    </w:p>
  </w:footnote>
  <w:footnote w:id="8">
    <w:p w:rsidR="00000000" w:rsidDel="00000000" w:rsidP="00000000" w:rsidRDefault="00000000" w:rsidRPr="00000000" w14:paraId="00000073">
      <w:pPr>
        <w:spacing w:line="240" w:lineRule="auto"/>
        <w:jc w:val="both"/>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Corporación Miles. Análisis sobre la incorporación de variables de discapacidad en los registros del sistema de salud, 2023.</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12">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Informe sobre barreras de acceso a anticoncepción en establecimientos de salud, 2022.</w:t>
      </w:r>
    </w:p>
  </w:footnote>
  <w:footnote w:id="13">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Instituto de Salud Pública. Alertas sanitarias por anticonceptivos defectuosos, series B20034A y B20035A, 2020–2021.</w:t>
      </w:r>
    </w:p>
  </w:footnote>
  <w:footnote w:id="14">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Proyecto de ley Boletín Nº 14094-11. Modifica el Código Sanitario para establecer presunción de responsabilidad civil por daños de medicamentos anticonceptivos defectuosos.</w:t>
      </w:r>
    </w:p>
  </w:footnote>
  <w:footnote w:id="15">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Estudio sobre acceso a anticoncepción de emergencia, 2023.</w:t>
      </w:r>
      <w:r w:rsidDel="00000000" w:rsidR="00000000" w:rsidRPr="00000000">
        <w:rPr>
          <w:rtl w:val="0"/>
        </w:rPr>
      </w:r>
    </w:p>
  </w:footnote>
  <w:footnote w:id="16">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Informe IVE: barreras a 7 años de la promulgación de la Ley, 2024.</w:t>
      </w:r>
    </w:p>
  </w:footnote>
  <w:footnote w:id="17">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Ministerio de Salud. Estadísticas de objeción de conciencia en establecimientos públicos, 2023.</w:t>
      </w:r>
    </w:p>
  </w:footnote>
  <w:footnote w:id="18">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Corporación Miles. Estudio sobre conocimiento de profesionales de salud sobre objeción de conciencia, 2023.</w:t>
      </w:r>
      <w:r w:rsidDel="00000000" w:rsidR="00000000" w:rsidRPr="00000000">
        <w:rPr>
          <w:rtl w:val="0"/>
        </w:rPr>
      </w:r>
    </w:p>
  </w:footnote>
  <w:footnote w:id="19">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Organización Mundial de la Salud. Recomendaciones para el tratamiento clínico del aborto seguro, 2022.</w:t>
      </w:r>
    </w:p>
  </w:footnote>
  <w:footnote w:id="20">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Consejo para la Transparencia. Informe sobre acceso a información en servicios públicos de salud, 2021.</w:t>
      </w:r>
    </w:p>
  </w:footnote>
  <w:footnote w:id="21">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Fundación Chile necesita ESI. Pilares fundamentales para pensar la formación inicial y continua en Educación Sexual Integral, 2021.</w:t>
      </w:r>
    </w:p>
  </w:footnote>
  <w:footnote w:id="22">
    <w:p w:rsidR="00000000" w:rsidDel="00000000" w:rsidP="00000000" w:rsidRDefault="00000000" w:rsidRPr="00000000" w14:paraId="0000007F">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vertAlign w:val="superscript"/>
          <w:rtl w:val="0"/>
        </w:rPr>
        <w:t xml:space="preserve"> </w:t>
      </w:r>
      <w:r w:rsidDel="00000000" w:rsidR="00000000" w:rsidRPr="00000000">
        <w:rPr>
          <w:rFonts w:ascii="Lato" w:cs="Lato" w:eastAsia="Lato" w:hAnsi="Lato"/>
          <w:sz w:val="20"/>
          <w:szCs w:val="20"/>
          <w:rtl w:val="0"/>
        </w:rPr>
        <w:t xml:space="preserve">Ley N° 20.418, artículo 1°, inciso final. Disponible en: </w:t>
      </w:r>
      <w:hyperlink r:id="rId3">
        <w:r w:rsidDel="00000000" w:rsidR="00000000" w:rsidRPr="00000000">
          <w:rPr>
            <w:rFonts w:ascii="Lato" w:cs="Lato" w:eastAsia="Lato" w:hAnsi="Lato"/>
            <w:color w:val="0000ff"/>
            <w:sz w:val="20"/>
            <w:szCs w:val="20"/>
            <w:u w:val="single"/>
            <w:rtl w:val="0"/>
          </w:rPr>
          <w:t xml:space="preserve">https://www.bcn.cl/leychile/navegar?idNorma=1011110</w:t>
        </w:r>
      </w:hyperlink>
      <w:r w:rsidDel="00000000" w:rsidR="00000000" w:rsidRPr="00000000">
        <w:rPr>
          <w:rtl w:val="0"/>
        </w:rPr>
      </w:r>
    </w:p>
  </w:footnote>
  <w:footnote w:id="23">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Ley N° 21.430, artículo 41. Disponible en: </w:t>
      </w:r>
      <w:hyperlink r:id="rId4">
        <w:r w:rsidDel="00000000" w:rsidR="00000000" w:rsidRPr="00000000">
          <w:rPr>
            <w:rFonts w:ascii="Lato" w:cs="Lato" w:eastAsia="Lato" w:hAnsi="Lato"/>
            <w:b w:val="0"/>
            <w:i w:val="0"/>
            <w:smallCaps w:val="0"/>
            <w:strike w:val="0"/>
            <w:color w:val="0000ff"/>
            <w:sz w:val="20"/>
            <w:szCs w:val="20"/>
            <w:u w:val="single"/>
            <w:shd w:fill="auto" w:val="clear"/>
            <w:vertAlign w:val="baseline"/>
            <w:rtl w:val="0"/>
          </w:rPr>
          <w:t xml:space="preserve">https://www.bcn.cl/leychile/navegar?idNorma=1175452</w:t>
        </w:r>
      </w:hyperlink>
      <w:r w:rsidDel="00000000" w:rsidR="00000000" w:rsidRPr="00000000">
        <w:rPr>
          <w:rtl w:val="0"/>
        </w:rPr>
      </w:r>
    </w:p>
  </w:footnote>
  <w:footnote w:id="24">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Fundación Chile necesita ESI. Informe sobre revisión de la propuesta de Actualización Curricular, 2023.</w:t>
      </w:r>
    </w:p>
  </w:footnote>
  <w:footnote w:id="25">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2"/>
          <w:szCs w:val="22"/>
          <w:u w:val="none"/>
          <w:shd w:fill="auto" w:val="clear"/>
          <w:vertAlign w:val="superscript"/>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Defensoría de la Niñez. Diagnóstico sobre los derechos de la niñez y adolescencia en Chile, 2025.</w:t>
      </w:r>
      <w:r w:rsidDel="00000000" w:rsidR="00000000" w:rsidRPr="00000000">
        <w:rPr>
          <w:rtl w:val="0"/>
        </w:rPr>
      </w:r>
    </w:p>
  </w:footnote>
  <w:footnote w:id="26">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Comité de Derechos Económicos, Sociales y Culturales. Observaciones finales al cuarto informe periódico de Chile, E/C.12/CHL/CO/4, 2015.</w:t>
      </w:r>
    </w:p>
  </w:footnote>
  <w:footnote w:id="27">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ato" w:cs="Lato" w:eastAsia="Lato" w:hAnsi="Lato"/>
          <w:b w:val="0"/>
          <w:i w:val="0"/>
          <w:smallCaps w:val="0"/>
          <w:strike w:val="0"/>
          <w:color w:val="000000"/>
          <w:sz w:val="20"/>
          <w:szCs w:val="20"/>
          <w:u w:val="none"/>
          <w:shd w:fill="auto" w:val="clear"/>
          <w:vertAlign w:val="baseline"/>
          <w:rtl w:val="0"/>
        </w:rPr>
        <w:t xml:space="preserve"> Comité de los Derechos del Niño. Observación General N° 20 (2016) sobre la efectividad de los derechos durante la adolescencia.</w:t>
      </w:r>
      <w:r w:rsidDel="00000000" w:rsidR="00000000" w:rsidRPr="00000000">
        <w:rPr>
          <w:rtl w:val="0"/>
        </w:rPr>
      </w:r>
    </w:p>
  </w:footnote>
  <w:footnote w:id="0">
    <w:p w:rsidR="00000000" w:rsidDel="00000000" w:rsidP="00000000" w:rsidRDefault="00000000" w:rsidRPr="00000000" w14:paraId="0000008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Lato" w:cs="Lato" w:eastAsia="Lato" w:hAnsi="Lato"/>
          <w:sz w:val="20"/>
          <w:szCs w:val="20"/>
          <w:rtl w:val="0"/>
        </w:rPr>
        <w:t xml:space="preserve"> Corporación Miles (2023). </w:t>
      </w:r>
      <w:r w:rsidDel="00000000" w:rsidR="00000000" w:rsidRPr="00000000">
        <w:rPr>
          <w:rFonts w:ascii="Lato" w:cs="Lato" w:eastAsia="Lato" w:hAnsi="Lato"/>
          <w:i w:val="1"/>
          <w:sz w:val="20"/>
          <w:szCs w:val="20"/>
          <w:rtl w:val="0"/>
        </w:rPr>
        <w:t xml:space="preserve">Ley Nº 21.030 para las menores de 14 años y la realidad de la Autorización Judicial Sustitutiva. Quinto Informe sobre Derechos Sexuales y Reproductivos en Chile. </w:t>
      </w:r>
      <w:r w:rsidDel="00000000" w:rsidR="00000000" w:rsidRPr="00000000">
        <w:rPr>
          <w:rFonts w:ascii="Lato" w:cs="Lato" w:eastAsia="Lato" w:hAnsi="Lato"/>
          <w:sz w:val="20"/>
          <w:szCs w:val="20"/>
          <w:rtl w:val="0"/>
        </w:rPr>
        <w:t xml:space="preserve">Pp. 76-77. Disponible en </w:t>
      </w:r>
      <w:hyperlink r:id="rId5">
        <w:r w:rsidDel="00000000" w:rsidR="00000000" w:rsidRPr="00000000">
          <w:rPr>
            <w:rFonts w:ascii="Lato" w:cs="Lato" w:eastAsia="Lato" w:hAnsi="Lato"/>
            <w:color w:val="1155cc"/>
            <w:sz w:val="20"/>
            <w:szCs w:val="20"/>
            <w:u w:val="single"/>
            <w:rtl w:val="0"/>
          </w:rPr>
          <w:t xml:space="preserve">https://mileschile.cl/wp-content/uploads/2023/06/V-Informe-Corporacio%CC%81n-Miles_web.pdf</w:t>
        </w:r>
      </w:hyperlink>
      <w:r w:rsidDel="00000000" w:rsidR="00000000" w:rsidRPr="00000000">
        <w:rPr>
          <w:rFonts w:ascii="Lato" w:cs="Lato" w:eastAsia="Lato" w:hAnsi="Lato"/>
          <w:sz w:val="20"/>
          <w:szCs w:val="20"/>
          <w:rtl w:val="0"/>
        </w:rPr>
        <w:t xml:space="preserve"> </w:t>
      </w:r>
      <w:r w:rsidDel="00000000" w:rsidR="00000000" w:rsidRPr="00000000">
        <w:rPr>
          <w:rtl w:val="0"/>
        </w:rPr>
      </w:r>
    </w:p>
  </w:footnote>
  <w:footnote w:id="9">
    <w:p w:rsidR="00000000" w:rsidDel="00000000" w:rsidP="00000000" w:rsidRDefault="00000000" w:rsidRPr="00000000" w14:paraId="00000087">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16"/>
          <w:szCs w:val="16"/>
          <w:rtl w:val="0"/>
        </w:rPr>
        <w:t xml:space="preserve"> </w:t>
      </w:r>
      <w:r w:rsidDel="00000000" w:rsidR="00000000" w:rsidRPr="00000000">
        <w:rPr>
          <w:rFonts w:ascii="Lato" w:cs="Lato" w:eastAsia="Lato" w:hAnsi="Lato"/>
          <w:sz w:val="20"/>
          <w:szCs w:val="20"/>
          <w:rtl w:val="0"/>
        </w:rPr>
        <w:t xml:space="preserve">Ministerio de Salud (2010), Ley N° 20.418, que </w:t>
      </w:r>
      <w:r w:rsidDel="00000000" w:rsidR="00000000" w:rsidRPr="00000000">
        <w:rPr>
          <w:rFonts w:ascii="Lato" w:cs="Lato" w:eastAsia="Lato" w:hAnsi="Lato"/>
          <w:i w:val="1"/>
          <w:sz w:val="20"/>
          <w:szCs w:val="20"/>
          <w:rtl w:val="0"/>
        </w:rPr>
        <w:t xml:space="preserve">“Fija normas sobre información, orientación y prestaciones en materia de regulación de la fertilidad”, </w:t>
      </w:r>
      <w:r w:rsidDel="00000000" w:rsidR="00000000" w:rsidRPr="00000000">
        <w:rPr>
          <w:rFonts w:ascii="Lato" w:cs="Lato" w:eastAsia="Lato" w:hAnsi="Lato"/>
          <w:sz w:val="20"/>
          <w:szCs w:val="20"/>
          <w:rtl w:val="0"/>
        </w:rPr>
        <w:t xml:space="preserve">artículo 1. Disponible en: </w:t>
      </w:r>
      <w:hyperlink r:id="rId6">
        <w:r w:rsidDel="00000000" w:rsidR="00000000" w:rsidRPr="00000000">
          <w:rPr>
            <w:rFonts w:ascii="Lato" w:cs="Lato" w:eastAsia="Lato" w:hAnsi="Lato"/>
            <w:color w:val="1155cc"/>
            <w:sz w:val="20"/>
            <w:szCs w:val="20"/>
            <w:u w:val="single"/>
            <w:rtl w:val="0"/>
          </w:rPr>
          <w:t xml:space="preserve">https://www.bcn.cl/leychile/navegar?idNorma=1010482</w:t>
        </w:r>
      </w:hyperlink>
      <w:r w:rsidDel="00000000" w:rsidR="00000000" w:rsidRPr="00000000">
        <w:rPr>
          <w:rFonts w:ascii="Lato" w:cs="Lato" w:eastAsia="Lato" w:hAnsi="Lato"/>
          <w:sz w:val="20"/>
          <w:szCs w:val="20"/>
          <w:rtl w:val="0"/>
        </w:rPr>
        <w:t xml:space="preserve"> </w:t>
      </w:r>
    </w:p>
  </w:footnote>
  <w:footnote w:id="10">
    <w:p w:rsidR="00000000" w:rsidDel="00000000" w:rsidP="00000000" w:rsidRDefault="00000000" w:rsidRPr="00000000" w14:paraId="00000088">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Última revisión el 20 de agosto de 2024, disponible en </w:t>
      </w:r>
      <w:hyperlink r:id="rId7">
        <w:r w:rsidDel="00000000" w:rsidR="00000000" w:rsidRPr="00000000">
          <w:rPr>
            <w:rFonts w:ascii="Lato" w:cs="Lato" w:eastAsia="Lato" w:hAnsi="Lato"/>
            <w:color w:val="1155cc"/>
            <w:sz w:val="20"/>
            <w:szCs w:val="20"/>
            <w:u w:val="single"/>
            <w:rtl w:val="0"/>
          </w:rPr>
          <w:t xml:space="preserve">https://www.minsal.cl/salud-de-la-mujer/</w:t>
        </w:r>
      </w:hyperlink>
      <w:r w:rsidDel="00000000" w:rsidR="00000000" w:rsidRPr="00000000">
        <w:rPr>
          <w:rFonts w:ascii="Lato" w:cs="Lato" w:eastAsia="Lato" w:hAnsi="Lato"/>
          <w:sz w:val="20"/>
          <w:szCs w:val="20"/>
          <w:rtl w:val="0"/>
        </w:rPr>
        <w:t xml:space="preserve"> </w:t>
      </w:r>
    </w:p>
  </w:footnote>
  <w:footnote w:id="11">
    <w:p w:rsidR="00000000" w:rsidDel="00000000" w:rsidP="00000000" w:rsidRDefault="00000000" w:rsidRPr="00000000" w14:paraId="00000089">
      <w:pPr>
        <w:spacing w:after="0" w:line="240" w:lineRule="auto"/>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Ministerio de Salud, Gobierno de Chile (2021). </w:t>
      </w:r>
      <w:r w:rsidDel="00000000" w:rsidR="00000000" w:rsidRPr="00000000">
        <w:rPr>
          <w:rFonts w:ascii="Lato" w:cs="Lato" w:eastAsia="Lato" w:hAnsi="Lato"/>
          <w:i w:val="1"/>
          <w:sz w:val="20"/>
          <w:szCs w:val="20"/>
          <w:rtl w:val="0"/>
        </w:rPr>
        <w:t xml:space="preserve">Protocolo de entrega para la anticoncepción de emergencia</w:t>
      </w:r>
      <w:r w:rsidDel="00000000" w:rsidR="00000000" w:rsidRPr="00000000">
        <w:rPr>
          <w:rFonts w:ascii="Lato" w:cs="Lato" w:eastAsia="Lato" w:hAnsi="Lato"/>
          <w:sz w:val="20"/>
          <w:szCs w:val="20"/>
          <w:rtl w:val="0"/>
        </w:rPr>
        <w:t xml:space="preserve">. Última revisión el 23 de agosto de 2023. Disponible en </w:t>
      </w:r>
      <w:hyperlink r:id="rId8">
        <w:r w:rsidDel="00000000" w:rsidR="00000000" w:rsidRPr="00000000">
          <w:rPr>
            <w:rFonts w:ascii="Lato" w:cs="Lato" w:eastAsia="Lato" w:hAnsi="Lato"/>
            <w:color w:val="1155cc"/>
            <w:sz w:val="20"/>
            <w:szCs w:val="20"/>
            <w:u w:val="single"/>
            <w:rtl w:val="0"/>
          </w:rPr>
          <w:t xml:space="preserve">https://diprece.minsal.cl/wp-content/uploads/2021/06/PROTOCOLO-ANTICONCEPCION-ISBN_v2.pdf</w:t>
        </w:r>
      </w:hyperlink>
      <w:r w:rsidDel="00000000" w:rsidR="00000000" w:rsidRPr="00000000">
        <w:rPr>
          <w:rFonts w:ascii="Lato" w:cs="Lato" w:eastAsia="Lato" w:hAnsi="Lato"/>
          <w:sz w:val="20"/>
          <w:szCs w:val="20"/>
          <w:rtl w:val="0"/>
        </w:rPr>
        <w:t xml:space="preserve"> </w:t>
      </w:r>
    </w:p>
  </w:footnote>
  <w:footnote w:id="28">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ato" w:cs="Lato" w:eastAsia="Lato" w:hAnsi="Lato"/>
          <w:sz w:val="20"/>
          <w:szCs w:val="20"/>
        </w:rPr>
      </w:pPr>
      <w:r w:rsidDel="00000000" w:rsidR="00000000" w:rsidRPr="00000000">
        <w:rPr>
          <w:rStyle w:val="FootnoteReference"/>
          <w:vertAlign w:val="superscript"/>
        </w:rPr>
        <w:footnoteRef/>
      </w:r>
      <w:r w:rsidDel="00000000" w:rsidR="00000000" w:rsidRPr="00000000">
        <w:rPr>
          <w:rFonts w:ascii="Lato" w:cs="Lato" w:eastAsia="Lato" w:hAnsi="Lato"/>
          <w:sz w:val="20"/>
          <w:szCs w:val="20"/>
          <w:rtl w:val="0"/>
        </w:rPr>
        <w:t xml:space="preserve"> Relatora Especial sobre el derecho de toda persona al disfrute del más alto nivel posible de salud física y mental, Tlaleng Mofokeng. Visita a Chile. lA/HRC/59/48/Add.1</w:t>
      </w:r>
    </w:p>
    <w:p w:rsidR="00000000" w:rsidDel="00000000" w:rsidP="00000000" w:rsidRDefault="00000000" w:rsidRPr="00000000" w14:paraId="0000008B">
      <w:pPr>
        <w:spacing w:after="0"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rPr/>
    </w:pPr>
    <w:r w:rsidDel="00000000" w:rsidR="00000000" w:rsidRPr="00000000">
      <w:rPr/>
      <w:drawing>
        <wp:anchor allowOverlap="1" behindDoc="0" distB="114300" distT="114300" distL="114300" distR="114300" hidden="0" layoutInCell="1" locked="0" relativeHeight="0" simplePos="0">
          <wp:simplePos x="0" y="0"/>
          <wp:positionH relativeFrom="page">
            <wp:posOffset>2633663</wp:posOffset>
          </wp:positionH>
          <wp:positionV relativeFrom="page">
            <wp:posOffset>1066800</wp:posOffset>
          </wp:positionV>
          <wp:extent cx="2501900" cy="279400"/>
          <wp:effectExtent b="0" l="0" r="0" t="0"/>
          <wp:wrapNone/>
          <wp:docPr id="1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501900" cy="279400"/>
                  </a:xfrm>
                  <a:prstGeom prst="rect"/>
                  <a:ln/>
                </pic:spPr>
              </pic:pic>
            </a:graphicData>
          </a:graphic>
        </wp:anchor>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1128713" cy="1128713"/>
          <wp:effectExtent b="0" l="0" r="0" t="0"/>
          <wp:wrapSquare wrapText="bothSides" distB="114300" distT="114300" distL="114300" distR="114300"/>
          <wp:docPr id="18"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1128713" cy="11287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4543425</wp:posOffset>
          </wp:positionH>
          <wp:positionV relativeFrom="paragraph">
            <wp:posOffset>114300</wp:posOffset>
          </wp:positionV>
          <wp:extent cx="938213" cy="922832"/>
          <wp:effectExtent b="0" l="0" r="0" t="0"/>
          <wp:wrapTopAndBottom distB="114300" distT="114300"/>
          <wp:docPr id="17"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938213" cy="92283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L"/>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595959"/>
      <w:sz w:val="52"/>
      <w:szCs w:val="52"/>
    </w:rPr>
  </w:style>
  <w:style w:type="paragraph" w:styleId="Ttulo7">
    <w:name w:val="heading 7"/>
    <w:basedOn w:val="Normal"/>
    <w:next w:val="Normal"/>
    <w:link w:val="Ttulo7C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Ttulo8">
    <w:name w:val="heading 8"/>
    <w:basedOn w:val="Normal"/>
    <w:next w:val="Normal"/>
    <w:link w:val="Ttulo8C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Ttulo9">
    <w:name w:val="heading 9"/>
    <w:basedOn w:val="Normal"/>
    <w:next w:val="Normal"/>
    <w:link w:val="Ttulo9C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E618BF"/>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E618BF"/>
  </w:style>
  <w:style w:type="paragraph" w:styleId="Piedepgina">
    <w:name w:val="footer"/>
    <w:basedOn w:val="Normal"/>
    <w:link w:val="PiedepginaCar"/>
    <w:uiPriority w:val="99"/>
    <w:unhideWhenUsed w:val="1"/>
    <w:rsid w:val="00E618BF"/>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E618BF"/>
  </w:style>
  <w:style w:type="paragraph" w:styleId="Sinespaciado">
    <w:name w:val="No Spacing"/>
    <w:uiPriority w:val="1"/>
    <w:qFormat w:val="1"/>
    <w:rsid w:val="00FC693F"/>
    <w:pPr>
      <w:spacing w:after="0" w:line="240" w:lineRule="auto"/>
    </w:pPr>
  </w:style>
  <w:style w:type="character" w:styleId="Ttulo1Car" w:customStyle="1">
    <w:name w:val="Título 1 Car"/>
    <w:basedOn w:val="Fuentedeprrafopredeter"/>
    <w:link w:val="Ttulo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Ttulo2Car" w:customStyle="1">
    <w:name w:val="Título 2 Car"/>
    <w:basedOn w:val="Fuentedeprrafopredeter"/>
    <w:link w:val="Ttulo2"/>
    <w:uiPriority w:val="9"/>
    <w:rsid w:val="00FC693F"/>
    <w:rPr>
      <w:rFonts w:asciiTheme="majorHAnsi" w:cstheme="majorBidi" w:eastAsiaTheme="majorEastAsia" w:hAnsiTheme="majorHAnsi"/>
      <w:b w:val="1"/>
      <w:bCs w:val="1"/>
      <w:color w:val="4f81bd" w:themeColor="accent1"/>
      <w:sz w:val="26"/>
      <w:szCs w:val="26"/>
    </w:rPr>
  </w:style>
  <w:style w:type="character" w:styleId="Ttulo3Car" w:customStyle="1">
    <w:name w:val="Título 3 Car"/>
    <w:basedOn w:val="Fuentedeprrafopredeter"/>
    <w:link w:val="Ttulo3"/>
    <w:uiPriority w:val="9"/>
    <w:rsid w:val="00FC693F"/>
    <w:rPr>
      <w:rFonts w:asciiTheme="majorHAnsi" w:cstheme="majorBidi" w:eastAsiaTheme="majorEastAsia" w:hAnsiTheme="majorHAnsi"/>
      <w:b w:val="1"/>
      <w:bCs w:val="1"/>
      <w:color w:val="4f81bd" w:themeColor="accent1"/>
    </w:rPr>
  </w:style>
  <w:style w:type="character" w:styleId="TtuloCar" w:customStyle="1">
    <w:name w:val="Título Car"/>
    <w:basedOn w:val="Fuentedeprrafopredeter"/>
    <w:link w:val="Ttulo"/>
    <w:uiPriority w:val="10"/>
    <w:rsid w:val="00FA4272"/>
    <w:rPr>
      <w:rFonts w:asciiTheme="majorHAnsi" w:cstheme="majorBidi" w:eastAsiaTheme="majorEastAsia" w:hAnsiTheme="majorHAnsi"/>
      <w:color w:val="595959" w:themeColor="text1" w:themeTint="0000A6"/>
      <w:spacing w:val="5"/>
      <w:kern w:val="28"/>
      <w:sz w:val="52"/>
      <w:szCs w:val="52"/>
    </w:rPr>
  </w:style>
  <w:style w:type="character" w:styleId="SubttuloCar" w:customStyle="1">
    <w:name w:val="Subtítulo Car"/>
    <w:basedOn w:val="Fuentedeprrafopredeter"/>
    <w:link w:val="Subttulo"/>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Prrafodelista">
    <w:name w:val="List Paragraph"/>
    <w:basedOn w:val="Normal"/>
    <w:uiPriority w:val="34"/>
    <w:qFormat w:val="1"/>
    <w:rsid w:val="00FC693F"/>
    <w:pPr>
      <w:ind w:left="720"/>
      <w:contextualSpacing w:val="1"/>
    </w:pPr>
  </w:style>
  <w:style w:type="paragraph" w:styleId="Textoindependiente">
    <w:name w:val="Body Text"/>
    <w:basedOn w:val="Normal"/>
    <w:link w:val="TextoindependienteCar"/>
    <w:uiPriority w:val="99"/>
    <w:unhideWhenUsed w:val="1"/>
    <w:rsid w:val="00AA1D8D"/>
    <w:pPr>
      <w:spacing w:after="120"/>
    </w:pPr>
  </w:style>
  <w:style w:type="character" w:styleId="TextoindependienteCar" w:customStyle="1">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val="1"/>
    <w:rsid w:val="00AA1D8D"/>
    <w:pPr>
      <w:spacing w:after="120" w:line="480" w:lineRule="auto"/>
    </w:pPr>
  </w:style>
  <w:style w:type="character" w:styleId="Textoindependiente2Car" w:customStyle="1">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val="1"/>
    <w:rsid w:val="00AA1D8D"/>
    <w:pPr>
      <w:spacing w:after="120"/>
    </w:pPr>
    <w:rPr>
      <w:sz w:val="16"/>
      <w:szCs w:val="16"/>
    </w:rPr>
  </w:style>
  <w:style w:type="character" w:styleId="Textoindependiente3Car" w:customStyle="1">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val="1"/>
    <w:rsid w:val="00AA1D8D"/>
    <w:pPr>
      <w:ind w:left="360" w:hanging="360"/>
      <w:contextualSpacing w:val="1"/>
    </w:pPr>
  </w:style>
  <w:style w:type="paragraph" w:styleId="Lista2">
    <w:name w:val="List 2"/>
    <w:basedOn w:val="Normal"/>
    <w:uiPriority w:val="99"/>
    <w:unhideWhenUsed w:val="1"/>
    <w:rsid w:val="00326F90"/>
    <w:pPr>
      <w:ind w:left="720" w:hanging="360"/>
      <w:contextualSpacing w:val="1"/>
    </w:pPr>
  </w:style>
  <w:style w:type="paragraph" w:styleId="Lista3">
    <w:name w:val="List 3"/>
    <w:basedOn w:val="Normal"/>
    <w:uiPriority w:val="99"/>
    <w:unhideWhenUsed w:val="1"/>
    <w:rsid w:val="00326F90"/>
    <w:pPr>
      <w:ind w:left="1080" w:hanging="360"/>
      <w:contextualSpacing w:val="1"/>
    </w:pPr>
  </w:style>
  <w:style w:type="paragraph" w:styleId="Listaconvietas">
    <w:name w:val="List Bullet"/>
    <w:basedOn w:val="Normal"/>
    <w:uiPriority w:val="99"/>
    <w:unhideWhenUsed w:val="1"/>
    <w:rsid w:val="00326F90"/>
    <w:pPr>
      <w:numPr>
        <w:numId w:val="1"/>
      </w:numPr>
      <w:contextualSpacing w:val="1"/>
    </w:pPr>
  </w:style>
  <w:style w:type="paragraph" w:styleId="Listaconvietas2">
    <w:name w:val="List Bullet 2"/>
    <w:basedOn w:val="Normal"/>
    <w:uiPriority w:val="99"/>
    <w:unhideWhenUsed w:val="1"/>
    <w:rsid w:val="00326F90"/>
    <w:pPr>
      <w:numPr>
        <w:numId w:val="2"/>
      </w:numPr>
      <w:contextualSpacing w:val="1"/>
    </w:pPr>
  </w:style>
  <w:style w:type="paragraph" w:styleId="Listaconvietas3">
    <w:name w:val="List Bullet 3"/>
    <w:basedOn w:val="Normal"/>
    <w:uiPriority w:val="99"/>
    <w:unhideWhenUsed w:val="1"/>
    <w:rsid w:val="00326F90"/>
    <w:pPr>
      <w:numPr>
        <w:numId w:val="3"/>
      </w:numPr>
      <w:contextualSpacing w:val="1"/>
    </w:pPr>
  </w:style>
  <w:style w:type="paragraph" w:styleId="Listaconnmeros">
    <w:name w:val="List Number"/>
    <w:basedOn w:val="Normal"/>
    <w:uiPriority w:val="99"/>
    <w:unhideWhenUsed w:val="1"/>
    <w:rsid w:val="00326F90"/>
    <w:pPr>
      <w:numPr>
        <w:numId w:val="5"/>
      </w:numPr>
      <w:contextualSpacing w:val="1"/>
    </w:pPr>
  </w:style>
  <w:style w:type="paragraph" w:styleId="Listaconnmeros2">
    <w:name w:val="List Number 2"/>
    <w:basedOn w:val="Normal"/>
    <w:uiPriority w:val="99"/>
    <w:unhideWhenUsed w:val="1"/>
    <w:rsid w:val="0029639D"/>
    <w:pPr>
      <w:numPr>
        <w:numId w:val="6"/>
      </w:numPr>
      <w:contextualSpacing w:val="1"/>
    </w:pPr>
  </w:style>
  <w:style w:type="paragraph" w:styleId="Listaconnmeros3">
    <w:name w:val="List Number 3"/>
    <w:basedOn w:val="Normal"/>
    <w:uiPriority w:val="99"/>
    <w:unhideWhenUsed w:val="1"/>
    <w:rsid w:val="0029639D"/>
    <w:pPr>
      <w:numPr>
        <w:numId w:val="7"/>
      </w:numPr>
      <w:contextualSpacing w:val="1"/>
    </w:pPr>
  </w:style>
  <w:style w:type="paragraph" w:styleId="Continuarlista">
    <w:name w:val="List Continue"/>
    <w:basedOn w:val="Normal"/>
    <w:uiPriority w:val="99"/>
    <w:unhideWhenUsed w:val="1"/>
    <w:rsid w:val="0029639D"/>
    <w:pPr>
      <w:spacing w:after="120"/>
      <w:ind w:left="360"/>
      <w:contextualSpacing w:val="1"/>
    </w:pPr>
  </w:style>
  <w:style w:type="paragraph" w:styleId="Continuarlista2">
    <w:name w:val="List Continue 2"/>
    <w:basedOn w:val="Normal"/>
    <w:uiPriority w:val="99"/>
    <w:unhideWhenUsed w:val="1"/>
    <w:rsid w:val="0029639D"/>
    <w:pPr>
      <w:spacing w:after="120"/>
      <w:ind w:left="720"/>
      <w:contextualSpacing w:val="1"/>
    </w:pPr>
  </w:style>
  <w:style w:type="paragraph" w:styleId="Continuarlista3">
    <w:name w:val="List Continue 3"/>
    <w:basedOn w:val="Normal"/>
    <w:uiPriority w:val="99"/>
    <w:unhideWhenUsed w:val="1"/>
    <w:rsid w:val="0029639D"/>
    <w:pPr>
      <w:spacing w:after="120"/>
      <w:ind w:left="1080"/>
      <w:contextualSpacing w:val="1"/>
    </w:pPr>
  </w:style>
  <w:style w:type="paragraph" w:styleId="Textomacro">
    <w:name w:val="macro"/>
    <w:link w:val="TextomacroC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TextomacroCar" w:customStyle="1">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val="1"/>
    <w:rsid w:val="00FC693F"/>
    <w:rPr>
      <w:i w:val="1"/>
      <w:iCs w:val="1"/>
      <w:color w:val="000000" w:themeColor="text1"/>
    </w:rPr>
  </w:style>
  <w:style w:type="character" w:styleId="CitaCar" w:customStyle="1">
    <w:name w:val="Cita Car"/>
    <w:basedOn w:val="Fuentedeprrafopredeter"/>
    <w:link w:val="Cita"/>
    <w:uiPriority w:val="29"/>
    <w:rsid w:val="00FC693F"/>
    <w:rPr>
      <w:i w:val="1"/>
      <w:iCs w:val="1"/>
      <w:color w:val="000000" w:themeColor="text1"/>
    </w:rPr>
  </w:style>
  <w:style w:type="character" w:styleId="Ttulo4Car" w:customStyle="1">
    <w:name w:val="Título 4 Car"/>
    <w:basedOn w:val="Fuentedeprrafopredeter"/>
    <w:link w:val="Ttulo4"/>
    <w:uiPriority w:val="9"/>
    <w:semiHidden w:val="1"/>
    <w:rsid w:val="00FC693F"/>
    <w:rPr>
      <w:rFonts w:asciiTheme="majorHAnsi" w:cstheme="majorBidi" w:eastAsiaTheme="majorEastAsia" w:hAnsiTheme="majorHAnsi"/>
      <w:b w:val="1"/>
      <w:bCs w:val="1"/>
      <w:i w:val="1"/>
      <w:iCs w:val="1"/>
      <w:color w:val="4f81bd" w:themeColor="accent1"/>
    </w:rPr>
  </w:style>
  <w:style w:type="character" w:styleId="Ttulo5Car" w:customStyle="1">
    <w:name w:val="Título 5 Car"/>
    <w:basedOn w:val="Fuentedeprrafopredeter"/>
    <w:link w:val="Ttulo5"/>
    <w:uiPriority w:val="9"/>
    <w:semiHidden w:val="1"/>
    <w:rsid w:val="00FC693F"/>
    <w:rPr>
      <w:rFonts w:asciiTheme="majorHAnsi" w:cstheme="majorBidi" w:eastAsiaTheme="majorEastAsia" w:hAnsiTheme="majorHAnsi"/>
      <w:color w:val="243f60" w:themeColor="accent1" w:themeShade="00007F"/>
    </w:rPr>
  </w:style>
  <w:style w:type="character" w:styleId="Ttulo6Car" w:customStyle="1">
    <w:name w:val="Título 6 Car"/>
    <w:basedOn w:val="Fuentedeprrafopredeter"/>
    <w:link w:val="Ttulo6"/>
    <w:uiPriority w:val="9"/>
    <w:semiHidden w:val="1"/>
    <w:rsid w:val="00FC693F"/>
    <w:rPr>
      <w:rFonts w:asciiTheme="majorHAnsi" w:cstheme="majorBidi" w:eastAsiaTheme="majorEastAsia" w:hAnsiTheme="majorHAnsi"/>
      <w:i w:val="1"/>
      <w:iCs w:val="1"/>
      <w:color w:val="243f60" w:themeColor="accent1" w:themeShade="00007F"/>
    </w:rPr>
  </w:style>
  <w:style w:type="character" w:styleId="Ttulo7Car" w:customStyle="1">
    <w:name w:val="Título 7 Car"/>
    <w:basedOn w:val="Fuentedeprrafopredeter"/>
    <w:link w:val="Ttulo7"/>
    <w:uiPriority w:val="9"/>
    <w:semiHidden w:val="1"/>
    <w:rsid w:val="00FC693F"/>
    <w:rPr>
      <w:rFonts w:asciiTheme="majorHAnsi" w:cstheme="majorBidi" w:eastAsiaTheme="majorEastAsia" w:hAnsiTheme="majorHAnsi"/>
      <w:i w:val="1"/>
      <w:iCs w:val="1"/>
      <w:color w:val="404040" w:themeColor="text1" w:themeTint="0000BF"/>
    </w:rPr>
  </w:style>
  <w:style w:type="character" w:styleId="Ttulo8Car" w:customStyle="1">
    <w:name w:val="Título 8 Car"/>
    <w:basedOn w:val="Fuentedeprrafopredeter"/>
    <w:link w:val="Ttulo8"/>
    <w:uiPriority w:val="9"/>
    <w:semiHidden w:val="1"/>
    <w:rsid w:val="00FC693F"/>
    <w:rPr>
      <w:rFonts w:asciiTheme="majorHAnsi" w:cstheme="majorBidi" w:eastAsiaTheme="majorEastAsia" w:hAnsiTheme="majorHAnsi"/>
      <w:color w:val="4f81bd" w:themeColor="accent1"/>
      <w:sz w:val="20"/>
      <w:szCs w:val="20"/>
    </w:rPr>
  </w:style>
  <w:style w:type="character" w:styleId="Ttulo9Car" w:customStyle="1">
    <w:name w:val="Título 9 Car"/>
    <w:basedOn w:val="Fuentedeprrafopredeter"/>
    <w:link w:val="Ttulo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Descripci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Textoennegrita">
    <w:name w:val="Strong"/>
    <w:basedOn w:val="Fuentedeprrafopredeter"/>
    <w:uiPriority w:val="22"/>
    <w:qFormat w:val="1"/>
    <w:rsid w:val="00FC693F"/>
    <w:rPr>
      <w:b w:val="1"/>
      <w:bCs w:val="1"/>
    </w:rPr>
  </w:style>
  <w:style w:type="character" w:styleId="nfasis">
    <w:name w:val="Emphasis"/>
    <w:basedOn w:val="Fuentedeprrafopredeter"/>
    <w:uiPriority w:val="20"/>
    <w:qFormat w:val="1"/>
    <w:rsid w:val="00FC693F"/>
    <w:rPr>
      <w:i w:val="1"/>
      <w:iCs w:val="1"/>
    </w:rPr>
  </w:style>
  <w:style w:type="paragraph" w:styleId="Citadestacada">
    <w:name w:val="Intense Quote"/>
    <w:basedOn w:val="Normal"/>
    <w:next w:val="Normal"/>
    <w:link w:val="CitadestacadaC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CitadestacadaCar" w:customStyle="1">
    <w:name w:val="Cita destacada Car"/>
    <w:basedOn w:val="Fuentedeprrafopredeter"/>
    <w:link w:val="Citadestacada"/>
    <w:uiPriority w:val="30"/>
    <w:rsid w:val="00FC693F"/>
    <w:rPr>
      <w:b w:val="1"/>
      <w:bCs w:val="1"/>
      <w:i w:val="1"/>
      <w:iCs w:val="1"/>
      <w:color w:val="4f81bd" w:themeColor="accent1"/>
    </w:rPr>
  </w:style>
  <w:style w:type="character" w:styleId="nfasissutil">
    <w:name w:val="Subtle Emphasis"/>
    <w:basedOn w:val="Fuentedeprrafopredeter"/>
    <w:uiPriority w:val="19"/>
    <w:qFormat w:val="1"/>
    <w:rsid w:val="00FC693F"/>
    <w:rPr>
      <w:i w:val="1"/>
      <w:iCs w:val="1"/>
      <w:color w:val="808080" w:themeColor="text1" w:themeTint="00007F"/>
    </w:rPr>
  </w:style>
  <w:style w:type="character" w:styleId="nfasisintenso">
    <w:name w:val="Intense Emphasis"/>
    <w:basedOn w:val="Fuentedeprrafopredeter"/>
    <w:uiPriority w:val="21"/>
    <w:qFormat w:val="1"/>
    <w:rsid w:val="00FC693F"/>
    <w:rPr>
      <w:b w:val="1"/>
      <w:bCs w:val="1"/>
      <w:i w:val="1"/>
      <w:iCs w:val="1"/>
      <w:color w:val="4f81bd" w:themeColor="accent1"/>
    </w:rPr>
  </w:style>
  <w:style w:type="character" w:styleId="Referenciasutil">
    <w:name w:val="Subtle Reference"/>
    <w:basedOn w:val="Fuentedeprrafopredeter"/>
    <w:uiPriority w:val="31"/>
    <w:qFormat w:val="1"/>
    <w:rsid w:val="00FC693F"/>
    <w:rPr>
      <w:smallCaps w:val="1"/>
      <w:color w:val="c0504d" w:themeColor="accent2"/>
      <w:u w:val="single"/>
    </w:rPr>
  </w:style>
  <w:style w:type="character" w:styleId="Referenciaintensa">
    <w:name w:val="Intense Reference"/>
    <w:basedOn w:val="Fuentedeprrafopredeter"/>
    <w:uiPriority w:val="32"/>
    <w:qFormat w:val="1"/>
    <w:rsid w:val="00FC693F"/>
    <w:rPr>
      <w:b w:val="1"/>
      <w:bCs w:val="1"/>
      <w:smallCaps w:val="1"/>
      <w:color w:val="c0504d" w:themeColor="accent2"/>
      <w:spacing w:val="5"/>
      <w:u w:val="single"/>
    </w:rPr>
  </w:style>
  <w:style w:type="character" w:styleId="Ttulodellibro">
    <w:name w:val="Book Title"/>
    <w:basedOn w:val="Fuentedeprrafopredeter"/>
    <w:uiPriority w:val="33"/>
    <w:qFormat w:val="1"/>
    <w:rsid w:val="00FC693F"/>
    <w:rPr>
      <w:b w:val="1"/>
      <w:bCs w:val="1"/>
      <w:smallCaps w:val="1"/>
      <w:spacing w:val="5"/>
    </w:rPr>
  </w:style>
  <w:style w:type="paragraph" w:styleId="TtuloTDC">
    <w:name w:val="TOC Heading"/>
    <w:basedOn w:val="Ttulo1"/>
    <w:next w:val="Normal"/>
    <w:uiPriority w:val="39"/>
    <w:unhideWhenUsed w:val="1"/>
    <w:qFormat w:val="1"/>
    <w:rsid w:val="00FC693F"/>
    <w:pPr>
      <w:outlineLvl w:val="9"/>
    </w:pPr>
  </w:style>
  <w:style w:type="table" w:styleId="Tablaconcuadrcula">
    <w:name w:val="Table Grid"/>
    <w:basedOn w:val="Tabla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Sombreadoclaro">
    <w:name w:val="Light Shading"/>
    <w:basedOn w:val="Tabla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Sombreadoclaro-nfasis1">
    <w:name w:val="Light Shading Accent 1"/>
    <w:basedOn w:val="Tabla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Sombreadoclaro-nfasis2">
    <w:name w:val="Light Shading Accent 2"/>
    <w:basedOn w:val="Tabla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Sombreadoclaro-nfasis3">
    <w:name w:val="Light Shading Accent 3"/>
    <w:basedOn w:val="Tabla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Sombreadoclaro-nfasis4">
    <w:name w:val="Light Shading Accent 4"/>
    <w:basedOn w:val="Tabla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Sombreadoclaro-nfasis5">
    <w:name w:val="Light Shading Accent 5"/>
    <w:basedOn w:val="Tabla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Sombreadoclaro-nfasis6">
    <w:name w:val="Light Shading Accent 6"/>
    <w:basedOn w:val="Tabla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staclara">
    <w:name w:val="Light List"/>
    <w:basedOn w:val="Tabla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Listamedia2">
    <w:name w:val="Medium Lis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1">
    <w:name w:val="Medium List 2 Accent 1"/>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2">
    <w:name w:val="Medium List 2 Accent 2"/>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3">
    <w:name w:val="Medium List 2 Accent 3"/>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4">
    <w:name w:val="Medium List 2 Accent 4"/>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5">
    <w:name w:val="Medium List 2 Accent 5"/>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Listamedia2-nfasis6">
    <w:name w:val="Medium List 2 Accent 6"/>
    <w:basedOn w:val="Tabla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Cuadrculamedia2">
    <w:name w:val="Medium Grid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Cuadrculamedia2-nfasis1">
    <w:name w:val="Medium Grid 2 Accent 1"/>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Cuadrculamedia2-nfasis2">
    <w:name w:val="Medium Grid 2 Accent 2"/>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Cuadrculamedia2-nfasis3">
    <w:name w:val="Medium Grid 2 Accent 3"/>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Cuadrculamedia2-nfasis4">
    <w:name w:val="Medium Grid 2 Accent 4"/>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Cuadrculamedia2-nfasis5">
    <w:name w:val="Medium Grid 2 Accent 5"/>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Cuadrculamedia2-nfasis6">
    <w:name w:val="Medium Grid 2 Accent 6"/>
    <w:basedOn w:val="Tabla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Textonotapie">
    <w:name w:val="footnote text"/>
    <w:basedOn w:val="Normal"/>
    <w:link w:val="TextonotapieCar"/>
    <w:uiPriority w:val="99"/>
    <w:semiHidden w:val="1"/>
    <w:unhideWhenUsed w:val="1"/>
    <w:rsid w:val="004B77D8"/>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4B77D8"/>
    <w:rPr>
      <w:rFonts w:ascii="Times New Roman" w:hAnsi="Times New Roman"/>
      <w:sz w:val="20"/>
      <w:szCs w:val="20"/>
    </w:rPr>
  </w:style>
  <w:style w:type="character" w:styleId="Refdenotaalpie">
    <w:name w:val="footnote reference"/>
    <w:basedOn w:val="Fuentedeprrafopredeter"/>
    <w:uiPriority w:val="99"/>
    <w:semiHidden w:val="1"/>
    <w:unhideWhenUsed w:val="1"/>
    <w:rsid w:val="004B77D8"/>
    <w:rPr>
      <w:vertAlign w:val="superscript"/>
    </w:rPr>
  </w:style>
  <w:style w:type="character" w:styleId="Hipervnculo">
    <w:name w:val="Hyperlink"/>
    <w:basedOn w:val="Fuentedeprrafopredeter"/>
    <w:uiPriority w:val="99"/>
    <w:unhideWhenUsed w:val="1"/>
    <w:rsid w:val="004B77D8"/>
    <w:rPr>
      <w:color w:val="0000ff" w:themeColor="hyperlink"/>
      <w:u w:val="single"/>
    </w:rPr>
  </w:style>
  <w:style w:type="character" w:styleId="Mencinsinresolver">
    <w:name w:val="Unresolved Mention"/>
    <w:basedOn w:val="Fuentedeprrafopredeter"/>
    <w:uiPriority w:val="99"/>
    <w:semiHidden w:val="1"/>
    <w:unhideWhenUsed w:val="1"/>
    <w:rsid w:val="004B77D8"/>
    <w:rPr>
      <w:color w:val="605e5c"/>
      <w:shd w:color="auto" w:fill="e1dfdd" w:val="clear"/>
    </w:rPr>
  </w:style>
  <w:style w:type="paragraph" w:styleId="Textodeglobo">
    <w:name w:val="Balloon Text"/>
    <w:basedOn w:val="Normal"/>
    <w:link w:val="TextodegloboCar"/>
    <w:uiPriority w:val="99"/>
    <w:semiHidden w:val="1"/>
    <w:unhideWhenUsed w:val="1"/>
    <w:rsid w:val="00880FE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80FEF"/>
    <w:rPr>
      <w:rFonts w:ascii="Segoe UI" w:cs="Segoe UI" w:hAnsi="Segoe UI"/>
      <w:sz w:val="18"/>
      <w:szCs w:val="18"/>
    </w:rPr>
  </w:style>
  <w:style w:type="paragraph" w:styleId="TDC1">
    <w:name w:val="toc 1"/>
    <w:basedOn w:val="Normal"/>
    <w:next w:val="Normal"/>
    <w:autoRedefine w:val="1"/>
    <w:uiPriority w:val="39"/>
    <w:unhideWhenUsed w:val="1"/>
    <w:rsid w:val="00F15903"/>
    <w:pPr>
      <w:spacing w:after="100"/>
    </w:pPr>
  </w:style>
  <w:style w:type="paragraph" w:styleId="NormalWeb">
    <w:name w:val="Normal (Web)"/>
    <w:basedOn w:val="Normal"/>
    <w:uiPriority w:val="99"/>
    <w:unhideWhenUsed w:val="1"/>
    <w:rsid w:val="008C5CC9"/>
    <w:pPr>
      <w:spacing w:after="100" w:afterAutospacing="1" w:before="100" w:beforeAutospacing="1" w:line="240" w:lineRule="auto"/>
    </w:pPr>
    <w:rPr>
      <w:rFonts w:cs="Times New Roman" w:eastAsia="Times New Roman"/>
      <w:szCs w:val="24"/>
      <w:lang w:eastAsia="es-CL"/>
    </w:rPr>
  </w:style>
  <w:style w:type="paragraph" w:styleId="Subtitle">
    <w:name w:val="Subtitle"/>
    <w:basedOn w:val="Normal"/>
    <w:next w:val="Normal"/>
    <w:pPr/>
    <w:rPr>
      <w:rFonts w:ascii="Calibri" w:cs="Calibri" w:eastAsia="Calibri" w:hAnsi="Calibri"/>
      <w:i w:val="1"/>
      <w:color w:val="4f81bd"/>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LatoBlack-bold.ttf"/><Relationship Id="rId6" Type="http://schemas.openxmlformats.org/officeDocument/2006/relationships/font" Target="fonts/LatoBlack-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minsal.cl/" TargetMode="External"/><Relationship Id="rId2" Type="http://schemas.openxmlformats.org/officeDocument/2006/relationships/hyperlink" Target="https://www.minsal.cl/" TargetMode="External"/><Relationship Id="rId3" Type="http://schemas.openxmlformats.org/officeDocument/2006/relationships/hyperlink" Target="https://www.bcn.cl/leychile/navegar?idNorma=1011110" TargetMode="External"/><Relationship Id="rId4" Type="http://schemas.openxmlformats.org/officeDocument/2006/relationships/hyperlink" Target="https://www.bcn.cl/leychile/navegar?idNorma=1175452" TargetMode="External"/><Relationship Id="rId5" Type="http://schemas.openxmlformats.org/officeDocument/2006/relationships/hyperlink" Target="https://mileschile.cl/wp-content/uploads/2023/06/V-Informe-Corporacio%CC%81n-Miles_web.pdf" TargetMode="External"/><Relationship Id="rId6" Type="http://schemas.openxmlformats.org/officeDocument/2006/relationships/hyperlink" Target="https://www.bcn.cl/leychile/navegar?idNorma=1010482" TargetMode="External"/><Relationship Id="rId7" Type="http://schemas.openxmlformats.org/officeDocument/2006/relationships/hyperlink" Target="https://www.minsal.cl/salud-de-la-mujer/" TargetMode="External"/><Relationship Id="rId8" Type="http://schemas.openxmlformats.org/officeDocument/2006/relationships/hyperlink" Target="https://diprece.minsal.cl/wp-content/uploads/2021/06/PROTOCOLO-ANTICONCEPCION-ISBN_v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nY5PnOYlswveroSRXjyPuwa2pA==">CgMxLjAyDmguZW90dTkxNXp0cW9pMg5oLmcwcDM0dTFlYTk0MTIOaC5lbzh6YTU1eDEybjcyDmguc2EyMXF1YWF3MzRyMg5oLjR5YXJzN2YyYzM3cTIOaC51NzVhYnFydmdzcWIyDmgud2d2NXgwaWNvZmV6Mg5oLmYxdzg2d3owYWl2ejgAaigKFHN1Z2dlc3QudzZsMXNjNXVvOXc3EhBDaGlsZU5lY2VzaXRhRVNJaicKE3N1Z2dlc3QuaTlyNzBubTE2eTISEENoaWxlTmVjZXNpdGFFU0lqKAoUc3VnZ2VzdC4xZjB1dXpvc3ZucXoSEENoaWxlTmVjZXNpdGFFU0lyITF2Q1R5VGtaM1JwU0NvTnc2eDByMm91UGFNbWJta0tl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