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A30693" w14:textId="6BBB09AF" w:rsidR="00496188" w:rsidRPr="0067713E" w:rsidRDefault="000F1E7D" w:rsidP="00400680">
      <w:pPr>
        <w:pStyle w:val="Normal1"/>
        <w:contextualSpacing w:val="0"/>
        <w:jc w:val="right"/>
        <w:rPr>
          <w:rFonts w:ascii="Franklin Gothic Book" w:hAnsi="Franklin Gothic Book"/>
          <w:b/>
          <w:sz w:val="28"/>
          <w:szCs w:val="28"/>
          <w:lang w:val="fr-FR"/>
        </w:rPr>
      </w:pPr>
      <w:r w:rsidRPr="0067713E">
        <w:rPr>
          <w:rFonts w:ascii="Times New Roman" w:eastAsia="Calibri" w:hAnsi="Times New Roman" w:cs="Times New Roman"/>
          <w:b/>
          <w:noProof/>
          <w:sz w:val="24"/>
          <w:szCs w:val="24"/>
          <w:lang w:val="en-US"/>
        </w:rPr>
        <w:drawing>
          <wp:inline distT="0" distB="0" distL="0" distR="0" wp14:anchorId="016F7C62" wp14:editId="2D036E2E">
            <wp:extent cx="3452633" cy="582295"/>
            <wp:effectExtent l="0" t="0" r="190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FRENCH_byline_for_sections_DEMOCRATIC_REPUBLIC_OF_THE_CONGO_right_positiveV2.png"/>
                    <pic:cNvPicPr/>
                  </pic:nvPicPr>
                  <pic:blipFill>
                    <a:blip r:embed="rId9"/>
                    <a:stretch>
                      <a:fillRect/>
                    </a:stretch>
                  </pic:blipFill>
                  <pic:spPr>
                    <a:xfrm>
                      <a:off x="0" y="0"/>
                      <a:ext cx="3459791" cy="583502"/>
                    </a:xfrm>
                    <a:prstGeom prst="rect">
                      <a:avLst/>
                    </a:prstGeom>
                  </pic:spPr>
                </pic:pic>
              </a:graphicData>
            </a:graphic>
          </wp:inline>
        </w:drawing>
      </w:r>
    </w:p>
    <w:p w14:paraId="7BC9CB35" w14:textId="457DAF75" w:rsidR="00852523" w:rsidRPr="0067713E" w:rsidRDefault="00977BF5" w:rsidP="00735E2E">
      <w:pPr>
        <w:pStyle w:val="BodyText"/>
        <w:rPr>
          <w:lang w:val="fr-FR"/>
        </w:rPr>
      </w:pPr>
      <w:r w:rsidRPr="0067713E">
        <w:rPr>
          <w:noProof/>
          <w:lang w:val="en-US"/>
        </w:rPr>
        <mc:AlternateContent>
          <mc:Choice Requires="wps">
            <w:drawing>
              <wp:anchor distT="0" distB="0" distL="0" distR="0" simplePos="0" relativeHeight="251659264" behindDoc="1" locked="0" layoutInCell="1" allowOverlap="1" wp14:anchorId="4746BA87" wp14:editId="7667A11B">
                <wp:simplePos x="0" y="0"/>
                <wp:positionH relativeFrom="page">
                  <wp:posOffset>901700</wp:posOffset>
                </wp:positionH>
                <wp:positionV relativeFrom="paragraph">
                  <wp:posOffset>346399</wp:posOffset>
                </wp:positionV>
                <wp:extent cx="5984240" cy="1790700"/>
                <wp:effectExtent l="0" t="0" r="0" b="0"/>
                <wp:wrapTopAndBottom/>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240" cy="179070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0A462A" w14:textId="77777777" w:rsidR="00726A93" w:rsidRPr="000F1E7D" w:rsidRDefault="00726A93" w:rsidP="000F1E7D">
                            <w:pPr>
                              <w:jc w:val="center"/>
                              <w:rPr>
                                <w:rFonts w:ascii="Franklin Gothic Demi" w:hAnsi="Franklin Gothic Demi" w:cs="Cordia New"/>
                                <w:b/>
                                <w:color w:val="33473C" w:themeColor="text2" w:themeShade="BF"/>
                                <w:sz w:val="28"/>
                                <w:szCs w:val="28"/>
                                <w:lang w:val="en-GB"/>
                              </w:rPr>
                            </w:pPr>
                          </w:p>
                          <w:p w14:paraId="1C416920" w14:textId="5A9C25D0" w:rsidR="00726A93" w:rsidRPr="002D0007" w:rsidRDefault="00726A93" w:rsidP="000F1E7D">
                            <w:pPr>
                              <w:jc w:val="center"/>
                              <w:rPr>
                                <w:rFonts w:ascii="Franklin Gothic Demi" w:hAnsi="Franklin Gothic Demi" w:cs="Cordia New"/>
                                <w:b/>
                                <w:color w:val="33473C" w:themeColor="text2" w:themeShade="BF"/>
                                <w:sz w:val="28"/>
                                <w:szCs w:val="28"/>
                                <w:lang w:val="fr-FR"/>
                              </w:rPr>
                            </w:pPr>
                            <w:r w:rsidRPr="002D0007">
                              <w:rPr>
                                <w:rFonts w:ascii="Franklin Gothic Demi" w:hAnsi="Franklin Gothic Demi" w:cs="Cordia New"/>
                                <w:b/>
                                <w:color w:val="33473C" w:themeColor="text2" w:themeShade="BF"/>
                                <w:sz w:val="28"/>
                                <w:szCs w:val="28"/>
                                <w:lang w:val="fr-FR"/>
                              </w:rPr>
                              <w:t>Contribution à la liste des points</w:t>
                            </w:r>
                          </w:p>
                          <w:p w14:paraId="51982E63" w14:textId="01993DBD" w:rsidR="00726A93" w:rsidRPr="002D0007" w:rsidRDefault="00726A93" w:rsidP="000F1E7D">
                            <w:pPr>
                              <w:jc w:val="center"/>
                              <w:rPr>
                                <w:rFonts w:ascii="Franklin Gothic Demi" w:hAnsi="Franklin Gothic Demi" w:cs="Cordia New"/>
                                <w:b/>
                                <w:color w:val="33473C" w:themeColor="text2" w:themeShade="BF"/>
                                <w:sz w:val="28"/>
                                <w:szCs w:val="28"/>
                                <w:lang w:val="fr-FR"/>
                              </w:rPr>
                            </w:pPr>
                            <w:r w:rsidRPr="002D0007">
                              <w:rPr>
                                <w:rFonts w:ascii="Franklin Gothic Demi" w:hAnsi="Franklin Gothic Demi" w:cs="Cordia New"/>
                                <w:b/>
                                <w:color w:val="33473C" w:themeColor="text2" w:themeShade="BF"/>
                                <w:sz w:val="28"/>
                                <w:szCs w:val="28"/>
                                <w:lang w:val="fr-FR"/>
                              </w:rPr>
                              <w:t>Comité des Droits Economiques, Sociaux et Culturels, 66e pré-session</w:t>
                            </w:r>
                          </w:p>
                          <w:p w14:paraId="2DD15C16" w14:textId="5677EA53" w:rsidR="00726A93" w:rsidRPr="002D0007" w:rsidRDefault="00726A93" w:rsidP="002D0007">
                            <w:pPr>
                              <w:jc w:val="center"/>
                              <w:rPr>
                                <w:rFonts w:ascii="Franklin Gothic Demi" w:hAnsi="Franklin Gothic Demi" w:cs="Cordia New"/>
                                <w:b/>
                                <w:color w:val="33473C" w:themeColor="text2" w:themeShade="BF"/>
                                <w:sz w:val="24"/>
                                <w:szCs w:val="24"/>
                                <w:lang w:val="fr-FR"/>
                              </w:rPr>
                            </w:pPr>
                            <w:r w:rsidRPr="002D0007">
                              <w:rPr>
                                <w:rFonts w:ascii="Franklin Gothic Demi" w:hAnsi="Franklin Gothic Demi" w:cs="Cordia New"/>
                                <w:b/>
                                <w:color w:val="33473C" w:themeColor="text2" w:themeShade="BF"/>
                                <w:sz w:val="24"/>
                                <w:szCs w:val="24"/>
                                <w:lang w:val="fr-FR"/>
                              </w:rPr>
                              <w:t>République Démocratique du Congo (9-13 mars 2020)</w:t>
                            </w:r>
                          </w:p>
                          <w:p w14:paraId="53C68B76" w14:textId="77777777" w:rsidR="00726A93" w:rsidRPr="00437408" w:rsidRDefault="00726A93" w:rsidP="000F1E7D">
                            <w:pPr>
                              <w:rPr>
                                <w:rFonts w:ascii="Palatino-Roman" w:eastAsia="Calibri" w:hAnsi="Palatino-Roman" w:cs="Palatino-Roman"/>
                                <w:b/>
                                <w:sz w:val="28"/>
                                <w:szCs w:val="28"/>
                              </w:rPr>
                            </w:pPr>
                          </w:p>
                          <w:p w14:paraId="253609F4" w14:textId="4C8C2973" w:rsidR="00726A93" w:rsidRDefault="00726A93" w:rsidP="009C05E6">
                            <w:pPr>
                              <w:pStyle w:val="Normal1"/>
                              <w:shd w:val="clear" w:color="auto" w:fill="F2F2F2" w:themeFill="background1" w:themeFillShade="F2"/>
                              <w:jc w:val="center"/>
                              <w:rPr>
                                <w:rFonts w:ascii="Franklin Gothic Demi" w:hAnsi="Franklin Gothic Demi" w:cs="Cordia New"/>
                                <w:b/>
                                <w:color w:val="33473C" w:themeColor="text2" w:themeShade="BF"/>
                                <w:sz w:val="28"/>
                                <w:szCs w:val="28"/>
                                <w:lang w:val="en-GB"/>
                              </w:rPr>
                            </w:pPr>
                          </w:p>
                          <w:p w14:paraId="5E896FEB" w14:textId="77777777" w:rsidR="00726A93" w:rsidRPr="00BD0D97" w:rsidRDefault="00726A93" w:rsidP="009C05E6">
                            <w:pPr>
                              <w:pStyle w:val="Normal1"/>
                              <w:shd w:val="clear" w:color="auto" w:fill="F2F2F2" w:themeFill="background1" w:themeFillShade="F2"/>
                              <w:jc w:val="center"/>
                              <w:rPr>
                                <w:rFonts w:ascii="Franklin Gothic Demi" w:hAnsi="Franklin Gothic Demi" w:cs="Cordia New"/>
                                <w:b/>
                                <w:color w:val="33473C" w:themeColor="text2" w:themeShade="BF"/>
                                <w:sz w:val="28"/>
                                <w:szCs w:val="28"/>
                                <w:lang w:val="en-GB"/>
                              </w:rPr>
                            </w:pPr>
                          </w:p>
                          <w:p w14:paraId="25289123" w14:textId="4A7C3B66" w:rsidR="00726A93" w:rsidRDefault="00726A93" w:rsidP="00977BF5">
                            <w:pPr>
                              <w:pStyle w:val="Normal1"/>
                              <w:shd w:val="clear" w:color="auto" w:fill="F2F2F2" w:themeFill="background1" w:themeFillShade="F2"/>
                              <w:contextualSpacing w:val="0"/>
                              <w:jc w:val="center"/>
                              <w:rPr>
                                <w:rFonts w:ascii="Franklin Gothic Medium" w:hAnsi="Franklin Gothic Medium"/>
                                <w:color w:val="33473C" w:themeColor="text2" w:themeShade="BF"/>
                                <w:sz w:val="24"/>
                                <w:szCs w:val="24"/>
                                <w:lang w:val="en-GB"/>
                              </w:rPr>
                            </w:pPr>
                            <w:r>
                              <w:rPr>
                                <w:rFonts w:ascii="Franklin Gothic Medium" w:hAnsi="Franklin Gothic Medium"/>
                                <w:color w:val="33473C" w:themeColor="text2" w:themeShade="BF"/>
                                <w:sz w:val="24"/>
                                <w:szCs w:val="24"/>
                                <w:lang w:val="en-GB"/>
                              </w:rPr>
                              <w:t xml:space="preserve"> (10-28 February 2020)</w:t>
                            </w:r>
                          </w:p>
                          <w:p w14:paraId="4564EB5A" w14:textId="4BA5BEC0" w:rsidR="00726A93" w:rsidRDefault="00726A93" w:rsidP="00977BF5">
                            <w:pPr>
                              <w:pStyle w:val="Normal1"/>
                              <w:shd w:val="clear" w:color="auto" w:fill="F2F2F2" w:themeFill="background1" w:themeFillShade="F2"/>
                              <w:contextualSpacing w:val="0"/>
                              <w:jc w:val="center"/>
                              <w:rPr>
                                <w:rFonts w:ascii="Franklin Gothic Medium" w:hAnsi="Franklin Gothic Medium"/>
                                <w:color w:val="33473C" w:themeColor="text2" w:themeShade="BF"/>
                                <w:sz w:val="24"/>
                                <w:szCs w:val="24"/>
                                <w:lang w:val="en-GB"/>
                              </w:rPr>
                            </w:pPr>
                          </w:p>
                          <w:p w14:paraId="3093AA89" w14:textId="18DC43EE" w:rsidR="00726A93" w:rsidRPr="00E80F4F" w:rsidRDefault="00726A93" w:rsidP="000F1E7D">
                            <w:pPr>
                              <w:pStyle w:val="Normal1"/>
                              <w:shd w:val="clear" w:color="auto" w:fill="F2F2F2" w:themeFill="background1" w:themeFillShade="F2"/>
                              <w:contextualSpacing w:val="0"/>
                              <w:rPr>
                                <w:rFonts w:ascii="Franklin Gothic Medium" w:hAnsi="Franklin Gothic Medium"/>
                                <w:i/>
                                <w:iCs/>
                                <w:color w:val="33473C" w:themeColor="text2" w:themeShade="BF"/>
                                <w:sz w:val="52"/>
                                <w:szCs w:val="52"/>
                                <w:lang w:val="en-GB"/>
                              </w:rPr>
                            </w:pPr>
                          </w:p>
                          <w:p w14:paraId="2054A7BC" w14:textId="77777777" w:rsidR="00726A93" w:rsidRPr="00233F24" w:rsidRDefault="00726A93" w:rsidP="00977BF5">
                            <w:pPr>
                              <w:spacing w:before="60"/>
                              <w:ind w:left="716" w:right="723"/>
                              <w:jc w:val="center"/>
                              <w:rPr>
                                <w:rFonts w:ascii="Arial"/>
                                <w:sz w:val="24"/>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2" o:spid="_x0000_s1026" type="#_x0000_t202" style="position:absolute;left:0;text-align:left;margin-left:71pt;margin-top:27.3pt;width:471.2pt;height:14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" fillcolor="#f1f1f1" stroked="f">
                <v:textbox inset="0,0,0,0">
                  <w:txbxContent>
                    <w:p w14:paraId="060A462A" w14:textId="77777777" w:rsidR="00726A93" w:rsidRPr="000F1E7D" w:rsidRDefault="00726A93" w:rsidP="000F1E7D">
                      <w:pPr>
                        <w:jc w:val="center"/>
                        <w:rPr>
                          <w:rFonts w:ascii="Franklin Gothic Demi" w:hAnsi="Franklin Gothic Demi" w:cs="Cordia New"/>
                          <w:b/>
                          <w:color w:val="33473C" w:themeColor="text2" w:themeShade="BF"/>
                          <w:sz w:val="28"/>
                          <w:szCs w:val="28"/>
                          <w:lang w:val="en-GB"/>
                        </w:rPr>
                      </w:pPr>
                    </w:p>
                    <w:p w14:paraId="1C416920" w14:textId="5A9C25D0" w:rsidR="00726A93" w:rsidRPr="002D0007" w:rsidRDefault="00726A93" w:rsidP="000F1E7D">
                      <w:pPr>
                        <w:jc w:val="center"/>
                        <w:rPr>
                          <w:rFonts w:ascii="Franklin Gothic Demi" w:hAnsi="Franklin Gothic Demi" w:cs="Cordia New"/>
                          <w:b/>
                          <w:color w:val="33473C" w:themeColor="text2" w:themeShade="BF"/>
                          <w:sz w:val="28"/>
                          <w:szCs w:val="28"/>
                          <w:lang w:val="fr-FR"/>
                        </w:rPr>
                      </w:pPr>
                      <w:r w:rsidRPr="002D0007">
                        <w:rPr>
                          <w:rFonts w:ascii="Franklin Gothic Demi" w:hAnsi="Franklin Gothic Demi" w:cs="Cordia New"/>
                          <w:b/>
                          <w:color w:val="33473C" w:themeColor="text2" w:themeShade="BF"/>
                          <w:sz w:val="28"/>
                          <w:szCs w:val="28"/>
                          <w:lang w:val="fr-FR"/>
                        </w:rPr>
                        <w:t>Contribution à la liste des points</w:t>
                      </w:r>
                    </w:p>
                    <w:p w14:paraId="51982E63" w14:textId="01993DBD" w:rsidR="00726A93" w:rsidRPr="002D0007" w:rsidRDefault="00726A93" w:rsidP="000F1E7D">
                      <w:pPr>
                        <w:jc w:val="center"/>
                        <w:rPr>
                          <w:rFonts w:ascii="Franklin Gothic Demi" w:hAnsi="Franklin Gothic Demi" w:cs="Cordia New"/>
                          <w:b/>
                          <w:color w:val="33473C" w:themeColor="text2" w:themeShade="BF"/>
                          <w:sz w:val="28"/>
                          <w:szCs w:val="28"/>
                          <w:lang w:val="fr-FR"/>
                        </w:rPr>
                      </w:pPr>
                      <w:r w:rsidRPr="002D0007">
                        <w:rPr>
                          <w:rFonts w:ascii="Franklin Gothic Demi" w:hAnsi="Franklin Gothic Demi" w:cs="Cordia New"/>
                          <w:b/>
                          <w:color w:val="33473C" w:themeColor="text2" w:themeShade="BF"/>
                          <w:sz w:val="28"/>
                          <w:szCs w:val="28"/>
                          <w:lang w:val="fr-FR"/>
                        </w:rPr>
                        <w:t>Comité des Droits Economiques, Sociaux et Culturels, 66e pré-session</w:t>
                      </w:r>
                    </w:p>
                    <w:p w14:paraId="2DD15C16" w14:textId="5677EA53" w:rsidR="00726A93" w:rsidRPr="002D0007" w:rsidRDefault="00726A93" w:rsidP="002D0007">
                      <w:pPr>
                        <w:jc w:val="center"/>
                        <w:rPr>
                          <w:rFonts w:ascii="Franklin Gothic Demi" w:hAnsi="Franklin Gothic Demi" w:cs="Cordia New"/>
                          <w:b/>
                          <w:color w:val="33473C" w:themeColor="text2" w:themeShade="BF"/>
                          <w:sz w:val="24"/>
                          <w:szCs w:val="24"/>
                          <w:lang w:val="fr-FR"/>
                        </w:rPr>
                      </w:pPr>
                      <w:r w:rsidRPr="002D0007">
                        <w:rPr>
                          <w:rFonts w:ascii="Franklin Gothic Demi" w:hAnsi="Franklin Gothic Demi" w:cs="Cordia New"/>
                          <w:b/>
                          <w:color w:val="33473C" w:themeColor="text2" w:themeShade="BF"/>
                          <w:sz w:val="24"/>
                          <w:szCs w:val="24"/>
                          <w:lang w:val="fr-FR"/>
                        </w:rPr>
                        <w:t>République Démocratique du Congo (9-13 mars 2020)</w:t>
                      </w:r>
                    </w:p>
                    <w:p w14:paraId="53C68B76" w14:textId="77777777" w:rsidR="00726A93" w:rsidRPr="00437408" w:rsidRDefault="00726A93" w:rsidP="000F1E7D">
                      <w:pPr>
                        <w:rPr>
                          <w:rFonts w:ascii="Palatino-Roman" w:eastAsia="Calibri" w:hAnsi="Palatino-Roman" w:cs="Palatino-Roman"/>
                          <w:b/>
                          <w:sz w:val="28"/>
                          <w:szCs w:val="28"/>
                        </w:rPr>
                      </w:pPr>
                    </w:p>
                    <w:p w14:paraId="253609F4" w14:textId="4C8C2973" w:rsidR="00726A93" w:rsidRDefault="00726A93" w:rsidP="009C05E6">
                      <w:pPr>
                        <w:pStyle w:val="Normal1"/>
                        <w:shd w:val="clear" w:color="auto" w:fill="F2F2F2" w:themeFill="background1" w:themeFillShade="F2"/>
                        <w:jc w:val="center"/>
                        <w:rPr>
                          <w:rFonts w:ascii="Franklin Gothic Demi" w:hAnsi="Franklin Gothic Demi" w:cs="Cordia New"/>
                          <w:b/>
                          <w:color w:val="33473C" w:themeColor="text2" w:themeShade="BF"/>
                          <w:sz w:val="28"/>
                          <w:szCs w:val="28"/>
                          <w:lang w:val="en-GB"/>
                        </w:rPr>
                      </w:pPr>
                    </w:p>
                    <w:p w14:paraId="5E896FEB" w14:textId="77777777" w:rsidR="00726A93" w:rsidRPr="00BD0D97" w:rsidRDefault="00726A93" w:rsidP="009C05E6">
                      <w:pPr>
                        <w:pStyle w:val="Normal1"/>
                        <w:shd w:val="clear" w:color="auto" w:fill="F2F2F2" w:themeFill="background1" w:themeFillShade="F2"/>
                        <w:jc w:val="center"/>
                        <w:rPr>
                          <w:rFonts w:ascii="Franklin Gothic Demi" w:hAnsi="Franklin Gothic Demi" w:cs="Cordia New"/>
                          <w:b/>
                          <w:color w:val="33473C" w:themeColor="text2" w:themeShade="BF"/>
                          <w:sz w:val="28"/>
                          <w:szCs w:val="28"/>
                          <w:lang w:val="en-GB"/>
                        </w:rPr>
                      </w:pPr>
                    </w:p>
                    <w:p w14:paraId="25289123" w14:textId="4A7C3B66" w:rsidR="00726A93" w:rsidRDefault="00726A93" w:rsidP="00977BF5">
                      <w:pPr>
                        <w:pStyle w:val="Normal1"/>
                        <w:shd w:val="clear" w:color="auto" w:fill="F2F2F2" w:themeFill="background1" w:themeFillShade="F2"/>
                        <w:contextualSpacing w:val="0"/>
                        <w:jc w:val="center"/>
                        <w:rPr>
                          <w:rFonts w:ascii="Franklin Gothic Medium" w:hAnsi="Franklin Gothic Medium"/>
                          <w:color w:val="33473C" w:themeColor="text2" w:themeShade="BF"/>
                          <w:sz w:val="24"/>
                          <w:szCs w:val="24"/>
                          <w:lang w:val="en-GB"/>
                        </w:rPr>
                      </w:pPr>
                      <w:r>
                        <w:rPr>
                          <w:rFonts w:ascii="Franklin Gothic Medium" w:hAnsi="Franklin Gothic Medium"/>
                          <w:color w:val="33473C" w:themeColor="text2" w:themeShade="BF"/>
                          <w:sz w:val="24"/>
                          <w:szCs w:val="24"/>
                          <w:lang w:val="en-GB"/>
                        </w:rPr>
                        <w:t xml:space="preserve"> (10-28 February 2020)</w:t>
                      </w:r>
                    </w:p>
                    <w:p w14:paraId="4564EB5A" w14:textId="4BA5BEC0" w:rsidR="00726A93" w:rsidRDefault="00726A93" w:rsidP="00977BF5">
                      <w:pPr>
                        <w:pStyle w:val="Normal1"/>
                        <w:shd w:val="clear" w:color="auto" w:fill="F2F2F2" w:themeFill="background1" w:themeFillShade="F2"/>
                        <w:contextualSpacing w:val="0"/>
                        <w:jc w:val="center"/>
                        <w:rPr>
                          <w:rFonts w:ascii="Franklin Gothic Medium" w:hAnsi="Franklin Gothic Medium"/>
                          <w:color w:val="33473C" w:themeColor="text2" w:themeShade="BF"/>
                          <w:sz w:val="24"/>
                          <w:szCs w:val="24"/>
                          <w:lang w:val="en-GB"/>
                        </w:rPr>
                      </w:pPr>
                    </w:p>
                    <w:p w14:paraId="3093AA89" w14:textId="18DC43EE" w:rsidR="00726A93" w:rsidRPr="00E80F4F" w:rsidRDefault="00726A93" w:rsidP="000F1E7D">
                      <w:pPr>
                        <w:pStyle w:val="Normal1"/>
                        <w:shd w:val="clear" w:color="auto" w:fill="F2F2F2" w:themeFill="background1" w:themeFillShade="F2"/>
                        <w:contextualSpacing w:val="0"/>
                        <w:rPr>
                          <w:rFonts w:ascii="Franklin Gothic Medium" w:hAnsi="Franklin Gothic Medium"/>
                          <w:i/>
                          <w:iCs/>
                          <w:color w:val="33473C" w:themeColor="text2" w:themeShade="BF"/>
                          <w:sz w:val="52"/>
                          <w:szCs w:val="52"/>
                          <w:lang w:val="en-GB"/>
                        </w:rPr>
                      </w:pPr>
                    </w:p>
                    <w:p w14:paraId="2054A7BC" w14:textId="77777777" w:rsidR="00726A93" w:rsidRPr="00233F24" w:rsidRDefault="00726A93" w:rsidP="00977BF5">
                      <w:pPr>
                        <w:spacing w:before="60"/>
                        <w:ind w:left="716" w:right="723"/>
                        <w:jc w:val="center"/>
                        <w:rPr>
                          <w:rFonts w:ascii="Arial"/>
                          <w:sz w:val="24"/>
                          <w:lang w:val="en-GB"/>
                        </w:rPr>
                      </w:pPr>
                    </w:p>
                  </w:txbxContent>
                </v:textbox>
                <w10:wrap type="topAndBottom" anchorx="page"/>
              </v:shape>
            </w:pict>
          </mc:Fallback>
        </mc:AlternateContent>
      </w:r>
      <w:bookmarkStart w:id="0" w:name="I.__Women’s_participation_in_political_a"/>
      <w:bookmarkStart w:id="1" w:name="_bookmark0"/>
      <w:bookmarkStart w:id="2" w:name="_Toc532245285"/>
      <w:bookmarkStart w:id="3" w:name="_Toc10717590"/>
      <w:bookmarkEnd w:id="0"/>
      <w:bookmarkEnd w:id="1"/>
    </w:p>
    <w:p w14:paraId="30871664" w14:textId="77777777" w:rsidR="00852523" w:rsidRPr="0067713E" w:rsidRDefault="00852523" w:rsidP="00852523">
      <w:pPr>
        <w:pStyle w:val="Normal1"/>
        <w:rPr>
          <w:lang w:val="fr-FR"/>
        </w:rPr>
      </w:pPr>
    </w:p>
    <w:p w14:paraId="5A948D1C" w14:textId="77777777" w:rsidR="00A029C1" w:rsidRPr="00A029C1" w:rsidRDefault="004352DE">
      <w:pPr>
        <w:pStyle w:val="TOC1"/>
        <w:tabs>
          <w:tab w:val="left" w:pos="432"/>
          <w:tab w:val="right" w:leader="dot" w:pos="9350"/>
        </w:tabs>
        <w:rPr>
          <w:rFonts w:ascii="Franklin Gothic Book" w:eastAsia="MS Mincho" w:hAnsi="Franklin Gothic Book" w:cstheme="minorBidi"/>
          <w:b w:val="0"/>
          <w:noProof/>
          <w:lang w:val="en-US" w:eastAsia="ja-JP"/>
        </w:rPr>
      </w:pPr>
      <w:r w:rsidRPr="00A029C1">
        <w:rPr>
          <w:rFonts w:ascii="Franklin Gothic Book" w:hAnsi="Franklin Gothic Book"/>
          <w:b w:val="0"/>
          <w:lang w:val="fr-FR"/>
        </w:rPr>
        <w:fldChar w:fldCharType="begin"/>
      </w:r>
      <w:r w:rsidRPr="00A029C1">
        <w:rPr>
          <w:rFonts w:ascii="Franklin Gothic Book" w:hAnsi="Franklin Gothic Book"/>
          <w:b w:val="0"/>
          <w:lang w:val="fr-FR"/>
        </w:rPr>
        <w:instrText xml:space="preserve"> TOC \o "1-4" </w:instrText>
      </w:r>
      <w:r w:rsidRPr="00A029C1">
        <w:rPr>
          <w:rFonts w:ascii="Franklin Gothic Book" w:hAnsi="Franklin Gothic Book"/>
          <w:b w:val="0"/>
          <w:lang w:val="fr-FR"/>
        </w:rPr>
        <w:fldChar w:fldCharType="separate"/>
      </w:r>
      <w:r w:rsidR="00A029C1" w:rsidRPr="00A029C1">
        <w:rPr>
          <w:rFonts w:ascii="Franklin Gothic Book" w:hAnsi="Franklin Gothic Book"/>
          <w:noProof/>
          <w:lang w:val="fr-FR"/>
        </w:rPr>
        <w:t xml:space="preserve">I. </w:t>
      </w:r>
      <w:r w:rsidR="00A029C1" w:rsidRPr="00A029C1">
        <w:rPr>
          <w:rFonts w:ascii="Franklin Gothic Book" w:eastAsia="MS Mincho" w:hAnsi="Franklin Gothic Book" w:cstheme="minorBidi"/>
          <w:b w:val="0"/>
          <w:noProof/>
          <w:lang w:val="en-US" w:eastAsia="ja-JP"/>
        </w:rPr>
        <w:tab/>
      </w:r>
      <w:r w:rsidR="00A029C1" w:rsidRPr="00A029C1">
        <w:rPr>
          <w:rFonts w:ascii="Franklin Gothic Book" w:hAnsi="Franklin Gothic Book"/>
          <w:noProof/>
          <w:lang w:val="fr-FR"/>
        </w:rPr>
        <w:t>Introduction</w:t>
      </w:r>
      <w:r w:rsidR="00A029C1" w:rsidRPr="00A029C1">
        <w:rPr>
          <w:rFonts w:ascii="Franklin Gothic Book" w:hAnsi="Franklin Gothic Book"/>
          <w:noProof/>
        </w:rPr>
        <w:tab/>
      </w:r>
      <w:r w:rsidR="00A029C1" w:rsidRPr="00A029C1">
        <w:rPr>
          <w:rFonts w:ascii="Franklin Gothic Book" w:hAnsi="Franklin Gothic Book"/>
          <w:noProof/>
        </w:rPr>
        <w:fldChar w:fldCharType="begin"/>
      </w:r>
      <w:r w:rsidR="00A029C1" w:rsidRPr="00A029C1">
        <w:rPr>
          <w:rFonts w:ascii="Franklin Gothic Book" w:hAnsi="Franklin Gothic Book"/>
          <w:noProof/>
        </w:rPr>
        <w:instrText xml:space="preserve"> PAGEREF _Toc440186411 \h </w:instrText>
      </w:r>
      <w:r w:rsidR="00A029C1" w:rsidRPr="00A029C1">
        <w:rPr>
          <w:rFonts w:ascii="Franklin Gothic Book" w:hAnsi="Franklin Gothic Book"/>
          <w:noProof/>
        </w:rPr>
      </w:r>
      <w:r w:rsidR="00A029C1" w:rsidRPr="00A029C1">
        <w:rPr>
          <w:rFonts w:ascii="Franklin Gothic Book" w:hAnsi="Franklin Gothic Book"/>
          <w:noProof/>
        </w:rPr>
        <w:fldChar w:fldCharType="separate"/>
      </w:r>
      <w:r w:rsidR="00A029C1" w:rsidRPr="00A029C1">
        <w:rPr>
          <w:rFonts w:ascii="Franklin Gothic Book" w:hAnsi="Franklin Gothic Book"/>
          <w:noProof/>
        </w:rPr>
        <w:t>1</w:t>
      </w:r>
      <w:r w:rsidR="00A029C1" w:rsidRPr="00A029C1">
        <w:rPr>
          <w:rFonts w:ascii="Franklin Gothic Book" w:hAnsi="Franklin Gothic Book"/>
          <w:noProof/>
        </w:rPr>
        <w:fldChar w:fldCharType="end"/>
      </w:r>
    </w:p>
    <w:p w14:paraId="0FF64F94" w14:textId="77777777" w:rsidR="00A029C1" w:rsidRPr="00A029C1" w:rsidRDefault="00A029C1">
      <w:pPr>
        <w:pStyle w:val="TOC1"/>
        <w:tabs>
          <w:tab w:val="right" w:leader="dot" w:pos="9350"/>
        </w:tabs>
        <w:rPr>
          <w:rFonts w:ascii="Franklin Gothic Book" w:eastAsia="MS Mincho" w:hAnsi="Franklin Gothic Book" w:cstheme="minorBidi"/>
          <w:b w:val="0"/>
          <w:noProof/>
          <w:lang w:val="en-US" w:eastAsia="ja-JP"/>
        </w:rPr>
      </w:pPr>
      <w:r w:rsidRPr="00A029C1">
        <w:rPr>
          <w:rFonts w:ascii="Franklin Gothic Book" w:hAnsi="Franklin Gothic Book"/>
          <w:noProof/>
          <w:lang w:val="fr-FR"/>
        </w:rPr>
        <w:t>II. Non-discrimination (art. 3)</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_Toc440186412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1</w:t>
      </w:r>
      <w:r w:rsidRPr="00A029C1">
        <w:rPr>
          <w:rFonts w:ascii="Franklin Gothic Book" w:hAnsi="Franklin Gothic Book"/>
          <w:noProof/>
        </w:rPr>
        <w:fldChar w:fldCharType="end"/>
      </w:r>
    </w:p>
    <w:p w14:paraId="7757A386" w14:textId="77777777" w:rsidR="00A029C1" w:rsidRPr="00A029C1" w:rsidRDefault="00A029C1">
      <w:pPr>
        <w:pStyle w:val="TOC2"/>
        <w:tabs>
          <w:tab w:val="right" w:leader="dot" w:pos="9350"/>
        </w:tabs>
        <w:rPr>
          <w:rFonts w:ascii="Franklin Gothic Book" w:eastAsia="MS Mincho" w:hAnsi="Franklin Gothic Book" w:cstheme="minorBidi"/>
          <w:b w:val="0"/>
          <w:noProof/>
          <w:sz w:val="24"/>
          <w:szCs w:val="24"/>
          <w:lang w:val="en-US" w:eastAsia="ja-JP"/>
        </w:rPr>
      </w:pPr>
      <w:r w:rsidRPr="00A029C1">
        <w:rPr>
          <w:rFonts w:ascii="Franklin Gothic Book" w:hAnsi="Franklin Gothic Book"/>
          <w:noProof/>
          <w:lang w:val="fr-FR"/>
        </w:rPr>
        <w:t>Violences basées sur le genre: violences domestiques</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_Toc440186413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1</w:t>
      </w:r>
      <w:r w:rsidRPr="00A029C1">
        <w:rPr>
          <w:rFonts w:ascii="Franklin Gothic Book" w:hAnsi="Franklin Gothic Book"/>
          <w:noProof/>
        </w:rPr>
        <w:fldChar w:fldCharType="end"/>
      </w:r>
    </w:p>
    <w:p w14:paraId="782945CF" w14:textId="77777777" w:rsidR="00A029C1" w:rsidRPr="00A029C1" w:rsidRDefault="00A029C1">
      <w:pPr>
        <w:pStyle w:val="TOC3"/>
        <w:tabs>
          <w:tab w:val="right" w:leader="dot" w:pos="9350"/>
        </w:tabs>
        <w:rPr>
          <w:rFonts w:ascii="Franklin Gothic Book" w:eastAsia="MS Mincho" w:hAnsi="Franklin Gothic Book" w:cstheme="minorBidi"/>
          <w:noProof/>
          <w:sz w:val="24"/>
          <w:szCs w:val="24"/>
          <w:lang w:val="en-US" w:eastAsia="ja-JP"/>
        </w:rPr>
      </w:pPr>
      <w:r w:rsidRPr="00A029C1">
        <w:rPr>
          <w:rFonts w:ascii="Franklin Gothic Book" w:hAnsi="Franklin Gothic Book"/>
          <w:noProof/>
          <w:lang w:val="fr-FR"/>
        </w:rPr>
        <w:t>Questions</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_Toc440186414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2</w:t>
      </w:r>
      <w:r w:rsidRPr="00A029C1">
        <w:rPr>
          <w:rFonts w:ascii="Franklin Gothic Book" w:hAnsi="Franklin Gothic Book"/>
          <w:noProof/>
        </w:rPr>
        <w:fldChar w:fldCharType="end"/>
      </w:r>
    </w:p>
    <w:p w14:paraId="62681966" w14:textId="77777777" w:rsidR="00A029C1" w:rsidRPr="00A029C1" w:rsidRDefault="00A029C1">
      <w:pPr>
        <w:pStyle w:val="TOC2"/>
        <w:tabs>
          <w:tab w:val="right" w:leader="dot" w:pos="9350"/>
        </w:tabs>
        <w:rPr>
          <w:rFonts w:ascii="Franklin Gothic Book" w:eastAsia="MS Mincho" w:hAnsi="Franklin Gothic Book" w:cstheme="minorBidi"/>
          <w:b w:val="0"/>
          <w:noProof/>
          <w:sz w:val="24"/>
          <w:szCs w:val="24"/>
          <w:lang w:val="en-US" w:eastAsia="ja-JP"/>
        </w:rPr>
      </w:pPr>
      <w:r w:rsidRPr="00A029C1">
        <w:rPr>
          <w:rFonts w:ascii="Franklin Gothic Book" w:hAnsi="Franklin Gothic Book"/>
          <w:noProof/>
          <w:lang w:val="fr-FR"/>
        </w:rPr>
        <w:t>Impacts des armes sur les violences basées sur le genre</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_Toc440186415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3</w:t>
      </w:r>
      <w:r w:rsidRPr="00A029C1">
        <w:rPr>
          <w:rFonts w:ascii="Franklin Gothic Book" w:hAnsi="Franklin Gothic Book"/>
          <w:noProof/>
        </w:rPr>
        <w:fldChar w:fldCharType="end"/>
      </w:r>
    </w:p>
    <w:p w14:paraId="4EA339FE" w14:textId="77777777" w:rsidR="00A029C1" w:rsidRPr="00A029C1" w:rsidRDefault="00A029C1">
      <w:pPr>
        <w:pStyle w:val="TOC3"/>
        <w:tabs>
          <w:tab w:val="right" w:leader="dot" w:pos="9350"/>
        </w:tabs>
        <w:rPr>
          <w:rFonts w:ascii="Franklin Gothic Book" w:eastAsia="MS Mincho" w:hAnsi="Franklin Gothic Book" w:cstheme="minorBidi"/>
          <w:noProof/>
          <w:sz w:val="24"/>
          <w:szCs w:val="24"/>
          <w:lang w:val="en-US" w:eastAsia="ja-JP"/>
        </w:rPr>
      </w:pPr>
      <w:r w:rsidRPr="00A029C1">
        <w:rPr>
          <w:rFonts w:ascii="Franklin Gothic Book" w:hAnsi="Franklin Gothic Book"/>
          <w:noProof/>
          <w:lang w:val="fr-FR"/>
        </w:rPr>
        <w:t>Questions</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_Toc440186416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5</w:t>
      </w:r>
      <w:r w:rsidRPr="00A029C1">
        <w:rPr>
          <w:rFonts w:ascii="Franklin Gothic Book" w:hAnsi="Franklin Gothic Book"/>
          <w:noProof/>
        </w:rPr>
        <w:fldChar w:fldCharType="end"/>
      </w:r>
    </w:p>
    <w:p w14:paraId="66F49A3D" w14:textId="77777777" w:rsidR="00A029C1" w:rsidRPr="00A029C1" w:rsidRDefault="00A029C1">
      <w:pPr>
        <w:pStyle w:val="TOC2"/>
        <w:tabs>
          <w:tab w:val="right" w:leader="dot" w:pos="9350"/>
        </w:tabs>
        <w:rPr>
          <w:rFonts w:ascii="Franklin Gothic Book" w:eastAsia="MS Mincho" w:hAnsi="Franklin Gothic Book" w:cstheme="minorBidi"/>
          <w:b w:val="0"/>
          <w:noProof/>
          <w:sz w:val="24"/>
          <w:szCs w:val="24"/>
          <w:lang w:val="en-US" w:eastAsia="ja-JP"/>
        </w:rPr>
      </w:pPr>
      <w:r w:rsidRPr="00A029C1">
        <w:rPr>
          <w:rFonts w:ascii="Franklin Gothic Book" w:hAnsi="Franklin Gothic Book"/>
          <w:noProof/>
          <w:lang w:val="fr-FR"/>
        </w:rPr>
        <w:t>Participation des femmes à la vie publique et politique</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_Toc440186417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5</w:t>
      </w:r>
      <w:r w:rsidRPr="00A029C1">
        <w:rPr>
          <w:rFonts w:ascii="Franklin Gothic Book" w:hAnsi="Franklin Gothic Book"/>
          <w:noProof/>
        </w:rPr>
        <w:fldChar w:fldCharType="end"/>
      </w:r>
    </w:p>
    <w:p w14:paraId="50CE159D" w14:textId="77777777" w:rsidR="00A029C1" w:rsidRPr="00A029C1" w:rsidRDefault="00A029C1">
      <w:pPr>
        <w:pStyle w:val="TOC3"/>
        <w:tabs>
          <w:tab w:val="right" w:leader="dot" w:pos="9350"/>
        </w:tabs>
        <w:rPr>
          <w:rFonts w:ascii="Franklin Gothic Book" w:eastAsia="MS Mincho" w:hAnsi="Franklin Gothic Book" w:cstheme="minorBidi"/>
          <w:noProof/>
          <w:sz w:val="24"/>
          <w:szCs w:val="24"/>
          <w:lang w:val="en-US" w:eastAsia="ja-JP"/>
        </w:rPr>
      </w:pPr>
      <w:r w:rsidRPr="00A029C1">
        <w:rPr>
          <w:rFonts w:ascii="Franklin Gothic Book" w:hAnsi="Franklin Gothic Book"/>
          <w:noProof/>
          <w:lang w:val="fr-FR"/>
        </w:rPr>
        <w:t>Questions</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_Toc440186418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7</w:t>
      </w:r>
      <w:r w:rsidRPr="00A029C1">
        <w:rPr>
          <w:rFonts w:ascii="Franklin Gothic Book" w:hAnsi="Franklin Gothic Book"/>
          <w:noProof/>
        </w:rPr>
        <w:fldChar w:fldCharType="end"/>
      </w:r>
    </w:p>
    <w:p w14:paraId="0D2000C1" w14:textId="77777777" w:rsidR="00A029C1" w:rsidRPr="00A029C1" w:rsidRDefault="00A029C1">
      <w:pPr>
        <w:pStyle w:val="TOC1"/>
        <w:tabs>
          <w:tab w:val="right" w:leader="dot" w:pos="9350"/>
        </w:tabs>
        <w:rPr>
          <w:rFonts w:ascii="Franklin Gothic Book" w:eastAsia="MS Mincho" w:hAnsi="Franklin Gothic Book" w:cstheme="minorBidi"/>
          <w:b w:val="0"/>
          <w:noProof/>
          <w:lang w:val="en-US" w:eastAsia="ja-JP"/>
        </w:rPr>
      </w:pPr>
      <w:r w:rsidRPr="00A029C1">
        <w:rPr>
          <w:rFonts w:ascii="Franklin Gothic Book" w:hAnsi="Franklin Gothic Book"/>
          <w:noProof/>
          <w:lang w:val="fr-FR"/>
        </w:rPr>
        <w:t>III. Droits des femmes à des conditions de travail justes et favorables (art. 7 et art. 12)</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_Toc440186419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8</w:t>
      </w:r>
      <w:r w:rsidRPr="00A029C1">
        <w:rPr>
          <w:rFonts w:ascii="Franklin Gothic Book" w:hAnsi="Franklin Gothic Book"/>
          <w:noProof/>
        </w:rPr>
        <w:fldChar w:fldCharType="end"/>
      </w:r>
    </w:p>
    <w:p w14:paraId="1FC9A1FD" w14:textId="77777777" w:rsidR="00A029C1" w:rsidRPr="00A029C1" w:rsidRDefault="00A029C1">
      <w:pPr>
        <w:pStyle w:val="TOC2"/>
        <w:tabs>
          <w:tab w:val="right" w:leader="dot" w:pos="9350"/>
        </w:tabs>
        <w:rPr>
          <w:rFonts w:ascii="Franklin Gothic Book" w:eastAsia="MS Mincho" w:hAnsi="Franklin Gothic Book" w:cstheme="minorBidi"/>
          <w:b w:val="0"/>
          <w:noProof/>
          <w:sz w:val="24"/>
          <w:szCs w:val="24"/>
          <w:lang w:val="en-US" w:eastAsia="ja-JP"/>
        </w:rPr>
      </w:pPr>
      <w:r w:rsidRPr="00A029C1">
        <w:rPr>
          <w:rFonts w:ascii="Franklin Gothic Book" w:hAnsi="Franklin Gothic Book"/>
          <w:noProof/>
          <w:lang w:val="fr-FR"/>
        </w:rPr>
        <w:t>Egalité de rémunération</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_Toc440186420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8</w:t>
      </w:r>
      <w:r w:rsidRPr="00A029C1">
        <w:rPr>
          <w:rFonts w:ascii="Franklin Gothic Book" w:hAnsi="Franklin Gothic Book"/>
          <w:noProof/>
        </w:rPr>
        <w:fldChar w:fldCharType="end"/>
      </w:r>
    </w:p>
    <w:p w14:paraId="15583164" w14:textId="77777777" w:rsidR="00A029C1" w:rsidRPr="00A029C1" w:rsidRDefault="00A029C1">
      <w:pPr>
        <w:pStyle w:val="TOC3"/>
        <w:tabs>
          <w:tab w:val="right" w:leader="dot" w:pos="9350"/>
        </w:tabs>
        <w:rPr>
          <w:rFonts w:ascii="Franklin Gothic Book" w:eastAsia="MS Mincho" w:hAnsi="Franklin Gothic Book" w:cstheme="minorBidi"/>
          <w:noProof/>
          <w:sz w:val="24"/>
          <w:szCs w:val="24"/>
          <w:lang w:val="en-US" w:eastAsia="ja-JP"/>
        </w:rPr>
      </w:pPr>
      <w:r w:rsidRPr="00A029C1">
        <w:rPr>
          <w:rFonts w:ascii="Franklin Gothic Book" w:hAnsi="Franklin Gothic Book"/>
          <w:noProof/>
          <w:lang w:val="fr-FR"/>
        </w:rPr>
        <w:t>Questions :</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_Toc440186421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9</w:t>
      </w:r>
      <w:r w:rsidRPr="00A029C1">
        <w:rPr>
          <w:rFonts w:ascii="Franklin Gothic Book" w:hAnsi="Franklin Gothic Book"/>
          <w:noProof/>
        </w:rPr>
        <w:fldChar w:fldCharType="end"/>
      </w:r>
    </w:p>
    <w:p w14:paraId="736B91EE" w14:textId="77777777" w:rsidR="00A029C1" w:rsidRPr="00A029C1" w:rsidRDefault="00A029C1">
      <w:pPr>
        <w:pStyle w:val="TOC2"/>
        <w:tabs>
          <w:tab w:val="right" w:leader="dot" w:pos="9350"/>
        </w:tabs>
        <w:rPr>
          <w:rFonts w:ascii="Franklin Gothic Book" w:eastAsia="MS Mincho" w:hAnsi="Franklin Gothic Book" w:cstheme="minorBidi"/>
          <w:b w:val="0"/>
          <w:noProof/>
          <w:sz w:val="24"/>
          <w:szCs w:val="24"/>
          <w:lang w:val="en-US" w:eastAsia="ja-JP"/>
        </w:rPr>
      </w:pPr>
      <w:r w:rsidRPr="00A029C1">
        <w:rPr>
          <w:rFonts w:ascii="Franklin Gothic Book" w:hAnsi="Franklin Gothic Book"/>
          <w:noProof/>
          <w:lang w:val="fr-FR"/>
        </w:rPr>
        <w:t>Conditions de travail des femmes dans les mines artisanales</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_Toc440186422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9</w:t>
      </w:r>
      <w:r w:rsidRPr="00A029C1">
        <w:rPr>
          <w:rFonts w:ascii="Franklin Gothic Book" w:hAnsi="Franklin Gothic Book"/>
          <w:noProof/>
        </w:rPr>
        <w:fldChar w:fldCharType="end"/>
      </w:r>
    </w:p>
    <w:p w14:paraId="00CA580B" w14:textId="77777777" w:rsidR="00A029C1" w:rsidRPr="00A029C1" w:rsidRDefault="00A029C1">
      <w:pPr>
        <w:pStyle w:val="TOC3"/>
        <w:tabs>
          <w:tab w:val="right" w:leader="dot" w:pos="9350"/>
        </w:tabs>
        <w:rPr>
          <w:rFonts w:ascii="Franklin Gothic Book" w:eastAsia="MS Mincho" w:hAnsi="Franklin Gothic Book" w:cstheme="minorBidi"/>
          <w:noProof/>
          <w:sz w:val="24"/>
          <w:szCs w:val="24"/>
          <w:lang w:val="en-US" w:eastAsia="ja-JP"/>
        </w:rPr>
      </w:pPr>
      <w:r w:rsidRPr="00A029C1">
        <w:rPr>
          <w:rFonts w:ascii="Franklin Gothic Book" w:hAnsi="Franklin Gothic Book"/>
          <w:noProof/>
          <w:lang w:val="fr-FR"/>
        </w:rPr>
        <w:t>Questions:</w:t>
      </w:r>
      <w:r w:rsidRPr="00A029C1">
        <w:rPr>
          <w:rFonts w:ascii="Franklin Gothic Book" w:hAnsi="Franklin Gothic Book"/>
          <w:noProof/>
        </w:rPr>
        <w:tab/>
      </w:r>
      <w:r w:rsidRPr="00A029C1">
        <w:rPr>
          <w:rFonts w:ascii="Franklin Gothic Book" w:hAnsi="Franklin Gothic Book"/>
          <w:noProof/>
        </w:rPr>
        <w:fldChar w:fldCharType="begin"/>
      </w:r>
      <w:r w:rsidRPr="00A029C1">
        <w:rPr>
          <w:rFonts w:ascii="Franklin Gothic Book" w:hAnsi="Franklin Gothic Book"/>
          <w:noProof/>
        </w:rPr>
        <w:instrText xml:space="preserve"> PAGEREF _Toc440186423 \h </w:instrText>
      </w:r>
      <w:r w:rsidRPr="00A029C1">
        <w:rPr>
          <w:rFonts w:ascii="Franklin Gothic Book" w:hAnsi="Franklin Gothic Book"/>
          <w:noProof/>
        </w:rPr>
      </w:r>
      <w:r w:rsidRPr="00A029C1">
        <w:rPr>
          <w:rFonts w:ascii="Franklin Gothic Book" w:hAnsi="Franklin Gothic Book"/>
          <w:noProof/>
        </w:rPr>
        <w:fldChar w:fldCharType="separate"/>
      </w:r>
      <w:r w:rsidRPr="00A029C1">
        <w:rPr>
          <w:rFonts w:ascii="Franklin Gothic Book" w:hAnsi="Franklin Gothic Book"/>
          <w:noProof/>
        </w:rPr>
        <w:t>12</w:t>
      </w:r>
      <w:r w:rsidRPr="00A029C1">
        <w:rPr>
          <w:rFonts w:ascii="Franklin Gothic Book" w:hAnsi="Franklin Gothic Book"/>
          <w:noProof/>
        </w:rPr>
        <w:fldChar w:fldCharType="end"/>
      </w:r>
    </w:p>
    <w:p w14:paraId="52B004E8" w14:textId="2B0524FB" w:rsidR="00852523" w:rsidRPr="0067713E" w:rsidRDefault="004352DE" w:rsidP="00852523">
      <w:pPr>
        <w:pStyle w:val="Normal1"/>
        <w:rPr>
          <w:lang w:val="fr-FR"/>
        </w:rPr>
      </w:pPr>
      <w:r w:rsidRPr="00A029C1">
        <w:rPr>
          <w:rFonts w:ascii="Franklin Gothic Book" w:hAnsi="Franklin Gothic Book"/>
          <w:b/>
          <w:sz w:val="24"/>
          <w:szCs w:val="24"/>
          <w:lang w:val="fr-FR"/>
        </w:rPr>
        <w:fldChar w:fldCharType="end"/>
      </w:r>
    </w:p>
    <w:p w14:paraId="58F01ADF" w14:textId="205D29D2" w:rsidR="00852523" w:rsidRPr="0067713E" w:rsidRDefault="003E0092" w:rsidP="00852523">
      <w:pPr>
        <w:pStyle w:val="Normal1"/>
        <w:rPr>
          <w:lang w:val="fr-FR"/>
        </w:rPr>
        <w:sectPr w:rsidR="00852523" w:rsidRPr="0067713E" w:rsidSect="00C10B1E">
          <w:headerReference w:type="default" r:id="rId10"/>
          <w:footerReference w:type="even" r:id="rId11"/>
          <w:footerReference w:type="default" r:id="rId12"/>
          <w:pgSz w:w="12240" w:h="15840"/>
          <w:pgMar w:top="1440" w:right="1440" w:bottom="1440" w:left="1440" w:header="0" w:footer="720" w:gutter="0"/>
          <w:pgNumType w:start="0"/>
          <w:cols w:space="720"/>
          <w:titlePg/>
        </w:sectPr>
      </w:pPr>
      <w:r w:rsidRPr="0067713E">
        <w:rPr>
          <w:rFonts w:cs="Times New Roman"/>
          <w:b/>
          <w:noProof/>
          <w:lang w:val="en-US"/>
        </w:rPr>
        <mc:AlternateContent>
          <mc:Choice Requires="wps">
            <w:drawing>
              <wp:anchor distT="0" distB="0" distL="114300" distR="114300" simplePos="0" relativeHeight="251661312" behindDoc="0" locked="0" layoutInCell="1" allowOverlap="1" wp14:anchorId="7374A985" wp14:editId="5D984B20">
                <wp:simplePos x="0" y="0"/>
                <wp:positionH relativeFrom="column">
                  <wp:posOffset>1794510</wp:posOffset>
                </wp:positionH>
                <wp:positionV relativeFrom="paragraph">
                  <wp:posOffset>267970</wp:posOffset>
                </wp:positionV>
                <wp:extent cx="4131128" cy="1243189"/>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131128" cy="1243189"/>
                        </a:xfrm>
                        <a:prstGeom prst="rect">
                          <a:avLst/>
                        </a:prstGeom>
                        <a:noFill/>
                        <a:ln w="6350">
                          <a:noFill/>
                        </a:ln>
                      </wps:spPr>
                      <wps:txbx>
                        <w:txbxContent>
                          <w:p w14:paraId="35A8E8B5" w14:textId="5A0CCB06" w:rsidR="00726A93" w:rsidRPr="007D5B78" w:rsidRDefault="00726A93" w:rsidP="003E0092">
                            <w:pPr>
                              <w:tabs>
                                <w:tab w:val="left" w:pos="8647"/>
                              </w:tabs>
                              <w:ind w:right="283"/>
                              <w:jc w:val="right"/>
                              <w:rPr>
                                <w:b/>
                                <w:color w:val="455F51" w:themeColor="text2"/>
                                <w:lang w:val="en-US"/>
                              </w:rPr>
                            </w:pPr>
                            <w:r>
                              <w:rPr>
                                <w:b/>
                                <w:color w:val="455F51" w:themeColor="text2"/>
                                <w:lang w:val="en-US"/>
                              </w:rPr>
                              <w:t>Rapport envoyé le 10 janvier</w:t>
                            </w:r>
                            <w:r w:rsidRPr="007D5B78">
                              <w:rPr>
                                <w:b/>
                                <w:color w:val="455F51" w:themeColor="text2"/>
                                <w:lang w:val="en-US"/>
                              </w:rPr>
                              <w:t xml:space="preserve"> 2020</w:t>
                            </w:r>
                          </w:p>
                          <w:p w14:paraId="2BF43E5F" w14:textId="76704406" w:rsidR="00726A93" w:rsidRPr="007D5B78" w:rsidRDefault="00726A93" w:rsidP="003E0092">
                            <w:pPr>
                              <w:tabs>
                                <w:tab w:val="left" w:pos="8647"/>
                              </w:tabs>
                              <w:ind w:right="283"/>
                              <w:jc w:val="right"/>
                              <w:rPr>
                                <w:color w:val="455F51" w:themeColor="text2"/>
                                <w:sz w:val="20"/>
                                <w:szCs w:val="20"/>
                                <w:lang w:val="en-US"/>
                              </w:rPr>
                            </w:pPr>
                            <w:r>
                              <w:rPr>
                                <w:color w:val="455F51" w:themeColor="text2"/>
                                <w:sz w:val="20"/>
                                <w:szCs w:val="20"/>
                                <w:lang w:val="en-US"/>
                              </w:rPr>
                              <w:t>Pour plus d’informations, contactez</w:t>
                            </w:r>
                            <w:r w:rsidRPr="007D5B78">
                              <w:rPr>
                                <w:color w:val="455F51" w:themeColor="text2"/>
                                <w:sz w:val="20"/>
                                <w:szCs w:val="20"/>
                                <w:lang w:val="en-US"/>
                              </w:rPr>
                              <w:t>:</w:t>
                            </w:r>
                          </w:p>
                          <w:p w14:paraId="54099B73" w14:textId="77777777" w:rsidR="00726A93" w:rsidRPr="007D5B78" w:rsidRDefault="00726A93" w:rsidP="003E0092">
                            <w:pPr>
                              <w:tabs>
                                <w:tab w:val="left" w:pos="8647"/>
                              </w:tabs>
                              <w:spacing w:line="240" w:lineRule="auto"/>
                              <w:ind w:right="283"/>
                              <w:jc w:val="right"/>
                              <w:rPr>
                                <w:color w:val="455F51" w:themeColor="text2"/>
                                <w:sz w:val="20"/>
                                <w:szCs w:val="20"/>
                                <w:lang w:val="en-US"/>
                              </w:rPr>
                            </w:pPr>
                            <w:r w:rsidRPr="007D5B78">
                              <w:rPr>
                                <w:color w:val="455F51" w:themeColor="text2"/>
                                <w:sz w:val="20"/>
                                <w:szCs w:val="20"/>
                                <w:lang w:val="en-US"/>
                              </w:rPr>
                              <w:t>Women’s International League for Peace and Freedom (WILPF)</w:t>
                            </w:r>
                          </w:p>
                          <w:p w14:paraId="0F9D7BEC" w14:textId="0DB3AED7" w:rsidR="00726A93" w:rsidRPr="00C20A4E" w:rsidRDefault="00726A93" w:rsidP="003E0092">
                            <w:pPr>
                              <w:tabs>
                                <w:tab w:val="left" w:pos="8647"/>
                              </w:tabs>
                              <w:spacing w:line="240" w:lineRule="auto"/>
                              <w:ind w:right="283"/>
                              <w:jc w:val="right"/>
                              <w:rPr>
                                <w:color w:val="455F51" w:themeColor="text2"/>
                                <w:sz w:val="20"/>
                                <w:szCs w:val="20"/>
                                <w:lang w:val="fr-CH"/>
                              </w:rPr>
                            </w:pPr>
                            <w:r>
                              <w:rPr>
                                <w:color w:val="455F51" w:themeColor="text2"/>
                                <w:sz w:val="20"/>
                                <w:szCs w:val="20"/>
                                <w:lang w:val="fr-CH"/>
                              </w:rPr>
                              <w:t>1 Rue de Varembé</w:t>
                            </w:r>
                            <w:r w:rsidRPr="00C20A4E">
                              <w:rPr>
                                <w:color w:val="455F51" w:themeColor="text2"/>
                                <w:sz w:val="20"/>
                                <w:szCs w:val="20"/>
                                <w:lang w:val="fr-CH"/>
                              </w:rPr>
                              <w:t>, Case Postale</w:t>
                            </w:r>
                            <w:r>
                              <w:rPr>
                                <w:color w:val="455F51" w:themeColor="text2"/>
                                <w:sz w:val="20"/>
                                <w:szCs w:val="20"/>
                                <w:lang w:val="fr-CH"/>
                              </w:rPr>
                              <w:t xml:space="preserve"> 28, 1211 Genève 20, Suisse</w:t>
                            </w:r>
                          </w:p>
                          <w:p w14:paraId="27A7CADA" w14:textId="77777777" w:rsidR="00726A93" w:rsidRPr="007D5B78" w:rsidRDefault="00726A93" w:rsidP="003E0092">
                            <w:pPr>
                              <w:tabs>
                                <w:tab w:val="left" w:pos="8647"/>
                              </w:tabs>
                              <w:spacing w:line="240" w:lineRule="auto"/>
                              <w:ind w:right="283"/>
                              <w:jc w:val="right"/>
                              <w:rPr>
                                <w:color w:val="455F51" w:themeColor="text2"/>
                                <w:sz w:val="20"/>
                                <w:szCs w:val="20"/>
                                <w:lang w:val="en-US"/>
                              </w:rPr>
                            </w:pPr>
                            <w:r w:rsidRPr="007D5B78">
                              <w:rPr>
                                <w:color w:val="455F51" w:themeColor="text2"/>
                                <w:sz w:val="20"/>
                                <w:szCs w:val="20"/>
                                <w:lang w:val="en-US"/>
                              </w:rPr>
                              <w:t xml:space="preserve">Email: </w:t>
                            </w:r>
                            <w:r w:rsidRPr="007D5B78">
                              <w:rPr>
                                <w:rStyle w:val="Hyperlink"/>
                                <w:color w:val="455F51" w:themeColor="text2"/>
                                <w:sz w:val="20"/>
                                <w:szCs w:val="20"/>
                                <w:lang w:val="en-US"/>
                              </w:rPr>
                              <w:t>info@wilpf.org</w:t>
                            </w:r>
                            <w:r w:rsidRPr="007D5B78">
                              <w:rPr>
                                <w:color w:val="455F51" w:themeColor="text2"/>
                                <w:sz w:val="20"/>
                                <w:szCs w:val="20"/>
                                <w:lang w:val="en-US"/>
                              </w:rPr>
                              <w:t>| Tel: +41 (0) 22919 70 80 | Web: wilpf.org</w:t>
                            </w:r>
                          </w:p>
                          <w:p w14:paraId="6B1DD6EC" w14:textId="77777777" w:rsidR="00726A93" w:rsidRPr="00734E49" w:rsidRDefault="00726A93" w:rsidP="003E0092">
                            <w:pPr>
                              <w:jc w:val="right"/>
                              <w:rPr>
                                <w:b/>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27" type="#_x0000_t202" style="position:absolute;margin-left:141.3pt;margin-top:21.1pt;width:325.3pt;height:97.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" filled="f" stroked="f" strokeweight=".5pt">
                <v:textbox>
                  <w:txbxContent>
                    <w:p w14:paraId="35A8E8B5" w14:textId="5A0CCB06" w:rsidR="00726A93" w:rsidRPr="007D5B78" w:rsidRDefault="00726A93" w:rsidP="003E0092">
                      <w:pPr>
                        <w:tabs>
                          <w:tab w:val="left" w:pos="8647"/>
                        </w:tabs>
                        <w:ind w:right="283"/>
                        <w:jc w:val="right"/>
                        <w:rPr>
                          <w:b/>
                          <w:color w:val="455F51" w:themeColor="text2"/>
                          <w:lang w:val="en-US"/>
                        </w:rPr>
                      </w:pPr>
                      <w:r>
                        <w:rPr>
                          <w:b/>
                          <w:color w:val="455F51" w:themeColor="text2"/>
                          <w:lang w:val="en-US"/>
                        </w:rPr>
                        <w:t>Rapport envoyé le 10 janvier</w:t>
                      </w:r>
                      <w:r w:rsidRPr="007D5B78">
                        <w:rPr>
                          <w:b/>
                          <w:color w:val="455F51" w:themeColor="text2"/>
                          <w:lang w:val="en-US"/>
                        </w:rPr>
                        <w:t xml:space="preserve"> 2020</w:t>
                      </w:r>
                    </w:p>
                    <w:p w14:paraId="2BF43E5F" w14:textId="76704406" w:rsidR="00726A93" w:rsidRPr="007D5B78" w:rsidRDefault="00726A93" w:rsidP="003E0092">
                      <w:pPr>
                        <w:tabs>
                          <w:tab w:val="left" w:pos="8647"/>
                        </w:tabs>
                        <w:ind w:right="283"/>
                        <w:jc w:val="right"/>
                        <w:rPr>
                          <w:color w:val="455F51" w:themeColor="text2"/>
                          <w:sz w:val="20"/>
                          <w:szCs w:val="20"/>
                          <w:lang w:val="en-US"/>
                        </w:rPr>
                      </w:pPr>
                      <w:r>
                        <w:rPr>
                          <w:color w:val="455F51" w:themeColor="text2"/>
                          <w:sz w:val="20"/>
                          <w:szCs w:val="20"/>
                          <w:lang w:val="en-US"/>
                        </w:rPr>
                        <w:t>Pour plus d’informations, contactez</w:t>
                      </w:r>
                      <w:r w:rsidRPr="007D5B78">
                        <w:rPr>
                          <w:color w:val="455F51" w:themeColor="text2"/>
                          <w:sz w:val="20"/>
                          <w:szCs w:val="20"/>
                          <w:lang w:val="en-US"/>
                        </w:rPr>
                        <w:t>:</w:t>
                      </w:r>
                    </w:p>
                    <w:p w14:paraId="54099B73" w14:textId="77777777" w:rsidR="00726A93" w:rsidRPr="007D5B78" w:rsidRDefault="00726A93" w:rsidP="003E0092">
                      <w:pPr>
                        <w:tabs>
                          <w:tab w:val="left" w:pos="8647"/>
                        </w:tabs>
                        <w:spacing w:line="240" w:lineRule="auto"/>
                        <w:ind w:right="283"/>
                        <w:jc w:val="right"/>
                        <w:rPr>
                          <w:color w:val="455F51" w:themeColor="text2"/>
                          <w:sz w:val="20"/>
                          <w:szCs w:val="20"/>
                          <w:lang w:val="en-US"/>
                        </w:rPr>
                      </w:pPr>
                      <w:r w:rsidRPr="007D5B78">
                        <w:rPr>
                          <w:color w:val="455F51" w:themeColor="text2"/>
                          <w:sz w:val="20"/>
                          <w:szCs w:val="20"/>
                          <w:lang w:val="en-US"/>
                        </w:rPr>
                        <w:t>Women’s International League for Peace and Freedom (WILPF)</w:t>
                      </w:r>
                    </w:p>
                    <w:p w14:paraId="0F9D7BEC" w14:textId="0DB3AED7" w:rsidR="00726A93" w:rsidRPr="00C20A4E" w:rsidRDefault="00726A93" w:rsidP="003E0092">
                      <w:pPr>
                        <w:tabs>
                          <w:tab w:val="left" w:pos="8647"/>
                        </w:tabs>
                        <w:spacing w:line="240" w:lineRule="auto"/>
                        <w:ind w:right="283"/>
                        <w:jc w:val="right"/>
                        <w:rPr>
                          <w:color w:val="455F51" w:themeColor="text2"/>
                          <w:sz w:val="20"/>
                          <w:szCs w:val="20"/>
                          <w:lang w:val="fr-CH"/>
                        </w:rPr>
                      </w:pPr>
                      <w:r>
                        <w:rPr>
                          <w:color w:val="455F51" w:themeColor="text2"/>
                          <w:sz w:val="20"/>
                          <w:szCs w:val="20"/>
                          <w:lang w:val="fr-CH"/>
                        </w:rPr>
                        <w:t>1 Rue de Varembé</w:t>
                      </w:r>
                      <w:r w:rsidRPr="00C20A4E">
                        <w:rPr>
                          <w:color w:val="455F51" w:themeColor="text2"/>
                          <w:sz w:val="20"/>
                          <w:szCs w:val="20"/>
                          <w:lang w:val="fr-CH"/>
                        </w:rPr>
                        <w:t>, Case Postale</w:t>
                      </w:r>
                      <w:r>
                        <w:rPr>
                          <w:color w:val="455F51" w:themeColor="text2"/>
                          <w:sz w:val="20"/>
                          <w:szCs w:val="20"/>
                          <w:lang w:val="fr-CH"/>
                        </w:rPr>
                        <w:t xml:space="preserve"> 28, 1211 Genève 20, Suisse</w:t>
                      </w:r>
                    </w:p>
                    <w:p w14:paraId="27A7CADA" w14:textId="77777777" w:rsidR="00726A93" w:rsidRPr="007D5B78" w:rsidRDefault="00726A93" w:rsidP="003E0092">
                      <w:pPr>
                        <w:tabs>
                          <w:tab w:val="left" w:pos="8647"/>
                        </w:tabs>
                        <w:spacing w:line="240" w:lineRule="auto"/>
                        <w:ind w:right="283"/>
                        <w:jc w:val="right"/>
                        <w:rPr>
                          <w:color w:val="455F51" w:themeColor="text2"/>
                          <w:sz w:val="20"/>
                          <w:szCs w:val="20"/>
                          <w:lang w:val="en-US"/>
                        </w:rPr>
                      </w:pPr>
                      <w:r w:rsidRPr="007D5B78">
                        <w:rPr>
                          <w:color w:val="455F51" w:themeColor="text2"/>
                          <w:sz w:val="20"/>
                          <w:szCs w:val="20"/>
                          <w:lang w:val="en-US"/>
                        </w:rPr>
                        <w:t xml:space="preserve">Email: </w:t>
                      </w:r>
                      <w:r w:rsidRPr="007D5B78">
                        <w:rPr>
                          <w:rStyle w:val="Hyperlink"/>
                          <w:color w:val="455F51" w:themeColor="text2"/>
                          <w:sz w:val="20"/>
                          <w:szCs w:val="20"/>
                          <w:lang w:val="en-US"/>
                        </w:rPr>
                        <w:t>info@wilpf.org</w:t>
                      </w:r>
                      <w:r w:rsidRPr="007D5B78">
                        <w:rPr>
                          <w:color w:val="455F51" w:themeColor="text2"/>
                          <w:sz w:val="20"/>
                          <w:szCs w:val="20"/>
                          <w:lang w:val="en-US"/>
                        </w:rPr>
                        <w:t>| Tel: +41 (0) 22919 70 80 | Web: wilpf.org</w:t>
                      </w:r>
                    </w:p>
                    <w:p w14:paraId="6B1DD6EC" w14:textId="77777777" w:rsidR="00726A93" w:rsidRPr="00734E49" w:rsidRDefault="00726A93" w:rsidP="003E0092">
                      <w:pPr>
                        <w:jc w:val="right"/>
                        <w:rPr>
                          <w:b/>
                          <w:color w:val="000000" w:themeColor="text1"/>
                          <w:lang w:val="en-US"/>
                        </w:rPr>
                      </w:pPr>
                    </w:p>
                  </w:txbxContent>
                </v:textbox>
              </v:shape>
            </w:pict>
          </mc:Fallback>
        </mc:AlternateContent>
      </w:r>
    </w:p>
    <w:p w14:paraId="25A6A7B9" w14:textId="77777777" w:rsidR="004352DE" w:rsidRPr="0067713E" w:rsidRDefault="004352DE" w:rsidP="004352DE">
      <w:pPr>
        <w:pStyle w:val="Normal1"/>
        <w:rPr>
          <w:lang w:val="fr-FR"/>
        </w:rPr>
      </w:pPr>
    </w:p>
    <w:p w14:paraId="004904C8" w14:textId="7CE18962" w:rsidR="00977BF5" w:rsidRPr="0067713E" w:rsidRDefault="00BA19CB" w:rsidP="007D4961">
      <w:pPr>
        <w:pStyle w:val="Heading1"/>
        <w:ind w:left="0" w:firstLine="0"/>
        <w:rPr>
          <w:lang w:val="fr-FR"/>
        </w:rPr>
      </w:pPr>
      <w:bookmarkStart w:id="4" w:name="_Toc437688145"/>
      <w:bookmarkStart w:id="5" w:name="_Toc29393083"/>
      <w:bookmarkStart w:id="6" w:name="_Toc440186411"/>
      <w:r w:rsidRPr="0067713E">
        <w:rPr>
          <w:lang w:val="fr-FR"/>
        </w:rPr>
        <w:t xml:space="preserve">I. </w:t>
      </w:r>
      <w:r w:rsidR="00952EA0" w:rsidRPr="0067713E">
        <w:rPr>
          <w:lang w:val="fr-FR"/>
        </w:rPr>
        <w:tab/>
      </w:r>
      <w:bookmarkEnd w:id="2"/>
      <w:r w:rsidR="00977BF5" w:rsidRPr="0067713E">
        <w:rPr>
          <w:lang w:val="fr-FR"/>
        </w:rPr>
        <w:t>Introduction</w:t>
      </w:r>
      <w:bookmarkEnd w:id="3"/>
      <w:bookmarkEnd w:id="4"/>
      <w:bookmarkEnd w:id="5"/>
      <w:bookmarkEnd w:id="6"/>
    </w:p>
    <w:sdt>
      <w:sdtPr>
        <w:rPr>
          <w:lang w:val="fr-FR"/>
        </w:rPr>
        <w:tag w:val="goog_rdk_23"/>
        <w:id w:val="-1411458599"/>
      </w:sdtPr>
      <w:sdtEndPr/>
      <w:sdtContent>
        <w:p w14:paraId="30FD619A" w14:textId="570C087F" w:rsidR="00554592" w:rsidRPr="0067713E" w:rsidRDefault="00554592" w:rsidP="00554592">
          <w:pPr>
            <w:rPr>
              <w:rFonts w:eastAsia="Calibri" w:cs="Calibri"/>
              <w:lang w:val="fr-FR"/>
            </w:rPr>
          </w:pPr>
          <w:r w:rsidRPr="0067713E">
            <w:rPr>
              <w:rFonts w:eastAsia="Calibri" w:cs="Calibri"/>
              <w:lang w:val="fr-FR"/>
            </w:rPr>
            <w:t>La Ligue Internationale des Femmes pour la Paix et la Liberté – section de  la République Démocratique du Congo, en abrégé WILPF RDC, est une section nationale de Women’s International League for Peace and Freedom, organisation non gouvernementale internationale avec statut d’observateur au Conseil Economique et Social des Nations Unies. Depuis son implantation en décembre 2007, WILPF RDC a centré ses actions sur la mise en œuvre de l’agenda Femmes, Paix et Sécurité (FPS) en RDC. Elle mène ainsi des actions de sensibilisation et de plaidoyer sur la thématique, notamment sur la mise en œuvre de la Résolution 1325 du Conseil de Sécurité des Nations Unies (CSNU) et de ses résolutions connexes. WILPF RDC travaille également à assurer l’application des instruments de lutte contre la prolifération et la circulation illicite des armes, à l’autonomisation des femmes, leur participation à la vie publique et politique et à la lutte contre toutes formes de discriminations à l’égard de celles-ci.</w:t>
          </w:r>
        </w:p>
        <w:p w14:paraId="3208471C" w14:textId="2804FD85" w:rsidR="007D4961" w:rsidRPr="0067713E" w:rsidRDefault="00356055" w:rsidP="006063F7">
          <w:pPr>
            <w:rPr>
              <w:lang w:val="fr-FR"/>
            </w:rPr>
          </w:pPr>
        </w:p>
      </w:sdtContent>
    </w:sdt>
    <w:p w14:paraId="27AE0BBD" w14:textId="51600188" w:rsidR="004409C0" w:rsidRPr="0067713E" w:rsidRDefault="00977BF5" w:rsidP="00AC2357">
      <w:pPr>
        <w:pStyle w:val="Heading1"/>
        <w:rPr>
          <w:lang w:val="fr-FR"/>
        </w:rPr>
      </w:pPr>
      <w:bookmarkStart w:id="7" w:name="_Toc10717591"/>
      <w:bookmarkStart w:id="8" w:name="_Toc437688146"/>
      <w:bookmarkStart w:id="9" w:name="_Toc29393084"/>
      <w:bookmarkStart w:id="10" w:name="_Toc440186412"/>
      <w:r w:rsidRPr="0067713E">
        <w:rPr>
          <w:lang w:val="fr-FR"/>
        </w:rPr>
        <w:t xml:space="preserve">II. </w:t>
      </w:r>
      <w:bookmarkEnd w:id="7"/>
      <w:bookmarkEnd w:id="8"/>
      <w:bookmarkEnd w:id="9"/>
      <w:r w:rsidR="00554592" w:rsidRPr="0067713E">
        <w:rPr>
          <w:lang w:val="fr-FR"/>
        </w:rPr>
        <w:t>Non-discrimination (art. 3)</w:t>
      </w:r>
      <w:bookmarkEnd w:id="10"/>
    </w:p>
    <w:p w14:paraId="67ACAA34" w14:textId="660A8CA4" w:rsidR="00554592" w:rsidRPr="0067713E" w:rsidRDefault="00554592" w:rsidP="001256BE">
      <w:pPr>
        <w:pStyle w:val="Heading2"/>
        <w:ind w:left="0" w:firstLine="0"/>
        <w:rPr>
          <w:lang w:val="fr-FR"/>
        </w:rPr>
      </w:pPr>
      <w:bookmarkStart w:id="11" w:name="_Toc440186413"/>
      <w:r w:rsidRPr="0067713E">
        <w:rPr>
          <w:lang w:val="fr-FR"/>
        </w:rPr>
        <w:t>Violences basées sur le genre: violences domestiques</w:t>
      </w:r>
      <w:bookmarkEnd w:id="11"/>
    </w:p>
    <w:p w14:paraId="61C07B97" w14:textId="77777777" w:rsidR="001554C5" w:rsidRPr="0067713E" w:rsidRDefault="001554C5" w:rsidP="00554592">
      <w:pPr>
        <w:pStyle w:val="Normal1"/>
        <w:rPr>
          <w:lang w:val="fr-FR"/>
        </w:rPr>
      </w:pPr>
    </w:p>
    <w:p w14:paraId="5AF6C4C2" w14:textId="77777777" w:rsidR="001554C5" w:rsidRPr="0067713E" w:rsidRDefault="001554C5" w:rsidP="001554C5">
      <w:pPr>
        <w:rPr>
          <w:rFonts w:eastAsia="Folio Std Light" w:cs="Folio Std Light"/>
          <w:color w:val="000000"/>
          <w:lang w:val="fr-FR"/>
        </w:rPr>
      </w:pPr>
      <w:r w:rsidRPr="0067713E">
        <w:rPr>
          <w:rFonts w:eastAsia="Folio Std Light" w:cs="Folio Std Light"/>
          <w:color w:val="000000"/>
          <w:lang w:val="fr-FR"/>
        </w:rPr>
        <w:t>En 2009, le Comité sur les droits économiques, sociaux et culturels, préoccupé par l’impunité prévalant en ce qui concerne les sévices sexuels de plus en plus fréquemment commis en dehors des zones de conflit, ainsi que dans les cas de violence familiale très répandus dans le pays, avait exhorté la RDC à aborder la question de la violence sexuelle dans le contexte plus large de la violence à caractère sexiste et à prendre toutes les mesures appropriées pour lutter contre la violence familiale et soutenir le processus d’émancipation des femmes</w:t>
      </w:r>
      <w:r w:rsidRPr="0067713E">
        <w:rPr>
          <w:rStyle w:val="FootnoteReference"/>
          <w:rFonts w:eastAsia="Folio Std Light" w:cs="Folio Std Light"/>
          <w:color w:val="000000"/>
          <w:lang w:val="fr-FR"/>
        </w:rPr>
        <w:footnoteReference w:id="1"/>
      </w:r>
      <w:r w:rsidRPr="0067713E">
        <w:rPr>
          <w:rFonts w:eastAsia="Folio Std Light" w:cs="Folio Std Light"/>
          <w:color w:val="000000"/>
          <w:lang w:val="fr-FR"/>
        </w:rPr>
        <w:t>. En outre, lors de ses précédents cycles de l’Examen Périodique Universel (EPU) y compris en mai 2019, la RDC a reçu et accepté de nombreuses recommandations visant à prévenir et à sanctionner toute forme de discrimination et de violence à l’égard des femmes, y compris les violences domestiques</w:t>
      </w:r>
      <w:r w:rsidRPr="0067713E">
        <w:rPr>
          <w:rStyle w:val="FootnoteReference"/>
          <w:rFonts w:eastAsia="Folio Std Light" w:cs="Folio Std Light"/>
          <w:color w:val="000000"/>
          <w:lang w:val="fr-FR"/>
        </w:rPr>
        <w:footnoteReference w:id="2"/>
      </w:r>
      <w:r w:rsidRPr="0067713E">
        <w:rPr>
          <w:rFonts w:eastAsia="Folio Std Light" w:cs="Folio Std Light"/>
          <w:color w:val="000000"/>
          <w:lang w:val="fr-FR"/>
        </w:rPr>
        <w:t xml:space="preserve">. En juillet </w:t>
      </w:r>
      <w:r w:rsidRPr="0067713E">
        <w:rPr>
          <w:rFonts w:eastAsia="Folio Std Light" w:cs="Folio Std Light"/>
          <w:color w:val="000000"/>
          <w:lang w:val="fr-FR"/>
        </w:rPr>
        <w:lastRenderedPageBreak/>
        <w:t>2019, le Comité sur l’élimination de toute forme de discrimination à l’égard des femmes (CEDEF) a également recommandé à la RDC de criminaliser les violences domestiques, y compris le viol conjugal avec les sanctions appropriées</w:t>
      </w:r>
      <w:r w:rsidRPr="0067713E">
        <w:rPr>
          <w:rStyle w:val="FootnoteReference"/>
          <w:rFonts w:eastAsia="Folio Std Light" w:cs="Folio Std Light"/>
          <w:color w:val="000000"/>
          <w:lang w:val="fr-FR"/>
        </w:rPr>
        <w:footnoteReference w:id="3"/>
      </w:r>
      <w:r w:rsidRPr="0067713E">
        <w:rPr>
          <w:rFonts w:eastAsia="Folio Std Light" w:cs="Folio Std Light"/>
          <w:color w:val="000000"/>
          <w:lang w:val="fr-FR"/>
        </w:rPr>
        <w:t>. Le Comité des droits de l’Homme avait déjà fait des recommandations en ce sens en 2017</w:t>
      </w:r>
      <w:r w:rsidRPr="0067713E">
        <w:rPr>
          <w:rStyle w:val="FootnoteReference"/>
          <w:rFonts w:eastAsia="Folio Std Light" w:cs="Folio Std Light"/>
          <w:color w:val="000000"/>
          <w:lang w:val="fr-FR"/>
        </w:rPr>
        <w:footnoteReference w:id="4"/>
      </w:r>
      <w:r w:rsidRPr="0067713E">
        <w:rPr>
          <w:rFonts w:eastAsia="Folio Std Light" w:cs="Folio Std Light"/>
          <w:color w:val="000000"/>
          <w:lang w:val="fr-FR"/>
        </w:rPr>
        <w:t>.</w:t>
      </w:r>
    </w:p>
    <w:p w14:paraId="47E726D6" w14:textId="77777777" w:rsidR="001554C5" w:rsidRPr="0067713E" w:rsidRDefault="001554C5" w:rsidP="001554C5">
      <w:pPr>
        <w:rPr>
          <w:rFonts w:eastAsia="Folio Std Light" w:cs="Folio Std Light"/>
          <w:color w:val="000000"/>
          <w:lang w:val="fr-FR"/>
        </w:rPr>
      </w:pPr>
    </w:p>
    <w:p w14:paraId="305228DF" w14:textId="5E16B196" w:rsidR="001554C5" w:rsidRPr="0067713E" w:rsidRDefault="001554C5" w:rsidP="00B27C64">
      <w:pPr>
        <w:rPr>
          <w:rFonts w:eastAsia="Folio Std Light" w:cs="Folio Std Light"/>
          <w:lang w:val="fr-FR"/>
        </w:rPr>
      </w:pPr>
      <w:r w:rsidRPr="0067713E">
        <w:rPr>
          <w:rFonts w:eastAsia="Folio Std Light" w:cs="Folio Std Light"/>
          <w:color w:val="000000"/>
          <w:lang w:val="fr-FR"/>
        </w:rPr>
        <w:t>Dans son rapport au Comité, l’Etat a répondu que les actes de violence au sein de la famille sont réprimés dans le cadre de l’application des lois de portée générale et que la Stratégie Nationale de lutte contre les Violences Sexuelles et Basées sur le Genre (SNVSBG) et le Plan d’Action National pour mettre fin aux mariages d’enfants  prévoient des mécanismes pour soutenir les victimes et les aider à se réadapter</w:t>
      </w:r>
      <w:r w:rsidRPr="0067713E">
        <w:rPr>
          <w:rStyle w:val="FootnoteReference"/>
          <w:rFonts w:eastAsia="Folio Std Light" w:cs="Folio Std Light"/>
          <w:color w:val="000000"/>
          <w:lang w:val="fr-FR"/>
        </w:rPr>
        <w:footnoteReference w:id="5"/>
      </w:r>
      <w:r w:rsidRPr="0067713E">
        <w:rPr>
          <w:rFonts w:eastAsia="Folio Std Light" w:cs="Folio Std Light"/>
          <w:color w:val="000000"/>
          <w:lang w:val="fr-FR"/>
        </w:rPr>
        <w:t xml:space="preserve">. </w:t>
      </w:r>
      <w:r w:rsidRPr="0067713E">
        <w:rPr>
          <w:rFonts w:eastAsia="Folio Std Light" w:cs="Folio Std Light"/>
          <w:lang w:val="fr-FR"/>
        </w:rPr>
        <w:t xml:space="preserve"> A ce jour, le cadre juridique ne permet pas de prévenir ou de combattre les violences domestiques bien que l’article 14 de la Constitution stipule que les pouvoirs publics prennent des mesures pour lutter contre toute forme de violences faites à la femme dans la vie publique et dans la vie privée. </w:t>
      </w:r>
    </w:p>
    <w:p w14:paraId="132DBC07" w14:textId="77777777" w:rsidR="001A1A9E" w:rsidRPr="0067713E" w:rsidRDefault="00554592" w:rsidP="001A1A9E">
      <w:pPr>
        <w:pStyle w:val="Heading3"/>
        <w:rPr>
          <w:lang w:val="fr-FR"/>
        </w:rPr>
      </w:pPr>
      <w:bookmarkStart w:id="12" w:name="_Toc437688147"/>
      <w:bookmarkStart w:id="13" w:name="_Toc29393085"/>
      <w:bookmarkStart w:id="14" w:name="_Toc440186414"/>
      <w:r w:rsidRPr="0067713E">
        <w:rPr>
          <w:lang w:val="fr-FR"/>
        </w:rPr>
        <w:t>Ques</w:t>
      </w:r>
      <w:r w:rsidR="004633CA" w:rsidRPr="0067713E">
        <w:rPr>
          <w:lang w:val="fr-FR"/>
        </w:rPr>
        <w:t>tions</w:t>
      </w:r>
      <w:bookmarkEnd w:id="12"/>
      <w:bookmarkEnd w:id="13"/>
      <w:bookmarkEnd w:id="14"/>
      <w:r w:rsidR="004633CA" w:rsidRPr="0067713E">
        <w:rPr>
          <w:lang w:val="fr-FR"/>
        </w:rPr>
        <w:t xml:space="preserve"> </w:t>
      </w:r>
    </w:p>
    <w:p w14:paraId="3C6A48D2" w14:textId="5C932651" w:rsidR="00B27C64" w:rsidRPr="0067713E" w:rsidRDefault="00B27C64" w:rsidP="001A1A9E">
      <w:pPr>
        <w:pStyle w:val="BodyText"/>
        <w:numPr>
          <w:ilvl w:val="0"/>
          <w:numId w:val="13"/>
        </w:numPr>
        <w:rPr>
          <w:lang w:val="fr-FR"/>
        </w:rPr>
      </w:pPr>
      <w:r w:rsidRPr="0067713E">
        <w:rPr>
          <w:lang w:val="fr-FR"/>
        </w:rPr>
        <w:t xml:space="preserve">Quel est le suivi des effets des lois (notamment de l’article 14 de la Constitution) censées protéger les femmes s’agissant des violences basées sur le genre et en particulier s’agissant de la poursuite des violences domestiques? Veuillez fournir des statistiques sur le nombre de plaintes et poursuites pour violences domestiques sur la base des dispositions ordinaires </w:t>
      </w:r>
      <w:r w:rsidRPr="0067713E">
        <w:rPr>
          <w:lang w:val="fr-FR"/>
        </w:rPr>
        <w:lastRenderedPageBreak/>
        <w:t>de l’actuel Code Pénal et sur la base de la loi 06/018 du 20 Juillet 2006 modifiant et complétant le décret du 30 janvier 1940 portant Code Pénal Congolais.</w:t>
      </w:r>
    </w:p>
    <w:p w14:paraId="54788118" w14:textId="77777777" w:rsidR="00B27C64" w:rsidRPr="0067713E" w:rsidRDefault="00B27C64" w:rsidP="00B27C64">
      <w:pPr>
        <w:pStyle w:val="BodyText"/>
        <w:numPr>
          <w:ilvl w:val="0"/>
          <w:numId w:val="13"/>
        </w:numPr>
        <w:rPr>
          <w:lang w:val="fr-FR"/>
        </w:rPr>
      </w:pPr>
      <w:r w:rsidRPr="0067713E">
        <w:rPr>
          <w:lang w:val="fr-FR"/>
        </w:rPr>
        <w:t>Quelles mesures ont été prises par l’Etat depuis le dernier examen pour assurer la prise en charge adaptée des femmes victimes de violences domestiques s’agissant notamment de la création de refuges et de services de conseil et de réadaptation pour les victimes de ces formes de violences?</w:t>
      </w:r>
    </w:p>
    <w:p w14:paraId="2DFD69A2" w14:textId="77777777" w:rsidR="00B27C64" w:rsidRPr="0067713E" w:rsidRDefault="00B27C64" w:rsidP="00B27C64">
      <w:pPr>
        <w:pStyle w:val="BodyText"/>
        <w:numPr>
          <w:ilvl w:val="0"/>
          <w:numId w:val="13"/>
        </w:numPr>
        <w:rPr>
          <w:lang w:val="fr-FR"/>
        </w:rPr>
      </w:pPr>
      <w:r w:rsidRPr="0067713E">
        <w:rPr>
          <w:lang w:val="fr-FR"/>
        </w:rPr>
        <w:t xml:space="preserve">Quelles actions a pris l’Etat pour éduquer et informer le public sur les violences domestiques, notamment les chefs traditionnels, les enseignants, les juges, les forces de défense et de maintien de l’ordre, les instances politiques et les garçons et les hommes en particulier, pour ériger ces violences comme une inacceptable violation des droits humains ? </w:t>
      </w:r>
    </w:p>
    <w:p w14:paraId="41ED01C9" w14:textId="789146AF" w:rsidR="00B27C64" w:rsidRPr="0067713E" w:rsidRDefault="00B27C64" w:rsidP="00B27C64">
      <w:pPr>
        <w:pStyle w:val="BodyText"/>
        <w:numPr>
          <w:ilvl w:val="0"/>
          <w:numId w:val="13"/>
        </w:numPr>
        <w:rPr>
          <w:rFonts w:eastAsia="Folio Std Light" w:cs="Folio Std Light"/>
          <w:b/>
          <w:lang w:val="fr-FR"/>
        </w:rPr>
      </w:pPr>
      <w:r w:rsidRPr="0067713E">
        <w:rPr>
          <w:lang w:val="fr-FR"/>
        </w:rPr>
        <w:t>Quelles mesures concrètes prévoit le gouvernement pour mettre en œuvre les différentes recommandations acceptées dans le cadre de son dernier EPU s’agissant de la lutte contre les violences domestiques y compris en termes de changement du cadre juridique?</w:t>
      </w:r>
    </w:p>
    <w:p w14:paraId="7851B08A" w14:textId="77777777" w:rsidR="00B27C64" w:rsidRPr="0067713E" w:rsidRDefault="00B27C64" w:rsidP="00B27C64">
      <w:pPr>
        <w:pStyle w:val="BodyText"/>
        <w:rPr>
          <w:lang w:val="fr-FR"/>
        </w:rPr>
      </w:pPr>
    </w:p>
    <w:p w14:paraId="2F601F16" w14:textId="6703AF1A" w:rsidR="00B27C64" w:rsidRPr="0067713E" w:rsidRDefault="00B27C64" w:rsidP="001A1A9E">
      <w:pPr>
        <w:pStyle w:val="Heading2"/>
        <w:rPr>
          <w:lang w:val="fr-FR"/>
        </w:rPr>
      </w:pPr>
      <w:bookmarkStart w:id="15" w:name="_Toc440186415"/>
      <w:r w:rsidRPr="0067713E">
        <w:rPr>
          <w:lang w:val="fr-FR"/>
        </w:rPr>
        <w:t>Impacts des armes sur les violences basées sur le genre</w:t>
      </w:r>
      <w:bookmarkEnd w:id="15"/>
    </w:p>
    <w:p w14:paraId="1361671E" w14:textId="77777777" w:rsidR="001A1A9E" w:rsidRPr="0067713E" w:rsidRDefault="001A1A9E" w:rsidP="001A1A9E">
      <w:pPr>
        <w:pStyle w:val="Normal1"/>
        <w:rPr>
          <w:lang w:val="fr-FR"/>
        </w:rPr>
      </w:pPr>
    </w:p>
    <w:p w14:paraId="4FD386FB" w14:textId="77777777" w:rsidR="00B27C64" w:rsidRPr="0067713E" w:rsidRDefault="00B27C64" w:rsidP="00B27C64">
      <w:pPr>
        <w:spacing w:after="160"/>
        <w:rPr>
          <w:rFonts w:eastAsia="Folio Std Light" w:cs="Folio Std Light"/>
          <w:lang w:val="fr-FR"/>
        </w:rPr>
      </w:pPr>
      <w:r w:rsidRPr="0067713E">
        <w:rPr>
          <w:rFonts w:cs="Times New Roman"/>
          <w:lang w:val="fr-FR"/>
        </w:rPr>
        <w:t>Le transfert illicite, l’accumulation et le détournement d’armes légères et de petits calibres (ALPC) reste très préoccupants et constituent l’un des principaux facteurs des conflits et d’insécurité des femmes et jeunes filles.</w:t>
      </w:r>
      <w:r w:rsidRPr="0067713E">
        <w:rPr>
          <w:rFonts w:eastAsia="Folio Std Light" w:cs="Folio Std Light"/>
          <w:lang w:val="fr-FR"/>
        </w:rPr>
        <w:t xml:space="preserve"> La prolifération d’armes alimente la recrudescence des violences, notamment sexuelles, des déplacements massifs de populations et des kidnappings par des hommes armés. C'est notamment le cas dans le territoire de Masisi où Médecins sans frontières a documenté 207 cas de viols pour le premier trimestre l’année 2019</w:t>
      </w:r>
      <w:r w:rsidRPr="0067713E">
        <w:rPr>
          <w:rStyle w:val="FootnoteReference"/>
          <w:rFonts w:eastAsia="Folio Std Light" w:cs="Folio Std Light"/>
          <w:lang w:val="fr-FR"/>
        </w:rPr>
        <w:footnoteReference w:id="6"/>
      </w:r>
      <w:r w:rsidRPr="0067713E">
        <w:rPr>
          <w:rFonts w:eastAsia="Folio Std Light" w:cs="Folio Std Light"/>
          <w:lang w:val="fr-FR"/>
        </w:rPr>
        <w:t>. La plupart des victimes, dans 98% des cas, sont des femmes et dans 75% des rapports, les agressions sont commises par des hommes armés, souvent aux champs, en brousse, sur la route ou à la maison ; les empêchant ainsi de vaquer librement à leurs occupations</w:t>
      </w:r>
      <w:r w:rsidRPr="0067713E">
        <w:rPr>
          <w:rStyle w:val="FootnoteReference"/>
          <w:rFonts w:eastAsia="Folio Std Light" w:cs="Folio Std Light"/>
          <w:lang w:val="fr-FR"/>
        </w:rPr>
        <w:footnoteReference w:id="7"/>
      </w:r>
      <w:r w:rsidRPr="0067713E">
        <w:rPr>
          <w:rFonts w:eastAsia="Folio Std Light" w:cs="Folio Std Light"/>
          <w:lang w:val="fr-FR"/>
        </w:rPr>
        <w:t xml:space="preserve">. </w:t>
      </w:r>
    </w:p>
    <w:p w14:paraId="159555E1" w14:textId="77777777" w:rsidR="00B27C64" w:rsidRPr="0067713E" w:rsidRDefault="00B27C64" w:rsidP="00B27C64">
      <w:pPr>
        <w:spacing w:after="160"/>
        <w:rPr>
          <w:rFonts w:eastAsia="Folio Std Light" w:cs="Folio Std Light"/>
          <w:lang w:val="fr-FR"/>
        </w:rPr>
      </w:pPr>
    </w:p>
    <w:p w14:paraId="00EE39A2" w14:textId="77777777" w:rsidR="00B27C64" w:rsidRPr="0067713E" w:rsidRDefault="00B27C64" w:rsidP="00B27C64">
      <w:pPr>
        <w:spacing w:after="160"/>
        <w:rPr>
          <w:rFonts w:eastAsia="Folio Std Light" w:cs="Folio Std Light"/>
          <w:lang w:val="fr-FR"/>
        </w:rPr>
      </w:pPr>
      <w:r w:rsidRPr="0067713E">
        <w:rPr>
          <w:rFonts w:eastAsia="Folio Std Light" w:cs="Folio Std Light"/>
          <w:lang w:val="fr-FR"/>
        </w:rPr>
        <w:t>Reconnaissant ces impacts, le Comité CEDEF a recommandé à la RDC en 2013 et également lors de son dernier examen en juillet 2019 d’accélérer l’adoption d’une loi réglementant les armes légères et de petit calibre (ALPC) et de ratifier le Traité sur le Commerce des armes</w:t>
      </w:r>
      <w:r w:rsidRPr="0067713E">
        <w:rPr>
          <w:rStyle w:val="FootnoteReference"/>
          <w:rFonts w:eastAsia="Folio Std Light" w:cs="Folio Std Light"/>
          <w:lang w:val="fr-FR"/>
        </w:rPr>
        <w:footnoteReference w:id="8"/>
      </w:r>
      <w:r w:rsidRPr="0067713E">
        <w:rPr>
          <w:rFonts w:eastAsia="Folio Std Light" w:cs="Folio Std Light"/>
          <w:lang w:val="fr-FR"/>
        </w:rPr>
        <w:t xml:space="preserve">. Le plan d’action </w:t>
      </w:r>
      <w:r w:rsidRPr="0067713E">
        <w:rPr>
          <w:rFonts w:eastAsia="Folio Std Light" w:cs="Folio Std Light"/>
          <w:lang w:val="fr-FR"/>
        </w:rPr>
        <w:lastRenderedPageBreak/>
        <w:t>national sur les ALPC 2012-2016 de la RDC avait reconnu que les ALPC occasionnent divers types de violences, dont le principal reste le viol, suivi de près par les violences domestiques</w:t>
      </w:r>
      <w:r w:rsidRPr="0067713E">
        <w:rPr>
          <w:rStyle w:val="FootnoteReference"/>
          <w:rFonts w:eastAsia="Folio Std Light" w:cs="Folio Std Light"/>
          <w:lang w:val="fr-FR"/>
        </w:rPr>
        <w:footnoteReference w:id="9"/>
      </w:r>
      <w:r w:rsidRPr="0067713E">
        <w:rPr>
          <w:rFonts w:eastAsia="Folio Std Light" w:cs="Folio Std Light"/>
          <w:lang w:val="fr-FR"/>
        </w:rPr>
        <w:t>. L’adoption du nouveau du plan d’action national sur le contrôle des ALPC depuis mars 2018, ainsi que l’annonce par le gouvernement du dépôt prochain des instruments de ratification de la Convention de Kinshasa sur les ALPC sont des progrès</w:t>
      </w:r>
      <w:r w:rsidRPr="0067713E">
        <w:rPr>
          <w:rStyle w:val="FootnoteReference"/>
          <w:rFonts w:eastAsia="Folio Std Light" w:cs="Folio Std Light"/>
          <w:lang w:val="fr-FR"/>
        </w:rPr>
        <w:footnoteReference w:id="10"/>
      </w:r>
      <w:r w:rsidRPr="0067713E">
        <w:rPr>
          <w:rFonts w:eastAsia="Folio Std Light" w:cs="Folio Std Light"/>
          <w:lang w:val="fr-FR"/>
        </w:rPr>
        <w:t>. La RDC a également accepté de mettre en œuvre une recommandation de l’Australie issue de son dernier EPU visant à : « Combattre l’accumulation et le transfert illicite d’armes de petit calibre et d’armes légères par une amélioration de la gestion des stocks, des poursuites contre les vendeurs et distributeurs non autorisés et l’application de mesures de contrôle législatif. </w:t>
      </w:r>
      <w:r w:rsidRPr="0067713E">
        <w:rPr>
          <w:rStyle w:val="FootnoteReference"/>
          <w:rFonts w:eastAsia="Folio Std Light" w:cs="Folio Std Light"/>
          <w:lang w:val="fr-FR"/>
        </w:rPr>
        <w:footnoteReference w:id="11"/>
      </w:r>
      <w:r w:rsidRPr="0067713E">
        <w:rPr>
          <w:rFonts w:eastAsia="Folio Std Light" w:cs="Folio Std Light"/>
          <w:lang w:val="fr-FR"/>
        </w:rPr>
        <w:t>»</w:t>
      </w:r>
    </w:p>
    <w:p w14:paraId="1D0C45C6" w14:textId="77777777" w:rsidR="00B27C64" w:rsidRPr="0067713E" w:rsidRDefault="00B27C64" w:rsidP="00B27C64">
      <w:pPr>
        <w:spacing w:after="160"/>
        <w:rPr>
          <w:rFonts w:eastAsia="Folio Std Light" w:cs="Folio Std Light"/>
          <w:lang w:val="fr-FR"/>
        </w:rPr>
      </w:pPr>
    </w:p>
    <w:p w14:paraId="4E25A549" w14:textId="77777777" w:rsidR="00B27C64" w:rsidRPr="0067713E" w:rsidRDefault="00B27C64" w:rsidP="00B27C64">
      <w:pPr>
        <w:spacing w:after="160"/>
        <w:rPr>
          <w:rFonts w:eastAsia="Folio Std Light" w:cs="Folio Std Light"/>
          <w:lang w:val="fr-FR"/>
        </w:rPr>
      </w:pPr>
      <w:r w:rsidRPr="0067713E">
        <w:rPr>
          <w:rFonts w:eastAsia="Folio Std Light" w:cs="Folio Std Light"/>
          <w:lang w:val="fr-FR"/>
        </w:rPr>
        <w:t>Cependant, le cadre normatif national en matière de contrôle des armes demeure inadéquat. En effet, la loi portant prévention, contrôle et réduction des ALPC et de leurs munitions, adoptée par le Sénat depuis le 3 décembre 2013, n’a toujours pas été promulguée par le Président de la République. En attendant, la législation en vigueur sur les armes reste l’ordonnance-loi n° 85-035 du 3 septembre 1985 portant régime des armes et munitions, complétée par l’ordonnance n° 85-212 du 3 septembre 1985 portant mesures d’exécution. Cette législation est cependant partiellement appliquée et obsolète, puisqu’elle n’est plus en phase avec les engagements internationaux souscrits ces dernières années par la RDC, dont la Convention de Kinshasa sur les ALPC signée en 2010. En outre, la Convention de Kinshasa sur les ALPC, dont la loi de ratification a été adoptée en Novembre 2018, attend toujours la signature de ses instruments de ratification par le Président de la République</w:t>
      </w:r>
      <w:r w:rsidRPr="0067713E">
        <w:rPr>
          <w:rStyle w:val="FootnoteReference"/>
          <w:rFonts w:eastAsia="Folio Std Light" w:cs="Folio Std Light"/>
          <w:lang w:val="fr-FR"/>
        </w:rPr>
        <w:footnoteReference w:id="12"/>
      </w:r>
      <w:r w:rsidRPr="0067713E">
        <w:rPr>
          <w:rFonts w:eastAsia="Folio Std Light" w:cs="Folio Std Light"/>
          <w:lang w:val="fr-FR"/>
        </w:rPr>
        <w:t xml:space="preserve">. Le plan d’action national 2018-2022 sur les ALPC a d’ailleurs </w:t>
      </w:r>
      <w:r w:rsidRPr="0067713E">
        <w:rPr>
          <w:rFonts w:eastAsia="Folio Std Light" w:cs="Folio Std Light"/>
          <w:lang w:val="fr-FR"/>
        </w:rPr>
        <w:lastRenderedPageBreak/>
        <w:t>reconnu qu’il est prioritaire d’harmoniser le cadre légal</w:t>
      </w:r>
      <w:r w:rsidRPr="0067713E">
        <w:rPr>
          <w:rStyle w:val="FootnoteReference"/>
          <w:rFonts w:eastAsia="Folio Std Light" w:cs="Folio Std Light"/>
          <w:lang w:val="fr-FR"/>
        </w:rPr>
        <w:footnoteReference w:id="13"/>
      </w:r>
      <w:r w:rsidRPr="0067713E">
        <w:rPr>
          <w:rFonts w:eastAsia="Folio Std Light" w:cs="Folio Std Light"/>
          <w:lang w:val="fr-FR"/>
        </w:rPr>
        <w:t>. En outre, le Traité sur le Commerce des Armes, qui est essentiel au contrôle de la prolifération illicite d’armes en RDC, n’a toujours pas été ratifié.</w:t>
      </w:r>
    </w:p>
    <w:p w14:paraId="7ADD76C5" w14:textId="77777777" w:rsidR="00B27C64" w:rsidRPr="0067713E" w:rsidRDefault="00B27C64" w:rsidP="00B27C64">
      <w:pPr>
        <w:spacing w:after="160"/>
        <w:rPr>
          <w:rFonts w:eastAsia="Folio Std Light" w:cs="Folio Std Light"/>
          <w:lang w:val="fr-FR"/>
        </w:rPr>
      </w:pPr>
    </w:p>
    <w:p w14:paraId="1542CC85" w14:textId="77777777" w:rsidR="00B27C64" w:rsidRPr="0067713E" w:rsidRDefault="00B27C64" w:rsidP="00B27C64">
      <w:pPr>
        <w:spacing w:after="160"/>
        <w:rPr>
          <w:rFonts w:eastAsia="Folio Std Light" w:cs="Folio Std Light"/>
          <w:lang w:val="fr-FR"/>
        </w:rPr>
      </w:pPr>
      <w:r w:rsidRPr="0067713E">
        <w:rPr>
          <w:rFonts w:eastAsia="Folio Std Light" w:cs="Folio Std Light"/>
          <w:lang w:val="fr-FR"/>
        </w:rPr>
        <w:t>Enfin, bien qu’étant souvent premières victimes des ALPC notamment du fait des violences sexuelles qu’elles engendrent, les femmes demeurent exclues des processus de développement de mesures de prévention et d’élimination du commerce illicite des ALPC. Des mesures favorisant la participation et la représentation effective des femmes dans les processus de décision, de planification et d’exécution de mesures liées au contrôle des ALPC en RDC devraient ainsi être prises en conformité avec la recommandation du Comité CEDEF en ce sens</w:t>
      </w:r>
      <w:r w:rsidRPr="0067713E">
        <w:rPr>
          <w:rStyle w:val="FootnoteReference"/>
          <w:rFonts w:eastAsia="Folio Std Light" w:cs="Folio Std Light"/>
          <w:lang w:val="fr-FR"/>
        </w:rPr>
        <w:footnoteReference w:id="14"/>
      </w:r>
      <w:r w:rsidRPr="0067713E">
        <w:rPr>
          <w:rFonts w:eastAsia="Folio Std Light" w:cs="Folio Std Light"/>
          <w:lang w:val="fr-FR"/>
        </w:rPr>
        <w:t>.</w:t>
      </w:r>
    </w:p>
    <w:p w14:paraId="0D769868" w14:textId="1D226C76" w:rsidR="00B27C64" w:rsidRPr="0067713E" w:rsidRDefault="00B27C64" w:rsidP="00B27C64">
      <w:pPr>
        <w:pStyle w:val="Heading3"/>
        <w:ind w:left="709" w:hanging="709"/>
        <w:rPr>
          <w:lang w:val="fr-FR"/>
        </w:rPr>
      </w:pPr>
      <w:bookmarkStart w:id="16" w:name="_Toc440186416"/>
      <w:r w:rsidRPr="0067713E">
        <w:rPr>
          <w:lang w:val="fr-FR"/>
        </w:rPr>
        <w:t>Ques</w:t>
      </w:r>
      <w:bookmarkStart w:id="17" w:name="_GoBack"/>
      <w:bookmarkEnd w:id="17"/>
      <w:r w:rsidRPr="0067713E">
        <w:rPr>
          <w:lang w:val="fr-FR"/>
        </w:rPr>
        <w:t>tions</w:t>
      </w:r>
      <w:bookmarkEnd w:id="16"/>
    </w:p>
    <w:p w14:paraId="483B42CD" w14:textId="77777777" w:rsidR="00B27C64" w:rsidRPr="0067713E" w:rsidRDefault="00B27C64" w:rsidP="00B27C64">
      <w:pPr>
        <w:pStyle w:val="BodyText"/>
        <w:numPr>
          <w:ilvl w:val="0"/>
          <w:numId w:val="28"/>
        </w:numPr>
        <w:ind w:left="709" w:hanging="283"/>
        <w:rPr>
          <w:lang w:val="fr-FR"/>
        </w:rPr>
      </w:pPr>
      <w:r w:rsidRPr="0067713E">
        <w:rPr>
          <w:lang w:val="fr-FR"/>
        </w:rPr>
        <w:t>Pourquoi le Traité sur le Commerce des Armes n’a-t-il toujours pas été ratifié et quand seront déposés les instruments de ratification de la Convention de Kinshasa?</w:t>
      </w:r>
    </w:p>
    <w:p w14:paraId="247E88CB" w14:textId="77777777" w:rsidR="00B27C64" w:rsidRPr="0067713E" w:rsidRDefault="00B27C64" w:rsidP="00B27C64">
      <w:pPr>
        <w:pStyle w:val="BodyText"/>
        <w:numPr>
          <w:ilvl w:val="0"/>
          <w:numId w:val="28"/>
        </w:numPr>
        <w:ind w:left="709" w:hanging="283"/>
        <w:rPr>
          <w:lang w:val="fr-FR"/>
        </w:rPr>
      </w:pPr>
      <w:r w:rsidRPr="0067713E">
        <w:rPr>
          <w:lang w:val="fr-FR"/>
        </w:rPr>
        <w:t>Quand la loi portant prévention, contrôle et réduction des armes légères et de petit calibre et de leurs munitions en attente depuis 2013 sera-t-elle promulguée?</w:t>
      </w:r>
    </w:p>
    <w:p w14:paraId="255290D1" w14:textId="77777777" w:rsidR="00B27C64" w:rsidRPr="0067713E" w:rsidRDefault="00B27C64" w:rsidP="00B27C64">
      <w:pPr>
        <w:pStyle w:val="BodyText"/>
        <w:numPr>
          <w:ilvl w:val="0"/>
          <w:numId w:val="28"/>
        </w:numPr>
        <w:ind w:left="709" w:hanging="283"/>
        <w:rPr>
          <w:lang w:val="fr-FR"/>
        </w:rPr>
      </w:pPr>
      <w:r w:rsidRPr="0067713E">
        <w:rPr>
          <w:lang w:val="fr-FR"/>
        </w:rPr>
        <w:t>Comment les organisations de femmes sont-elles incluses dans le développement et la mise en œuvre de programmes de désarmement et de contrôle des armes?</w:t>
      </w:r>
    </w:p>
    <w:p w14:paraId="6096A93C" w14:textId="57DC70BB" w:rsidR="00AF3DC9" w:rsidRPr="0067713E" w:rsidRDefault="00B27C64" w:rsidP="00B27C64">
      <w:pPr>
        <w:pStyle w:val="BodyText"/>
        <w:numPr>
          <w:ilvl w:val="0"/>
          <w:numId w:val="28"/>
        </w:numPr>
        <w:ind w:left="709" w:hanging="283"/>
        <w:rPr>
          <w:lang w:val="fr-FR"/>
        </w:rPr>
      </w:pPr>
      <w:r w:rsidRPr="0067713E">
        <w:rPr>
          <w:lang w:val="fr-FR"/>
        </w:rPr>
        <w:t>Comment les impacts des ALPC sur les femmes vont-ils être documentés dans le cadre du nouveau plan national sur les ALPC 2017-2021?</w:t>
      </w:r>
      <w:bookmarkStart w:id="18" w:name="_gjdgxs" w:colFirst="0" w:colLast="0"/>
      <w:bookmarkEnd w:id="18"/>
    </w:p>
    <w:p w14:paraId="0359C52E" w14:textId="77777777" w:rsidR="001256BE" w:rsidRPr="0067713E" w:rsidRDefault="001256BE" w:rsidP="001256BE">
      <w:pPr>
        <w:pStyle w:val="BodyText"/>
        <w:ind w:left="709"/>
        <w:rPr>
          <w:lang w:val="fr-FR"/>
        </w:rPr>
      </w:pPr>
    </w:p>
    <w:p w14:paraId="0AF5ED71" w14:textId="2A0EFCB1" w:rsidR="00232CDB" w:rsidRPr="0067713E" w:rsidRDefault="00232CDB" w:rsidP="00232CDB">
      <w:pPr>
        <w:pStyle w:val="Heading2"/>
        <w:rPr>
          <w:lang w:val="fr-FR"/>
        </w:rPr>
      </w:pPr>
      <w:bookmarkStart w:id="19" w:name="_Toc440186417"/>
      <w:bookmarkStart w:id="20" w:name="_Toc437688148"/>
      <w:bookmarkStart w:id="21" w:name="_Toc29393086"/>
      <w:r w:rsidRPr="0067713E">
        <w:rPr>
          <w:lang w:val="fr-FR"/>
        </w:rPr>
        <w:t>Participation des femmes à la vie publique et politique</w:t>
      </w:r>
      <w:bookmarkEnd w:id="19"/>
    </w:p>
    <w:p w14:paraId="47DDE0E3" w14:textId="2E467341" w:rsidR="00232CDB" w:rsidRPr="0067713E" w:rsidRDefault="00232CDB" w:rsidP="00DA354C">
      <w:pPr>
        <w:keepNext/>
        <w:spacing w:before="240" w:after="60"/>
        <w:rPr>
          <w:rFonts w:eastAsia="Folio Std Medium" w:cs="Folio Std Medium"/>
          <w:lang w:val="fr-FR"/>
        </w:rPr>
      </w:pPr>
      <w:r w:rsidRPr="0067713E">
        <w:rPr>
          <w:rFonts w:eastAsia="Folio Std Medium" w:cs="Folio Std Medium"/>
          <w:lang w:val="fr-FR"/>
        </w:rPr>
        <w:t>Dans ses observations finales de 2009, le Comité avait recommandé d’abroger toutes les lois discriminatoires à l’égard des femmes, d’accélérer le processus d’adoption de la loi sur l’égalité des sexes et de prendre des mesures concrètes pour accroître le nombre de femmes aux postes de prise de décisions</w:t>
      </w:r>
      <w:r w:rsidRPr="0067713E">
        <w:rPr>
          <w:rStyle w:val="FootnoteReference"/>
          <w:rFonts w:eastAsia="Folio Std Medium" w:cs="Folio Std Medium"/>
          <w:lang w:val="fr-FR"/>
        </w:rPr>
        <w:footnoteReference w:id="15"/>
      </w:r>
      <w:r w:rsidRPr="0067713E">
        <w:rPr>
          <w:rFonts w:eastAsia="Folio Std Medium" w:cs="Folio Std Medium"/>
          <w:lang w:val="fr-FR"/>
        </w:rPr>
        <w:t xml:space="preserve">. La RDC a également accepté de nombreuses recommandations pour accroître la </w:t>
      </w:r>
      <w:r w:rsidRPr="0067713E">
        <w:rPr>
          <w:rFonts w:eastAsia="Folio Std Medium" w:cs="Folio Std Medium"/>
          <w:lang w:val="fr-FR"/>
        </w:rPr>
        <w:lastRenderedPageBreak/>
        <w:t>participation des femmes à la vie politique et publique lors de son dernier EPU en mai 2019</w:t>
      </w:r>
      <w:r w:rsidRPr="0067713E">
        <w:rPr>
          <w:rStyle w:val="FootnoteReference"/>
          <w:rFonts w:eastAsia="Folio Std Medium" w:cs="Folio Std Medium"/>
          <w:lang w:val="fr-FR"/>
        </w:rPr>
        <w:footnoteReference w:id="16"/>
      </w:r>
      <w:r w:rsidRPr="0067713E">
        <w:rPr>
          <w:rFonts w:eastAsia="Folio Std Medium" w:cs="Folio Std Medium"/>
          <w:lang w:val="fr-FR"/>
        </w:rPr>
        <w:t>.</w:t>
      </w:r>
      <w:r w:rsidRPr="0067713E">
        <w:rPr>
          <w:rFonts w:eastAsia="Folio Std Light" w:cs="Folio Std Light"/>
          <w:lang w:val="fr-FR"/>
        </w:rPr>
        <w:t>La participation des femmes à la vie publique et politique demeure extrêmement faible, notamment s’agissant du nombre de femmes candidates aux élections. A part une augmentation du nombre des femmes au Sénat passant de 5 à 19 femmes</w:t>
      </w:r>
      <w:r w:rsidRPr="0067713E">
        <w:rPr>
          <w:rStyle w:val="FootnoteReference"/>
          <w:rFonts w:eastAsia="Folio Std Light" w:cs="Folio Std Light"/>
          <w:lang w:val="fr-FR"/>
        </w:rPr>
        <w:footnoteReference w:id="17"/>
      </w:r>
      <w:r w:rsidRPr="0067713E">
        <w:rPr>
          <w:rFonts w:eastAsia="Folio Std Light" w:cs="Folio Std Light"/>
          <w:lang w:val="fr-FR"/>
        </w:rPr>
        <w:t xml:space="preserve">, ainsi qu’au gouvernement passant de 10 à 18% </w:t>
      </w:r>
      <w:r w:rsidRPr="0067713E">
        <w:rPr>
          <w:rStyle w:val="FootnoteReference"/>
          <w:rFonts w:eastAsia="Folio Std Light" w:cs="Folio Std Light"/>
          <w:lang w:val="fr-FR"/>
        </w:rPr>
        <w:footnoteReference w:id="18"/>
      </w:r>
      <w:r w:rsidRPr="0067713E">
        <w:rPr>
          <w:rFonts w:eastAsia="Folio Std Light" w:cs="Folio Std Light"/>
          <w:lang w:val="fr-FR"/>
        </w:rPr>
        <w:t>, il y a en effet seulement:</w:t>
      </w:r>
    </w:p>
    <w:p w14:paraId="2609341E" w14:textId="489DBC69" w:rsidR="00232CDB" w:rsidRPr="0067713E" w:rsidRDefault="00232CDB" w:rsidP="00DA354C">
      <w:pPr>
        <w:pStyle w:val="BodyText"/>
        <w:numPr>
          <w:ilvl w:val="0"/>
          <w:numId w:val="37"/>
        </w:numPr>
        <w:rPr>
          <w:lang w:val="fr-FR"/>
        </w:rPr>
      </w:pPr>
      <w:r w:rsidRPr="0067713E">
        <w:rPr>
          <w:lang w:val="fr-FR"/>
        </w:rPr>
        <w:t>10,3% de femmes à l’Assemblée Nationale</w:t>
      </w:r>
      <w:r w:rsidRPr="0067713E">
        <w:rPr>
          <w:rStyle w:val="FootnoteReference"/>
          <w:rFonts w:eastAsia="Folio Std Light" w:cs="Folio Std Light"/>
          <w:lang w:val="fr-FR"/>
        </w:rPr>
        <w:footnoteReference w:id="19"/>
      </w:r>
      <w:r w:rsidRPr="0067713E">
        <w:rPr>
          <w:lang w:val="fr-FR"/>
        </w:rPr>
        <w:t>;</w:t>
      </w:r>
    </w:p>
    <w:p w14:paraId="4A211999" w14:textId="6651E009" w:rsidR="00232CDB" w:rsidRPr="0067713E" w:rsidRDefault="00232CDB" w:rsidP="00DA354C">
      <w:pPr>
        <w:pStyle w:val="BodyText"/>
        <w:numPr>
          <w:ilvl w:val="0"/>
          <w:numId w:val="37"/>
        </w:numPr>
        <w:tabs>
          <w:tab w:val="left" w:pos="426"/>
        </w:tabs>
        <w:rPr>
          <w:lang w:val="fr-FR"/>
        </w:rPr>
      </w:pPr>
      <w:r w:rsidRPr="0067713E">
        <w:rPr>
          <w:lang w:val="fr-FR"/>
        </w:rPr>
        <w:t>10% de femmes députées au niveau provincial</w:t>
      </w:r>
      <w:r w:rsidRPr="0067713E">
        <w:rPr>
          <w:rStyle w:val="FootnoteReference"/>
          <w:rFonts w:eastAsia="Folio Std Light" w:cs="Folio Std Light"/>
          <w:lang w:val="fr-FR"/>
        </w:rPr>
        <w:footnoteReference w:id="20"/>
      </w:r>
      <w:r w:rsidRPr="0067713E">
        <w:rPr>
          <w:lang w:val="fr-FR"/>
        </w:rPr>
        <w:t>;</w:t>
      </w:r>
    </w:p>
    <w:p w14:paraId="72DFCCFC" w14:textId="6E0C9594" w:rsidR="00232CDB" w:rsidRPr="0067713E" w:rsidRDefault="00232CDB" w:rsidP="00DA354C">
      <w:pPr>
        <w:pStyle w:val="BodyText"/>
        <w:numPr>
          <w:ilvl w:val="0"/>
          <w:numId w:val="37"/>
        </w:numPr>
        <w:rPr>
          <w:lang w:val="fr-FR"/>
        </w:rPr>
      </w:pPr>
      <w:r w:rsidRPr="0067713E">
        <w:rPr>
          <w:lang w:val="fr-FR"/>
        </w:rPr>
        <w:t>Aucune femme Gouverneure sur les 26 provinces</w:t>
      </w:r>
      <w:r w:rsidRPr="0067713E">
        <w:rPr>
          <w:rStyle w:val="FootnoteReference"/>
          <w:rFonts w:eastAsia="Folio Std Light" w:cs="Folio Std Light"/>
          <w:lang w:val="fr-FR"/>
        </w:rPr>
        <w:footnoteReference w:id="21"/>
      </w:r>
      <w:r w:rsidRPr="0067713E">
        <w:rPr>
          <w:lang w:val="fr-FR"/>
        </w:rPr>
        <w:t>;</w:t>
      </w:r>
    </w:p>
    <w:p w14:paraId="0EC7C78D" w14:textId="73D34693" w:rsidR="00232CDB" w:rsidRPr="0067713E" w:rsidRDefault="00232CDB" w:rsidP="00DA354C">
      <w:pPr>
        <w:pStyle w:val="BodyText"/>
        <w:numPr>
          <w:ilvl w:val="0"/>
          <w:numId w:val="37"/>
        </w:numPr>
        <w:rPr>
          <w:lang w:val="fr-FR"/>
        </w:rPr>
      </w:pPr>
      <w:r w:rsidRPr="0067713E">
        <w:rPr>
          <w:lang w:val="fr-FR"/>
        </w:rPr>
        <w:t>13,7% de femmes Secrétaires Générales de l’administration publique</w:t>
      </w:r>
      <w:r w:rsidRPr="0067713E">
        <w:rPr>
          <w:rStyle w:val="FootnoteReference"/>
          <w:rFonts w:eastAsia="Folio Std Light" w:cs="Folio Std Light"/>
          <w:lang w:val="fr-FR"/>
        </w:rPr>
        <w:footnoteReference w:id="22"/>
      </w:r>
      <w:r w:rsidRPr="0067713E">
        <w:rPr>
          <w:lang w:val="fr-FR"/>
        </w:rPr>
        <w:t>;</w:t>
      </w:r>
    </w:p>
    <w:p w14:paraId="213F2432" w14:textId="0B476054" w:rsidR="00232CDB" w:rsidRPr="0067713E" w:rsidRDefault="00232CDB" w:rsidP="00DA354C">
      <w:pPr>
        <w:pStyle w:val="BodyText"/>
        <w:numPr>
          <w:ilvl w:val="0"/>
          <w:numId w:val="37"/>
        </w:numPr>
        <w:rPr>
          <w:lang w:val="fr-FR"/>
        </w:rPr>
      </w:pPr>
      <w:r w:rsidRPr="0067713E">
        <w:rPr>
          <w:lang w:val="fr-FR"/>
        </w:rPr>
        <w:t>7% de Présidentes des partis politiques</w:t>
      </w:r>
      <w:r w:rsidRPr="0067713E">
        <w:rPr>
          <w:rStyle w:val="FootnoteReference"/>
          <w:rFonts w:eastAsia="Folio Std Light" w:cs="Folio Std Light"/>
          <w:lang w:val="fr-FR"/>
        </w:rPr>
        <w:footnoteReference w:id="23"/>
      </w:r>
      <w:r w:rsidRPr="0067713E">
        <w:rPr>
          <w:lang w:val="fr-FR"/>
        </w:rPr>
        <w:t>;</w:t>
      </w:r>
    </w:p>
    <w:p w14:paraId="0E5C5FF1" w14:textId="0E2BFD36" w:rsidR="00232CDB" w:rsidRPr="0067713E" w:rsidRDefault="00232CDB" w:rsidP="00DA354C">
      <w:pPr>
        <w:pStyle w:val="BodyText"/>
        <w:numPr>
          <w:ilvl w:val="0"/>
          <w:numId w:val="37"/>
        </w:numPr>
        <w:rPr>
          <w:lang w:val="fr-FR"/>
        </w:rPr>
      </w:pPr>
      <w:r w:rsidRPr="0067713E">
        <w:rPr>
          <w:lang w:val="fr-FR"/>
        </w:rPr>
        <w:t>8,1% de Présidentes des Conseils d’Administration des entreprises publiques.</w:t>
      </w:r>
    </w:p>
    <w:p w14:paraId="08D968DC" w14:textId="77777777" w:rsidR="00232CDB" w:rsidRPr="0067713E" w:rsidRDefault="00232CDB" w:rsidP="00232CDB">
      <w:pPr>
        <w:rPr>
          <w:rFonts w:eastAsia="Folio Std Light" w:cs="Folio Std Light"/>
          <w:lang w:val="fr-FR"/>
        </w:rPr>
      </w:pPr>
    </w:p>
    <w:p w14:paraId="65AE7349" w14:textId="5FC03EAE" w:rsidR="00232CDB" w:rsidRPr="0067713E" w:rsidRDefault="00232CDB" w:rsidP="00232CDB">
      <w:pPr>
        <w:rPr>
          <w:rFonts w:eastAsia="Folio Std Light" w:cs="Folio Std Light"/>
          <w:lang w:val="fr-FR"/>
        </w:rPr>
      </w:pPr>
      <w:r w:rsidRPr="0067713E">
        <w:rPr>
          <w:rFonts w:eastAsia="Folio Std Light" w:cs="Folio Std Light"/>
          <w:lang w:val="fr-FR"/>
        </w:rPr>
        <w:t>Les femmes autochtones ne sont pas représentées tant dans le gouvernement au niveau national, provincial, ni dans les assemblées législatives nationale et provinciales ; il en est de même des femmes vivant avec handicap</w:t>
      </w:r>
      <w:r w:rsidRPr="0067713E">
        <w:rPr>
          <w:rStyle w:val="FootnoteReference"/>
          <w:rFonts w:eastAsia="Folio Std Light" w:cs="Folio Std Light"/>
          <w:lang w:val="fr-FR"/>
        </w:rPr>
        <w:footnoteReference w:id="24"/>
      </w:r>
      <w:r w:rsidRPr="0067713E">
        <w:rPr>
          <w:rFonts w:eastAsia="Folio Std Light" w:cs="Folio Std Light"/>
          <w:lang w:val="fr-FR"/>
        </w:rPr>
        <w:t xml:space="preserve">. Cette situation demeure préoccupante notamment du fait des obstacles suivants : </w:t>
      </w:r>
    </w:p>
    <w:p w14:paraId="70899F25" w14:textId="77777777" w:rsidR="00232CDB" w:rsidRPr="0067713E" w:rsidRDefault="00232CDB" w:rsidP="00DA354C">
      <w:pPr>
        <w:pStyle w:val="BodyText"/>
        <w:numPr>
          <w:ilvl w:val="0"/>
          <w:numId w:val="29"/>
        </w:numPr>
        <w:rPr>
          <w:lang w:val="fr-FR"/>
        </w:rPr>
      </w:pPr>
      <w:r w:rsidRPr="0067713E">
        <w:rPr>
          <w:lang w:val="fr-FR"/>
        </w:rPr>
        <w:t>L’article 3 alinéa 5 de la loi sur le financement des partis politiques qui conditionne l’accès aux financements publics aux partis qui appliquent la parité dans l’établissement de leur liste électorale n’a jamais été mis en œuvre et ce, tant dans les élections législatives de 2011, que plus récemment dans les élections de 2018</w:t>
      </w:r>
      <w:r w:rsidRPr="0067713E">
        <w:rPr>
          <w:rStyle w:val="FootnoteReference"/>
          <w:rFonts w:eastAsia="Folio Std Light" w:cs="Folio Std Light"/>
          <w:lang w:val="fr-FR"/>
        </w:rPr>
        <w:footnoteReference w:id="25"/>
      </w:r>
      <w:r w:rsidRPr="0067713E">
        <w:rPr>
          <w:lang w:val="fr-FR"/>
        </w:rPr>
        <w:t>;</w:t>
      </w:r>
    </w:p>
    <w:p w14:paraId="6AAB3EAF" w14:textId="7E3356CB" w:rsidR="00232CDB" w:rsidRPr="0067713E" w:rsidRDefault="00232CDB" w:rsidP="00451981">
      <w:pPr>
        <w:pStyle w:val="BodyText"/>
        <w:numPr>
          <w:ilvl w:val="0"/>
          <w:numId w:val="29"/>
        </w:numPr>
        <w:rPr>
          <w:lang w:val="fr-FR"/>
        </w:rPr>
      </w:pPr>
      <w:r w:rsidRPr="0067713E">
        <w:rPr>
          <w:lang w:val="fr-FR"/>
        </w:rPr>
        <w:lastRenderedPageBreak/>
        <w:t>L’article 13 alinéa 2 de la loi électorale qui dispose que les listes électorales sont établies en tenant compte de la parité n’est pas mis en œuvre puisqu’aucune sanction n’est prévue en cas de non-respect de cette disposition</w:t>
      </w:r>
      <w:r w:rsidRPr="0067713E">
        <w:rPr>
          <w:rStyle w:val="FootnoteReference"/>
          <w:rFonts w:eastAsia="Folio Std Light" w:cs="Folio Std Light"/>
          <w:lang w:val="fr-FR"/>
        </w:rPr>
        <w:footnoteReference w:id="26"/>
      </w:r>
      <w:r w:rsidRPr="0067713E">
        <w:rPr>
          <w:lang w:val="fr-FR"/>
        </w:rPr>
        <w:t>;</w:t>
      </w:r>
    </w:p>
    <w:p w14:paraId="46909D4F" w14:textId="77777777" w:rsidR="00232CDB" w:rsidRPr="0067713E" w:rsidRDefault="00232CDB" w:rsidP="00451981">
      <w:pPr>
        <w:pStyle w:val="BodyText"/>
        <w:numPr>
          <w:ilvl w:val="0"/>
          <w:numId w:val="29"/>
        </w:numPr>
        <w:rPr>
          <w:lang w:val="fr-FR"/>
        </w:rPr>
      </w:pPr>
      <w:r w:rsidRPr="0067713E">
        <w:rPr>
          <w:lang w:val="fr-FR"/>
        </w:rPr>
        <w:t>Depuis la promulgation de la loi portant modalités d’application des droits de la femme et de la parité du 1</w:t>
      </w:r>
      <w:r w:rsidRPr="0067713E">
        <w:rPr>
          <w:vertAlign w:val="superscript"/>
          <w:lang w:val="fr-FR"/>
        </w:rPr>
        <w:t>er</w:t>
      </w:r>
      <w:r w:rsidRPr="0067713E">
        <w:rPr>
          <w:lang w:val="fr-FR"/>
        </w:rPr>
        <w:t xml:space="preserve"> août 2015, les structures de mise en œuvre de cette loi (le Comité Interministériel et le Conseil National du Genre et de la parité) n’ont toujours pas été créées.</w:t>
      </w:r>
    </w:p>
    <w:p w14:paraId="34EFC275" w14:textId="77777777" w:rsidR="00232CDB" w:rsidRPr="0067713E" w:rsidRDefault="00232CDB" w:rsidP="00232CDB">
      <w:pPr>
        <w:rPr>
          <w:rFonts w:eastAsia="Folio Std Light" w:cs="Folio Std Light"/>
          <w:lang w:val="fr-FR"/>
        </w:rPr>
      </w:pPr>
    </w:p>
    <w:p w14:paraId="6D03C56A" w14:textId="77777777" w:rsidR="00232CDB" w:rsidRPr="0067713E" w:rsidRDefault="00232CDB" w:rsidP="00232CDB">
      <w:pPr>
        <w:rPr>
          <w:rFonts w:eastAsia="Folio Std Light" w:cs="Folio Std Light"/>
          <w:lang w:val="fr-FR"/>
        </w:rPr>
      </w:pPr>
      <w:r w:rsidRPr="0067713E">
        <w:rPr>
          <w:rFonts w:eastAsia="Folio Std Light" w:cs="Folio Std Light"/>
          <w:lang w:val="fr-FR"/>
        </w:rPr>
        <w:t>Aucune mesure incitative n’a été mise en place pour soutenir la participation des femmes dans le gouvernement et dans l’administration publique conformément au principe constitutionnel de la parité. En outre, l’arrêt de la Cour Constitutionnelle du 24 janvier 2014 statuant sur la constitutionnalité de quotas visant à améliorer l’accès des femmes à la fonction publique dans la loi 1</w:t>
      </w:r>
      <w:r w:rsidRPr="0067713E">
        <w:rPr>
          <w:rFonts w:eastAsia="Folio Std Light" w:cs="Folio Std Light"/>
          <w:vertAlign w:val="superscript"/>
          <w:lang w:val="fr-FR"/>
        </w:rPr>
        <w:t>er</w:t>
      </w:r>
      <w:r w:rsidRPr="0067713E">
        <w:rPr>
          <w:rFonts w:eastAsia="Folio Std Light" w:cs="Folio Std Light"/>
          <w:lang w:val="fr-FR"/>
        </w:rPr>
        <w:t xml:space="preserve"> août 2015 portant modalités d’application des droits de la femme et de la parité, a conclu que ces quotas étaient contraires au principe d’égalité devant la loi (art. 12 de la Constitution) et au principe de l’élimination de toute forme de discrimination notamment en matière d’accès aux fonctions publiques (art. 13 de la Constitution)</w:t>
      </w:r>
      <w:r w:rsidRPr="0067713E">
        <w:rPr>
          <w:rStyle w:val="FootnoteReference"/>
          <w:rFonts w:eastAsia="Folio Std Light" w:cs="Folio Std Light"/>
          <w:lang w:val="fr-FR"/>
        </w:rPr>
        <w:footnoteReference w:id="27"/>
      </w:r>
      <w:r w:rsidRPr="0067713E">
        <w:rPr>
          <w:rFonts w:eastAsia="Folio Std Light" w:cs="Folio Std Light"/>
          <w:lang w:val="fr-FR"/>
        </w:rPr>
        <w:t>. Ceci constitue un obstacle essentiel à l’adoption de toutes mesures temporaires spéciales</w:t>
      </w:r>
      <w:r w:rsidRPr="0067713E">
        <w:rPr>
          <w:rStyle w:val="FootnoteReference"/>
          <w:rFonts w:eastAsia="Folio Std Light" w:cs="Folio Std Light"/>
          <w:lang w:val="fr-FR"/>
        </w:rPr>
        <w:footnoteReference w:id="28"/>
      </w:r>
      <w:r w:rsidRPr="0067713E">
        <w:rPr>
          <w:rFonts w:eastAsia="Folio Std Light" w:cs="Folio Std Light"/>
          <w:lang w:val="fr-FR"/>
        </w:rPr>
        <w:t>. Le Comité CEDEF a d’ailleurs recommandé en 2019 à la RDC de veiller à ce que le Gouvernement collabore avec le pouvoir judiciaire, le Parlement et la Cour constitutionnelle afin de plaider en faveur d’une révision de la décision de la Cour constitutionnelle de 2014 concernant les quotas et de sensibiliser les membres du Parlement, les fonctionnaires, les employeurs et la population en général à la nécessité d’adopter des mesures temporaires spéciales</w:t>
      </w:r>
      <w:r w:rsidRPr="0067713E">
        <w:rPr>
          <w:rStyle w:val="FootnoteReference"/>
          <w:rFonts w:eastAsia="Folio Std Light" w:cs="Folio Std Light"/>
          <w:lang w:val="fr-FR"/>
        </w:rPr>
        <w:footnoteReference w:id="29"/>
      </w:r>
      <w:r w:rsidRPr="0067713E">
        <w:rPr>
          <w:rFonts w:eastAsia="Folio Std Light" w:cs="Folio Std Light"/>
          <w:lang w:val="fr-FR"/>
        </w:rPr>
        <w:t>.</w:t>
      </w:r>
    </w:p>
    <w:p w14:paraId="75F2C946" w14:textId="77777777" w:rsidR="004D79C3" w:rsidRPr="0067713E" w:rsidRDefault="00232CDB" w:rsidP="004D79C3">
      <w:pPr>
        <w:pStyle w:val="Heading3"/>
        <w:rPr>
          <w:lang w:val="fr-FR"/>
        </w:rPr>
      </w:pPr>
      <w:bookmarkStart w:id="22" w:name="_Toc440186418"/>
      <w:r w:rsidRPr="0067713E">
        <w:rPr>
          <w:lang w:val="fr-FR"/>
        </w:rPr>
        <w:t>Questions</w:t>
      </w:r>
      <w:bookmarkEnd w:id="22"/>
    </w:p>
    <w:p w14:paraId="7C2F5543" w14:textId="7E208507" w:rsidR="00CB178F" w:rsidRPr="0067713E" w:rsidRDefault="00CB178F" w:rsidP="004D79C3">
      <w:pPr>
        <w:pStyle w:val="BodyText"/>
        <w:numPr>
          <w:ilvl w:val="0"/>
          <w:numId w:val="31"/>
        </w:numPr>
        <w:ind w:left="709" w:hanging="283"/>
        <w:rPr>
          <w:lang w:val="fr-FR"/>
        </w:rPr>
      </w:pPr>
      <w:r w:rsidRPr="0067713E">
        <w:rPr>
          <w:lang w:val="fr-FR"/>
        </w:rPr>
        <w:t xml:space="preserve">Pourquoi des mesures incitatives n’ont-elles toujours pas été prises par l’État partie pour qu’il y ait davantage de femmes à des postes de prise de décisions dans le secteur public, </w:t>
      </w:r>
      <w:r w:rsidRPr="0067713E">
        <w:rPr>
          <w:lang w:val="fr-FR"/>
        </w:rPr>
        <w:lastRenderedPageBreak/>
        <w:t>notamment au gouvernement, au parlement et dans le système judiciaire, aux niveaux tant national que local, ainsi que dans le secteur privé?</w:t>
      </w:r>
    </w:p>
    <w:p w14:paraId="28E2F8DC" w14:textId="77777777" w:rsidR="00CB178F" w:rsidRPr="0067713E" w:rsidRDefault="00CB178F" w:rsidP="00CB178F">
      <w:pPr>
        <w:pStyle w:val="BodyText"/>
        <w:numPr>
          <w:ilvl w:val="0"/>
          <w:numId w:val="31"/>
        </w:numPr>
        <w:ind w:left="709" w:hanging="283"/>
        <w:rPr>
          <w:lang w:val="fr-FR"/>
        </w:rPr>
      </w:pPr>
      <w:r w:rsidRPr="0067713E">
        <w:rPr>
          <w:lang w:val="fr-FR"/>
        </w:rPr>
        <w:t>Comment l’Etat assure-t-il le respect effectif des articles 4 et 5 de la loi n°15/013 sur la parité qui dispose que les partis politiques doivent tenir compte de la parité alors que l’article 13 alinéa 3 de la nouvelle loi électorale dispose que la non-représentation des femmes sur les listes électorales n’est pas un motif d’irrecevabilité des listes?</w:t>
      </w:r>
    </w:p>
    <w:p w14:paraId="2671E3EB" w14:textId="2510DF82" w:rsidR="00CB178F" w:rsidRPr="0067713E" w:rsidRDefault="00CB178F" w:rsidP="00CB178F">
      <w:pPr>
        <w:pStyle w:val="BodyText"/>
        <w:numPr>
          <w:ilvl w:val="0"/>
          <w:numId w:val="31"/>
        </w:numPr>
        <w:ind w:left="709" w:hanging="283"/>
        <w:rPr>
          <w:lang w:val="fr-FR"/>
        </w:rPr>
      </w:pPr>
      <w:r w:rsidRPr="0067713E">
        <w:rPr>
          <w:lang w:val="fr-FR"/>
        </w:rPr>
        <w:t>Pourquoi le Comité interministériel et du Conseil national du genre et de la parité dont la création est prévue par la Loi n° 15/013 du 1er août 2015 sur les droits de la femme et la parité n’ont-ils</w:t>
      </w:r>
      <w:r w:rsidR="00AE0510" w:rsidRPr="0067713E">
        <w:rPr>
          <w:lang w:val="fr-FR"/>
        </w:rPr>
        <w:t xml:space="preserve"> pas été mis en place à ce jour</w:t>
      </w:r>
      <w:r w:rsidRPr="0067713E">
        <w:rPr>
          <w:lang w:val="fr-FR"/>
        </w:rPr>
        <w:t>?</w:t>
      </w:r>
    </w:p>
    <w:bookmarkEnd w:id="20"/>
    <w:bookmarkEnd w:id="21"/>
    <w:p w14:paraId="513B4416" w14:textId="77777777" w:rsidR="00BA6C7A" w:rsidRPr="0067713E" w:rsidRDefault="00BA6C7A" w:rsidP="00AE0510">
      <w:pPr>
        <w:pStyle w:val="BodyText"/>
        <w:rPr>
          <w:lang w:val="fr-FR"/>
        </w:rPr>
      </w:pPr>
    </w:p>
    <w:p w14:paraId="4593613B" w14:textId="4FEB335F" w:rsidR="00410DCE" w:rsidRPr="0067713E" w:rsidRDefault="004E4411" w:rsidP="007C2205">
      <w:pPr>
        <w:pStyle w:val="Heading1"/>
        <w:rPr>
          <w:lang w:val="fr-FR"/>
        </w:rPr>
      </w:pPr>
      <w:bookmarkStart w:id="23" w:name="_Toc437688150"/>
      <w:bookmarkStart w:id="24" w:name="_Toc29393088"/>
      <w:bookmarkStart w:id="25" w:name="_Toc440186419"/>
      <w:r w:rsidRPr="0067713E">
        <w:rPr>
          <w:lang w:val="fr-FR"/>
        </w:rPr>
        <w:t xml:space="preserve">III. </w:t>
      </w:r>
      <w:bookmarkEnd w:id="23"/>
      <w:bookmarkEnd w:id="24"/>
      <w:r w:rsidR="00AE0510" w:rsidRPr="0067713E">
        <w:rPr>
          <w:lang w:val="fr-FR"/>
        </w:rPr>
        <w:t>Droits des femmes à des conditions de travail justes et favorables (art. 7 et art. 12)</w:t>
      </w:r>
      <w:bookmarkEnd w:id="25"/>
    </w:p>
    <w:p w14:paraId="3B8A3176" w14:textId="3E33A049" w:rsidR="00D86DA4" w:rsidRPr="0067713E" w:rsidRDefault="00AE0510" w:rsidP="00AE0510">
      <w:pPr>
        <w:pStyle w:val="Heading2"/>
        <w:rPr>
          <w:lang w:val="fr-FR"/>
        </w:rPr>
      </w:pPr>
      <w:bookmarkStart w:id="26" w:name="_Toc440186420"/>
      <w:r w:rsidRPr="0067713E">
        <w:rPr>
          <w:lang w:val="fr-FR"/>
        </w:rPr>
        <w:t xml:space="preserve">Egalité de </w:t>
      </w:r>
      <w:r w:rsidR="006D58AA" w:rsidRPr="0067713E">
        <w:rPr>
          <w:lang w:val="fr-FR"/>
        </w:rPr>
        <w:t>rémuné</w:t>
      </w:r>
      <w:r w:rsidRPr="0067713E">
        <w:rPr>
          <w:lang w:val="fr-FR"/>
        </w:rPr>
        <w:t>ration</w:t>
      </w:r>
      <w:bookmarkEnd w:id="26"/>
    </w:p>
    <w:p w14:paraId="083BA214" w14:textId="77777777" w:rsidR="00AE0510" w:rsidRPr="0067713E" w:rsidRDefault="00AE0510" w:rsidP="00AE0510">
      <w:pPr>
        <w:pStyle w:val="Normal1"/>
        <w:rPr>
          <w:lang w:val="fr-FR"/>
        </w:rPr>
      </w:pPr>
    </w:p>
    <w:p w14:paraId="28C2A5EA" w14:textId="77777777" w:rsidR="006D58AA" w:rsidRPr="0067713E" w:rsidRDefault="006D58AA" w:rsidP="001C7761">
      <w:pPr>
        <w:rPr>
          <w:rFonts w:eastAsia="Folio Std Light" w:cs="Folio Std Light"/>
          <w:lang w:val="fr-FR"/>
        </w:rPr>
      </w:pPr>
      <w:r w:rsidRPr="0067713E">
        <w:rPr>
          <w:rFonts w:eastAsia="Folio Std Medium" w:cs="Folio Std Medium"/>
          <w:lang w:val="fr-FR"/>
        </w:rPr>
        <w:t>Le Comité avait recommandé en 2009 de prendre des mesures concrètes pour faire appliquer le principe d’une égale rémunération pour un travail de valeur égale</w:t>
      </w:r>
      <w:r w:rsidRPr="0067713E">
        <w:rPr>
          <w:rStyle w:val="FootnoteReference"/>
          <w:rFonts w:eastAsia="Folio Std Medium" w:cs="Folio Std Medium"/>
          <w:lang w:val="fr-FR"/>
        </w:rPr>
        <w:footnoteReference w:id="30"/>
      </w:r>
      <w:r w:rsidRPr="0067713E">
        <w:rPr>
          <w:rFonts w:eastAsia="Folio Std Medium" w:cs="Folio Std Medium"/>
          <w:lang w:val="fr-FR"/>
        </w:rPr>
        <w:t>.</w:t>
      </w:r>
      <w:r w:rsidRPr="0067713E">
        <w:rPr>
          <w:rFonts w:eastAsia="Folio Std Light" w:cs="Folio Std Light"/>
          <w:lang w:val="fr-FR"/>
        </w:rPr>
        <w:t xml:space="preserve"> Dans son rapport au Comité CEDEF envoyé en 2018, la RDC cite parmi les avancées la loi 1er août 2015 sur la parité et son article 21 qui interdit toute discrimination à l’embauche, à l’attribution des tâches, aux conditions de travail, à la rémunération et autres avantages sociaux, à la promotion et à la résiliation du contrat de travail</w:t>
      </w:r>
      <w:r w:rsidRPr="0067713E">
        <w:rPr>
          <w:rStyle w:val="FootnoteReference"/>
          <w:rFonts w:eastAsia="Folio Std Light" w:cs="Folio Std Light"/>
          <w:lang w:val="fr-FR"/>
        </w:rPr>
        <w:footnoteReference w:id="31"/>
      </w:r>
      <w:r w:rsidRPr="0067713E">
        <w:rPr>
          <w:rFonts w:eastAsia="Folio Std Light" w:cs="Folio Std Light"/>
          <w:lang w:val="fr-FR"/>
        </w:rPr>
        <w:t>. La loi n° 16/013 du 15 juillet 2016 portant statut des agents de carrière des services publics de l’État a aussi supprimé l’autorisation maritale pour le recrutement des femmes</w:t>
      </w:r>
      <w:r w:rsidRPr="0067713E">
        <w:rPr>
          <w:rStyle w:val="FootnoteReference"/>
          <w:rFonts w:eastAsia="Folio Std Light" w:cs="Folio Std Light"/>
          <w:lang w:val="fr-FR"/>
        </w:rPr>
        <w:footnoteReference w:id="32"/>
      </w:r>
      <w:r w:rsidRPr="0067713E">
        <w:rPr>
          <w:rFonts w:eastAsia="Folio Std Light" w:cs="Folio Std Light"/>
          <w:lang w:val="fr-FR"/>
        </w:rPr>
        <w:t xml:space="preserve">. </w:t>
      </w:r>
    </w:p>
    <w:p w14:paraId="6852BFD4" w14:textId="37CBC357" w:rsidR="006D58AA" w:rsidRPr="0067713E" w:rsidRDefault="006D58AA" w:rsidP="007B3579">
      <w:pPr>
        <w:pStyle w:val="BodyText"/>
        <w:rPr>
          <w:rFonts w:eastAsia="Folio Std Light" w:cs="Folio Std Light"/>
          <w:lang w:val="fr-FR"/>
        </w:rPr>
      </w:pPr>
      <w:r w:rsidRPr="0067713E">
        <w:rPr>
          <w:lang w:val="fr-FR"/>
        </w:rPr>
        <w:lastRenderedPageBreak/>
        <w:t>Cependant, les femmes continuent de subir de discrimination tant dans le secteur public que dans le secteur privé. A titre illustratif, la Loi n° 16/013 du 15 juillet 2016 portant statut des agents de carrière des services publics de l’État reconnait comme bénéficiaires des avantages sociaux « l’agent public, son conjoint et ses enfants »</w:t>
      </w:r>
      <w:r w:rsidRPr="0067713E">
        <w:rPr>
          <w:rStyle w:val="FootnoteReference"/>
          <w:rFonts w:eastAsia="Folio Std Light" w:cs="Folio Std Light"/>
          <w:lang w:val="fr-FR"/>
        </w:rPr>
        <w:footnoteReference w:id="33"/>
      </w:r>
      <w:r w:rsidRPr="0067713E">
        <w:rPr>
          <w:lang w:val="fr-FR"/>
        </w:rPr>
        <w:t xml:space="preserve">. Cependant, les agents publics de sexe féminin qui sont mariées ne bénéficient pas de ces avantages sociaux en pratique. En effet, des femmes agents publics ont témoigné auprès de WILPF RDC ne pouvoir faire bénéficier à leur famille les avantages </w:t>
      </w:r>
      <w:r w:rsidRPr="0067713E">
        <w:rPr>
          <w:rFonts w:eastAsia="Folio Std Light" w:cs="Folio Std Light"/>
          <w:lang w:val="fr-FR"/>
        </w:rPr>
        <w:t>sociaux liés à leur statut. Celles-ci se voient opposer l’argument discriminatoire selon lequel seul leur mari est le chef du ménage, notamment en vertu de l’article 444 du Code de la Famille, et à ce titre en droit de faire bénéficier de ses avantages sociaux la famille</w:t>
      </w:r>
      <w:r w:rsidRPr="0067713E">
        <w:rPr>
          <w:rStyle w:val="FootnoteReference"/>
          <w:rFonts w:eastAsia="Folio Std Light" w:cs="Folio Std Light"/>
          <w:lang w:val="fr-FR"/>
        </w:rPr>
        <w:footnoteReference w:id="34"/>
      </w:r>
      <w:r w:rsidRPr="0067713E">
        <w:rPr>
          <w:rFonts w:eastAsia="Folio Std Light" w:cs="Folio Std Light"/>
          <w:lang w:val="fr-FR"/>
        </w:rPr>
        <w:t>.</w:t>
      </w:r>
    </w:p>
    <w:p w14:paraId="49962106" w14:textId="5CA54904" w:rsidR="006D58AA" w:rsidRPr="0067713E" w:rsidRDefault="006D58AA" w:rsidP="006D58AA">
      <w:pPr>
        <w:pStyle w:val="Heading3"/>
        <w:rPr>
          <w:lang w:val="fr-FR"/>
        </w:rPr>
      </w:pPr>
      <w:bookmarkStart w:id="27" w:name="_Toc440186421"/>
      <w:r w:rsidRPr="0067713E">
        <w:rPr>
          <w:lang w:val="fr-FR"/>
        </w:rPr>
        <w:t>Questions</w:t>
      </w:r>
      <w:r w:rsidR="00992E50" w:rsidRPr="0067713E">
        <w:rPr>
          <w:lang w:val="fr-FR"/>
        </w:rPr>
        <w:t> :</w:t>
      </w:r>
      <w:bookmarkEnd w:id="27"/>
    </w:p>
    <w:sdt>
      <w:sdtPr>
        <w:rPr>
          <w:lang w:val="fr-FR"/>
        </w:rPr>
        <w:tag w:val="goog_rdk_96"/>
        <w:id w:val="438412911"/>
      </w:sdtPr>
      <w:sdtEndPr/>
      <w:sdtContent>
        <w:p w14:paraId="4962E038" w14:textId="4C15FAB6" w:rsidR="006D58AA" w:rsidRPr="0067713E" w:rsidRDefault="006D58AA" w:rsidP="00992E50">
          <w:pPr>
            <w:pStyle w:val="BodyText"/>
            <w:numPr>
              <w:ilvl w:val="0"/>
              <w:numId w:val="36"/>
            </w:numPr>
            <w:ind w:left="709" w:hanging="283"/>
            <w:rPr>
              <w:rFonts w:eastAsia="Folio Std Light" w:cs="Folio Std Light"/>
              <w:lang w:val="fr-FR"/>
            </w:rPr>
          </w:pPr>
          <w:r w:rsidRPr="0067713E">
            <w:rPr>
              <w:lang w:val="fr-FR"/>
            </w:rPr>
            <w:t>Quel est le suivi des effets des lois (notamment de l’article 52 et 55 de la loi n° 16/013 du 15 juillet 2016 portant statut des agents de carrière des services publics de l’État)  concernant les avantages sociaux octroyés à tous les agents du secteur public? Veuillez fournir des statistiques sur le nombre de femmes agents publics de l’Etat qui bénéficient effectivement des avantages sociaux liés à leur statut et qui en font bénéficier leurs conjoints et enfants, conformément à la Loi n° 16/013 du 15 juillet 2016 portant statut des agents de carrière des services publics de l’État.</w:t>
          </w:r>
        </w:p>
        <w:p w14:paraId="4E2C26FE" w14:textId="4571E54E" w:rsidR="005758F2" w:rsidRPr="0067713E" w:rsidRDefault="00356055" w:rsidP="00992E50">
          <w:pPr>
            <w:pStyle w:val="BodyText"/>
            <w:rPr>
              <w:lang w:val="fr-FR"/>
            </w:rPr>
          </w:pPr>
        </w:p>
      </w:sdtContent>
    </w:sdt>
    <w:p w14:paraId="7EBBF88D" w14:textId="3BA3B521" w:rsidR="005240B7" w:rsidRPr="0067713E" w:rsidRDefault="00DB3989" w:rsidP="005758F2">
      <w:pPr>
        <w:pStyle w:val="Heading2"/>
        <w:rPr>
          <w:lang w:val="fr-FR"/>
        </w:rPr>
      </w:pPr>
      <w:bookmarkStart w:id="28" w:name="_Toc440186422"/>
      <w:r w:rsidRPr="0067713E">
        <w:rPr>
          <w:lang w:val="fr-FR"/>
        </w:rPr>
        <w:t>Conditions de travail des femmes dans les mines artisanales</w:t>
      </w:r>
      <w:bookmarkEnd w:id="28"/>
    </w:p>
    <w:p w14:paraId="1407A886" w14:textId="77777777" w:rsidR="005758F2" w:rsidRPr="0067713E" w:rsidRDefault="005758F2" w:rsidP="005758F2">
      <w:pPr>
        <w:pStyle w:val="Normal1"/>
        <w:rPr>
          <w:lang w:val="fr-FR"/>
        </w:rPr>
      </w:pPr>
    </w:p>
    <w:p w14:paraId="6E105D97" w14:textId="62778988" w:rsidR="00DB3989" w:rsidRPr="0067713E" w:rsidRDefault="00DB3989" w:rsidP="00DB3989">
      <w:pPr>
        <w:rPr>
          <w:rFonts w:eastAsia="Folio Std Light" w:cs="Folio Std Light"/>
          <w:lang w:val="fr-FR"/>
        </w:rPr>
      </w:pPr>
      <w:r w:rsidRPr="0067713E">
        <w:rPr>
          <w:rFonts w:eastAsia="Folio Std Light" w:cs="Folio Std Light"/>
          <w:lang w:val="fr-FR"/>
        </w:rPr>
        <w:t>En 2009, préoccupé par les mesures insuffisantes prises par l’État partie face à la situation de milliers de mineurs employés dans des activités minières artisanales, le Comité avait recommandé à la RDC de poursuivre le réexamen des contrats miniers et d’adopter, en concertation avec les sociétés commerciales, une stratégie claire visant à éviter de nouveaux accidents dans les mines</w:t>
      </w:r>
      <w:r w:rsidRPr="0067713E">
        <w:rPr>
          <w:rStyle w:val="FootnoteReference"/>
          <w:rFonts w:eastAsia="Folio Std Light" w:cs="Folio Std Light"/>
          <w:lang w:val="fr-FR"/>
        </w:rPr>
        <w:footnoteReference w:id="35"/>
      </w:r>
      <w:r w:rsidRPr="0067713E">
        <w:rPr>
          <w:rFonts w:eastAsia="Folio Std Light" w:cs="Folio Std Light"/>
          <w:lang w:val="fr-FR"/>
        </w:rPr>
        <w:t xml:space="preserve">. </w:t>
      </w:r>
    </w:p>
    <w:p w14:paraId="04E35F92" w14:textId="77777777" w:rsidR="00DB3989" w:rsidRPr="0067713E" w:rsidRDefault="00DB3989" w:rsidP="00DB3989">
      <w:pPr>
        <w:rPr>
          <w:rFonts w:eastAsia="Folio Std Light" w:cs="Folio Std Light"/>
          <w:lang w:val="fr-FR"/>
        </w:rPr>
      </w:pPr>
    </w:p>
    <w:p w14:paraId="21D6254E" w14:textId="11D11835" w:rsidR="00DB3989" w:rsidRPr="0067713E" w:rsidRDefault="00DB3989" w:rsidP="00DB3989">
      <w:pPr>
        <w:rPr>
          <w:rFonts w:eastAsia="Folio Std Light" w:cs="Folio Std Light"/>
          <w:lang w:val="fr-FR"/>
        </w:rPr>
      </w:pPr>
      <w:r w:rsidRPr="0067713E">
        <w:rPr>
          <w:rFonts w:eastAsia="Folio Std Light" w:cs="Folio Std Light"/>
          <w:lang w:val="fr-FR"/>
        </w:rPr>
        <w:t xml:space="preserve">Le cadre légal de protection du travail dans les mines </w:t>
      </w:r>
      <w:r w:rsidR="00EE1093">
        <w:rPr>
          <w:rFonts w:eastAsia="Folio Std Light" w:cs="Folio Std Light"/>
          <w:lang w:val="fr-FR"/>
        </w:rPr>
        <w:t>n’</w:t>
      </w:r>
      <w:r w:rsidRPr="0067713E">
        <w:rPr>
          <w:rFonts w:eastAsia="Folio Std Light" w:cs="Folio Std Light"/>
          <w:lang w:val="fr-FR"/>
        </w:rPr>
        <w:t>a connu des modifications majeures</w:t>
      </w:r>
      <w:r w:rsidR="00EE1093">
        <w:rPr>
          <w:rFonts w:eastAsia="Folio Std Light" w:cs="Folio Std Light"/>
          <w:lang w:val="fr-FR"/>
        </w:rPr>
        <w:t xml:space="preserve"> que récemment</w:t>
      </w:r>
      <w:r w:rsidRPr="0067713E">
        <w:rPr>
          <w:rFonts w:eastAsia="Folio Std Light" w:cs="Folio Std Light"/>
          <w:lang w:val="fr-FR"/>
        </w:rPr>
        <w:t xml:space="preserve"> avec la révision du</w:t>
      </w:r>
      <w:r w:rsidR="00EE1093">
        <w:rPr>
          <w:rFonts w:eastAsia="Folio Std Light" w:cs="Folio Std Light"/>
          <w:lang w:val="fr-FR"/>
        </w:rPr>
        <w:t xml:space="preserve"> Code du travail en 2016, ainsi que du</w:t>
      </w:r>
      <w:r w:rsidRPr="0067713E">
        <w:rPr>
          <w:rFonts w:eastAsia="Folio Std Light" w:cs="Folio Std Light"/>
          <w:lang w:val="fr-FR"/>
        </w:rPr>
        <w:t xml:space="preserve"> Code minier</w:t>
      </w:r>
      <w:r w:rsidR="00EE1093">
        <w:rPr>
          <w:rFonts w:eastAsia="Folio Std Light" w:cs="Folio Std Light"/>
          <w:lang w:val="fr-FR"/>
        </w:rPr>
        <w:t xml:space="preserve"> et du </w:t>
      </w:r>
      <w:r w:rsidR="00EE1093" w:rsidRPr="0067713E">
        <w:rPr>
          <w:rFonts w:eastAsia="Folio Std Light" w:cs="Folio Std Light"/>
          <w:lang w:val="fr-FR"/>
        </w:rPr>
        <w:t>règlement minier</w:t>
      </w:r>
      <w:r w:rsidRPr="0067713E">
        <w:rPr>
          <w:rFonts w:eastAsia="Folio Std Light" w:cs="Folio Std Light"/>
          <w:lang w:val="fr-FR"/>
        </w:rPr>
        <w:t xml:space="preserve"> par la Loi n°18</w:t>
      </w:r>
      <w:r w:rsidR="00EE1093">
        <w:rPr>
          <w:rFonts w:eastAsia="Folio Std Light" w:cs="Folio Std Light"/>
          <w:lang w:val="fr-FR"/>
        </w:rPr>
        <w:t>/001 du 9 mars 2018</w:t>
      </w:r>
      <w:r w:rsidRPr="0067713E">
        <w:rPr>
          <w:rFonts w:eastAsia="Folio Std Light" w:cs="Folio Std Light"/>
          <w:lang w:val="fr-FR"/>
        </w:rPr>
        <w:t xml:space="preserve">. </w:t>
      </w:r>
      <w:r w:rsidR="00EE1093">
        <w:rPr>
          <w:rFonts w:eastAsia="Folio Std Light" w:cs="Folio Std Light"/>
          <w:lang w:val="fr-FR"/>
        </w:rPr>
        <w:t>Le Code minier révisé</w:t>
      </w:r>
      <w:r w:rsidRPr="0067713E">
        <w:rPr>
          <w:rFonts w:eastAsia="Folio Std Light" w:cs="Folio Std Light"/>
          <w:lang w:val="fr-FR"/>
        </w:rPr>
        <w:t xml:space="preserve"> prévoit notamment en son article 5 l’interdiction pour les femmes enceintes de travailler d</w:t>
      </w:r>
      <w:r w:rsidR="00BE4990">
        <w:rPr>
          <w:rFonts w:eastAsia="Folio Std Light" w:cs="Folio Std Light"/>
          <w:lang w:val="fr-FR"/>
        </w:rPr>
        <w:t xml:space="preserve">ans les mines artisanales. Il prévoit aussi </w:t>
      </w:r>
      <w:r w:rsidRPr="0067713E">
        <w:rPr>
          <w:rFonts w:eastAsia="Folio Std Light" w:cs="Folio Std Light"/>
          <w:lang w:val="fr-FR"/>
        </w:rPr>
        <w:t>en son article 28, l’interdiction du commerce ou de l’exploitation de produits miniers en provenance d’un site où une contravention des droits humains, y compris des droits</w:t>
      </w:r>
      <w:r w:rsidR="00726D82">
        <w:rPr>
          <w:rFonts w:eastAsia="Folio Std Light" w:cs="Folio Std Light"/>
          <w:lang w:val="fr-FR"/>
        </w:rPr>
        <w:t xml:space="preserve"> de l’enfant ou de la femme</w:t>
      </w:r>
      <w:r w:rsidRPr="0067713E">
        <w:rPr>
          <w:rFonts w:eastAsia="Folio Std Light" w:cs="Folio Std Light"/>
          <w:lang w:val="fr-FR"/>
        </w:rPr>
        <w:t xml:space="preserve"> a été constatée par une autorité compétente</w:t>
      </w:r>
      <w:r w:rsidR="00BE4990">
        <w:rPr>
          <w:rFonts w:eastAsia="Folio Std Light" w:cs="Folio Std Light"/>
          <w:lang w:val="fr-FR"/>
        </w:rPr>
        <w:t xml:space="preserve"> et prévoit une amende journalière de 10'000 USD en cas de violation (art. 299 bis)</w:t>
      </w:r>
      <w:r w:rsidRPr="0067713E">
        <w:rPr>
          <w:rStyle w:val="FootnoteReference"/>
          <w:rFonts w:eastAsia="Folio Std Light" w:cs="Folio Std Light"/>
          <w:lang w:val="fr-FR"/>
        </w:rPr>
        <w:footnoteReference w:id="36"/>
      </w:r>
      <w:r w:rsidRPr="0067713E">
        <w:rPr>
          <w:rFonts w:eastAsia="Folio Std Light" w:cs="Folio Std Light"/>
          <w:lang w:val="fr-FR"/>
        </w:rPr>
        <w:t xml:space="preserve">. Les conditions de travail des femmes dans les mines artisanales, qui échappent encore largement au contrôle de l’Etat, demeurent cependant encore très préoccupantes. </w:t>
      </w:r>
    </w:p>
    <w:p w14:paraId="2F61DCD5" w14:textId="77777777" w:rsidR="00DB3989" w:rsidRPr="0067713E" w:rsidRDefault="00DB3989" w:rsidP="00DB3989">
      <w:pPr>
        <w:rPr>
          <w:rFonts w:eastAsia="Folio Std Light" w:cs="Folio Std Light"/>
          <w:lang w:val="fr-FR"/>
        </w:rPr>
      </w:pPr>
    </w:p>
    <w:p w14:paraId="78776CF3" w14:textId="64895497" w:rsidR="00DB3989" w:rsidRPr="0067713E" w:rsidRDefault="00DB3989" w:rsidP="00DB3989">
      <w:pPr>
        <w:rPr>
          <w:rFonts w:eastAsia="Folio Std Light" w:cs="Folio Std Light"/>
          <w:lang w:val="fr-FR"/>
        </w:rPr>
      </w:pPr>
      <w:r w:rsidRPr="0067713E">
        <w:rPr>
          <w:rFonts w:eastAsia="Folio Std Light" w:cs="Folio Std Light"/>
          <w:lang w:val="fr-FR"/>
        </w:rPr>
        <w:t>Plusieurs études indiquent la présence importante de femmes dans les mines artisanales notamment dans l’Est où elles représenteraient entre 40-50% de la main d’œuvre dans les mines d’or.</w:t>
      </w:r>
      <w:r w:rsidRPr="0067713E">
        <w:rPr>
          <w:rFonts w:eastAsia="Folio Std Light" w:cs="Folio Std Light"/>
          <w:vertAlign w:val="superscript"/>
          <w:lang w:val="fr-FR"/>
        </w:rPr>
        <w:footnoteReference w:id="37"/>
      </w:r>
      <w:r w:rsidRPr="0067713E">
        <w:rPr>
          <w:rFonts w:eastAsia="Folio Std Light" w:cs="Folio Std Light"/>
          <w:lang w:val="fr-FR"/>
        </w:rPr>
        <w:t xml:space="preserve"> Elles sont un rouage essentiel de l’exploitation minière artisanale; elles interviennent dans le lavage, le broyage et le tamisage, dans le commerce des biens et services, tels que la vente de nourriture aux mineurs, et sont aussi contraintes à la prostitution. Elles dépendent des revenus procurés par l’économie minière informelle pour soutenir leurs ménages. Pourtant</w:t>
      </w:r>
      <w:r w:rsidR="0018539E" w:rsidRPr="0067713E">
        <w:rPr>
          <w:rFonts w:eastAsia="Folio Std Light" w:cs="Folio Std Light"/>
          <w:lang w:val="fr-FR"/>
        </w:rPr>
        <w:t xml:space="preserve"> et tel que souligné par le Comité pour l’élimination de la discrimination à l’égard des femmes lors de son examen de juillet 2019 de la RDC</w:t>
      </w:r>
      <w:r w:rsidRPr="0067713E">
        <w:rPr>
          <w:rFonts w:eastAsia="Folio Std Light" w:cs="Folio Std Light"/>
          <w:lang w:val="fr-FR"/>
        </w:rPr>
        <w:t>, la participation des femmes dans le secteur artisanal, ainsi que les impacts de genre de l’exploitation minière artisanale ne sont pas pris en compte de manière adéquate dans les mesures de réglementation de ce secteur</w:t>
      </w:r>
      <w:r w:rsidR="0018539E" w:rsidRPr="0067713E">
        <w:rPr>
          <w:rStyle w:val="FootnoteReference"/>
          <w:rFonts w:eastAsia="Folio Std Light" w:cs="Folio Std Light"/>
          <w:lang w:val="fr-FR"/>
        </w:rPr>
        <w:footnoteReference w:id="38"/>
      </w:r>
      <w:r w:rsidRPr="0067713E">
        <w:rPr>
          <w:rFonts w:eastAsia="Folio Std Light" w:cs="Folio Std Light"/>
          <w:lang w:val="fr-FR"/>
        </w:rPr>
        <w:t>.</w:t>
      </w:r>
    </w:p>
    <w:p w14:paraId="189B96E6" w14:textId="77777777" w:rsidR="00DB3989" w:rsidRPr="0067713E" w:rsidRDefault="00DB3989" w:rsidP="00DB3989">
      <w:pPr>
        <w:rPr>
          <w:rFonts w:eastAsia="Folio Std Light" w:cs="Folio Std Light"/>
          <w:lang w:val="fr-FR"/>
        </w:rPr>
      </w:pPr>
    </w:p>
    <w:p w14:paraId="18F4817D" w14:textId="02491BD9" w:rsidR="00DB3989" w:rsidRPr="0067713E" w:rsidRDefault="00DB3989" w:rsidP="00DB3989">
      <w:pPr>
        <w:rPr>
          <w:rFonts w:eastAsia="Folio Std Light" w:cs="Folio Std Light"/>
          <w:lang w:val="fr-FR"/>
        </w:rPr>
      </w:pPr>
      <w:r w:rsidRPr="0067713E">
        <w:rPr>
          <w:rFonts w:eastAsia="Folio Std Light" w:cs="Folio Std Light"/>
          <w:lang w:val="fr-FR"/>
        </w:rPr>
        <w:t>L’étude de terrain menée par WILPF RDC en 2016</w:t>
      </w:r>
      <w:r w:rsidRPr="0067713E">
        <w:rPr>
          <w:rStyle w:val="FootnoteReference"/>
          <w:rFonts w:eastAsia="Folio Std Light" w:cs="Folio Std Light"/>
          <w:lang w:val="fr-FR"/>
        </w:rPr>
        <w:footnoteReference w:id="39"/>
      </w:r>
      <w:r w:rsidRPr="0067713E">
        <w:rPr>
          <w:rFonts w:eastAsia="Folio Std Light" w:cs="Folio Std Light"/>
          <w:lang w:val="fr-FR"/>
        </w:rPr>
        <w:t xml:space="preserve"> auprès de 122 femmes dans trois sites miniers artisanaux du Haut Katanga a mis en exergue notamment que:</w:t>
      </w:r>
    </w:p>
    <w:p w14:paraId="77186642" w14:textId="1A8742ED" w:rsidR="00DB3989" w:rsidRPr="0067713E" w:rsidRDefault="0054034A" w:rsidP="001256BE">
      <w:pPr>
        <w:pStyle w:val="BodyText"/>
        <w:numPr>
          <w:ilvl w:val="0"/>
          <w:numId w:val="36"/>
        </w:numPr>
        <w:ind w:left="709" w:hanging="283"/>
        <w:rPr>
          <w:lang w:val="fr-FR"/>
        </w:rPr>
      </w:pPr>
      <w:r w:rsidRPr="0067713E">
        <w:rPr>
          <w:lang w:val="fr-FR"/>
        </w:rPr>
        <w:t>La</w:t>
      </w:r>
      <w:r w:rsidR="00DB3989" w:rsidRPr="0067713E">
        <w:rPr>
          <w:lang w:val="fr-FR"/>
        </w:rPr>
        <w:t xml:space="preserve"> pauvreté et le chômage amènent les femmes à travailler dans les mines artisanales; </w:t>
      </w:r>
    </w:p>
    <w:p w14:paraId="7E17E79C" w14:textId="1344947D" w:rsidR="00DB3989" w:rsidRPr="0067713E" w:rsidRDefault="0054034A" w:rsidP="001256BE">
      <w:pPr>
        <w:pStyle w:val="BodyText"/>
        <w:numPr>
          <w:ilvl w:val="0"/>
          <w:numId w:val="36"/>
        </w:numPr>
        <w:ind w:left="709" w:hanging="283"/>
        <w:rPr>
          <w:lang w:val="fr-FR"/>
        </w:rPr>
      </w:pPr>
      <w:r w:rsidRPr="0067713E">
        <w:rPr>
          <w:lang w:val="fr-FR"/>
        </w:rPr>
        <w:t>Si</w:t>
      </w:r>
      <w:r w:rsidR="00DB3989" w:rsidRPr="0067713E">
        <w:rPr>
          <w:lang w:val="fr-FR"/>
        </w:rPr>
        <w:t xml:space="preserve"> d’autres moyens de subsistance lucratifs se présentaient, les femmes quitteraient les mines artisanales; </w:t>
      </w:r>
    </w:p>
    <w:p w14:paraId="761D52C4" w14:textId="7E171721" w:rsidR="00DB3989" w:rsidRPr="0067713E" w:rsidRDefault="0054034A" w:rsidP="001256BE">
      <w:pPr>
        <w:pStyle w:val="BodyText"/>
        <w:numPr>
          <w:ilvl w:val="0"/>
          <w:numId w:val="36"/>
        </w:numPr>
        <w:ind w:left="709" w:hanging="283"/>
        <w:rPr>
          <w:lang w:val="fr-FR"/>
        </w:rPr>
      </w:pPr>
      <w:r w:rsidRPr="0067713E">
        <w:rPr>
          <w:lang w:val="fr-FR"/>
        </w:rPr>
        <w:t>Du</w:t>
      </w:r>
      <w:r w:rsidR="00DB3989" w:rsidRPr="0067713E">
        <w:rPr>
          <w:lang w:val="fr-FR"/>
        </w:rPr>
        <w:t xml:space="preserve"> fait des croyances traditionnelles discriminatoires, les femmes sont reléguées à des tâches subalternes particulièrement toxiques, notamment à piler, trier et tamiser les minerais et les déchets</w:t>
      </w:r>
      <w:r w:rsidR="00AA5552" w:rsidRPr="0067713E">
        <w:rPr>
          <w:lang w:val="fr-FR"/>
        </w:rPr>
        <w:t xml:space="preserve"> et ce,</w:t>
      </w:r>
      <w:r w:rsidRPr="0067713E">
        <w:rPr>
          <w:lang w:val="fr-FR"/>
        </w:rPr>
        <w:t xml:space="preserve"> sans aucune protection</w:t>
      </w:r>
      <w:r w:rsidR="00DB3989" w:rsidRPr="0067713E">
        <w:rPr>
          <w:lang w:val="fr-FR"/>
        </w:rPr>
        <w:t xml:space="preserve">; </w:t>
      </w:r>
    </w:p>
    <w:p w14:paraId="5DFD1639" w14:textId="32A6FDCB" w:rsidR="00DB3989" w:rsidRPr="0067713E" w:rsidRDefault="0054034A" w:rsidP="001256BE">
      <w:pPr>
        <w:pStyle w:val="BodyText"/>
        <w:numPr>
          <w:ilvl w:val="0"/>
          <w:numId w:val="36"/>
        </w:numPr>
        <w:ind w:left="709" w:hanging="283"/>
        <w:rPr>
          <w:color w:val="FF0000"/>
          <w:lang w:val="fr-FR"/>
        </w:rPr>
      </w:pPr>
      <w:r w:rsidRPr="0067713E">
        <w:rPr>
          <w:lang w:val="fr-FR"/>
        </w:rPr>
        <w:t>De</w:t>
      </w:r>
      <w:r w:rsidR="00DB3989" w:rsidRPr="0067713E">
        <w:rPr>
          <w:lang w:val="fr-FR"/>
        </w:rPr>
        <w:t xml:space="preserve"> nombreuses femmes</w:t>
      </w:r>
      <w:r w:rsidR="008A39EF">
        <w:rPr>
          <w:lang w:val="fr-FR"/>
        </w:rPr>
        <w:t xml:space="preserve"> et filles</w:t>
      </w:r>
      <w:r w:rsidR="00DB3989" w:rsidRPr="0067713E">
        <w:rPr>
          <w:lang w:val="fr-FR"/>
        </w:rPr>
        <w:t xml:space="preserve"> souffrent de multiples formes de violences basées sur le genre et de violences sexuelles, dont le viol, le mariage forcé, la prostitution forcée et sont aussi plus exposées au VIH. Les jeunes filles sont aussi affectées par des grossesses précoces.</w:t>
      </w:r>
    </w:p>
    <w:p w14:paraId="514A6DA2" w14:textId="77777777" w:rsidR="00DB3989" w:rsidRPr="0067713E" w:rsidRDefault="00DB3989" w:rsidP="00DB3989">
      <w:pPr>
        <w:rPr>
          <w:rFonts w:eastAsia="Folio Std Light" w:cs="Folio Std Light"/>
          <w:u w:val="single"/>
          <w:lang w:val="fr-FR"/>
        </w:rPr>
      </w:pPr>
    </w:p>
    <w:p w14:paraId="2F5CD364" w14:textId="77777777" w:rsidR="00DB3989" w:rsidRPr="0067713E" w:rsidRDefault="00DB3989" w:rsidP="00DB3989">
      <w:pPr>
        <w:rPr>
          <w:rFonts w:eastAsia="Folio Std Light" w:cs="Folio Std Light"/>
          <w:lang w:val="fr-FR"/>
        </w:rPr>
      </w:pPr>
      <w:r w:rsidRPr="0067713E">
        <w:rPr>
          <w:rFonts w:eastAsia="Folio Std Light" w:cs="Folio Std Light"/>
          <w:lang w:val="fr-FR"/>
        </w:rPr>
        <w:t>Dans son rapport périodique, l’Etat indique avoir mis sur pied la Stratégie Nationale Sectorielle (2017-2025) de lutte contre le travail des enfants dans les mines artisanales et sur les sites miniers artisanaux, ainsi que le Plan d’Action Triennal (2017-2020). Cette stratégie nationale prévoit l’interdiction d’accès des personnes vulnérables, notamment des femmes enceintes et des enfants aux sites miniers. Aucune information spécifique n’est cependant fournie s’agissant des mesures pour lutter contre le travail des femmes et des filles dans le secteur minier artisanal et pour contrôler ces sites</w:t>
      </w:r>
      <w:r w:rsidRPr="0067713E">
        <w:rPr>
          <w:rStyle w:val="FootnoteReference"/>
          <w:rFonts w:eastAsia="Folio Std Light" w:cs="Folio Std Light"/>
          <w:lang w:val="fr-FR"/>
        </w:rPr>
        <w:footnoteReference w:id="40"/>
      </w:r>
      <w:r w:rsidRPr="0067713E">
        <w:rPr>
          <w:rFonts w:eastAsia="Folio Std Light" w:cs="Folio Std Light"/>
          <w:lang w:val="fr-FR"/>
        </w:rPr>
        <w:t xml:space="preserve">. </w:t>
      </w:r>
    </w:p>
    <w:p w14:paraId="3B20E658" w14:textId="77777777" w:rsidR="00DB3989" w:rsidRPr="0067713E" w:rsidRDefault="00DB3989" w:rsidP="00DB3989">
      <w:pPr>
        <w:pStyle w:val="Heading3"/>
        <w:rPr>
          <w:lang w:val="fr-FR"/>
        </w:rPr>
      </w:pPr>
      <w:bookmarkStart w:id="29" w:name="_Toc440186423"/>
      <w:r w:rsidRPr="0067713E">
        <w:rPr>
          <w:lang w:val="fr-FR"/>
        </w:rPr>
        <w:lastRenderedPageBreak/>
        <w:t>Questions:</w:t>
      </w:r>
      <w:bookmarkEnd w:id="29"/>
    </w:p>
    <w:p w14:paraId="7831999A" w14:textId="77777777" w:rsidR="00DB3989" w:rsidRPr="0067713E" w:rsidRDefault="00DB3989" w:rsidP="00DB3989">
      <w:pPr>
        <w:pStyle w:val="BodyText"/>
        <w:numPr>
          <w:ilvl w:val="0"/>
          <w:numId w:val="33"/>
        </w:numPr>
        <w:ind w:left="709" w:hanging="283"/>
        <w:rPr>
          <w:lang w:val="fr-FR"/>
        </w:rPr>
      </w:pPr>
      <w:r w:rsidRPr="0067713E">
        <w:rPr>
          <w:lang w:val="fr-FR"/>
        </w:rPr>
        <w:t xml:space="preserve">De quelles statistiques le gouvernement dispose-t-il s’agissant du nombre de sites de mines artisanales dans le pays et de la proportion de femmes et de filles travaillant dans ces exploitations? </w:t>
      </w:r>
    </w:p>
    <w:p w14:paraId="157E3250" w14:textId="4AABEF2F" w:rsidR="00DB3989" w:rsidRPr="0067713E" w:rsidRDefault="00DB3989" w:rsidP="00DB3989">
      <w:pPr>
        <w:pStyle w:val="BodyText"/>
        <w:numPr>
          <w:ilvl w:val="0"/>
          <w:numId w:val="33"/>
        </w:numPr>
        <w:ind w:left="709" w:hanging="283"/>
        <w:rPr>
          <w:lang w:val="fr-FR"/>
        </w:rPr>
      </w:pPr>
      <w:r w:rsidRPr="0067713E">
        <w:rPr>
          <w:lang w:val="fr-FR"/>
        </w:rPr>
        <w:t xml:space="preserve">De quelles manières le gouvernement contrôle-t-il l’application des articles 5 et 28 du Code minier? </w:t>
      </w:r>
    </w:p>
    <w:p w14:paraId="255CE9E7" w14:textId="024A59A4" w:rsidR="00DB3989" w:rsidRPr="0067713E" w:rsidRDefault="0067713E" w:rsidP="00DB3989">
      <w:pPr>
        <w:pStyle w:val="BodyText"/>
        <w:numPr>
          <w:ilvl w:val="0"/>
          <w:numId w:val="33"/>
        </w:numPr>
        <w:ind w:left="709" w:hanging="283"/>
        <w:rPr>
          <w:lang w:val="fr-FR"/>
        </w:rPr>
      </w:pPr>
      <w:r w:rsidRPr="0067713E">
        <w:rPr>
          <w:lang w:val="fr-FR"/>
        </w:rPr>
        <w:t>Comment les nouvelles dispositions du Code minier ont-elles été diffusées et expliquées aux femmes, notamment celles évoluant dans le secteur minier et d</w:t>
      </w:r>
      <w:r w:rsidR="00DB3989" w:rsidRPr="0067713E">
        <w:rPr>
          <w:lang w:val="fr-FR"/>
        </w:rPr>
        <w:t>e quelles manières le gouvernement consulte-t-il et implique t’il les organisations de femmes dans la mise en œuvre du Code minier et en particulier de ses articles 5 et 28 qui concernent directement les femmes?</w:t>
      </w:r>
    </w:p>
    <w:p w14:paraId="7885F74A" w14:textId="77777777" w:rsidR="00DB3989" w:rsidRPr="0067713E" w:rsidRDefault="00DB3989" w:rsidP="00DB3989">
      <w:pPr>
        <w:pStyle w:val="BodyText"/>
        <w:numPr>
          <w:ilvl w:val="0"/>
          <w:numId w:val="33"/>
        </w:numPr>
        <w:ind w:left="709" w:hanging="283"/>
        <w:rPr>
          <w:lang w:val="fr-FR"/>
        </w:rPr>
      </w:pPr>
      <w:r w:rsidRPr="0067713E">
        <w:rPr>
          <w:lang w:val="fr-FR"/>
        </w:rPr>
        <w:t>Quelles mesures sont envisagées pour assurer la protection des femmes enceintes interdites de travailler dans les mines artisanales pendant leur maternité selon l’article 5 du Code minier, afin d’éviter la perte totale de leur moyen de subsistance aggravant leur pauvreté et pour leur assurer une couverture sociale pendant leur maternité?</w:t>
      </w:r>
    </w:p>
    <w:p w14:paraId="466CD0D0" w14:textId="2AA517C1" w:rsidR="00DB3989" w:rsidRPr="0067713E" w:rsidRDefault="00DB3989" w:rsidP="00DB3989">
      <w:pPr>
        <w:pStyle w:val="BodyText"/>
        <w:numPr>
          <w:ilvl w:val="0"/>
          <w:numId w:val="33"/>
        </w:numPr>
        <w:ind w:left="709" w:hanging="283"/>
        <w:rPr>
          <w:lang w:val="fr-FR"/>
        </w:rPr>
      </w:pPr>
      <w:r w:rsidRPr="0067713E">
        <w:rPr>
          <w:lang w:val="fr-FR"/>
        </w:rPr>
        <w:t>Quelles sont les mes</w:t>
      </w:r>
      <w:r w:rsidR="00902F0E" w:rsidRPr="0067713E">
        <w:rPr>
          <w:lang w:val="fr-FR"/>
        </w:rPr>
        <w:t xml:space="preserve">ures prises par </w:t>
      </w:r>
      <w:r w:rsidRPr="0067713E">
        <w:rPr>
          <w:lang w:val="fr-FR"/>
        </w:rPr>
        <w:t>l’Etat pour éliminer toute pratique discriminatoire à l’égard des femmes dans les mines artisanales et pour encourager l’accès des femmes à la gestion et à l’administration des coopératives minières ?</w:t>
      </w:r>
    </w:p>
    <w:p w14:paraId="52C2C7F7" w14:textId="77777777" w:rsidR="00DB3989" w:rsidRPr="0067713E" w:rsidRDefault="00DB3989" w:rsidP="00DB3989">
      <w:pPr>
        <w:spacing w:after="160" w:line="276" w:lineRule="auto"/>
        <w:ind w:left="720"/>
        <w:contextualSpacing w:val="0"/>
        <w:rPr>
          <w:rFonts w:eastAsia="Folio Std Light" w:cs="Folio Std Light"/>
          <w:b/>
          <w:lang w:val="fr-FR"/>
        </w:rPr>
      </w:pPr>
    </w:p>
    <w:p w14:paraId="27D82507" w14:textId="0243A757" w:rsidR="005136C1" w:rsidRPr="0067713E" w:rsidRDefault="005136C1" w:rsidP="00DB3989">
      <w:pPr>
        <w:pStyle w:val="BodyText"/>
        <w:rPr>
          <w:lang w:val="fr-FR"/>
        </w:rPr>
      </w:pPr>
    </w:p>
    <w:sectPr w:rsidR="005136C1" w:rsidRPr="0067713E" w:rsidSect="00852523">
      <w:footnotePr>
        <w:pos w:val="beneathText"/>
      </w:footnotePr>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203F51" w14:textId="77777777" w:rsidR="00726A93" w:rsidRDefault="00726A93">
      <w:pPr>
        <w:spacing w:line="240" w:lineRule="auto"/>
      </w:pPr>
      <w:r>
        <w:separator/>
      </w:r>
    </w:p>
    <w:p w14:paraId="1229B20A" w14:textId="77777777" w:rsidR="00726A93" w:rsidRDefault="00726A93"/>
  </w:endnote>
  <w:endnote w:type="continuationSeparator" w:id="0">
    <w:p w14:paraId="65C0BC0C" w14:textId="77777777" w:rsidR="00726A93" w:rsidRDefault="00726A93">
      <w:pPr>
        <w:spacing w:line="240" w:lineRule="auto"/>
      </w:pPr>
      <w:r>
        <w:continuationSeparator/>
      </w:r>
    </w:p>
    <w:p w14:paraId="2DFAFAF7" w14:textId="77777777" w:rsidR="00726A93" w:rsidRDefault="00726A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Franklin Gothic Book">
    <w:panose1 w:val="020B0503020102020204"/>
    <w:charset w:val="00"/>
    <w:family w:val="auto"/>
    <w:pitch w:val="variable"/>
    <w:sig w:usb0="00000287" w:usb1="00000000" w:usb2="00000000" w:usb3="00000000" w:csb0="0000009F" w:csb1="00000000"/>
  </w:font>
  <w:font w:name="Franklin Gothic Demi">
    <w:altName w:val="Seravek Medium"/>
    <w:charset w:val="00"/>
    <w:family w:val="swiss"/>
    <w:pitch w:val="variable"/>
    <w:sig w:usb0="00000287" w:usb1="00000000" w:usb2="00000000" w:usb3="00000000" w:csb0="0000009F" w:csb1="00000000"/>
  </w:font>
  <w:font w:name="Franklin Gothic Medium">
    <w:panose1 w:val="020B06030201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ordia New">
    <w:panose1 w:val="00000000000000000000"/>
    <w:charset w:val="DE"/>
    <w:family w:val="roman"/>
    <w:notTrueType/>
    <w:pitch w:val="variable"/>
    <w:sig w:usb0="01000001" w:usb1="00000000" w:usb2="00000000" w:usb3="00000000" w:csb0="00010000" w:csb1="00000000"/>
  </w:font>
  <w:font w:name="Palatino-Roman">
    <w:altName w:val="Palatino"/>
    <w:panose1 w:val="00000000000000000000"/>
    <w:charset w:val="00"/>
    <w:family w:val="swiss"/>
    <w:notTrueType/>
    <w:pitch w:val="default"/>
    <w:sig w:usb0="00000003" w:usb1="00000000" w:usb2="00000000" w:usb3="00000000" w:csb0="00000001" w:csb1="00000000"/>
  </w:font>
  <w:font w:name="MS Mincho">
    <w:altName w:val="ＭＳ 明朝"/>
    <w:panose1 w:val="00000000000000000000"/>
    <w:charset w:val="80"/>
    <w:family w:val="roman"/>
    <w:notTrueType/>
    <w:pitch w:val="fixed"/>
    <w:sig w:usb0="00000001" w:usb1="08070000" w:usb2="00000010" w:usb3="00000000" w:csb0="00020000" w:csb1="00000000"/>
  </w:font>
  <w:font w:name="Folio Std Light">
    <w:panose1 w:val="020B0403030502020204"/>
    <w:charset w:val="00"/>
    <w:family w:val="auto"/>
    <w:pitch w:val="variable"/>
    <w:sig w:usb0="800000AF" w:usb1="4000204A" w:usb2="00000000" w:usb3="00000000" w:csb0="00000001" w:csb1="00000000"/>
  </w:font>
  <w:font w:name="Folio Std Medium">
    <w:panose1 w:val="020B0603030502020204"/>
    <w:charset w:val="00"/>
    <w:family w:val="auto"/>
    <w:pitch w:val="variable"/>
    <w:sig w:usb0="800000AF" w:usb1="4000204A"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147021161"/>
      <w:docPartObj>
        <w:docPartGallery w:val="Page Numbers (Bottom of Page)"/>
        <w:docPartUnique/>
      </w:docPartObj>
    </w:sdtPr>
    <w:sdtEndPr>
      <w:rPr>
        <w:rStyle w:val="PageNumber"/>
      </w:rPr>
    </w:sdtEndPr>
    <w:sdtContent>
      <w:p w14:paraId="05F79A77" w14:textId="6083582C" w:rsidR="00726A93" w:rsidRDefault="00726A93" w:rsidP="0085252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CF1223" w14:textId="77777777" w:rsidR="00726A93" w:rsidRDefault="00726A93" w:rsidP="00C10B1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908BF" w14:textId="6B6E89D5" w:rsidR="00726A93" w:rsidRDefault="00726A93" w:rsidP="00C10B1E">
    <w:pPr>
      <w:pStyle w:val="Footer"/>
      <w:framePr w:wrap="none" w:vAnchor="text" w:hAnchor="margin" w:xAlign="right" w:y="1"/>
      <w:rPr>
        <w:rStyle w:val="PageNumber"/>
      </w:rPr>
    </w:pPr>
  </w:p>
  <w:p w14:paraId="591626EA" w14:textId="77777777" w:rsidR="00726A93" w:rsidRDefault="00726A93" w:rsidP="00C10B1E">
    <w:pPr>
      <w:ind w:right="360"/>
    </w:pPr>
  </w:p>
  <w:sdt>
    <w:sdtPr>
      <w:rPr>
        <w:rStyle w:val="PageNumber"/>
      </w:rPr>
      <w:id w:val="52587412"/>
      <w:docPartObj>
        <w:docPartGallery w:val="Page Numbers (Bottom of Page)"/>
        <w:docPartUnique/>
      </w:docPartObj>
    </w:sdtPr>
    <w:sdtEndPr>
      <w:rPr>
        <w:rStyle w:val="PageNumber"/>
      </w:rPr>
    </w:sdtEndPr>
    <w:sdtContent>
      <w:p w14:paraId="11727C11" w14:textId="6923D7FC" w:rsidR="00726A93" w:rsidRDefault="00726A93" w:rsidP="00FF41DD">
        <w:pPr>
          <w:pStyle w:val="Footer"/>
          <w:framePr w:wrap="none" w:vAnchor="text" w:hAnchor="margin" w:xAlign="center" w:y="118"/>
          <w:rPr>
            <w:rStyle w:val="PageNumber"/>
          </w:rPr>
        </w:pPr>
        <w:r>
          <w:rPr>
            <w:rStyle w:val="PageNumber"/>
          </w:rPr>
          <w:fldChar w:fldCharType="begin"/>
        </w:r>
        <w:r>
          <w:rPr>
            <w:rStyle w:val="PageNumber"/>
          </w:rPr>
          <w:instrText xml:space="preserve"> PAGE </w:instrText>
        </w:r>
        <w:r>
          <w:rPr>
            <w:rStyle w:val="PageNumber"/>
          </w:rPr>
          <w:fldChar w:fldCharType="separate"/>
        </w:r>
        <w:r w:rsidR="00356055">
          <w:rPr>
            <w:rStyle w:val="PageNumber"/>
            <w:noProof/>
          </w:rPr>
          <w:t>1</w:t>
        </w:r>
        <w:r>
          <w:rPr>
            <w:rStyle w:val="PageNumber"/>
          </w:rPr>
          <w:fldChar w:fldCharType="end"/>
        </w:r>
      </w:p>
    </w:sdtContent>
  </w:sdt>
  <w:p w14:paraId="29604A69" w14:textId="77777777" w:rsidR="00726A93" w:rsidRDefault="00726A93"/>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F58E8B" w14:textId="77777777" w:rsidR="00726A93" w:rsidRDefault="00726A93">
      <w:pPr>
        <w:spacing w:line="240" w:lineRule="auto"/>
      </w:pPr>
      <w:r>
        <w:separator/>
      </w:r>
    </w:p>
    <w:p w14:paraId="506A6ED2" w14:textId="77777777" w:rsidR="00726A93" w:rsidRDefault="00726A93"/>
  </w:footnote>
  <w:footnote w:type="continuationSeparator" w:id="0">
    <w:p w14:paraId="55DBFA25" w14:textId="77777777" w:rsidR="00726A93" w:rsidRDefault="00726A93">
      <w:pPr>
        <w:spacing w:line="240" w:lineRule="auto"/>
      </w:pPr>
      <w:r>
        <w:continuationSeparator/>
      </w:r>
    </w:p>
    <w:p w14:paraId="73183807" w14:textId="77777777" w:rsidR="00726A93" w:rsidRDefault="00726A93"/>
  </w:footnote>
  <w:footnote w:id="1">
    <w:p w14:paraId="1885B5F6" w14:textId="77777777" w:rsidR="00726A93" w:rsidRPr="006B7308" w:rsidRDefault="00726A93" w:rsidP="001554C5">
      <w:pPr>
        <w:pStyle w:val="FootnoteText"/>
      </w:pPr>
      <w:r>
        <w:rPr>
          <w:rStyle w:val="FootnoteReference"/>
        </w:rPr>
        <w:footnoteRef/>
      </w:r>
      <w:r>
        <w:t xml:space="preserve"> Comité des droits économiques, sociaux et culturels, Quarante-troisième session,</w:t>
      </w:r>
      <w:r w:rsidRPr="00AB5790">
        <w:rPr>
          <w:rFonts w:ascii="Times New Roman" w:eastAsia="Times New Roman" w:hAnsi="Times New Roman" w:cs="Times New Roman"/>
          <w:b/>
          <w:sz w:val="24"/>
          <w:lang w:val="fr-CH"/>
        </w:rPr>
        <w:t xml:space="preserve"> </w:t>
      </w:r>
      <w:r w:rsidRPr="00AB5790">
        <w:rPr>
          <w:lang w:val="fr-CH"/>
        </w:rPr>
        <w:t xml:space="preserve">Observations finales, </w:t>
      </w:r>
      <w:r w:rsidRPr="001F495B">
        <w:rPr>
          <w:lang w:val="fr-CH"/>
        </w:rPr>
        <w:t>16 décembre 2009</w:t>
      </w:r>
      <w:r>
        <w:rPr>
          <w:lang w:val="fr-CH"/>
        </w:rPr>
        <w:t xml:space="preserve">, para 25, disponible sur : </w:t>
      </w:r>
      <w:hyperlink r:id="rId1" w:history="1">
        <w:r w:rsidRPr="006B7308">
          <w:rPr>
            <w:rStyle w:val="Hyperlink"/>
          </w:rPr>
          <w:t>https://tbinternet.ohchr.org/_layouts/15/treatybodyexternal/Download.aspx?symbolno=E%2fC.12%2fCOD%2fCO%2f4&amp;Lang=fr</w:t>
        </w:r>
      </w:hyperlink>
    </w:p>
  </w:footnote>
  <w:footnote w:id="2">
    <w:p w14:paraId="5CA266D2" w14:textId="77777777" w:rsidR="00726A93" w:rsidRDefault="00726A93" w:rsidP="001554C5">
      <w:pPr>
        <w:pStyle w:val="FootnoteText"/>
      </w:pPr>
      <w:r>
        <w:rPr>
          <w:rStyle w:val="FootnoteReference"/>
        </w:rPr>
        <w:footnoteRef/>
      </w:r>
      <w:r>
        <w:t xml:space="preserve"> </w:t>
      </w:r>
      <w:r w:rsidRPr="00A55CBA">
        <w:t>Rapport du Groupe de travail sur l’Examen périodique universel, République démocratique du C</w:t>
      </w:r>
      <w:r>
        <w:t xml:space="preserve">ongo, A/HRC/42/5, 5 juillet 2019, recommandations 119.89 (Sénégal), 119.198 (Liechtenstein), 119.199 (Indonésie), 119.209 (Australie), 119.211 (Géorgie), 119.212 (Italie), 119.213 (Pays-Bas), 119.214 (Tunisie), disponible à : </w:t>
      </w:r>
      <w:hyperlink r:id="rId2" w:history="1">
        <w:r>
          <w:rPr>
            <w:rStyle w:val="Hyperlink"/>
            <w:rFonts w:eastAsia="Times New Roman" w:cs="Times New Roman"/>
          </w:rPr>
          <w:t>https://documents-dds-ny.un.org/doc/UNDOC/GEN/G19/205/63/PDF/G1920563.pdf?OpenElement</w:t>
        </w:r>
      </w:hyperlink>
      <w:r>
        <w:rPr>
          <w:rFonts w:eastAsia="Times New Roman" w:cs="Times New Roman"/>
        </w:rPr>
        <w:t xml:space="preserve">; </w:t>
      </w:r>
      <w:r w:rsidRPr="00A55CBA">
        <w:t>Rapport du Groupe de travail sur l’Examen périodique universel, République démocratique du Congo, A/HRC/27/5, 7 juillet 2014, recommandations 133.11 (Philippines), 133.17 (Lituanie), 134.21 (Pays-Bas), 134.57 (Namibie), 134.61 (Soudan), 134.63 (Togo), 134.70 (Costa Rica), disponible sur : https://documents-dds-ny.un.org/doc/UNDOC/GEN/G14/075/48/PDF/ G1407548.pdf?OpenElement ; Rapport du Groupe de travail sur l’Examen périodique universel, République démocratique du Congo, A/HRC/13/8, 4 janvier 2010, recommandations 35 (Allemagne), 37 (Afrique du Sud), 40 (Autriche), 41 (Argentine), 42 (Burkina Faso), 81 (Angola), disponible sur : https://lib.ohchr.org/HRBodies/UPR/Documents/Session6/ CD/A_HRC_13_8_COD_F.pdf; Recommandations 6.209 (Australie), 6. 211 (Géorgie), 6.212 (Italie), 6.213 (Pays-Bas), 6.214 (Tunisie), A/HRC/WG.6/33/L.2, 9 Mai 2019;</w:t>
      </w:r>
    </w:p>
  </w:footnote>
  <w:footnote w:id="3">
    <w:p w14:paraId="5D4F78EE" w14:textId="77777777" w:rsidR="00726A93" w:rsidRDefault="00726A93" w:rsidP="001554C5">
      <w:pPr>
        <w:pStyle w:val="FootnoteText"/>
      </w:pPr>
      <w:r>
        <w:rPr>
          <w:rStyle w:val="FootnoteReference"/>
        </w:rPr>
        <w:footnoteRef/>
      </w:r>
      <w:r>
        <w:t xml:space="preserve"> </w:t>
      </w:r>
      <w:r w:rsidRPr="001256BE">
        <w:t xml:space="preserve">Comité pour l’élimination de la discrimination à l’égard des femmes, Observations finales concernant le huitième rapport périodique de la République démocratique du Congo, 6 août 2019, para 27, disponible sur : </w:t>
      </w:r>
      <w:hyperlink r:id="rId3" w:history="1">
        <w:r w:rsidRPr="001256BE">
          <w:t>https://tbinternet.ohchr.org/_layouts/15/treatybodyexternal/Download.aspx?symbolno=CEDAW%2fC%2fCOD%2fCO%2f8&amp;Lang=fr</w:t>
        </w:r>
      </w:hyperlink>
    </w:p>
  </w:footnote>
  <w:footnote w:id="4">
    <w:p w14:paraId="4CDF18DA" w14:textId="77777777" w:rsidR="00726A93" w:rsidRPr="008F7392" w:rsidRDefault="00726A93" w:rsidP="001554C5">
      <w:pPr>
        <w:pStyle w:val="FootnoteText"/>
        <w:rPr>
          <w:lang w:val="en-US"/>
        </w:rPr>
      </w:pPr>
      <w:r>
        <w:rPr>
          <w:rStyle w:val="FootnoteReference"/>
        </w:rPr>
        <w:footnoteRef/>
      </w:r>
      <w:r>
        <w:t xml:space="preserve"> </w:t>
      </w:r>
      <w:r w:rsidRPr="00157DAB">
        <w:t>Observations Finales concernant le 4ième Rapport périodique de la République Démocratique du Congo, Comité des droits de l’homme, 30 novembre 2017, para. 18, CCPR/C/COD/CO/4, disponible sur : https://tbinternet.ohchr.org/_layouts/</w:t>
      </w:r>
    </w:p>
  </w:footnote>
  <w:footnote w:id="5">
    <w:p w14:paraId="25C94D98" w14:textId="77777777" w:rsidR="00726A93" w:rsidRPr="006B7308" w:rsidRDefault="00726A93" w:rsidP="001554C5">
      <w:pPr>
        <w:pStyle w:val="FootnoteText"/>
        <w:rPr>
          <w:rFonts w:eastAsia="Times New Roman" w:cs="Times New Roman"/>
        </w:rPr>
      </w:pPr>
      <w:r>
        <w:rPr>
          <w:rStyle w:val="FootnoteReference"/>
        </w:rPr>
        <w:footnoteRef/>
      </w:r>
      <w:r>
        <w:t xml:space="preserve"> </w:t>
      </w:r>
      <w:r w:rsidRPr="00A5389B">
        <w:t xml:space="preserve">Comité des droits économiques, sociaux et culturels, Sixième rapport périodique soumis par la République démocratique du </w:t>
      </w:r>
      <w:r>
        <w:t xml:space="preserve">Congo, 30 octobre 2019, para 65, disponible sur : </w:t>
      </w:r>
      <w:hyperlink r:id="rId4" w:history="1">
        <w:r>
          <w:rPr>
            <w:rStyle w:val="Hyperlink"/>
            <w:rFonts w:eastAsia="Times New Roman" w:cs="Times New Roman"/>
          </w:rPr>
          <w:t>https://tbinternet.ohchr.org/_layouts/15/treatybodyexternal/Download.aspx?symbolno=E%2fC.12%2fCOD%2fCO%2f4&amp;Lang=fr</w:t>
        </w:r>
      </w:hyperlink>
    </w:p>
  </w:footnote>
  <w:footnote w:id="6">
    <w:p w14:paraId="3EACD7F1" w14:textId="77777777" w:rsidR="00726A93" w:rsidRDefault="00726A93" w:rsidP="00B27C64">
      <w:pPr>
        <w:pStyle w:val="FootnoteText"/>
      </w:pPr>
      <w:r>
        <w:rPr>
          <w:rStyle w:val="FootnoteReference"/>
        </w:rPr>
        <w:footnoteRef/>
      </w:r>
      <w:r>
        <w:t xml:space="preserve"> </w:t>
      </w:r>
      <w:r w:rsidRPr="004252D6">
        <w:t>http://www.rfi.fr/afrique/20190427-rdc-masisi-insecurite-deplacements-viols-msf-denonce-benoit-vasseur</w:t>
      </w:r>
    </w:p>
  </w:footnote>
  <w:footnote w:id="7">
    <w:p w14:paraId="07E51949" w14:textId="77777777" w:rsidR="00726A93" w:rsidRPr="00B6469A" w:rsidRDefault="00726A93" w:rsidP="00B27C64">
      <w:pPr>
        <w:pStyle w:val="FootnoteText"/>
        <w:rPr>
          <w:rFonts w:eastAsia="Times New Roman" w:cs="Times New Roman"/>
        </w:rPr>
      </w:pPr>
      <w:r>
        <w:rPr>
          <w:rStyle w:val="FootnoteReference"/>
        </w:rPr>
        <w:footnoteRef/>
      </w:r>
      <w:r>
        <w:t xml:space="preserve"> </w:t>
      </w:r>
      <w:r>
        <w:rPr>
          <w:rFonts w:eastAsia="Times New Roman" w:cs="Times New Roman"/>
        </w:rPr>
        <w:t>Idem</w:t>
      </w:r>
      <w:r w:rsidRPr="00B6469A">
        <w:rPr>
          <w:rFonts w:eastAsia="Times New Roman" w:cs="Times New Roman"/>
        </w:rPr>
        <w:t xml:space="preserve"> </w:t>
      </w:r>
    </w:p>
  </w:footnote>
  <w:footnote w:id="8">
    <w:p w14:paraId="7B07CC19" w14:textId="77777777" w:rsidR="00726A93" w:rsidRPr="00B6469A" w:rsidRDefault="00726A93" w:rsidP="00B27C64">
      <w:pPr>
        <w:pStyle w:val="FootnoteText"/>
      </w:pPr>
      <w:r>
        <w:rPr>
          <w:rStyle w:val="FootnoteReference"/>
        </w:rPr>
        <w:footnoteRef/>
      </w:r>
      <w:r>
        <w:t xml:space="preserve"> Comité pour l’élimination de la discrimination à l’égard des femmes</w:t>
      </w:r>
      <w:r w:rsidRPr="00B6469A">
        <w:t>, Observations finales concernant le rapport unique valant 6ième et 7ième rapports périodiques de la République démocratique du Congo, CEDAW/C/COD/CO/67, 30 juillet 2013, para. 10h, disponible sur https://tbinternet.ohchr.org/_ layouts/treatybodyexternal/Download.aspx?symbolno=CEDAW%2fC%2fCOD%2fCO%2f6-7&amp;Lang=en</w:t>
      </w:r>
      <w:r>
        <w:t xml:space="preserve"> ; </w:t>
      </w:r>
      <w:r w:rsidRPr="00B6469A">
        <w:t>CEDEF, Observations finales concernant le rapport unique valant 6ième et 7ième rapports périodiques de la République démocrat</w:t>
      </w:r>
      <w:r>
        <w:t>ique du Congo, CEDAW/C/COD/CO/8, 6 août 2019, para. 13</w:t>
      </w:r>
      <w:r w:rsidRPr="00B6469A">
        <w:t>, disponible sur</w:t>
      </w:r>
      <w:r>
        <w:t xml:space="preserve"> : </w:t>
      </w:r>
      <w:hyperlink r:id="rId5" w:history="1">
        <w:r w:rsidRPr="00E0090A">
          <w:t>https://tbinternet.ohchr.org/_layouts/15/treatybodyexternal/Download.aspx?symbolno=CEDAW%2fC%2fCOD%2fCO%2f8&amp;Lang=fr</w:t>
        </w:r>
      </w:hyperlink>
    </w:p>
  </w:footnote>
  <w:footnote w:id="9">
    <w:p w14:paraId="752DDF54" w14:textId="77777777" w:rsidR="00726A93" w:rsidRPr="00B6469A" w:rsidRDefault="00726A93" w:rsidP="00B27C64">
      <w:pPr>
        <w:pStyle w:val="FootnoteText"/>
      </w:pPr>
      <w:r>
        <w:rPr>
          <w:rStyle w:val="FootnoteReference"/>
        </w:rPr>
        <w:footnoteRef/>
      </w:r>
      <w:r>
        <w:t xml:space="preserve"> </w:t>
      </w:r>
      <w:r w:rsidRPr="00B6469A">
        <w:t>Plan d’Action National de contrôle et de gestion des armes légères et de petit calibre en RDC 2012-2016, Ministère de l’Intérieur, juillet 2011, para. 3.1, disponible en français sur : https://www.reseau-rafal.org/sites/reseau-rafal.org/files/ document/externes/Plan%20d%27action%20national%20ALPC%202012-2016.pdf</w:t>
      </w:r>
    </w:p>
  </w:footnote>
  <w:footnote w:id="10">
    <w:p w14:paraId="7BDD8A48" w14:textId="77777777" w:rsidR="00726A93" w:rsidRPr="00592F2A" w:rsidRDefault="00726A93" w:rsidP="00B27C64">
      <w:pPr>
        <w:pStyle w:val="FootnoteText"/>
      </w:pPr>
      <w:r>
        <w:rPr>
          <w:rStyle w:val="FootnoteReference"/>
        </w:rPr>
        <w:footnoteRef/>
      </w:r>
      <w:r>
        <w:t xml:space="preserve"> </w:t>
      </w:r>
      <w:r w:rsidRPr="00B6469A">
        <w:t>http://cd.one.un.org/content/unct/rdc/fr/home/actualites/elaboration-d_un-nouveau-plan-daction-national-pourla-gestion-e.html ; https://www.radiookapi.net/2019/05/28/actualite/securite/unsac-la-rdc-invite-les-participants examiner-les-moyens-de-lutter</w:t>
      </w:r>
    </w:p>
  </w:footnote>
  <w:footnote w:id="11">
    <w:p w14:paraId="7D0ED43A" w14:textId="77777777" w:rsidR="00726A93" w:rsidRPr="006E2C6A" w:rsidRDefault="00726A93" w:rsidP="00B27C64">
      <w:pPr>
        <w:pStyle w:val="FootnoteText"/>
        <w:rPr>
          <w:rFonts w:eastAsia="Times New Roman" w:cs="Times New Roman"/>
        </w:rPr>
      </w:pPr>
      <w:r>
        <w:rPr>
          <w:rStyle w:val="FootnoteReference"/>
        </w:rPr>
        <w:footnoteRef/>
      </w:r>
      <w:r>
        <w:t xml:space="preserve"> </w:t>
      </w:r>
      <w:r w:rsidRPr="00A55CBA">
        <w:t>Rapport du Groupe de travail sur l’Examen périodique universel, République démocratique du C</w:t>
      </w:r>
      <w:r>
        <w:t>ongo, A/HRC/42/5, 5 juillet 2019, recommandations 119</w:t>
      </w:r>
      <w:r w:rsidRPr="00A55CBA">
        <w:t>.1</w:t>
      </w:r>
      <w:r>
        <w:t xml:space="preserve">23, disponible à : </w:t>
      </w:r>
      <w:hyperlink r:id="rId6" w:history="1">
        <w:r>
          <w:rPr>
            <w:rStyle w:val="Hyperlink"/>
            <w:rFonts w:eastAsia="Times New Roman" w:cs="Times New Roman"/>
          </w:rPr>
          <w:t>https://documents-dds-ny.un.org/doc/UNDOC/GEN/G19/205/63/PDF/G1920563.pdf?OpenElement</w:t>
        </w:r>
      </w:hyperlink>
    </w:p>
  </w:footnote>
  <w:footnote w:id="12">
    <w:p w14:paraId="3CF0C0D0" w14:textId="77777777" w:rsidR="00726A93" w:rsidRPr="00A45A19" w:rsidRDefault="00726A93" w:rsidP="00B27C64">
      <w:pPr>
        <w:pStyle w:val="FootnoteText"/>
        <w:rPr>
          <w:rFonts w:eastAsia="Times New Roman" w:cs="Times New Roman"/>
        </w:rPr>
      </w:pPr>
      <w:r>
        <w:rPr>
          <w:rStyle w:val="FootnoteReference"/>
        </w:rPr>
        <w:footnoteRef/>
      </w:r>
      <w:r>
        <w:t xml:space="preserve"> </w:t>
      </w:r>
      <w:hyperlink r:id="rId7" w:history="1">
        <w:r>
          <w:rPr>
            <w:rStyle w:val="Hyperlink"/>
            <w:rFonts w:eastAsia="Times New Roman" w:cs="Times New Roman"/>
          </w:rPr>
          <w:t>https://www.digitalcongo.net/article/5bf7e8b1f95d87000454b8ad/</w:t>
        </w:r>
      </w:hyperlink>
    </w:p>
  </w:footnote>
  <w:footnote w:id="13">
    <w:p w14:paraId="7B21BC42" w14:textId="77777777" w:rsidR="00726A93" w:rsidRPr="00A45A19" w:rsidRDefault="00726A93" w:rsidP="00B27C64">
      <w:pPr>
        <w:pStyle w:val="FootnoteText"/>
      </w:pPr>
      <w:r>
        <w:rPr>
          <w:rStyle w:val="FootnoteReference"/>
        </w:rPr>
        <w:footnoteRef/>
      </w:r>
      <w:r>
        <w:t xml:space="preserve"> </w:t>
      </w:r>
      <w:r w:rsidRPr="00BB591F">
        <w:t>Ministère de l’Intérieur et Sécurité, Commission Nationale de Contrôle des Armes Légères et de Petit Calibre et de Réduction de la Violence Armée « CNC – ALPC », Plan d’Action National de contrôle et de gestion des armes légères et de petit calibre en RDC, 2018-2022</w:t>
      </w:r>
    </w:p>
  </w:footnote>
  <w:footnote w:id="14">
    <w:p w14:paraId="584021DE" w14:textId="77777777" w:rsidR="00726A93" w:rsidRPr="006E2C6A" w:rsidRDefault="00726A93" w:rsidP="00B27C64">
      <w:pPr>
        <w:pStyle w:val="FootnoteText"/>
        <w:rPr>
          <w:lang w:val="en-US"/>
        </w:rPr>
      </w:pPr>
      <w:r>
        <w:rPr>
          <w:rStyle w:val="FootnoteReference"/>
        </w:rPr>
        <w:footnoteRef/>
      </w:r>
      <w:r>
        <w:t xml:space="preserve"> Comité pour l’élimination de la discrimination à l’égard des femmes</w:t>
      </w:r>
      <w:r w:rsidRPr="00B6469A">
        <w:t>, Observations finales concernant le rapport unique valant 6ième et 7ième rapports périodiques de la République démocrat</w:t>
      </w:r>
      <w:r>
        <w:t>ique du Congo, CEDAW/C/COD/CO/8, 6 août 2019, para. 13 b)</w:t>
      </w:r>
      <w:r w:rsidRPr="00B6469A">
        <w:t>, disponible sur</w:t>
      </w:r>
      <w:r>
        <w:t xml:space="preserve"> : </w:t>
      </w:r>
      <w:hyperlink r:id="rId8" w:history="1">
        <w:r w:rsidRPr="00063900">
          <w:t>https://tbinternet.ohchr.org/_layouts/15/treatybodyexternal/Download.aspx?symbolno=CEDAW%2fC%2fCOD%2fCO%2f8&amp;Lang=fr</w:t>
        </w:r>
      </w:hyperlink>
    </w:p>
  </w:footnote>
  <w:footnote w:id="15">
    <w:p w14:paraId="5030AEF9" w14:textId="77777777" w:rsidR="00726A93" w:rsidRDefault="00726A93" w:rsidP="00232CDB">
      <w:pPr>
        <w:pStyle w:val="FootnoteText"/>
      </w:pPr>
      <w:r>
        <w:rPr>
          <w:rStyle w:val="FootnoteReference"/>
        </w:rPr>
        <w:footnoteRef/>
      </w:r>
      <w:r>
        <w:t xml:space="preserve"> </w:t>
      </w:r>
      <w:r w:rsidRPr="001F495B">
        <w:t>Comité des droits économiques, sociaux et culturels, Quarante-troisième session, Observations finales, 16 décembre 2009</w:t>
      </w:r>
      <w:r>
        <w:t xml:space="preserve">, para 20, disponible sur : </w:t>
      </w:r>
      <w:hyperlink r:id="rId9" w:history="1">
        <w:r w:rsidRPr="00854B5C">
          <w:rPr>
            <w:rStyle w:val="Hyperlink"/>
          </w:rPr>
          <w:t>https://tbinternet.ohchr.org/_layouts/15/treatybodyexternal/Download.aspx?symbolno=E%2fC.12%2fCOD%2fCO%2f4&amp;Lang=fr</w:t>
        </w:r>
      </w:hyperlink>
    </w:p>
  </w:footnote>
  <w:footnote w:id="16">
    <w:p w14:paraId="76B5701A" w14:textId="77777777" w:rsidR="00726A93" w:rsidRPr="00FA024C" w:rsidRDefault="00726A93" w:rsidP="00232CDB">
      <w:pPr>
        <w:pStyle w:val="FootnoteText"/>
      </w:pPr>
      <w:r>
        <w:rPr>
          <w:rStyle w:val="FootnoteReference"/>
        </w:rPr>
        <w:footnoteRef/>
      </w:r>
      <w:r>
        <w:t xml:space="preserve"> </w:t>
      </w:r>
      <w:r w:rsidRPr="00FA024C">
        <w:t>Voir par exemple, recommandations 6.126 (Albanie), 6.217 (Algérie), 6.219 (Bulgarie), 6.220 (Costa Rica), 6.221 (Djibouti), 6.222 (Égypte), 6.223 (Éthiopie), 6.224 (France), 6.225 (Gabon), 6.226 (Haïti), 6.228 (Allemagne), 6.229 (Myanmar), 6.230 (Namibie), 6.231 (Serbie), 6.232 (Ouganda), A/HRC/WG.6/33/L.2, 9 Mai 2019</w:t>
      </w:r>
    </w:p>
  </w:footnote>
  <w:footnote w:id="17">
    <w:p w14:paraId="299A99FF" w14:textId="77777777" w:rsidR="00726A93" w:rsidRDefault="00726A93" w:rsidP="00232CDB">
      <w:pPr>
        <w:pStyle w:val="FootnoteText"/>
      </w:pPr>
      <w:r>
        <w:rPr>
          <w:rStyle w:val="FootnoteReference"/>
        </w:rPr>
        <w:footnoteRef/>
      </w:r>
      <w:r>
        <w:t xml:space="preserve"> </w:t>
      </w:r>
      <w:r w:rsidRPr="00592E3E">
        <w:t>https://data.ipu.org/node/47/data-on-women?chamber_id=13568</w:t>
      </w:r>
    </w:p>
  </w:footnote>
  <w:footnote w:id="18">
    <w:p w14:paraId="2B128B8D" w14:textId="77777777" w:rsidR="00726A93" w:rsidRPr="005E2C17" w:rsidRDefault="00726A93" w:rsidP="00232CDB">
      <w:pPr>
        <w:pStyle w:val="FootnoteText"/>
        <w:rPr>
          <w:rFonts w:ascii="Times" w:eastAsia="Times New Roman" w:hAnsi="Times" w:cs="Times New Roman"/>
        </w:rPr>
      </w:pPr>
      <w:r>
        <w:rPr>
          <w:rStyle w:val="FootnoteReference"/>
        </w:rPr>
        <w:footnoteRef/>
      </w:r>
      <w:r>
        <w:t xml:space="preserve"> </w:t>
      </w:r>
      <w:hyperlink r:id="rId10" w:history="1">
        <w:r w:rsidRPr="00B259E0">
          <w:t>https://www.primature.cd/public/composition-gouvernement-congo-rdc-sylvestre-ilunga-ilunkamba/</w:t>
        </w:r>
      </w:hyperlink>
    </w:p>
  </w:footnote>
  <w:footnote w:id="19">
    <w:p w14:paraId="018077BE" w14:textId="77777777" w:rsidR="00726A93" w:rsidRDefault="00726A93" w:rsidP="00232CDB">
      <w:pPr>
        <w:pStyle w:val="FootnoteText"/>
      </w:pPr>
      <w:r>
        <w:rPr>
          <w:rStyle w:val="FootnoteReference"/>
        </w:rPr>
        <w:footnoteRef/>
      </w:r>
      <w:r>
        <w:t xml:space="preserve"> </w:t>
      </w:r>
      <w:r w:rsidRPr="005405AE">
        <w:t>https://actualite.cd/2019/04/01/rdc-50-femmes-103-siegent-lassemblee-nationale</w:t>
      </w:r>
    </w:p>
  </w:footnote>
  <w:footnote w:id="20">
    <w:p w14:paraId="387E6D7F" w14:textId="77777777" w:rsidR="00726A93" w:rsidRDefault="00726A93" w:rsidP="00232CDB">
      <w:pPr>
        <w:pStyle w:val="FootnoteText"/>
      </w:pPr>
      <w:r>
        <w:rPr>
          <w:rStyle w:val="FootnoteReference"/>
        </w:rPr>
        <w:footnoteRef/>
      </w:r>
      <w:r w:rsidRPr="005405AE">
        <w:t>https://deboutcongolaises.org/moins-de-10-de-femmes-candidates-aux-elections-provinciales</w:t>
      </w:r>
      <w:r>
        <w:t xml:space="preserve"> </w:t>
      </w:r>
    </w:p>
  </w:footnote>
  <w:footnote w:id="21">
    <w:p w14:paraId="653B60D3" w14:textId="77777777" w:rsidR="00726A93" w:rsidRDefault="00726A93" w:rsidP="00232CDB">
      <w:pPr>
        <w:pStyle w:val="FootnoteText"/>
      </w:pPr>
      <w:r>
        <w:rPr>
          <w:rStyle w:val="FootnoteReference"/>
        </w:rPr>
        <w:footnoteRef/>
      </w:r>
      <w:r>
        <w:t xml:space="preserve"> </w:t>
      </w:r>
      <w:r w:rsidRPr="005405AE">
        <w:t xml:space="preserve"> https://deboutcongolaises.org/elections-gouverneurs-7-gouverneure-0/</w:t>
      </w:r>
    </w:p>
  </w:footnote>
  <w:footnote w:id="22">
    <w:p w14:paraId="31FE7318" w14:textId="77777777" w:rsidR="00726A93" w:rsidRDefault="00726A93" w:rsidP="00232CDB">
      <w:pPr>
        <w:pStyle w:val="FootnoteText"/>
      </w:pPr>
      <w:r>
        <w:rPr>
          <w:rStyle w:val="FootnoteReference"/>
        </w:rPr>
        <w:footnoteRef/>
      </w:r>
      <w:r>
        <w:t xml:space="preserve"> Bulletin thématique Genre n°3, Leadership féminin, Ministère du genre, enfant et famille, 2017, Tableau 3 : Proportion de femmes Secrétaires Généraux de l’Administration Publique et mandataires publiques.</w:t>
      </w:r>
    </w:p>
  </w:footnote>
  <w:footnote w:id="23">
    <w:p w14:paraId="09921D8A" w14:textId="77777777" w:rsidR="00726A93" w:rsidRDefault="00726A93" w:rsidP="00232CDB">
      <w:pPr>
        <w:pStyle w:val="FootnoteText"/>
      </w:pPr>
      <w:r>
        <w:rPr>
          <w:rStyle w:val="FootnoteReference"/>
        </w:rPr>
        <w:footnoteRef/>
      </w:r>
      <w:r>
        <w:t xml:space="preserve"> Idem</w:t>
      </w:r>
    </w:p>
  </w:footnote>
  <w:footnote w:id="24">
    <w:p w14:paraId="4583E4FD" w14:textId="77777777" w:rsidR="00726A93" w:rsidRPr="00C16EB2" w:rsidRDefault="00726A93" w:rsidP="00232CDB">
      <w:pPr>
        <w:pStyle w:val="FootnoteText"/>
      </w:pPr>
      <w:r>
        <w:rPr>
          <w:rStyle w:val="FootnoteReference"/>
        </w:rPr>
        <w:footnoteRef/>
      </w:r>
      <w:r>
        <w:t xml:space="preserve"> </w:t>
      </w:r>
      <w:r w:rsidRPr="00C16EB2">
        <w:t>Rapport alternatif au Rapport périodique de la République Démocratique du Congo au Comité pour l’élimination de la discrimination à l’égard des femmes, para. 56, disponible sur https://tbinternet.ohchr.org/Treaties/CEDAW/Shared%20 Documents/COD/INT_CEDAW_NGO_COD_13303_F.pdf</w:t>
      </w:r>
    </w:p>
  </w:footnote>
  <w:footnote w:id="25">
    <w:p w14:paraId="44B95537" w14:textId="77777777" w:rsidR="00726A93" w:rsidRPr="00265461" w:rsidRDefault="00726A93" w:rsidP="00232CDB">
      <w:pPr>
        <w:pStyle w:val="FootnoteText"/>
      </w:pPr>
      <w:r>
        <w:rPr>
          <w:rStyle w:val="FootnoteReference"/>
        </w:rPr>
        <w:footnoteRef/>
      </w:r>
      <w:r>
        <w:t xml:space="preserve"> </w:t>
      </w:r>
      <w:hyperlink r:id="rId11" w:history="1">
        <w:r>
          <w:rPr>
            <w:rStyle w:val="Hyperlink"/>
            <w:rFonts w:eastAsia="Times New Roman" w:cs="Times New Roman"/>
          </w:rPr>
          <w:t>http://www.leganet.cd/Legislation/Droit%20Public/Divers/L.08.005.10.06.2008.htm</w:t>
        </w:r>
      </w:hyperlink>
    </w:p>
  </w:footnote>
  <w:footnote w:id="26">
    <w:p w14:paraId="1506F36D" w14:textId="77777777" w:rsidR="00726A93" w:rsidRPr="001B1B15" w:rsidRDefault="00726A93" w:rsidP="00232CDB">
      <w:pPr>
        <w:pStyle w:val="FootnoteText"/>
      </w:pPr>
      <w:r>
        <w:rPr>
          <w:rStyle w:val="FootnoteReference"/>
        </w:rPr>
        <w:footnoteRef/>
      </w:r>
      <w:r>
        <w:t xml:space="preserve"> </w:t>
      </w:r>
      <w:r w:rsidRPr="001B1B15">
        <w:t>https://www.ceni.cd/assets/bundles/documents/La%20loi%20%C3%A9lectorale%20du%2024%2d%C3%A9cembre%20 20170002.pdf: L’article 13 alinéa 4 de la loi dispose en outre que « Toutefois, la non-réalisation de la parité homme – femme et la non présence de la personne vivant avec handicap ne sont pas motif d’irrecevabilité d’une liste. »</w:t>
      </w:r>
    </w:p>
  </w:footnote>
  <w:footnote w:id="27">
    <w:p w14:paraId="46B56B46" w14:textId="77777777" w:rsidR="00726A93" w:rsidRDefault="00726A93" w:rsidP="00232CDB">
      <w:pPr>
        <w:pStyle w:val="FootnoteText"/>
      </w:pPr>
      <w:r>
        <w:rPr>
          <w:rStyle w:val="FootnoteReference"/>
        </w:rPr>
        <w:footnoteRef/>
      </w:r>
      <w:r>
        <w:t xml:space="preserve"> </w:t>
      </w:r>
      <w:hyperlink r:id="rId12" w:history="1">
        <w:r w:rsidRPr="00F4057D">
          <w:rPr>
            <w:rStyle w:val="Hyperlink"/>
          </w:rPr>
          <w:t>http://riensanslesfemmes.org/wp-content/uploads/2016/10/ANALYSE-CRITIQUE-DE-LA-LOI-PORTANT-MISE-EN-</w:t>
        </w:r>
      </w:hyperlink>
      <w:r>
        <w:t xml:space="preserve"> %C5%92UVRE-DE-LA-PARITE-Version-pr%C3%A9sentation1.pdf</w:t>
      </w:r>
    </w:p>
  </w:footnote>
  <w:footnote w:id="28">
    <w:p w14:paraId="38E12BA1" w14:textId="77777777" w:rsidR="00726A93" w:rsidRPr="00D16BD9" w:rsidRDefault="00726A93" w:rsidP="00232CDB">
      <w:pPr>
        <w:pStyle w:val="FootnoteText"/>
      </w:pPr>
      <w:r>
        <w:rPr>
          <w:rStyle w:val="FootnoteReference"/>
        </w:rPr>
        <w:footnoteRef/>
      </w:r>
      <w:r>
        <w:t xml:space="preserve"> </w:t>
      </w:r>
      <w:hyperlink r:id="rId13" w:history="1">
        <w:r>
          <w:rPr>
            <w:rStyle w:val="Hyperlink"/>
          </w:rPr>
          <w:t>Idem</w:t>
        </w:r>
      </w:hyperlink>
    </w:p>
  </w:footnote>
  <w:footnote w:id="29">
    <w:p w14:paraId="3153991B" w14:textId="77777777" w:rsidR="00726A93" w:rsidRPr="00C16EB2" w:rsidRDefault="00726A93" w:rsidP="00232CDB">
      <w:pPr>
        <w:pStyle w:val="FootnoteText"/>
        <w:rPr>
          <w:lang w:val="en-US"/>
        </w:rPr>
      </w:pPr>
      <w:r>
        <w:rPr>
          <w:rStyle w:val="FootnoteReference"/>
        </w:rPr>
        <w:footnoteRef/>
      </w:r>
      <w:r>
        <w:t xml:space="preserve"> Comité pour l’élimination de la discrimination à l’égard des femmes</w:t>
      </w:r>
      <w:r w:rsidRPr="00B6469A">
        <w:t>, Observations finales concernant le rapport unique valant 6ième et 7ième rapports périodiques de la République démocrat</w:t>
      </w:r>
      <w:r>
        <w:t>ique du Congo, CEDAW/C/COD/CO/8, 6 août 2019, para. 23</w:t>
      </w:r>
      <w:r w:rsidRPr="00B6469A">
        <w:t>, disponible sur</w:t>
      </w:r>
      <w:r>
        <w:t xml:space="preserve"> : </w:t>
      </w:r>
      <w:hyperlink r:id="rId14" w:history="1">
        <w:r w:rsidRPr="001256BE">
          <w:t>https://tbinternet.ohchr.org/_layouts/15/treatybodyexternal/Download.aspx?symbolno=CEDAW%2fC%2fCOD%2fCO%2f8&amp;Lang=fr</w:t>
        </w:r>
      </w:hyperlink>
    </w:p>
  </w:footnote>
  <w:footnote w:id="30">
    <w:p w14:paraId="65B6FF5E" w14:textId="77777777" w:rsidR="00726A93" w:rsidRDefault="00726A93" w:rsidP="006D58AA">
      <w:pPr>
        <w:pStyle w:val="FootnoteText"/>
      </w:pPr>
      <w:r>
        <w:rPr>
          <w:rStyle w:val="FootnoteReference"/>
        </w:rPr>
        <w:footnoteRef/>
      </w:r>
      <w:r>
        <w:t xml:space="preserve"> </w:t>
      </w:r>
      <w:r w:rsidRPr="001F495B">
        <w:t>Comité des droits économiques, sociaux et culturels, Quarante-troisième session, Observations finales, 16 décembre 2009</w:t>
      </w:r>
      <w:r>
        <w:t xml:space="preserve">, para 20, disponible sur : </w:t>
      </w:r>
      <w:hyperlink r:id="rId15" w:history="1">
        <w:r w:rsidRPr="006B7308">
          <w:rPr>
            <w:rStyle w:val="Hyperlink"/>
          </w:rPr>
          <w:t>https://tbinternet.ohchr.org/_layouts/15/treatybodyexternal/Download.aspx?symbolno=E%2fC.12%2fCOD%2fCO%2f4&amp;Lang=fr</w:t>
        </w:r>
      </w:hyperlink>
    </w:p>
  </w:footnote>
  <w:footnote w:id="31">
    <w:p w14:paraId="386FA51F" w14:textId="77777777" w:rsidR="00726A93" w:rsidRPr="00C12BB3" w:rsidRDefault="00726A93" w:rsidP="006D58AA">
      <w:pPr>
        <w:rPr>
          <w:rFonts w:ascii="Times New Roman" w:eastAsia="Times New Roman" w:hAnsi="Times New Roman" w:cs="Times New Roman"/>
          <w:sz w:val="20"/>
          <w:szCs w:val="20"/>
          <w:lang w:val="en-US"/>
        </w:rPr>
      </w:pPr>
      <w:r>
        <w:rPr>
          <w:rStyle w:val="FootnoteReference"/>
        </w:rPr>
        <w:footnoteRef/>
      </w:r>
      <w:r>
        <w:t xml:space="preserve"> </w:t>
      </w:r>
      <w:r w:rsidRPr="001256BE">
        <w:rPr>
          <w:rStyle w:val="FootnoteTextChar"/>
        </w:rPr>
        <w:t>Comité pour l’élimination de la discrimination à l’égard des femmes, Huitième rapport périodique soumis par la République Démocratique du Congo en application de l’article 18 de la Convention, attendu en 2017, 1er juin 2018, CEDAW/C/COD/8, para. 30, disponible sur  : https://tbinternet.ohchr.org/_layouts/treatybodyexternal/Download aspx?symbolno=CEDAW%2fC%2fCOD%2f8&amp;Lang=en</w:t>
      </w:r>
    </w:p>
  </w:footnote>
  <w:footnote w:id="32">
    <w:p w14:paraId="2E1E6649" w14:textId="77777777" w:rsidR="00726A93" w:rsidRDefault="00726A93" w:rsidP="006D58AA">
      <w:pPr>
        <w:pStyle w:val="FootnoteText"/>
      </w:pPr>
      <w:r>
        <w:rPr>
          <w:rStyle w:val="FootnoteReference"/>
        </w:rPr>
        <w:footnoteRef/>
      </w:r>
      <w:r>
        <w:t xml:space="preserve"> </w:t>
      </w:r>
      <w:r w:rsidRPr="00F31AF5">
        <w:t>Comité des droits économiques, socia</w:t>
      </w:r>
      <w:r w:rsidRPr="00CA14C8">
        <w:t>ux et culturels, Sixième rapport périodique soumis par la République démocratique du Congo, 30 octobre 2019, para. 146 disponible sur :</w:t>
      </w:r>
      <w:r>
        <w:t xml:space="preserve"> </w:t>
      </w:r>
      <w:hyperlink r:id="rId16" w:history="1">
        <w:r w:rsidRPr="006B7308">
          <w:rPr>
            <w:rStyle w:val="Hyperlink"/>
          </w:rPr>
          <w:t>https://tbinternet.ohchr.org/_layouts/15/TreatyBodyExternal/countries.aspx?CountryCode=COD&amp;Lang=FR</w:t>
        </w:r>
      </w:hyperlink>
    </w:p>
  </w:footnote>
  <w:footnote w:id="33">
    <w:p w14:paraId="5F46D80F" w14:textId="77777777" w:rsidR="00726A93" w:rsidRDefault="00726A93" w:rsidP="006D58AA">
      <w:pPr>
        <w:pStyle w:val="FootnoteText"/>
      </w:pPr>
      <w:r>
        <w:rPr>
          <w:rStyle w:val="FootnoteReference"/>
        </w:rPr>
        <w:footnoteRef/>
      </w:r>
      <w:r>
        <w:t xml:space="preserve"> Article 52 : « Entrent en ligne de compte pour l’octroi des allocations familiales : 1. le conjoint ; 2. les enfants de l’agent; 3. les enfants adoptifs ; 4. les enfants pour lesquels l’agent est débiteur d’aliments ; 5. les enfants dont l’agent a obtenu la garde à la suite d’un divorce ; 6. les enfants sous tutelle. Pour l’octroi des allocations familiales, le lien des enfants repris aux points 3 à 6 de l’alinéa précédent avec l’agent est établi par un jugement irrévocable ». Article 55 : « L’agent bénéficie des frais médicaux, des soins de santé, chirurgicaux, obstétricaux, dentaires, ophtalmologiques et hospitaliers ainsi que des médicaments, des lunettes médicales, des appareils d’orthopédie et de prothèse, des prothèses dentaires, nécessités par son état de santé, par celui de son conjoint et celui des enfants entrant en ligne de compte pour l’octroi des allocations familiales ».</w:t>
      </w:r>
    </w:p>
  </w:footnote>
  <w:footnote w:id="34">
    <w:p w14:paraId="62B33390" w14:textId="77777777" w:rsidR="00726A93" w:rsidRDefault="00726A93" w:rsidP="006D58AA">
      <w:pPr>
        <w:pStyle w:val="FootnoteText"/>
      </w:pPr>
      <w:r>
        <w:rPr>
          <w:rStyle w:val="FootnoteReference"/>
        </w:rPr>
        <w:footnoteRef/>
      </w:r>
      <w:r>
        <w:t xml:space="preserve"> Art. 444 : « Le mari est le chef du ménage. Les époux se doivent protection mutuelle.” Code de la Famille, disponible à :https://www.leganet.cd/Legislation/Code%20de%20la%20famille/Loi.15.07.2016.html</w:t>
      </w:r>
    </w:p>
  </w:footnote>
  <w:footnote w:id="35">
    <w:p w14:paraId="3260767D" w14:textId="77777777" w:rsidR="00726A93" w:rsidRDefault="00726A93" w:rsidP="00DB3989">
      <w:pPr>
        <w:pStyle w:val="FootnoteText"/>
      </w:pPr>
      <w:r>
        <w:rPr>
          <w:rStyle w:val="FootnoteReference"/>
        </w:rPr>
        <w:footnoteRef/>
      </w:r>
      <w:r>
        <w:t xml:space="preserve"> </w:t>
      </w:r>
      <w:r w:rsidRPr="001F495B">
        <w:t>Comité des droits économiques, sociaux et culturels, Quarante-troisième session, Observations finales, 16 décembre 2009</w:t>
      </w:r>
      <w:r>
        <w:t xml:space="preserve">, para 22, disponible sur : </w:t>
      </w:r>
      <w:hyperlink r:id="rId17" w:history="1">
        <w:r w:rsidRPr="006B7308">
          <w:rPr>
            <w:rStyle w:val="Hyperlink"/>
          </w:rPr>
          <w:t>https://tbinternet.ohchr.org/_layouts/15/treatybodyexternal/Download.aspx?symbolno=E%2fC.12%2fCOD%2fCO%2f4&amp;Lang=fr</w:t>
        </w:r>
      </w:hyperlink>
    </w:p>
  </w:footnote>
  <w:footnote w:id="36">
    <w:p w14:paraId="39AE695C" w14:textId="77777777" w:rsidR="00726A93" w:rsidRDefault="00726A93" w:rsidP="00DB3989">
      <w:pPr>
        <w:pStyle w:val="FootnoteText"/>
      </w:pPr>
      <w:r>
        <w:rPr>
          <w:rStyle w:val="FootnoteReference"/>
        </w:rPr>
        <w:footnoteRef/>
      </w:r>
      <w:r>
        <w:t xml:space="preserve"> </w:t>
      </w:r>
      <w:r w:rsidRPr="005D6F87">
        <w:t>https://www.leganet.cd/Legislation/Droit%20economique/Code%20Minier/Loi.18.001.09.03.2018.html</w:t>
      </w:r>
    </w:p>
  </w:footnote>
  <w:footnote w:id="37">
    <w:p w14:paraId="730CC0FD" w14:textId="77777777" w:rsidR="00726A93" w:rsidRPr="00A7278A" w:rsidRDefault="00726A93" w:rsidP="00DB3989">
      <w:pPr>
        <w:pStyle w:val="FootnoteText"/>
        <w:rPr>
          <w:vertAlign w:val="superscript"/>
          <w:lang w:val="en-GB"/>
        </w:rPr>
      </w:pPr>
      <w:r w:rsidRPr="00053FF8">
        <w:rPr>
          <w:rFonts w:ascii="Palatino-Roman" w:eastAsia="Calibri" w:hAnsi="Palatino-Roman" w:cs="Palatino-Roman"/>
          <w:szCs w:val="18"/>
          <w:vertAlign w:val="superscript"/>
        </w:rPr>
        <w:footnoteRef/>
      </w:r>
      <w:r w:rsidRPr="00A7278A">
        <w:rPr>
          <w:rFonts w:ascii="Palatino-Roman" w:eastAsia="Calibri" w:hAnsi="Palatino-Roman" w:cs="Palatino-Roman"/>
          <w:szCs w:val="18"/>
          <w:vertAlign w:val="superscript"/>
          <w:lang w:val="en-GB"/>
        </w:rPr>
        <w:t xml:space="preserve"> </w:t>
      </w:r>
      <w:r w:rsidRPr="00EF5EF4">
        <w:t xml:space="preserve">Karen Hayes and Rachel Perks, Women in the artisanal and small-scale mining sector of the Democratic Republic of the Congo, disponible en anglais à : </w:t>
      </w:r>
      <w:hyperlink r:id="rId18" w:history="1">
        <w:r w:rsidRPr="00EF5EF4">
          <w:t>https://elr.info/sites/default/files/529-544_hayes_and_perks.pdf</w:t>
        </w:r>
      </w:hyperlink>
      <w:r w:rsidRPr="00EF5EF4">
        <w:t xml:space="preserve">; Gender and Artisanal and Small-Scale Mining in Central and East Africa: Barriers and Benefits, Grow Working Paper Series GWP-2017-02 – Research Contribution Paper, p. 17, disponible en anglais à: </w:t>
      </w:r>
      <w:hyperlink r:id="rId19" w:history="1">
        <w:r w:rsidRPr="00EF5EF4">
          <w:t>https://impacttransform.org/wp-content/uploads/2017/10/GrOW-Working-Paper_2017.pdf</w:t>
        </w:r>
      </w:hyperlink>
      <w:r w:rsidRPr="00EF5EF4">
        <w:t xml:space="preserve">; Les femmes dans l’exploitation minière artisanale et à petite échelle, disponible à : </w:t>
      </w:r>
      <w:hyperlink r:id="rId20" w:history="1">
        <w:r w:rsidRPr="00EF5EF4">
          <w:t>https://impacttransform.org/wp-content/uploads/2017/09/Women-in-ASM_DRC_final-July-2017-FR.pdf</w:t>
        </w:r>
      </w:hyperlink>
      <w:r w:rsidRPr="00EF5EF4">
        <w:t xml:space="preserve">; International Peace Information Service vzw, Mapping artisanal mining areas and mineral supply chains in eastern DR Congo Impact of armed interference &amp; responsible sourcing, p. 34, disponible en anglais à : </w:t>
      </w:r>
      <w:hyperlink r:id="rId21" w:history="1">
        <w:r w:rsidRPr="00EF5EF4">
          <w:t>http://ipisresearch.be/wp-content/uploads/2019/04/1904-IOM-mapping-eastern-DRC.pdf</w:t>
        </w:r>
      </w:hyperlink>
    </w:p>
  </w:footnote>
  <w:footnote w:id="38">
    <w:p w14:paraId="037F060B" w14:textId="631A14A0" w:rsidR="0018539E" w:rsidRPr="0018539E" w:rsidRDefault="0018539E">
      <w:pPr>
        <w:pStyle w:val="FootnoteText"/>
        <w:rPr>
          <w:lang w:val="fr-FR"/>
        </w:rPr>
      </w:pPr>
      <w:r>
        <w:rPr>
          <w:rStyle w:val="FootnoteReference"/>
        </w:rPr>
        <w:footnoteRef/>
      </w:r>
      <w:r>
        <w:t xml:space="preserve"> </w:t>
      </w:r>
      <w:r w:rsidRPr="0018539E">
        <w:t xml:space="preserve">Comité pour l’élimination de la discrimination à l’égard des femmes Observations finales concernant le huitième rapport périodique de la République démocratique du Congo, para. </w:t>
      </w:r>
      <w:r w:rsidRPr="0018539E">
        <w:t xml:space="preserve">46, CEDAW/C/COD/CO/8, 6 août 2019, disponible à: </w:t>
      </w:r>
      <w:hyperlink r:id="rId22" w:history="1">
        <w:r w:rsidRPr="0018539E">
          <w:t>https://tbinternet.ohchr.org/_layouts/15/treatybodyexternal/Download.aspx?symbolno=CEDAW%2fC%2fCOD%2fCO%2f8&amp;Lang=en</w:t>
        </w:r>
      </w:hyperlink>
    </w:p>
  </w:footnote>
  <w:footnote w:id="39">
    <w:p w14:paraId="21DEAEC5" w14:textId="77777777" w:rsidR="00726A93" w:rsidRDefault="00726A93" w:rsidP="00DB3989">
      <w:pPr>
        <w:pStyle w:val="FootnoteText"/>
      </w:pPr>
      <w:r>
        <w:rPr>
          <w:rStyle w:val="FootnoteReference"/>
        </w:rPr>
        <w:footnoteRef/>
      </w:r>
      <w:r>
        <w:t xml:space="preserve"> À l’autre bout de la chaîne : Les femmes dans les mines artisanales en RDC. Disponible sur:</w:t>
      </w:r>
    </w:p>
    <w:p w14:paraId="76E37EED" w14:textId="77777777" w:rsidR="00726A93" w:rsidRPr="005D6F87" w:rsidRDefault="00726A93" w:rsidP="00DB3989">
      <w:pPr>
        <w:pStyle w:val="FootnoteText"/>
        <w:rPr>
          <w:lang w:val="en-US"/>
        </w:rPr>
      </w:pPr>
      <w:r>
        <w:t xml:space="preserve">https://wilpf.org/wp-content/uploads/2016/10/LesFemmesDansLesMinesArtisanalesEnRDC_web.pdf; Version in extenso de l’enquête : Enquête sur les violations des droits humains subies par les femmes congolaises dans l’exploitation des mines artisanales dans la province du Haut Katanga République Démocratique du Congo. </w:t>
      </w:r>
      <w:r w:rsidRPr="005D6F87">
        <w:rPr>
          <w:lang w:val="en-US"/>
        </w:rPr>
        <w:t xml:space="preserve">Disponible </w:t>
      </w:r>
      <w:proofErr w:type="gramStart"/>
      <w:r w:rsidRPr="005D6F87">
        <w:rPr>
          <w:lang w:val="en-US"/>
        </w:rPr>
        <w:t>sur :</w:t>
      </w:r>
      <w:proofErr w:type="gramEnd"/>
      <w:r w:rsidRPr="005D6F87">
        <w:rPr>
          <w:lang w:val="en-US"/>
        </w:rPr>
        <w:t xml:space="preserve"> </w:t>
      </w:r>
      <w:hyperlink r:id="rId23" w:history="1">
        <w:r w:rsidRPr="005D6F87">
          <w:rPr>
            <w:rStyle w:val="Hyperlink"/>
            <w:lang w:val="en-US"/>
          </w:rPr>
          <w:t>https://wilpf.org/wp-content/uploads/2016/10/WILPF-DRCresearch_</w:t>
        </w:r>
      </w:hyperlink>
      <w:r w:rsidRPr="005D6F87">
        <w:rPr>
          <w:lang w:val="en-US"/>
        </w:rPr>
        <w:t xml:space="preserve"> final-layout.pdf; The Gender Dimensions of Tin, Tantalum and Tungsten Mining in the Grea</w:t>
      </w:r>
      <w:r>
        <w:rPr>
          <w:lang w:val="en-US"/>
        </w:rPr>
        <w:t xml:space="preserve">t Lakes Region, Gender Resource </w:t>
      </w:r>
      <w:r w:rsidRPr="005D6F87">
        <w:rPr>
          <w:lang w:val="en-US"/>
        </w:rPr>
        <w:t xml:space="preserve">Facility, 2 August 2016, disponible en anglais à : </w:t>
      </w:r>
      <w:hyperlink r:id="rId24" w:history="1">
        <w:r w:rsidRPr="00F4057D">
          <w:rPr>
            <w:rStyle w:val="Hyperlink"/>
            <w:lang w:val="en-US"/>
          </w:rPr>
          <w:t>https://213ou636sh0ptphd141fqei1</w:t>
        </w:r>
      </w:hyperlink>
      <w:r>
        <w:rPr>
          <w:lang w:val="en-US"/>
        </w:rPr>
        <w:t xml:space="preserve"> </w:t>
      </w:r>
      <w:r w:rsidRPr="005D6F87">
        <w:rPr>
          <w:lang w:val="en-US"/>
        </w:rPr>
        <w:t>wpengine.netdna-</w:t>
      </w:r>
      <w:r>
        <w:rPr>
          <w:lang w:val="en-US"/>
        </w:rPr>
        <w:t xml:space="preserve">ssl.com/grf/wp-content/uploads/ </w:t>
      </w:r>
      <w:r w:rsidRPr="005D6F87">
        <w:rPr>
          <w:lang w:val="en-US"/>
        </w:rPr>
        <w:t>sites/13/2015/03/170425-GRF-Desk-Study-The-Gender-Dimensions-of-3Ts-in-the-GLR.pdf</w:t>
      </w:r>
    </w:p>
  </w:footnote>
  <w:footnote w:id="40">
    <w:p w14:paraId="10892F41" w14:textId="77777777" w:rsidR="00726A93" w:rsidRDefault="00726A93" w:rsidP="00DB3989">
      <w:pPr>
        <w:pStyle w:val="FootnoteText"/>
      </w:pPr>
      <w:r>
        <w:rPr>
          <w:rStyle w:val="FootnoteReference"/>
        </w:rPr>
        <w:footnoteRef/>
      </w:r>
      <w:r>
        <w:t xml:space="preserve"> Comité des droits économiques, sociaux et culturels, Sixième rapport périodique soumis par la République démocratique du Congo,</w:t>
      </w:r>
      <w:r w:rsidRPr="00F31AF5">
        <w:t xml:space="preserve"> 30 octobre 2019</w:t>
      </w:r>
      <w:r>
        <w:t xml:space="preserve">, para 151, disponible sur : </w:t>
      </w:r>
      <w:hyperlink r:id="rId25" w:history="1">
        <w:r w:rsidRPr="006B7308">
          <w:rPr>
            <w:rStyle w:val="Hyperlink"/>
          </w:rPr>
          <w:t>https://tbinternet.ohchr.org/_layouts/15/TreatyBodyExternal/countries.aspx?CountryCode=COD&amp;Lang=FR</w:t>
        </w:r>
      </w:hyperlink>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4ADE41" w14:textId="3B91BCC7" w:rsidR="00726A93" w:rsidRDefault="00726A93">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726A93" w:rsidRDefault="00726A93"/>
  <w:p w14:paraId="3BF7516E" w14:textId="77777777" w:rsidR="00726A93" w:rsidRDefault="00726A93"/>
  <w:p w14:paraId="16C32E64" w14:textId="77777777" w:rsidR="00726A93" w:rsidRDefault="00726A93"/>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ADA7A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3F6968"/>
    <w:multiLevelType w:val="multilevel"/>
    <w:tmpl w:val="D23616E2"/>
    <w:lvl w:ilvl="0">
      <w:start w:val="1"/>
      <w:numFmt w:val="bullet"/>
      <w:lvlText w:val="•"/>
      <w:lvlJc w:val="left"/>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8E62DD"/>
    <w:multiLevelType w:val="multilevel"/>
    <w:tmpl w:val="E0C474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8BD63D1"/>
    <w:multiLevelType w:val="multilevel"/>
    <w:tmpl w:val="2D6842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D48519D"/>
    <w:multiLevelType w:val="hybridMultilevel"/>
    <w:tmpl w:val="5CBC04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227386"/>
    <w:multiLevelType w:val="hybridMultilevel"/>
    <w:tmpl w:val="3956230A"/>
    <w:lvl w:ilvl="0" w:tplc="8BBAC690">
      <w:numFmt w:val="bullet"/>
      <w:lvlText w:val=""/>
      <w:lvlJc w:val="left"/>
      <w:pPr>
        <w:ind w:left="500" w:hanging="360"/>
      </w:pPr>
      <w:rPr>
        <w:rFonts w:ascii="Symbol" w:eastAsia="Symbol" w:hAnsi="Symbol" w:cs="Symbol" w:hint="default"/>
        <w:w w:val="100"/>
        <w:sz w:val="22"/>
        <w:szCs w:val="22"/>
      </w:rPr>
    </w:lvl>
    <w:lvl w:ilvl="1" w:tplc="1F5EE2EC">
      <w:numFmt w:val="bullet"/>
      <w:lvlText w:val="•"/>
      <w:lvlJc w:val="left"/>
      <w:pPr>
        <w:ind w:left="1414" w:hanging="360"/>
      </w:pPr>
      <w:rPr>
        <w:rFonts w:hint="default"/>
      </w:rPr>
    </w:lvl>
    <w:lvl w:ilvl="2" w:tplc="091272BA">
      <w:numFmt w:val="bullet"/>
      <w:lvlText w:val="•"/>
      <w:lvlJc w:val="left"/>
      <w:pPr>
        <w:ind w:left="2328" w:hanging="360"/>
      </w:pPr>
      <w:rPr>
        <w:rFonts w:hint="default"/>
      </w:rPr>
    </w:lvl>
    <w:lvl w:ilvl="3" w:tplc="E05CA942">
      <w:numFmt w:val="bullet"/>
      <w:lvlText w:val="•"/>
      <w:lvlJc w:val="left"/>
      <w:pPr>
        <w:ind w:left="3242" w:hanging="360"/>
      </w:pPr>
      <w:rPr>
        <w:rFonts w:hint="default"/>
      </w:rPr>
    </w:lvl>
    <w:lvl w:ilvl="4" w:tplc="D826A626">
      <w:numFmt w:val="bullet"/>
      <w:lvlText w:val="•"/>
      <w:lvlJc w:val="left"/>
      <w:pPr>
        <w:ind w:left="4156" w:hanging="360"/>
      </w:pPr>
      <w:rPr>
        <w:rFonts w:hint="default"/>
      </w:rPr>
    </w:lvl>
    <w:lvl w:ilvl="5" w:tplc="6C603BAA">
      <w:numFmt w:val="bullet"/>
      <w:lvlText w:val="•"/>
      <w:lvlJc w:val="left"/>
      <w:pPr>
        <w:ind w:left="5070" w:hanging="360"/>
      </w:pPr>
      <w:rPr>
        <w:rFonts w:hint="default"/>
      </w:rPr>
    </w:lvl>
    <w:lvl w:ilvl="6" w:tplc="781C5FFC">
      <w:numFmt w:val="bullet"/>
      <w:lvlText w:val="•"/>
      <w:lvlJc w:val="left"/>
      <w:pPr>
        <w:ind w:left="5984" w:hanging="360"/>
      </w:pPr>
      <w:rPr>
        <w:rFonts w:hint="default"/>
      </w:rPr>
    </w:lvl>
    <w:lvl w:ilvl="7" w:tplc="C4B2990E">
      <w:numFmt w:val="bullet"/>
      <w:lvlText w:val="•"/>
      <w:lvlJc w:val="left"/>
      <w:pPr>
        <w:ind w:left="6898" w:hanging="360"/>
      </w:pPr>
      <w:rPr>
        <w:rFonts w:hint="default"/>
      </w:rPr>
    </w:lvl>
    <w:lvl w:ilvl="8" w:tplc="5B543298">
      <w:numFmt w:val="bullet"/>
      <w:lvlText w:val="•"/>
      <w:lvlJc w:val="left"/>
      <w:pPr>
        <w:ind w:left="7812" w:hanging="360"/>
      </w:pPr>
      <w:rPr>
        <w:rFonts w:hint="default"/>
      </w:rPr>
    </w:lvl>
  </w:abstractNum>
  <w:abstractNum w:abstractNumId="10">
    <w:nsid w:val="30491694"/>
    <w:multiLevelType w:val="hybridMultilevel"/>
    <w:tmpl w:val="C2860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5B460D"/>
    <w:multiLevelType w:val="hybridMultilevel"/>
    <w:tmpl w:val="61626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F40C68"/>
    <w:multiLevelType w:val="multilevel"/>
    <w:tmpl w:val="568A48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3E922724"/>
    <w:multiLevelType w:val="hybridMultilevel"/>
    <w:tmpl w:val="7700C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2A3A6B"/>
    <w:multiLevelType w:val="multilevel"/>
    <w:tmpl w:val="C126597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498F3C6B"/>
    <w:multiLevelType w:val="hybridMultilevel"/>
    <w:tmpl w:val="A4FCDAD8"/>
    <w:lvl w:ilvl="0" w:tplc="44783056">
      <w:start w:val="1"/>
      <w:numFmt w:val="bullet"/>
      <w:lvlText w:val=""/>
      <w:lvlJc w:val="left"/>
      <w:pPr>
        <w:ind w:left="720" w:hanging="493"/>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AB9556E"/>
    <w:multiLevelType w:val="multilevel"/>
    <w:tmpl w:val="66F2D4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4C04065F"/>
    <w:multiLevelType w:val="multilevel"/>
    <w:tmpl w:val="2C16B6EC"/>
    <w:lvl w:ilvl="0">
      <w:start w:val="1"/>
      <w:numFmt w:val="bullet"/>
      <w:lvlText w:val="•"/>
      <w:lvlJc w:val="left"/>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0297C61"/>
    <w:multiLevelType w:val="multilevel"/>
    <w:tmpl w:val="E0C474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1F02080"/>
    <w:multiLevelType w:val="hybridMultilevel"/>
    <w:tmpl w:val="E71EFB16"/>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34487F"/>
    <w:multiLevelType w:val="hybridMultilevel"/>
    <w:tmpl w:val="40B6F7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8904942"/>
    <w:multiLevelType w:val="multilevel"/>
    <w:tmpl w:val="5EB25B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2354BC"/>
    <w:multiLevelType w:val="hybridMultilevel"/>
    <w:tmpl w:val="116220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07839DF"/>
    <w:multiLevelType w:val="multilevel"/>
    <w:tmpl w:val="A2EE35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6AB45B18"/>
    <w:multiLevelType w:val="multilevel"/>
    <w:tmpl w:val="E0C474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BA14D65"/>
    <w:multiLevelType w:val="multilevel"/>
    <w:tmpl w:val="40D248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6C11130D"/>
    <w:multiLevelType w:val="multilevel"/>
    <w:tmpl w:val="3376A2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FA01F6"/>
    <w:multiLevelType w:val="multilevel"/>
    <w:tmpl w:val="B68C8D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786B7E63"/>
    <w:multiLevelType w:val="multilevel"/>
    <w:tmpl w:val="D438F8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nsid w:val="7A403CE2"/>
    <w:multiLevelType w:val="multilevel"/>
    <w:tmpl w:val="E0C474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A7C2FAD"/>
    <w:multiLevelType w:val="hybridMultilevel"/>
    <w:tmpl w:val="38940850"/>
    <w:lvl w:ilvl="0" w:tplc="7BA86EA8">
      <w:start w:val="1"/>
      <w:numFmt w:val="upperRoman"/>
      <w:lvlText w:val="%1."/>
      <w:lvlJc w:val="left"/>
      <w:pPr>
        <w:ind w:left="566" w:hanging="426"/>
      </w:pPr>
      <w:rPr>
        <w:rFonts w:ascii="Trebuchet MS" w:eastAsia="Trebuchet MS" w:hAnsi="Trebuchet MS" w:cs="Trebuchet MS" w:hint="default"/>
        <w:b/>
        <w:bCs/>
        <w:color w:val="17365D"/>
        <w:w w:val="84"/>
        <w:sz w:val="40"/>
        <w:szCs w:val="40"/>
      </w:rPr>
    </w:lvl>
    <w:lvl w:ilvl="1" w:tplc="B1046CFA">
      <w:numFmt w:val="bullet"/>
      <w:lvlText w:val="•"/>
      <w:lvlJc w:val="left"/>
      <w:pPr>
        <w:ind w:left="1468" w:hanging="426"/>
      </w:pPr>
      <w:rPr>
        <w:rFonts w:hint="default"/>
      </w:rPr>
    </w:lvl>
    <w:lvl w:ilvl="2" w:tplc="159A04E6">
      <w:numFmt w:val="bullet"/>
      <w:lvlText w:val="•"/>
      <w:lvlJc w:val="left"/>
      <w:pPr>
        <w:ind w:left="2376" w:hanging="426"/>
      </w:pPr>
      <w:rPr>
        <w:rFonts w:hint="default"/>
      </w:rPr>
    </w:lvl>
    <w:lvl w:ilvl="3" w:tplc="39C0E0F8">
      <w:numFmt w:val="bullet"/>
      <w:lvlText w:val="•"/>
      <w:lvlJc w:val="left"/>
      <w:pPr>
        <w:ind w:left="3284" w:hanging="426"/>
      </w:pPr>
      <w:rPr>
        <w:rFonts w:hint="default"/>
      </w:rPr>
    </w:lvl>
    <w:lvl w:ilvl="4" w:tplc="37F039DA">
      <w:numFmt w:val="bullet"/>
      <w:lvlText w:val="•"/>
      <w:lvlJc w:val="left"/>
      <w:pPr>
        <w:ind w:left="4192" w:hanging="426"/>
      </w:pPr>
      <w:rPr>
        <w:rFonts w:hint="default"/>
      </w:rPr>
    </w:lvl>
    <w:lvl w:ilvl="5" w:tplc="AA6EF086">
      <w:numFmt w:val="bullet"/>
      <w:lvlText w:val="•"/>
      <w:lvlJc w:val="left"/>
      <w:pPr>
        <w:ind w:left="5100" w:hanging="426"/>
      </w:pPr>
      <w:rPr>
        <w:rFonts w:hint="default"/>
      </w:rPr>
    </w:lvl>
    <w:lvl w:ilvl="6" w:tplc="CB2E379E">
      <w:numFmt w:val="bullet"/>
      <w:lvlText w:val="•"/>
      <w:lvlJc w:val="left"/>
      <w:pPr>
        <w:ind w:left="6008" w:hanging="426"/>
      </w:pPr>
      <w:rPr>
        <w:rFonts w:hint="default"/>
      </w:rPr>
    </w:lvl>
    <w:lvl w:ilvl="7" w:tplc="377AA656">
      <w:numFmt w:val="bullet"/>
      <w:lvlText w:val="•"/>
      <w:lvlJc w:val="left"/>
      <w:pPr>
        <w:ind w:left="6916" w:hanging="426"/>
      </w:pPr>
      <w:rPr>
        <w:rFonts w:hint="default"/>
      </w:rPr>
    </w:lvl>
    <w:lvl w:ilvl="8" w:tplc="A9D602C4">
      <w:numFmt w:val="bullet"/>
      <w:lvlText w:val="•"/>
      <w:lvlJc w:val="left"/>
      <w:pPr>
        <w:ind w:left="7824" w:hanging="426"/>
      </w:pPr>
      <w:rPr>
        <w:rFonts w:hint="default"/>
      </w:rPr>
    </w:lvl>
  </w:abstractNum>
  <w:num w:numId="1">
    <w:abstractNumId w:val="16"/>
  </w:num>
  <w:num w:numId="2">
    <w:abstractNumId w:val="3"/>
  </w:num>
  <w:num w:numId="3">
    <w:abstractNumId w:val="34"/>
  </w:num>
  <w:num w:numId="4">
    <w:abstractNumId w:val="27"/>
  </w:num>
  <w:num w:numId="5">
    <w:abstractNumId w:val="31"/>
  </w:num>
  <w:num w:numId="6">
    <w:abstractNumId w:val="12"/>
  </w:num>
  <w:num w:numId="7">
    <w:abstractNumId w:val="5"/>
  </w:num>
  <w:num w:numId="8">
    <w:abstractNumId w:val="6"/>
  </w:num>
  <w:num w:numId="9">
    <w:abstractNumId w:val="7"/>
  </w:num>
  <w:num w:numId="10">
    <w:abstractNumId w:val="24"/>
  </w:num>
  <w:num w:numId="11">
    <w:abstractNumId w:val="36"/>
  </w:num>
  <w:num w:numId="12">
    <w:abstractNumId w:val="9"/>
  </w:num>
  <w:num w:numId="13">
    <w:abstractNumId w:val="17"/>
  </w:num>
  <w:num w:numId="14">
    <w:abstractNumId w:val="14"/>
  </w:num>
  <w:num w:numId="15">
    <w:abstractNumId w:val="8"/>
  </w:num>
  <w:num w:numId="16">
    <w:abstractNumId w:val="29"/>
  </w:num>
  <w:num w:numId="17">
    <w:abstractNumId w:val="13"/>
  </w:num>
  <w:num w:numId="18">
    <w:abstractNumId w:val="4"/>
  </w:num>
  <w:num w:numId="19">
    <w:abstractNumId w:val="30"/>
  </w:num>
  <w:num w:numId="20">
    <w:abstractNumId w:val="26"/>
  </w:num>
  <w:num w:numId="21">
    <w:abstractNumId w:val="32"/>
  </w:num>
  <w:num w:numId="22">
    <w:abstractNumId w:val="18"/>
  </w:num>
  <w:num w:numId="23">
    <w:abstractNumId w:val="0"/>
  </w:num>
  <w:num w:numId="24">
    <w:abstractNumId w:val="10"/>
  </w:num>
  <w:num w:numId="25">
    <w:abstractNumId w:val="11"/>
  </w:num>
  <w:num w:numId="26">
    <w:abstractNumId w:val="15"/>
  </w:num>
  <w:num w:numId="27">
    <w:abstractNumId w:val="20"/>
  </w:num>
  <w:num w:numId="28">
    <w:abstractNumId w:val="2"/>
  </w:num>
  <w:num w:numId="29">
    <w:abstractNumId w:val="22"/>
  </w:num>
  <w:num w:numId="30">
    <w:abstractNumId w:val="33"/>
  </w:num>
  <w:num w:numId="31">
    <w:abstractNumId w:val="35"/>
  </w:num>
  <w:num w:numId="32">
    <w:abstractNumId w:val="25"/>
  </w:num>
  <w:num w:numId="33">
    <w:abstractNumId w:val="28"/>
  </w:num>
  <w:num w:numId="34">
    <w:abstractNumId w:val="19"/>
  </w:num>
  <w:num w:numId="35">
    <w:abstractNumId w:val="23"/>
  </w:num>
  <w:num w:numId="36">
    <w:abstractNumId w:val="1"/>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E17"/>
    <w:rsid w:val="00001DC1"/>
    <w:rsid w:val="00007B33"/>
    <w:rsid w:val="000117F6"/>
    <w:rsid w:val="00013B3B"/>
    <w:rsid w:val="0001429A"/>
    <w:rsid w:val="00016BEF"/>
    <w:rsid w:val="00017DF6"/>
    <w:rsid w:val="00022AC5"/>
    <w:rsid w:val="00025FCC"/>
    <w:rsid w:val="00026987"/>
    <w:rsid w:val="00026DF4"/>
    <w:rsid w:val="00030B2F"/>
    <w:rsid w:val="00032941"/>
    <w:rsid w:val="00036C0E"/>
    <w:rsid w:val="00036FC8"/>
    <w:rsid w:val="00043653"/>
    <w:rsid w:val="00047B83"/>
    <w:rsid w:val="00047EB7"/>
    <w:rsid w:val="000511B4"/>
    <w:rsid w:val="0005169B"/>
    <w:rsid w:val="000561B0"/>
    <w:rsid w:val="00056677"/>
    <w:rsid w:val="00057B62"/>
    <w:rsid w:val="00057FAD"/>
    <w:rsid w:val="00060A60"/>
    <w:rsid w:val="00062E90"/>
    <w:rsid w:val="000632BB"/>
    <w:rsid w:val="00064760"/>
    <w:rsid w:val="000665CC"/>
    <w:rsid w:val="00067650"/>
    <w:rsid w:val="00072E80"/>
    <w:rsid w:val="000846F9"/>
    <w:rsid w:val="00097AA7"/>
    <w:rsid w:val="00097E66"/>
    <w:rsid w:val="000A015A"/>
    <w:rsid w:val="000B0E8B"/>
    <w:rsid w:val="000B334D"/>
    <w:rsid w:val="000B74B5"/>
    <w:rsid w:val="000C084D"/>
    <w:rsid w:val="000C0B6B"/>
    <w:rsid w:val="000C1776"/>
    <w:rsid w:val="000C1EB6"/>
    <w:rsid w:val="000C31C0"/>
    <w:rsid w:val="000C338B"/>
    <w:rsid w:val="000C55DC"/>
    <w:rsid w:val="000E134F"/>
    <w:rsid w:val="000E5779"/>
    <w:rsid w:val="000E62BD"/>
    <w:rsid w:val="000E7C31"/>
    <w:rsid w:val="000F141D"/>
    <w:rsid w:val="000F1E7D"/>
    <w:rsid w:val="000F45FC"/>
    <w:rsid w:val="00103652"/>
    <w:rsid w:val="00103CC1"/>
    <w:rsid w:val="00116B9A"/>
    <w:rsid w:val="0011793B"/>
    <w:rsid w:val="001228E0"/>
    <w:rsid w:val="00122E4E"/>
    <w:rsid w:val="001256BE"/>
    <w:rsid w:val="00127D68"/>
    <w:rsid w:val="0013333A"/>
    <w:rsid w:val="00134840"/>
    <w:rsid w:val="00134D46"/>
    <w:rsid w:val="00136A10"/>
    <w:rsid w:val="00140359"/>
    <w:rsid w:val="0014147A"/>
    <w:rsid w:val="001432E4"/>
    <w:rsid w:val="00144D1A"/>
    <w:rsid w:val="001454E7"/>
    <w:rsid w:val="00147659"/>
    <w:rsid w:val="0015177D"/>
    <w:rsid w:val="0015227E"/>
    <w:rsid w:val="001554C5"/>
    <w:rsid w:val="00156F7C"/>
    <w:rsid w:val="0015718F"/>
    <w:rsid w:val="00157E93"/>
    <w:rsid w:val="001603F6"/>
    <w:rsid w:val="00164116"/>
    <w:rsid w:val="00167C85"/>
    <w:rsid w:val="001710F5"/>
    <w:rsid w:val="00172ED5"/>
    <w:rsid w:val="0017553D"/>
    <w:rsid w:val="00176B98"/>
    <w:rsid w:val="0018009E"/>
    <w:rsid w:val="00182FC4"/>
    <w:rsid w:val="00183ECB"/>
    <w:rsid w:val="00184FA1"/>
    <w:rsid w:val="0018539E"/>
    <w:rsid w:val="001877E3"/>
    <w:rsid w:val="00190AD3"/>
    <w:rsid w:val="001A04FF"/>
    <w:rsid w:val="001A1A9E"/>
    <w:rsid w:val="001A6BE2"/>
    <w:rsid w:val="001B365C"/>
    <w:rsid w:val="001C1404"/>
    <w:rsid w:val="001C31BE"/>
    <w:rsid w:val="001C7761"/>
    <w:rsid w:val="001D40FC"/>
    <w:rsid w:val="001E3CFD"/>
    <w:rsid w:val="001E3F01"/>
    <w:rsid w:val="001E5540"/>
    <w:rsid w:val="001F5A47"/>
    <w:rsid w:val="0020628E"/>
    <w:rsid w:val="002105FA"/>
    <w:rsid w:val="00210608"/>
    <w:rsid w:val="00213419"/>
    <w:rsid w:val="00216C49"/>
    <w:rsid w:val="00222E9F"/>
    <w:rsid w:val="00231576"/>
    <w:rsid w:val="00232A06"/>
    <w:rsid w:val="00232CDB"/>
    <w:rsid w:val="002367A3"/>
    <w:rsid w:val="002404AE"/>
    <w:rsid w:val="002457CE"/>
    <w:rsid w:val="002501FD"/>
    <w:rsid w:val="002545FE"/>
    <w:rsid w:val="00255BC0"/>
    <w:rsid w:val="00260A03"/>
    <w:rsid w:val="00261213"/>
    <w:rsid w:val="0026467F"/>
    <w:rsid w:val="00275EAC"/>
    <w:rsid w:val="00282574"/>
    <w:rsid w:val="00284096"/>
    <w:rsid w:val="00285C9C"/>
    <w:rsid w:val="00287007"/>
    <w:rsid w:val="00287914"/>
    <w:rsid w:val="002914C1"/>
    <w:rsid w:val="00295099"/>
    <w:rsid w:val="00296969"/>
    <w:rsid w:val="002B33EE"/>
    <w:rsid w:val="002B3F82"/>
    <w:rsid w:val="002B485D"/>
    <w:rsid w:val="002C0015"/>
    <w:rsid w:val="002C2096"/>
    <w:rsid w:val="002C514F"/>
    <w:rsid w:val="002C5B18"/>
    <w:rsid w:val="002D0007"/>
    <w:rsid w:val="002D7CA7"/>
    <w:rsid w:val="002F15F9"/>
    <w:rsid w:val="002F3459"/>
    <w:rsid w:val="002F7B31"/>
    <w:rsid w:val="00300598"/>
    <w:rsid w:val="003019F8"/>
    <w:rsid w:val="00301FBF"/>
    <w:rsid w:val="00303E55"/>
    <w:rsid w:val="003041DB"/>
    <w:rsid w:val="00304BB0"/>
    <w:rsid w:val="00306926"/>
    <w:rsid w:val="00310FE7"/>
    <w:rsid w:val="00313FFB"/>
    <w:rsid w:val="003145A5"/>
    <w:rsid w:val="00315F93"/>
    <w:rsid w:val="00316143"/>
    <w:rsid w:val="00320FF1"/>
    <w:rsid w:val="003230C4"/>
    <w:rsid w:val="00325EB4"/>
    <w:rsid w:val="003277B1"/>
    <w:rsid w:val="00335066"/>
    <w:rsid w:val="00343DAB"/>
    <w:rsid w:val="00344CB7"/>
    <w:rsid w:val="0034566F"/>
    <w:rsid w:val="003457C6"/>
    <w:rsid w:val="00352CD5"/>
    <w:rsid w:val="0035400B"/>
    <w:rsid w:val="00356055"/>
    <w:rsid w:val="003663ED"/>
    <w:rsid w:val="003769A6"/>
    <w:rsid w:val="0038297F"/>
    <w:rsid w:val="00384DB0"/>
    <w:rsid w:val="00385CC9"/>
    <w:rsid w:val="0039109B"/>
    <w:rsid w:val="00392027"/>
    <w:rsid w:val="00395EC8"/>
    <w:rsid w:val="003A1CCC"/>
    <w:rsid w:val="003A2286"/>
    <w:rsid w:val="003B01BF"/>
    <w:rsid w:val="003B5088"/>
    <w:rsid w:val="003C156E"/>
    <w:rsid w:val="003C2A03"/>
    <w:rsid w:val="003C3304"/>
    <w:rsid w:val="003D005B"/>
    <w:rsid w:val="003D2BFB"/>
    <w:rsid w:val="003D7913"/>
    <w:rsid w:val="003E0092"/>
    <w:rsid w:val="003E18DD"/>
    <w:rsid w:val="003F0601"/>
    <w:rsid w:val="003F25C0"/>
    <w:rsid w:val="003F3E2B"/>
    <w:rsid w:val="003F68AD"/>
    <w:rsid w:val="00400680"/>
    <w:rsid w:val="00404FC5"/>
    <w:rsid w:val="00410DCE"/>
    <w:rsid w:val="0041166B"/>
    <w:rsid w:val="00424EAC"/>
    <w:rsid w:val="00425333"/>
    <w:rsid w:val="00425F78"/>
    <w:rsid w:val="004328AF"/>
    <w:rsid w:val="00432F7B"/>
    <w:rsid w:val="00432F82"/>
    <w:rsid w:val="004352DE"/>
    <w:rsid w:val="0043547C"/>
    <w:rsid w:val="00437039"/>
    <w:rsid w:val="004409C0"/>
    <w:rsid w:val="004419C4"/>
    <w:rsid w:val="00442E4E"/>
    <w:rsid w:val="00446B00"/>
    <w:rsid w:val="00451981"/>
    <w:rsid w:val="00454BEC"/>
    <w:rsid w:val="0045558B"/>
    <w:rsid w:val="00460384"/>
    <w:rsid w:val="004607DE"/>
    <w:rsid w:val="00461489"/>
    <w:rsid w:val="004633CA"/>
    <w:rsid w:val="00467875"/>
    <w:rsid w:val="00467E28"/>
    <w:rsid w:val="00471F90"/>
    <w:rsid w:val="00472C4E"/>
    <w:rsid w:val="004756DC"/>
    <w:rsid w:val="004807AE"/>
    <w:rsid w:val="0049376D"/>
    <w:rsid w:val="00496188"/>
    <w:rsid w:val="004A439A"/>
    <w:rsid w:val="004A6866"/>
    <w:rsid w:val="004A7ECD"/>
    <w:rsid w:val="004C5B70"/>
    <w:rsid w:val="004D239F"/>
    <w:rsid w:val="004D27BE"/>
    <w:rsid w:val="004D5A16"/>
    <w:rsid w:val="004D79C3"/>
    <w:rsid w:val="004E03B2"/>
    <w:rsid w:val="004E417D"/>
    <w:rsid w:val="004E4411"/>
    <w:rsid w:val="004F12D9"/>
    <w:rsid w:val="004F2B00"/>
    <w:rsid w:val="004F358B"/>
    <w:rsid w:val="004F78FC"/>
    <w:rsid w:val="0050403F"/>
    <w:rsid w:val="00505D87"/>
    <w:rsid w:val="00510C07"/>
    <w:rsid w:val="005130A5"/>
    <w:rsid w:val="005136C1"/>
    <w:rsid w:val="005158C0"/>
    <w:rsid w:val="00517AF0"/>
    <w:rsid w:val="00521B4A"/>
    <w:rsid w:val="005240B7"/>
    <w:rsid w:val="00524977"/>
    <w:rsid w:val="00525469"/>
    <w:rsid w:val="0054034A"/>
    <w:rsid w:val="005463D6"/>
    <w:rsid w:val="00554592"/>
    <w:rsid w:val="00560D9D"/>
    <w:rsid w:val="00560DE6"/>
    <w:rsid w:val="00560FF1"/>
    <w:rsid w:val="00564079"/>
    <w:rsid w:val="00564364"/>
    <w:rsid w:val="00573337"/>
    <w:rsid w:val="00573CFA"/>
    <w:rsid w:val="00574493"/>
    <w:rsid w:val="005749EB"/>
    <w:rsid w:val="005758F2"/>
    <w:rsid w:val="0057613E"/>
    <w:rsid w:val="00580234"/>
    <w:rsid w:val="0058510A"/>
    <w:rsid w:val="00591395"/>
    <w:rsid w:val="00593579"/>
    <w:rsid w:val="00594823"/>
    <w:rsid w:val="005A08A3"/>
    <w:rsid w:val="005A1885"/>
    <w:rsid w:val="005A1E08"/>
    <w:rsid w:val="005A2EC4"/>
    <w:rsid w:val="005A49D0"/>
    <w:rsid w:val="005B1EDB"/>
    <w:rsid w:val="005B5B3B"/>
    <w:rsid w:val="005B7C41"/>
    <w:rsid w:val="005C1F3D"/>
    <w:rsid w:val="005C4814"/>
    <w:rsid w:val="005C6000"/>
    <w:rsid w:val="005C6525"/>
    <w:rsid w:val="005D475A"/>
    <w:rsid w:val="005D7CC8"/>
    <w:rsid w:val="005E02DC"/>
    <w:rsid w:val="005E2562"/>
    <w:rsid w:val="005E3475"/>
    <w:rsid w:val="005F4313"/>
    <w:rsid w:val="005F5A67"/>
    <w:rsid w:val="006015A0"/>
    <w:rsid w:val="00604274"/>
    <w:rsid w:val="00606341"/>
    <w:rsid w:val="006063F7"/>
    <w:rsid w:val="00614C97"/>
    <w:rsid w:val="00615C4F"/>
    <w:rsid w:val="00624B35"/>
    <w:rsid w:val="00624DF7"/>
    <w:rsid w:val="00625017"/>
    <w:rsid w:val="0062790A"/>
    <w:rsid w:val="00633106"/>
    <w:rsid w:val="006363AE"/>
    <w:rsid w:val="00637AF8"/>
    <w:rsid w:val="00642431"/>
    <w:rsid w:val="00642B57"/>
    <w:rsid w:val="006441B3"/>
    <w:rsid w:val="00650413"/>
    <w:rsid w:val="00651255"/>
    <w:rsid w:val="0065317C"/>
    <w:rsid w:val="00661A29"/>
    <w:rsid w:val="00666115"/>
    <w:rsid w:val="0066616D"/>
    <w:rsid w:val="00672340"/>
    <w:rsid w:val="0067630D"/>
    <w:rsid w:val="0067713E"/>
    <w:rsid w:val="00680AB2"/>
    <w:rsid w:val="006815BD"/>
    <w:rsid w:val="00684B70"/>
    <w:rsid w:val="00690E89"/>
    <w:rsid w:val="006938A3"/>
    <w:rsid w:val="006949C7"/>
    <w:rsid w:val="00696325"/>
    <w:rsid w:val="00696A52"/>
    <w:rsid w:val="006974B8"/>
    <w:rsid w:val="00697F2A"/>
    <w:rsid w:val="006A0B6D"/>
    <w:rsid w:val="006A0E15"/>
    <w:rsid w:val="006A45C3"/>
    <w:rsid w:val="006B3DB5"/>
    <w:rsid w:val="006B517C"/>
    <w:rsid w:val="006B58F9"/>
    <w:rsid w:val="006C15FD"/>
    <w:rsid w:val="006C78FE"/>
    <w:rsid w:val="006D0718"/>
    <w:rsid w:val="006D294A"/>
    <w:rsid w:val="006D58AA"/>
    <w:rsid w:val="006D6FDB"/>
    <w:rsid w:val="006E1FA9"/>
    <w:rsid w:val="006E3ED9"/>
    <w:rsid w:val="006E4566"/>
    <w:rsid w:val="006E7BB3"/>
    <w:rsid w:val="006E7F51"/>
    <w:rsid w:val="00701DA7"/>
    <w:rsid w:val="00703931"/>
    <w:rsid w:val="00704672"/>
    <w:rsid w:val="00704895"/>
    <w:rsid w:val="00706484"/>
    <w:rsid w:val="00711409"/>
    <w:rsid w:val="00712D47"/>
    <w:rsid w:val="00716B37"/>
    <w:rsid w:val="00725A16"/>
    <w:rsid w:val="00726A93"/>
    <w:rsid w:val="00726D82"/>
    <w:rsid w:val="00730292"/>
    <w:rsid w:val="00733BD7"/>
    <w:rsid w:val="00735E2E"/>
    <w:rsid w:val="007360D6"/>
    <w:rsid w:val="00740096"/>
    <w:rsid w:val="00747C76"/>
    <w:rsid w:val="00751E6F"/>
    <w:rsid w:val="00757877"/>
    <w:rsid w:val="00763B88"/>
    <w:rsid w:val="0076488E"/>
    <w:rsid w:val="00767682"/>
    <w:rsid w:val="00773119"/>
    <w:rsid w:val="00773397"/>
    <w:rsid w:val="00773AEB"/>
    <w:rsid w:val="0077413F"/>
    <w:rsid w:val="00775885"/>
    <w:rsid w:val="00777D52"/>
    <w:rsid w:val="0078068D"/>
    <w:rsid w:val="007836B0"/>
    <w:rsid w:val="00784EE5"/>
    <w:rsid w:val="00790CC0"/>
    <w:rsid w:val="007912F6"/>
    <w:rsid w:val="00792478"/>
    <w:rsid w:val="007A1A0A"/>
    <w:rsid w:val="007A4665"/>
    <w:rsid w:val="007B158A"/>
    <w:rsid w:val="007B1A6D"/>
    <w:rsid w:val="007B3579"/>
    <w:rsid w:val="007C2205"/>
    <w:rsid w:val="007C72B6"/>
    <w:rsid w:val="007D20F8"/>
    <w:rsid w:val="007D36B7"/>
    <w:rsid w:val="007D4961"/>
    <w:rsid w:val="007D4FED"/>
    <w:rsid w:val="007D5B78"/>
    <w:rsid w:val="007E0BC2"/>
    <w:rsid w:val="007E0CDE"/>
    <w:rsid w:val="007E4396"/>
    <w:rsid w:val="007E6823"/>
    <w:rsid w:val="00800D2D"/>
    <w:rsid w:val="008132EB"/>
    <w:rsid w:val="008164B3"/>
    <w:rsid w:val="0082387B"/>
    <w:rsid w:val="00830AEE"/>
    <w:rsid w:val="008348A3"/>
    <w:rsid w:val="00842281"/>
    <w:rsid w:val="008438E3"/>
    <w:rsid w:val="00843C64"/>
    <w:rsid w:val="00843FD9"/>
    <w:rsid w:val="00852523"/>
    <w:rsid w:val="00854B79"/>
    <w:rsid w:val="0086155C"/>
    <w:rsid w:val="0087021F"/>
    <w:rsid w:val="008705FD"/>
    <w:rsid w:val="0088251E"/>
    <w:rsid w:val="0088687C"/>
    <w:rsid w:val="00890ABB"/>
    <w:rsid w:val="00891849"/>
    <w:rsid w:val="00893AE5"/>
    <w:rsid w:val="008A39EF"/>
    <w:rsid w:val="008A65E9"/>
    <w:rsid w:val="008B0E17"/>
    <w:rsid w:val="008B3481"/>
    <w:rsid w:val="008B4344"/>
    <w:rsid w:val="008B66CA"/>
    <w:rsid w:val="008C3F35"/>
    <w:rsid w:val="008C4F88"/>
    <w:rsid w:val="008C5763"/>
    <w:rsid w:val="008E0FF9"/>
    <w:rsid w:val="008E2D98"/>
    <w:rsid w:val="008F192B"/>
    <w:rsid w:val="008F2BA9"/>
    <w:rsid w:val="008F3D7F"/>
    <w:rsid w:val="009016B7"/>
    <w:rsid w:val="00902F0E"/>
    <w:rsid w:val="00910A8E"/>
    <w:rsid w:val="00913211"/>
    <w:rsid w:val="00913786"/>
    <w:rsid w:val="00913D47"/>
    <w:rsid w:val="009167BF"/>
    <w:rsid w:val="00924775"/>
    <w:rsid w:val="00927BF9"/>
    <w:rsid w:val="009313B5"/>
    <w:rsid w:val="00933544"/>
    <w:rsid w:val="00943608"/>
    <w:rsid w:val="009467ED"/>
    <w:rsid w:val="00951A77"/>
    <w:rsid w:val="00952EA0"/>
    <w:rsid w:val="0095425C"/>
    <w:rsid w:val="009571E1"/>
    <w:rsid w:val="00966A1B"/>
    <w:rsid w:val="009754CF"/>
    <w:rsid w:val="0097582C"/>
    <w:rsid w:val="00977BF5"/>
    <w:rsid w:val="00981F44"/>
    <w:rsid w:val="00984D5F"/>
    <w:rsid w:val="009871AE"/>
    <w:rsid w:val="009871F4"/>
    <w:rsid w:val="00992230"/>
    <w:rsid w:val="00992E50"/>
    <w:rsid w:val="009A0B72"/>
    <w:rsid w:val="009A47B8"/>
    <w:rsid w:val="009B1E35"/>
    <w:rsid w:val="009B3F85"/>
    <w:rsid w:val="009B5FB5"/>
    <w:rsid w:val="009B6CE1"/>
    <w:rsid w:val="009B7AED"/>
    <w:rsid w:val="009C05E6"/>
    <w:rsid w:val="009C2CE2"/>
    <w:rsid w:val="009C6DFD"/>
    <w:rsid w:val="009D5776"/>
    <w:rsid w:val="009D5930"/>
    <w:rsid w:val="009D59DF"/>
    <w:rsid w:val="009D7FD9"/>
    <w:rsid w:val="009F22FA"/>
    <w:rsid w:val="009F3155"/>
    <w:rsid w:val="009F73D4"/>
    <w:rsid w:val="00A00339"/>
    <w:rsid w:val="00A00841"/>
    <w:rsid w:val="00A0149A"/>
    <w:rsid w:val="00A029C1"/>
    <w:rsid w:val="00A0736D"/>
    <w:rsid w:val="00A20BD9"/>
    <w:rsid w:val="00A231A5"/>
    <w:rsid w:val="00A33B29"/>
    <w:rsid w:val="00A4606B"/>
    <w:rsid w:val="00A506D8"/>
    <w:rsid w:val="00A5125F"/>
    <w:rsid w:val="00A53A82"/>
    <w:rsid w:val="00A57D18"/>
    <w:rsid w:val="00A62C32"/>
    <w:rsid w:val="00A635BD"/>
    <w:rsid w:val="00A63E82"/>
    <w:rsid w:val="00A65250"/>
    <w:rsid w:val="00A73B2D"/>
    <w:rsid w:val="00A77C05"/>
    <w:rsid w:val="00A81ED4"/>
    <w:rsid w:val="00A83D21"/>
    <w:rsid w:val="00A871ED"/>
    <w:rsid w:val="00AA450B"/>
    <w:rsid w:val="00AA5305"/>
    <w:rsid w:val="00AA5552"/>
    <w:rsid w:val="00AA5641"/>
    <w:rsid w:val="00AC2357"/>
    <w:rsid w:val="00AD025E"/>
    <w:rsid w:val="00AD0AE2"/>
    <w:rsid w:val="00AD23A8"/>
    <w:rsid w:val="00AD6DCB"/>
    <w:rsid w:val="00AD7D09"/>
    <w:rsid w:val="00AE0510"/>
    <w:rsid w:val="00AE25B1"/>
    <w:rsid w:val="00AE3540"/>
    <w:rsid w:val="00AE7EE9"/>
    <w:rsid w:val="00AF1A6F"/>
    <w:rsid w:val="00AF2564"/>
    <w:rsid w:val="00AF310A"/>
    <w:rsid w:val="00AF3DC9"/>
    <w:rsid w:val="00AF4F2E"/>
    <w:rsid w:val="00AF5BDF"/>
    <w:rsid w:val="00AF61AE"/>
    <w:rsid w:val="00B0173C"/>
    <w:rsid w:val="00B022C1"/>
    <w:rsid w:val="00B11A4E"/>
    <w:rsid w:val="00B160D7"/>
    <w:rsid w:val="00B16A09"/>
    <w:rsid w:val="00B1772A"/>
    <w:rsid w:val="00B22AB1"/>
    <w:rsid w:val="00B24A19"/>
    <w:rsid w:val="00B27C64"/>
    <w:rsid w:val="00B300E6"/>
    <w:rsid w:val="00B4044C"/>
    <w:rsid w:val="00B43749"/>
    <w:rsid w:val="00B52608"/>
    <w:rsid w:val="00B534AA"/>
    <w:rsid w:val="00B54736"/>
    <w:rsid w:val="00B553C3"/>
    <w:rsid w:val="00B565F2"/>
    <w:rsid w:val="00B65FAC"/>
    <w:rsid w:val="00B7071A"/>
    <w:rsid w:val="00B71F1A"/>
    <w:rsid w:val="00B72CF5"/>
    <w:rsid w:val="00B73C8D"/>
    <w:rsid w:val="00B8331F"/>
    <w:rsid w:val="00B86CCD"/>
    <w:rsid w:val="00B918C3"/>
    <w:rsid w:val="00B931B0"/>
    <w:rsid w:val="00B94D55"/>
    <w:rsid w:val="00BA0108"/>
    <w:rsid w:val="00BA19CB"/>
    <w:rsid w:val="00BA1FD4"/>
    <w:rsid w:val="00BA59C2"/>
    <w:rsid w:val="00BA68A1"/>
    <w:rsid w:val="00BA6C7A"/>
    <w:rsid w:val="00BA72F8"/>
    <w:rsid w:val="00BB1DD1"/>
    <w:rsid w:val="00BB3ADF"/>
    <w:rsid w:val="00BB72C9"/>
    <w:rsid w:val="00BC0A4B"/>
    <w:rsid w:val="00BC48C8"/>
    <w:rsid w:val="00BC5C75"/>
    <w:rsid w:val="00BC5F07"/>
    <w:rsid w:val="00BC7D90"/>
    <w:rsid w:val="00BD1E99"/>
    <w:rsid w:val="00BD5DF0"/>
    <w:rsid w:val="00BD77D9"/>
    <w:rsid w:val="00BE2B28"/>
    <w:rsid w:val="00BE44F9"/>
    <w:rsid w:val="00BE4990"/>
    <w:rsid w:val="00BF0B5C"/>
    <w:rsid w:val="00BF11D4"/>
    <w:rsid w:val="00BF2118"/>
    <w:rsid w:val="00BF69B3"/>
    <w:rsid w:val="00BF6E4E"/>
    <w:rsid w:val="00C107BF"/>
    <w:rsid w:val="00C10B1E"/>
    <w:rsid w:val="00C1249E"/>
    <w:rsid w:val="00C12C54"/>
    <w:rsid w:val="00C14604"/>
    <w:rsid w:val="00C20623"/>
    <w:rsid w:val="00C20A4E"/>
    <w:rsid w:val="00C228AC"/>
    <w:rsid w:val="00C31369"/>
    <w:rsid w:val="00C354B1"/>
    <w:rsid w:val="00C41E14"/>
    <w:rsid w:val="00C47B06"/>
    <w:rsid w:val="00C508F3"/>
    <w:rsid w:val="00C50F8C"/>
    <w:rsid w:val="00C53B9C"/>
    <w:rsid w:val="00C543C1"/>
    <w:rsid w:val="00C6164B"/>
    <w:rsid w:val="00C758B5"/>
    <w:rsid w:val="00C775CC"/>
    <w:rsid w:val="00C86E07"/>
    <w:rsid w:val="00C9040E"/>
    <w:rsid w:val="00C95065"/>
    <w:rsid w:val="00C97302"/>
    <w:rsid w:val="00C97EB6"/>
    <w:rsid w:val="00CA2F50"/>
    <w:rsid w:val="00CA7D49"/>
    <w:rsid w:val="00CB178F"/>
    <w:rsid w:val="00CC20B6"/>
    <w:rsid w:val="00CC4B98"/>
    <w:rsid w:val="00CD040C"/>
    <w:rsid w:val="00CD367E"/>
    <w:rsid w:val="00CD3EA4"/>
    <w:rsid w:val="00CD55DD"/>
    <w:rsid w:val="00CD5B0E"/>
    <w:rsid w:val="00CE29A1"/>
    <w:rsid w:val="00CE470E"/>
    <w:rsid w:val="00CE5DCB"/>
    <w:rsid w:val="00CF140C"/>
    <w:rsid w:val="00CF267D"/>
    <w:rsid w:val="00CF3E81"/>
    <w:rsid w:val="00CF48CC"/>
    <w:rsid w:val="00CF6BCE"/>
    <w:rsid w:val="00D0056E"/>
    <w:rsid w:val="00D009AB"/>
    <w:rsid w:val="00D07C28"/>
    <w:rsid w:val="00D13DCA"/>
    <w:rsid w:val="00D215FC"/>
    <w:rsid w:val="00D23A12"/>
    <w:rsid w:val="00D23CE1"/>
    <w:rsid w:val="00D27C85"/>
    <w:rsid w:val="00D30663"/>
    <w:rsid w:val="00D354AD"/>
    <w:rsid w:val="00D35636"/>
    <w:rsid w:val="00D36D6C"/>
    <w:rsid w:val="00D51BEF"/>
    <w:rsid w:val="00D53984"/>
    <w:rsid w:val="00D55187"/>
    <w:rsid w:val="00D55517"/>
    <w:rsid w:val="00D55756"/>
    <w:rsid w:val="00D57C05"/>
    <w:rsid w:val="00D57D2B"/>
    <w:rsid w:val="00D60694"/>
    <w:rsid w:val="00D6272A"/>
    <w:rsid w:val="00D6398B"/>
    <w:rsid w:val="00D64459"/>
    <w:rsid w:val="00D662D8"/>
    <w:rsid w:val="00D7071A"/>
    <w:rsid w:val="00D709DA"/>
    <w:rsid w:val="00D73477"/>
    <w:rsid w:val="00D74B43"/>
    <w:rsid w:val="00D76815"/>
    <w:rsid w:val="00D81C50"/>
    <w:rsid w:val="00D81EE2"/>
    <w:rsid w:val="00D82320"/>
    <w:rsid w:val="00D84111"/>
    <w:rsid w:val="00D8494B"/>
    <w:rsid w:val="00D86DA4"/>
    <w:rsid w:val="00D90CAD"/>
    <w:rsid w:val="00D9212C"/>
    <w:rsid w:val="00D9249C"/>
    <w:rsid w:val="00DA354C"/>
    <w:rsid w:val="00DA5A7B"/>
    <w:rsid w:val="00DB2041"/>
    <w:rsid w:val="00DB390C"/>
    <w:rsid w:val="00DB3989"/>
    <w:rsid w:val="00DB5D81"/>
    <w:rsid w:val="00DB6590"/>
    <w:rsid w:val="00DB74E0"/>
    <w:rsid w:val="00DC0C77"/>
    <w:rsid w:val="00DC2C19"/>
    <w:rsid w:val="00DC5B54"/>
    <w:rsid w:val="00DC6AC4"/>
    <w:rsid w:val="00DD2C5A"/>
    <w:rsid w:val="00DD32B8"/>
    <w:rsid w:val="00DD6C33"/>
    <w:rsid w:val="00DD7D6B"/>
    <w:rsid w:val="00DF15DD"/>
    <w:rsid w:val="00DF19AA"/>
    <w:rsid w:val="00DF64F6"/>
    <w:rsid w:val="00DF68A8"/>
    <w:rsid w:val="00E032A7"/>
    <w:rsid w:val="00E04339"/>
    <w:rsid w:val="00E112E6"/>
    <w:rsid w:val="00E12FAA"/>
    <w:rsid w:val="00E17498"/>
    <w:rsid w:val="00E22AEC"/>
    <w:rsid w:val="00E307A0"/>
    <w:rsid w:val="00E340FF"/>
    <w:rsid w:val="00E4103E"/>
    <w:rsid w:val="00E45453"/>
    <w:rsid w:val="00E47763"/>
    <w:rsid w:val="00E47781"/>
    <w:rsid w:val="00E50BE9"/>
    <w:rsid w:val="00E5123E"/>
    <w:rsid w:val="00E535CA"/>
    <w:rsid w:val="00E546A0"/>
    <w:rsid w:val="00E56D65"/>
    <w:rsid w:val="00E56F0D"/>
    <w:rsid w:val="00E5777D"/>
    <w:rsid w:val="00E6379E"/>
    <w:rsid w:val="00E66752"/>
    <w:rsid w:val="00E67F0C"/>
    <w:rsid w:val="00E703F0"/>
    <w:rsid w:val="00E71AF5"/>
    <w:rsid w:val="00E71D03"/>
    <w:rsid w:val="00E75D0A"/>
    <w:rsid w:val="00E76FA2"/>
    <w:rsid w:val="00E80F4F"/>
    <w:rsid w:val="00E83E86"/>
    <w:rsid w:val="00E85558"/>
    <w:rsid w:val="00E9194F"/>
    <w:rsid w:val="00E91F6C"/>
    <w:rsid w:val="00E96B2F"/>
    <w:rsid w:val="00EA3F31"/>
    <w:rsid w:val="00EA415F"/>
    <w:rsid w:val="00EB0D9B"/>
    <w:rsid w:val="00EB4004"/>
    <w:rsid w:val="00ED1CE0"/>
    <w:rsid w:val="00EE1093"/>
    <w:rsid w:val="00EE4892"/>
    <w:rsid w:val="00EE5E2D"/>
    <w:rsid w:val="00EE7027"/>
    <w:rsid w:val="00EE7534"/>
    <w:rsid w:val="00EF0D68"/>
    <w:rsid w:val="00EF1CD3"/>
    <w:rsid w:val="00EF479F"/>
    <w:rsid w:val="00EF6539"/>
    <w:rsid w:val="00F05D2E"/>
    <w:rsid w:val="00F06DDB"/>
    <w:rsid w:val="00F115A8"/>
    <w:rsid w:val="00F15BA7"/>
    <w:rsid w:val="00F174E9"/>
    <w:rsid w:val="00F17A77"/>
    <w:rsid w:val="00F2110B"/>
    <w:rsid w:val="00F23246"/>
    <w:rsid w:val="00F2656C"/>
    <w:rsid w:val="00F33B95"/>
    <w:rsid w:val="00F34844"/>
    <w:rsid w:val="00F362D9"/>
    <w:rsid w:val="00F40306"/>
    <w:rsid w:val="00F41439"/>
    <w:rsid w:val="00F428C5"/>
    <w:rsid w:val="00F42B20"/>
    <w:rsid w:val="00F45CBB"/>
    <w:rsid w:val="00F50076"/>
    <w:rsid w:val="00F5095A"/>
    <w:rsid w:val="00F513B0"/>
    <w:rsid w:val="00F60007"/>
    <w:rsid w:val="00F61557"/>
    <w:rsid w:val="00F63791"/>
    <w:rsid w:val="00F70603"/>
    <w:rsid w:val="00F708F1"/>
    <w:rsid w:val="00F745F2"/>
    <w:rsid w:val="00F80992"/>
    <w:rsid w:val="00F8102B"/>
    <w:rsid w:val="00F8150E"/>
    <w:rsid w:val="00F906D6"/>
    <w:rsid w:val="00F94883"/>
    <w:rsid w:val="00FA158A"/>
    <w:rsid w:val="00FA4750"/>
    <w:rsid w:val="00FC0FBE"/>
    <w:rsid w:val="00FC5858"/>
    <w:rsid w:val="00FC7191"/>
    <w:rsid w:val="00FD294F"/>
    <w:rsid w:val="00FD7274"/>
    <w:rsid w:val="00FD7B47"/>
    <w:rsid w:val="00FE214F"/>
    <w:rsid w:val="00FE2A93"/>
    <w:rsid w:val="00FF13C1"/>
    <w:rsid w:val="00FF1FF7"/>
    <w:rsid w:val="00FF41DD"/>
    <w:rsid w:val="00FF5D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33473C"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33473C" w:themeColor="text2" w:themeShade="BF"/>
      <w:sz w:val="28"/>
      <w:szCs w:val="28"/>
    </w:rPr>
  </w:style>
  <w:style w:type="paragraph" w:styleId="Heading3">
    <w:name w:val="heading 3"/>
    <w:basedOn w:val="Normal1"/>
    <w:next w:val="Normal1"/>
    <w:rsid w:val="00356055"/>
    <w:pPr>
      <w:keepNext/>
      <w:keepLines/>
      <w:pBdr>
        <w:top w:val="nil"/>
        <w:left w:val="nil"/>
        <w:bottom w:val="nil"/>
        <w:right w:val="nil"/>
        <w:between w:val="nil"/>
      </w:pBdr>
      <w:spacing w:before="320" w:after="80"/>
      <w:outlineLvl w:val="2"/>
    </w:pPr>
    <w:rPr>
      <w:rFonts w:ascii="Franklin Gothic Book" w:hAnsi="Franklin Gothic Book"/>
      <w:color w:val="434343"/>
      <w:sz w:val="24"/>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7E6823"/>
    <w:pPr>
      <w:spacing w:before="120" w:line="360" w:lineRule="auto"/>
    </w:pPr>
    <w:rPr>
      <w:rFonts w:asciiTheme="minorHAnsi" w:hAnsiTheme="minorHAnsi"/>
      <w:b/>
      <w:sz w:val="24"/>
      <w:szCs w:val="24"/>
    </w:rPr>
  </w:style>
  <w:style w:type="paragraph" w:styleId="TOC2">
    <w:name w:val="toc 2"/>
    <w:basedOn w:val="Normal"/>
    <w:next w:val="Normal"/>
    <w:autoRedefine/>
    <w:uiPriority w:val="39"/>
    <w:unhideWhenUsed/>
    <w:rsid w:val="007D5B78"/>
    <w:pPr>
      <w:ind w:left="220"/>
      <w:jc w:val="left"/>
    </w:pPr>
    <w:rPr>
      <w:rFonts w:asciiTheme="minorHAnsi" w:hAnsiTheme="minorHAnsi"/>
      <w:b/>
    </w:rPr>
  </w:style>
  <w:style w:type="paragraph" w:styleId="TOC3">
    <w:name w:val="toc 3"/>
    <w:basedOn w:val="Normal"/>
    <w:next w:val="Normal"/>
    <w:autoRedefine/>
    <w:uiPriority w:val="39"/>
    <w:unhideWhenUsed/>
    <w:rsid w:val="00BF6E4E"/>
    <w:pPr>
      <w:ind w:left="440"/>
      <w:jc w:val="left"/>
    </w:pPr>
    <w:rPr>
      <w:rFonts w:asciiTheme="minorHAnsi" w:hAnsiTheme="minorHAnsi"/>
    </w:rPr>
  </w:style>
  <w:style w:type="character" w:styleId="FollowedHyperlink">
    <w:name w:val="FollowedHyperlink"/>
    <w:basedOn w:val="DefaultParagraphFont"/>
    <w:uiPriority w:val="99"/>
    <w:semiHidden/>
    <w:unhideWhenUsed/>
    <w:rsid w:val="00952EA0"/>
    <w:rPr>
      <w:color w:val="BA6906"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BodyText">
    <w:name w:val="Body Text"/>
    <w:basedOn w:val="Normal"/>
    <w:link w:val="BodyTextChar"/>
    <w:uiPriority w:val="1"/>
    <w:qFormat/>
    <w:rsid w:val="00E703F0"/>
    <w:rPr>
      <w:lang w:val="en-GB"/>
    </w:rPr>
  </w:style>
  <w:style w:type="character" w:customStyle="1" w:styleId="BodyTextChar">
    <w:name w:val="Body Text Char"/>
    <w:basedOn w:val="DefaultParagraphFont"/>
    <w:link w:val="BodyText"/>
    <w:uiPriority w:val="1"/>
    <w:rsid w:val="00E703F0"/>
    <w:rPr>
      <w:rFonts w:ascii="Franklin Gothic Book" w:hAnsi="Franklin Gothic Book"/>
      <w:lang w:val="en-GB"/>
    </w:rPr>
  </w:style>
  <w:style w:type="paragraph" w:styleId="NormalWeb">
    <w:name w:val="Normal (Web)"/>
    <w:basedOn w:val="Normal"/>
    <w:uiPriority w:val="99"/>
    <w:unhideWhenUsed/>
    <w:rsid w:val="00E50BE9"/>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UnresolvedMention3">
    <w:name w:val="Unresolved Mention3"/>
    <w:basedOn w:val="DefaultParagraphFont"/>
    <w:uiPriority w:val="99"/>
    <w:semiHidden/>
    <w:unhideWhenUsed/>
    <w:rsid w:val="000C0B6B"/>
    <w:rPr>
      <w:color w:val="605E5C"/>
      <w:shd w:val="clear" w:color="auto" w:fill="E1DFDD"/>
    </w:rPr>
  </w:style>
  <w:style w:type="character" w:styleId="PageNumber">
    <w:name w:val="page number"/>
    <w:basedOn w:val="DefaultParagraphFont"/>
    <w:uiPriority w:val="99"/>
    <w:semiHidden/>
    <w:unhideWhenUsed/>
    <w:rsid w:val="00C10B1E"/>
  </w:style>
  <w:style w:type="paragraph" w:styleId="Revision">
    <w:name w:val="Revision"/>
    <w:hidden/>
    <w:uiPriority w:val="99"/>
    <w:semiHidden/>
    <w:rsid w:val="00C10B1E"/>
    <w:pPr>
      <w:spacing w:line="240" w:lineRule="auto"/>
      <w:contextualSpacing w:val="0"/>
    </w:pPr>
    <w:rPr>
      <w:rFonts w:ascii="Franklin Gothic Book" w:hAnsi="Franklin Gothic Book"/>
    </w:rPr>
  </w:style>
  <w:style w:type="character" w:customStyle="1" w:styleId="UnresolvedMention4">
    <w:name w:val="Unresolved Mention4"/>
    <w:basedOn w:val="DefaultParagraphFont"/>
    <w:uiPriority w:val="99"/>
    <w:semiHidden/>
    <w:unhideWhenUsed/>
    <w:rsid w:val="00FA4750"/>
    <w:rPr>
      <w:color w:val="605E5C"/>
      <w:shd w:val="clear" w:color="auto" w:fill="E1DFDD"/>
    </w:rPr>
  </w:style>
  <w:style w:type="paragraph" w:customStyle="1" w:styleId="Normal2">
    <w:name w:val="Normal2"/>
    <w:rsid w:val="00D86DA4"/>
    <w:pPr>
      <w:spacing w:line="240" w:lineRule="auto"/>
      <w:contextualSpacing w:val="0"/>
    </w:pPr>
    <w:rPr>
      <w:rFonts w:ascii="Cambria" w:eastAsia="Cambria" w:hAnsi="Cambria" w:cs="Cambria"/>
      <w:sz w:val="24"/>
      <w:szCs w:val="24"/>
      <w:lang w:val="en-US"/>
    </w:rPr>
  </w:style>
  <w:style w:type="character" w:customStyle="1" w:styleId="highlight">
    <w:name w:val="highlight"/>
    <w:basedOn w:val="DefaultParagraphFont"/>
    <w:rsid w:val="007E4396"/>
  </w:style>
  <w:style w:type="character" w:styleId="Strong">
    <w:name w:val="Strong"/>
    <w:basedOn w:val="DefaultParagraphFont"/>
    <w:uiPriority w:val="22"/>
    <w:qFormat/>
    <w:rsid w:val="00275EAC"/>
    <w:rPr>
      <w:b/>
      <w:bCs/>
    </w:rPr>
  </w:style>
  <w:style w:type="character" w:customStyle="1" w:styleId="UnresolvedMention">
    <w:name w:val="Unresolved Mention"/>
    <w:basedOn w:val="DefaultParagraphFont"/>
    <w:uiPriority w:val="99"/>
    <w:semiHidden/>
    <w:unhideWhenUsed/>
    <w:rsid w:val="00026987"/>
    <w:rPr>
      <w:color w:val="605E5C"/>
      <w:shd w:val="clear" w:color="auto" w:fill="E1DFDD"/>
    </w:rPr>
  </w:style>
  <w:style w:type="paragraph" w:styleId="EndnoteText">
    <w:name w:val="endnote text"/>
    <w:basedOn w:val="Normal"/>
    <w:link w:val="EndnoteTextChar"/>
    <w:uiPriority w:val="99"/>
    <w:semiHidden/>
    <w:unhideWhenUsed/>
    <w:rsid w:val="006D58AA"/>
    <w:pPr>
      <w:spacing w:line="240" w:lineRule="auto"/>
      <w:contextualSpacing w:val="0"/>
      <w:jc w:val="left"/>
    </w:pPr>
    <w:rPr>
      <w:rFonts w:asciiTheme="minorHAnsi" w:eastAsiaTheme="minorEastAsia" w:hAnsiTheme="minorHAnsi" w:cstheme="minorBidi"/>
      <w:sz w:val="20"/>
      <w:szCs w:val="20"/>
      <w:lang w:val="fr-FR" w:eastAsia="fr-FR"/>
    </w:rPr>
  </w:style>
  <w:style w:type="character" w:customStyle="1" w:styleId="EndnoteTextChar">
    <w:name w:val="Endnote Text Char"/>
    <w:basedOn w:val="DefaultParagraphFont"/>
    <w:link w:val="EndnoteText"/>
    <w:uiPriority w:val="99"/>
    <w:semiHidden/>
    <w:rsid w:val="006D58AA"/>
    <w:rPr>
      <w:rFonts w:asciiTheme="minorHAnsi" w:eastAsiaTheme="minorEastAsia" w:hAnsiTheme="minorHAnsi" w:cstheme="minorBidi"/>
      <w:sz w:val="20"/>
      <w:szCs w:val="20"/>
      <w:lang w:val="fr-FR" w:eastAsia="fr-FR"/>
    </w:rPr>
  </w:style>
  <w:style w:type="paragraph" w:styleId="TOC4">
    <w:name w:val="toc 4"/>
    <w:basedOn w:val="Normal"/>
    <w:next w:val="Normal"/>
    <w:autoRedefine/>
    <w:uiPriority w:val="39"/>
    <w:unhideWhenUsed/>
    <w:rsid w:val="004352DE"/>
    <w:pPr>
      <w:ind w:left="660"/>
      <w:jc w:val="left"/>
    </w:pPr>
    <w:rPr>
      <w:rFonts w:asciiTheme="minorHAnsi" w:hAnsiTheme="minorHAnsi"/>
      <w:sz w:val="20"/>
      <w:szCs w:val="20"/>
    </w:rPr>
  </w:style>
  <w:style w:type="paragraph" w:styleId="TOC5">
    <w:name w:val="toc 5"/>
    <w:basedOn w:val="Normal"/>
    <w:next w:val="Normal"/>
    <w:autoRedefine/>
    <w:uiPriority w:val="39"/>
    <w:unhideWhenUsed/>
    <w:rsid w:val="004352DE"/>
    <w:pPr>
      <w:ind w:left="880"/>
      <w:jc w:val="left"/>
    </w:pPr>
    <w:rPr>
      <w:rFonts w:asciiTheme="minorHAnsi" w:hAnsiTheme="minorHAnsi"/>
      <w:sz w:val="20"/>
      <w:szCs w:val="20"/>
    </w:rPr>
  </w:style>
  <w:style w:type="paragraph" w:styleId="TOC6">
    <w:name w:val="toc 6"/>
    <w:basedOn w:val="Normal"/>
    <w:next w:val="Normal"/>
    <w:autoRedefine/>
    <w:uiPriority w:val="39"/>
    <w:unhideWhenUsed/>
    <w:rsid w:val="004352DE"/>
    <w:pPr>
      <w:ind w:left="1100"/>
      <w:jc w:val="left"/>
    </w:pPr>
    <w:rPr>
      <w:rFonts w:asciiTheme="minorHAnsi" w:hAnsiTheme="minorHAnsi"/>
      <w:sz w:val="20"/>
      <w:szCs w:val="20"/>
    </w:rPr>
  </w:style>
  <w:style w:type="paragraph" w:styleId="TOC7">
    <w:name w:val="toc 7"/>
    <w:basedOn w:val="Normal"/>
    <w:next w:val="Normal"/>
    <w:autoRedefine/>
    <w:uiPriority w:val="39"/>
    <w:unhideWhenUsed/>
    <w:rsid w:val="004352DE"/>
    <w:pPr>
      <w:ind w:left="1320"/>
      <w:jc w:val="left"/>
    </w:pPr>
    <w:rPr>
      <w:rFonts w:asciiTheme="minorHAnsi" w:hAnsiTheme="minorHAnsi"/>
      <w:sz w:val="20"/>
      <w:szCs w:val="20"/>
    </w:rPr>
  </w:style>
  <w:style w:type="paragraph" w:styleId="TOC8">
    <w:name w:val="toc 8"/>
    <w:basedOn w:val="Normal"/>
    <w:next w:val="Normal"/>
    <w:autoRedefine/>
    <w:uiPriority w:val="39"/>
    <w:unhideWhenUsed/>
    <w:rsid w:val="004352DE"/>
    <w:pPr>
      <w:ind w:left="1540"/>
      <w:jc w:val="left"/>
    </w:pPr>
    <w:rPr>
      <w:rFonts w:asciiTheme="minorHAnsi" w:hAnsiTheme="minorHAnsi"/>
      <w:sz w:val="20"/>
      <w:szCs w:val="20"/>
    </w:rPr>
  </w:style>
  <w:style w:type="paragraph" w:styleId="TOC9">
    <w:name w:val="toc 9"/>
    <w:basedOn w:val="Normal"/>
    <w:next w:val="Normal"/>
    <w:autoRedefine/>
    <w:uiPriority w:val="39"/>
    <w:unhideWhenUsed/>
    <w:rsid w:val="004352DE"/>
    <w:pPr>
      <w:ind w:left="1760"/>
      <w:jc w:val="left"/>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33473C"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33473C" w:themeColor="text2" w:themeShade="BF"/>
      <w:sz w:val="28"/>
      <w:szCs w:val="28"/>
    </w:rPr>
  </w:style>
  <w:style w:type="paragraph" w:styleId="Heading3">
    <w:name w:val="heading 3"/>
    <w:basedOn w:val="Normal1"/>
    <w:next w:val="Normal1"/>
    <w:rsid w:val="00356055"/>
    <w:pPr>
      <w:keepNext/>
      <w:keepLines/>
      <w:pBdr>
        <w:top w:val="nil"/>
        <w:left w:val="nil"/>
        <w:bottom w:val="nil"/>
        <w:right w:val="nil"/>
        <w:between w:val="nil"/>
      </w:pBdr>
      <w:spacing w:before="320" w:after="80"/>
      <w:outlineLvl w:val="2"/>
    </w:pPr>
    <w:rPr>
      <w:rFonts w:ascii="Franklin Gothic Book" w:hAnsi="Franklin Gothic Book"/>
      <w:color w:val="434343"/>
      <w:sz w:val="24"/>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7E6823"/>
    <w:pPr>
      <w:spacing w:before="120" w:line="360" w:lineRule="auto"/>
    </w:pPr>
    <w:rPr>
      <w:rFonts w:asciiTheme="minorHAnsi" w:hAnsiTheme="minorHAnsi"/>
      <w:b/>
      <w:sz w:val="24"/>
      <w:szCs w:val="24"/>
    </w:rPr>
  </w:style>
  <w:style w:type="paragraph" w:styleId="TOC2">
    <w:name w:val="toc 2"/>
    <w:basedOn w:val="Normal"/>
    <w:next w:val="Normal"/>
    <w:autoRedefine/>
    <w:uiPriority w:val="39"/>
    <w:unhideWhenUsed/>
    <w:rsid w:val="007D5B78"/>
    <w:pPr>
      <w:ind w:left="220"/>
      <w:jc w:val="left"/>
    </w:pPr>
    <w:rPr>
      <w:rFonts w:asciiTheme="minorHAnsi" w:hAnsiTheme="minorHAnsi"/>
      <w:b/>
    </w:rPr>
  </w:style>
  <w:style w:type="paragraph" w:styleId="TOC3">
    <w:name w:val="toc 3"/>
    <w:basedOn w:val="Normal"/>
    <w:next w:val="Normal"/>
    <w:autoRedefine/>
    <w:uiPriority w:val="39"/>
    <w:unhideWhenUsed/>
    <w:rsid w:val="00BF6E4E"/>
    <w:pPr>
      <w:ind w:left="440"/>
      <w:jc w:val="left"/>
    </w:pPr>
    <w:rPr>
      <w:rFonts w:asciiTheme="minorHAnsi" w:hAnsiTheme="minorHAnsi"/>
    </w:rPr>
  </w:style>
  <w:style w:type="character" w:styleId="FollowedHyperlink">
    <w:name w:val="FollowedHyperlink"/>
    <w:basedOn w:val="DefaultParagraphFont"/>
    <w:uiPriority w:val="99"/>
    <w:semiHidden/>
    <w:unhideWhenUsed/>
    <w:rsid w:val="00952EA0"/>
    <w:rPr>
      <w:color w:val="BA6906"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BodyText">
    <w:name w:val="Body Text"/>
    <w:basedOn w:val="Normal"/>
    <w:link w:val="BodyTextChar"/>
    <w:uiPriority w:val="1"/>
    <w:qFormat/>
    <w:rsid w:val="00E703F0"/>
    <w:rPr>
      <w:lang w:val="en-GB"/>
    </w:rPr>
  </w:style>
  <w:style w:type="character" w:customStyle="1" w:styleId="BodyTextChar">
    <w:name w:val="Body Text Char"/>
    <w:basedOn w:val="DefaultParagraphFont"/>
    <w:link w:val="BodyText"/>
    <w:uiPriority w:val="1"/>
    <w:rsid w:val="00E703F0"/>
    <w:rPr>
      <w:rFonts w:ascii="Franklin Gothic Book" w:hAnsi="Franklin Gothic Book"/>
      <w:lang w:val="en-GB"/>
    </w:rPr>
  </w:style>
  <w:style w:type="paragraph" w:styleId="NormalWeb">
    <w:name w:val="Normal (Web)"/>
    <w:basedOn w:val="Normal"/>
    <w:uiPriority w:val="99"/>
    <w:unhideWhenUsed/>
    <w:rsid w:val="00E50BE9"/>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UnresolvedMention3">
    <w:name w:val="Unresolved Mention3"/>
    <w:basedOn w:val="DefaultParagraphFont"/>
    <w:uiPriority w:val="99"/>
    <w:semiHidden/>
    <w:unhideWhenUsed/>
    <w:rsid w:val="000C0B6B"/>
    <w:rPr>
      <w:color w:val="605E5C"/>
      <w:shd w:val="clear" w:color="auto" w:fill="E1DFDD"/>
    </w:rPr>
  </w:style>
  <w:style w:type="character" w:styleId="PageNumber">
    <w:name w:val="page number"/>
    <w:basedOn w:val="DefaultParagraphFont"/>
    <w:uiPriority w:val="99"/>
    <w:semiHidden/>
    <w:unhideWhenUsed/>
    <w:rsid w:val="00C10B1E"/>
  </w:style>
  <w:style w:type="paragraph" w:styleId="Revision">
    <w:name w:val="Revision"/>
    <w:hidden/>
    <w:uiPriority w:val="99"/>
    <w:semiHidden/>
    <w:rsid w:val="00C10B1E"/>
    <w:pPr>
      <w:spacing w:line="240" w:lineRule="auto"/>
      <w:contextualSpacing w:val="0"/>
    </w:pPr>
    <w:rPr>
      <w:rFonts w:ascii="Franklin Gothic Book" w:hAnsi="Franklin Gothic Book"/>
    </w:rPr>
  </w:style>
  <w:style w:type="character" w:customStyle="1" w:styleId="UnresolvedMention4">
    <w:name w:val="Unresolved Mention4"/>
    <w:basedOn w:val="DefaultParagraphFont"/>
    <w:uiPriority w:val="99"/>
    <w:semiHidden/>
    <w:unhideWhenUsed/>
    <w:rsid w:val="00FA4750"/>
    <w:rPr>
      <w:color w:val="605E5C"/>
      <w:shd w:val="clear" w:color="auto" w:fill="E1DFDD"/>
    </w:rPr>
  </w:style>
  <w:style w:type="paragraph" w:customStyle="1" w:styleId="Normal2">
    <w:name w:val="Normal2"/>
    <w:rsid w:val="00D86DA4"/>
    <w:pPr>
      <w:spacing w:line="240" w:lineRule="auto"/>
      <w:contextualSpacing w:val="0"/>
    </w:pPr>
    <w:rPr>
      <w:rFonts w:ascii="Cambria" w:eastAsia="Cambria" w:hAnsi="Cambria" w:cs="Cambria"/>
      <w:sz w:val="24"/>
      <w:szCs w:val="24"/>
      <w:lang w:val="en-US"/>
    </w:rPr>
  </w:style>
  <w:style w:type="character" w:customStyle="1" w:styleId="highlight">
    <w:name w:val="highlight"/>
    <w:basedOn w:val="DefaultParagraphFont"/>
    <w:rsid w:val="007E4396"/>
  </w:style>
  <w:style w:type="character" w:styleId="Strong">
    <w:name w:val="Strong"/>
    <w:basedOn w:val="DefaultParagraphFont"/>
    <w:uiPriority w:val="22"/>
    <w:qFormat/>
    <w:rsid w:val="00275EAC"/>
    <w:rPr>
      <w:b/>
      <w:bCs/>
    </w:rPr>
  </w:style>
  <w:style w:type="character" w:customStyle="1" w:styleId="UnresolvedMention">
    <w:name w:val="Unresolved Mention"/>
    <w:basedOn w:val="DefaultParagraphFont"/>
    <w:uiPriority w:val="99"/>
    <w:semiHidden/>
    <w:unhideWhenUsed/>
    <w:rsid w:val="00026987"/>
    <w:rPr>
      <w:color w:val="605E5C"/>
      <w:shd w:val="clear" w:color="auto" w:fill="E1DFDD"/>
    </w:rPr>
  </w:style>
  <w:style w:type="paragraph" w:styleId="EndnoteText">
    <w:name w:val="endnote text"/>
    <w:basedOn w:val="Normal"/>
    <w:link w:val="EndnoteTextChar"/>
    <w:uiPriority w:val="99"/>
    <w:semiHidden/>
    <w:unhideWhenUsed/>
    <w:rsid w:val="006D58AA"/>
    <w:pPr>
      <w:spacing w:line="240" w:lineRule="auto"/>
      <w:contextualSpacing w:val="0"/>
      <w:jc w:val="left"/>
    </w:pPr>
    <w:rPr>
      <w:rFonts w:asciiTheme="minorHAnsi" w:eastAsiaTheme="minorEastAsia" w:hAnsiTheme="minorHAnsi" w:cstheme="minorBidi"/>
      <w:sz w:val="20"/>
      <w:szCs w:val="20"/>
      <w:lang w:val="fr-FR" w:eastAsia="fr-FR"/>
    </w:rPr>
  </w:style>
  <w:style w:type="character" w:customStyle="1" w:styleId="EndnoteTextChar">
    <w:name w:val="Endnote Text Char"/>
    <w:basedOn w:val="DefaultParagraphFont"/>
    <w:link w:val="EndnoteText"/>
    <w:uiPriority w:val="99"/>
    <w:semiHidden/>
    <w:rsid w:val="006D58AA"/>
    <w:rPr>
      <w:rFonts w:asciiTheme="minorHAnsi" w:eastAsiaTheme="minorEastAsia" w:hAnsiTheme="minorHAnsi" w:cstheme="minorBidi"/>
      <w:sz w:val="20"/>
      <w:szCs w:val="20"/>
      <w:lang w:val="fr-FR" w:eastAsia="fr-FR"/>
    </w:rPr>
  </w:style>
  <w:style w:type="paragraph" w:styleId="TOC4">
    <w:name w:val="toc 4"/>
    <w:basedOn w:val="Normal"/>
    <w:next w:val="Normal"/>
    <w:autoRedefine/>
    <w:uiPriority w:val="39"/>
    <w:unhideWhenUsed/>
    <w:rsid w:val="004352DE"/>
    <w:pPr>
      <w:ind w:left="660"/>
      <w:jc w:val="left"/>
    </w:pPr>
    <w:rPr>
      <w:rFonts w:asciiTheme="minorHAnsi" w:hAnsiTheme="minorHAnsi"/>
      <w:sz w:val="20"/>
      <w:szCs w:val="20"/>
    </w:rPr>
  </w:style>
  <w:style w:type="paragraph" w:styleId="TOC5">
    <w:name w:val="toc 5"/>
    <w:basedOn w:val="Normal"/>
    <w:next w:val="Normal"/>
    <w:autoRedefine/>
    <w:uiPriority w:val="39"/>
    <w:unhideWhenUsed/>
    <w:rsid w:val="004352DE"/>
    <w:pPr>
      <w:ind w:left="880"/>
      <w:jc w:val="left"/>
    </w:pPr>
    <w:rPr>
      <w:rFonts w:asciiTheme="minorHAnsi" w:hAnsiTheme="minorHAnsi"/>
      <w:sz w:val="20"/>
      <w:szCs w:val="20"/>
    </w:rPr>
  </w:style>
  <w:style w:type="paragraph" w:styleId="TOC6">
    <w:name w:val="toc 6"/>
    <w:basedOn w:val="Normal"/>
    <w:next w:val="Normal"/>
    <w:autoRedefine/>
    <w:uiPriority w:val="39"/>
    <w:unhideWhenUsed/>
    <w:rsid w:val="004352DE"/>
    <w:pPr>
      <w:ind w:left="1100"/>
      <w:jc w:val="left"/>
    </w:pPr>
    <w:rPr>
      <w:rFonts w:asciiTheme="minorHAnsi" w:hAnsiTheme="minorHAnsi"/>
      <w:sz w:val="20"/>
      <w:szCs w:val="20"/>
    </w:rPr>
  </w:style>
  <w:style w:type="paragraph" w:styleId="TOC7">
    <w:name w:val="toc 7"/>
    <w:basedOn w:val="Normal"/>
    <w:next w:val="Normal"/>
    <w:autoRedefine/>
    <w:uiPriority w:val="39"/>
    <w:unhideWhenUsed/>
    <w:rsid w:val="004352DE"/>
    <w:pPr>
      <w:ind w:left="1320"/>
      <w:jc w:val="left"/>
    </w:pPr>
    <w:rPr>
      <w:rFonts w:asciiTheme="minorHAnsi" w:hAnsiTheme="minorHAnsi"/>
      <w:sz w:val="20"/>
      <w:szCs w:val="20"/>
    </w:rPr>
  </w:style>
  <w:style w:type="paragraph" w:styleId="TOC8">
    <w:name w:val="toc 8"/>
    <w:basedOn w:val="Normal"/>
    <w:next w:val="Normal"/>
    <w:autoRedefine/>
    <w:uiPriority w:val="39"/>
    <w:unhideWhenUsed/>
    <w:rsid w:val="004352DE"/>
    <w:pPr>
      <w:ind w:left="1540"/>
      <w:jc w:val="left"/>
    </w:pPr>
    <w:rPr>
      <w:rFonts w:asciiTheme="minorHAnsi" w:hAnsiTheme="minorHAnsi"/>
      <w:sz w:val="20"/>
      <w:szCs w:val="20"/>
    </w:rPr>
  </w:style>
  <w:style w:type="paragraph" w:styleId="TOC9">
    <w:name w:val="toc 9"/>
    <w:basedOn w:val="Normal"/>
    <w:next w:val="Normal"/>
    <w:autoRedefine/>
    <w:uiPriority w:val="39"/>
    <w:unhideWhenUsed/>
    <w:rsid w:val="004352DE"/>
    <w:pPr>
      <w:ind w:left="176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3859">
      <w:bodyDiv w:val="1"/>
      <w:marLeft w:val="0"/>
      <w:marRight w:val="0"/>
      <w:marTop w:val="0"/>
      <w:marBottom w:val="0"/>
      <w:divBdr>
        <w:top w:val="none" w:sz="0" w:space="0" w:color="auto"/>
        <w:left w:val="none" w:sz="0" w:space="0" w:color="auto"/>
        <w:bottom w:val="none" w:sz="0" w:space="0" w:color="auto"/>
        <w:right w:val="none" w:sz="0" w:space="0" w:color="auto"/>
      </w:divBdr>
    </w:div>
    <w:div w:id="14158415">
      <w:bodyDiv w:val="1"/>
      <w:marLeft w:val="0"/>
      <w:marRight w:val="0"/>
      <w:marTop w:val="0"/>
      <w:marBottom w:val="0"/>
      <w:divBdr>
        <w:top w:val="none" w:sz="0" w:space="0" w:color="auto"/>
        <w:left w:val="none" w:sz="0" w:space="0" w:color="auto"/>
        <w:bottom w:val="none" w:sz="0" w:space="0" w:color="auto"/>
        <w:right w:val="none" w:sz="0" w:space="0" w:color="auto"/>
      </w:divBdr>
    </w:div>
    <w:div w:id="19937810">
      <w:bodyDiv w:val="1"/>
      <w:marLeft w:val="0"/>
      <w:marRight w:val="0"/>
      <w:marTop w:val="0"/>
      <w:marBottom w:val="0"/>
      <w:divBdr>
        <w:top w:val="none" w:sz="0" w:space="0" w:color="auto"/>
        <w:left w:val="none" w:sz="0" w:space="0" w:color="auto"/>
        <w:bottom w:val="none" w:sz="0" w:space="0" w:color="auto"/>
        <w:right w:val="none" w:sz="0" w:space="0" w:color="auto"/>
      </w:divBdr>
    </w:div>
    <w:div w:id="31082325">
      <w:bodyDiv w:val="1"/>
      <w:marLeft w:val="0"/>
      <w:marRight w:val="0"/>
      <w:marTop w:val="0"/>
      <w:marBottom w:val="0"/>
      <w:divBdr>
        <w:top w:val="none" w:sz="0" w:space="0" w:color="auto"/>
        <w:left w:val="none" w:sz="0" w:space="0" w:color="auto"/>
        <w:bottom w:val="none" w:sz="0" w:space="0" w:color="auto"/>
        <w:right w:val="none" w:sz="0" w:space="0" w:color="auto"/>
      </w:divBdr>
    </w:div>
    <w:div w:id="41029429">
      <w:bodyDiv w:val="1"/>
      <w:marLeft w:val="0"/>
      <w:marRight w:val="0"/>
      <w:marTop w:val="0"/>
      <w:marBottom w:val="0"/>
      <w:divBdr>
        <w:top w:val="none" w:sz="0" w:space="0" w:color="auto"/>
        <w:left w:val="none" w:sz="0" w:space="0" w:color="auto"/>
        <w:bottom w:val="none" w:sz="0" w:space="0" w:color="auto"/>
        <w:right w:val="none" w:sz="0" w:space="0" w:color="auto"/>
      </w:divBdr>
    </w:div>
    <w:div w:id="69930320">
      <w:bodyDiv w:val="1"/>
      <w:marLeft w:val="0"/>
      <w:marRight w:val="0"/>
      <w:marTop w:val="0"/>
      <w:marBottom w:val="0"/>
      <w:divBdr>
        <w:top w:val="none" w:sz="0" w:space="0" w:color="auto"/>
        <w:left w:val="none" w:sz="0" w:space="0" w:color="auto"/>
        <w:bottom w:val="none" w:sz="0" w:space="0" w:color="auto"/>
        <w:right w:val="none" w:sz="0" w:space="0" w:color="auto"/>
      </w:divBdr>
    </w:div>
    <w:div w:id="123235240">
      <w:bodyDiv w:val="1"/>
      <w:marLeft w:val="0"/>
      <w:marRight w:val="0"/>
      <w:marTop w:val="0"/>
      <w:marBottom w:val="0"/>
      <w:divBdr>
        <w:top w:val="none" w:sz="0" w:space="0" w:color="auto"/>
        <w:left w:val="none" w:sz="0" w:space="0" w:color="auto"/>
        <w:bottom w:val="none" w:sz="0" w:space="0" w:color="auto"/>
        <w:right w:val="none" w:sz="0" w:space="0" w:color="auto"/>
      </w:divBdr>
    </w:div>
    <w:div w:id="132673002">
      <w:bodyDiv w:val="1"/>
      <w:marLeft w:val="0"/>
      <w:marRight w:val="0"/>
      <w:marTop w:val="0"/>
      <w:marBottom w:val="0"/>
      <w:divBdr>
        <w:top w:val="none" w:sz="0" w:space="0" w:color="auto"/>
        <w:left w:val="none" w:sz="0" w:space="0" w:color="auto"/>
        <w:bottom w:val="none" w:sz="0" w:space="0" w:color="auto"/>
        <w:right w:val="none" w:sz="0" w:space="0" w:color="auto"/>
      </w:divBdr>
      <w:divsChild>
        <w:div w:id="1923223013">
          <w:marLeft w:val="0"/>
          <w:marRight w:val="0"/>
          <w:marTop w:val="0"/>
          <w:marBottom w:val="0"/>
          <w:divBdr>
            <w:top w:val="none" w:sz="0" w:space="0" w:color="auto"/>
            <w:left w:val="none" w:sz="0" w:space="0" w:color="auto"/>
            <w:bottom w:val="none" w:sz="0" w:space="0" w:color="auto"/>
            <w:right w:val="none" w:sz="0" w:space="0" w:color="auto"/>
          </w:divBdr>
          <w:divsChild>
            <w:div w:id="232011636">
              <w:marLeft w:val="0"/>
              <w:marRight w:val="0"/>
              <w:marTop w:val="0"/>
              <w:marBottom w:val="0"/>
              <w:divBdr>
                <w:top w:val="none" w:sz="0" w:space="0" w:color="auto"/>
                <w:left w:val="none" w:sz="0" w:space="0" w:color="auto"/>
                <w:bottom w:val="none" w:sz="0" w:space="0" w:color="auto"/>
                <w:right w:val="none" w:sz="0" w:space="0" w:color="auto"/>
              </w:divBdr>
              <w:divsChild>
                <w:div w:id="104537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87937">
      <w:bodyDiv w:val="1"/>
      <w:marLeft w:val="0"/>
      <w:marRight w:val="0"/>
      <w:marTop w:val="0"/>
      <w:marBottom w:val="0"/>
      <w:divBdr>
        <w:top w:val="none" w:sz="0" w:space="0" w:color="auto"/>
        <w:left w:val="none" w:sz="0" w:space="0" w:color="auto"/>
        <w:bottom w:val="none" w:sz="0" w:space="0" w:color="auto"/>
        <w:right w:val="none" w:sz="0" w:space="0" w:color="auto"/>
      </w:divBdr>
    </w:div>
    <w:div w:id="176161138">
      <w:bodyDiv w:val="1"/>
      <w:marLeft w:val="0"/>
      <w:marRight w:val="0"/>
      <w:marTop w:val="0"/>
      <w:marBottom w:val="0"/>
      <w:divBdr>
        <w:top w:val="none" w:sz="0" w:space="0" w:color="auto"/>
        <w:left w:val="none" w:sz="0" w:space="0" w:color="auto"/>
        <w:bottom w:val="none" w:sz="0" w:space="0" w:color="auto"/>
        <w:right w:val="none" w:sz="0" w:space="0" w:color="auto"/>
      </w:divBdr>
    </w:div>
    <w:div w:id="203250756">
      <w:bodyDiv w:val="1"/>
      <w:marLeft w:val="0"/>
      <w:marRight w:val="0"/>
      <w:marTop w:val="0"/>
      <w:marBottom w:val="0"/>
      <w:divBdr>
        <w:top w:val="none" w:sz="0" w:space="0" w:color="auto"/>
        <w:left w:val="none" w:sz="0" w:space="0" w:color="auto"/>
        <w:bottom w:val="none" w:sz="0" w:space="0" w:color="auto"/>
        <w:right w:val="none" w:sz="0" w:space="0" w:color="auto"/>
      </w:divBdr>
    </w:div>
    <w:div w:id="225264185">
      <w:bodyDiv w:val="1"/>
      <w:marLeft w:val="0"/>
      <w:marRight w:val="0"/>
      <w:marTop w:val="0"/>
      <w:marBottom w:val="0"/>
      <w:divBdr>
        <w:top w:val="none" w:sz="0" w:space="0" w:color="auto"/>
        <w:left w:val="none" w:sz="0" w:space="0" w:color="auto"/>
        <w:bottom w:val="none" w:sz="0" w:space="0" w:color="auto"/>
        <w:right w:val="none" w:sz="0" w:space="0" w:color="auto"/>
      </w:divBdr>
    </w:div>
    <w:div w:id="276715426">
      <w:bodyDiv w:val="1"/>
      <w:marLeft w:val="0"/>
      <w:marRight w:val="0"/>
      <w:marTop w:val="0"/>
      <w:marBottom w:val="0"/>
      <w:divBdr>
        <w:top w:val="none" w:sz="0" w:space="0" w:color="auto"/>
        <w:left w:val="none" w:sz="0" w:space="0" w:color="auto"/>
        <w:bottom w:val="none" w:sz="0" w:space="0" w:color="auto"/>
        <w:right w:val="none" w:sz="0" w:space="0" w:color="auto"/>
      </w:divBdr>
    </w:div>
    <w:div w:id="355885961">
      <w:bodyDiv w:val="1"/>
      <w:marLeft w:val="0"/>
      <w:marRight w:val="0"/>
      <w:marTop w:val="0"/>
      <w:marBottom w:val="0"/>
      <w:divBdr>
        <w:top w:val="none" w:sz="0" w:space="0" w:color="auto"/>
        <w:left w:val="none" w:sz="0" w:space="0" w:color="auto"/>
        <w:bottom w:val="none" w:sz="0" w:space="0" w:color="auto"/>
        <w:right w:val="none" w:sz="0" w:space="0" w:color="auto"/>
      </w:divBdr>
    </w:div>
    <w:div w:id="383332859">
      <w:bodyDiv w:val="1"/>
      <w:marLeft w:val="0"/>
      <w:marRight w:val="0"/>
      <w:marTop w:val="0"/>
      <w:marBottom w:val="0"/>
      <w:divBdr>
        <w:top w:val="none" w:sz="0" w:space="0" w:color="auto"/>
        <w:left w:val="none" w:sz="0" w:space="0" w:color="auto"/>
        <w:bottom w:val="none" w:sz="0" w:space="0" w:color="auto"/>
        <w:right w:val="none" w:sz="0" w:space="0" w:color="auto"/>
      </w:divBdr>
    </w:div>
    <w:div w:id="397746042">
      <w:bodyDiv w:val="1"/>
      <w:marLeft w:val="0"/>
      <w:marRight w:val="0"/>
      <w:marTop w:val="0"/>
      <w:marBottom w:val="0"/>
      <w:divBdr>
        <w:top w:val="none" w:sz="0" w:space="0" w:color="auto"/>
        <w:left w:val="none" w:sz="0" w:space="0" w:color="auto"/>
        <w:bottom w:val="none" w:sz="0" w:space="0" w:color="auto"/>
        <w:right w:val="none" w:sz="0" w:space="0" w:color="auto"/>
      </w:divBdr>
    </w:div>
    <w:div w:id="400711440">
      <w:bodyDiv w:val="1"/>
      <w:marLeft w:val="0"/>
      <w:marRight w:val="0"/>
      <w:marTop w:val="0"/>
      <w:marBottom w:val="0"/>
      <w:divBdr>
        <w:top w:val="none" w:sz="0" w:space="0" w:color="auto"/>
        <w:left w:val="none" w:sz="0" w:space="0" w:color="auto"/>
        <w:bottom w:val="none" w:sz="0" w:space="0" w:color="auto"/>
        <w:right w:val="none" w:sz="0" w:space="0" w:color="auto"/>
      </w:divBdr>
    </w:div>
    <w:div w:id="402987986">
      <w:bodyDiv w:val="1"/>
      <w:marLeft w:val="0"/>
      <w:marRight w:val="0"/>
      <w:marTop w:val="0"/>
      <w:marBottom w:val="0"/>
      <w:divBdr>
        <w:top w:val="none" w:sz="0" w:space="0" w:color="auto"/>
        <w:left w:val="none" w:sz="0" w:space="0" w:color="auto"/>
        <w:bottom w:val="none" w:sz="0" w:space="0" w:color="auto"/>
        <w:right w:val="none" w:sz="0" w:space="0" w:color="auto"/>
      </w:divBdr>
    </w:div>
    <w:div w:id="484588222">
      <w:bodyDiv w:val="1"/>
      <w:marLeft w:val="0"/>
      <w:marRight w:val="0"/>
      <w:marTop w:val="0"/>
      <w:marBottom w:val="0"/>
      <w:divBdr>
        <w:top w:val="none" w:sz="0" w:space="0" w:color="auto"/>
        <w:left w:val="none" w:sz="0" w:space="0" w:color="auto"/>
        <w:bottom w:val="none" w:sz="0" w:space="0" w:color="auto"/>
        <w:right w:val="none" w:sz="0" w:space="0" w:color="auto"/>
      </w:divBdr>
    </w:div>
    <w:div w:id="505368967">
      <w:bodyDiv w:val="1"/>
      <w:marLeft w:val="0"/>
      <w:marRight w:val="0"/>
      <w:marTop w:val="0"/>
      <w:marBottom w:val="0"/>
      <w:divBdr>
        <w:top w:val="none" w:sz="0" w:space="0" w:color="auto"/>
        <w:left w:val="none" w:sz="0" w:space="0" w:color="auto"/>
        <w:bottom w:val="none" w:sz="0" w:space="0" w:color="auto"/>
        <w:right w:val="none" w:sz="0" w:space="0" w:color="auto"/>
      </w:divBdr>
    </w:div>
    <w:div w:id="526600145">
      <w:bodyDiv w:val="1"/>
      <w:marLeft w:val="0"/>
      <w:marRight w:val="0"/>
      <w:marTop w:val="0"/>
      <w:marBottom w:val="0"/>
      <w:divBdr>
        <w:top w:val="none" w:sz="0" w:space="0" w:color="auto"/>
        <w:left w:val="none" w:sz="0" w:space="0" w:color="auto"/>
        <w:bottom w:val="none" w:sz="0" w:space="0" w:color="auto"/>
        <w:right w:val="none" w:sz="0" w:space="0" w:color="auto"/>
      </w:divBdr>
    </w:div>
    <w:div w:id="533617235">
      <w:bodyDiv w:val="1"/>
      <w:marLeft w:val="0"/>
      <w:marRight w:val="0"/>
      <w:marTop w:val="0"/>
      <w:marBottom w:val="0"/>
      <w:divBdr>
        <w:top w:val="none" w:sz="0" w:space="0" w:color="auto"/>
        <w:left w:val="none" w:sz="0" w:space="0" w:color="auto"/>
        <w:bottom w:val="none" w:sz="0" w:space="0" w:color="auto"/>
        <w:right w:val="none" w:sz="0" w:space="0" w:color="auto"/>
      </w:divBdr>
    </w:div>
    <w:div w:id="537593250">
      <w:bodyDiv w:val="1"/>
      <w:marLeft w:val="0"/>
      <w:marRight w:val="0"/>
      <w:marTop w:val="0"/>
      <w:marBottom w:val="0"/>
      <w:divBdr>
        <w:top w:val="none" w:sz="0" w:space="0" w:color="auto"/>
        <w:left w:val="none" w:sz="0" w:space="0" w:color="auto"/>
        <w:bottom w:val="none" w:sz="0" w:space="0" w:color="auto"/>
        <w:right w:val="none" w:sz="0" w:space="0" w:color="auto"/>
      </w:divBdr>
    </w:div>
    <w:div w:id="538054606">
      <w:bodyDiv w:val="1"/>
      <w:marLeft w:val="0"/>
      <w:marRight w:val="0"/>
      <w:marTop w:val="0"/>
      <w:marBottom w:val="0"/>
      <w:divBdr>
        <w:top w:val="none" w:sz="0" w:space="0" w:color="auto"/>
        <w:left w:val="none" w:sz="0" w:space="0" w:color="auto"/>
        <w:bottom w:val="none" w:sz="0" w:space="0" w:color="auto"/>
        <w:right w:val="none" w:sz="0" w:space="0" w:color="auto"/>
      </w:divBdr>
    </w:div>
    <w:div w:id="567149327">
      <w:bodyDiv w:val="1"/>
      <w:marLeft w:val="0"/>
      <w:marRight w:val="0"/>
      <w:marTop w:val="0"/>
      <w:marBottom w:val="0"/>
      <w:divBdr>
        <w:top w:val="none" w:sz="0" w:space="0" w:color="auto"/>
        <w:left w:val="none" w:sz="0" w:space="0" w:color="auto"/>
        <w:bottom w:val="none" w:sz="0" w:space="0" w:color="auto"/>
        <w:right w:val="none" w:sz="0" w:space="0" w:color="auto"/>
      </w:divBdr>
    </w:div>
    <w:div w:id="577711564">
      <w:bodyDiv w:val="1"/>
      <w:marLeft w:val="0"/>
      <w:marRight w:val="0"/>
      <w:marTop w:val="0"/>
      <w:marBottom w:val="0"/>
      <w:divBdr>
        <w:top w:val="none" w:sz="0" w:space="0" w:color="auto"/>
        <w:left w:val="none" w:sz="0" w:space="0" w:color="auto"/>
        <w:bottom w:val="none" w:sz="0" w:space="0" w:color="auto"/>
        <w:right w:val="none" w:sz="0" w:space="0" w:color="auto"/>
      </w:divBdr>
    </w:div>
    <w:div w:id="598104320">
      <w:bodyDiv w:val="1"/>
      <w:marLeft w:val="0"/>
      <w:marRight w:val="0"/>
      <w:marTop w:val="0"/>
      <w:marBottom w:val="0"/>
      <w:divBdr>
        <w:top w:val="none" w:sz="0" w:space="0" w:color="auto"/>
        <w:left w:val="none" w:sz="0" w:space="0" w:color="auto"/>
        <w:bottom w:val="none" w:sz="0" w:space="0" w:color="auto"/>
        <w:right w:val="none" w:sz="0" w:space="0" w:color="auto"/>
      </w:divBdr>
    </w:div>
    <w:div w:id="598372797">
      <w:bodyDiv w:val="1"/>
      <w:marLeft w:val="0"/>
      <w:marRight w:val="0"/>
      <w:marTop w:val="0"/>
      <w:marBottom w:val="0"/>
      <w:divBdr>
        <w:top w:val="none" w:sz="0" w:space="0" w:color="auto"/>
        <w:left w:val="none" w:sz="0" w:space="0" w:color="auto"/>
        <w:bottom w:val="none" w:sz="0" w:space="0" w:color="auto"/>
        <w:right w:val="none" w:sz="0" w:space="0" w:color="auto"/>
      </w:divBdr>
    </w:div>
    <w:div w:id="645939377">
      <w:bodyDiv w:val="1"/>
      <w:marLeft w:val="0"/>
      <w:marRight w:val="0"/>
      <w:marTop w:val="0"/>
      <w:marBottom w:val="0"/>
      <w:divBdr>
        <w:top w:val="none" w:sz="0" w:space="0" w:color="auto"/>
        <w:left w:val="none" w:sz="0" w:space="0" w:color="auto"/>
        <w:bottom w:val="none" w:sz="0" w:space="0" w:color="auto"/>
        <w:right w:val="none" w:sz="0" w:space="0" w:color="auto"/>
      </w:divBdr>
      <w:divsChild>
        <w:div w:id="2115397183">
          <w:marLeft w:val="0"/>
          <w:marRight w:val="0"/>
          <w:marTop w:val="0"/>
          <w:marBottom w:val="0"/>
          <w:divBdr>
            <w:top w:val="none" w:sz="0" w:space="0" w:color="auto"/>
            <w:left w:val="none" w:sz="0" w:space="0" w:color="auto"/>
            <w:bottom w:val="none" w:sz="0" w:space="0" w:color="auto"/>
            <w:right w:val="none" w:sz="0" w:space="0" w:color="auto"/>
          </w:divBdr>
          <w:divsChild>
            <w:div w:id="502822613">
              <w:marLeft w:val="0"/>
              <w:marRight w:val="0"/>
              <w:marTop w:val="0"/>
              <w:marBottom w:val="0"/>
              <w:divBdr>
                <w:top w:val="none" w:sz="0" w:space="0" w:color="auto"/>
                <w:left w:val="none" w:sz="0" w:space="0" w:color="auto"/>
                <w:bottom w:val="none" w:sz="0" w:space="0" w:color="auto"/>
                <w:right w:val="none" w:sz="0" w:space="0" w:color="auto"/>
              </w:divBdr>
              <w:divsChild>
                <w:div w:id="165606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030304">
      <w:bodyDiv w:val="1"/>
      <w:marLeft w:val="0"/>
      <w:marRight w:val="0"/>
      <w:marTop w:val="0"/>
      <w:marBottom w:val="0"/>
      <w:divBdr>
        <w:top w:val="none" w:sz="0" w:space="0" w:color="auto"/>
        <w:left w:val="none" w:sz="0" w:space="0" w:color="auto"/>
        <w:bottom w:val="none" w:sz="0" w:space="0" w:color="auto"/>
        <w:right w:val="none" w:sz="0" w:space="0" w:color="auto"/>
      </w:divBdr>
    </w:div>
    <w:div w:id="656570281">
      <w:bodyDiv w:val="1"/>
      <w:marLeft w:val="0"/>
      <w:marRight w:val="0"/>
      <w:marTop w:val="0"/>
      <w:marBottom w:val="0"/>
      <w:divBdr>
        <w:top w:val="none" w:sz="0" w:space="0" w:color="auto"/>
        <w:left w:val="none" w:sz="0" w:space="0" w:color="auto"/>
        <w:bottom w:val="none" w:sz="0" w:space="0" w:color="auto"/>
        <w:right w:val="none" w:sz="0" w:space="0" w:color="auto"/>
      </w:divBdr>
    </w:div>
    <w:div w:id="684938614">
      <w:bodyDiv w:val="1"/>
      <w:marLeft w:val="0"/>
      <w:marRight w:val="0"/>
      <w:marTop w:val="0"/>
      <w:marBottom w:val="0"/>
      <w:divBdr>
        <w:top w:val="none" w:sz="0" w:space="0" w:color="auto"/>
        <w:left w:val="none" w:sz="0" w:space="0" w:color="auto"/>
        <w:bottom w:val="none" w:sz="0" w:space="0" w:color="auto"/>
        <w:right w:val="none" w:sz="0" w:space="0" w:color="auto"/>
      </w:divBdr>
    </w:div>
    <w:div w:id="688414693">
      <w:bodyDiv w:val="1"/>
      <w:marLeft w:val="0"/>
      <w:marRight w:val="0"/>
      <w:marTop w:val="0"/>
      <w:marBottom w:val="0"/>
      <w:divBdr>
        <w:top w:val="none" w:sz="0" w:space="0" w:color="auto"/>
        <w:left w:val="none" w:sz="0" w:space="0" w:color="auto"/>
        <w:bottom w:val="none" w:sz="0" w:space="0" w:color="auto"/>
        <w:right w:val="none" w:sz="0" w:space="0" w:color="auto"/>
      </w:divBdr>
    </w:div>
    <w:div w:id="736323108">
      <w:bodyDiv w:val="1"/>
      <w:marLeft w:val="0"/>
      <w:marRight w:val="0"/>
      <w:marTop w:val="0"/>
      <w:marBottom w:val="0"/>
      <w:divBdr>
        <w:top w:val="none" w:sz="0" w:space="0" w:color="auto"/>
        <w:left w:val="none" w:sz="0" w:space="0" w:color="auto"/>
        <w:bottom w:val="none" w:sz="0" w:space="0" w:color="auto"/>
        <w:right w:val="none" w:sz="0" w:space="0" w:color="auto"/>
      </w:divBdr>
    </w:div>
    <w:div w:id="756824025">
      <w:bodyDiv w:val="1"/>
      <w:marLeft w:val="0"/>
      <w:marRight w:val="0"/>
      <w:marTop w:val="0"/>
      <w:marBottom w:val="0"/>
      <w:divBdr>
        <w:top w:val="none" w:sz="0" w:space="0" w:color="auto"/>
        <w:left w:val="none" w:sz="0" w:space="0" w:color="auto"/>
        <w:bottom w:val="none" w:sz="0" w:space="0" w:color="auto"/>
        <w:right w:val="none" w:sz="0" w:space="0" w:color="auto"/>
      </w:divBdr>
    </w:div>
    <w:div w:id="757140407">
      <w:bodyDiv w:val="1"/>
      <w:marLeft w:val="0"/>
      <w:marRight w:val="0"/>
      <w:marTop w:val="0"/>
      <w:marBottom w:val="0"/>
      <w:divBdr>
        <w:top w:val="none" w:sz="0" w:space="0" w:color="auto"/>
        <w:left w:val="none" w:sz="0" w:space="0" w:color="auto"/>
        <w:bottom w:val="none" w:sz="0" w:space="0" w:color="auto"/>
        <w:right w:val="none" w:sz="0" w:space="0" w:color="auto"/>
      </w:divBdr>
    </w:div>
    <w:div w:id="791095890">
      <w:bodyDiv w:val="1"/>
      <w:marLeft w:val="0"/>
      <w:marRight w:val="0"/>
      <w:marTop w:val="0"/>
      <w:marBottom w:val="0"/>
      <w:divBdr>
        <w:top w:val="none" w:sz="0" w:space="0" w:color="auto"/>
        <w:left w:val="none" w:sz="0" w:space="0" w:color="auto"/>
        <w:bottom w:val="none" w:sz="0" w:space="0" w:color="auto"/>
        <w:right w:val="none" w:sz="0" w:space="0" w:color="auto"/>
      </w:divBdr>
    </w:div>
    <w:div w:id="832069972">
      <w:bodyDiv w:val="1"/>
      <w:marLeft w:val="0"/>
      <w:marRight w:val="0"/>
      <w:marTop w:val="0"/>
      <w:marBottom w:val="0"/>
      <w:divBdr>
        <w:top w:val="none" w:sz="0" w:space="0" w:color="auto"/>
        <w:left w:val="none" w:sz="0" w:space="0" w:color="auto"/>
        <w:bottom w:val="none" w:sz="0" w:space="0" w:color="auto"/>
        <w:right w:val="none" w:sz="0" w:space="0" w:color="auto"/>
      </w:divBdr>
    </w:div>
    <w:div w:id="847259362">
      <w:bodyDiv w:val="1"/>
      <w:marLeft w:val="0"/>
      <w:marRight w:val="0"/>
      <w:marTop w:val="0"/>
      <w:marBottom w:val="0"/>
      <w:divBdr>
        <w:top w:val="none" w:sz="0" w:space="0" w:color="auto"/>
        <w:left w:val="none" w:sz="0" w:space="0" w:color="auto"/>
        <w:bottom w:val="none" w:sz="0" w:space="0" w:color="auto"/>
        <w:right w:val="none" w:sz="0" w:space="0" w:color="auto"/>
      </w:divBdr>
    </w:div>
    <w:div w:id="904337356">
      <w:bodyDiv w:val="1"/>
      <w:marLeft w:val="0"/>
      <w:marRight w:val="0"/>
      <w:marTop w:val="0"/>
      <w:marBottom w:val="0"/>
      <w:divBdr>
        <w:top w:val="none" w:sz="0" w:space="0" w:color="auto"/>
        <w:left w:val="none" w:sz="0" w:space="0" w:color="auto"/>
        <w:bottom w:val="none" w:sz="0" w:space="0" w:color="auto"/>
        <w:right w:val="none" w:sz="0" w:space="0" w:color="auto"/>
      </w:divBdr>
    </w:div>
    <w:div w:id="909076022">
      <w:bodyDiv w:val="1"/>
      <w:marLeft w:val="0"/>
      <w:marRight w:val="0"/>
      <w:marTop w:val="0"/>
      <w:marBottom w:val="0"/>
      <w:divBdr>
        <w:top w:val="none" w:sz="0" w:space="0" w:color="auto"/>
        <w:left w:val="none" w:sz="0" w:space="0" w:color="auto"/>
        <w:bottom w:val="none" w:sz="0" w:space="0" w:color="auto"/>
        <w:right w:val="none" w:sz="0" w:space="0" w:color="auto"/>
      </w:divBdr>
    </w:div>
    <w:div w:id="921060906">
      <w:bodyDiv w:val="1"/>
      <w:marLeft w:val="0"/>
      <w:marRight w:val="0"/>
      <w:marTop w:val="0"/>
      <w:marBottom w:val="0"/>
      <w:divBdr>
        <w:top w:val="none" w:sz="0" w:space="0" w:color="auto"/>
        <w:left w:val="none" w:sz="0" w:space="0" w:color="auto"/>
        <w:bottom w:val="none" w:sz="0" w:space="0" w:color="auto"/>
        <w:right w:val="none" w:sz="0" w:space="0" w:color="auto"/>
      </w:divBdr>
    </w:div>
    <w:div w:id="927347893">
      <w:bodyDiv w:val="1"/>
      <w:marLeft w:val="0"/>
      <w:marRight w:val="0"/>
      <w:marTop w:val="0"/>
      <w:marBottom w:val="0"/>
      <w:divBdr>
        <w:top w:val="none" w:sz="0" w:space="0" w:color="auto"/>
        <w:left w:val="none" w:sz="0" w:space="0" w:color="auto"/>
        <w:bottom w:val="none" w:sz="0" w:space="0" w:color="auto"/>
        <w:right w:val="none" w:sz="0" w:space="0" w:color="auto"/>
      </w:divBdr>
    </w:div>
    <w:div w:id="935555375">
      <w:bodyDiv w:val="1"/>
      <w:marLeft w:val="0"/>
      <w:marRight w:val="0"/>
      <w:marTop w:val="0"/>
      <w:marBottom w:val="0"/>
      <w:divBdr>
        <w:top w:val="none" w:sz="0" w:space="0" w:color="auto"/>
        <w:left w:val="none" w:sz="0" w:space="0" w:color="auto"/>
        <w:bottom w:val="none" w:sz="0" w:space="0" w:color="auto"/>
        <w:right w:val="none" w:sz="0" w:space="0" w:color="auto"/>
      </w:divBdr>
    </w:div>
    <w:div w:id="942032638">
      <w:bodyDiv w:val="1"/>
      <w:marLeft w:val="0"/>
      <w:marRight w:val="0"/>
      <w:marTop w:val="0"/>
      <w:marBottom w:val="0"/>
      <w:divBdr>
        <w:top w:val="none" w:sz="0" w:space="0" w:color="auto"/>
        <w:left w:val="none" w:sz="0" w:space="0" w:color="auto"/>
        <w:bottom w:val="none" w:sz="0" w:space="0" w:color="auto"/>
        <w:right w:val="none" w:sz="0" w:space="0" w:color="auto"/>
      </w:divBdr>
    </w:div>
    <w:div w:id="944728142">
      <w:bodyDiv w:val="1"/>
      <w:marLeft w:val="0"/>
      <w:marRight w:val="0"/>
      <w:marTop w:val="0"/>
      <w:marBottom w:val="0"/>
      <w:divBdr>
        <w:top w:val="none" w:sz="0" w:space="0" w:color="auto"/>
        <w:left w:val="none" w:sz="0" w:space="0" w:color="auto"/>
        <w:bottom w:val="none" w:sz="0" w:space="0" w:color="auto"/>
        <w:right w:val="none" w:sz="0" w:space="0" w:color="auto"/>
      </w:divBdr>
    </w:div>
    <w:div w:id="960845469">
      <w:bodyDiv w:val="1"/>
      <w:marLeft w:val="0"/>
      <w:marRight w:val="0"/>
      <w:marTop w:val="0"/>
      <w:marBottom w:val="0"/>
      <w:divBdr>
        <w:top w:val="none" w:sz="0" w:space="0" w:color="auto"/>
        <w:left w:val="none" w:sz="0" w:space="0" w:color="auto"/>
        <w:bottom w:val="none" w:sz="0" w:space="0" w:color="auto"/>
        <w:right w:val="none" w:sz="0" w:space="0" w:color="auto"/>
      </w:divBdr>
    </w:div>
    <w:div w:id="963652136">
      <w:bodyDiv w:val="1"/>
      <w:marLeft w:val="0"/>
      <w:marRight w:val="0"/>
      <w:marTop w:val="0"/>
      <w:marBottom w:val="0"/>
      <w:divBdr>
        <w:top w:val="none" w:sz="0" w:space="0" w:color="auto"/>
        <w:left w:val="none" w:sz="0" w:space="0" w:color="auto"/>
        <w:bottom w:val="none" w:sz="0" w:space="0" w:color="auto"/>
        <w:right w:val="none" w:sz="0" w:space="0" w:color="auto"/>
      </w:divBdr>
    </w:div>
    <w:div w:id="963930048">
      <w:bodyDiv w:val="1"/>
      <w:marLeft w:val="0"/>
      <w:marRight w:val="0"/>
      <w:marTop w:val="0"/>
      <w:marBottom w:val="0"/>
      <w:divBdr>
        <w:top w:val="none" w:sz="0" w:space="0" w:color="auto"/>
        <w:left w:val="none" w:sz="0" w:space="0" w:color="auto"/>
        <w:bottom w:val="none" w:sz="0" w:space="0" w:color="auto"/>
        <w:right w:val="none" w:sz="0" w:space="0" w:color="auto"/>
      </w:divBdr>
    </w:div>
    <w:div w:id="993096794">
      <w:bodyDiv w:val="1"/>
      <w:marLeft w:val="0"/>
      <w:marRight w:val="0"/>
      <w:marTop w:val="0"/>
      <w:marBottom w:val="0"/>
      <w:divBdr>
        <w:top w:val="none" w:sz="0" w:space="0" w:color="auto"/>
        <w:left w:val="none" w:sz="0" w:space="0" w:color="auto"/>
        <w:bottom w:val="none" w:sz="0" w:space="0" w:color="auto"/>
        <w:right w:val="none" w:sz="0" w:space="0" w:color="auto"/>
      </w:divBdr>
    </w:div>
    <w:div w:id="1020661509">
      <w:bodyDiv w:val="1"/>
      <w:marLeft w:val="0"/>
      <w:marRight w:val="0"/>
      <w:marTop w:val="0"/>
      <w:marBottom w:val="0"/>
      <w:divBdr>
        <w:top w:val="none" w:sz="0" w:space="0" w:color="auto"/>
        <w:left w:val="none" w:sz="0" w:space="0" w:color="auto"/>
        <w:bottom w:val="none" w:sz="0" w:space="0" w:color="auto"/>
        <w:right w:val="none" w:sz="0" w:space="0" w:color="auto"/>
      </w:divBdr>
    </w:div>
    <w:div w:id="1035731863">
      <w:bodyDiv w:val="1"/>
      <w:marLeft w:val="0"/>
      <w:marRight w:val="0"/>
      <w:marTop w:val="0"/>
      <w:marBottom w:val="0"/>
      <w:divBdr>
        <w:top w:val="none" w:sz="0" w:space="0" w:color="auto"/>
        <w:left w:val="none" w:sz="0" w:space="0" w:color="auto"/>
        <w:bottom w:val="none" w:sz="0" w:space="0" w:color="auto"/>
        <w:right w:val="none" w:sz="0" w:space="0" w:color="auto"/>
      </w:divBdr>
    </w:div>
    <w:div w:id="1056971672">
      <w:bodyDiv w:val="1"/>
      <w:marLeft w:val="0"/>
      <w:marRight w:val="0"/>
      <w:marTop w:val="0"/>
      <w:marBottom w:val="0"/>
      <w:divBdr>
        <w:top w:val="none" w:sz="0" w:space="0" w:color="auto"/>
        <w:left w:val="none" w:sz="0" w:space="0" w:color="auto"/>
        <w:bottom w:val="none" w:sz="0" w:space="0" w:color="auto"/>
        <w:right w:val="none" w:sz="0" w:space="0" w:color="auto"/>
      </w:divBdr>
    </w:div>
    <w:div w:id="1120226151">
      <w:bodyDiv w:val="1"/>
      <w:marLeft w:val="0"/>
      <w:marRight w:val="0"/>
      <w:marTop w:val="0"/>
      <w:marBottom w:val="0"/>
      <w:divBdr>
        <w:top w:val="none" w:sz="0" w:space="0" w:color="auto"/>
        <w:left w:val="none" w:sz="0" w:space="0" w:color="auto"/>
        <w:bottom w:val="none" w:sz="0" w:space="0" w:color="auto"/>
        <w:right w:val="none" w:sz="0" w:space="0" w:color="auto"/>
      </w:divBdr>
    </w:div>
    <w:div w:id="1135633993">
      <w:bodyDiv w:val="1"/>
      <w:marLeft w:val="0"/>
      <w:marRight w:val="0"/>
      <w:marTop w:val="0"/>
      <w:marBottom w:val="0"/>
      <w:divBdr>
        <w:top w:val="none" w:sz="0" w:space="0" w:color="auto"/>
        <w:left w:val="none" w:sz="0" w:space="0" w:color="auto"/>
        <w:bottom w:val="none" w:sz="0" w:space="0" w:color="auto"/>
        <w:right w:val="none" w:sz="0" w:space="0" w:color="auto"/>
      </w:divBdr>
    </w:div>
    <w:div w:id="1142697054">
      <w:bodyDiv w:val="1"/>
      <w:marLeft w:val="0"/>
      <w:marRight w:val="0"/>
      <w:marTop w:val="0"/>
      <w:marBottom w:val="0"/>
      <w:divBdr>
        <w:top w:val="none" w:sz="0" w:space="0" w:color="auto"/>
        <w:left w:val="none" w:sz="0" w:space="0" w:color="auto"/>
        <w:bottom w:val="none" w:sz="0" w:space="0" w:color="auto"/>
        <w:right w:val="none" w:sz="0" w:space="0" w:color="auto"/>
      </w:divBdr>
      <w:divsChild>
        <w:div w:id="1362245504">
          <w:marLeft w:val="0"/>
          <w:marRight w:val="0"/>
          <w:marTop w:val="0"/>
          <w:marBottom w:val="0"/>
          <w:divBdr>
            <w:top w:val="none" w:sz="0" w:space="0" w:color="auto"/>
            <w:left w:val="none" w:sz="0" w:space="0" w:color="auto"/>
            <w:bottom w:val="none" w:sz="0" w:space="0" w:color="auto"/>
            <w:right w:val="none" w:sz="0" w:space="0" w:color="auto"/>
          </w:divBdr>
          <w:divsChild>
            <w:div w:id="517542375">
              <w:marLeft w:val="0"/>
              <w:marRight w:val="0"/>
              <w:marTop w:val="0"/>
              <w:marBottom w:val="0"/>
              <w:divBdr>
                <w:top w:val="none" w:sz="0" w:space="0" w:color="auto"/>
                <w:left w:val="none" w:sz="0" w:space="0" w:color="auto"/>
                <w:bottom w:val="none" w:sz="0" w:space="0" w:color="auto"/>
                <w:right w:val="none" w:sz="0" w:space="0" w:color="auto"/>
              </w:divBdr>
              <w:divsChild>
                <w:div w:id="13005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62973">
      <w:bodyDiv w:val="1"/>
      <w:marLeft w:val="0"/>
      <w:marRight w:val="0"/>
      <w:marTop w:val="0"/>
      <w:marBottom w:val="0"/>
      <w:divBdr>
        <w:top w:val="none" w:sz="0" w:space="0" w:color="auto"/>
        <w:left w:val="none" w:sz="0" w:space="0" w:color="auto"/>
        <w:bottom w:val="none" w:sz="0" w:space="0" w:color="auto"/>
        <w:right w:val="none" w:sz="0" w:space="0" w:color="auto"/>
      </w:divBdr>
    </w:div>
    <w:div w:id="1200626995">
      <w:bodyDiv w:val="1"/>
      <w:marLeft w:val="0"/>
      <w:marRight w:val="0"/>
      <w:marTop w:val="0"/>
      <w:marBottom w:val="0"/>
      <w:divBdr>
        <w:top w:val="none" w:sz="0" w:space="0" w:color="auto"/>
        <w:left w:val="none" w:sz="0" w:space="0" w:color="auto"/>
        <w:bottom w:val="none" w:sz="0" w:space="0" w:color="auto"/>
        <w:right w:val="none" w:sz="0" w:space="0" w:color="auto"/>
      </w:divBdr>
      <w:divsChild>
        <w:div w:id="1702511089">
          <w:marLeft w:val="0"/>
          <w:marRight w:val="0"/>
          <w:marTop w:val="0"/>
          <w:marBottom w:val="0"/>
          <w:divBdr>
            <w:top w:val="none" w:sz="0" w:space="0" w:color="auto"/>
            <w:left w:val="none" w:sz="0" w:space="0" w:color="auto"/>
            <w:bottom w:val="none" w:sz="0" w:space="0" w:color="auto"/>
            <w:right w:val="none" w:sz="0" w:space="0" w:color="auto"/>
          </w:divBdr>
          <w:divsChild>
            <w:div w:id="1055661988">
              <w:marLeft w:val="0"/>
              <w:marRight w:val="0"/>
              <w:marTop w:val="0"/>
              <w:marBottom w:val="0"/>
              <w:divBdr>
                <w:top w:val="none" w:sz="0" w:space="0" w:color="auto"/>
                <w:left w:val="none" w:sz="0" w:space="0" w:color="auto"/>
                <w:bottom w:val="none" w:sz="0" w:space="0" w:color="auto"/>
                <w:right w:val="none" w:sz="0" w:space="0" w:color="auto"/>
              </w:divBdr>
              <w:divsChild>
                <w:div w:id="110075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696584">
      <w:bodyDiv w:val="1"/>
      <w:marLeft w:val="0"/>
      <w:marRight w:val="0"/>
      <w:marTop w:val="0"/>
      <w:marBottom w:val="0"/>
      <w:divBdr>
        <w:top w:val="none" w:sz="0" w:space="0" w:color="auto"/>
        <w:left w:val="none" w:sz="0" w:space="0" w:color="auto"/>
        <w:bottom w:val="none" w:sz="0" w:space="0" w:color="auto"/>
        <w:right w:val="none" w:sz="0" w:space="0" w:color="auto"/>
      </w:divBdr>
      <w:divsChild>
        <w:div w:id="2009865326">
          <w:marLeft w:val="0"/>
          <w:marRight w:val="0"/>
          <w:marTop w:val="0"/>
          <w:marBottom w:val="0"/>
          <w:divBdr>
            <w:top w:val="none" w:sz="0" w:space="0" w:color="auto"/>
            <w:left w:val="none" w:sz="0" w:space="0" w:color="auto"/>
            <w:bottom w:val="none" w:sz="0" w:space="0" w:color="auto"/>
            <w:right w:val="none" w:sz="0" w:space="0" w:color="auto"/>
          </w:divBdr>
          <w:divsChild>
            <w:div w:id="1844738790">
              <w:marLeft w:val="0"/>
              <w:marRight w:val="0"/>
              <w:marTop w:val="0"/>
              <w:marBottom w:val="0"/>
              <w:divBdr>
                <w:top w:val="none" w:sz="0" w:space="0" w:color="auto"/>
                <w:left w:val="none" w:sz="0" w:space="0" w:color="auto"/>
                <w:bottom w:val="none" w:sz="0" w:space="0" w:color="auto"/>
                <w:right w:val="none" w:sz="0" w:space="0" w:color="auto"/>
              </w:divBdr>
              <w:divsChild>
                <w:div w:id="151587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23604">
      <w:bodyDiv w:val="1"/>
      <w:marLeft w:val="0"/>
      <w:marRight w:val="0"/>
      <w:marTop w:val="0"/>
      <w:marBottom w:val="0"/>
      <w:divBdr>
        <w:top w:val="none" w:sz="0" w:space="0" w:color="auto"/>
        <w:left w:val="none" w:sz="0" w:space="0" w:color="auto"/>
        <w:bottom w:val="none" w:sz="0" w:space="0" w:color="auto"/>
        <w:right w:val="none" w:sz="0" w:space="0" w:color="auto"/>
      </w:divBdr>
    </w:div>
    <w:div w:id="1263878501">
      <w:bodyDiv w:val="1"/>
      <w:marLeft w:val="0"/>
      <w:marRight w:val="0"/>
      <w:marTop w:val="0"/>
      <w:marBottom w:val="0"/>
      <w:divBdr>
        <w:top w:val="none" w:sz="0" w:space="0" w:color="auto"/>
        <w:left w:val="none" w:sz="0" w:space="0" w:color="auto"/>
        <w:bottom w:val="none" w:sz="0" w:space="0" w:color="auto"/>
        <w:right w:val="none" w:sz="0" w:space="0" w:color="auto"/>
      </w:divBdr>
    </w:div>
    <w:div w:id="1285043582">
      <w:bodyDiv w:val="1"/>
      <w:marLeft w:val="0"/>
      <w:marRight w:val="0"/>
      <w:marTop w:val="0"/>
      <w:marBottom w:val="0"/>
      <w:divBdr>
        <w:top w:val="none" w:sz="0" w:space="0" w:color="auto"/>
        <w:left w:val="none" w:sz="0" w:space="0" w:color="auto"/>
        <w:bottom w:val="none" w:sz="0" w:space="0" w:color="auto"/>
        <w:right w:val="none" w:sz="0" w:space="0" w:color="auto"/>
      </w:divBdr>
    </w:div>
    <w:div w:id="1286883690">
      <w:bodyDiv w:val="1"/>
      <w:marLeft w:val="0"/>
      <w:marRight w:val="0"/>
      <w:marTop w:val="0"/>
      <w:marBottom w:val="0"/>
      <w:divBdr>
        <w:top w:val="none" w:sz="0" w:space="0" w:color="auto"/>
        <w:left w:val="none" w:sz="0" w:space="0" w:color="auto"/>
        <w:bottom w:val="none" w:sz="0" w:space="0" w:color="auto"/>
        <w:right w:val="none" w:sz="0" w:space="0" w:color="auto"/>
      </w:divBdr>
    </w:div>
    <w:div w:id="1296135360">
      <w:bodyDiv w:val="1"/>
      <w:marLeft w:val="0"/>
      <w:marRight w:val="0"/>
      <w:marTop w:val="0"/>
      <w:marBottom w:val="0"/>
      <w:divBdr>
        <w:top w:val="none" w:sz="0" w:space="0" w:color="auto"/>
        <w:left w:val="none" w:sz="0" w:space="0" w:color="auto"/>
        <w:bottom w:val="none" w:sz="0" w:space="0" w:color="auto"/>
        <w:right w:val="none" w:sz="0" w:space="0" w:color="auto"/>
      </w:divBdr>
    </w:div>
    <w:div w:id="1309748999">
      <w:bodyDiv w:val="1"/>
      <w:marLeft w:val="0"/>
      <w:marRight w:val="0"/>
      <w:marTop w:val="0"/>
      <w:marBottom w:val="0"/>
      <w:divBdr>
        <w:top w:val="none" w:sz="0" w:space="0" w:color="auto"/>
        <w:left w:val="none" w:sz="0" w:space="0" w:color="auto"/>
        <w:bottom w:val="none" w:sz="0" w:space="0" w:color="auto"/>
        <w:right w:val="none" w:sz="0" w:space="0" w:color="auto"/>
      </w:divBdr>
    </w:div>
    <w:div w:id="1321736949">
      <w:bodyDiv w:val="1"/>
      <w:marLeft w:val="0"/>
      <w:marRight w:val="0"/>
      <w:marTop w:val="0"/>
      <w:marBottom w:val="0"/>
      <w:divBdr>
        <w:top w:val="none" w:sz="0" w:space="0" w:color="auto"/>
        <w:left w:val="none" w:sz="0" w:space="0" w:color="auto"/>
        <w:bottom w:val="none" w:sz="0" w:space="0" w:color="auto"/>
        <w:right w:val="none" w:sz="0" w:space="0" w:color="auto"/>
      </w:divBdr>
    </w:div>
    <w:div w:id="1323850943">
      <w:bodyDiv w:val="1"/>
      <w:marLeft w:val="0"/>
      <w:marRight w:val="0"/>
      <w:marTop w:val="0"/>
      <w:marBottom w:val="0"/>
      <w:divBdr>
        <w:top w:val="none" w:sz="0" w:space="0" w:color="auto"/>
        <w:left w:val="none" w:sz="0" w:space="0" w:color="auto"/>
        <w:bottom w:val="none" w:sz="0" w:space="0" w:color="auto"/>
        <w:right w:val="none" w:sz="0" w:space="0" w:color="auto"/>
      </w:divBdr>
    </w:div>
    <w:div w:id="1337541563">
      <w:bodyDiv w:val="1"/>
      <w:marLeft w:val="0"/>
      <w:marRight w:val="0"/>
      <w:marTop w:val="0"/>
      <w:marBottom w:val="0"/>
      <w:divBdr>
        <w:top w:val="none" w:sz="0" w:space="0" w:color="auto"/>
        <w:left w:val="none" w:sz="0" w:space="0" w:color="auto"/>
        <w:bottom w:val="none" w:sz="0" w:space="0" w:color="auto"/>
        <w:right w:val="none" w:sz="0" w:space="0" w:color="auto"/>
      </w:divBdr>
    </w:div>
    <w:div w:id="1365861749">
      <w:bodyDiv w:val="1"/>
      <w:marLeft w:val="0"/>
      <w:marRight w:val="0"/>
      <w:marTop w:val="0"/>
      <w:marBottom w:val="0"/>
      <w:divBdr>
        <w:top w:val="none" w:sz="0" w:space="0" w:color="auto"/>
        <w:left w:val="none" w:sz="0" w:space="0" w:color="auto"/>
        <w:bottom w:val="none" w:sz="0" w:space="0" w:color="auto"/>
        <w:right w:val="none" w:sz="0" w:space="0" w:color="auto"/>
      </w:divBdr>
    </w:div>
    <w:div w:id="1402604987">
      <w:bodyDiv w:val="1"/>
      <w:marLeft w:val="0"/>
      <w:marRight w:val="0"/>
      <w:marTop w:val="0"/>
      <w:marBottom w:val="0"/>
      <w:divBdr>
        <w:top w:val="none" w:sz="0" w:space="0" w:color="auto"/>
        <w:left w:val="none" w:sz="0" w:space="0" w:color="auto"/>
        <w:bottom w:val="none" w:sz="0" w:space="0" w:color="auto"/>
        <w:right w:val="none" w:sz="0" w:space="0" w:color="auto"/>
      </w:divBdr>
    </w:div>
    <w:div w:id="1425414490">
      <w:bodyDiv w:val="1"/>
      <w:marLeft w:val="0"/>
      <w:marRight w:val="0"/>
      <w:marTop w:val="0"/>
      <w:marBottom w:val="0"/>
      <w:divBdr>
        <w:top w:val="none" w:sz="0" w:space="0" w:color="auto"/>
        <w:left w:val="none" w:sz="0" w:space="0" w:color="auto"/>
        <w:bottom w:val="none" w:sz="0" w:space="0" w:color="auto"/>
        <w:right w:val="none" w:sz="0" w:space="0" w:color="auto"/>
      </w:divBdr>
      <w:divsChild>
        <w:div w:id="751850744">
          <w:marLeft w:val="0"/>
          <w:marRight w:val="0"/>
          <w:marTop w:val="0"/>
          <w:marBottom w:val="0"/>
          <w:divBdr>
            <w:top w:val="none" w:sz="0" w:space="0" w:color="auto"/>
            <w:left w:val="none" w:sz="0" w:space="0" w:color="auto"/>
            <w:bottom w:val="none" w:sz="0" w:space="0" w:color="auto"/>
            <w:right w:val="none" w:sz="0" w:space="0" w:color="auto"/>
          </w:divBdr>
          <w:divsChild>
            <w:div w:id="254367294">
              <w:marLeft w:val="0"/>
              <w:marRight w:val="0"/>
              <w:marTop w:val="0"/>
              <w:marBottom w:val="0"/>
              <w:divBdr>
                <w:top w:val="none" w:sz="0" w:space="0" w:color="auto"/>
                <w:left w:val="none" w:sz="0" w:space="0" w:color="auto"/>
                <w:bottom w:val="none" w:sz="0" w:space="0" w:color="auto"/>
                <w:right w:val="none" w:sz="0" w:space="0" w:color="auto"/>
              </w:divBdr>
              <w:divsChild>
                <w:div w:id="2364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9393">
      <w:bodyDiv w:val="1"/>
      <w:marLeft w:val="0"/>
      <w:marRight w:val="0"/>
      <w:marTop w:val="0"/>
      <w:marBottom w:val="0"/>
      <w:divBdr>
        <w:top w:val="none" w:sz="0" w:space="0" w:color="auto"/>
        <w:left w:val="none" w:sz="0" w:space="0" w:color="auto"/>
        <w:bottom w:val="none" w:sz="0" w:space="0" w:color="auto"/>
        <w:right w:val="none" w:sz="0" w:space="0" w:color="auto"/>
      </w:divBdr>
    </w:div>
    <w:div w:id="1434283588">
      <w:bodyDiv w:val="1"/>
      <w:marLeft w:val="0"/>
      <w:marRight w:val="0"/>
      <w:marTop w:val="0"/>
      <w:marBottom w:val="0"/>
      <w:divBdr>
        <w:top w:val="none" w:sz="0" w:space="0" w:color="auto"/>
        <w:left w:val="none" w:sz="0" w:space="0" w:color="auto"/>
        <w:bottom w:val="none" w:sz="0" w:space="0" w:color="auto"/>
        <w:right w:val="none" w:sz="0" w:space="0" w:color="auto"/>
      </w:divBdr>
    </w:div>
    <w:div w:id="1438141197">
      <w:bodyDiv w:val="1"/>
      <w:marLeft w:val="0"/>
      <w:marRight w:val="0"/>
      <w:marTop w:val="0"/>
      <w:marBottom w:val="0"/>
      <w:divBdr>
        <w:top w:val="none" w:sz="0" w:space="0" w:color="auto"/>
        <w:left w:val="none" w:sz="0" w:space="0" w:color="auto"/>
        <w:bottom w:val="none" w:sz="0" w:space="0" w:color="auto"/>
        <w:right w:val="none" w:sz="0" w:space="0" w:color="auto"/>
      </w:divBdr>
    </w:div>
    <w:div w:id="1448892637">
      <w:bodyDiv w:val="1"/>
      <w:marLeft w:val="0"/>
      <w:marRight w:val="0"/>
      <w:marTop w:val="0"/>
      <w:marBottom w:val="0"/>
      <w:divBdr>
        <w:top w:val="none" w:sz="0" w:space="0" w:color="auto"/>
        <w:left w:val="none" w:sz="0" w:space="0" w:color="auto"/>
        <w:bottom w:val="none" w:sz="0" w:space="0" w:color="auto"/>
        <w:right w:val="none" w:sz="0" w:space="0" w:color="auto"/>
      </w:divBdr>
    </w:div>
    <w:div w:id="1456673237">
      <w:bodyDiv w:val="1"/>
      <w:marLeft w:val="0"/>
      <w:marRight w:val="0"/>
      <w:marTop w:val="0"/>
      <w:marBottom w:val="0"/>
      <w:divBdr>
        <w:top w:val="none" w:sz="0" w:space="0" w:color="auto"/>
        <w:left w:val="none" w:sz="0" w:space="0" w:color="auto"/>
        <w:bottom w:val="none" w:sz="0" w:space="0" w:color="auto"/>
        <w:right w:val="none" w:sz="0" w:space="0" w:color="auto"/>
      </w:divBdr>
    </w:div>
    <w:div w:id="1489445037">
      <w:bodyDiv w:val="1"/>
      <w:marLeft w:val="0"/>
      <w:marRight w:val="0"/>
      <w:marTop w:val="0"/>
      <w:marBottom w:val="0"/>
      <w:divBdr>
        <w:top w:val="none" w:sz="0" w:space="0" w:color="auto"/>
        <w:left w:val="none" w:sz="0" w:space="0" w:color="auto"/>
        <w:bottom w:val="none" w:sz="0" w:space="0" w:color="auto"/>
        <w:right w:val="none" w:sz="0" w:space="0" w:color="auto"/>
      </w:divBdr>
    </w:div>
    <w:div w:id="1496990112">
      <w:bodyDiv w:val="1"/>
      <w:marLeft w:val="0"/>
      <w:marRight w:val="0"/>
      <w:marTop w:val="0"/>
      <w:marBottom w:val="0"/>
      <w:divBdr>
        <w:top w:val="none" w:sz="0" w:space="0" w:color="auto"/>
        <w:left w:val="none" w:sz="0" w:space="0" w:color="auto"/>
        <w:bottom w:val="none" w:sz="0" w:space="0" w:color="auto"/>
        <w:right w:val="none" w:sz="0" w:space="0" w:color="auto"/>
      </w:divBdr>
    </w:div>
    <w:div w:id="1513178143">
      <w:bodyDiv w:val="1"/>
      <w:marLeft w:val="0"/>
      <w:marRight w:val="0"/>
      <w:marTop w:val="0"/>
      <w:marBottom w:val="0"/>
      <w:divBdr>
        <w:top w:val="none" w:sz="0" w:space="0" w:color="auto"/>
        <w:left w:val="none" w:sz="0" w:space="0" w:color="auto"/>
        <w:bottom w:val="none" w:sz="0" w:space="0" w:color="auto"/>
        <w:right w:val="none" w:sz="0" w:space="0" w:color="auto"/>
      </w:divBdr>
    </w:div>
    <w:div w:id="1531186284">
      <w:bodyDiv w:val="1"/>
      <w:marLeft w:val="0"/>
      <w:marRight w:val="0"/>
      <w:marTop w:val="0"/>
      <w:marBottom w:val="0"/>
      <w:divBdr>
        <w:top w:val="none" w:sz="0" w:space="0" w:color="auto"/>
        <w:left w:val="none" w:sz="0" w:space="0" w:color="auto"/>
        <w:bottom w:val="none" w:sz="0" w:space="0" w:color="auto"/>
        <w:right w:val="none" w:sz="0" w:space="0" w:color="auto"/>
      </w:divBdr>
    </w:div>
    <w:div w:id="1537431750">
      <w:bodyDiv w:val="1"/>
      <w:marLeft w:val="0"/>
      <w:marRight w:val="0"/>
      <w:marTop w:val="0"/>
      <w:marBottom w:val="0"/>
      <w:divBdr>
        <w:top w:val="none" w:sz="0" w:space="0" w:color="auto"/>
        <w:left w:val="none" w:sz="0" w:space="0" w:color="auto"/>
        <w:bottom w:val="none" w:sz="0" w:space="0" w:color="auto"/>
        <w:right w:val="none" w:sz="0" w:space="0" w:color="auto"/>
      </w:divBdr>
    </w:div>
    <w:div w:id="1546214566">
      <w:bodyDiv w:val="1"/>
      <w:marLeft w:val="0"/>
      <w:marRight w:val="0"/>
      <w:marTop w:val="0"/>
      <w:marBottom w:val="0"/>
      <w:divBdr>
        <w:top w:val="none" w:sz="0" w:space="0" w:color="auto"/>
        <w:left w:val="none" w:sz="0" w:space="0" w:color="auto"/>
        <w:bottom w:val="none" w:sz="0" w:space="0" w:color="auto"/>
        <w:right w:val="none" w:sz="0" w:space="0" w:color="auto"/>
      </w:divBdr>
    </w:div>
    <w:div w:id="1626278077">
      <w:bodyDiv w:val="1"/>
      <w:marLeft w:val="0"/>
      <w:marRight w:val="0"/>
      <w:marTop w:val="0"/>
      <w:marBottom w:val="0"/>
      <w:divBdr>
        <w:top w:val="none" w:sz="0" w:space="0" w:color="auto"/>
        <w:left w:val="none" w:sz="0" w:space="0" w:color="auto"/>
        <w:bottom w:val="none" w:sz="0" w:space="0" w:color="auto"/>
        <w:right w:val="none" w:sz="0" w:space="0" w:color="auto"/>
      </w:divBdr>
    </w:div>
    <w:div w:id="1630235744">
      <w:bodyDiv w:val="1"/>
      <w:marLeft w:val="0"/>
      <w:marRight w:val="0"/>
      <w:marTop w:val="0"/>
      <w:marBottom w:val="0"/>
      <w:divBdr>
        <w:top w:val="none" w:sz="0" w:space="0" w:color="auto"/>
        <w:left w:val="none" w:sz="0" w:space="0" w:color="auto"/>
        <w:bottom w:val="none" w:sz="0" w:space="0" w:color="auto"/>
        <w:right w:val="none" w:sz="0" w:space="0" w:color="auto"/>
      </w:divBdr>
    </w:div>
    <w:div w:id="1657151213">
      <w:bodyDiv w:val="1"/>
      <w:marLeft w:val="0"/>
      <w:marRight w:val="0"/>
      <w:marTop w:val="0"/>
      <w:marBottom w:val="0"/>
      <w:divBdr>
        <w:top w:val="none" w:sz="0" w:space="0" w:color="auto"/>
        <w:left w:val="none" w:sz="0" w:space="0" w:color="auto"/>
        <w:bottom w:val="none" w:sz="0" w:space="0" w:color="auto"/>
        <w:right w:val="none" w:sz="0" w:space="0" w:color="auto"/>
      </w:divBdr>
    </w:div>
    <w:div w:id="1661083807">
      <w:bodyDiv w:val="1"/>
      <w:marLeft w:val="0"/>
      <w:marRight w:val="0"/>
      <w:marTop w:val="0"/>
      <w:marBottom w:val="0"/>
      <w:divBdr>
        <w:top w:val="none" w:sz="0" w:space="0" w:color="auto"/>
        <w:left w:val="none" w:sz="0" w:space="0" w:color="auto"/>
        <w:bottom w:val="none" w:sz="0" w:space="0" w:color="auto"/>
        <w:right w:val="none" w:sz="0" w:space="0" w:color="auto"/>
      </w:divBdr>
    </w:div>
    <w:div w:id="1688369733">
      <w:bodyDiv w:val="1"/>
      <w:marLeft w:val="0"/>
      <w:marRight w:val="0"/>
      <w:marTop w:val="0"/>
      <w:marBottom w:val="0"/>
      <w:divBdr>
        <w:top w:val="none" w:sz="0" w:space="0" w:color="auto"/>
        <w:left w:val="none" w:sz="0" w:space="0" w:color="auto"/>
        <w:bottom w:val="none" w:sz="0" w:space="0" w:color="auto"/>
        <w:right w:val="none" w:sz="0" w:space="0" w:color="auto"/>
      </w:divBdr>
    </w:div>
    <w:div w:id="1703094052">
      <w:bodyDiv w:val="1"/>
      <w:marLeft w:val="0"/>
      <w:marRight w:val="0"/>
      <w:marTop w:val="0"/>
      <w:marBottom w:val="0"/>
      <w:divBdr>
        <w:top w:val="none" w:sz="0" w:space="0" w:color="auto"/>
        <w:left w:val="none" w:sz="0" w:space="0" w:color="auto"/>
        <w:bottom w:val="none" w:sz="0" w:space="0" w:color="auto"/>
        <w:right w:val="none" w:sz="0" w:space="0" w:color="auto"/>
      </w:divBdr>
    </w:div>
    <w:div w:id="1704209189">
      <w:bodyDiv w:val="1"/>
      <w:marLeft w:val="0"/>
      <w:marRight w:val="0"/>
      <w:marTop w:val="0"/>
      <w:marBottom w:val="0"/>
      <w:divBdr>
        <w:top w:val="none" w:sz="0" w:space="0" w:color="auto"/>
        <w:left w:val="none" w:sz="0" w:space="0" w:color="auto"/>
        <w:bottom w:val="none" w:sz="0" w:space="0" w:color="auto"/>
        <w:right w:val="none" w:sz="0" w:space="0" w:color="auto"/>
      </w:divBdr>
    </w:div>
    <w:div w:id="1705205679">
      <w:bodyDiv w:val="1"/>
      <w:marLeft w:val="0"/>
      <w:marRight w:val="0"/>
      <w:marTop w:val="0"/>
      <w:marBottom w:val="0"/>
      <w:divBdr>
        <w:top w:val="none" w:sz="0" w:space="0" w:color="auto"/>
        <w:left w:val="none" w:sz="0" w:space="0" w:color="auto"/>
        <w:bottom w:val="none" w:sz="0" w:space="0" w:color="auto"/>
        <w:right w:val="none" w:sz="0" w:space="0" w:color="auto"/>
      </w:divBdr>
    </w:div>
    <w:div w:id="1717507296">
      <w:bodyDiv w:val="1"/>
      <w:marLeft w:val="0"/>
      <w:marRight w:val="0"/>
      <w:marTop w:val="0"/>
      <w:marBottom w:val="0"/>
      <w:divBdr>
        <w:top w:val="none" w:sz="0" w:space="0" w:color="auto"/>
        <w:left w:val="none" w:sz="0" w:space="0" w:color="auto"/>
        <w:bottom w:val="none" w:sz="0" w:space="0" w:color="auto"/>
        <w:right w:val="none" w:sz="0" w:space="0" w:color="auto"/>
      </w:divBdr>
      <w:divsChild>
        <w:div w:id="719984404">
          <w:marLeft w:val="0"/>
          <w:marRight w:val="0"/>
          <w:marTop w:val="0"/>
          <w:marBottom w:val="0"/>
          <w:divBdr>
            <w:top w:val="none" w:sz="0" w:space="0" w:color="auto"/>
            <w:left w:val="none" w:sz="0" w:space="0" w:color="auto"/>
            <w:bottom w:val="none" w:sz="0" w:space="0" w:color="auto"/>
            <w:right w:val="none" w:sz="0" w:space="0" w:color="auto"/>
          </w:divBdr>
          <w:divsChild>
            <w:div w:id="2045599041">
              <w:marLeft w:val="0"/>
              <w:marRight w:val="0"/>
              <w:marTop w:val="0"/>
              <w:marBottom w:val="0"/>
              <w:divBdr>
                <w:top w:val="none" w:sz="0" w:space="0" w:color="auto"/>
                <w:left w:val="none" w:sz="0" w:space="0" w:color="auto"/>
                <w:bottom w:val="none" w:sz="0" w:space="0" w:color="auto"/>
                <w:right w:val="none" w:sz="0" w:space="0" w:color="auto"/>
              </w:divBdr>
              <w:divsChild>
                <w:div w:id="119203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583955">
      <w:bodyDiv w:val="1"/>
      <w:marLeft w:val="0"/>
      <w:marRight w:val="0"/>
      <w:marTop w:val="0"/>
      <w:marBottom w:val="0"/>
      <w:divBdr>
        <w:top w:val="none" w:sz="0" w:space="0" w:color="auto"/>
        <w:left w:val="none" w:sz="0" w:space="0" w:color="auto"/>
        <w:bottom w:val="none" w:sz="0" w:space="0" w:color="auto"/>
        <w:right w:val="none" w:sz="0" w:space="0" w:color="auto"/>
      </w:divBdr>
    </w:div>
    <w:div w:id="1759591650">
      <w:bodyDiv w:val="1"/>
      <w:marLeft w:val="0"/>
      <w:marRight w:val="0"/>
      <w:marTop w:val="0"/>
      <w:marBottom w:val="0"/>
      <w:divBdr>
        <w:top w:val="none" w:sz="0" w:space="0" w:color="auto"/>
        <w:left w:val="none" w:sz="0" w:space="0" w:color="auto"/>
        <w:bottom w:val="none" w:sz="0" w:space="0" w:color="auto"/>
        <w:right w:val="none" w:sz="0" w:space="0" w:color="auto"/>
      </w:divBdr>
    </w:div>
    <w:div w:id="1779904462">
      <w:bodyDiv w:val="1"/>
      <w:marLeft w:val="0"/>
      <w:marRight w:val="0"/>
      <w:marTop w:val="0"/>
      <w:marBottom w:val="0"/>
      <w:divBdr>
        <w:top w:val="none" w:sz="0" w:space="0" w:color="auto"/>
        <w:left w:val="none" w:sz="0" w:space="0" w:color="auto"/>
        <w:bottom w:val="none" w:sz="0" w:space="0" w:color="auto"/>
        <w:right w:val="none" w:sz="0" w:space="0" w:color="auto"/>
      </w:divBdr>
    </w:div>
    <w:div w:id="1788507920">
      <w:bodyDiv w:val="1"/>
      <w:marLeft w:val="0"/>
      <w:marRight w:val="0"/>
      <w:marTop w:val="0"/>
      <w:marBottom w:val="0"/>
      <w:divBdr>
        <w:top w:val="none" w:sz="0" w:space="0" w:color="auto"/>
        <w:left w:val="none" w:sz="0" w:space="0" w:color="auto"/>
        <w:bottom w:val="none" w:sz="0" w:space="0" w:color="auto"/>
        <w:right w:val="none" w:sz="0" w:space="0" w:color="auto"/>
      </w:divBdr>
    </w:div>
    <w:div w:id="1805155584">
      <w:bodyDiv w:val="1"/>
      <w:marLeft w:val="0"/>
      <w:marRight w:val="0"/>
      <w:marTop w:val="0"/>
      <w:marBottom w:val="0"/>
      <w:divBdr>
        <w:top w:val="none" w:sz="0" w:space="0" w:color="auto"/>
        <w:left w:val="none" w:sz="0" w:space="0" w:color="auto"/>
        <w:bottom w:val="none" w:sz="0" w:space="0" w:color="auto"/>
        <w:right w:val="none" w:sz="0" w:space="0" w:color="auto"/>
      </w:divBdr>
    </w:div>
    <w:div w:id="1806696452">
      <w:bodyDiv w:val="1"/>
      <w:marLeft w:val="0"/>
      <w:marRight w:val="0"/>
      <w:marTop w:val="0"/>
      <w:marBottom w:val="0"/>
      <w:divBdr>
        <w:top w:val="none" w:sz="0" w:space="0" w:color="auto"/>
        <w:left w:val="none" w:sz="0" w:space="0" w:color="auto"/>
        <w:bottom w:val="none" w:sz="0" w:space="0" w:color="auto"/>
        <w:right w:val="none" w:sz="0" w:space="0" w:color="auto"/>
      </w:divBdr>
    </w:div>
    <w:div w:id="1816877063">
      <w:bodyDiv w:val="1"/>
      <w:marLeft w:val="0"/>
      <w:marRight w:val="0"/>
      <w:marTop w:val="0"/>
      <w:marBottom w:val="0"/>
      <w:divBdr>
        <w:top w:val="none" w:sz="0" w:space="0" w:color="auto"/>
        <w:left w:val="none" w:sz="0" w:space="0" w:color="auto"/>
        <w:bottom w:val="none" w:sz="0" w:space="0" w:color="auto"/>
        <w:right w:val="none" w:sz="0" w:space="0" w:color="auto"/>
      </w:divBdr>
    </w:div>
    <w:div w:id="1851606408">
      <w:bodyDiv w:val="1"/>
      <w:marLeft w:val="0"/>
      <w:marRight w:val="0"/>
      <w:marTop w:val="0"/>
      <w:marBottom w:val="0"/>
      <w:divBdr>
        <w:top w:val="none" w:sz="0" w:space="0" w:color="auto"/>
        <w:left w:val="none" w:sz="0" w:space="0" w:color="auto"/>
        <w:bottom w:val="none" w:sz="0" w:space="0" w:color="auto"/>
        <w:right w:val="none" w:sz="0" w:space="0" w:color="auto"/>
      </w:divBdr>
    </w:div>
    <w:div w:id="1852525146">
      <w:bodyDiv w:val="1"/>
      <w:marLeft w:val="0"/>
      <w:marRight w:val="0"/>
      <w:marTop w:val="0"/>
      <w:marBottom w:val="0"/>
      <w:divBdr>
        <w:top w:val="none" w:sz="0" w:space="0" w:color="auto"/>
        <w:left w:val="none" w:sz="0" w:space="0" w:color="auto"/>
        <w:bottom w:val="none" w:sz="0" w:space="0" w:color="auto"/>
        <w:right w:val="none" w:sz="0" w:space="0" w:color="auto"/>
      </w:divBdr>
    </w:div>
    <w:div w:id="1868172380">
      <w:bodyDiv w:val="1"/>
      <w:marLeft w:val="0"/>
      <w:marRight w:val="0"/>
      <w:marTop w:val="0"/>
      <w:marBottom w:val="0"/>
      <w:divBdr>
        <w:top w:val="none" w:sz="0" w:space="0" w:color="auto"/>
        <w:left w:val="none" w:sz="0" w:space="0" w:color="auto"/>
        <w:bottom w:val="none" w:sz="0" w:space="0" w:color="auto"/>
        <w:right w:val="none" w:sz="0" w:space="0" w:color="auto"/>
      </w:divBdr>
    </w:div>
    <w:div w:id="1880046285">
      <w:bodyDiv w:val="1"/>
      <w:marLeft w:val="0"/>
      <w:marRight w:val="0"/>
      <w:marTop w:val="0"/>
      <w:marBottom w:val="0"/>
      <w:divBdr>
        <w:top w:val="none" w:sz="0" w:space="0" w:color="auto"/>
        <w:left w:val="none" w:sz="0" w:space="0" w:color="auto"/>
        <w:bottom w:val="none" w:sz="0" w:space="0" w:color="auto"/>
        <w:right w:val="none" w:sz="0" w:space="0" w:color="auto"/>
      </w:divBdr>
      <w:divsChild>
        <w:div w:id="866793252">
          <w:marLeft w:val="0"/>
          <w:marRight w:val="0"/>
          <w:marTop w:val="0"/>
          <w:marBottom w:val="0"/>
          <w:divBdr>
            <w:top w:val="none" w:sz="0" w:space="0" w:color="auto"/>
            <w:left w:val="none" w:sz="0" w:space="0" w:color="auto"/>
            <w:bottom w:val="none" w:sz="0" w:space="0" w:color="auto"/>
            <w:right w:val="none" w:sz="0" w:space="0" w:color="auto"/>
          </w:divBdr>
          <w:divsChild>
            <w:div w:id="884683824">
              <w:marLeft w:val="0"/>
              <w:marRight w:val="0"/>
              <w:marTop w:val="0"/>
              <w:marBottom w:val="0"/>
              <w:divBdr>
                <w:top w:val="none" w:sz="0" w:space="0" w:color="auto"/>
                <w:left w:val="none" w:sz="0" w:space="0" w:color="auto"/>
                <w:bottom w:val="none" w:sz="0" w:space="0" w:color="auto"/>
                <w:right w:val="none" w:sz="0" w:space="0" w:color="auto"/>
              </w:divBdr>
              <w:divsChild>
                <w:div w:id="53038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289172">
      <w:bodyDiv w:val="1"/>
      <w:marLeft w:val="0"/>
      <w:marRight w:val="0"/>
      <w:marTop w:val="0"/>
      <w:marBottom w:val="0"/>
      <w:divBdr>
        <w:top w:val="none" w:sz="0" w:space="0" w:color="auto"/>
        <w:left w:val="none" w:sz="0" w:space="0" w:color="auto"/>
        <w:bottom w:val="none" w:sz="0" w:space="0" w:color="auto"/>
        <w:right w:val="none" w:sz="0" w:space="0" w:color="auto"/>
      </w:divBdr>
    </w:div>
    <w:div w:id="1893422499">
      <w:bodyDiv w:val="1"/>
      <w:marLeft w:val="0"/>
      <w:marRight w:val="0"/>
      <w:marTop w:val="0"/>
      <w:marBottom w:val="0"/>
      <w:divBdr>
        <w:top w:val="none" w:sz="0" w:space="0" w:color="auto"/>
        <w:left w:val="none" w:sz="0" w:space="0" w:color="auto"/>
        <w:bottom w:val="none" w:sz="0" w:space="0" w:color="auto"/>
        <w:right w:val="none" w:sz="0" w:space="0" w:color="auto"/>
      </w:divBdr>
    </w:div>
    <w:div w:id="1921519555">
      <w:bodyDiv w:val="1"/>
      <w:marLeft w:val="0"/>
      <w:marRight w:val="0"/>
      <w:marTop w:val="0"/>
      <w:marBottom w:val="0"/>
      <w:divBdr>
        <w:top w:val="none" w:sz="0" w:space="0" w:color="auto"/>
        <w:left w:val="none" w:sz="0" w:space="0" w:color="auto"/>
        <w:bottom w:val="none" w:sz="0" w:space="0" w:color="auto"/>
        <w:right w:val="none" w:sz="0" w:space="0" w:color="auto"/>
      </w:divBdr>
      <w:divsChild>
        <w:div w:id="1304771418">
          <w:marLeft w:val="0"/>
          <w:marRight w:val="0"/>
          <w:marTop w:val="0"/>
          <w:marBottom w:val="0"/>
          <w:divBdr>
            <w:top w:val="none" w:sz="0" w:space="0" w:color="auto"/>
            <w:left w:val="none" w:sz="0" w:space="0" w:color="auto"/>
            <w:bottom w:val="none" w:sz="0" w:space="0" w:color="auto"/>
            <w:right w:val="none" w:sz="0" w:space="0" w:color="auto"/>
          </w:divBdr>
          <w:divsChild>
            <w:div w:id="311104822">
              <w:marLeft w:val="0"/>
              <w:marRight w:val="0"/>
              <w:marTop w:val="0"/>
              <w:marBottom w:val="0"/>
              <w:divBdr>
                <w:top w:val="none" w:sz="0" w:space="0" w:color="auto"/>
                <w:left w:val="none" w:sz="0" w:space="0" w:color="auto"/>
                <w:bottom w:val="none" w:sz="0" w:space="0" w:color="auto"/>
                <w:right w:val="none" w:sz="0" w:space="0" w:color="auto"/>
              </w:divBdr>
              <w:divsChild>
                <w:div w:id="1544321857">
                  <w:marLeft w:val="0"/>
                  <w:marRight w:val="0"/>
                  <w:marTop w:val="0"/>
                  <w:marBottom w:val="0"/>
                  <w:divBdr>
                    <w:top w:val="none" w:sz="0" w:space="0" w:color="auto"/>
                    <w:left w:val="none" w:sz="0" w:space="0" w:color="auto"/>
                    <w:bottom w:val="none" w:sz="0" w:space="0" w:color="auto"/>
                    <w:right w:val="none" w:sz="0" w:space="0" w:color="auto"/>
                  </w:divBdr>
                  <w:divsChild>
                    <w:div w:id="109362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008091">
      <w:bodyDiv w:val="1"/>
      <w:marLeft w:val="0"/>
      <w:marRight w:val="0"/>
      <w:marTop w:val="0"/>
      <w:marBottom w:val="0"/>
      <w:divBdr>
        <w:top w:val="none" w:sz="0" w:space="0" w:color="auto"/>
        <w:left w:val="none" w:sz="0" w:space="0" w:color="auto"/>
        <w:bottom w:val="none" w:sz="0" w:space="0" w:color="auto"/>
        <w:right w:val="none" w:sz="0" w:space="0" w:color="auto"/>
      </w:divBdr>
    </w:div>
    <w:div w:id="1963220152">
      <w:bodyDiv w:val="1"/>
      <w:marLeft w:val="0"/>
      <w:marRight w:val="0"/>
      <w:marTop w:val="0"/>
      <w:marBottom w:val="0"/>
      <w:divBdr>
        <w:top w:val="none" w:sz="0" w:space="0" w:color="auto"/>
        <w:left w:val="none" w:sz="0" w:space="0" w:color="auto"/>
        <w:bottom w:val="none" w:sz="0" w:space="0" w:color="auto"/>
        <w:right w:val="none" w:sz="0" w:space="0" w:color="auto"/>
      </w:divBdr>
    </w:div>
    <w:div w:id="1972518448">
      <w:bodyDiv w:val="1"/>
      <w:marLeft w:val="0"/>
      <w:marRight w:val="0"/>
      <w:marTop w:val="0"/>
      <w:marBottom w:val="0"/>
      <w:divBdr>
        <w:top w:val="none" w:sz="0" w:space="0" w:color="auto"/>
        <w:left w:val="none" w:sz="0" w:space="0" w:color="auto"/>
        <w:bottom w:val="none" w:sz="0" w:space="0" w:color="auto"/>
        <w:right w:val="none" w:sz="0" w:space="0" w:color="auto"/>
      </w:divBdr>
    </w:div>
    <w:div w:id="1973438995">
      <w:bodyDiv w:val="1"/>
      <w:marLeft w:val="0"/>
      <w:marRight w:val="0"/>
      <w:marTop w:val="0"/>
      <w:marBottom w:val="0"/>
      <w:divBdr>
        <w:top w:val="none" w:sz="0" w:space="0" w:color="auto"/>
        <w:left w:val="none" w:sz="0" w:space="0" w:color="auto"/>
        <w:bottom w:val="none" w:sz="0" w:space="0" w:color="auto"/>
        <w:right w:val="none" w:sz="0" w:space="0" w:color="auto"/>
      </w:divBdr>
    </w:div>
    <w:div w:id="1992714534">
      <w:bodyDiv w:val="1"/>
      <w:marLeft w:val="0"/>
      <w:marRight w:val="0"/>
      <w:marTop w:val="0"/>
      <w:marBottom w:val="0"/>
      <w:divBdr>
        <w:top w:val="none" w:sz="0" w:space="0" w:color="auto"/>
        <w:left w:val="none" w:sz="0" w:space="0" w:color="auto"/>
        <w:bottom w:val="none" w:sz="0" w:space="0" w:color="auto"/>
        <w:right w:val="none" w:sz="0" w:space="0" w:color="auto"/>
      </w:divBdr>
    </w:div>
    <w:div w:id="2002807014">
      <w:bodyDiv w:val="1"/>
      <w:marLeft w:val="0"/>
      <w:marRight w:val="0"/>
      <w:marTop w:val="0"/>
      <w:marBottom w:val="0"/>
      <w:divBdr>
        <w:top w:val="none" w:sz="0" w:space="0" w:color="auto"/>
        <w:left w:val="none" w:sz="0" w:space="0" w:color="auto"/>
        <w:bottom w:val="none" w:sz="0" w:space="0" w:color="auto"/>
        <w:right w:val="none" w:sz="0" w:space="0" w:color="auto"/>
      </w:divBdr>
    </w:div>
    <w:div w:id="2005090322">
      <w:bodyDiv w:val="1"/>
      <w:marLeft w:val="0"/>
      <w:marRight w:val="0"/>
      <w:marTop w:val="0"/>
      <w:marBottom w:val="0"/>
      <w:divBdr>
        <w:top w:val="none" w:sz="0" w:space="0" w:color="auto"/>
        <w:left w:val="none" w:sz="0" w:space="0" w:color="auto"/>
        <w:bottom w:val="none" w:sz="0" w:space="0" w:color="auto"/>
        <w:right w:val="none" w:sz="0" w:space="0" w:color="auto"/>
      </w:divBdr>
    </w:div>
    <w:div w:id="2043241249">
      <w:bodyDiv w:val="1"/>
      <w:marLeft w:val="0"/>
      <w:marRight w:val="0"/>
      <w:marTop w:val="0"/>
      <w:marBottom w:val="0"/>
      <w:divBdr>
        <w:top w:val="none" w:sz="0" w:space="0" w:color="auto"/>
        <w:left w:val="none" w:sz="0" w:space="0" w:color="auto"/>
        <w:bottom w:val="none" w:sz="0" w:space="0" w:color="auto"/>
        <w:right w:val="none" w:sz="0" w:space="0" w:color="auto"/>
      </w:divBdr>
    </w:div>
    <w:div w:id="2047027256">
      <w:bodyDiv w:val="1"/>
      <w:marLeft w:val="0"/>
      <w:marRight w:val="0"/>
      <w:marTop w:val="0"/>
      <w:marBottom w:val="0"/>
      <w:divBdr>
        <w:top w:val="none" w:sz="0" w:space="0" w:color="auto"/>
        <w:left w:val="none" w:sz="0" w:space="0" w:color="auto"/>
        <w:bottom w:val="none" w:sz="0" w:space="0" w:color="auto"/>
        <w:right w:val="none" w:sz="0" w:space="0" w:color="auto"/>
      </w:divBdr>
    </w:div>
    <w:div w:id="2063284105">
      <w:bodyDiv w:val="1"/>
      <w:marLeft w:val="0"/>
      <w:marRight w:val="0"/>
      <w:marTop w:val="0"/>
      <w:marBottom w:val="0"/>
      <w:divBdr>
        <w:top w:val="none" w:sz="0" w:space="0" w:color="auto"/>
        <w:left w:val="none" w:sz="0" w:space="0" w:color="auto"/>
        <w:bottom w:val="none" w:sz="0" w:space="0" w:color="auto"/>
        <w:right w:val="none" w:sz="0" w:space="0" w:color="auto"/>
      </w:divBdr>
    </w:div>
    <w:div w:id="2079865990">
      <w:bodyDiv w:val="1"/>
      <w:marLeft w:val="0"/>
      <w:marRight w:val="0"/>
      <w:marTop w:val="0"/>
      <w:marBottom w:val="0"/>
      <w:divBdr>
        <w:top w:val="none" w:sz="0" w:space="0" w:color="auto"/>
        <w:left w:val="none" w:sz="0" w:space="0" w:color="auto"/>
        <w:bottom w:val="none" w:sz="0" w:space="0" w:color="auto"/>
        <w:right w:val="none" w:sz="0" w:space="0" w:color="auto"/>
      </w:divBdr>
    </w:div>
    <w:div w:id="2082605071">
      <w:bodyDiv w:val="1"/>
      <w:marLeft w:val="0"/>
      <w:marRight w:val="0"/>
      <w:marTop w:val="0"/>
      <w:marBottom w:val="0"/>
      <w:divBdr>
        <w:top w:val="none" w:sz="0" w:space="0" w:color="auto"/>
        <w:left w:val="none" w:sz="0" w:space="0" w:color="auto"/>
        <w:bottom w:val="none" w:sz="0" w:space="0" w:color="auto"/>
        <w:right w:val="none" w:sz="0" w:space="0" w:color="auto"/>
      </w:divBdr>
    </w:div>
    <w:div w:id="2097821612">
      <w:bodyDiv w:val="1"/>
      <w:marLeft w:val="0"/>
      <w:marRight w:val="0"/>
      <w:marTop w:val="0"/>
      <w:marBottom w:val="0"/>
      <w:divBdr>
        <w:top w:val="none" w:sz="0" w:space="0" w:color="auto"/>
        <w:left w:val="none" w:sz="0" w:space="0" w:color="auto"/>
        <w:bottom w:val="none" w:sz="0" w:space="0" w:color="auto"/>
        <w:right w:val="none" w:sz="0" w:space="0" w:color="auto"/>
      </w:divBdr>
    </w:div>
    <w:div w:id="213112288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oter" Target="footer2.xml"/><Relationship Id="rId7" Type="http://schemas.openxmlformats.org/officeDocument/2006/relationships/footnotes" Target="foot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1.xml"/><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9" Type="http://schemas.openxmlformats.org/officeDocument/2006/relationships/hyperlink" Target="https://tbinternet.ohchr.org/_layouts/15/treatybodyexternal/Download.aspx?symbolno=E%2fC.12%2fCOD%2fCO%2f4&amp;Lang=fr" TargetMode="External"/><Relationship Id="rId20" Type="http://schemas.openxmlformats.org/officeDocument/2006/relationships/hyperlink" Target="https://impacttransform.org/wp-content/uploads/2017/09/Women-in-ASM_DRC_final-July-2017-FR.pdf" TargetMode="External"/><Relationship Id="rId21" Type="http://schemas.openxmlformats.org/officeDocument/2006/relationships/hyperlink" Target="http://ipisresearch.be/wp-content/uploads/2019/04/1904-IOM-mapping-eastern-DRC.pdf" TargetMode="External"/><Relationship Id="rId22" Type="http://schemas.openxmlformats.org/officeDocument/2006/relationships/hyperlink" Target="https://tbinternet.ohchr.org/_layouts/15/treatybodyexternal/Download.aspx?symbolno=CEDAW%2fC%2fCOD%2fCO%2f8&amp;Lang=en" TargetMode="External"/><Relationship Id="rId23" Type="http://schemas.openxmlformats.org/officeDocument/2006/relationships/hyperlink" Target="https://wilpf.org/wp-content/uploads/2016/10/WILPF-DRCresearch_" TargetMode="External"/><Relationship Id="rId24" Type="http://schemas.openxmlformats.org/officeDocument/2006/relationships/hyperlink" Target="https://213ou636sh0ptphd141fqei1" TargetMode="External"/><Relationship Id="rId25" Type="http://schemas.openxmlformats.org/officeDocument/2006/relationships/hyperlink" Target="https://tbinternet.ohchr.org/_layouts/15/TreatyBodyExternal/countries.aspx?CountryCode=COD&amp;Lang=FR" TargetMode="External"/><Relationship Id="rId10" Type="http://schemas.openxmlformats.org/officeDocument/2006/relationships/hyperlink" Target="https://www.primature.cd/public/composition-gouvernement-congo-rdc-sylvestre-ilunga-ilunkamba/" TargetMode="External"/><Relationship Id="rId11" Type="http://schemas.openxmlformats.org/officeDocument/2006/relationships/hyperlink" Target="http://www.leganet.cd/Legislation/Droit%20Public/Divers/L.08.005.10.06.2008.htm" TargetMode="External"/><Relationship Id="rId12" Type="http://schemas.openxmlformats.org/officeDocument/2006/relationships/hyperlink" Target="http://riensanslesfemmes.org/wp-content/uploads/2016/10/ANALYSE-CRITIQUE-DE-LA-LOI-PORTANT-MISE-EN-" TargetMode="External"/><Relationship Id="rId13" Type="http://schemas.openxmlformats.org/officeDocument/2006/relationships/hyperlink" Target="http://riensanslesfemmes.org/wp-content/uploads/2016/10/ANALYSE-CRITIQUE-DE-LA-LOI-PORTANT-MISE-EN-%C5%92UVRE-DE-LA-PARITE-Version-pr%C3%A9sentation1.pdf" TargetMode="External"/><Relationship Id="rId14" Type="http://schemas.openxmlformats.org/officeDocument/2006/relationships/hyperlink" Target="https://tbinternet.ohchr.org/_layouts/15/treatybodyexternal/Download.aspx?symbolno=CEDAW%2fC%2fCOD%2fCO%2f8&amp;Lang=fr" TargetMode="External"/><Relationship Id="rId15" Type="http://schemas.openxmlformats.org/officeDocument/2006/relationships/hyperlink" Target="https://tbinternet.ohchr.org/_layouts/15/treatybodyexternal/Download.aspx?symbolno=E%2fC.12%2fCOD%2fCO%2f4&amp;Lang=fr" TargetMode="External"/><Relationship Id="rId16" Type="http://schemas.openxmlformats.org/officeDocument/2006/relationships/hyperlink" Target="https://tbinternet.ohchr.org/_layouts/15/TreatyBodyExternal/countries.aspx?CountryCode=COD&amp;Lang=FR" TargetMode="External"/><Relationship Id="rId17" Type="http://schemas.openxmlformats.org/officeDocument/2006/relationships/hyperlink" Target="https://tbinternet.ohchr.org/_layouts/15/treatybodyexternal/Download.aspx?symbolno=E%2fC.12%2fCOD%2fCO%2f4&amp;Lang=fr" TargetMode="External"/><Relationship Id="rId18" Type="http://schemas.openxmlformats.org/officeDocument/2006/relationships/hyperlink" Target="https://elr.info/sites/default/files/529-544_hayes_and_perks.pdf" TargetMode="External"/><Relationship Id="rId19" Type="http://schemas.openxmlformats.org/officeDocument/2006/relationships/hyperlink" Target="https://impacttransform.org/wp-content/uploads/2017/10/GrOW-Working-Paper_2017.pdf" TargetMode="External"/><Relationship Id="rId1" Type="http://schemas.openxmlformats.org/officeDocument/2006/relationships/hyperlink" Target="https://tbinternet.ohchr.org/_layouts/15/treatybodyexternal/Download.aspx?symbolno=E%2fC.12%2fCOD%2fCO%2f4&amp;Lang=fr" TargetMode="External"/><Relationship Id="rId2" Type="http://schemas.openxmlformats.org/officeDocument/2006/relationships/hyperlink" Target="https://documents-dds-ny.un.org/doc/UNDOC/GEN/G19/205/63/PDF/G1920563.pdf?OpenElement" TargetMode="External"/><Relationship Id="rId3" Type="http://schemas.openxmlformats.org/officeDocument/2006/relationships/hyperlink" Target="https://tbinternet.ohchr.org/_layouts/15/treatybodyexternal/Download.aspx?symbolno=CEDAW%2fC%2fCOD%2fCO%2f8&amp;Lang=fr" TargetMode="External"/><Relationship Id="rId4" Type="http://schemas.openxmlformats.org/officeDocument/2006/relationships/hyperlink" Target="https://tbinternet.ohchr.org/_layouts/15/treatybodyexternal/Download.aspx?symbolno=E%2fC.12%2fCOD%2fCO%2f4&amp;Lang=fr" TargetMode="External"/><Relationship Id="rId5" Type="http://schemas.openxmlformats.org/officeDocument/2006/relationships/hyperlink" Target="https://tbinternet.ohchr.org/_layouts/15/treatybodyexternal/Download.aspx?symbolno=CEDAW%2fC%2fCOD%2fCO%2f8&amp;Lang=fr" TargetMode="External"/><Relationship Id="rId6" Type="http://schemas.openxmlformats.org/officeDocument/2006/relationships/hyperlink" Target="https://documents-dds-ny.un.org/doc/UNDOC/GEN/G19/205/63/PDF/G1920563.pdf?OpenElement" TargetMode="External"/><Relationship Id="rId7" Type="http://schemas.openxmlformats.org/officeDocument/2006/relationships/hyperlink" Target="https://www.digitalcongo.net/article/5bf7e8b1f95d87000454b8ad/" TargetMode="External"/><Relationship Id="rId8" Type="http://schemas.openxmlformats.org/officeDocument/2006/relationships/hyperlink" Target="https://tbinternet.ohchr.org/_layouts/15/treatybodyexternal/Download.aspx?symbolno=CEDAW%2fC%2fCOD%2fCO%2f8&amp;Lang=fr"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34EF8A-8E51-9047-A551-DEDE002D7895}">
  <ds:schemaRefs>
    <ds:schemaRef ds:uri="http://schemas.openxmlformats.org/officeDocument/2006/bibliography"/>
  </ds:schemaRefs>
</ds:datastoreItem>
</file>

<file path=customXml/itemProps2.xml><?xml version="1.0" encoding="utf-8"?>
<ds:datastoreItem xmlns:ds="http://schemas.openxmlformats.org/officeDocument/2006/customXml" ds:itemID="{951B7A4F-AEBA-4939-8AF3-5F6CA5166ED6}"/>
</file>

<file path=customXml/itemProps3.xml><?xml version="1.0" encoding="utf-8"?>
<ds:datastoreItem xmlns:ds="http://schemas.openxmlformats.org/officeDocument/2006/customXml" ds:itemID="{C6C1AC24-692C-41B5-8187-27BFC918C4D7}"/>
</file>

<file path=customXml/itemProps4.xml><?xml version="1.0" encoding="utf-8"?>
<ds:datastoreItem xmlns:ds="http://schemas.openxmlformats.org/officeDocument/2006/customXml" ds:itemID="{D8116709-F8E3-4CEE-8266-CF59439D3A51}"/>
</file>

<file path=docProps/app.xml><?xml version="1.0" encoding="utf-8"?>
<Properties xmlns="http://schemas.openxmlformats.org/officeDocument/2006/extended-properties" xmlns:vt="http://schemas.openxmlformats.org/officeDocument/2006/docPropsVTypes">
  <Template>Normal.dotm</Template>
  <TotalTime>1</TotalTime>
  <Pages>13</Pages>
  <Words>3204</Words>
  <Characters>18265</Characters>
  <Application>Microsoft Macintosh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WILPF</Company>
  <LinksUpToDate>false</LinksUpToDate>
  <CharactersWithSpaces>21427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dc:creator>
  <cp:lastModifiedBy>WILPF WILPF</cp:lastModifiedBy>
  <cp:revision>2</cp:revision>
  <cp:lastPrinted>2020-01-08T09:43:00Z</cp:lastPrinted>
  <dcterms:created xsi:type="dcterms:W3CDTF">2020-01-10T11:36:00Z</dcterms:created>
  <dcterms:modified xsi:type="dcterms:W3CDTF">2020-01-10T11:36:00Z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