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sz w:val="32"/>
          <w:szCs w:val="32"/>
        </w:rPr>
      </w:pP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sz w:val="32"/>
          <w:szCs w:val="32"/>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Times New Roman" w:hAnsi="Times New Roman" w:cs="Times New Roman"/>
          <w:b/>
          <w:bCs/>
          <w:sz w:val="36"/>
          <w:szCs w:val="36"/>
          <w:lang w:val="en-US" w:eastAsia="zh-CN"/>
        </w:rPr>
      </w:pPr>
      <w:r>
        <w:rPr>
          <w:rFonts w:hint="eastAsia" w:ascii="Times New Roman" w:hAnsi="Times New Roman" w:cs="Times New Roman"/>
          <w:b/>
          <w:bCs/>
          <w:sz w:val="36"/>
          <w:szCs w:val="36"/>
          <w:lang w:val="en-US" w:eastAsia="zh-CN"/>
        </w:rPr>
        <w:t xml:space="preserve">Supplementary Information Further to </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Times New Roman" w:hAnsi="Times New Roman" w:cs="Times New Roman"/>
          <w:b/>
          <w:bCs/>
          <w:sz w:val="36"/>
          <w:szCs w:val="36"/>
          <w:lang w:val="en-US" w:eastAsia="zh-CN"/>
        </w:rPr>
      </w:pPr>
      <w:r>
        <w:rPr>
          <w:rFonts w:hint="eastAsia" w:ascii="Times New Roman" w:hAnsi="Times New Roman" w:cs="Times New Roman"/>
          <w:b/>
          <w:bCs/>
          <w:sz w:val="36"/>
          <w:szCs w:val="36"/>
          <w:lang w:val="en-US" w:eastAsia="zh-CN"/>
        </w:rPr>
        <w:t xml:space="preserve">the Dialogue of the Committee on the Elimination of Discrimination against Women with China </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cs="Times New Roman"/>
          <w:b/>
          <w:bCs/>
          <w:sz w:val="36"/>
          <w:szCs w:val="36"/>
          <w:lang w:val="en-US"/>
        </w:rPr>
      </w:pPr>
      <w:r>
        <w:rPr>
          <w:rFonts w:hint="eastAsia" w:ascii="Times New Roman" w:hAnsi="Times New Roman" w:cs="Times New Roman"/>
          <w:b/>
          <w:bCs/>
          <w:sz w:val="36"/>
          <w:szCs w:val="36"/>
          <w:lang w:val="en-US" w:eastAsia="zh-CN"/>
        </w:rPr>
        <w:t>Held on 12 May 2023</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sz w:val="32"/>
          <w:szCs w:val="32"/>
        </w:rPr>
      </w:pP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3" w:firstLineChars="200"/>
        <w:textAlignment w:val="auto"/>
        <w:rPr>
          <w:rFonts w:hint="default" w:ascii="Times New Roman" w:hAnsi="Times New Roman" w:cs="Times New Roman" w:eastAsiaTheme="minorEastAsia"/>
          <w:b/>
          <w:bCs/>
          <w:sz w:val="32"/>
          <w:szCs w:val="32"/>
          <w:lang w:val="en-US" w:eastAsia="zh-CN"/>
        </w:rPr>
      </w:pPr>
      <w:r>
        <w:rPr>
          <w:rFonts w:hint="eastAsia" w:ascii="Times New Roman" w:hAnsi="Times New Roman" w:cs="Times New Roman"/>
          <w:b/>
          <w:bCs/>
          <w:sz w:val="32"/>
          <w:szCs w:val="32"/>
          <w:lang w:val="en-US" w:eastAsia="zh-CN"/>
        </w:rPr>
        <w:t>Measures on poverty alleviation and medical services for disadvantaged women</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China implemented targeted poverty alleviation policies and eliminated absolute poverty. </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The government implements rural revitalization strategy, giving priority to disadvantaged groups including disabled women, elderly women, women in difficulties and women from ethnic minorities. </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Capacity building programs for rural women have been rolled out, and employment training and assistance have been strengthened. </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China has improved social security system and caring services for disabled persons in rural areas, providing more care and assistance to the disabled including mentally disabled persons. </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Social securities guarantee has been strengthened, with continuously increase of investment in medical aid and social assistance, covering all needy groups of people as qualified, effectively preventing poverty caused by diseases or disasters. </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The law guarantees equal access of women with disabilities, elderly women, and women of ethnic minorities to basic medical services. Targeted plans were made and implemented to specifically guarantee the development and medical services of vulnerable groups such as the disabled and the elderly.</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 15 years of free education are provided from preschool to high school in ethnic minority areas, effectively reducing the burden on local families.</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Times New Roman" w:hAnsi="Times New Roman" w:cs="Times New Roman" w:eastAsiaTheme="minorEastAsia"/>
          <w:b/>
          <w:bCs/>
          <w:sz w:val="32"/>
          <w:szCs w:val="32"/>
          <w:lang w:val="en-US" w:eastAsia="zh-CN"/>
        </w:rPr>
      </w:pPr>
      <w:r>
        <w:rPr>
          <w:rFonts w:hint="default" w:ascii="Times New Roman" w:hAnsi="Times New Roman" w:cs="Times New Roman"/>
          <w:b/>
          <w:bCs/>
          <w:sz w:val="32"/>
          <w:szCs w:val="32"/>
        </w:rPr>
        <w:t>Ⅱ</w:t>
      </w:r>
      <w:r>
        <w:rPr>
          <w:rFonts w:hint="eastAsia" w:ascii="Times New Roman" w:hAnsi="Times New Roman" w:cs="Times New Roman"/>
          <w:b/>
          <w:bCs/>
          <w:sz w:val="32"/>
          <w:szCs w:val="32"/>
          <w:lang w:val="en-US" w:eastAsia="zh-CN"/>
        </w:rPr>
        <w:t>. Protecting women with intellectual and mental disabilities from abuse and imprisonment</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The Chinese government has taken strong measures to protect women with </w:t>
      </w:r>
      <w:bookmarkStart w:id="0" w:name="OLE_LINK1"/>
      <w:r>
        <w:rPr>
          <w:rFonts w:hint="default" w:ascii="Times New Roman" w:hAnsi="Times New Roman" w:cs="Times New Roman"/>
          <w:sz w:val="32"/>
          <w:szCs w:val="32"/>
        </w:rPr>
        <w:t>intellectual and mental disabilities from abuse, imprisonment</w:t>
      </w:r>
      <w:bookmarkEnd w:id="0"/>
      <w:r>
        <w:rPr>
          <w:rFonts w:hint="default" w:ascii="Times New Roman" w:hAnsi="Times New Roman" w:cs="Times New Roman"/>
          <w:sz w:val="32"/>
          <w:szCs w:val="32"/>
        </w:rPr>
        <w:t>. Firstly, strengthening law enforcement and judicial investigations in accordance with the law, emphasizing prompt responses and investigations. Continuous anti-trafficking campaigns and operations have been carried out, with severe punishment in accordance with the law on abuse and confinement of women with intellectual and mental disabilities, and rescued the victims in a timely manner. Secondly, strengthening publicity and legal education through various activities, in particular in key places of migration, and enhanc</w:t>
      </w:r>
      <w:r>
        <w:rPr>
          <w:rFonts w:hint="eastAsia" w:ascii="Times New Roman" w:hAnsi="Times New Roman" w:cs="Times New Roman"/>
          <w:sz w:val="32"/>
          <w:szCs w:val="32"/>
          <w:lang w:val="en-US" w:eastAsia="zh-CN"/>
        </w:rPr>
        <w:t>ing</w:t>
      </w:r>
      <w:r>
        <w:rPr>
          <w:rFonts w:hint="default" w:ascii="Times New Roman" w:hAnsi="Times New Roman" w:cs="Times New Roman"/>
          <w:sz w:val="32"/>
          <w:szCs w:val="32"/>
        </w:rPr>
        <w:t xml:space="preserve"> people's awareness of rule of law and of human rights. Thirdly, enhancing comprehensive management, and mobilizing multi departments and sectors for coordinated efforts, actively establishing and improving prevention, treatment and rehabilitation system for women with mental disabilities, providing timely medical services, social assistance and support to these women, and helping them and their families to solve living difficulties.</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Times New Roman" w:hAnsi="Times New Roman" w:cs="Times New Roman" w:eastAsiaTheme="minorEastAsia"/>
          <w:b/>
          <w:bCs/>
          <w:sz w:val="32"/>
          <w:szCs w:val="32"/>
          <w:lang w:val="en-US" w:eastAsia="zh-CN"/>
        </w:rPr>
      </w:pPr>
      <w:r>
        <w:rPr>
          <w:rFonts w:hint="eastAsia" w:ascii="Times New Roman" w:hAnsi="Times New Roman" w:cs="Times New Roman" w:eastAsiaTheme="minorEastAsia"/>
          <w:b/>
          <w:bCs/>
          <w:sz w:val="32"/>
          <w:szCs w:val="32"/>
          <w:lang w:val="en-US" w:eastAsia="zh-CN"/>
        </w:rPr>
        <w:t>Ⅲ</w:t>
      </w:r>
      <w:r>
        <w:rPr>
          <w:rFonts w:hint="eastAsia" w:ascii="Times New Roman" w:hAnsi="Times New Roman" w:cs="Times New Roman"/>
          <w:b/>
          <w:bCs/>
          <w:sz w:val="32"/>
          <w:szCs w:val="32"/>
          <w:lang w:val="en-US" w:eastAsia="zh-CN"/>
        </w:rPr>
        <w:t>. Financial support for disadvantaged women</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China has adopted comprehensive measures to lift vulnerable women out of poverty. Firstly, providing financial support. From 2009 to 2018, more than 380 billion yuan of guaranteed loans for women's entrepreneurship were issued, and more than 6.5 million women received loans; from 2015 to 2019, 1.36 million women acquired loans in the microfinance for poverty alleviation, reaching 63.5 billion yuan. Secondly, enhancing women’s development capabilities through training programs for more than 10 million rural women. China </w:t>
      </w:r>
      <w:r>
        <w:rPr>
          <w:rFonts w:hint="eastAsia" w:ascii="Times New Roman" w:hAnsi="Times New Roman" w:cs="Times New Roman"/>
          <w:sz w:val="32"/>
          <w:szCs w:val="32"/>
          <w:lang w:val="en-US" w:eastAsia="zh-CN"/>
        </w:rPr>
        <w:t xml:space="preserve">has </w:t>
      </w:r>
      <w:r>
        <w:rPr>
          <w:rFonts w:hint="default" w:ascii="Times New Roman" w:hAnsi="Times New Roman" w:cs="Times New Roman"/>
          <w:sz w:val="32"/>
          <w:szCs w:val="32"/>
        </w:rPr>
        <w:t xml:space="preserve">promoted </w:t>
      </w:r>
      <w:r>
        <w:rPr>
          <w:rFonts w:hint="eastAsia" w:ascii="Times New Roman" w:hAnsi="Times New Roman" w:cs="Times New Roman"/>
          <w:sz w:val="32"/>
          <w:szCs w:val="32"/>
          <w:lang w:val="en-US" w:eastAsia="zh-CN"/>
        </w:rPr>
        <w:t xml:space="preserve">the </w:t>
      </w:r>
      <w:r>
        <w:rPr>
          <w:rFonts w:hint="default" w:ascii="Times New Roman" w:hAnsi="Times New Roman" w:cs="Times New Roman"/>
          <w:sz w:val="32"/>
          <w:szCs w:val="32"/>
        </w:rPr>
        <w:t>establishment and development of over 3,000 women’s handicraft associations and cooperatives, over 10,000 women’s poverty alleviation workshops and over 20,000 women’s demonstration bases, and developed women’s e-commerce and rural tourism businesses to promote rural women's employment and development, helping more than 5 million women out of poverty. Thirdly, implementing public welfare projects</w:t>
      </w:r>
      <w:r>
        <w:rPr>
          <w:rFonts w:hint="eastAsia" w:ascii="Times New Roman" w:hAnsi="Times New Roman" w:cs="Times New Roman"/>
          <w:sz w:val="32"/>
          <w:szCs w:val="32"/>
          <w:lang w:val="en-US" w:eastAsia="zh-CN"/>
        </w:rPr>
        <w:t>,</w:t>
      </w:r>
      <w:r>
        <w:rPr>
          <w:rFonts w:hint="default" w:ascii="Times New Roman" w:hAnsi="Times New Roman" w:cs="Times New Roman"/>
          <w:sz w:val="32"/>
          <w:szCs w:val="32"/>
        </w:rPr>
        <w:t xml:space="preserve"> such as the "Mother's Water Cellar" project which has provided 3.25 million rural people with safe drinking water.</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Times New Roman" w:hAnsi="Times New Roman" w:cs="Times New Roman" w:eastAsiaTheme="minorEastAsia"/>
          <w:b/>
          <w:bCs/>
          <w:sz w:val="32"/>
          <w:szCs w:val="32"/>
          <w:lang w:val="en-US" w:eastAsia="zh-CN"/>
        </w:rPr>
      </w:pPr>
      <w:r>
        <w:rPr>
          <w:rFonts w:hint="default" w:ascii="Times New Roman" w:hAnsi="Times New Roman" w:cs="Times New Roman"/>
          <w:b/>
          <w:bCs/>
          <w:sz w:val="32"/>
          <w:szCs w:val="32"/>
        </w:rPr>
        <w:t>Ⅳ</w:t>
      </w:r>
      <w:r>
        <w:rPr>
          <w:rFonts w:hint="eastAsia" w:ascii="Times New Roman" w:hAnsi="Times New Roman" w:cs="Times New Roman"/>
          <w:b/>
          <w:bCs/>
          <w:sz w:val="32"/>
          <w:szCs w:val="32"/>
          <w:lang w:val="en-US" w:eastAsia="zh-CN"/>
        </w:rPr>
        <w:t xml:space="preserve">. The groundless allegation of </w:t>
      </w:r>
      <w:r>
        <w:rPr>
          <w:rFonts w:hint="default" w:ascii="Times New Roman" w:hAnsi="Times New Roman" w:cs="Times New Roman"/>
          <w:b/>
          <w:bCs/>
          <w:sz w:val="32"/>
          <w:szCs w:val="32"/>
          <w:lang w:val="en-US" w:eastAsia="zh-CN"/>
        </w:rPr>
        <w:t>“</w:t>
      </w:r>
      <w:r>
        <w:rPr>
          <w:rFonts w:hint="eastAsia" w:ascii="Times New Roman" w:hAnsi="Times New Roman" w:cs="Times New Roman"/>
          <w:b/>
          <w:bCs/>
          <w:sz w:val="32"/>
          <w:szCs w:val="32"/>
          <w:lang w:val="en-US" w:eastAsia="zh-CN"/>
        </w:rPr>
        <w:t>systematic violence against women by police and other national institutions</w:t>
      </w:r>
      <w:r>
        <w:rPr>
          <w:rFonts w:hint="default" w:ascii="Times New Roman" w:hAnsi="Times New Roman" w:cs="Times New Roman"/>
          <w:b/>
          <w:bCs/>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The allegation is utterly untrue. China is a country under the rule of law. China's law enforcement and judicial organs uphold that everyone is equal before the law and act in accordance with the law. There is no so called systematic violence against women at all. China's law enforcement and judicial system has strict legal and disciplinary requirements, and has corresponding supervisory institutions and supervision mechanisms. If law enforcement and judicial personnel infringe on women's legitimate rights and interests in the course of performing their duties, the victims may report to the discipline inspection and supervision organs or the </w:t>
      </w:r>
      <w:r>
        <w:rPr>
          <w:rFonts w:hint="eastAsia" w:ascii="Times New Roman" w:hAnsi="Times New Roman" w:cs="Times New Roman"/>
          <w:sz w:val="32"/>
          <w:szCs w:val="32"/>
          <w:lang w:val="en-US" w:eastAsia="zh-CN"/>
        </w:rPr>
        <w:t>higher-level units</w:t>
      </w:r>
      <w:r>
        <w:rPr>
          <w:rFonts w:hint="default" w:ascii="Times New Roman" w:hAnsi="Times New Roman" w:cs="Times New Roman"/>
          <w:sz w:val="32"/>
          <w:szCs w:val="32"/>
        </w:rPr>
        <w:t>. When the procuratorate and the higher-level units of relevant units receive complaints, reports, and filed accusations, the</w:t>
      </w:r>
      <w:r>
        <w:rPr>
          <w:rFonts w:hint="eastAsia" w:ascii="Times New Roman" w:hAnsi="Times New Roman" w:cs="Times New Roman"/>
          <w:sz w:val="32"/>
          <w:szCs w:val="32"/>
          <w:lang w:val="en-US" w:eastAsia="zh-CN"/>
        </w:rPr>
        <w:t>y</w:t>
      </w:r>
      <w:r>
        <w:rPr>
          <w:rFonts w:hint="default" w:ascii="Times New Roman" w:hAnsi="Times New Roman" w:cs="Times New Roman"/>
          <w:sz w:val="32"/>
          <w:szCs w:val="32"/>
        </w:rPr>
        <w:t xml:space="preserve"> will investigate and deal with them in a timely manner in accordance with the law.</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Times New Roman" w:hAnsi="Times New Roman" w:cs="Times New Roman" w:eastAsiaTheme="minorEastAsia"/>
          <w:b/>
          <w:bCs/>
          <w:sz w:val="32"/>
          <w:szCs w:val="32"/>
          <w:lang w:val="en-US" w:eastAsia="zh-CN"/>
        </w:rPr>
      </w:pPr>
      <w:r>
        <w:rPr>
          <w:rFonts w:hint="eastAsia" w:ascii="Times New Roman" w:hAnsi="Times New Roman" w:cs="Times New Roman"/>
          <w:b/>
          <w:bCs/>
          <w:sz w:val="32"/>
          <w:szCs w:val="32"/>
          <w:lang w:val="en-US" w:eastAsia="zh-CN"/>
        </w:rPr>
        <w:t>V. W</w:t>
      </w:r>
      <w:r>
        <w:rPr>
          <w:rFonts w:hint="default" w:ascii="Times New Roman" w:hAnsi="Times New Roman" w:cs="Times New Roman"/>
          <w:b/>
          <w:bCs/>
          <w:sz w:val="32"/>
          <w:szCs w:val="32"/>
        </w:rPr>
        <w:t>omen migrant workers' equal access to public services and social security</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China actively promotes women migrant workers' equal access to public services and social security. The state has established a social security system covering pension, medical care, work-related injury, unemployment, and maternity. The majority of workers, including female migrant workers who have migrated to cities, enjoy social insurance rights and interests fairly. Among them, female workers with flexible employment can participate in the basic endowment insurance for urban and rural residents and the basic medical insurance for urban and rural residents, </w:t>
      </w:r>
      <w:r>
        <w:rPr>
          <w:rFonts w:hint="eastAsia" w:ascii="Times New Roman" w:hAnsi="Times New Roman" w:cs="Times New Roman"/>
          <w:sz w:val="32"/>
          <w:szCs w:val="32"/>
          <w:lang w:val="en-US" w:eastAsia="zh-CN"/>
        </w:rPr>
        <w:t>which achieves</w:t>
      </w:r>
      <w:r>
        <w:rPr>
          <w:rFonts w:hint="default" w:ascii="Times New Roman" w:hAnsi="Times New Roman" w:cs="Times New Roman"/>
          <w:sz w:val="32"/>
          <w:szCs w:val="32"/>
        </w:rPr>
        <w:t xml:space="preserve"> full coverage of all persons qualified.</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cs="Times New Roman"/>
          <w:sz w:val="32"/>
          <w:szCs w:val="32"/>
          <w:lang w:val="en-US" w:eastAsia="zh-CN"/>
        </w:rPr>
      </w:pPr>
      <w:r>
        <w:rPr>
          <w:rFonts w:hint="default" w:ascii="Times New Roman" w:hAnsi="Times New Roman" w:cs="Times New Roman"/>
          <w:sz w:val="32"/>
          <w:szCs w:val="32"/>
        </w:rPr>
        <w:t>Relevant departments have carried out thirteen consecutive large-scale publicity activities to care for the migrant population, and provided policy consultations and free medical services for them. Migrant workers who have immigrated for more than 6 months and their accompanying family members are entitled to medical and public health services in places of immigration, and the content, quantity and quality of medical and health services of migrant women workers have also steadily improved.</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The government implements the Compulsory Education Law, and </w:t>
      </w:r>
      <w:r>
        <w:rPr>
          <w:rFonts w:hint="eastAsia" w:ascii="Times New Roman" w:hAnsi="Times New Roman" w:cs="Times New Roman"/>
          <w:sz w:val="32"/>
          <w:szCs w:val="32"/>
          <w:lang w:val="en-US" w:eastAsia="zh-CN"/>
        </w:rPr>
        <w:t xml:space="preserve">the </w:t>
      </w:r>
      <w:bookmarkStart w:id="1" w:name="_GoBack"/>
      <w:bookmarkEnd w:id="1"/>
      <w:r>
        <w:rPr>
          <w:rFonts w:hint="default" w:ascii="Times New Roman" w:hAnsi="Times New Roman" w:cs="Times New Roman"/>
          <w:sz w:val="32"/>
          <w:szCs w:val="32"/>
        </w:rPr>
        <w:t>children of migrant workers receive compulsory education on an equal footing in the administrative areas of immigration, and the education expenses of children along with migrant workers are covered by government of immigration areas. There are about 14 million children of migrant workers in compulsory education, accounting 8.8% for the total number of students of this stage.</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sz w:val="32"/>
          <w:szCs w:val="32"/>
        </w:rPr>
      </w:pP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sz w:val="32"/>
          <w:szCs w:val="32"/>
        </w:rPr>
      </w:pPr>
      <w:r>
        <w:rPr>
          <w:rFonts w:hint="default" w:ascii="Times New Roman" w:hAnsi="Times New Roman" w:cs="Times New Roman"/>
          <w:sz w:val="32"/>
          <w:szCs w:val="32"/>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96C8E0"/>
    <w:multiLevelType w:val="singleLevel"/>
    <w:tmpl w:val="A096C8E0"/>
    <w:lvl w:ilvl="0" w:tentative="0">
      <w:start w:val="1"/>
      <w:numFmt w:val="upperRoman"/>
      <w:suff w:val="space"/>
      <w:lvlText w:val="%1."/>
      <w:lvlJc w:val="left"/>
    </w:lvl>
  </w:abstractNum>
  <w:abstractNum w:abstractNumId="1">
    <w:nsid w:val="EF71387D"/>
    <w:multiLevelType w:val="singleLevel"/>
    <w:tmpl w:val="EF71387D"/>
    <w:lvl w:ilvl="0" w:tentative="0">
      <w:start w:val="1"/>
      <w:numFmt w:val="lowerLetter"/>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1YmNiZmM0MjFlMTVmM2ZhNmIyY2FiNjM2OWI1NWYifQ=="/>
  </w:docVars>
  <w:rsids>
    <w:rsidRoot w:val="5CBD2002"/>
    <w:rsid w:val="22E034FF"/>
    <w:rsid w:val="5CBD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845</Words>
  <Characters>5075</Characters>
  <Lines>0</Lines>
  <Paragraphs>0</Paragraphs>
  <TotalTime>19</TotalTime>
  <ScaleCrop>false</ScaleCrop>
  <LinksUpToDate>false</LinksUpToDate>
  <CharactersWithSpaces>5903</CharactersWithSpaces>
  <Application>WPS Office_10.8.2.6870_F1E327BC-269C-435d-A152-05C5408002CA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2023-05-14T13:10:00Z</dcterms:created>
  <dc:creator>Oscar Han</dc:creator>
  <cp:lastModifiedBy>wjb</cp:lastModifiedBy>
  <cp:lastPrinted>2023-05-14T19:21:14Z</cp:lastPrinted>
  <dcterms:modified xsi:type="dcterms:W3CDTF">2023-05-14T19:33:06Z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2052-10.8.2.6870</vt:lpwstr>
  </property>
  <property fmtid="{D5CDD505-2E9C-101B-9397-08002B2CF9AE}" pid="3" name="ICV">
    <vt:lpwstr>80F74A3F5E524FFF86B18A40F3926E5A</vt:lpwstr>
  </property>
</Properties>
</file>