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BEE44" w14:textId="77777777" w:rsidR="000B0467" w:rsidRDefault="00D57D5D">
      <w:pPr>
        <w:adjustRightInd w:val="0"/>
        <w:snapToGrid w:val="0"/>
        <w:spacing w:beforeLines="100" w:before="312"/>
        <w:jc w:val="center"/>
        <w:rPr>
          <w:rFonts w:ascii="Times New Roman" w:eastAsia="SimSun" w:hAnsi="Times New Roman" w:cs="Times New Roman"/>
          <w:b/>
          <w:bCs/>
          <w:sz w:val="24"/>
        </w:rPr>
      </w:pPr>
      <w:r>
        <w:rPr>
          <w:rFonts w:ascii="Times New Roman" w:eastAsia="SimSun" w:hAnsi="Times New Roman" w:cs="Times New Roman"/>
          <w:b/>
          <w:bCs/>
          <w:sz w:val="24"/>
        </w:rPr>
        <w:t>Progress Made by China in the Equal Enjoyment of Economic, Social and Cultural Rights by Men and Women and Suggestions on Further Improvement</w:t>
      </w:r>
    </w:p>
    <w:p w14:paraId="113066EB" w14:textId="77777777" w:rsidR="000B0467" w:rsidRDefault="00D57D5D">
      <w:pPr>
        <w:adjustRightInd w:val="0"/>
        <w:snapToGrid w:val="0"/>
        <w:spacing w:beforeLines="100" w:before="312"/>
        <w:jc w:val="center"/>
        <w:rPr>
          <w:rFonts w:ascii="Times New Roman" w:eastAsia="FangSong" w:hAnsi="Times New Roman" w:cs="Times New Roman"/>
          <w:szCs w:val="21"/>
        </w:rPr>
      </w:pPr>
      <w:r>
        <w:rPr>
          <w:rFonts w:ascii="Times New Roman" w:eastAsia="FangSong" w:hAnsi="Times New Roman" w:cs="Times New Roman" w:hint="eastAsia"/>
          <w:szCs w:val="21"/>
        </w:rPr>
        <w:t>Center for Human Rights Studies, Chinese Academy of Social Sciences</w:t>
      </w:r>
    </w:p>
    <w:p w14:paraId="08E91267" w14:textId="77777777" w:rsidR="000B0467" w:rsidRDefault="000B0467">
      <w:pPr>
        <w:adjustRightInd w:val="0"/>
        <w:snapToGrid w:val="0"/>
        <w:spacing w:beforeLines="100" w:before="312"/>
        <w:jc w:val="center"/>
        <w:rPr>
          <w:rFonts w:ascii="Times New Roman" w:eastAsia="FangSong" w:hAnsi="Times New Roman" w:cs="Times New Roman"/>
          <w:szCs w:val="21"/>
        </w:rPr>
      </w:pPr>
    </w:p>
    <w:p w14:paraId="7073A267" w14:textId="77777777" w:rsidR="000B0467" w:rsidRDefault="00D57D5D">
      <w:pPr>
        <w:adjustRightInd w:val="0"/>
        <w:snapToGrid w:val="0"/>
        <w:spacing w:beforeLines="100" w:before="312"/>
        <w:rPr>
          <w:rFonts w:ascii="Times New Roman" w:eastAsia="SimHei" w:hAnsi="Times New Roman" w:cs="Times New Roman"/>
          <w:b/>
          <w:bCs/>
          <w:szCs w:val="21"/>
        </w:rPr>
      </w:pPr>
      <w:r>
        <w:rPr>
          <w:rFonts w:ascii="Times New Roman" w:eastAsia="SimHei" w:hAnsi="Times New Roman" w:cs="Times New Roman"/>
          <w:b/>
          <w:bCs/>
          <w:szCs w:val="21"/>
        </w:rPr>
        <w:t>I. Problems and concerns</w:t>
      </w:r>
    </w:p>
    <w:p w14:paraId="1F2A30F9"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 </w:t>
      </w:r>
      <w:r>
        <w:rPr>
          <w:rFonts w:ascii="Times New Roman" w:eastAsia="FangSong" w:hAnsi="Times New Roman" w:cs="Times New Roman"/>
          <w:szCs w:val="21"/>
        </w:rPr>
        <w:t xml:space="preserve">In both the </w:t>
      </w:r>
      <w:r>
        <w:rPr>
          <w:rFonts w:ascii="Times New Roman" w:eastAsia="FangSong" w:hAnsi="Times New Roman" w:cs="Times New Roman"/>
          <w:szCs w:val="21"/>
        </w:rPr>
        <w:t>concluding observations on the second periodic report of China and the list of issues related to China's third periodic report, the United Nations Committee on Economic, Social and Cultural Rights recommended that China enact comprehensive anti-discriminat</w:t>
      </w:r>
      <w:r>
        <w:rPr>
          <w:rFonts w:ascii="Times New Roman" w:eastAsia="FangSong" w:hAnsi="Times New Roman" w:cs="Times New Roman"/>
          <w:szCs w:val="21"/>
        </w:rPr>
        <w:t>ion legislation in accordance with Article 2 Paragraph 2 of the International Covenant on Economic, Social and Cultural Rights, and expressed concern about the gender disparity in the enjoyment of economic, social and cultural rights</w:t>
      </w:r>
      <w:r>
        <w:rPr>
          <w:rFonts w:ascii="Times New Roman" w:eastAsia="FangSong" w:hAnsi="Times New Roman" w:cs="Times New Roman" w:hint="eastAsia"/>
          <w:szCs w:val="21"/>
        </w:rPr>
        <w:t>,</w:t>
      </w:r>
      <w:r>
        <w:rPr>
          <w:rFonts w:ascii="Times New Roman" w:eastAsia="FangSong" w:hAnsi="Times New Roman" w:cs="Times New Roman"/>
          <w:szCs w:val="21"/>
        </w:rPr>
        <w:t xml:space="preserve"> especially the disadv</w:t>
      </w:r>
      <w:r>
        <w:rPr>
          <w:rFonts w:ascii="Times New Roman" w:eastAsia="FangSong" w:hAnsi="Times New Roman" w:cs="Times New Roman"/>
          <w:szCs w:val="21"/>
        </w:rPr>
        <w:t>antaged position of women in employment and land use.</w:t>
      </w:r>
    </w:p>
    <w:p w14:paraId="30A57522" w14:textId="77777777" w:rsidR="000B0467" w:rsidRDefault="00D57D5D">
      <w:pPr>
        <w:adjustRightInd w:val="0"/>
        <w:snapToGrid w:val="0"/>
        <w:spacing w:beforeLines="100" w:before="312"/>
        <w:rPr>
          <w:rFonts w:ascii="Times New Roman" w:eastAsia="SimHei" w:hAnsi="Times New Roman" w:cs="Times New Roman"/>
          <w:b/>
          <w:bCs/>
          <w:szCs w:val="21"/>
        </w:rPr>
      </w:pPr>
      <w:r>
        <w:rPr>
          <w:rFonts w:ascii="Times New Roman" w:eastAsia="FangSong" w:hAnsi="Times New Roman" w:cs="Times New Roman" w:hint="eastAsia"/>
          <w:szCs w:val="21"/>
        </w:rPr>
        <w:t xml:space="preserve">2. </w:t>
      </w:r>
      <w:r>
        <w:rPr>
          <w:rFonts w:ascii="Times New Roman" w:eastAsia="FangSong" w:hAnsi="Times New Roman" w:cs="Times New Roman"/>
          <w:szCs w:val="21"/>
        </w:rPr>
        <w:t>In view of the above problems, the Chinese government has made targeted efforts and achieved positive results in improving legislation, intensifying law enforcement and strengthening the administrati</w:t>
      </w:r>
      <w:r>
        <w:rPr>
          <w:rFonts w:ascii="Times New Roman" w:eastAsia="FangSong" w:hAnsi="Times New Roman" w:cs="Times New Roman"/>
          <w:szCs w:val="21"/>
        </w:rPr>
        <w:t>on of justice in the new reporting cycle. Of course, it is still faced with some problems and needs to make further improvements in some aspects of the work.</w:t>
      </w:r>
    </w:p>
    <w:p w14:paraId="568B676D" w14:textId="77777777" w:rsidR="000B0467" w:rsidRDefault="00D57D5D">
      <w:pPr>
        <w:adjustRightInd w:val="0"/>
        <w:snapToGrid w:val="0"/>
        <w:spacing w:beforeLines="100" w:before="312"/>
        <w:rPr>
          <w:rFonts w:ascii="Times New Roman" w:eastAsia="SimHei" w:hAnsi="Times New Roman" w:cs="Times New Roman"/>
          <w:b/>
          <w:bCs/>
          <w:szCs w:val="21"/>
        </w:rPr>
      </w:pPr>
      <w:r>
        <w:rPr>
          <w:rFonts w:ascii="Times New Roman" w:eastAsia="SimHei" w:hAnsi="Times New Roman" w:cs="Times New Roman"/>
          <w:b/>
          <w:bCs/>
          <w:szCs w:val="21"/>
        </w:rPr>
        <w:t>II. Progress in the legal guarantee of the equal enjoyment of economic, social and cultural rights</w:t>
      </w:r>
      <w:r>
        <w:rPr>
          <w:rFonts w:ascii="Times New Roman" w:eastAsia="SimHei" w:hAnsi="Times New Roman" w:cs="Times New Roman"/>
          <w:b/>
          <w:bCs/>
          <w:szCs w:val="21"/>
        </w:rPr>
        <w:t xml:space="preserve"> by men and women</w:t>
      </w:r>
    </w:p>
    <w:p w14:paraId="3D0BA4C7"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3. </w:t>
      </w:r>
      <w:r>
        <w:rPr>
          <w:rFonts w:ascii="Times New Roman" w:eastAsia="FangSong" w:hAnsi="Times New Roman" w:cs="Times New Roman"/>
          <w:szCs w:val="21"/>
        </w:rPr>
        <w:t>In 2022, the Standing Committee of the National People's Congress of China completed the second comprehensive revision of the Law on the Protection of Women's Rights and Interests, and the revised law will come into effect on January 1</w:t>
      </w:r>
      <w:r>
        <w:rPr>
          <w:rFonts w:ascii="Times New Roman" w:eastAsia="FangSong" w:hAnsi="Times New Roman" w:cs="Times New Roman"/>
          <w:szCs w:val="21"/>
        </w:rPr>
        <w:t xml:space="preserve">, 2023. This revision of the law </w:t>
      </w:r>
      <w:r>
        <w:rPr>
          <w:rFonts w:ascii="Times New Roman" w:eastAsia="FangSong" w:hAnsi="Times New Roman" w:cs="Times New Roman" w:hint="eastAsia"/>
          <w:szCs w:val="21"/>
        </w:rPr>
        <w:t>elevat</w:t>
      </w:r>
      <w:r>
        <w:rPr>
          <w:rFonts w:ascii="Times New Roman" w:eastAsia="FangSong" w:hAnsi="Times New Roman" w:cs="Times New Roman"/>
          <w:szCs w:val="21"/>
        </w:rPr>
        <w:t>es legal guarantee for promoting equal enjoyment of economic, social and cultural rights by men and women.</w:t>
      </w:r>
    </w:p>
    <w:p w14:paraId="02BD3A84"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1. Anti-discrimination legislation and gender equality evaluation of laws and administrative regulations</w:t>
      </w:r>
    </w:p>
    <w:p w14:paraId="307A93B9"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4. </w:t>
      </w:r>
      <w:r>
        <w:rPr>
          <w:rFonts w:ascii="Times New Roman" w:eastAsia="FangSong" w:hAnsi="Times New Roman" w:cs="Times New Roman"/>
          <w:szCs w:val="21"/>
        </w:rPr>
        <w:t>Ta</w:t>
      </w:r>
      <w:r>
        <w:rPr>
          <w:rFonts w:ascii="Times New Roman" w:eastAsia="FangSong" w:hAnsi="Times New Roman" w:cs="Times New Roman"/>
          <w:szCs w:val="21"/>
        </w:rPr>
        <w:t>king the Convention on the Elimination of All Forms of Discrimination against Women as the reference, Article 2 of the revised Law on the Protection of Women's Rights and Interests defines "discrimination against women" as "the rejection of or restrictions</w:t>
      </w:r>
      <w:r>
        <w:rPr>
          <w:rFonts w:ascii="Times New Roman" w:eastAsia="FangSong" w:hAnsi="Times New Roman" w:cs="Times New Roman"/>
          <w:szCs w:val="21"/>
        </w:rPr>
        <w:t xml:space="preserve"> on women's lawful enjoyment and exercise of various rights and interests", thereby providing the legal basis for law enforcement and judicial personnel to better understand "discrimination" and better apply laws to protect women's rights and interests and</w:t>
      </w:r>
      <w:r>
        <w:rPr>
          <w:rFonts w:ascii="Times New Roman" w:eastAsia="FangSong" w:hAnsi="Times New Roman" w:cs="Times New Roman"/>
          <w:szCs w:val="21"/>
        </w:rPr>
        <w:t xml:space="preserve"> promote equality between men and women.</w:t>
      </w:r>
    </w:p>
    <w:p w14:paraId="6981FBC5"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5. </w:t>
      </w:r>
      <w:r>
        <w:rPr>
          <w:rFonts w:ascii="Times New Roman" w:eastAsia="FangSong" w:hAnsi="Times New Roman" w:cs="Times New Roman"/>
          <w:szCs w:val="21"/>
        </w:rPr>
        <w:t xml:space="preserve">Meanwhile, based on the pilot work and practical experiences of 31 provinces, municipalities and autonomous regions in China in the past </w:t>
      </w:r>
      <w:r>
        <w:rPr>
          <w:rFonts w:ascii="Times New Roman" w:eastAsia="FangSong" w:hAnsi="Times New Roman" w:cs="Times New Roman" w:hint="eastAsia"/>
          <w:szCs w:val="21"/>
        </w:rPr>
        <w:t>decade</w:t>
      </w:r>
      <w:r>
        <w:rPr>
          <w:rFonts w:ascii="Times New Roman" w:eastAsia="FangSong" w:hAnsi="Times New Roman" w:cs="Times New Roman"/>
          <w:szCs w:val="21"/>
        </w:rPr>
        <w:t xml:space="preserve">, the revised Law on the Protection of Women's Rights and </w:t>
      </w:r>
      <w:r>
        <w:rPr>
          <w:rFonts w:ascii="Times New Roman" w:eastAsia="FangSong" w:hAnsi="Times New Roman" w:cs="Times New Roman"/>
          <w:szCs w:val="21"/>
        </w:rPr>
        <w:t>Interests elevated the status of the system of "gender equality assessment of laws and administrative regulations" to that of national law by providing in Article 8 that: "When the relevant authorities formulate or amend laws, regulations, rules, and other</w:t>
      </w:r>
      <w:r>
        <w:rPr>
          <w:rFonts w:ascii="Times New Roman" w:eastAsia="FangSong" w:hAnsi="Times New Roman" w:cs="Times New Roman"/>
          <w:szCs w:val="21"/>
        </w:rPr>
        <w:t xml:space="preserve"> normative documents involving women's rights and interests, they shall listen to the opinions of women's federations, fully consider the special rights and interests of women, and conduct gender equality assessments when necessary." This system introduces</w:t>
      </w:r>
      <w:r>
        <w:rPr>
          <w:rFonts w:ascii="Times New Roman" w:eastAsia="FangSong" w:hAnsi="Times New Roman" w:cs="Times New Roman"/>
          <w:szCs w:val="21"/>
        </w:rPr>
        <w:t xml:space="preserve"> gender awareness into the whole process of formulation and implementation of laws, administrative regulations and policies, thereby preventing gender discrimination at its source at the institutional level.</w:t>
      </w:r>
    </w:p>
    <w:p w14:paraId="3AA4A40F" w14:textId="77777777" w:rsidR="000B0467" w:rsidRDefault="000B0467">
      <w:pPr>
        <w:adjustRightInd w:val="0"/>
        <w:snapToGrid w:val="0"/>
        <w:spacing w:beforeLines="100" w:before="312"/>
        <w:rPr>
          <w:rFonts w:ascii="Times New Roman" w:hAnsi="Times New Roman" w:cs="Times New Roman"/>
          <w:b/>
          <w:bCs/>
          <w:szCs w:val="21"/>
        </w:rPr>
      </w:pPr>
    </w:p>
    <w:p w14:paraId="5936B814"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lastRenderedPageBreak/>
        <w:t xml:space="preserve">2. Further regulating gender discrimination in </w:t>
      </w:r>
      <w:r>
        <w:rPr>
          <w:rFonts w:ascii="Times New Roman" w:eastAsia="FangSong" w:hAnsi="Times New Roman" w:cs="Times New Roman"/>
          <w:b/>
          <w:bCs/>
          <w:szCs w:val="21"/>
        </w:rPr>
        <w:t>employment and creating a fair and safe employment environment for women</w:t>
      </w:r>
    </w:p>
    <w:p w14:paraId="2340AEEF"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6. </w:t>
      </w:r>
      <w:r>
        <w:rPr>
          <w:rFonts w:ascii="Times New Roman" w:eastAsia="FangSong" w:hAnsi="Times New Roman" w:cs="Times New Roman"/>
          <w:szCs w:val="21"/>
        </w:rPr>
        <w:t>In the report to its 20th National Congress, the Communist Party of China emphasized that it will "eliminate unreasonable restrictions and employment discrimination affecting equal</w:t>
      </w:r>
      <w:r>
        <w:rPr>
          <w:rFonts w:ascii="Times New Roman" w:eastAsia="FangSong" w:hAnsi="Times New Roman" w:cs="Times New Roman"/>
          <w:szCs w:val="21"/>
        </w:rPr>
        <w:t xml:space="preserve"> employment". The revised Law on the Protection of Women's Rights and Interests further clarifies the main circumstances that constitute gender discrimination in employment, thereby providing the criteria for identifying and dealing with gender discriminat</w:t>
      </w:r>
      <w:r>
        <w:rPr>
          <w:rFonts w:ascii="Times New Roman" w:eastAsia="FangSong" w:hAnsi="Times New Roman" w:cs="Times New Roman"/>
          <w:szCs w:val="21"/>
        </w:rPr>
        <w:t xml:space="preserve">ion in employment as well as a clear basis for safeguarding women's equal employment rights in accordance with law. In 2018, the "dispute over the right to equal employment" became an independent cause of action, providing an unblocked channel for victims </w:t>
      </w:r>
      <w:r>
        <w:rPr>
          <w:rFonts w:ascii="Times New Roman" w:eastAsia="FangSong" w:hAnsi="Times New Roman" w:cs="Times New Roman"/>
          <w:szCs w:val="21"/>
        </w:rPr>
        <w:t>of gender discrimination in employment to seek judicial remedies. In recent years, more and more lawsuits against the violation of women's right to equal employment resulting from gender discrimination have been supported by courts. For example, in 2019, a</w:t>
      </w:r>
      <w:r>
        <w:rPr>
          <w:rFonts w:ascii="Times New Roman" w:eastAsia="FangSong" w:hAnsi="Times New Roman" w:cs="Times New Roman"/>
          <w:szCs w:val="21"/>
        </w:rPr>
        <w:t xml:space="preserve"> 41-year-old female employee in Zhuhai City of Guangdong Province was dismissed by her company on the day when she was found to be pregnant. After </w:t>
      </w:r>
      <w:r>
        <w:rPr>
          <w:rFonts w:ascii="Times New Roman" w:eastAsia="FangSong" w:hAnsi="Times New Roman" w:cs="Times New Roman" w:hint="eastAsia"/>
          <w:szCs w:val="21"/>
        </w:rPr>
        <w:t xml:space="preserve">a failed negotiation with the company, </w:t>
      </w:r>
      <w:r>
        <w:rPr>
          <w:rFonts w:ascii="Times New Roman" w:eastAsia="FangSong" w:hAnsi="Times New Roman" w:cs="Times New Roman"/>
          <w:szCs w:val="21"/>
        </w:rPr>
        <w:t xml:space="preserve">she brought a lawsuit to the court with the dispute over the right to </w:t>
      </w:r>
      <w:r>
        <w:rPr>
          <w:rFonts w:ascii="Times New Roman" w:eastAsia="FangSong" w:hAnsi="Times New Roman" w:cs="Times New Roman"/>
          <w:szCs w:val="21"/>
        </w:rPr>
        <w:t>equal employment as the cause of action. The court found that the company infringed upon her right to equal employment and ordered it to compensate her for the loss of wages during pregnancy and maternity leave and to pay her RMB 10,000 yuan as consolation</w:t>
      </w:r>
      <w:r>
        <w:rPr>
          <w:rFonts w:ascii="Times New Roman" w:eastAsia="FangSong" w:hAnsi="Times New Roman" w:cs="Times New Roman"/>
          <w:szCs w:val="21"/>
        </w:rPr>
        <w:t xml:space="preserve"> money for mental distress.</w:t>
      </w:r>
    </w:p>
    <w:p w14:paraId="0383CE3C"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7. </w:t>
      </w:r>
      <w:r>
        <w:rPr>
          <w:rFonts w:ascii="Times New Roman" w:eastAsia="FangSong" w:hAnsi="Times New Roman" w:cs="Times New Roman"/>
          <w:szCs w:val="21"/>
        </w:rPr>
        <w:t>Sexual harassment in the workplace not only violates women’s rights but also reflects the unequal gender power relationship between men and women. In recent years, China has stepped up efforts at the legislative, law enforcem</w:t>
      </w:r>
      <w:r>
        <w:rPr>
          <w:rFonts w:ascii="Times New Roman" w:eastAsia="FangSong" w:hAnsi="Times New Roman" w:cs="Times New Roman"/>
          <w:szCs w:val="21"/>
        </w:rPr>
        <w:t>ent and judicial levels to prevent and stop sexual harassment in the workplace.</w:t>
      </w:r>
      <w:r>
        <w:rPr>
          <w:rFonts w:ascii="Times New Roman" w:hAnsi="Times New Roman" w:cs="Times New Roman"/>
          <w:szCs w:val="21"/>
        </w:rPr>
        <w:t xml:space="preserve"> </w:t>
      </w:r>
      <w:r>
        <w:rPr>
          <w:rFonts w:ascii="Times New Roman" w:eastAsia="FangSong" w:hAnsi="Times New Roman" w:cs="Times New Roman"/>
          <w:szCs w:val="21"/>
        </w:rPr>
        <w:t xml:space="preserve">In 2018, the Supreme People's Court revised the Provisions on the Causes of Action for Civil Cases and added "dispute over liability for damage caused by sexual harassment" to </w:t>
      </w:r>
      <w:r>
        <w:rPr>
          <w:rFonts w:ascii="Times New Roman" w:eastAsia="FangSong" w:hAnsi="Times New Roman" w:cs="Times New Roman"/>
          <w:szCs w:val="21"/>
        </w:rPr>
        <w:t>the causes of action for cases of tort dispute, thereby overcoming the long-standing difficulty in the filing of cases of dispute over sexual harassment. The 2020 Civil Code defines "sexual harassment" for the first time, expands the subjects of the obliga</w:t>
      </w:r>
      <w:r>
        <w:rPr>
          <w:rFonts w:ascii="Times New Roman" w:eastAsia="FangSong" w:hAnsi="Times New Roman" w:cs="Times New Roman"/>
          <w:szCs w:val="21"/>
        </w:rPr>
        <w:t>tion of preventing and stopping sexual harassment from employers to institutions, enterprises and schools, and specifies the measures they should adopt to fulfill the obligation, which include taking reasonable preventive measures, and accepting, investiga</w:t>
      </w:r>
      <w:r>
        <w:rPr>
          <w:rFonts w:ascii="Times New Roman" w:eastAsia="FangSong" w:hAnsi="Times New Roman" w:cs="Times New Roman"/>
          <w:szCs w:val="21"/>
        </w:rPr>
        <w:t>ting and handling complaints. The revised Law on the Protection of Women's Rights and Interests further refines the relevant measures and provides specific guidance to employers in preventing and stopping sexual harassment in the workplace.</w:t>
      </w:r>
    </w:p>
    <w:p w14:paraId="728B8B3E"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3. Improving th</w:t>
      </w:r>
      <w:r>
        <w:rPr>
          <w:rFonts w:ascii="Times New Roman" w:eastAsia="FangSong" w:hAnsi="Times New Roman" w:cs="Times New Roman"/>
          <w:b/>
          <w:bCs/>
          <w:szCs w:val="21"/>
        </w:rPr>
        <w:t>e legal protection of rural women's land rights and interests and strengthening related judicial remedies</w:t>
      </w:r>
    </w:p>
    <w:p w14:paraId="6E69B33F"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8. </w:t>
      </w:r>
      <w:r>
        <w:rPr>
          <w:rFonts w:ascii="Times New Roman" w:eastAsia="FangSong" w:hAnsi="Times New Roman" w:cs="Times New Roman"/>
          <w:szCs w:val="21"/>
        </w:rPr>
        <w:t>Rural women in China are subject to varying degrees of discriminatory treatment in such matters as contracting of land, approval of homestead appli</w:t>
      </w:r>
      <w:r>
        <w:rPr>
          <w:rFonts w:ascii="Times New Roman" w:eastAsia="FangSong" w:hAnsi="Times New Roman" w:cs="Times New Roman"/>
          <w:szCs w:val="21"/>
        </w:rPr>
        <w:t>cation, compensation for land expropriation, identification of the qualification for membership of collective economic organizations, distribution of collective economic benefits, and quantification and treatment of collective property rights. This has bec</w:t>
      </w:r>
      <w:r>
        <w:rPr>
          <w:rFonts w:ascii="Times New Roman" w:eastAsia="FangSong" w:hAnsi="Times New Roman" w:cs="Times New Roman"/>
          <w:szCs w:val="21"/>
        </w:rPr>
        <w:t>ome a concern of the United Nations human rights treaty bodies as well as a problem that the Chinese government has endeavored to solve in recent years.</w:t>
      </w:r>
    </w:p>
    <w:p w14:paraId="680E5D1D"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9. </w:t>
      </w:r>
      <w:r>
        <w:rPr>
          <w:rFonts w:ascii="Times New Roman" w:eastAsia="FangSong" w:hAnsi="Times New Roman" w:cs="Times New Roman"/>
          <w:szCs w:val="21"/>
        </w:rPr>
        <w:t xml:space="preserve">In 2014, the Ministry of Agriculture and Rural Affairs and the All-China Women's Federation jointly </w:t>
      </w:r>
      <w:r>
        <w:rPr>
          <w:rFonts w:ascii="Times New Roman" w:eastAsia="FangSong" w:hAnsi="Times New Roman" w:cs="Times New Roman"/>
          <w:szCs w:val="21"/>
        </w:rPr>
        <w:t>adopted the Minutes of the Meeting on Safeguarding Women's Land Rights and Interests in the Confirmation, Registration and Issuance of Certificates of the Right to the Contracted Management of Rural Land, requiring all local governments to put wom</w:t>
      </w:r>
      <w:r>
        <w:rPr>
          <w:rFonts w:ascii="Times New Roman" w:eastAsia="FangSong" w:hAnsi="Times New Roman" w:cs="Times New Roman" w:hint="eastAsia"/>
          <w:szCs w:val="21"/>
        </w:rPr>
        <w:t>a</w:t>
      </w:r>
      <w:r>
        <w:rPr>
          <w:rFonts w:ascii="Times New Roman" w:eastAsia="FangSong" w:hAnsi="Times New Roman" w:cs="Times New Roman"/>
          <w:szCs w:val="21"/>
        </w:rPr>
        <w:t>n's name</w:t>
      </w:r>
      <w:r>
        <w:rPr>
          <w:rFonts w:ascii="Times New Roman" w:eastAsia="FangSong" w:hAnsi="Times New Roman" w:cs="Times New Roman"/>
          <w:szCs w:val="21"/>
        </w:rPr>
        <w:t xml:space="preserve"> on certificates and registers in the work of confirmation, registration and issuance of certificates of the right to the contracted management of rural land. In 2018, the Law on the Contracting of Rural Land was amended, adding the provisions that "family</w:t>
      </w:r>
      <w:r>
        <w:rPr>
          <w:rFonts w:ascii="Times New Roman" w:eastAsia="FangSong" w:hAnsi="Times New Roman" w:cs="Times New Roman"/>
          <w:szCs w:val="21"/>
        </w:rPr>
        <w:t xml:space="preserve"> members of a farmer household shall equally share all rights and interests in the contracted land in accordance with law" and that "a certificate of a conventional usufruct on rural land for agricultural operations or a certificate of a forest right, amon</w:t>
      </w:r>
      <w:r>
        <w:rPr>
          <w:rFonts w:ascii="Times New Roman" w:eastAsia="FangSong" w:hAnsi="Times New Roman" w:cs="Times New Roman"/>
          <w:szCs w:val="21"/>
        </w:rPr>
        <w:t>g others, shall include all family members sharing the conventional usufruct on rural land for agricultural operations", so as to ensure that rural women "have their names on certificates and enjoy rights in their own names".</w:t>
      </w:r>
    </w:p>
    <w:p w14:paraId="0A170AAA"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lastRenderedPageBreak/>
        <w:t xml:space="preserve">10. </w:t>
      </w:r>
      <w:r>
        <w:rPr>
          <w:rFonts w:ascii="Times New Roman" w:eastAsia="FangSong" w:hAnsi="Times New Roman" w:cs="Times New Roman"/>
          <w:szCs w:val="21"/>
        </w:rPr>
        <w:t>Despite the above provisio</w:t>
      </w:r>
      <w:r>
        <w:rPr>
          <w:rFonts w:ascii="Times New Roman" w:eastAsia="FangSong" w:hAnsi="Times New Roman" w:cs="Times New Roman"/>
          <w:szCs w:val="21"/>
        </w:rPr>
        <w:t>ns, it has been difficult for women to obtain judicial remedies for the violation of their rights for quite a long period of time. In order to unblock the remedy channels for women victims, the Civil Code provides that "where a decision made by a rural col</w:t>
      </w:r>
      <w:r>
        <w:rPr>
          <w:rFonts w:ascii="Times New Roman" w:eastAsia="FangSong" w:hAnsi="Times New Roman" w:cs="Times New Roman"/>
          <w:szCs w:val="21"/>
        </w:rPr>
        <w:t>lective economic organization, or a villagers' committee or by the person in charge thereof infringes upon the lawful rights and interests of any member of the collective, such a member may request the people's court to revoke such a decision."</w:t>
      </w:r>
      <w:r>
        <w:rPr>
          <w:rFonts w:ascii="Times New Roman" w:hAnsi="Times New Roman" w:cs="Times New Roman"/>
          <w:szCs w:val="21"/>
        </w:rPr>
        <w:t xml:space="preserve"> According t</w:t>
      </w:r>
      <w:r>
        <w:rPr>
          <w:rFonts w:ascii="Times New Roman" w:hAnsi="Times New Roman" w:cs="Times New Roman"/>
          <w:szCs w:val="21"/>
        </w:rPr>
        <w:t>o these provisions,</w:t>
      </w:r>
      <w:r>
        <w:rPr>
          <w:rFonts w:ascii="Times New Roman" w:eastAsia="FangSong" w:hAnsi="Times New Roman" w:cs="Times New Roman"/>
          <w:szCs w:val="21"/>
        </w:rPr>
        <w:t xml:space="preserve"> rural women whose land rights and other related rights are infringed upon by village regulations or folk constitutions can either request a higher-level government to order their rectification or directly bring a lawsuit to a people's c</w:t>
      </w:r>
      <w:r>
        <w:rPr>
          <w:rFonts w:ascii="Times New Roman" w:eastAsia="FangSong" w:hAnsi="Times New Roman" w:cs="Times New Roman"/>
          <w:szCs w:val="21"/>
        </w:rPr>
        <w:t>ourt for their revocation.</w:t>
      </w:r>
    </w:p>
    <w:p w14:paraId="3100C92A"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11. </w:t>
      </w:r>
      <w:r>
        <w:rPr>
          <w:rFonts w:ascii="Times New Roman" w:eastAsia="FangSong" w:hAnsi="Times New Roman" w:cs="Times New Roman"/>
          <w:szCs w:val="21"/>
        </w:rPr>
        <w:t>A positive change in this respect is that more and more courts begin to support women's claims. For example, in a case of dispute over the distribution of compensation fees for the expropriation of contracted land, accepted b</w:t>
      </w:r>
      <w:r>
        <w:rPr>
          <w:rFonts w:ascii="Times New Roman" w:eastAsia="FangSong" w:hAnsi="Times New Roman" w:cs="Times New Roman"/>
          <w:szCs w:val="21"/>
        </w:rPr>
        <w:t>y the People's Court of Xifeng District of Qingyang City of Gansu Province in 2021, the plaintiff got married and then divorced, but her registered permanent residence had always been in the defendant's villagers' group. However, the villagers' group refus</w:t>
      </w:r>
      <w:r>
        <w:rPr>
          <w:rFonts w:ascii="Times New Roman" w:eastAsia="FangSong" w:hAnsi="Times New Roman" w:cs="Times New Roman"/>
          <w:szCs w:val="21"/>
        </w:rPr>
        <w:t>ed to pay compensation for the contracted land to the plaintiff on the grounds that she was no longer a member of the village group after she got married. In the judgment, the court invoked Article 31 of the Law on the Contracting of Rural Land - which pro</w:t>
      </w:r>
      <w:r>
        <w:rPr>
          <w:rFonts w:ascii="Times New Roman" w:eastAsia="FangSong" w:hAnsi="Times New Roman" w:cs="Times New Roman"/>
          <w:szCs w:val="21"/>
        </w:rPr>
        <w:t>vides that if a woman gets divorced but still resides in the original place, the party that let land to her shall not withdraw the land originally contracted to her - in support of the plaintiff's claim and ordered the defendant to pay compensation for the</w:t>
      </w:r>
      <w:r>
        <w:rPr>
          <w:rFonts w:ascii="Times New Roman" w:eastAsia="FangSong" w:hAnsi="Times New Roman" w:cs="Times New Roman"/>
          <w:szCs w:val="21"/>
        </w:rPr>
        <w:t xml:space="preserve"> expropriation of the land to the plaintiff.</w:t>
      </w:r>
    </w:p>
    <w:p w14:paraId="06322CF3"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4. Establishing a procuratorial public interest litigation system for the protection of women's rights and interests</w:t>
      </w:r>
      <w:r>
        <w:rPr>
          <w:rFonts w:ascii="Times New Roman" w:eastAsia="FangSong" w:hAnsi="Times New Roman" w:cs="Times New Roman" w:hint="eastAsia"/>
          <w:b/>
          <w:bCs/>
          <w:szCs w:val="21"/>
        </w:rPr>
        <w:t xml:space="preserve">, which </w:t>
      </w:r>
      <w:r>
        <w:rPr>
          <w:rFonts w:ascii="Times New Roman" w:eastAsia="FangSong" w:hAnsi="Times New Roman" w:cs="Times New Roman"/>
          <w:b/>
          <w:bCs/>
          <w:szCs w:val="21"/>
        </w:rPr>
        <w:t>provid</w:t>
      </w:r>
      <w:r>
        <w:rPr>
          <w:rFonts w:ascii="Times New Roman" w:eastAsia="FangSong" w:hAnsi="Times New Roman" w:cs="Times New Roman" w:hint="eastAsia"/>
          <w:b/>
          <w:bCs/>
          <w:szCs w:val="21"/>
        </w:rPr>
        <w:t>es</w:t>
      </w:r>
      <w:r>
        <w:rPr>
          <w:rFonts w:ascii="Times New Roman" w:eastAsia="FangSong" w:hAnsi="Times New Roman" w:cs="Times New Roman"/>
          <w:b/>
          <w:bCs/>
          <w:szCs w:val="21"/>
        </w:rPr>
        <w:t xml:space="preserve"> adequate and effective judicial guarantee for promoting the equality between m</w:t>
      </w:r>
      <w:r>
        <w:rPr>
          <w:rFonts w:ascii="Times New Roman" w:eastAsia="FangSong" w:hAnsi="Times New Roman" w:cs="Times New Roman"/>
          <w:b/>
          <w:bCs/>
          <w:szCs w:val="21"/>
        </w:rPr>
        <w:t>en and women</w:t>
      </w:r>
    </w:p>
    <w:p w14:paraId="4DF30DD7"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12. </w:t>
      </w:r>
      <w:r>
        <w:rPr>
          <w:rFonts w:ascii="Times New Roman" w:eastAsia="FangSong" w:hAnsi="Times New Roman" w:cs="Times New Roman"/>
          <w:szCs w:val="21"/>
        </w:rPr>
        <w:t>One of the key purposes of this year’s revision of the Law on the Protection of Women's Rights and Interests is to increase the operability and justiciability of the remedies provided for in the Law. The revised law adds a new chapter on “</w:t>
      </w:r>
      <w:r>
        <w:rPr>
          <w:rFonts w:ascii="Times New Roman" w:eastAsia="FangSong" w:hAnsi="Times New Roman" w:cs="Times New Roman"/>
          <w:szCs w:val="21"/>
        </w:rPr>
        <w:t xml:space="preserve">remedial measures” and establishes new relief channels, such as the joint </w:t>
      </w:r>
      <w:r>
        <w:rPr>
          <w:rFonts w:ascii="Times New Roman" w:eastAsia="FangSong" w:hAnsi="Times New Roman" w:cs="Times New Roman" w:hint="eastAsia"/>
          <w:szCs w:val="21"/>
        </w:rPr>
        <w:t>negotiation</w:t>
      </w:r>
      <w:r>
        <w:rPr>
          <w:rFonts w:ascii="Times New Roman" w:eastAsia="FangSong" w:hAnsi="Times New Roman" w:cs="Times New Roman"/>
          <w:szCs w:val="21"/>
        </w:rPr>
        <w:t xml:space="preserve"> mechanism, the public interest litigation system, and the litigation support system. Tak</w:t>
      </w:r>
      <w:r>
        <w:rPr>
          <w:rFonts w:ascii="Times New Roman" w:eastAsia="FangSong" w:hAnsi="Times New Roman" w:cs="Times New Roman" w:hint="eastAsia"/>
          <w:szCs w:val="21"/>
        </w:rPr>
        <w:t>ing</w:t>
      </w:r>
      <w:r>
        <w:rPr>
          <w:rFonts w:ascii="Times New Roman" w:eastAsia="FangSong" w:hAnsi="Times New Roman" w:cs="Times New Roman"/>
          <w:szCs w:val="21"/>
        </w:rPr>
        <w:t xml:space="preserve"> the system of public interest litigation for the protection of women's rights and interests as an example</w:t>
      </w:r>
      <w:r>
        <w:rPr>
          <w:rFonts w:ascii="Times New Roman" w:eastAsia="FangSong" w:hAnsi="Times New Roman" w:cs="Times New Roman" w:hint="eastAsia"/>
          <w:szCs w:val="21"/>
        </w:rPr>
        <w:t>,</w:t>
      </w:r>
      <w:r>
        <w:rPr>
          <w:rFonts w:ascii="Times New Roman" w:eastAsia="FangSong" w:hAnsi="Times New Roman" w:cs="Times New Roman"/>
          <w:szCs w:val="21"/>
        </w:rPr>
        <w:t xml:space="preserve"> </w:t>
      </w:r>
      <w:r>
        <w:rPr>
          <w:rFonts w:ascii="Times New Roman" w:eastAsia="FangSong" w:hAnsi="Times New Roman" w:cs="Times New Roman" w:hint="eastAsia"/>
          <w:szCs w:val="21"/>
        </w:rPr>
        <w:t>t</w:t>
      </w:r>
      <w:r>
        <w:rPr>
          <w:rFonts w:ascii="Times New Roman" w:eastAsia="FangSong" w:hAnsi="Times New Roman" w:cs="Times New Roman"/>
          <w:szCs w:val="21"/>
        </w:rPr>
        <w:t xml:space="preserve">he Law provides that, under any of the following circumstances, a procuratorial organ may initiate a public interest litigation in accordance with </w:t>
      </w:r>
      <w:r>
        <w:rPr>
          <w:rFonts w:ascii="Times New Roman" w:eastAsia="FangSong" w:hAnsi="Times New Roman" w:cs="Times New Roman"/>
          <w:szCs w:val="21"/>
        </w:rPr>
        <w:t>law:</w:t>
      </w:r>
    </w:p>
    <w:p w14:paraId="0066C75A" w14:textId="77777777" w:rsidR="000B0467" w:rsidRDefault="00D57D5D">
      <w:pPr>
        <w:pStyle w:val="ListParagraph"/>
        <w:numPr>
          <w:ilvl w:val="0"/>
          <w:numId w:val="1"/>
        </w:numPr>
        <w:adjustRightInd w:val="0"/>
        <w:snapToGrid w:val="0"/>
        <w:spacing w:beforeLines="100" w:before="312"/>
        <w:ind w:firstLineChars="0"/>
        <w:rPr>
          <w:rFonts w:ascii="Times New Roman" w:eastAsia="FangSong" w:hAnsi="Times New Roman" w:cs="Times New Roman"/>
          <w:szCs w:val="21"/>
        </w:rPr>
      </w:pPr>
      <w:r>
        <w:rPr>
          <w:rFonts w:ascii="Times New Roman" w:eastAsia="FangSong" w:hAnsi="Times New Roman" w:cs="Times New Roman"/>
          <w:szCs w:val="21"/>
        </w:rPr>
        <w:t>violation of women's rights and interests in the confirmation of rural women's membership in a collective economic organization, in conventional usufructs on rural land for agricultural operations, in the distribution of collective income and compensa</w:t>
      </w:r>
      <w:r>
        <w:rPr>
          <w:rFonts w:ascii="Times New Roman" w:eastAsia="FangSong" w:hAnsi="Times New Roman" w:cs="Times New Roman"/>
          <w:szCs w:val="21"/>
        </w:rPr>
        <w:t>tion for land expropriation and requisition, and in the use of rural land as residential lots;</w:t>
      </w:r>
    </w:p>
    <w:p w14:paraId="01FA7DCC" w14:textId="77777777" w:rsidR="000B0467" w:rsidRDefault="00D57D5D">
      <w:pPr>
        <w:pStyle w:val="ListParagraph"/>
        <w:numPr>
          <w:ilvl w:val="0"/>
          <w:numId w:val="1"/>
        </w:numPr>
        <w:adjustRightInd w:val="0"/>
        <w:snapToGrid w:val="0"/>
        <w:spacing w:beforeLines="100" w:before="312"/>
        <w:ind w:firstLineChars="0"/>
        <w:rPr>
          <w:rFonts w:ascii="Times New Roman" w:eastAsia="FangSong" w:hAnsi="Times New Roman" w:cs="Times New Roman"/>
          <w:szCs w:val="21"/>
        </w:rPr>
      </w:pPr>
      <w:r>
        <w:rPr>
          <w:rFonts w:ascii="Times New Roman" w:eastAsia="FangSong" w:hAnsi="Times New Roman" w:cs="Times New Roman"/>
          <w:szCs w:val="21"/>
        </w:rPr>
        <w:t>violation of women's rights and interests in equal employment;</w:t>
      </w:r>
    </w:p>
    <w:p w14:paraId="01B8B423" w14:textId="77777777" w:rsidR="000B0467" w:rsidRDefault="00D57D5D">
      <w:pPr>
        <w:pStyle w:val="ListParagraph"/>
        <w:numPr>
          <w:ilvl w:val="0"/>
          <w:numId w:val="1"/>
        </w:numPr>
        <w:adjustRightInd w:val="0"/>
        <w:snapToGrid w:val="0"/>
        <w:spacing w:beforeLines="100" w:before="312"/>
        <w:ind w:firstLineChars="0"/>
        <w:rPr>
          <w:rFonts w:ascii="Times New Roman" w:eastAsia="FangSong" w:hAnsi="Times New Roman" w:cs="Times New Roman"/>
          <w:szCs w:val="21"/>
        </w:rPr>
      </w:pPr>
      <w:r>
        <w:rPr>
          <w:rFonts w:ascii="Times New Roman" w:eastAsia="FangSong" w:hAnsi="Times New Roman" w:cs="Times New Roman"/>
          <w:szCs w:val="21"/>
        </w:rPr>
        <w:t>failure by the relevant entities to take reasonable measures to prevent and stop sexual harassment</w:t>
      </w:r>
      <w:r>
        <w:rPr>
          <w:rFonts w:ascii="Times New Roman" w:eastAsia="FangSong" w:hAnsi="Times New Roman" w:cs="Times New Roman"/>
          <w:szCs w:val="21"/>
        </w:rPr>
        <w:t>;</w:t>
      </w:r>
    </w:p>
    <w:p w14:paraId="25E346F8" w14:textId="77777777" w:rsidR="000B0467" w:rsidRDefault="00D57D5D">
      <w:pPr>
        <w:pStyle w:val="ListParagraph"/>
        <w:numPr>
          <w:ilvl w:val="0"/>
          <w:numId w:val="1"/>
        </w:numPr>
        <w:adjustRightInd w:val="0"/>
        <w:snapToGrid w:val="0"/>
        <w:spacing w:beforeLines="100" w:before="312"/>
        <w:ind w:firstLineChars="0"/>
        <w:rPr>
          <w:rFonts w:ascii="Times New Roman" w:eastAsia="FangSong" w:hAnsi="Times New Roman" w:cs="Times New Roman"/>
          <w:szCs w:val="21"/>
        </w:rPr>
      </w:pPr>
      <w:r>
        <w:rPr>
          <w:rFonts w:ascii="Times New Roman" w:eastAsia="FangSong" w:hAnsi="Times New Roman" w:cs="Times New Roman"/>
          <w:szCs w:val="21"/>
        </w:rPr>
        <w:t>debasing or injuring women's personal dignity by public media or other means;</w:t>
      </w:r>
    </w:p>
    <w:p w14:paraId="1B266EC0" w14:textId="77777777" w:rsidR="000B0467" w:rsidRDefault="00D57D5D">
      <w:pPr>
        <w:pStyle w:val="ListParagraph"/>
        <w:numPr>
          <w:ilvl w:val="0"/>
          <w:numId w:val="1"/>
        </w:numPr>
        <w:adjustRightInd w:val="0"/>
        <w:snapToGrid w:val="0"/>
        <w:spacing w:beforeLines="100" w:before="312"/>
        <w:ind w:firstLineChars="0"/>
        <w:rPr>
          <w:rFonts w:ascii="Times New Roman" w:eastAsia="FangSong" w:hAnsi="Times New Roman" w:cs="Times New Roman"/>
          <w:szCs w:val="21"/>
        </w:rPr>
      </w:pPr>
      <w:r>
        <w:rPr>
          <w:rFonts w:ascii="Times New Roman" w:eastAsia="FangSong" w:hAnsi="Times New Roman" w:cs="Times New Roman"/>
          <w:szCs w:val="21"/>
        </w:rPr>
        <w:t>other serious violations of women's rights and interests.</w:t>
      </w:r>
    </w:p>
    <w:p w14:paraId="2C7384FE" w14:textId="77777777" w:rsidR="000B0467" w:rsidRDefault="00D57D5D">
      <w:pPr>
        <w:numPr>
          <w:ilvl w:val="0"/>
          <w:numId w:val="2"/>
        </w:num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szCs w:val="21"/>
        </w:rPr>
        <w:t>On November 23, 2022, the Supreme People's Procuratorate and All-China Women's Federation jointly issued the Model Prosecutorial Public Interest Litigation Cases for the Protection of Women's Rights and Interests, which consist of ten model cases of prosec</w:t>
      </w:r>
      <w:r>
        <w:rPr>
          <w:rFonts w:ascii="Times New Roman" w:eastAsia="FangSong" w:hAnsi="Times New Roman" w:cs="Times New Roman"/>
          <w:szCs w:val="21"/>
        </w:rPr>
        <w:t>utorial public interest litigation for the protection of women's economic, social and cultural rights, including the Administrative Public Interest Litigation Case in Which the People's Procuratorate of Weicheng District of Xianyang City of Shaanxi Provinc</w:t>
      </w:r>
      <w:r>
        <w:rPr>
          <w:rFonts w:ascii="Times New Roman" w:eastAsia="FangSong" w:hAnsi="Times New Roman" w:cs="Times New Roman"/>
          <w:szCs w:val="21"/>
        </w:rPr>
        <w:t xml:space="preserve">e Urged the Protection of Women's Labor Rights and Interests; the Administrative Public Interest Litigation Case in Which the People's Procuratorate of Nayong </w:t>
      </w:r>
      <w:r>
        <w:rPr>
          <w:rFonts w:ascii="Times New Roman" w:eastAsia="FangSong" w:hAnsi="Times New Roman" w:cs="Times New Roman"/>
          <w:szCs w:val="21"/>
        </w:rPr>
        <w:lastRenderedPageBreak/>
        <w:t>County of Guizhou Province Urged the Protection of Women's Labor and Social Security Rights and I</w:t>
      </w:r>
      <w:r>
        <w:rPr>
          <w:rFonts w:ascii="Times New Roman" w:eastAsia="FangSong" w:hAnsi="Times New Roman" w:cs="Times New Roman"/>
          <w:szCs w:val="21"/>
        </w:rPr>
        <w:t xml:space="preserve">nterests; </w:t>
      </w:r>
      <w:r>
        <w:rPr>
          <w:rFonts w:ascii="Times New Roman" w:hAnsi="Times New Roman" w:cs="Times New Roman"/>
          <w:szCs w:val="21"/>
        </w:rPr>
        <w:t xml:space="preserve">the </w:t>
      </w:r>
      <w:r>
        <w:rPr>
          <w:rFonts w:ascii="Times New Roman" w:eastAsia="FangSong" w:hAnsi="Times New Roman" w:cs="Times New Roman"/>
          <w:szCs w:val="21"/>
        </w:rPr>
        <w:t xml:space="preserve">Administrative Public Interest Litigation Case in Which Beijing Railway Transportation Procuratorate Urged Corrective Action on Employment Discrimination Against Women; the Administrative Public Interest Litigation Case in Which the People's </w:t>
      </w:r>
      <w:r>
        <w:rPr>
          <w:rFonts w:ascii="Times New Roman" w:eastAsia="FangSong" w:hAnsi="Times New Roman" w:cs="Times New Roman"/>
          <w:szCs w:val="21"/>
        </w:rPr>
        <w:t>Procuratorate of Songjiang District of Shanghai Municipality Urged the Protection of the Right of Women with Disability to Equal Employment; and the Administrative Public Interest Litigation Case in Which the People's Procuratorate of Boertala Mongolian Au</w:t>
      </w:r>
      <w:r>
        <w:rPr>
          <w:rFonts w:ascii="Times New Roman" w:eastAsia="FangSong" w:hAnsi="Times New Roman" w:cs="Times New Roman"/>
          <w:szCs w:val="21"/>
        </w:rPr>
        <w:t>tonomous Prefecture of Xinjiang Uygur Autonomous Region Urged the Protection of Rural Women's Conventional Usufruct on Rural Land for Agricultural Operations.</w:t>
      </w:r>
    </w:p>
    <w:p w14:paraId="66C1E02C" w14:textId="77777777" w:rsidR="000B0467" w:rsidRDefault="00D57D5D">
      <w:pPr>
        <w:adjustRightInd w:val="0"/>
        <w:snapToGrid w:val="0"/>
        <w:spacing w:beforeLines="100" w:before="312"/>
        <w:rPr>
          <w:rFonts w:ascii="Times New Roman" w:eastAsia="SimHei" w:hAnsi="Times New Roman" w:cs="Times New Roman"/>
          <w:b/>
          <w:bCs/>
          <w:szCs w:val="21"/>
        </w:rPr>
      </w:pPr>
      <w:r>
        <w:rPr>
          <w:rFonts w:ascii="Times New Roman" w:eastAsia="SimHei" w:hAnsi="Times New Roman" w:cs="Times New Roman"/>
          <w:b/>
          <w:bCs/>
          <w:szCs w:val="21"/>
        </w:rPr>
        <w:t>III. Existing challenges and suggestions for improvement</w:t>
      </w:r>
    </w:p>
    <w:p w14:paraId="36C1DCA7"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1. The definition of "discrimination" is</w:t>
      </w:r>
      <w:r>
        <w:rPr>
          <w:rFonts w:ascii="Times New Roman" w:eastAsia="FangSong" w:hAnsi="Times New Roman" w:cs="Times New Roman"/>
          <w:b/>
          <w:bCs/>
          <w:szCs w:val="21"/>
        </w:rPr>
        <w:t xml:space="preserve"> still incomplete</w:t>
      </w:r>
    </w:p>
    <w:p w14:paraId="463ABA99"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hAnsi="Times New Roman" w:cs="Times New Roman" w:hint="eastAsia"/>
          <w:szCs w:val="21"/>
        </w:rPr>
        <w:t>14. C</w:t>
      </w:r>
      <w:r>
        <w:rPr>
          <w:rFonts w:ascii="Times New Roman" w:eastAsia="FangSong" w:hAnsi="Times New Roman" w:cs="Times New Roman"/>
          <w:szCs w:val="21"/>
        </w:rPr>
        <w:t>ompared with the definition of discrimination in Article 1 of the Convention on the Elimination of All Forms of Discrimination Against Women, that in the revised Law on the Protection of Women's Rights and Interests is still incomple</w:t>
      </w:r>
      <w:r>
        <w:rPr>
          <w:rFonts w:ascii="Times New Roman" w:eastAsia="FangSong" w:hAnsi="Times New Roman" w:cs="Times New Roman"/>
          <w:szCs w:val="21"/>
        </w:rPr>
        <w:t xml:space="preserve">te. For example, it does not specify “gender” as a prohibited ground for discrimination, </w:t>
      </w:r>
      <w:r>
        <w:rPr>
          <w:rFonts w:ascii="Times New Roman" w:eastAsia="FangSong" w:hAnsi="Times New Roman" w:cs="Times New Roman" w:hint="eastAsia"/>
          <w:szCs w:val="21"/>
        </w:rPr>
        <w:t xml:space="preserve">not </w:t>
      </w:r>
      <w:r>
        <w:rPr>
          <w:rFonts w:ascii="Times New Roman" w:eastAsia="FangSong" w:hAnsi="Times New Roman" w:cs="Times New Roman"/>
          <w:szCs w:val="21"/>
        </w:rPr>
        <w:t>explicitly prohibit direct discrimination and indirect discrimination, or provide for temporary special measures as necessary means to achieve substantive equality</w:t>
      </w:r>
      <w:r>
        <w:rPr>
          <w:rFonts w:ascii="Times New Roman" w:eastAsia="FangSong" w:hAnsi="Times New Roman" w:cs="Times New Roman"/>
          <w:szCs w:val="21"/>
        </w:rPr>
        <w:t>.</w:t>
      </w:r>
    </w:p>
    <w:p w14:paraId="561567CE"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hAnsi="Times New Roman" w:cs="Times New Roman" w:hint="eastAsia"/>
          <w:szCs w:val="21"/>
        </w:rPr>
        <w:t xml:space="preserve">15. </w:t>
      </w:r>
      <w:r>
        <w:rPr>
          <w:rFonts w:ascii="Times New Roman" w:hAnsi="Times New Roman" w:cs="Times New Roman" w:hint="eastAsia"/>
          <w:szCs w:val="21"/>
        </w:rPr>
        <w:t>A</w:t>
      </w:r>
      <w:r>
        <w:rPr>
          <w:rFonts w:ascii="Times New Roman" w:hAnsi="Times New Roman" w:cs="Times New Roman"/>
          <w:szCs w:val="21"/>
        </w:rPr>
        <w:t>s a result of t</w:t>
      </w:r>
      <w:r>
        <w:rPr>
          <w:rFonts w:ascii="Times New Roman" w:eastAsia="FangSong" w:hAnsi="Times New Roman" w:cs="Times New Roman"/>
          <w:szCs w:val="21"/>
        </w:rPr>
        <w:t xml:space="preserve">he incomprehensiveness of legal provisions, higher demands have been made on law enforcement personnel and judges, requiring them to identify and judge specific circumstances that constitute discrimination in specific issues </w:t>
      </w:r>
      <w:r>
        <w:rPr>
          <w:rFonts w:ascii="Times New Roman" w:eastAsia="FangSong" w:hAnsi="Times New Roman" w:cs="Times New Roman"/>
          <w:szCs w:val="21"/>
        </w:rPr>
        <w:t>according to specific provisions in the Law on the Protection of Women's Rights and Interests, such as those on gender equality assessment, gender discrimination in employment, sexual harassment, an appropriate representation of women, etc.</w:t>
      </w:r>
    </w:p>
    <w:p w14:paraId="0E3C3D14"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16. </w:t>
      </w:r>
      <w:r>
        <w:rPr>
          <w:rFonts w:ascii="Times New Roman" w:eastAsia="FangSong" w:hAnsi="Times New Roman" w:cs="Times New Roman"/>
          <w:szCs w:val="21"/>
        </w:rPr>
        <w:t>In the futu</w:t>
      </w:r>
      <w:r>
        <w:rPr>
          <w:rFonts w:ascii="Times New Roman" w:eastAsia="FangSong" w:hAnsi="Times New Roman" w:cs="Times New Roman"/>
          <w:szCs w:val="21"/>
        </w:rPr>
        <w:t xml:space="preserve">re, China </w:t>
      </w:r>
      <w:r>
        <w:rPr>
          <w:rFonts w:ascii="Times New Roman" w:eastAsia="FangSong" w:hAnsi="Times New Roman" w:cs="Times New Roman" w:hint="eastAsia"/>
          <w:szCs w:val="21"/>
        </w:rPr>
        <w:t>need to</w:t>
      </w:r>
      <w:r>
        <w:rPr>
          <w:rFonts w:ascii="Times New Roman" w:eastAsia="FangSong" w:hAnsi="Times New Roman" w:cs="Times New Roman"/>
          <w:szCs w:val="21"/>
        </w:rPr>
        <w:t xml:space="preserve"> provide comprehensive training to legislators, judges, police, and other law enforcement personnel so that they can fully understand the significance and impact of the above-mentioned new changes in the Law on the Protection of Women's Ri</w:t>
      </w:r>
      <w:r>
        <w:rPr>
          <w:rFonts w:ascii="Times New Roman" w:eastAsia="FangSong" w:hAnsi="Times New Roman" w:cs="Times New Roman"/>
          <w:szCs w:val="21"/>
        </w:rPr>
        <w:t>ghts and Interests and better prevent gender discrimination and promote the realization of substantive equality between men and women in their daily law enforcement and judicial activities.</w:t>
      </w:r>
    </w:p>
    <w:p w14:paraId="37FFE9AE"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2. The liability of employers for sexual harassment in the workpla</w:t>
      </w:r>
      <w:r>
        <w:rPr>
          <w:rFonts w:ascii="Times New Roman" w:eastAsia="FangSong" w:hAnsi="Times New Roman" w:cs="Times New Roman"/>
          <w:b/>
          <w:bCs/>
          <w:szCs w:val="21"/>
        </w:rPr>
        <w:t>ce is still not clear</w:t>
      </w:r>
    </w:p>
    <w:p w14:paraId="6FB481A3"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17. </w:t>
      </w:r>
      <w:r>
        <w:rPr>
          <w:rFonts w:ascii="Times New Roman" w:eastAsia="FangSong" w:hAnsi="Times New Roman" w:cs="Times New Roman"/>
          <w:szCs w:val="21"/>
        </w:rPr>
        <w:t>In 2012, the State Council promulgated the Special Rules on the Labor Protection of Female Employees, which stipulate that employers have the obligation to "prevent and stop sexual harassment of female employees" in the workplace.</w:t>
      </w:r>
      <w:r>
        <w:rPr>
          <w:rFonts w:ascii="Times New Roman" w:eastAsia="FangSong" w:hAnsi="Times New Roman" w:cs="Times New Roman"/>
          <w:szCs w:val="21"/>
        </w:rPr>
        <w:t xml:space="preserve"> </w:t>
      </w:r>
      <w:r>
        <w:rPr>
          <w:rFonts w:ascii="Times New Roman" w:eastAsia="FangSong" w:hAnsi="Times New Roman" w:cs="Times New Roman" w:hint="eastAsia"/>
          <w:szCs w:val="21"/>
        </w:rPr>
        <w:t>However,</w:t>
      </w:r>
      <w:r>
        <w:rPr>
          <w:rFonts w:ascii="Times New Roman" w:eastAsia="FangSong" w:hAnsi="Times New Roman" w:cs="Times New Roman"/>
          <w:szCs w:val="21"/>
        </w:rPr>
        <w:t xml:space="preserve"> these administrative regulations do not specify how employers should fulfill this obligation and how they should bear legal liability if they violate this obligation.</w:t>
      </w:r>
      <w:r>
        <w:rPr>
          <w:rFonts w:ascii="Times New Roman" w:hAnsi="Times New Roman" w:cs="Times New Roman"/>
          <w:szCs w:val="21"/>
        </w:rPr>
        <w:t xml:space="preserve"> T</w:t>
      </w:r>
      <w:r>
        <w:rPr>
          <w:rFonts w:ascii="Times New Roman" w:eastAsia="FangSong" w:hAnsi="Times New Roman" w:cs="Times New Roman"/>
          <w:szCs w:val="21"/>
        </w:rPr>
        <w:t>he Civil Code and the Law on the Protection of Women's Rights and Interests al</w:t>
      </w:r>
      <w:r>
        <w:rPr>
          <w:rFonts w:ascii="Times New Roman" w:eastAsia="FangSong" w:hAnsi="Times New Roman" w:cs="Times New Roman"/>
          <w:szCs w:val="21"/>
        </w:rPr>
        <w:t xml:space="preserve">so fail to specify whether an employer should bear legal liability and what kind of legal liability it should bear if it violates its obligation to prevent and stop sexual harassment. </w:t>
      </w:r>
      <w:r>
        <w:rPr>
          <w:rFonts w:ascii="Times New Roman" w:hAnsi="Times New Roman" w:cs="Times New Roman" w:hint="eastAsia"/>
          <w:szCs w:val="21"/>
        </w:rPr>
        <w:t>T</w:t>
      </w:r>
      <w:r>
        <w:rPr>
          <w:rFonts w:ascii="Times New Roman" w:eastAsia="FangSong" w:hAnsi="Times New Roman" w:cs="Times New Roman"/>
          <w:szCs w:val="21"/>
        </w:rPr>
        <w:t>he vagueness of the provisions of relevant laws has to a great extent p</w:t>
      </w:r>
      <w:r>
        <w:rPr>
          <w:rFonts w:ascii="Times New Roman" w:eastAsia="FangSong" w:hAnsi="Times New Roman" w:cs="Times New Roman"/>
          <w:szCs w:val="21"/>
        </w:rPr>
        <w:t>revented the victims from obtaining effective judicial remedies. Therefore, it is necessary to clarify as soon as possible by legislation or judicial interpretation the nature of the legal liability of employers for violating their legal obligation to prev</w:t>
      </w:r>
      <w:r>
        <w:rPr>
          <w:rFonts w:ascii="Times New Roman" w:eastAsia="FangSong" w:hAnsi="Times New Roman" w:cs="Times New Roman"/>
          <w:szCs w:val="21"/>
        </w:rPr>
        <w:t>ent and stop sexual harassment in the workplace and the ways of their assumption of such liability.</w:t>
      </w:r>
    </w:p>
    <w:p w14:paraId="7ADE4AB7" w14:textId="77777777" w:rsidR="000B0467" w:rsidRDefault="00D57D5D">
      <w:pPr>
        <w:adjustRightInd w:val="0"/>
        <w:snapToGrid w:val="0"/>
        <w:spacing w:beforeLines="100" w:before="312"/>
        <w:rPr>
          <w:rFonts w:ascii="Times New Roman" w:eastAsia="FangSong" w:hAnsi="Times New Roman" w:cs="Times New Roman"/>
          <w:b/>
          <w:bCs/>
          <w:szCs w:val="21"/>
        </w:rPr>
      </w:pPr>
      <w:r>
        <w:rPr>
          <w:rFonts w:ascii="Times New Roman" w:eastAsia="FangSong" w:hAnsi="Times New Roman" w:cs="Times New Roman"/>
          <w:b/>
          <w:bCs/>
          <w:szCs w:val="21"/>
        </w:rPr>
        <w:t>3. The problems in the protection of rural women's land rights are caused by complicated factors and can be solved only through sustained efforts of multipl</w:t>
      </w:r>
      <w:r>
        <w:rPr>
          <w:rFonts w:ascii="Times New Roman" w:eastAsia="FangSong" w:hAnsi="Times New Roman" w:cs="Times New Roman"/>
          <w:b/>
          <w:bCs/>
          <w:szCs w:val="21"/>
        </w:rPr>
        <w:t xml:space="preserve">e parties </w:t>
      </w:r>
    </w:p>
    <w:p w14:paraId="3CE53C1A"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18. </w:t>
      </w:r>
      <w:r>
        <w:rPr>
          <w:rFonts w:ascii="Times New Roman" w:eastAsia="FangSong" w:hAnsi="Times New Roman" w:cs="Times New Roman"/>
          <w:szCs w:val="21"/>
        </w:rPr>
        <w:t>Discrimination against women has deep social, historical and cultural roots. This is particularly true with respect to the land rights and other related rights and interests of rural women, and, as a result, sustained efforts are needed in o</w:t>
      </w:r>
      <w:r>
        <w:rPr>
          <w:rFonts w:ascii="Times New Roman" w:eastAsia="FangSong" w:hAnsi="Times New Roman" w:cs="Times New Roman"/>
          <w:szCs w:val="21"/>
        </w:rPr>
        <w:t xml:space="preserve">rder to fundamentally solve this problem. In 2022, the Intermediate People's Court of Huizhou City of Guangdong Province accepted a case of dispute </w:t>
      </w:r>
      <w:r>
        <w:rPr>
          <w:rFonts w:ascii="Times New Roman" w:eastAsia="FangSong" w:hAnsi="Times New Roman" w:cs="Times New Roman"/>
          <w:szCs w:val="21"/>
        </w:rPr>
        <w:lastRenderedPageBreak/>
        <w:t>over infringement upon the rights and interests of a woman</w:t>
      </w:r>
      <w:r>
        <w:rPr>
          <w:rFonts w:ascii="Times New Roman" w:hAnsi="Times New Roman" w:cs="Times New Roman"/>
        </w:rPr>
        <w:t xml:space="preserve"> </w:t>
      </w:r>
      <w:r>
        <w:rPr>
          <w:rFonts w:ascii="Times New Roman" w:eastAsia="FangSong" w:hAnsi="Times New Roman" w:cs="Times New Roman"/>
          <w:szCs w:val="21"/>
        </w:rPr>
        <w:t>as a member of a collective economic organization</w:t>
      </w:r>
      <w:r>
        <w:rPr>
          <w:rFonts w:ascii="Times New Roman" w:eastAsia="FangSong" w:hAnsi="Times New Roman" w:cs="Times New Roman"/>
          <w:szCs w:val="21"/>
        </w:rPr>
        <w:t>. Although the court supported the plaintiff's claim, the rebuttal opinion of the defendant in the case</w:t>
      </w:r>
      <w:r>
        <w:rPr>
          <w:rFonts w:ascii="Times New Roman" w:eastAsia="FangSong" w:hAnsi="Times New Roman" w:cs="Times New Roman" w:hint="eastAsia"/>
          <w:szCs w:val="21"/>
        </w:rPr>
        <w:t>-</w:t>
      </w:r>
      <w:r>
        <w:rPr>
          <w:rFonts w:ascii="Times New Roman" w:eastAsia="FangSong" w:hAnsi="Times New Roman" w:cs="Times New Roman"/>
          <w:szCs w:val="21"/>
        </w:rPr>
        <w:t>the village collective economic organization</w:t>
      </w:r>
      <w:r>
        <w:rPr>
          <w:rFonts w:ascii="Times New Roman" w:eastAsia="FangSong" w:hAnsi="Times New Roman" w:cs="Times New Roman" w:hint="eastAsia"/>
          <w:szCs w:val="21"/>
        </w:rPr>
        <w:t xml:space="preserve">, </w:t>
      </w:r>
      <w:r>
        <w:rPr>
          <w:rFonts w:ascii="Times New Roman" w:eastAsia="FangSong" w:hAnsi="Times New Roman" w:cs="Times New Roman"/>
          <w:szCs w:val="21"/>
        </w:rPr>
        <w:t>reflected the level of understanding and acceptance of the equality between men and women in the vast rura</w:t>
      </w:r>
      <w:r>
        <w:rPr>
          <w:rFonts w:ascii="Times New Roman" w:eastAsia="FangSong" w:hAnsi="Times New Roman" w:cs="Times New Roman"/>
          <w:szCs w:val="21"/>
        </w:rPr>
        <w:t>l areas at present, and also indicated the strong resistance that may be faced by the court in the enforcement of the judgment</w:t>
      </w:r>
      <w:r>
        <w:rPr>
          <w:rFonts w:ascii="Times New Roman" w:eastAsia="FangSong" w:hAnsi="Times New Roman" w:cs="Times New Roman" w:hint="eastAsia"/>
          <w:szCs w:val="21"/>
        </w:rPr>
        <w:t xml:space="preserve">. The defendant rebutted, </w:t>
      </w:r>
      <w:r>
        <w:rPr>
          <w:rFonts w:ascii="Times New Roman" w:eastAsia="FangSong" w:hAnsi="Times New Roman" w:cs="Times New Roman"/>
          <w:szCs w:val="21"/>
        </w:rPr>
        <w:t>“In the solution of the problem of non-locally married women, we must respect history and face the reali</w:t>
      </w:r>
      <w:r>
        <w:rPr>
          <w:rFonts w:ascii="Times New Roman" w:eastAsia="FangSong" w:hAnsi="Times New Roman" w:cs="Times New Roman"/>
          <w:szCs w:val="21"/>
        </w:rPr>
        <w:t xml:space="preserve">ty in rural areas. The transformation of social habits, practices </w:t>
      </w:r>
      <w:r>
        <w:rPr>
          <w:rFonts w:ascii="Times New Roman" w:eastAsia="FangSong" w:hAnsi="Times New Roman" w:cs="Times New Roman" w:hint="eastAsia"/>
          <w:szCs w:val="21"/>
        </w:rPr>
        <w:t>or</w:t>
      </w:r>
      <w:r>
        <w:rPr>
          <w:rFonts w:ascii="Times New Roman" w:eastAsia="FangSong" w:hAnsi="Times New Roman" w:cs="Times New Roman"/>
          <w:szCs w:val="21"/>
        </w:rPr>
        <w:t xml:space="preserve"> customs requires a certain level of social and economic development. The law should not transform society by changing social customs in a coercive and oppressive manner, nor should it dea</w:t>
      </w:r>
      <w:r>
        <w:rPr>
          <w:rFonts w:ascii="Times New Roman" w:eastAsia="FangSong" w:hAnsi="Times New Roman" w:cs="Times New Roman"/>
          <w:szCs w:val="21"/>
        </w:rPr>
        <w:t>l with the problem in a simple one-size-fits-all way. Otherwise, it will easily lead to a large number of disputes and increase social instability</w:t>
      </w:r>
      <w:r>
        <w:rPr>
          <w:rFonts w:ascii="Times New Roman" w:eastAsia="FangSong" w:hAnsi="Times New Roman" w:cs="Times New Roman"/>
          <w:szCs w:val="21"/>
        </w:rPr>
        <w:t>”</w:t>
      </w:r>
      <w:r>
        <w:rPr>
          <w:rFonts w:ascii="Times New Roman" w:eastAsia="FangSong" w:hAnsi="Times New Roman" w:cs="Times New Roman"/>
          <w:szCs w:val="21"/>
        </w:rPr>
        <w:t>.</w:t>
      </w:r>
    </w:p>
    <w:p w14:paraId="413F8165" w14:textId="77777777" w:rsidR="000B0467" w:rsidRDefault="00D57D5D">
      <w:pPr>
        <w:adjustRightInd w:val="0"/>
        <w:snapToGrid w:val="0"/>
        <w:spacing w:beforeLines="100" w:before="312"/>
        <w:rPr>
          <w:rFonts w:ascii="Times New Roman" w:eastAsia="FangSong" w:hAnsi="Times New Roman" w:cs="Times New Roman"/>
          <w:szCs w:val="21"/>
        </w:rPr>
      </w:pPr>
      <w:r>
        <w:rPr>
          <w:rFonts w:ascii="Times New Roman" w:eastAsia="FangSong" w:hAnsi="Times New Roman" w:cs="Times New Roman" w:hint="eastAsia"/>
          <w:szCs w:val="21"/>
        </w:rPr>
        <w:t xml:space="preserve">19. </w:t>
      </w:r>
      <w:r>
        <w:rPr>
          <w:rFonts w:ascii="Times New Roman" w:eastAsia="FangSong" w:hAnsi="Times New Roman" w:cs="Times New Roman"/>
          <w:szCs w:val="21"/>
        </w:rPr>
        <w:t>The statement of the defendant in the above case is representative, reflecting the great resistance fac</w:t>
      </w:r>
      <w:r>
        <w:rPr>
          <w:rFonts w:ascii="Times New Roman" w:eastAsia="FangSong" w:hAnsi="Times New Roman" w:cs="Times New Roman"/>
          <w:szCs w:val="21"/>
        </w:rPr>
        <w:t>ed by China in realizing equal enjoyment of various rights by rural women with men. The transformation of social traditions not only requires the legislators to revise the relevant laws, but also requires judges and law enforcement personnel to have the wi</w:t>
      </w:r>
      <w:r>
        <w:rPr>
          <w:rFonts w:ascii="Times New Roman" w:eastAsia="FangSong" w:hAnsi="Times New Roman" w:cs="Times New Roman"/>
          <w:szCs w:val="21"/>
        </w:rPr>
        <w:t>ll and the courage to overcome obstacles to the strict implementation of laws, administrative organs to coordinate the various legal systems involved, and the government to make continuous efforts in changing social ideas and creating a social atmosphere o</w:t>
      </w:r>
      <w:r>
        <w:rPr>
          <w:rFonts w:ascii="Times New Roman" w:eastAsia="FangSong" w:hAnsi="Times New Roman" w:cs="Times New Roman"/>
          <w:szCs w:val="21"/>
        </w:rPr>
        <w:t>f gender equality.</w:t>
      </w:r>
    </w:p>
    <w:sectPr w:rsidR="000B04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FangSong">
    <w:altName w:val="FangSong"/>
    <w:charset w:val="86"/>
    <w:family w:val="modern"/>
    <w:pitch w:val="fixed"/>
    <w:sig w:usb0="800002BF" w:usb1="38CF7CFA"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1A55FAF"/>
    <w:multiLevelType w:val="singleLevel"/>
    <w:tmpl w:val="F1A55FAF"/>
    <w:lvl w:ilvl="0">
      <w:start w:val="13"/>
      <w:numFmt w:val="decimal"/>
      <w:suff w:val="space"/>
      <w:lvlText w:val="%1."/>
      <w:lvlJc w:val="left"/>
    </w:lvl>
  </w:abstractNum>
  <w:abstractNum w:abstractNumId="1" w15:restartNumberingAfterBreak="0">
    <w:nsid w:val="12FD1DA0"/>
    <w:multiLevelType w:val="multilevel"/>
    <w:tmpl w:val="12FD1DA0"/>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c4MTIyNGYwMDUzMTIzMjBjMDYxNDZhN2JkMjdlYmMifQ=="/>
  </w:docVars>
  <w:rsids>
    <w:rsidRoot w:val="002273A0"/>
    <w:rsid w:val="000052C8"/>
    <w:rsid w:val="00006C75"/>
    <w:rsid w:val="00031789"/>
    <w:rsid w:val="00045849"/>
    <w:rsid w:val="000668E8"/>
    <w:rsid w:val="000742FB"/>
    <w:rsid w:val="00091951"/>
    <w:rsid w:val="000B0467"/>
    <w:rsid w:val="00173A18"/>
    <w:rsid w:val="001817B8"/>
    <w:rsid w:val="00190E25"/>
    <w:rsid w:val="001E0D40"/>
    <w:rsid w:val="00200CDE"/>
    <w:rsid w:val="002104A9"/>
    <w:rsid w:val="0021630B"/>
    <w:rsid w:val="002273A0"/>
    <w:rsid w:val="00255ECD"/>
    <w:rsid w:val="0028669E"/>
    <w:rsid w:val="002A12A1"/>
    <w:rsid w:val="002B1190"/>
    <w:rsid w:val="002C5A8B"/>
    <w:rsid w:val="002C72AD"/>
    <w:rsid w:val="002E32C2"/>
    <w:rsid w:val="002E42EA"/>
    <w:rsid w:val="002E767B"/>
    <w:rsid w:val="002F0BCA"/>
    <w:rsid w:val="00312F05"/>
    <w:rsid w:val="00342C8F"/>
    <w:rsid w:val="00344BE8"/>
    <w:rsid w:val="00377F21"/>
    <w:rsid w:val="003B7F74"/>
    <w:rsid w:val="003C0E52"/>
    <w:rsid w:val="003D5342"/>
    <w:rsid w:val="003E2DF8"/>
    <w:rsid w:val="0042020D"/>
    <w:rsid w:val="00430229"/>
    <w:rsid w:val="00434FE7"/>
    <w:rsid w:val="00460F3D"/>
    <w:rsid w:val="004823F9"/>
    <w:rsid w:val="00490596"/>
    <w:rsid w:val="004942A7"/>
    <w:rsid w:val="004A3295"/>
    <w:rsid w:val="004D2122"/>
    <w:rsid w:val="004D577D"/>
    <w:rsid w:val="004D78CF"/>
    <w:rsid w:val="004E198E"/>
    <w:rsid w:val="00511915"/>
    <w:rsid w:val="005615A6"/>
    <w:rsid w:val="00573EB5"/>
    <w:rsid w:val="00577249"/>
    <w:rsid w:val="005B02F3"/>
    <w:rsid w:val="005D6C54"/>
    <w:rsid w:val="00600E99"/>
    <w:rsid w:val="006348ED"/>
    <w:rsid w:val="00646FE1"/>
    <w:rsid w:val="00677DFB"/>
    <w:rsid w:val="00692438"/>
    <w:rsid w:val="006B3928"/>
    <w:rsid w:val="006C65A5"/>
    <w:rsid w:val="007014B8"/>
    <w:rsid w:val="00751460"/>
    <w:rsid w:val="007658BF"/>
    <w:rsid w:val="00776B8C"/>
    <w:rsid w:val="00797388"/>
    <w:rsid w:val="007C5C58"/>
    <w:rsid w:val="007D5E72"/>
    <w:rsid w:val="007F279C"/>
    <w:rsid w:val="00843F21"/>
    <w:rsid w:val="008500E3"/>
    <w:rsid w:val="008868D9"/>
    <w:rsid w:val="0089133B"/>
    <w:rsid w:val="0089231E"/>
    <w:rsid w:val="008D5343"/>
    <w:rsid w:val="008D61FB"/>
    <w:rsid w:val="008F22AC"/>
    <w:rsid w:val="009074C8"/>
    <w:rsid w:val="0092206F"/>
    <w:rsid w:val="009603CC"/>
    <w:rsid w:val="009625F8"/>
    <w:rsid w:val="009C523B"/>
    <w:rsid w:val="009E0E5B"/>
    <w:rsid w:val="00A05B35"/>
    <w:rsid w:val="00A35293"/>
    <w:rsid w:val="00A5743D"/>
    <w:rsid w:val="00A9470C"/>
    <w:rsid w:val="00AD4E8A"/>
    <w:rsid w:val="00AE241D"/>
    <w:rsid w:val="00AE4F18"/>
    <w:rsid w:val="00B267CE"/>
    <w:rsid w:val="00B40BE7"/>
    <w:rsid w:val="00B77F86"/>
    <w:rsid w:val="00B80793"/>
    <w:rsid w:val="00B845DA"/>
    <w:rsid w:val="00B85291"/>
    <w:rsid w:val="00B933F2"/>
    <w:rsid w:val="00BA3B28"/>
    <w:rsid w:val="00BE64CF"/>
    <w:rsid w:val="00BF176E"/>
    <w:rsid w:val="00C00E50"/>
    <w:rsid w:val="00C305B0"/>
    <w:rsid w:val="00C5275E"/>
    <w:rsid w:val="00C810C1"/>
    <w:rsid w:val="00CB4F4A"/>
    <w:rsid w:val="00CB7188"/>
    <w:rsid w:val="00CC2382"/>
    <w:rsid w:val="00CF5B01"/>
    <w:rsid w:val="00D14394"/>
    <w:rsid w:val="00D47234"/>
    <w:rsid w:val="00D475F8"/>
    <w:rsid w:val="00D57D5D"/>
    <w:rsid w:val="00D66FFC"/>
    <w:rsid w:val="00D91C37"/>
    <w:rsid w:val="00D93AF1"/>
    <w:rsid w:val="00D93BC0"/>
    <w:rsid w:val="00DD1E6A"/>
    <w:rsid w:val="00DD2625"/>
    <w:rsid w:val="00DE15B0"/>
    <w:rsid w:val="00E04127"/>
    <w:rsid w:val="00E06294"/>
    <w:rsid w:val="00E35722"/>
    <w:rsid w:val="00E632D6"/>
    <w:rsid w:val="00E6507C"/>
    <w:rsid w:val="00E901B0"/>
    <w:rsid w:val="00E95DA5"/>
    <w:rsid w:val="00EA2828"/>
    <w:rsid w:val="00EB7C56"/>
    <w:rsid w:val="00ED680A"/>
    <w:rsid w:val="00EE7AD8"/>
    <w:rsid w:val="00EF23A5"/>
    <w:rsid w:val="00F42C19"/>
    <w:rsid w:val="00F6258F"/>
    <w:rsid w:val="00FB375A"/>
    <w:rsid w:val="00FC3499"/>
    <w:rsid w:val="00FC381A"/>
    <w:rsid w:val="00FE744D"/>
    <w:rsid w:val="00FF49DF"/>
    <w:rsid w:val="01640F73"/>
    <w:rsid w:val="01F17940"/>
    <w:rsid w:val="02C351FD"/>
    <w:rsid w:val="032F04D8"/>
    <w:rsid w:val="03726617"/>
    <w:rsid w:val="04111EF1"/>
    <w:rsid w:val="04553127"/>
    <w:rsid w:val="04E452F2"/>
    <w:rsid w:val="051C2CDE"/>
    <w:rsid w:val="05681A07"/>
    <w:rsid w:val="05C25634"/>
    <w:rsid w:val="05C72C4A"/>
    <w:rsid w:val="06732DD2"/>
    <w:rsid w:val="068169F6"/>
    <w:rsid w:val="07BB3F28"/>
    <w:rsid w:val="08B83E5D"/>
    <w:rsid w:val="08D4742C"/>
    <w:rsid w:val="08D66E99"/>
    <w:rsid w:val="093B09F2"/>
    <w:rsid w:val="097F68C8"/>
    <w:rsid w:val="0A160257"/>
    <w:rsid w:val="0A723771"/>
    <w:rsid w:val="0B5A4560"/>
    <w:rsid w:val="0EB2020F"/>
    <w:rsid w:val="101D1ACA"/>
    <w:rsid w:val="1202325C"/>
    <w:rsid w:val="13626BA2"/>
    <w:rsid w:val="13E14A34"/>
    <w:rsid w:val="17285513"/>
    <w:rsid w:val="18421E61"/>
    <w:rsid w:val="18694898"/>
    <w:rsid w:val="18DF661D"/>
    <w:rsid w:val="1BF956CF"/>
    <w:rsid w:val="1C534D5A"/>
    <w:rsid w:val="1D6B43AB"/>
    <w:rsid w:val="1D7C3EC2"/>
    <w:rsid w:val="20252A4D"/>
    <w:rsid w:val="22205764"/>
    <w:rsid w:val="22CB392A"/>
    <w:rsid w:val="244B0A92"/>
    <w:rsid w:val="254A3C7C"/>
    <w:rsid w:val="255B481E"/>
    <w:rsid w:val="26485382"/>
    <w:rsid w:val="27704966"/>
    <w:rsid w:val="27AA7BBF"/>
    <w:rsid w:val="27AC700D"/>
    <w:rsid w:val="29CB33C1"/>
    <w:rsid w:val="2A4631B5"/>
    <w:rsid w:val="2A5C1303"/>
    <w:rsid w:val="2AAA2228"/>
    <w:rsid w:val="2D5B6722"/>
    <w:rsid w:val="2EB82F9F"/>
    <w:rsid w:val="2FF124EE"/>
    <w:rsid w:val="2FFB3B85"/>
    <w:rsid w:val="31091AB9"/>
    <w:rsid w:val="31F53155"/>
    <w:rsid w:val="32050478"/>
    <w:rsid w:val="33B65AE9"/>
    <w:rsid w:val="33DD46A3"/>
    <w:rsid w:val="36D002AA"/>
    <w:rsid w:val="373C4996"/>
    <w:rsid w:val="38AC0BC2"/>
    <w:rsid w:val="38D921FE"/>
    <w:rsid w:val="38EA0422"/>
    <w:rsid w:val="39445D84"/>
    <w:rsid w:val="3A39340F"/>
    <w:rsid w:val="3A6B10EF"/>
    <w:rsid w:val="3A6D3811"/>
    <w:rsid w:val="3E9F35FB"/>
    <w:rsid w:val="3EF400BE"/>
    <w:rsid w:val="3F827606"/>
    <w:rsid w:val="40531DF3"/>
    <w:rsid w:val="409E285C"/>
    <w:rsid w:val="40E1035D"/>
    <w:rsid w:val="41AC7CCF"/>
    <w:rsid w:val="4230334A"/>
    <w:rsid w:val="44DC4156"/>
    <w:rsid w:val="45050ABD"/>
    <w:rsid w:val="458B3B7C"/>
    <w:rsid w:val="46F801AE"/>
    <w:rsid w:val="474E6020"/>
    <w:rsid w:val="478A7058"/>
    <w:rsid w:val="48205C0E"/>
    <w:rsid w:val="48B018F7"/>
    <w:rsid w:val="491A694C"/>
    <w:rsid w:val="4C3C5474"/>
    <w:rsid w:val="4F495A4B"/>
    <w:rsid w:val="4FD80235"/>
    <w:rsid w:val="50055E16"/>
    <w:rsid w:val="50081462"/>
    <w:rsid w:val="508F56DF"/>
    <w:rsid w:val="51193FE0"/>
    <w:rsid w:val="541C33F2"/>
    <w:rsid w:val="55A97243"/>
    <w:rsid w:val="5718214F"/>
    <w:rsid w:val="58421289"/>
    <w:rsid w:val="5A1A070F"/>
    <w:rsid w:val="5AAB77FB"/>
    <w:rsid w:val="5B385B0D"/>
    <w:rsid w:val="5B585FE2"/>
    <w:rsid w:val="5BC70AA7"/>
    <w:rsid w:val="5C514191"/>
    <w:rsid w:val="5DB87858"/>
    <w:rsid w:val="5E2733FB"/>
    <w:rsid w:val="5F9D29EA"/>
    <w:rsid w:val="606C4643"/>
    <w:rsid w:val="61C86CA3"/>
    <w:rsid w:val="64980376"/>
    <w:rsid w:val="64AC1BD0"/>
    <w:rsid w:val="652901D6"/>
    <w:rsid w:val="663568D1"/>
    <w:rsid w:val="66C814F3"/>
    <w:rsid w:val="679B09B6"/>
    <w:rsid w:val="68A51AEC"/>
    <w:rsid w:val="693D1D24"/>
    <w:rsid w:val="699A1A85"/>
    <w:rsid w:val="69A27A8A"/>
    <w:rsid w:val="6B016D82"/>
    <w:rsid w:val="6D5B746C"/>
    <w:rsid w:val="6DBA1BC7"/>
    <w:rsid w:val="6EA405E6"/>
    <w:rsid w:val="70552D15"/>
    <w:rsid w:val="70787AE6"/>
    <w:rsid w:val="72EF7CAF"/>
    <w:rsid w:val="73BE7F06"/>
    <w:rsid w:val="73D70FC8"/>
    <w:rsid w:val="74703EA5"/>
    <w:rsid w:val="75410DEE"/>
    <w:rsid w:val="77564976"/>
    <w:rsid w:val="777905C8"/>
    <w:rsid w:val="7C915703"/>
    <w:rsid w:val="7D4F15EF"/>
    <w:rsid w:val="7DF67C2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6349F"/>
  <w15:docId w15:val="{45728BFC-C845-4D04-BD78-C469F96E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qFormat/>
    <w:pPr>
      <w:tabs>
        <w:tab w:val="center" w:pos="4153"/>
        <w:tab w:val="right" w:pos="8306"/>
      </w:tabs>
      <w:snapToGrid w:val="0"/>
      <w:jc w:val="left"/>
    </w:pPr>
    <w:rPr>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qFormat/>
    <w:pPr>
      <w:snapToGrid w:val="0"/>
      <w:jc w:val="left"/>
    </w:pPr>
    <w:rPr>
      <w:sz w:val="18"/>
    </w:rPr>
  </w:style>
  <w:style w:type="character" w:styleId="Hyperlink">
    <w:name w:val="Hyperlink"/>
    <w:basedOn w:val="DefaultParagraphFont"/>
    <w:uiPriority w:val="99"/>
    <w:semiHidden/>
    <w:qFormat/>
    <w:rPr>
      <w:color w:val="0563C1" w:themeColor="hyperlink"/>
      <w:u w:val="none"/>
    </w:rPr>
  </w:style>
  <w:style w:type="character" w:styleId="FootnoteReference">
    <w:name w:val="footnote reference"/>
    <w:basedOn w:val="DefaultParagraphFont"/>
    <w:qFormat/>
    <w:rPr>
      <w:vertAlign w:val="superscript"/>
    </w:rPr>
  </w:style>
  <w:style w:type="character" w:customStyle="1" w:styleId="HeaderChar">
    <w:name w:val="Header Char"/>
    <w:basedOn w:val="DefaultParagraphFont"/>
    <w:link w:val="Header"/>
    <w:qFormat/>
    <w:rPr>
      <w:rFonts w:asciiTheme="minorHAnsi" w:eastAsiaTheme="minorEastAsia" w:hAnsiTheme="minorHAnsi" w:cstheme="minorBidi"/>
      <w:kern w:val="2"/>
      <w:sz w:val="18"/>
      <w:szCs w:val="18"/>
    </w:rPr>
  </w:style>
  <w:style w:type="character" w:customStyle="1" w:styleId="FooterChar">
    <w:name w:val="Footer Char"/>
    <w:basedOn w:val="DefaultParagraphFont"/>
    <w:link w:val="Footer"/>
    <w:qFormat/>
    <w:rPr>
      <w:rFonts w:asciiTheme="minorHAnsi" w:eastAsiaTheme="minorEastAsia" w:hAnsiTheme="minorHAnsi" w:cstheme="minorBidi"/>
      <w:kern w:val="2"/>
      <w:sz w:val="18"/>
      <w:szCs w:val="18"/>
    </w:rPr>
  </w:style>
  <w:style w:type="paragraph" w:styleId="ListParagraph">
    <w:name w:val="List Paragraph"/>
    <w:basedOn w:val="Normal"/>
    <w:uiPriority w:val="99"/>
    <w:unhideWhenUsed/>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2705</Words>
  <Characters>15012</Characters>
  <Application>Microsoft Office Word</Application>
  <DocSecurity>0</DocSecurity>
  <Lines>125</Lines>
  <Paragraphs>35</Paragraphs>
  <ScaleCrop>false</ScaleCrop>
  <Company>OHCHR</Company>
  <LinksUpToDate>false</LinksUpToDate>
  <CharactersWithSpaces>17682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dairu</dc:creator>
  <cp:lastModifiedBy>Celine Reynaud</cp:lastModifiedBy>
  <cp:revision>2</cp:revision>
  <dcterms:created xsi:type="dcterms:W3CDTF">2023-01-13T09:59:00Z</dcterms:created>
  <dcterms:modified xsi:type="dcterms:W3CDTF">2023-01-13T09:59:00Z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BB7D0CE66F1347B09D2EE43742C19ED9</vt:lpwstr>
  </property>
  <property fmtid="{D5CDD505-2E9C-101B-9397-08002B2CF9AE}" pid="4" name="GrammarlyDocumentId">
    <vt:lpwstr>eb4bda45f24a87f525085720c8aaceb21608c81227f2a5f330207ba91c7eebd1</vt:lpwstr>
  </property>
</Properties>
</file>