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94720" w14:textId="79638D4E" w:rsidR="00323D7F" w:rsidRPr="00EB1918" w:rsidRDefault="00323D7F" w:rsidP="00323D7F">
      <w:pPr>
        <w:spacing w:before="240" w:after="240"/>
        <w:jc w:val="center"/>
        <w:rPr>
          <w:rFonts w:ascii="Garamond" w:eastAsia="Garamond" w:hAnsi="Garamond" w:cs="Garamond"/>
          <w:b/>
          <w:bCs/>
        </w:rPr>
      </w:pPr>
      <w:r w:rsidRPr="00EB1918">
        <w:rPr>
          <w:rFonts w:ascii="Garamond" w:eastAsia="Garamond" w:hAnsi="Garamond" w:cs="Garamond"/>
          <w:b/>
          <w:bCs/>
        </w:rPr>
        <w:t xml:space="preserve">SUBMISSION TO THE COMMITTEE ON </w:t>
      </w:r>
      <w:r>
        <w:rPr>
          <w:rFonts w:ascii="Garamond" w:eastAsia="Garamond" w:hAnsi="Garamond" w:cs="Garamond"/>
          <w:b/>
          <w:bCs/>
        </w:rPr>
        <w:t>ECONOMIC, SOCIAL AND CULTURAL RIGHTS</w:t>
      </w:r>
      <w:r w:rsidRPr="00EB1918">
        <w:rPr>
          <w:rFonts w:ascii="Garamond" w:eastAsia="Garamond" w:hAnsi="Garamond" w:cs="Garamond"/>
          <w:b/>
          <w:bCs/>
        </w:rPr>
        <w:t xml:space="preserve"> (</w:t>
      </w:r>
      <w:r>
        <w:rPr>
          <w:rFonts w:ascii="Garamond" w:eastAsia="Garamond" w:hAnsi="Garamond" w:cs="Garamond"/>
          <w:b/>
          <w:bCs/>
        </w:rPr>
        <w:t>CESCR</w:t>
      </w:r>
      <w:r w:rsidRPr="00EB1918">
        <w:rPr>
          <w:rFonts w:ascii="Garamond" w:eastAsia="Garamond" w:hAnsi="Garamond" w:cs="Garamond"/>
          <w:b/>
          <w:bCs/>
        </w:rPr>
        <w:t>)</w:t>
      </w:r>
    </w:p>
    <w:p w14:paraId="4A0A4BD3" w14:textId="77777777" w:rsidR="00323D7F" w:rsidRPr="00EB1918" w:rsidRDefault="00323D7F" w:rsidP="00323D7F">
      <w:pPr>
        <w:spacing w:before="240" w:after="240"/>
        <w:jc w:val="center"/>
        <w:rPr>
          <w:rFonts w:ascii="Garamond" w:eastAsia="Garamond" w:hAnsi="Garamond" w:cs="Garamond"/>
          <w:b/>
          <w:bCs/>
        </w:rPr>
      </w:pPr>
    </w:p>
    <w:p w14:paraId="080BB625" w14:textId="2650C5BD" w:rsidR="00323D7F" w:rsidRDefault="00323D7F" w:rsidP="00323D7F">
      <w:pPr>
        <w:spacing w:before="240" w:after="240"/>
        <w:jc w:val="center"/>
        <w:rPr>
          <w:rFonts w:ascii="Garamond" w:eastAsia="Garamond" w:hAnsi="Garamond" w:cs="Garamond"/>
          <w:b/>
          <w:bCs/>
        </w:rPr>
      </w:pPr>
      <w:r>
        <w:rPr>
          <w:rFonts w:ascii="Garamond" w:eastAsia="Garamond" w:hAnsi="Garamond" w:cs="Garamond"/>
          <w:b/>
          <w:bCs/>
        </w:rPr>
        <w:t>ADOPTION OF THE LIST OF ISSUES FOR</w:t>
      </w:r>
      <w:r>
        <w:rPr>
          <w:rFonts w:ascii="Garamond" w:eastAsia="Garamond" w:hAnsi="Garamond" w:cs="Garamond"/>
          <w:b/>
          <w:bCs/>
        </w:rPr>
        <w:t xml:space="preserve"> </w:t>
      </w:r>
      <w:r>
        <w:rPr>
          <w:rFonts w:ascii="Garamond" w:eastAsia="Garamond" w:hAnsi="Garamond" w:cs="Garamond"/>
          <w:b/>
          <w:bCs/>
        </w:rPr>
        <w:t xml:space="preserve">THE </w:t>
      </w:r>
    </w:p>
    <w:p w14:paraId="0538F916" w14:textId="77777777" w:rsidR="00B13D66" w:rsidRPr="00EB1918" w:rsidRDefault="00B13D66" w:rsidP="00323D7F">
      <w:pPr>
        <w:spacing w:before="240" w:after="240"/>
        <w:jc w:val="center"/>
        <w:rPr>
          <w:rFonts w:ascii="Garamond" w:eastAsia="Garamond" w:hAnsi="Garamond" w:cs="Garamond"/>
          <w:b/>
          <w:bCs/>
        </w:rPr>
      </w:pPr>
    </w:p>
    <w:p w14:paraId="4A71A1A4" w14:textId="77777777" w:rsidR="00B13D66" w:rsidRPr="00B13D66" w:rsidRDefault="00323D7F" w:rsidP="00B13D66">
      <w:pPr>
        <w:spacing w:before="240" w:after="0"/>
        <w:jc w:val="center"/>
        <w:rPr>
          <w:rFonts w:ascii="Garamond" w:eastAsia="Garamond" w:hAnsi="Garamond" w:cs="Garamond"/>
          <w:b/>
          <w:bCs/>
          <w:sz w:val="40"/>
          <w:szCs w:val="40"/>
        </w:rPr>
      </w:pPr>
      <w:r w:rsidRPr="00B13D66">
        <w:rPr>
          <w:rFonts w:ascii="Garamond" w:eastAsia="Garamond" w:hAnsi="Garamond" w:cs="Garamond"/>
          <w:b/>
          <w:bCs/>
          <w:sz w:val="40"/>
          <w:szCs w:val="40"/>
        </w:rPr>
        <w:t xml:space="preserve">ARAB REPUBLIC OF </w:t>
      </w:r>
    </w:p>
    <w:p w14:paraId="445770C6" w14:textId="2FEA4BFB" w:rsidR="00323D7F" w:rsidRPr="00B13D66" w:rsidRDefault="00323D7F" w:rsidP="00B13D66">
      <w:pPr>
        <w:spacing w:after="240"/>
        <w:jc w:val="center"/>
        <w:rPr>
          <w:rFonts w:ascii="Garamond" w:eastAsia="Garamond" w:hAnsi="Garamond" w:cs="Garamond"/>
          <w:b/>
          <w:bCs/>
          <w:sz w:val="70"/>
          <w:szCs w:val="70"/>
        </w:rPr>
      </w:pPr>
      <w:r w:rsidRPr="00B13D66">
        <w:rPr>
          <w:rFonts w:ascii="Garamond" w:eastAsia="Garamond" w:hAnsi="Garamond" w:cs="Garamond"/>
          <w:b/>
          <w:bCs/>
          <w:sz w:val="70"/>
          <w:szCs w:val="70"/>
        </w:rPr>
        <w:t>EGYPT</w:t>
      </w:r>
    </w:p>
    <w:p w14:paraId="44CC87F4" w14:textId="77777777" w:rsidR="00323D7F" w:rsidRDefault="00323D7F" w:rsidP="00323D7F">
      <w:pPr>
        <w:spacing w:before="240" w:after="240"/>
        <w:jc w:val="center"/>
        <w:rPr>
          <w:rFonts w:ascii="Garamond" w:eastAsia="Garamond" w:hAnsi="Garamond" w:cs="Garamond"/>
          <w:b/>
          <w:bCs/>
          <w:i/>
          <w:iCs/>
          <w:sz w:val="26"/>
          <w:szCs w:val="26"/>
        </w:rPr>
      </w:pPr>
    </w:p>
    <w:p w14:paraId="61823FA7" w14:textId="69EF891C" w:rsidR="00323D7F" w:rsidRPr="00B13D66" w:rsidRDefault="00323D7F" w:rsidP="00B13D66">
      <w:pPr>
        <w:spacing w:before="240" w:after="240"/>
        <w:jc w:val="center"/>
        <w:rPr>
          <w:rFonts w:ascii="Garamond" w:eastAsia="Garamond" w:hAnsi="Garamond" w:cs="Garamond"/>
          <w:b/>
          <w:bCs/>
          <w:i/>
          <w:iCs/>
          <w:sz w:val="26"/>
          <w:szCs w:val="26"/>
        </w:rPr>
      </w:pPr>
      <w:r>
        <w:rPr>
          <w:rFonts w:ascii="Garamond" w:eastAsia="Garamond" w:hAnsi="Garamond" w:cs="Garamond"/>
          <w:b/>
          <w:bCs/>
          <w:i/>
          <w:iCs/>
          <w:sz w:val="26"/>
          <w:szCs w:val="26"/>
        </w:rPr>
        <w:t xml:space="preserve">Situation of </w:t>
      </w:r>
      <w:r w:rsidRPr="00323D7F">
        <w:rPr>
          <w:rFonts w:ascii="Garamond" w:eastAsia="Garamond" w:hAnsi="Garamond" w:cs="Garamond"/>
          <w:b/>
          <w:bCs/>
          <w:i/>
          <w:iCs/>
          <w:sz w:val="26"/>
          <w:szCs w:val="26"/>
        </w:rPr>
        <w:t>persons belonging to religious or belief, ethnic and linguistic minorities, as well as by persons discriminated or subjected to violence on the ground of their actual or perceived sexual orientation, gender identity and gender expression in Egypt</w:t>
      </w:r>
    </w:p>
    <w:p w14:paraId="06A4C028" w14:textId="77777777" w:rsidR="00B13D66" w:rsidRDefault="00B13D66" w:rsidP="00323D7F">
      <w:pPr>
        <w:spacing w:before="240" w:after="240"/>
        <w:jc w:val="center"/>
        <w:rPr>
          <w:rFonts w:ascii="Garamond" w:eastAsia="Garamond" w:hAnsi="Garamond" w:cs="Garamond"/>
          <w:b/>
          <w:bCs/>
          <w:sz w:val="26"/>
          <w:szCs w:val="26"/>
        </w:rPr>
      </w:pPr>
    </w:p>
    <w:p w14:paraId="0F0ED0C6" w14:textId="76A9D51F" w:rsidR="00323D7F" w:rsidRPr="00810DA9" w:rsidRDefault="00323D7F" w:rsidP="00B13D66">
      <w:pPr>
        <w:spacing w:before="240" w:after="240"/>
        <w:jc w:val="center"/>
        <w:rPr>
          <w:rFonts w:ascii="Garamond" w:eastAsia="Garamond" w:hAnsi="Garamond" w:cs="Angsana New"/>
          <w:b/>
          <w:bCs/>
          <w:sz w:val="26"/>
          <w:szCs w:val="33"/>
          <w:lang w:val="pt-BR" w:bidi="th-TH"/>
        </w:rPr>
      </w:pPr>
      <w:r w:rsidRPr="00810DA9">
        <w:rPr>
          <w:rFonts w:ascii="Garamond" w:eastAsia="Garamond" w:hAnsi="Garamond" w:cs="Garamond"/>
          <w:b/>
          <w:bCs/>
          <w:sz w:val="26"/>
          <w:szCs w:val="26"/>
          <w:lang w:val="pt-BR"/>
        </w:rPr>
        <w:t xml:space="preserve">MINORITY RIGHTS GROUP </w:t>
      </w:r>
    </w:p>
    <w:p w14:paraId="466BF420" w14:textId="77777777" w:rsidR="00323D7F" w:rsidRPr="00526B2F" w:rsidRDefault="00323D7F" w:rsidP="00323D7F">
      <w:pPr>
        <w:rPr>
          <w:rFonts w:ascii="Garamond" w:hAnsi="Garamond"/>
          <w:b/>
          <w:sz w:val="8"/>
          <w:szCs w:val="8"/>
          <w:lang w:val="pt-BR"/>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tblGrid>
      <w:tr w:rsidR="00323D7F" w14:paraId="0E5A9ADB" w14:textId="77777777" w:rsidTr="00323D7F">
        <w:trPr>
          <w:jc w:val="center"/>
        </w:trPr>
        <w:tc>
          <w:tcPr>
            <w:tcW w:w="4509" w:type="dxa"/>
          </w:tcPr>
          <w:p w14:paraId="3681524E" w14:textId="77777777" w:rsidR="00323D7F" w:rsidRDefault="00323D7F" w:rsidP="00A45C7C">
            <w:pPr>
              <w:jc w:val="center"/>
              <w:rPr>
                <w:rFonts w:ascii="Garamond" w:hAnsi="Garamond"/>
                <w:b/>
                <w:sz w:val="24"/>
                <w:szCs w:val="24"/>
                <w:lang w:val="pt-BR"/>
              </w:rPr>
            </w:pPr>
            <w:r>
              <w:rPr>
                <w:rFonts w:ascii="Garamond" w:hAnsi="Garamond"/>
                <w:b/>
                <w:noProof/>
                <w:sz w:val="24"/>
                <w:szCs w:val="24"/>
                <w:lang w:val="pt-BR"/>
                <w14:ligatures w14:val="standardContextual"/>
              </w:rPr>
              <w:drawing>
                <wp:inline distT="0" distB="0" distL="0" distR="0" wp14:anchorId="3BF6D276" wp14:editId="06F4CA05">
                  <wp:extent cx="1150705" cy="1150705"/>
                  <wp:effectExtent l="0" t="0" r="5080" b="5080"/>
                  <wp:docPr id="1436259540" name="Image 1" descr="Une image contenant texte, Police, vert,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59540" name="Image 1" descr="Une image contenant texte, Police, vert, Graphique&#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59398" cy="1159398"/>
                          </a:xfrm>
                          <a:prstGeom prst="rect">
                            <a:avLst/>
                          </a:prstGeom>
                        </pic:spPr>
                      </pic:pic>
                    </a:graphicData>
                  </a:graphic>
                </wp:inline>
              </w:drawing>
            </w:r>
          </w:p>
          <w:p w14:paraId="1A3F5CA5" w14:textId="77777777" w:rsidR="00323D7F" w:rsidRDefault="00323D7F" w:rsidP="00A45C7C">
            <w:pPr>
              <w:jc w:val="center"/>
              <w:rPr>
                <w:rFonts w:ascii="Garamond" w:hAnsi="Garamond"/>
                <w:b/>
                <w:sz w:val="24"/>
                <w:szCs w:val="24"/>
                <w:lang w:val="pt-BR"/>
              </w:rPr>
            </w:pPr>
          </w:p>
        </w:tc>
      </w:tr>
      <w:tr w:rsidR="00323D7F" w14:paraId="2B0A3C4B" w14:textId="77777777" w:rsidTr="00323D7F">
        <w:trPr>
          <w:jc w:val="center"/>
        </w:trPr>
        <w:tc>
          <w:tcPr>
            <w:tcW w:w="4509" w:type="dxa"/>
          </w:tcPr>
          <w:p w14:paraId="4A053322" w14:textId="45BA106F" w:rsidR="00323D7F" w:rsidRPr="00E752D0" w:rsidRDefault="00323D7F" w:rsidP="00323D7F">
            <w:pPr>
              <w:jc w:val="center"/>
              <w:rPr>
                <w:rFonts w:ascii="Garamond" w:eastAsia="Garamond" w:hAnsi="Garamond" w:cs="Garamond"/>
                <w:b/>
                <w:sz w:val="18"/>
                <w:szCs w:val="18"/>
              </w:rPr>
            </w:pPr>
            <w:r>
              <w:rPr>
                <w:rFonts w:ascii="Garamond" w:eastAsia="Garamond" w:hAnsi="Garamond" w:cs="Garamond"/>
                <w:b/>
                <w:sz w:val="18"/>
                <w:szCs w:val="18"/>
              </w:rPr>
              <w:t>Minority Rights Group</w:t>
            </w:r>
          </w:p>
          <w:p w14:paraId="44877718" w14:textId="77777777" w:rsidR="00323D7F" w:rsidRDefault="00323D7F" w:rsidP="00A45C7C">
            <w:pPr>
              <w:jc w:val="center"/>
              <w:rPr>
                <w:rFonts w:ascii="Garamond" w:eastAsia="Garamond" w:hAnsi="Garamond" w:cs="Garamond"/>
                <w:b/>
                <w:bCs/>
                <w:sz w:val="18"/>
                <w:szCs w:val="18"/>
              </w:rPr>
            </w:pPr>
          </w:p>
          <w:p w14:paraId="1BF0A219" w14:textId="77777777" w:rsidR="00323D7F" w:rsidRPr="00E752D0" w:rsidRDefault="00323D7F" w:rsidP="00A45C7C">
            <w:pPr>
              <w:jc w:val="center"/>
              <w:rPr>
                <w:rFonts w:ascii="Garamond" w:eastAsia="Garamond" w:hAnsi="Garamond" w:cs="Garamond"/>
                <w:b/>
                <w:sz w:val="18"/>
                <w:szCs w:val="18"/>
              </w:rPr>
            </w:pPr>
            <w:r w:rsidRPr="00E752D0">
              <w:rPr>
                <w:rFonts w:ascii="Garamond" w:eastAsia="Garamond" w:hAnsi="Garamond" w:cs="Garamond"/>
                <w:b/>
                <w:sz w:val="18"/>
                <w:szCs w:val="18"/>
              </w:rPr>
              <w:t>Web</w:t>
            </w:r>
            <w:r w:rsidRPr="00E752D0">
              <w:rPr>
                <w:rFonts w:ascii="Garamond" w:eastAsia="Times New Roman" w:hAnsi="Garamond" w:cs="Times New Roman"/>
                <w:b/>
                <w:sz w:val="18"/>
                <w:szCs w:val="18"/>
              </w:rPr>
              <w:t>:</w:t>
            </w:r>
            <w:r>
              <w:rPr>
                <w:rFonts w:ascii="Garamond" w:eastAsia="Times New Roman" w:hAnsi="Garamond" w:cs="Times New Roman"/>
                <w:b/>
                <w:sz w:val="18"/>
                <w:szCs w:val="18"/>
              </w:rPr>
              <w:t xml:space="preserve"> </w:t>
            </w:r>
            <w:hyperlink r:id="rId12" w:history="1">
              <w:r w:rsidRPr="00C3477A">
                <w:rPr>
                  <w:rStyle w:val="Lienhypertexte"/>
                  <w:rFonts w:ascii="Garamond" w:eastAsia="Times New Roman" w:hAnsi="Garamond" w:cs="Times New Roman"/>
                  <w:b/>
                  <w:sz w:val="18"/>
                  <w:szCs w:val="18"/>
                </w:rPr>
                <w:t>https://minorityrights.org/</w:t>
              </w:r>
            </w:hyperlink>
            <w:r>
              <w:rPr>
                <w:rFonts w:ascii="Garamond" w:eastAsia="Times New Roman" w:hAnsi="Garamond" w:cs="Times New Roman"/>
                <w:b/>
                <w:sz w:val="18"/>
                <w:szCs w:val="18"/>
              </w:rPr>
              <w:t xml:space="preserve"> </w:t>
            </w:r>
          </w:p>
          <w:p w14:paraId="79874C68" w14:textId="77777777" w:rsidR="00323D7F" w:rsidRPr="0081626C" w:rsidRDefault="00323D7F" w:rsidP="00A45C7C">
            <w:pPr>
              <w:jc w:val="center"/>
              <w:rPr>
                <w:rFonts w:ascii="Garamond" w:eastAsia="Garamond" w:hAnsi="Garamond" w:cs="Garamond"/>
                <w:b/>
                <w:sz w:val="18"/>
                <w:szCs w:val="18"/>
                <w:lang w:val="en-US"/>
              </w:rPr>
            </w:pPr>
          </w:p>
          <w:p w14:paraId="568B1BE1" w14:textId="77777777" w:rsidR="00323D7F" w:rsidRDefault="00323D7F" w:rsidP="00A45C7C">
            <w:pPr>
              <w:jc w:val="center"/>
              <w:rPr>
                <w:rFonts w:ascii="Garamond" w:eastAsia="Garamond" w:hAnsi="Garamond" w:cs="Garamond"/>
                <w:b/>
                <w:sz w:val="18"/>
                <w:szCs w:val="18"/>
                <w:lang w:val="en-US"/>
              </w:rPr>
            </w:pPr>
            <w:r w:rsidRPr="0081626C">
              <w:rPr>
                <w:rFonts w:ascii="Garamond" w:eastAsia="Garamond" w:hAnsi="Garamond" w:cs="Garamond"/>
                <w:b/>
                <w:sz w:val="18"/>
                <w:szCs w:val="18"/>
                <w:lang w:val="en-US"/>
              </w:rPr>
              <w:t>Contact</w:t>
            </w:r>
            <w:r w:rsidRPr="0081626C">
              <w:rPr>
                <w:rFonts w:ascii="Garamond" w:eastAsia="Times New Roman" w:hAnsi="Garamond" w:cs="Times New Roman"/>
                <w:b/>
                <w:sz w:val="18"/>
                <w:szCs w:val="18"/>
                <w:lang w:val="en-US"/>
              </w:rPr>
              <w:t>:</w:t>
            </w:r>
            <w:r w:rsidRPr="0081626C">
              <w:rPr>
                <w:rFonts w:ascii="Garamond" w:eastAsia="Garamond" w:hAnsi="Garamond" w:cs="Garamond"/>
                <w:b/>
                <w:sz w:val="18"/>
                <w:szCs w:val="18"/>
                <w:lang w:val="en-US"/>
              </w:rPr>
              <w:t xml:space="preserve"> </w:t>
            </w:r>
            <w:r>
              <w:rPr>
                <w:rFonts w:ascii="Garamond" w:eastAsia="Garamond" w:hAnsi="Garamond" w:cs="Garamond"/>
                <w:b/>
                <w:sz w:val="18"/>
                <w:szCs w:val="18"/>
                <w:lang w:val="en-US"/>
              </w:rPr>
              <w:t>Glenn Payot</w:t>
            </w:r>
            <w:r w:rsidRPr="0081626C">
              <w:rPr>
                <w:rFonts w:ascii="Garamond" w:eastAsia="Garamond" w:hAnsi="Garamond" w:cs="Garamond"/>
                <w:b/>
                <w:sz w:val="18"/>
                <w:szCs w:val="18"/>
                <w:lang w:val="en-US"/>
              </w:rPr>
              <w:t>,</w:t>
            </w:r>
          </w:p>
          <w:p w14:paraId="31B9685F" w14:textId="77777777" w:rsidR="00323D7F" w:rsidRPr="00A72AB1" w:rsidRDefault="00323D7F" w:rsidP="00A45C7C">
            <w:pPr>
              <w:jc w:val="center"/>
              <w:rPr>
                <w:rFonts w:ascii="Garamond" w:eastAsia="Garamond" w:hAnsi="Garamond" w:cs="Garamond"/>
                <w:b/>
                <w:sz w:val="18"/>
                <w:szCs w:val="18"/>
                <w:lang w:val="en-US"/>
              </w:rPr>
            </w:pPr>
            <w:hyperlink r:id="rId13" w:history="1">
              <w:r w:rsidRPr="00C3477A">
                <w:rPr>
                  <w:rStyle w:val="Lienhypertexte"/>
                  <w:rFonts w:ascii="Garamond" w:eastAsia="Garamond" w:hAnsi="Garamond" w:cs="Garamond"/>
                  <w:b/>
                  <w:sz w:val="18"/>
                  <w:szCs w:val="18"/>
                </w:rPr>
                <w:t>glenn.payot@minorityrights.org</w:t>
              </w:r>
            </w:hyperlink>
            <w:r>
              <w:rPr>
                <w:rFonts w:ascii="Garamond" w:eastAsia="Garamond" w:hAnsi="Garamond" w:cs="Garamond"/>
                <w:b/>
                <w:sz w:val="18"/>
                <w:szCs w:val="18"/>
                <w:lang w:val="en-US"/>
              </w:rPr>
              <w:t xml:space="preserve"> </w:t>
            </w:r>
          </w:p>
        </w:tc>
      </w:tr>
    </w:tbl>
    <w:p w14:paraId="42B7DDC4" w14:textId="77777777" w:rsidR="00323D7F" w:rsidRDefault="00323D7F" w:rsidP="00323D7F">
      <w:pPr>
        <w:spacing w:before="240" w:after="240"/>
        <w:jc w:val="center"/>
        <w:rPr>
          <w:rFonts w:ascii="Garamond" w:eastAsia="Garamond" w:hAnsi="Garamond" w:cs="Garamond"/>
          <w:b/>
          <w:bCs/>
          <w:sz w:val="26"/>
          <w:szCs w:val="26"/>
        </w:rPr>
      </w:pPr>
    </w:p>
    <w:p w14:paraId="22C37DD9" w14:textId="4A334521" w:rsidR="00323D7F" w:rsidRPr="00D632F1" w:rsidRDefault="00323D7F" w:rsidP="00323D7F">
      <w:pPr>
        <w:spacing w:before="240" w:after="240"/>
        <w:jc w:val="center"/>
        <w:rPr>
          <w:rFonts w:ascii="Garamond" w:eastAsia="Garamond" w:hAnsi="Garamond" w:cs="Garamond"/>
          <w:b/>
          <w:bCs/>
          <w:sz w:val="26"/>
          <w:szCs w:val="26"/>
        </w:rPr>
      </w:pPr>
      <w:r>
        <w:rPr>
          <w:rFonts w:ascii="Garamond" w:eastAsia="Garamond" w:hAnsi="Garamond" w:cs="Garamond"/>
          <w:b/>
          <w:bCs/>
          <w:sz w:val="26"/>
          <w:szCs w:val="26"/>
        </w:rPr>
        <w:t>CESCR</w:t>
      </w:r>
      <w:r w:rsidRPr="00D632F1">
        <w:rPr>
          <w:rFonts w:ascii="Garamond" w:eastAsia="Garamond" w:hAnsi="Garamond" w:cs="Garamond"/>
          <w:b/>
          <w:bCs/>
          <w:sz w:val="26"/>
          <w:szCs w:val="26"/>
        </w:rPr>
        <w:t xml:space="preserve"> – Committee on </w:t>
      </w:r>
      <w:r>
        <w:rPr>
          <w:rFonts w:ascii="Garamond" w:eastAsia="Garamond" w:hAnsi="Garamond" w:cs="Garamond"/>
          <w:b/>
          <w:bCs/>
          <w:sz w:val="26"/>
          <w:szCs w:val="26"/>
        </w:rPr>
        <w:t>Economic, Social and Cultural Rights</w:t>
      </w:r>
      <w:r w:rsidRPr="00D632F1">
        <w:rPr>
          <w:rFonts w:ascii="Garamond" w:hAnsi="Garamond"/>
          <w:sz w:val="26"/>
          <w:szCs w:val="26"/>
        </w:rPr>
        <w:br/>
      </w:r>
      <w:r>
        <w:rPr>
          <w:rFonts w:ascii="Garamond" w:eastAsia="Garamond" w:hAnsi="Garamond" w:cs="Garamond"/>
          <w:b/>
          <w:bCs/>
          <w:sz w:val="26"/>
          <w:szCs w:val="26"/>
        </w:rPr>
        <w:t>79</w:t>
      </w:r>
      <w:r w:rsidRPr="00A72AB1">
        <w:rPr>
          <w:rFonts w:ascii="Garamond" w:eastAsia="Garamond" w:hAnsi="Garamond" w:cs="Garamond"/>
          <w:b/>
          <w:bCs/>
          <w:sz w:val="26"/>
          <w:szCs w:val="26"/>
          <w:vertAlign w:val="superscript"/>
        </w:rPr>
        <w:t>th</w:t>
      </w:r>
      <w:r>
        <w:rPr>
          <w:rFonts w:ascii="Garamond" w:eastAsia="Garamond" w:hAnsi="Garamond" w:cs="Garamond"/>
          <w:b/>
          <w:bCs/>
          <w:sz w:val="26"/>
          <w:szCs w:val="26"/>
        </w:rPr>
        <w:t xml:space="preserve"> Session</w:t>
      </w:r>
      <w:r w:rsidRPr="00D632F1">
        <w:rPr>
          <w:rFonts w:ascii="Garamond" w:eastAsia="Garamond" w:hAnsi="Garamond" w:cs="Garamond"/>
          <w:b/>
          <w:bCs/>
          <w:sz w:val="26"/>
          <w:szCs w:val="26"/>
        </w:rPr>
        <w:t xml:space="preserve"> (</w:t>
      </w:r>
      <w:r>
        <w:rPr>
          <w:rFonts w:ascii="Garamond" w:eastAsia="Garamond" w:hAnsi="Garamond" w:cs="Garamond"/>
          <w:b/>
          <w:bCs/>
          <w:sz w:val="26"/>
          <w:szCs w:val="26"/>
        </w:rPr>
        <w:t>9</w:t>
      </w:r>
      <w:r>
        <w:rPr>
          <w:rFonts w:ascii="Garamond" w:eastAsia="Garamond" w:hAnsi="Garamond" w:cs="Garamond"/>
          <w:b/>
          <w:bCs/>
          <w:sz w:val="26"/>
          <w:szCs w:val="26"/>
        </w:rPr>
        <w:t xml:space="preserve"> </w:t>
      </w:r>
      <w:r>
        <w:rPr>
          <w:rFonts w:ascii="Garamond" w:eastAsia="Garamond" w:hAnsi="Garamond" w:cs="Garamond"/>
          <w:b/>
          <w:bCs/>
          <w:sz w:val="26"/>
          <w:szCs w:val="26"/>
        </w:rPr>
        <w:t>February</w:t>
      </w:r>
      <w:r w:rsidRPr="00D632F1">
        <w:rPr>
          <w:rFonts w:ascii="Garamond" w:eastAsia="Garamond" w:hAnsi="Garamond" w:cs="Garamond"/>
          <w:b/>
          <w:bCs/>
          <w:sz w:val="26"/>
          <w:szCs w:val="26"/>
        </w:rPr>
        <w:t xml:space="preserve"> </w:t>
      </w:r>
      <w:r>
        <w:rPr>
          <w:rFonts w:ascii="Garamond" w:eastAsia="Garamond" w:hAnsi="Garamond" w:cs="Garamond"/>
          <w:b/>
          <w:bCs/>
          <w:sz w:val="26"/>
          <w:szCs w:val="26"/>
        </w:rPr>
        <w:t>–</w:t>
      </w:r>
      <w:r w:rsidRPr="00D632F1">
        <w:rPr>
          <w:rFonts w:ascii="Garamond" w:eastAsia="Garamond" w:hAnsi="Garamond" w:cs="Garamond"/>
          <w:b/>
          <w:bCs/>
          <w:sz w:val="26"/>
          <w:szCs w:val="26"/>
        </w:rPr>
        <w:t xml:space="preserve"> </w:t>
      </w:r>
      <w:r>
        <w:rPr>
          <w:rFonts w:ascii="Garamond" w:eastAsia="Garamond" w:hAnsi="Garamond" w:cs="Garamond"/>
          <w:b/>
          <w:bCs/>
          <w:sz w:val="26"/>
          <w:szCs w:val="26"/>
        </w:rPr>
        <w:t>6</w:t>
      </w:r>
      <w:r>
        <w:rPr>
          <w:rFonts w:ascii="Garamond" w:eastAsia="Garamond" w:hAnsi="Garamond" w:cs="Garamond"/>
          <w:b/>
          <w:bCs/>
          <w:sz w:val="26"/>
          <w:szCs w:val="26"/>
        </w:rPr>
        <w:t xml:space="preserve"> </w:t>
      </w:r>
      <w:r>
        <w:rPr>
          <w:rFonts w:ascii="Garamond" w:eastAsia="Garamond" w:hAnsi="Garamond" w:cs="Garamond"/>
          <w:b/>
          <w:bCs/>
          <w:sz w:val="26"/>
          <w:szCs w:val="26"/>
        </w:rPr>
        <w:t>March</w:t>
      </w:r>
      <w:r>
        <w:rPr>
          <w:rFonts w:ascii="Garamond" w:eastAsia="Garamond" w:hAnsi="Garamond" w:cs="Garamond"/>
          <w:b/>
          <w:bCs/>
          <w:sz w:val="26"/>
          <w:szCs w:val="26"/>
        </w:rPr>
        <w:t xml:space="preserve"> 2026</w:t>
      </w:r>
      <w:r w:rsidRPr="00D632F1">
        <w:rPr>
          <w:rFonts w:ascii="Garamond" w:eastAsia="Garamond" w:hAnsi="Garamond" w:cs="Garamond"/>
          <w:b/>
          <w:bCs/>
          <w:sz w:val="26"/>
          <w:szCs w:val="26"/>
        </w:rPr>
        <w:t>)</w:t>
      </w:r>
    </w:p>
    <w:p w14:paraId="40BFB8E9" w14:textId="77777777" w:rsidR="00323D7F" w:rsidRDefault="00323D7F" w:rsidP="00323D7F">
      <w:pPr>
        <w:jc w:val="both"/>
        <w:rPr>
          <w:rFonts w:asciiTheme="majorBidi" w:hAnsiTheme="majorBidi" w:cstheme="majorBidi"/>
          <w:b/>
          <w:bCs/>
        </w:rPr>
      </w:pPr>
    </w:p>
    <w:p w14:paraId="4D189BE4" w14:textId="630C8970" w:rsidR="00323D7F" w:rsidRPr="00323D7F" w:rsidRDefault="00323D7F" w:rsidP="00323D7F">
      <w:pPr>
        <w:jc w:val="center"/>
        <w:rPr>
          <w:rFonts w:ascii="Garamond" w:hAnsi="Garamond" w:cstheme="majorBidi"/>
          <w:b/>
          <w:bCs/>
        </w:rPr>
      </w:pPr>
      <w:r w:rsidRPr="00323D7F">
        <w:rPr>
          <w:rFonts w:ascii="Garamond" w:hAnsi="Garamond" w:cstheme="majorBidi"/>
          <w:b/>
          <w:bCs/>
        </w:rPr>
        <w:t>December 2025</w:t>
      </w:r>
    </w:p>
    <w:p w14:paraId="4F884790" w14:textId="65891452" w:rsidR="00323D7F" w:rsidRPr="00323D7F" w:rsidRDefault="00323D7F" w:rsidP="00323D7F">
      <w:pPr>
        <w:adjustRightInd w:val="0"/>
        <w:spacing w:after="240" w:line="360" w:lineRule="auto"/>
        <w:rPr>
          <w:rFonts w:ascii="Garamond" w:hAnsi="Garamond"/>
          <w:b/>
          <w:bCs/>
          <w:lang w:val="en-US"/>
        </w:rPr>
      </w:pPr>
      <w:r w:rsidRPr="00323D7F">
        <w:rPr>
          <w:rFonts w:ascii="Garamond" w:hAnsi="Garamond"/>
          <w:b/>
          <w:bCs/>
          <w:lang w:val="en-US"/>
        </w:rPr>
        <w:lastRenderedPageBreak/>
        <w:t>INTRODUCTION</w:t>
      </w:r>
    </w:p>
    <w:p w14:paraId="4715274E" w14:textId="77777777" w:rsidR="009E58BE" w:rsidRPr="009E58BE" w:rsidRDefault="003907A3" w:rsidP="00323D7F">
      <w:pPr>
        <w:pStyle w:val="Paragraphedeliste"/>
        <w:numPr>
          <w:ilvl w:val="0"/>
          <w:numId w:val="2"/>
        </w:numPr>
        <w:adjustRightInd w:val="0"/>
        <w:spacing w:after="240" w:line="360" w:lineRule="auto"/>
        <w:ind w:left="426"/>
        <w:contextualSpacing w:val="0"/>
        <w:rPr>
          <w:rFonts w:ascii="Garamond" w:hAnsi="Garamond"/>
          <w:lang w:val="en-US"/>
        </w:rPr>
      </w:pPr>
      <w:r w:rsidRPr="00323D7F">
        <w:rPr>
          <w:rFonts w:ascii="Garamond" w:hAnsi="Garamond"/>
        </w:rPr>
        <w:t>This submission</w:t>
      </w:r>
      <w:r w:rsidR="00684C33" w:rsidRPr="00323D7F">
        <w:rPr>
          <w:rFonts w:ascii="Garamond" w:hAnsi="Garamond"/>
        </w:rPr>
        <w:t xml:space="preserve"> to the Committee on Economic, Social and Cultural Rights (“the Committee”)</w:t>
      </w:r>
      <w:r w:rsidRPr="00323D7F">
        <w:rPr>
          <w:rFonts w:ascii="Garamond" w:hAnsi="Garamond"/>
        </w:rPr>
        <w:t xml:space="preserve"> presents a set of issues concerning the enjoyment of economic, social and cultural rights by</w:t>
      </w:r>
      <w:r w:rsidR="00684C33" w:rsidRPr="00323D7F">
        <w:rPr>
          <w:rFonts w:ascii="Garamond" w:hAnsi="Garamond"/>
        </w:rPr>
        <w:t xml:space="preserve"> persons belonging to</w:t>
      </w:r>
      <w:r w:rsidRPr="00323D7F">
        <w:rPr>
          <w:rFonts w:ascii="Garamond" w:hAnsi="Garamond"/>
        </w:rPr>
        <w:t xml:space="preserve"> religious</w:t>
      </w:r>
      <w:r w:rsidR="00684C33" w:rsidRPr="00323D7F">
        <w:rPr>
          <w:rFonts w:ascii="Garamond" w:hAnsi="Garamond"/>
        </w:rPr>
        <w:t xml:space="preserve"> or belief</w:t>
      </w:r>
      <w:r w:rsidRPr="00323D7F">
        <w:rPr>
          <w:rFonts w:ascii="Garamond" w:hAnsi="Garamond"/>
        </w:rPr>
        <w:t>, ethnic</w:t>
      </w:r>
      <w:r w:rsidR="00684C33" w:rsidRPr="00323D7F">
        <w:rPr>
          <w:rFonts w:ascii="Garamond" w:hAnsi="Garamond"/>
        </w:rPr>
        <w:t xml:space="preserve"> and linguistic minorities, as well as by persons discriminated or subjected to violence on the ground of their actual or perceived sexual orientation, gender identity and gender expression </w:t>
      </w:r>
      <w:r w:rsidRPr="00323D7F">
        <w:rPr>
          <w:rFonts w:ascii="Garamond" w:hAnsi="Garamond"/>
        </w:rPr>
        <w:t xml:space="preserve">in Egypt. </w:t>
      </w:r>
    </w:p>
    <w:p w14:paraId="30643F67" w14:textId="55F8DBCD" w:rsidR="003907A3" w:rsidRPr="00323D7F" w:rsidRDefault="003907A3" w:rsidP="00323D7F">
      <w:pPr>
        <w:pStyle w:val="Paragraphedeliste"/>
        <w:numPr>
          <w:ilvl w:val="0"/>
          <w:numId w:val="2"/>
        </w:numPr>
        <w:adjustRightInd w:val="0"/>
        <w:spacing w:after="240" w:line="360" w:lineRule="auto"/>
        <w:ind w:left="426"/>
        <w:contextualSpacing w:val="0"/>
        <w:rPr>
          <w:rFonts w:ascii="Garamond" w:hAnsi="Garamond"/>
          <w:lang w:val="en-US"/>
        </w:rPr>
      </w:pPr>
      <w:r w:rsidRPr="00323D7F">
        <w:rPr>
          <w:rFonts w:ascii="Garamond" w:hAnsi="Garamond"/>
        </w:rPr>
        <w:t xml:space="preserve">It highlights barriers faced by Christian, </w:t>
      </w:r>
      <w:proofErr w:type="spellStart"/>
      <w:r w:rsidRPr="00323D7F">
        <w:rPr>
          <w:rFonts w:ascii="Garamond" w:hAnsi="Garamond"/>
        </w:rPr>
        <w:t>Bahá’í</w:t>
      </w:r>
      <w:proofErr w:type="spellEnd"/>
      <w:r w:rsidRPr="00323D7F">
        <w:rPr>
          <w:rFonts w:ascii="Garamond" w:hAnsi="Garamond"/>
        </w:rPr>
        <w:t>, Sinai Bedouin, and Nubian communities, as well as L</w:t>
      </w:r>
      <w:r w:rsidR="00684C33" w:rsidRPr="00323D7F">
        <w:rPr>
          <w:rFonts w:ascii="Garamond" w:hAnsi="Garamond"/>
        </w:rPr>
        <w:t xml:space="preserve">esbian </w:t>
      </w:r>
      <w:r w:rsidRPr="00323D7F">
        <w:rPr>
          <w:rFonts w:ascii="Garamond" w:hAnsi="Garamond"/>
        </w:rPr>
        <w:t>G</w:t>
      </w:r>
      <w:r w:rsidR="00684C33" w:rsidRPr="00323D7F">
        <w:rPr>
          <w:rFonts w:ascii="Garamond" w:hAnsi="Garamond"/>
        </w:rPr>
        <w:t xml:space="preserve">ay </w:t>
      </w:r>
      <w:r w:rsidRPr="00323D7F">
        <w:rPr>
          <w:rFonts w:ascii="Garamond" w:hAnsi="Garamond"/>
        </w:rPr>
        <w:t>B</w:t>
      </w:r>
      <w:r w:rsidR="00684C33" w:rsidRPr="00323D7F">
        <w:rPr>
          <w:rFonts w:ascii="Garamond" w:hAnsi="Garamond"/>
        </w:rPr>
        <w:t xml:space="preserve">i </w:t>
      </w:r>
      <w:r w:rsidRPr="00323D7F">
        <w:rPr>
          <w:rFonts w:ascii="Garamond" w:hAnsi="Garamond"/>
        </w:rPr>
        <w:t>T</w:t>
      </w:r>
      <w:r w:rsidR="00684C33" w:rsidRPr="00323D7F">
        <w:rPr>
          <w:rFonts w:ascii="Garamond" w:hAnsi="Garamond"/>
        </w:rPr>
        <w:t xml:space="preserve">rans </w:t>
      </w:r>
      <w:r w:rsidRPr="00323D7F">
        <w:rPr>
          <w:rFonts w:ascii="Garamond" w:hAnsi="Garamond"/>
        </w:rPr>
        <w:t>Q</w:t>
      </w:r>
      <w:r w:rsidR="00684C33" w:rsidRPr="00323D7F">
        <w:rPr>
          <w:rFonts w:ascii="Garamond" w:hAnsi="Garamond"/>
        </w:rPr>
        <w:t xml:space="preserve">ueer </w:t>
      </w:r>
      <w:r w:rsidRPr="00323D7F">
        <w:rPr>
          <w:rFonts w:ascii="Garamond" w:hAnsi="Garamond"/>
        </w:rPr>
        <w:t>I</w:t>
      </w:r>
      <w:r w:rsidR="00684C33" w:rsidRPr="00323D7F">
        <w:rPr>
          <w:rFonts w:ascii="Garamond" w:hAnsi="Garamond"/>
        </w:rPr>
        <w:t xml:space="preserve">ntersex </w:t>
      </w:r>
      <w:r w:rsidRPr="00323D7F">
        <w:rPr>
          <w:rFonts w:ascii="Garamond" w:hAnsi="Garamond"/>
        </w:rPr>
        <w:t xml:space="preserve">+ </w:t>
      </w:r>
      <w:r w:rsidR="00684C33" w:rsidRPr="00323D7F">
        <w:rPr>
          <w:rFonts w:ascii="Garamond" w:hAnsi="Garamond"/>
        </w:rPr>
        <w:t xml:space="preserve">(LGBTQI+) </w:t>
      </w:r>
      <w:r w:rsidRPr="00323D7F">
        <w:rPr>
          <w:rFonts w:ascii="Garamond" w:hAnsi="Garamond"/>
        </w:rPr>
        <w:t>individuals, in accessing fundamental rights protected under the International Covenant on Economic, Social and Cultural Rights</w:t>
      </w:r>
      <w:r w:rsidR="00684C33" w:rsidRPr="00323D7F">
        <w:rPr>
          <w:rFonts w:ascii="Garamond" w:hAnsi="Garamond"/>
        </w:rPr>
        <w:t xml:space="preserve"> (“the Covenant”)</w:t>
      </w:r>
      <w:r w:rsidRPr="00323D7F">
        <w:rPr>
          <w:rFonts w:ascii="Garamond" w:hAnsi="Garamond"/>
        </w:rPr>
        <w:t>. The issues raised reflect long-standing patterns of discrimination, restrictions on cultural and linguistic rights, unequal access to public services, and gaps in legal protection that disproportionately affect these groups.</w:t>
      </w:r>
    </w:p>
    <w:p w14:paraId="5F2D0D64" w14:textId="44B774A8" w:rsidR="00711257" w:rsidRPr="009E58BE" w:rsidRDefault="009E58BE" w:rsidP="009E58BE">
      <w:pPr>
        <w:adjustRightInd w:val="0"/>
        <w:spacing w:after="240" w:line="360" w:lineRule="auto"/>
        <w:ind w:left="66"/>
        <w:rPr>
          <w:rFonts w:ascii="Garamond" w:hAnsi="Garamond" w:cs="Calibri"/>
          <w:b/>
          <w:bCs/>
          <w:lang w:val="en-US"/>
        </w:rPr>
      </w:pPr>
      <w:r>
        <w:rPr>
          <w:rFonts w:ascii="Garamond" w:hAnsi="Garamond" w:cs="Calibri"/>
          <w:b/>
          <w:bCs/>
          <w:lang w:val="en-US"/>
        </w:rPr>
        <w:t>ARTICLE</w:t>
      </w:r>
      <w:r w:rsidR="00711257" w:rsidRPr="009E58BE">
        <w:rPr>
          <w:rFonts w:ascii="Garamond" w:hAnsi="Garamond" w:cs="Calibri"/>
          <w:b/>
          <w:bCs/>
          <w:lang w:val="en-US"/>
        </w:rPr>
        <w:t xml:space="preserve"> 2</w:t>
      </w:r>
      <w:r>
        <w:rPr>
          <w:rFonts w:ascii="Garamond" w:hAnsi="Garamond" w:cs="Calibri"/>
          <w:b/>
          <w:bCs/>
          <w:lang w:val="en-US"/>
        </w:rPr>
        <w:t xml:space="preserve"> –</w:t>
      </w:r>
      <w:r w:rsidR="00711257" w:rsidRPr="009E58BE">
        <w:rPr>
          <w:rFonts w:ascii="Garamond" w:hAnsi="Garamond" w:cs="Calibri"/>
          <w:b/>
          <w:bCs/>
          <w:lang w:val="en-US"/>
        </w:rPr>
        <w:t xml:space="preserve"> </w:t>
      </w:r>
      <w:r>
        <w:rPr>
          <w:rFonts w:ascii="Garamond" w:hAnsi="Garamond" w:cs="Calibri"/>
          <w:b/>
          <w:bCs/>
          <w:lang w:val="en-US"/>
        </w:rPr>
        <w:t>NON-DISCRIMINATION AND PROGRESSIVE REALIZATION</w:t>
      </w:r>
    </w:p>
    <w:p w14:paraId="493DB3E8" w14:textId="00C0EF0F" w:rsidR="00A26634" w:rsidRPr="009E58BE" w:rsidRDefault="00CC441E" w:rsidP="009E58BE">
      <w:pPr>
        <w:adjustRightInd w:val="0"/>
        <w:spacing w:after="240" w:line="360" w:lineRule="auto"/>
        <w:rPr>
          <w:rFonts w:ascii="Garamond" w:hAnsi="Garamond" w:cs="Calibri"/>
          <w:b/>
          <w:bCs/>
        </w:rPr>
      </w:pPr>
      <w:r w:rsidRPr="009E58BE">
        <w:rPr>
          <w:rFonts w:ascii="Garamond" w:hAnsi="Garamond" w:cs="Calibri"/>
          <w:b/>
          <w:bCs/>
        </w:rPr>
        <w:t xml:space="preserve">Direct Discrimination Regarding Marriage </w:t>
      </w:r>
    </w:p>
    <w:p w14:paraId="51E06C97" w14:textId="6B91A9D9" w:rsidR="00A26634" w:rsidRPr="00323D7F" w:rsidRDefault="00A26634"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Egypt’s Constitution and legal framework includes discriminatory provisions that create a hierarchy between “revealed” and “unrevealed” religions or beliefs whose followers do not enjoy the same rights. Articles 2 and 3 of the Constitution recognize only the three “revealed religions”</w:t>
      </w:r>
      <w:r w:rsidR="00AC3191" w:rsidRPr="00323D7F">
        <w:rPr>
          <w:rFonts w:ascii="Garamond" w:hAnsi="Garamond" w:cs="Calibri"/>
        </w:rPr>
        <w:t xml:space="preserve"> (Judaism, Christianity and Islam)</w:t>
      </w:r>
      <w:r w:rsidRPr="00323D7F">
        <w:rPr>
          <w:rFonts w:ascii="Garamond" w:hAnsi="Garamond" w:cs="Calibri"/>
        </w:rPr>
        <w:t xml:space="preserve">. Article 64 states that “the freedom of practicing religious rituals and establishing places of worship for the followers of ‘revealed’ religions is a right organized by law”. </w:t>
      </w:r>
    </w:p>
    <w:p w14:paraId="65A1EA7C" w14:textId="049FC9AD" w:rsidR="00CC441E" w:rsidRPr="00323D7F" w:rsidRDefault="00CC441E"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Article 134 of Chapter 5 in the </w:t>
      </w:r>
      <w:r w:rsidRPr="00323D7F">
        <w:rPr>
          <w:rFonts w:ascii="Garamond" w:hAnsi="Garamond" w:cs="Calibri"/>
          <w:i/>
          <w:iCs/>
        </w:rPr>
        <w:t>Real Estate Registry Regulations</w:t>
      </w:r>
      <w:r w:rsidRPr="00323D7F">
        <w:rPr>
          <w:rFonts w:ascii="Garamond" w:hAnsi="Garamond" w:cs="Calibri"/>
        </w:rPr>
        <w:t xml:space="preserve"> explicitly bans the registration of Bahá’í and Jehovah’s Witnesses’ marriage</w:t>
      </w:r>
      <w:r w:rsidR="00D070D3" w:rsidRPr="00323D7F">
        <w:rPr>
          <w:rStyle w:val="Appelnotedebasdep"/>
          <w:rFonts w:ascii="Garamond" w:hAnsi="Garamond" w:cs="Calibri"/>
        </w:rPr>
        <w:footnoteReference w:id="1"/>
      </w:r>
      <w:r w:rsidRPr="00323D7F">
        <w:rPr>
          <w:rFonts w:ascii="Garamond" w:hAnsi="Garamond" w:cs="Calibri"/>
        </w:rPr>
        <w:t>. This legal discrimination reinforces their precarious status and perpetuates violations of the right to family life, equality before the law, and freedom of religion or belief.</w:t>
      </w:r>
    </w:p>
    <w:p w14:paraId="1FB4DBF1" w14:textId="77777777" w:rsidR="009E58BE" w:rsidRDefault="009E58BE" w:rsidP="009E58BE">
      <w:pPr>
        <w:adjustRightInd w:val="0"/>
        <w:spacing w:after="240" w:line="360" w:lineRule="auto"/>
        <w:ind w:left="66"/>
        <w:rPr>
          <w:rFonts w:ascii="Garamond" w:hAnsi="Garamond" w:cs="Calibri"/>
          <w:b/>
          <w:bCs/>
          <w:lang w:val="en-US"/>
        </w:rPr>
      </w:pPr>
    </w:p>
    <w:p w14:paraId="0D3EFE89" w14:textId="77777777" w:rsidR="009E58BE" w:rsidRDefault="009E58BE" w:rsidP="009E58BE">
      <w:pPr>
        <w:adjustRightInd w:val="0"/>
        <w:spacing w:after="240" w:line="360" w:lineRule="auto"/>
        <w:ind w:left="66"/>
        <w:rPr>
          <w:rFonts w:ascii="Garamond" w:hAnsi="Garamond" w:cs="Calibri"/>
          <w:b/>
          <w:bCs/>
          <w:lang w:val="en-US"/>
        </w:rPr>
      </w:pPr>
    </w:p>
    <w:p w14:paraId="0C6450FF" w14:textId="78667261" w:rsidR="00947BF8" w:rsidRPr="009E58BE" w:rsidRDefault="009E58BE" w:rsidP="009E58BE">
      <w:pPr>
        <w:adjustRightInd w:val="0"/>
        <w:spacing w:after="240" w:line="360" w:lineRule="auto"/>
        <w:ind w:left="66"/>
        <w:rPr>
          <w:rFonts w:ascii="Garamond" w:hAnsi="Garamond" w:cs="Calibri"/>
          <w:b/>
          <w:bCs/>
          <w:lang w:val="en-US"/>
        </w:rPr>
      </w:pPr>
      <w:r>
        <w:rPr>
          <w:rFonts w:ascii="Garamond" w:hAnsi="Garamond" w:cs="Calibri"/>
          <w:b/>
          <w:bCs/>
          <w:lang w:val="en-US"/>
        </w:rPr>
        <w:lastRenderedPageBreak/>
        <w:t>ARTICLE</w:t>
      </w:r>
      <w:r w:rsidR="00711257" w:rsidRPr="009E58BE">
        <w:rPr>
          <w:rFonts w:ascii="Garamond" w:hAnsi="Garamond" w:cs="Calibri"/>
          <w:b/>
          <w:bCs/>
          <w:lang w:val="en-US"/>
        </w:rPr>
        <w:t xml:space="preserve"> 6 – </w:t>
      </w:r>
      <w:r>
        <w:rPr>
          <w:rFonts w:ascii="Garamond" w:hAnsi="Garamond" w:cs="Calibri"/>
          <w:b/>
          <w:bCs/>
          <w:lang w:val="en-US"/>
        </w:rPr>
        <w:t>RIGHT TO WORK</w:t>
      </w:r>
      <w:r w:rsidR="00711257" w:rsidRPr="009E58BE">
        <w:rPr>
          <w:rFonts w:ascii="Garamond" w:hAnsi="Garamond" w:cs="Calibri"/>
          <w:b/>
          <w:bCs/>
          <w:lang w:val="en-US"/>
        </w:rPr>
        <w:t xml:space="preserve"> </w:t>
      </w:r>
    </w:p>
    <w:p w14:paraId="25C7BB08" w14:textId="37E8111D" w:rsidR="00947BF8" w:rsidRPr="009E58BE" w:rsidRDefault="007B6358" w:rsidP="009E58BE">
      <w:pPr>
        <w:adjustRightInd w:val="0"/>
        <w:spacing w:after="240" w:line="360" w:lineRule="auto"/>
        <w:rPr>
          <w:rFonts w:ascii="Garamond" w:hAnsi="Garamond" w:cs="Calibri"/>
          <w:b/>
          <w:bCs/>
        </w:rPr>
      </w:pPr>
      <w:proofErr w:type="spellStart"/>
      <w:r w:rsidRPr="007B6358">
        <w:rPr>
          <w:rFonts w:ascii="Garamond" w:hAnsi="Garamond" w:cs="Calibri"/>
          <w:b/>
          <w:bCs/>
        </w:rPr>
        <w:t>Bahá’í</w:t>
      </w:r>
      <w:r>
        <w:rPr>
          <w:rFonts w:ascii="Garamond" w:hAnsi="Garamond" w:cs="Calibri"/>
          <w:b/>
          <w:bCs/>
        </w:rPr>
        <w:t>s</w:t>
      </w:r>
      <w:proofErr w:type="spellEnd"/>
    </w:p>
    <w:p w14:paraId="0FD242EE" w14:textId="65947515" w:rsidR="00947BF8" w:rsidRPr="00323D7F" w:rsidRDefault="00AC3191"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In Egypt, IDs mention the religion of the ID-holder. </w:t>
      </w:r>
      <w:r w:rsidR="00947BF8" w:rsidRPr="00323D7F">
        <w:rPr>
          <w:rFonts w:ascii="Garamond" w:hAnsi="Garamond" w:cs="Calibri"/>
        </w:rPr>
        <w:t>Between 2004 and 2008,</w:t>
      </w:r>
      <w:r w:rsidRPr="00323D7F">
        <w:rPr>
          <w:rFonts w:ascii="Garamond" w:hAnsi="Garamond" w:cs="Calibri"/>
        </w:rPr>
        <w:t xml:space="preserve"> it was not possible for Egyptian citizen to apply to a state ID with the mention</w:t>
      </w:r>
      <w:r w:rsidR="00947BF8" w:rsidRPr="00323D7F">
        <w:rPr>
          <w:rFonts w:ascii="Garamond" w:hAnsi="Garamond" w:cs="Calibri"/>
        </w:rPr>
        <w:t xml:space="preserve"> “Bahá’í”</w:t>
      </w:r>
      <w:r w:rsidRPr="00323D7F">
        <w:rPr>
          <w:rFonts w:ascii="Garamond" w:hAnsi="Garamond" w:cs="Calibri"/>
        </w:rPr>
        <w:t xml:space="preserve"> in the religion field</w:t>
      </w:r>
      <w:r w:rsidR="00947BF8" w:rsidRPr="00323D7F">
        <w:rPr>
          <w:rFonts w:ascii="Garamond" w:hAnsi="Garamond" w:cs="Calibri"/>
        </w:rPr>
        <w:t xml:space="preserve">, that only allowed one of the three </w:t>
      </w:r>
      <w:r w:rsidRPr="00323D7F">
        <w:rPr>
          <w:rFonts w:ascii="Garamond" w:hAnsi="Garamond" w:cs="Calibri"/>
        </w:rPr>
        <w:t>“</w:t>
      </w:r>
      <w:r w:rsidR="00947BF8" w:rsidRPr="00323D7F">
        <w:rPr>
          <w:rFonts w:ascii="Garamond" w:hAnsi="Garamond" w:cs="Calibri"/>
        </w:rPr>
        <w:t>heavenly religions</w:t>
      </w:r>
      <w:r w:rsidRPr="00323D7F">
        <w:rPr>
          <w:rFonts w:ascii="Garamond" w:hAnsi="Garamond" w:cs="Calibri"/>
        </w:rPr>
        <w:t>”</w:t>
      </w:r>
      <w:r w:rsidR="00947BF8" w:rsidRPr="00323D7F">
        <w:rPr>
          <w:rFonts w:ascii="Garamond" w:hAnsi="Garamond" w:cs="Calibri"/>
        </w:rPr>
        <w:t xml:space="preserve">. A 2008 Supreme Court ruling introduced a compromise: </w:t>
      </w:r>
      <w:proofErr w:type="spellStart"/>
      <w:r w:rsidR="00947BF8" w:rsidRPr="00323D7F">
        <w:rPr>
          <w:rFonts w:ascii="Garamond" w:hAnsi="Garamond" w:cs="Calibri"/>
        </w:rPr>
        <w:t>Bahá’ís</w:t>
      </w:r>
      <w:proofErr w:type="spellEnd"/>
      <w:r w:rsidR="00947BF8" w:rsidRPr="00323D7F">
        <w:rPr>
          <w:rFonts w:ascii="Garamond" w:hAnsi="Garamond" w:cs="Calibri"/>
        </w:rPr>
        <w:t xml:space="preserve"> could obtain ID cards by placing a dash (–) in the “Religion” field. Even after obtaining </w:t>
      </w:r>
      <w:r w:rsidRPr="00323D7F">
        <w:rPr>
          <w:rFonts w:ascii="Garamond" w:hAnsi="Garamond" w:cs="Calibri"/>
        </w:rPr>
        <w:t xml:space="preserve">proper </w:t>
      </w:r>
      <w:r w:rsidR="00947BF8" w:rsidRPr="00323D7F">
        <w:rPr>
          <w:rFonts w:ascii="Garamond" w:hAnsi="Garamond" w:cs="Calibri"/>
        </w:rPr>
        <w:t xml:space="preserve">documentation, </w:t>
      </w:r>
      <w:proofErr w:type="spellStart"/>
      <w:r w:rsidR="00947BF8" w:rsidRPr="00323D7F">
        <w:rPr>
          <w:rFonts w:ascii="Garamond" w:hAnsi="Garamond" w:cs="Calibri"/>
        </w:rPr>
        <w:t>Bahá’ís</w:t>
      </w:r>
      <w:proofErr w:type="spellEnd"/>
      <w:r w:rsidR="00947BF8" w:rsidRPr="00323D7F">
        <w:rPr>
          <w:rFonts w:ascii="Garamond" w:hAnsi="Garamond" w:cs="Calibri"/>
        </w:rPr>
        <w:t xml:space="preserve"> in Egypt reported discrimination when seeking employment opportunities </w:t>
      </w:r>
      <w:proofErr w:type="gramStart"/>
      <w:r w:rsidR="00947BF8" w:rsidRPr="00323D7F">
        <w:rPr>
          <w:rFonts w:ascii="Garamond" w:hAnsi="Garamond" w:cs="Calibri"/>
        </w:rPr>
        <w:t>as a result of</w:t>
      </w:r>
      <w:proofErr w:type="gramEnd"/>
      <w:r w:rsidR="00947BF8" w:rsidRPr="00323D7F">
        <w:rPr>
          <w:rFonts w:ascii="Garamond" w:hAnsi="Garamond" w:cs="Calibri"/>
        </w:rPr>
        <w:t xml:space="preserve"> the dash </w:t>
      </w:r>
      <w:r w:rsidR="00287B7C" w:rsidRPr="00323D7F">
        <w:rPr>
          <w:rFonts w:ascii="Garamond" w:hAnsi="Garamond" w:cs="Calibri"/>
        </w:rPr>
        <w:t>visible</w:t>
      </w:r>
      <w:r w:rsidR="00947BF8" w:rsidRPr="00323D7F">
        <w:rPr>
          <w:rFonts w:ascii="Garamond" w:hAnsi="Garamond" w:cs="Calibri"/>
        </w:rPr>
        <w:t xml:space="preserve"> in the religious section of the ID card</w:t>
      </w:r>
      <w:r w:rsidR="00D070D3" w:rsidRPr="00323D7F">
        <w:rPr>
          <w:rStyle w:val="Appelnotedebasdep"/>
          <w:rFonts w:ascii="Garamond" w:hAnsi="Garamond" w:cs="Calibri"/>
        </w:rPr>
        <w:footnoteReference w:id="2"/>
      </w:r>
      <w:r w:rsidR="00947BF8" w:rsidRPr="00323D7F">
        <w:rPr>
          <w:rFonts w:ascii="Garamond" w:hAnsi="Garamond" w:cs="Calibri"/>
        </w:rPr>
        <w:t>.</w:t>
      </w:r>
    </w:p>
    <w:p w14:paraId="258C38CE" w14:textId="2944FA30" w:rsidR="005C4470" w:rsidRPr="009E58BE" w:rsidRDefault="005C4470" w:rsidP="009E58BE">
      <w:pPr>
        <w:adjustRightInd w:val="0"/>
        <w:spacing w:after="240" w:line="360" w:lineRule="auto"/>
        <w:ind w:left="66"/>
        <w:rPr>
          <w:rFonts w:ascii="Garamond" w:hAnsi="Garamond" w:cs="Calibri"/>
          <w:b/>
          <w:bCs/>
        </w:rPr>
      </w:pPr>
      <w:r w:rsidRPr="009E58BE">
        <w:rPr>
          <w:rFonts w:ascii="Garamond" w:hAnsi="Garamond" w:cs="Calibri"/>
          <w:b/>
          <w:bCs/>
        </w:rPr>
        <w:t>Trans</w:t>
      </w:r>
      <w:r w:rsidR="0040767E" w:rsidRPr="009E58BE">
        <w:rPr>
          <w:rFonts w:ascii="Garamond" w:hAnsi="Garamond" w:cs="Calibri"/>
          <w:b/>
          <w:bCs/>
        </w:rPr>
        <w:t xml:space="preserve"> persons</w:t>
      </w:r>
    </w:p>
    <w:p w14:paraId="09170467" w14:textId="73CD858A" w:rsidR="00711257" w:rsidRPr="009E58BE" w:rsidRDefault="0040767E" w:rsidP="009E58BE">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In Egypt, trans people</w:t>
      </w:r>
      <w:r w:rsidR="005C4470" w:rsidRPr="00323D7F">
        <w:rPr>
          <w:rFonts w:ascii="Garamond" w:hAnsi="Garamond" w:cs="Calibri"/>
        </w:rPr>
        <w:t xml:space="preserve"> </w:t>
      </w:r>
      <w:r w:rsidRPr="00323D7F">
        <w:rPr>
          <w:rFonts w:ascii="Garamond" w:hAnsi="Garamond" w:cs="Calibri"/>
        </w:rPr>
        <w:t xml:space="preserve">cannot change </w:t>
      </w:r>
      <w:r w:rsidR="005C4470" w:rsidRPr="00323D7F">
        <w:rPr>
          <w:rFonts w:ascii="Garamond" w:hAnsi="Garamond" w:cs="Calibri"/>
        </w:rPr>
        <w:t>name and gender markers on official documents</w:t>
      </w:r>
      <w:r w:rsidRPr="00323D7F">
        <w:rPr>
          <w:rFonts w:ascii="Garamond" w:hAnsi="Garamond" w:cs="Calibri"/>
        </w:rPr>
        <w:t>. As a</w:t>
      </w:r>
      <w:r w:rsidR="005C4470" w:rsidRPr="00323D7F">
        <w:rPr>
          <w:rFonts w:ascii="Garamond" w:hAnsi="Garamond" w:cs="Calibri"/>
        </w:rPr>
        <w:t xml:space="preserve"> result</w:t>
      </w:r>
      <w:r w:rsidRPr="00323D7F">
        <w:rPr>
          <w:rFonts w:ascii="Garamond" w:hAnsi="Garamond" w:cs="Calibri"/>
        </w:rPr>
        <w:t>, trans persons are exposed to</w:t>
      </w:r>
      <w:r w:rsidR="00A71415" w:rsidRPr="00323D7F">
        <w:rPr>
          <w:rFonts w:ascii="Garamond" w:hAnsi="Garamond" w:cs="Calibri"/>
        </w:rPr>
        <w:t xml:space="preserve"> </w:t>
      </w:r>
      <w:r w:rsidR="005C4470" w:rsidRPr="00323D7F">
        <w:rPr>
          <w:rFonts w:ascii="Garamond" w:hAnsi="Garamond" w:cs="Calibri"/>
        </w:rPr>
        <w:t>widespread discrimination, social exclusion, and exposure to arbitrary arrest</w:t>
      </w:r>
      <w:r w:rsidRPr="00323D7F">
        <w:rPr>
          <w:rFonts w:ascii="Garamond" w:hAnsi="Garamond" w:cs="Calibri"/>
        </w:rPr>
        <w:t xml:space="preserve"> and violence</w:t>
      </w:r>
      <w:r w:rsidR="005C4470" w:rsidRPr="00323D7F">
        <w:rPr>
          <w:rFonts w:ascii="Garamond" w:hAnsi="Garamond" w:cs="Calibri"/>
        </w:rPr>
        <w:t xml:space="preserve">. </w:t>
      </w:r>
      <w:r w:rsidR="007819F9" w:rsidRPr="00323D7F">
        <w:rPr>
          <w:rFonts w:ascii="Garamond" w:hAnsi="Garamond" w:cs="Calibri"/>
        </w:rPr>
        <w:t>Because they cannot update their official documents to match their gender identity, many are excluded from the formal job market</w:t>
      </w:r>
      <w:r w:rsidR="00A71415" w:rsidRPr="00323D7F">
        <w:rPr>
          <w:rStyle w:val="Appelnotedebasdep"/>
          <w:rFonts w:ascii="Garamond" w:hAnsi="Garamond" w:cs="Calibri"/>
        </w:rPr>
        <w:footnoteReference w:id="3"/>
      </w:r>
      <w:r w:rsidR="007819F9" w:rsidRPr="00323D7F">
        <w:rPr>
          <w:rFonts w:ascii="Garamond" w:hAnsi="Garamond" w:cs="Calibri"/>
        </w:rPr>
        <w:t xml:space="preserve">. </w:t>
      </w:r>
      <w:r w:rsidRPr="00323D7F">
        <w:rPr>
          <w:rFonts w:ascii="Garamond" w:hAnsi="Garamond" w:cs="Calibri"/>
        </w:rPr>
        <w:t xml:space="preserve">This limits their access to secure employment and economic opportunities. </w:t>
      </w:r>
      <w:r w:rsidR="007819F9" w:rsidRPr="00323D7F">
        <w:rPr>
          <w:rFonts w:ascii="Garamond" w:hAnsi="Garamond" w:cs="Calibri"/>
        </w:rPr>
        <w:t xml:space="preserve">These legal and social barriers push them into economic marginalization, leaving many dependent on unstable or informal work </w:t>
      </w:r>
      <w:r w:rsidRPr="00323D7F">
        <w:rPr>
          <w:rFonts w:ascii="Garamond" w:hAnsi="Garamond" w:cs="Calibri"/>
        </w:rPr>
        <w:t>where they are exposed to risk of</w:t>
      </w:r>
      <w:r w:rsidR="007819F9" w:rsidRPr="00323D7F">
        <w:rPr>
          <w:rFonts w:ascii="Garamond" w:hAnsi="Garamond" w:cs="Calibri"/>
        </w:rPr>
        <w:t xml:space="preserve"> exploitation.</w:t>
      </w:r>
    </w:p>
    <w:p w14:paraId="4802DB4B" w14:textId="77777777" w:rsidR="009E58BE" w:rsidRDefault="009E58BE" w:rsidP="009E58BE">
      <w:pPr>
        <w:adjustRightInd w:val="0"/>
        <w:spacing w:after="240" w:line="360" w:lineRule="auto"/>
        <w:ind w:left="66"/>
        <w:rPr>
          <w:rFonts w:ascii="Garamond" w:hAnsi="Garamond" w:cs="Calibri"/>
          <w:b/>
          <w:bCs/>
          <w:lang w:val="en-US"/>
        </w:rPr>
      </w:pPr>
      <w:r>
        <w:rPr>
          <w:rFonts w:ascii="Garamond" w:hAnsi="Garamond" w:cs="Calibri"/>
          <w:b/>
          <w:bCs/>
          <w:lang w:val="en-US"/>
        </w:rPr>
        <w:t>ARTICLE</w:t>
      </w:r>
      <w:r w:rsidR="00711257" w:rsidRPr="009E58BE">
        <w:rPr>
          <w:rFonts w:ascii="Garamond" w:hAnsi="Garamond" w:cs="Calibri"/>
          <w:b/>
          <w:bCs/>
          <w:lang w:val="en-US"/>
        </w:rPr>
        <w:t xml:space="preserve"> 10 – </w:t>
      </w:r>
      <w:r>
        <w:rPr>
          <w:rFonts w:ascii="Garamond" w:hAnsi="Garamond" w:cs="Calibri"/>
          <w:b/>
          <w:bCs/>
          <w:lang w:val="en-US"/>
        </w:rPr>
        <w:t xml:space="preserve">PROTECTION OF FAMILIES, MOTHERS AND CHILDREN </w:t>
      </w:r>
    </w:p>
    <w:p w14:paraId="2252C159" w14:textId="3E3BA5A7" w:rsidR="008C5CC6" w:rsidRPr="00323D7F" w:rsidRDefault="008C5CC6" w:rsidP="009E58BE">
      <w:pPr>
        <w:adjustRightInd w:val="0"/>
        <w:spacing w:after="240" w:line="360" w:lineRule="auto"/>
        <w:ind w:left="66"/>
        <w:rPr>
          <w:rFonts w:ascii="Garamond" w:hAnsi="Garamond" w:cs="Calibri"/>
          <w:b/>
          <w:bCs/>
          <w:lang w:val="en-US"/>
        </w:rPr>
      </w:pPr>
      <w:r w:rsidRPr="00323D7F">
        <w:rPr>
          <w:rFonts w:ascii="Garamond" w:hAnsi="Garamond" w:cs="Calibri"/>
          <w:b/>
          <w:bCs/>
          <w:lang w:val="en-US"/>
        </w:rPr>
        <w:t xml:space="preserve">Conversions </w:t>
      </w:r>
    </w:p>
    <w:p w14:paraId="6E2E8F92" w14:textId="3300BC11" w:rsidR="00E63933" w:rsidRPr="009E58BE" w:rsidRDefault="00C70B59" w:rsidP="009E58BE">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In the case of married couples of the same faith, the </w:t>
      </w:r>
      <w:r w:rsidR="008C5CC6" w:rsidRPr="00323D7F">
        <w:rPr>
          <w:rFonts w:ascii="Garamond" w:hAnsi="Garamond" w:cs="Calibri"/>
        </w:rPr>
        <w:t>Egyptian law treats conversion to another religion differently depending on the gender of the person who converts. If a married Christian woman converts to Islam</w:t>
      </w:r>
      <w:r w:rsidR="00256880">
        <w:rPr>
          <w:rFonts w:ascii="Garamond" w:hAnsi="Garamond" w:cs="Calibri"/>
        </w:rPr>
        <w:t>,</w:t>
      </w:r>
      <w:r w:rsidR="008C5CC6" w:rsidRPr="00323D7F">
        <w:rPr>
          <w:rFonts w:ascii="Garamond" w:hAnsi="Garamond" w:cs="Calibri"/>
        </w:rPr>
        <w:t xml:space="preserve"> her marriage to a Christian man is invalidated automatically by the court as a Muslim woman may not be married to a Christian man as per the personal status law based on Islamic Sharia. However, if a Christian man converts to Islam, the marriage is not invalidated, and the Christian wife is automatically subjected to the application of Sharia law in her marriage.</w:t>
      </w:r>
      <w:r w:rsidR="00167461" w:rsidRPr="00323D7F">
        <w:rPr>
          <w:rFonts w:ascii="Garamond" w:hAnsi="Garamond" w:cs="Calibri"/>
        </w:rPr>
        <w:t xml:space="preserve"> </w:t>
      </w:r>
    </w:p>
    <w:p w14:paraId="331B8653" w14:textId="1FE3FA77" w:rsidR="00947BF8" w:rsidRPr="009E58BE" w:rsidRDefault="007B6358" w:rsidP="009E58BE">
      <w:pPr>
        <w:adjustRightInd w:val="0"/>
        <w:spacing w:after="240" w:line="360" w:lineRule="auto"/>
        <w:ind w:left="66"/>
        <w:rPr>
          <w:rFonts w:ascii="Garamond" w:hAnsi="Garamond" w:cs="Calibri"/>
          <w:b/>
          <w:bCs/>
          <w:lang w:val="en-US"/>
        </w:rPr>
      </w:pPr>
      <w:proofErr w:type="spellStart"/>
      <w:r w:rsidRPr="007B6358">
        <w:rPr>
          <w:rFonts w:ascii="Garamond" w:hAnsi="Garamond" w:cs="Calibri"/>
          <w:b/>
          <w:bCs/>
        </w:rPr>
        <w:lastRenderedPageBreak/>
        <w:t>Bahá’í</w:t>
      </w:r>
      <w:proofErr w:type="spellEnd"/>
      <w:r>
        <w:rPr>
          <w:rFonts w:ascii="Garamond" w:hAnsi="Garamond" w:cs="Calibri"/>
          <w:b/>
          <w:bCs/>
        </w:rPr>
        <w:t xml:space="preserve"> </w:t>
      </w:r>
      <w:r w:rsidR="003416E1" w:rsidRPr="009E58BE">
        <w:rPr>
          <w:rFonts w:ascii="Garamond" w:hAnsi="Garamond" w:cs="Calibri"/>
          <w:b/>
          <w:bCs/>
          <w:lang w:val="en-US"/>
        </w:rPr>
        <w:t xml:space="preserve">Marriages </w:t>
      </w:r>
    </w:p>
    <w:p w14:paraId="2F2F63D9" w14:textId="79872438" w:rsidR="003416E1" w:rsidRPr="00323D7F" w:rsidRDefault="003416E1"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Article 2 of the Constitution states that “the Principles of Islamic Sharia are the principal source of legislation”, the </w:t>
      </w:r>
      <w:r w:rsidR="00256880">
        <w:rPr>
          <w:rFonts w:ascii="Garamond" w:hAnsi="Garamond" w:cs="Calibri"/>
        </w:rPr>
        <w:t>C</w:t>
      </w:r>
      <w:r w:rsidRPr="00323D7F">
        <w:rPr>
          <w:rFonts w:ascii="Garamond" w:hAnsi="Garamond" w:cs="Calibri"/>
        </w:rPr>
        <w:t xml:space="preserve">onstitution grants the right only to the “revealed religions” to practice religious rituals, as regulated by law (article 64). Only Jewish and Christian faiths are recognized, besides Islam, and have their canon principles as the main source of legislation for their personal status laws, despite limitations </w:t>
      </w:r>
      <w:r w:rsidR="00A57E62" w:rsidRPr="00323D7F">
        <w:rPr>
          <w:rFonts w:ascii="Garamond" w:hAnsi="Garamond" w:cs="Calibri"/>
        </w:rPr>
        <w:t xml:space="preserve">as </w:t>
      </w:r>
      <w:r w:rsidRPr="00323D7F">
        <w:rPr>
          <w:rFonts w:ascii="Garamond" w:hAnsi="Garamond" w:cs="Calibri"/>
        </w:rPr>
        <w:t>discussed above.</w:t>
      </w:r>
    </w:p>
    <w:p w14:paraId="3E0B98EF" w14:textId="6648591B" w:rsidR="00947BF8" w:rsidRPr="00323D7F" w:rsidRDefault="003416E1"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As </w:t>
      </w:r>
      <w:r w:rsidR="00A57E62" w:rsidRPr="00323D7F">
        <w:rPr>
          <w:rFonts w:ascii="Garamond" w:hAnsi="Garamond" w:cs="Calibri"/>
        </w:rPr>
        <w:t xml:space="preserve">the </w:t>
      </w:r>
      <w:proofErr w:type="spellStart"/>
      <w:r w:rsidR="007B6358" w:rsidRPr="00323D7F">
        <w:rPr>
          <w:rFonts w:ascii="Garamond" w:hAnsi="Garamond" w:cs="Calibri"/>
        </w:rPr>
        <w:t>Bahá’í</w:t>
      </w:r>
      <w:proofErr w:type="spellEnd"/>
      <w:r w:rsidR="007B6358">
        <w:rPr>
          <w:rFonts w:ascii="Garamond" w:hAnsi="Garamond" w:cs="Calibri"/>
        </w:rPr>
        <w:t xml:space="preserve"> </w:t>
      </w:r>
      <w:r w:rsidRPr="00323D7F">
        <w:rPr>
          <w:rFonts w:ascii="Garamond" w:hAnsi="Garamond" w:cs="Calibri"/>
        </w:rPr>
        <w:t>faith is not considered one of the “revealed religions”, it is not covered by article 3</w:t>
      </w:r>
      <w:r w:rsidR="00DA53E3" w:rsidRPr="00323D7F">
        <w:rPr>
          <w:rStyle w:val="Appelnotedebasdep"/>
          <w:rFonts w:ascii="Garamond" w:hAnsi="Garamond" w:cs="Calibri"/>
        </w:rPr>
        <w:footnoteReference w:id="4"/>
      </w:r>
      <w:r w:rsidRPr="00323D7F">
        <w:rPr>
          <w:rFonts w:ascii="Garamond" w:hAnsi="Garamond" w:cs="Calibri"/>
        </w:rPr>
        <w:t xml:space="preserve"> and 64</w:t>
      </w:r>
      <w:r w:rsidR="00DA53E3" w:rsidRPr="00323D7F">
        <w:rPr>
          <w:rStyle w:val="Appelnotedebasdep"/>
          <w:rFonts w:ascii="Garamond" w:hAnsi="Garamond" w:cs="Calibri"/>
        </w:rPr>
        <w:footnoteReference w:id="5"/>
      </w:r>
      <w:r w:rsidRPr="00323D7F">
        <w:rPr>
          <w:rFonts w:ascii="Garamond" w:hAnsi="Garamond" w:cs="Calibri"/>
        </w:rPr>
        <w:t xml:space="preserve"> of the Egyptian Constitution</w:t>
      </w:r>
      <w:r w:rsidR="00FB5510" w:rsidRPr="00323D7F">
        <w:rPr>
          <w:rFonts w:ascii="Garamond" w:hAnsi="Garamond" w:cs="Calibri"/>
        </w:rPr>
        <w:t xml:space="preserve"> related to recognition of personal status cannon laws by the state, and practice of religious rites</w:t>
      </w:r>
      <w:r w:rsidRPr="00323D7F">
        <w:rPr>
          <w:rFonts w:ascii="Garamond" w:hAnsi="Garamond" w:cs="Calibri"/>
        </w:rPr>
        <w:t xml:space="preserve">. As a result, and in the absence of civil marriage procedures, marriages performed by the </w:t>
      </w:r>
      <w:proofErr w:type="spellStart"/>
      <w:r w:rsidR="007B6358" w:rsidRPr="00323D7F">
        <w:rPr>
          <w:rFonts w:ascii="Garamond" w:hAnsi="Garamond" w:cs="Calibri"/>
        </w:rPr>
        <w:t>Bahá’í</w:t>
      </w:r>
      <w:proofErr w:type="spellEnd"/>
      <w:r w:rsidR="007B6358">
        <w:rPr>
          <w:rFonts w:ascii="Garamond" w:hAnsi="Garamond" w:cs="Calibri"/>
        </w:rPr>
        <w:t xml:space="preserve"> </w:t>
      </w:r>
      <w:r w:rsidRPr="00323D7F">
        <w:rPr>
          <w:rFonts w:ascii="Garamond" w:hAnsi="Garamond" w:cs="Calibri"/>
        </w:rPr>
        <w:t>community are not recognized by the state and are left undocumented</w:t>
      </w:r>
      <w:r w:rsidR="00A57E62" w:rsidRPr="00323D7F">
        <w:rPr>
          <w:rFonts w:ascii="Garamond" w:hAnsi="Garamond" w:cs="Calibri"/>
        </w:rPr>
        <w:t xml:space="preserve"> and without legal effect at the domestic level</w:t>
      </w:r>
      <w:r w:rsidRPr="00323D7F">
        <w:rPr>
          <w:rFonts w:ascii="Garamond" w:hAnsi="Garamond" w:cs="Calibri"/>
        </w:rPr>
        <w:t xml:space="preserve">. </w:t>
      </w:r>
    </w:p>
    <w:p w14:paraId="12BC1EDE" w14:textId="77777777" w:rsidR="009E58BE" w:rsidRDefault="00FB5510"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Because the state does not recognize the Bahá’í faith or its canon laws, Bahá’í marriages cannot be formally registered. As a result, Bahá’í spouses have no legal standing before the courts if a marital dispute arises.</w:t>
      </w:r>
      <w:r w:rsidR="00257F27" w:rsidRPr="00323D7F">
        <w:rPr>
          <w:rStyle w:val="Appelnotedebasdep"/>
          <w:rFonts w:ascii="Garamond" w:hAnsi="Garamond" w:cs="Calibri"/>
        </w:rPr>
        <w:footnoteReference w:id="6"/>
      </w:r>
      <w:r w:rsidRPr="00323D7F">
        <w:rPr>
          <w:rFonts w:ascii="Garamond" w:hAnsi="Garamond" w:cs="Calibri"/>
        </w:rPr>
        <w:t xml:space="preserve"> This deprives </w:t>
      </w:r>
      <w:proofErr w:type="spellStart"/>
      <w:r w:rsidRPr="00323D7F">
        <w:rPr>
          <w:rFonts w:ascii="Garamond" w:hAnsi="Garamond" w:cs="Calibri"/>
        </w:rPr>
        <w:t>Bahá’í</w:t>
      </w:r>
      <w:proofErr w:type="spellEnd"/>
      <w:r w:rsidRPr="00323D7F">
        <w:rPr>
          <w:rFonts w:ascii="Garamond" w:hAnsi="Garamond" w:cs="Calibri"/>
        </w:rPr>
        <w:t xml:space="preserve"> families of the legal protections routinely available to other citizens whose religious communities and personal status laws are recognized by the state.</w:t>
      </w:r>
    </w:p>
    <w:p w14:paraId="21109C5F" w14:textId="180490E5" w:rsidR="00FB5510" w:rsidRPr="00323D7F" w:rsidRDefault="004039BE"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Because </w:t>
      </w:r>
      <w:proofErr w:type="spellStart"/>
      <w:r w:rsidRPr="00323D7F">
        <w:rPr>
          <w:rFonts w:ascii="Garamond" w:hAnsi="Garamond" w:cs="Calibri"/>
        </w:rPr>
        <w:t>Bahá’í</w:t>
      </w:r>
      <w:proofErr w:type="spellEnd"/>
      <w:r w:rsidRPr="00323D7F">
        <w:rPr>
          <w:rFonts w:ascii="Garamond" w:hAnsi="Garamond" w:cs="Calibri"/>
        </w:rPr>
        <w:t xml:space="preserve"> marriages cannot be notarized or registered, couples are officially classified as “single,” even after decades of marriage, which undermines their access to basic civil rights. This non-recognition affects nearly every aspect of daily life: couples face difficulties registering their children’s births, obtaining pensions or inheritance rights, securing spousal residency when one partner is foreign, and even staying together in hotels. Many must pursue lengthy and costly court cases for recognition, only to have </w:t>
      </w:r>
      <w:r w:rsidR="00256880" w:rsidRPr="00323D7F">
        <w:rPr>
          <w:rFonts w:ascii="Garamond" w:hAnsi="Garamond" w:cs="Calibri"/>
        </w:rPr>
        <w:t>favourable</w:t>
      </w:r>
      <w:r w:rsidRPr="00323D7F">
        <w:rPr>
          <w:rFonts w:ascii="Garamond" w:hAnsi="Garamond" w:cs="Calibri"/>
        </w:rPr>
        <w:t xml:space="preserve"> rulings overturned or ignored following interventions by security agencies. As documented in recent cases, authorities have even instructed the Civil Status Authority to change previously recognized marriages back to “single,” illustrating that lack of documentation is not merely an administrative gap but a deliberate tool of marginalization. The result is a constant state </w:t>
      </w:r>
      <w:r w:rsidRPr="00323D7F">
        <w:rPr>
          <w:rFonts w:ascii="Garamond" w:hAnsi="Garamond" w:cs="Calibri"/>
        </w:rPr>
        <w:lastRenderedPageBreak/>
        <w:t>of legal precarity, social stigma, and vulnerability for Bahá’í families, reinforcing a broader pattern of systemic discrimination.</w:t>
      </w:r>
    </w:p>
    <w:p w14:paraId="63A17D5C" w14:textId="6239EEF6" w:rsidR="00CC441E" w:rsidRPr="009E58BE" w:rsidRDefault="00711257" w:rsidP="009E58BE">
      <w:pPr>
        <w:adjustRightInd w:val="0"/>
        <w:spacing w:after="240" w:line="360" w:lineRule="auto"/>
        <w:ind w:left="66"/>
        <w:rPr>
          <w:rFonts w:ascii="Garamond" w:hAnsi="Garamond" w:cs="Calibri"/>
          <w:b/>
          <w:bCs/>
          <w:lang w:val="en-US"/>
        </w:rPr>
      </w:pPr>
      <w:r w:rsidRPr="009E58BE">
        <w:rPr>
          <w:rFonts w:ascii="Garamond" w:hAnsi="Garamond" w:cs="Calibri"/>
          <w:b/>
          <w:bCs/>
          <w:lang w:val="en-US"/>
        </w:rPr>
        <w:t>A</w:t>
      </w:r>
      <w:r w:rsidR="009E58BE">
        <w:rPr>
          <w:rFonts w:ascii="Garamond" w:hAnsi="Garamond" w:cs="Calibri"/>
          <w:b/>
          <w:bCs/>
          <w:lang w:val="en-US"/>
        </w:rPr>
        <w:t>RTICLE</w:t>
      </w:r>
      <w:r w:rsidRPr="009E58BE">
        <w:rPr>
          <w:rFonts w:ascii="Garamond" w:hAnsi="Garamond" w:cs="Calibri"/>
          <w:b/>
          <w:bCs/>
          <w:lang w:val="en-US"/>
        </w:rPr>
        <w:t xml:space="preserve"> 11 </w:t>
      </w:r>
      <w:r w:rsidR="009E58BE">
        <w:rPr>
          <w:rFonts w:ascii="Garamond" w:hAnsi="Garamond" w:cs="Calibri"/>
          <w:b/>
          <w:bCs/>
          <w:lang w:val="en-US"/>
        </w:rPr>
        <w:t>–</w:t>
      </w:r>
      <w:r w:rsidRPr="009E58BE">
        <w:rPr>
          <w:rFonts w:ascii="Garamond" w:hAnsi="Garamond" w:cs="Calibri"/>
          <w:b/>
          <w:bCs/>
          <w:lang w:val="en-US"/>
        </w:rPr>
        <w:t xml:space="preserve"> </w:t>
      </w:r>
      <w:r w:rsidR="009E58BE">
        <w:rPr>
          <w:rFonts w:ascii="Garamond" w:hAnsi="Garamond" w:cs="Calibri"/>
          <w:b/>
          <w:bCs/>
          <w:lang w:val="en-US"/>
        </w:rPr>
        <w:t>RIGHT TO ADEQUATE HOUSING</w:t>
      </w:r>
    </w:p>
    <w:p w14:paraId="1443A973" w14:textId="77777777" w:rsidR="009C4525" w:rsidRPr="009E58BE" w:rsidRDefault="00CC441E" w:rsidP="009E58BE">
      <w:pPr>
        <w:adjustRightInd w:val="0"/>
        <w:spacing w:after="240" w:line="360" w:lineRule="auto"/>
        <w:rPr>
          <w:rFonts w:ascii="Garamond" w:hAnsi="Garamond" w:cs="Calibri"/>
          <w:b/>
          <w:bCs/>
        </w:rPr>
      </w:pPr>
      <w:r w:rsidRPr="009E58BE">
        <w:rPr>
          <w:rFonts w:ascii="Garamond" w:hAnsi="Garamond" w:cs="Calibri"/>
          <w:b/>
          <w:bCs/>
        </w:rPr>
        <w:t xml:space="preserve">Sinai: </w:t>
      </w:r>
      <w:r w:rsidR="009C4525" w:rsidRPr="009E58BE">
        <w:rPr>
          <w:rFonts w:ascii="Garamond" w:hAnsi="Garamond" w:cs="Calibri"/>
          <w:b/>
          <w:bCs/>
        </w:rPr>
        <w:t xml:space="preserve">Right to Adequate Housing and </w:t>
      </w:r>
      <w:r w:rsidRPr="009E58BE">
        <w:rPr>
          <w:rFonts w:ascii="Garamond" w:hAnsi="Garamond" w:cs="Calibri"/>
          <w:b/>
          <w:bCs/>
        </w:rPr>
        <w:t xml:space="preserve">Forced Displacement </w:t>
      </w:r>
    </w:p>
    <w:p w14:paraId="4B83D4A3" w14:textId="2B81426F" w:rsidR="00AF650A" w:rsidRPr="00323D7F" w:rsidRDefault="00CC441E"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Since the 2013 military coup, Egypt’s armed forces have waged an extensive campaign in North Sinai </w:t>
      </w:r>
      <w:r w:rsidR="00A57E62" w:rsidRPr="00323D7F">
        <w:rPr>
          <w:rFonts w:ascii="Garamond" w:hAnsi="Garamond" w:cs="Calibri"/>
        </w:rPr>
        <w:t xml:space="preserve">in the name </w:t>
      </w:r>
      <w:r w:rsidRPr="00323D7F">
        <w:rPr>
          <w:rFonts w:ascii="Garamond" w:hAnsi="Garamond" w:cs="Calibri"/>
        </w:rPr>
        <w:t xml:space="preserve">of </w:t>
      </w:r>
      <w:r w:rsidR="00A57E62" w:rsidRPr="00323D7F">
        <w:rPr>
          <w:rFonts w:ascii="Garamond" w:hAnsi="Garamond" w:cs="Calibri"/>
        </w:rPr>
        <w:t xml:space="preserve">the fight against </w:t>
      </w:r>
      <w:r w:rsidRPr="00323D7F">
        <w:rPr>
          <w:rFonts w:ascii="Garamond" w:hAnsi="Garamond" w:cs="Calibri"/>
        </w:rPr>
        <w:t xml:space="preserve">terrorism. </w:t>
      </w:r>
      <w:r w:rsidR="00A57E62" w:rsidRPr="00323D7F">
        <w:rPr>
          <w:rFonts w:ascii="Garamond" w:hAnsi="Garamond" w:cs="Calibri"/>
        </w:rPr>
        <w:t xml:space="preserve">According to </w:t>
      </w:r>
      <w:r w:rsidR="00D55EA1" w:rsidRPr="00323D7F">
        <w:rPr>
          <w:rFonts w:ascii="Garamond" w:hAnsi="Garamond" w:cs="Calibri"/>
        </w:rPr>
        <w:t>Human</w:t>
      </w:r>
      <w:r w:rsidR="00256880">
        <w:rPr>
          <w:rFonts w:ascii="Garamond" w:hAnsi="Garamond" w:cs="Calibri"/>
        </w:rPr>
        <w:t xml:space="preserve"> </w:t>
      </w:r>
      <w:r w:rsidR="00D55EA1" w:rsidRPr="00323D7F">
        <w:rPr>
          <w:rFonts w:ascii="Garamond" w:hAnsi="Garamond" w:cs="Calibri"/>
        </w:rPr>
        <w:t>Rights Watch</w:t>
      </w:r>
      <w:r w:rsidR="00A57E62" w:rsidRPr="00323D7F">
        <w:rPr>
          <w:rFonts w:ascii="Garamond" w:hAnsi="Garamond" w:cs="Calibri"/>
        </w:rPr>
        <w:t>, t</w:t>
      </w:r>
      <w:r w:rsidRPr="00323D7F">
        <w:rPr>
          <w:rFonts w:ascii="Garamond" w:hAnsi="Garamond" w:cs="Calibri"/>
        </w:rPr>
        <w:t>he military has demolished over 12,350 buildings, and bulldozed approximately 14,300 acres of farmland, leading to the forced displacement of over 100,000 residents, roughly one-quarter of the region’s population. These actions, concentrated in Rafah, Sheikh Zuweid, and Arish, have been conducted without sufficient justification of military necessity</w:t>
      </w:r>
      <w:r w:rsidR="004039BE" w:rsidRPr="00323D7F">
        <w:rPr>
          <w:rFonts w:ascii="Garamond" w:hAnsi="Garamond" w:cs="Calibri"/>
        </w:rPr>
        <w:t xml:space="preserve"> as per the report</w:t>
      </w:r>
      <w:r w:rsidR="004039BE" w:rsidRPr="00323D7F">
        <w:rPr>
          <w:rStyle w:val="Appelnotedebasdep"/>
          <w:rFonts w:ascii="Garamond" w:hAnsi="Garamond" w:cs="Calibri"/>
        </w:rPr>
        <w:footnoteReference w:id="7"/>
      </w:r>
      <w:r w:rsidR="004039BE" w:rsidRPr="00323D7F">
        <w:rPr>
          <w:rFonts w:ascii="Garamond" w:hAnsi="Garamond" w:cs="Calibri"/>
        </w:rPr>
        <w:t>.</w:t>
      </w:r>
    </w:p>
    <w:p w14:paraId="185D5B30" w14:textId="5CBCD4BF" w:rsidR="00077FCA" w:rsidRPr="00323D7F" w:rsidRDefault="00B17868"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Residents were </w:t>
      </w:r>
      <w:r w:rsidR="00A57E62" w:rsidRPr="00323D7F">
        <w:rPr>
          <w:rFonts w:ascii="Garamond" w:hAnsi="Garamond" w:cs="Calibri"/>
        </w:rPr>
        <w:t xml:space="preserve">forcibly </w:t>
      </w:r>
      <w:r w:rsidRPr="00323D7F">
        <w:rPr>
          <w:rFonts w:ascii="Garamond" w:hAnsi="Garamond" w:cs="Calibri"/>
        </w:rPr>
        <w:t xml:space="preserve">removed from their homes and lands without proper notice, </w:t>
      </w:r>
      <w:r w:rsidR="00077FCA" w:rsidRPr="00323D7F">
        <w:rPr>
          <w:rFonts w:ascii="Garamond" w:hAnsi="Garamond" w:cs="Calibri"/>
        </w:rPr>
        <w:t xml:space="preserve">information, </w:t>
      </w:r>
      <w:r w:rsidRPr="00323D7F">
        <w:rPr>
          <w:rFonts w:ascii="Garamond" w:hAnsi="Garamond" w:cs="Calibri"/>
        </w:rPr>
        <w:t>consultation</w:t>
      </w:r>
      <w:r w:rsidR="004039BE" w:rsidRPr="00323D7F">
        <w:rPr>
          <w:rFonts w:ascii="Garamond" w:hAnsi="Garamond" w:cs="Calibri"/>
        </w:rPr>
        <w:t xml:space="preserve"> </w:t>
      </w:r>
      <w:r w:rsidRPr="00323D7F">
        <w:rPr>
          <w:rFonts w:ascii="Garamond" w:hAnsi="Garamond" w:cs="Calibri"/>
        </w:rPr>
        <w:t xml:space="preserve">or </w:t>
      </w:r>
      <w:r w:rsidR="00A57E62" w:rsidRPr="00323D7F">
        <w:rPr>
          <w:rFonts w:ascii="Garamond" w:hAnsi="Garamond" w:cs="Calibri"/>
        </w:rPr>
        <w:t>compensation</w:t>
      </w:r>
      <w:r w:rsidRPr="00323D7F">
        <w:rPr>
          <w:rFonts w:ascii="Garamond" w:hAnsi="Garamond" w:cs="Calibri"/>
        </w:rPr>
        <w:t xml:space="preserve">, in violation of international standards on forced eviction, as </w:t>
      </w:r>
      <w:r w:rsidR="00077FCA" w:rsidRPr="00323D7F">
        <w:rPr>
          <w:rFonts w:ascii="Garamond" w:hAnsi="Garamond" w:cs="Calibri"/>
        </w:rPr>
        <w:t xml:space="preserve">detailed </w:t>
      </w:r>
      <w:r w:rsidRPr="00323D7F">
        <w:rPr>
          <w:rFonts w:ascii="Garamond" w:hAnsi="Garamond" w:cs="Calibri"/>
        </w:rPr>
        <w:t>in ICESCR General Comment No. 7. The state also failed to meet required procedural guarantees such as informing residents of eviction reasons, timelines, responsible authorities, or return arrangements</w:t>
      </w:r>
      <w:r w:rsidR="004039BE" w:rsidRPr="00323D7F">
        <w:rPr>
          <w:rStyle w:val="Appelnotedebasdep"/>
          <w:rFonts w:ascii="Garamond" w:hAnsi="Garamond" w:cs="Calibri"/>
        </w:rPr>
        <w:footnoteReference w:id="8"/>
      </w:r>
      <w:r w:rsidRPr="00323D7F">
        <w:rPr>
          <w:rFonts w:ascii="Garamond" w:hAnsi="Garamond" w:cs="Calibri"/>
        </w:rPr>
        <w:t xml:space="preserve">. </w:t>
      </w:r>
    </w:p>
    <w:p w14:paraId="7603F7BB" w14:textId="58EFE4FD" w:rsidR="00B17868" w:rsidRPr="00323D7F" w:rsidRDefault="00B17868"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Regarding compensation, a minority of affected residents received payments, and even then, the amounts were inadequate, failing to cover the extent of property loss or restore prior living standards. For example, many families received only small, insufficient, one-time cash payments and reported that compensation calculations lacked transparency, fairness, and any mechanism for objection. Others received no compensation at all for destroyed agricultural land, which was often their only livelihood source</w:t>
      </w:r>
      <w:r w:rsidR="004039BE" w:rsidRPr="00323D7F">
        <w:rPr>
          <w:rStyle w:val="Appelnotedebasdep"/>
          <w:rFonts w:ascii="Garamond" w:hAnsi="Garamond" w:cs="Calibri"/>
        </w:rPr>
        <w:footnoteReference w:id="9"/>
      </w:r>
      <w:r w:rsidRPr="00323D7F">
        <w:rPr>
          <w:rFonts w:ascii="Garamond" w:hAnsi="Garamond" w:cs="Calibri"/>
        </w:rPr>
        <w:t xml:space="preserve">. </w:t>
      </w:r>
      <w:r w:rsidR="00077FCA" w:rsidRPr="00323D7F">
        <w:rPr>
          <w:rFonts w:ascii="Garamond" w:hAnsi="Garamond" w:cs="Calibri"/>
        </w:rPr>
        <w:t>T</w:t>
      </w:r>
      <w:r w:rsidRPr="00323D7F">
        <w:rPr>
          <w:rFonts w:ascii="Garamond" w:hAnsi="Garamond" w:cs="Calibri"/>
        </w:rPr>
        <w:t>estimonies</w:t>
      </w:r>
      <w:r w:rsidR="00077FCA" w:rsidRPr="00323D7F">
        <w:rPr>
          <w:rFonts w:ascii="Garamond" w:hAnsi="Garamond" w:cs="Calibri"/>
        </w:rPr>
        <w:t xml:space="preserve"> gathered </w:t>
      </w:r>
      <w:r w:rsidRPr="00323D7F">
        <w:rPr>
          <w:rFonts w:ascii="Garamond" w:hAnsi="Garamond" w:cs="Calibri"/>
        </w:rPr>
        <w:t>further shows that even years after displacement, residents continued to face unjust delays and deficiencies in the disbursement of compensation, with parliamentarians publicly describing the process as “unfair” and “unjust”</w:t>
      </w:r>
      <w:r w:rsidR="004039BE" w:rsidRPr="00323D7F">
        <w:rPr>
          <w:rStyle w:val="Appelnotedebasdep"/>
          <w:rFonts w:ascii="Garamond" w:hAnsi="Garamond" w:cs="Calibri"/>
        </w:rPr>
        <w:footnoteReference w:id="10"/>
      </w:r>
      <w:r w:rsidRPr="00323D7F">
        <w:rPr>
          <w:rFonts w:ascii="Garamond" w:hAnsi="Garamond" w:cs="Calibri"/>
        </w:rPr>
        <w:t xml:space="preserve">. </w:t>
      </w:r>
    </w:p>
    <w:p w14:paraId="205C78EB" w14:textId="52B4996C" w:rsidR="00CC441E" w:rsidRPr="00323D7F" w:rsidRDefault="00184EF6"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lastRenderedPageBreak/>
        <w:t xml:space="preserve">These violations </w:t>
      </w:r>
      <w:r w:rsidR="00077FCA" w:rsidRPr="00323D7F">
        <w:rPr>
          <w:rFonts w:ascii="Garamond" w:hAnsi="Garamond" w:cs="Calibri"/>
        </w:rPr>
        <w:t xml:space="preserve">of the right to adequate housing </w:t>
      </w:r>
      <w:r w:rsidRPr="00323D7F">
        <w:rPr>
          <w:rFonts w:ascii="Garamond" w:hAnsi="Garamond" w:cs="Calibri"/>
        </w:rPr>
        <w:t>continue</w:t>
      </w:r>
      <w:r w:rsidR="00077FCA" w:rsidRPr="00323D7F">
        <w:rPr>
          <w:rFonts w:ascii="Garamond" w:hAnsi="Garamond" w:cs="Calibri"/>
        </w:rPr>
        <w:t xml:space="preserve"> until today. I</w:t>
      </w:r>
      <w:r w:rsidRPr="00323D7F">
        <w:rPr>
          <w:rFonts w:ascii="Garamond" w:hAnsi="Garamond" w:cs="Calibri"/>
        </w:rPr>
        <w:t>n</w:t>
      </w:r>
      <w:r w:rsidR="00CC441E" w:rsidRPr="00323D7F">
        <w:rPr>
          <w:rFonts w:ascii="Garamond" w:hAnsi="Garamond" w:cs="Calibri"/>
        </w:rPr>
        <w:t xml:space="preserve"> July 2025, authorities conducted </w:t>
      </w:r>
      <w:r w:rsidR="00077FCA" w:rsidRPr="00323D7F">
        <w:rPr>
          <w:rFonts w:ascii="Garamond" w:hAnsi="Garamond" w:cs="Calibri"/>
        </w:rPr>
        <w:t xml:space="preserve">a </w:t>
      </w:r>
      <w:r w:rsidR="00CC441E" w:rsidRPr="00323D7F">
        <w:rPr>
          <w:rFonts w:ascii="Garamond" w:hAnsi="Garamond" w:cs="Calibri"/>
        </w:rPr>
        <w:t>new</w:t>
      </w:r>
      <w:r w:rsidR="00077FCA" w:rsidRPr="00323D7F">
        <w:rPr>
          <w:rFonts w:ascii="Garamond" w:hAnsi="Garamond" w:cs="Calibri"/>
        </w:rPr>
        <w:t xml:space="preserve"> wave of</w:t>
      </w:r>
      <w:r w:rsidR="00CC441E" w:rsidRPr="00323D7F">
        <w:rPr>
          <w:rFonts w:ascii="Garamond" w:hAnsi="Garamond" w:cs="Calibri"/>
        </w:rPr>
        <w:t xml:space="preserve"> demolitions and forced evictions in Al-Arish City to make way for a project under the Suez Canal Economic Zone, including the construction of three maritime berths covering 425,000 m². Although presented as a development initiative of “national benefit,” the project was implemented without prior, free, and informed consultation with the local Bedouin</w:t>
      </w:r>
      <w:r w:rsidR="00077FCA" w:rsidRPr="00323D7F">
        <w:rPr>
          <w:rFonts w:ascii="Garamond" w:hAnsi="Garamond" w:cs="Calibri"/>
        </w:rPr>
        <w:t xml:space="preserve"> indigenous</w:t>
      </w:r>
      <w:r w:rsidR="00CC441E" w:rsidRPr="00323D7F">
        <w:rPr>
          <w:rFonts w:ascii="Garamond" w:hAnsi="Garamond" w:cs="Calibri"/>
        </w:rPr>
        <w:t xml:space="preserve"> </w:t>
      </w:r>
      <w:r w:rsidR="00077FCA" w:rsidRPr="00323D7F">
        <w:rPr>
          <w:rFonts w:ascii="Garamond" w:hAnsi="Garamond" w:cs="Calibri"/>
        </w:rPr>
        <w:t xml:space="preserve">people </w:t>
      </w:r>
      <w:r w:rsidR="00CC441E" w:rsidRPr="00323D7F">
        <w:rPr>
          <w:rFonts w:ascii="Garamond" w:hAnsi="Garamond" w:cs="Calibri"/>
        </w:rPr>
        <w:t>and ignored their alternative proposals to minimize harm.</w:t>
      </w:r>
    </w:p>
    <w:p w14:paraId="2B7F6041" w14:textId="590DF20F" w:rsidR="00CC441E" w:rsidRPr="009E58BE" w:rsidRDefault="00CC441E" w:rsidP="009E58BE">
      <w:pPr>
        <w:adjustRightInd w:val="0"/>
        <w:spacing w:after="240" w:line="360" w:lineRule="auto"/>
        <w:ind w:left="66"/>
        <w:rPr>
          <w:rFonts w:ascii="Garamond" w:hAnsi="Garamond" w:cs="Calibri"/>
          <w:b/>
          <w:bCs/>
        </w:rPr>
      </w:pPr>
      <w:r w:rsidRPr="009E58BE">
        <w:rPr>
          <w:rFonts w:ascii="Garamond" w:hAnsi="Garamond" w:cs="Calibri"/>
          <w:b/>
          <w:bCs/>
        </w:rPr>
        <w:t>Nubian Right</w:t>
      </w:r>
      <w:r w:rsidR="00E53C9B" w:rsidRPr="009E58BE">
        <w:rPr>
          <w:rFonts w:ascii="Garamond" w:hAnsi="Garamond" w:cs="Calibri"/>
          <w:b/>
          <w:bCs/>
        </w:rPr>
        <w:t>s</w:t>
      </w:r>
      <w:r w:rsidRPr="009E58BE">
        <w:rPr>
          <w:rFonts w:ascii="Garamond" w:hAnsi="Garamond" w:cs="Calibri"/>
          <w:b/>
          <w:bCs/>
        </w:rPr>
        <w:t xml:space="preserve"> to Return and Land Confiscation</w:t>
      </w:r>
    </w:p>
    <w:p w14:paraId="380B78C4" w14:textId="18DE6E13" w:rsidR="003E2AB4" w:rsidRPr="00323D7F" w:rsidRDefault="00077FCA"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The construction of the Aswan Dam and its reservoir in the 1960s resulted in the forced eviction of over 50,000 Nubians (Black </w:t>
      </w:r>
      <w:r w:rsidR="00C75209" w:rsidRPr="00323D7F">
        <w:rPr>
          <w:rFonts w:ascii="Garamond" w:hAnsi="Garamond" w:cs="Calibri"/>
        </w:rPr>
        <w:t>Indigenous People</w:t>
      </w:r>
      <w:r w:rsidRPr="00323D7F">
        <w:rPr>
          <w:rFonts w:ascii="Garamond" w:hAnsi="Garamond" w:cs="Calibri"/>
        </w:rPr>
        <w:t xml:space="preserve"> from the South of Egypt)</w:t>
      </w:r>
      <w:r w:rsidR="003E2AB4" w:rsidRPr="00323D7F">
        <w:rPr>
          <w:rFonts w:ascii="Garamond" w:hAnsi="Garamond" w:cs="Calibri"/>
        </w:rPr>
        <w:t xml:space="preserve">, who were resettled in new villages. </w:t>
      </w:r>
      <w:r w:rsidR="00C75209" w:rsidRPr="00323D7F">
        <w:rPr>
          <w:rFonts w:ascii="Garamond" w:hAnsi="Garamond" w:cs="Calibri"/>
        </w:rPr>
        <w:t>In 2014, they have won the</w:t>
      </w:r>
      <w:r w:rsidR="003E2AB4" w:rsidRPr="00323D7F">
        <w:rPr>
          <w:rFonts w:ascii="Garamond" w:hAnsi="Garamond" w:cs="Calibri"/>
        </w:rPr>
        <w:t xml:space="preserve"> constitutional right </w:t>
      </w:r>
      <w:r w:rsidR="0014451B" w:rsidRPr="00323D7F">
        <w:rPr>
          <w:rFonts w:ascii="Garamond" w:hAnsi="Garamond" w:cs="Calibri"/>
        </w:rPr>
        <w:t xml:space="preserve">under Article 236 of the 2014 Constitution </w:t>
      </w:r>
      <w:r w:rsidR="003E2AB4" w:rsidRPr="00323D7F">
        <w:rPr>
          <w:rFonts w:ascii="Garamond" w:hAnsi="Garamond" w:cs="Calibri"/>
        </w:rPr>
        <w:t xml:space="preserve">to return to their ancestral lands </w:t>
      </w:r>
      <w:r w:rsidR="00C75209" w:rsidRPr="00323D7F">
        <w:rPr>
          <w:rFonts w:ascii="Garamond" w:hAnsi="Garamond" w:cs="Calibri"/>
        </w:rPr>
        <w:t>from which the waters have subsided after the initial submerging</w:t>
      </w:r>
      <w:r w:rsidR="003E2AB4" w:rsidRPr="00323D7F">
        <w:rPr>
          <w:rFonts w:ascii="Garamond" w:hAnsi="Garamond" w:cs="Calibri"/>
        </w:rPr>
        <w:t xml:space="preserve">. </w:t>
      </w:r>
      <w:r w:rsidR="00C75209" w:rsidRPr="00323D7F">
        <w:rPr>
          <w:rFonts w:ascii="Garamond" w:hAnsi="Garamond" w:cs="Calibri"/>
        </w:rPr>
        <w:t>The</w:t>
      </w:r>
      <w:r w:rsidR="003E2AB4" w:rsidRPr="00323D7F">
        <w:rPr>
          <w:rFonts w:ascii="Garamond" w:hAnsi="Garamond" w:cs="Calibri"/>
        </w:rPr>
        <w:t xml:space="preserve"> right to return to their ancestral </w:t>
      </w:r>
      <w:r w:rsidR="00C75209" w:rsidRPr="00323D7F">
        <w:rPr>
          <w:rFonts w:ascii="Garamond" w:hAnsi="Garamond" w:cs="Calibri"/>
        </w:rPr>
        <w:t>lands was an</w:t>
      </w:r>
      <w:r w:rsidR="003E2AB4" w:rsidRPr="00323D7F">
        <w:rPr>
          <w:rFonts w:ascii="Garamond" w:hAnsi="Garamond" w:cs="Calibri"/>
        </w:rPr>
        <w:t xml:space="preserve"> issue long at the heart of Nubian activism since their forced displacement in the 1960s. However, the ten-year deadline (2014–2024) </w:t>
      </w:r>
      <w:r w:rsidR="00C75209" w:rsidRPr="00323D7F">
        <w:rPr>
          <w:rFonts w:ascii="Garamond" w:hAnsi="Garamond" w:cs="Calibri"/>
        </w:rPr>
        <w:t>mentioned in the constitution</w:t>
      </w:r>
      <w:r w:rsidR="0014451B" w:rsidRPr="00323D7F">
        <w:rPr>
          <w:rFonts w:ascii="Garamond" w:hAnsi="Garamond" w:cs="Calibri"/>
        </w:rPr>
        <w:t xml:space="preserve"> obliging the government to facilitate their</w:t>
      </w:r>
      <w:r w:rsidR="00C75209" w:rsidRPr="00323D7F">
        <w:rPr>
          <w:rFonts w:ascii="Garamond" w:hAnsi="Garamond" w:cs="Calibri"/>
        </w:rPr>
        <w:t xml:space="preserve"> </w:t>
      </w:r>
      <w:r w:rsidR="0014451B" w:rsidRPr="00323D7F">
        <w:rPr>
          <w:rFonts w:ascii="Garamond" w:hAnsi="Garamond" w:cs="Calibri"/>
        </w:rPr>
        <w:t>return</w:t>
      </w:r>
      <w:r w:rsidR="00C75209" w:rsidRPr="00323D7F">
        <w:rPr>
          <w:rFonts w:ascii="Garamond" w:hAnsi="Garamond" w:cs="Calibri"/>
        </w:rPr>
        <w:t xml:space="preserve"> </w:t>
      </w:r>
      <w:r w:rsidR="003E2AB4" w:rsidRPr="00323D7F">
        <w:rPr>
          <w:rFonts w:ascii="Garamond" w:hAnsi="Garamond" w:cs="Calibri"/>
        </w:rPr>
        <w:t>expired without the return being realized.</w:t>
      </w:r>
      <w:r w:rsidR="0014451B" w:rsidRPr="00323D7F">
        <w:rPr>
          <w:rStyle w:val="Appelnotedebasdep"/>
          <w:rFonts w:ascii="Garamond" w:hAnsi="Garamond" w:cs="Calibri"/>
        </w:rPr>
        <w:footnoteReference w:id="11"/>
      </w:r>
      <w:r w:rsidR="003E2AB4" w:rsidRPr="00323D7F">
        <w:rPr>
          <w:rFonts w:ascii="Garamond" w:hAnsi="Garamond" w:cs="Calibri"/>
        </w:rPr>
        <w:t xml:space="preserve"> Hence, the need for accountability for the unmet constitutional provisions. </w:t>
      </w:r>
    </w:p>
    <w:p w14:paraId="4412BA2D" w14:textId="059C6675" w:rsidR="0014451B" w:rsidRPr="00323D7F" w:rsidRDefault="0014451B"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Despite this constitutional guarantee, several presidential decrees—Decree 444/2014 and Decree 355/2016—have allocated parts of these ancestral territories to business ventures and military zones, preventing the realization of the right to return. The government’s compensation process, presented as a substitute for resettlement, lacked transparency and failed to ensure Nubians’ </w:t>
      </w:r>
      <w:r w:rsidR="00256880">
        <w:rPr>
          <w:rFonts w:ascii="Garamond" w:hAnsi="Garamond" w:cs="Calibri"/>
        </w:rPr>
        <w:t>f</w:t>
      </w:r>
      <w:r w:rsidRPr="00323D7F">
        <w:rPr>
          <w:rFonts w:ascii="Garamond" w:hAnsi="Garamond" w:cs="Calibri"/>
        </w:rPr>
        <w:t xml:space="preserve">ree, </w:t>
      </w:r>
      <w:r w:rsidR="00256880">
        <w:rPr>
          <w:rFonts w:ascii="Garamond" w:hAnsi="Garamond" w:cs="Calibri"/>
        </w:rPr>
        <w:t>p</w:t>
      </w:r>
      <w:r w:rsidRPr="00323D7F">
        <w:rPr>
          <w:rFonts w:ascii="Garamond" w:hAnsi="Garamond" w:cs="Calibri"/>
        </w:rPr>
        <w:t xml:space="preserve">rior, and </w:t>
      </w:r>
      <w:r w:rsidR="00256880">
        <w:rPr>
          <w:rFonts w:ascii="Garamond" w:hAnsi="Garamond" w:cs="Calibri"/>
        </w:rPr>
        <w:t>i</w:t>
      </w:r>
      <w:r w:rsidRPr="00323D7F">
        <w:rPr>
          <w:rFonts w:ascii="Garamond" w:hAnsi="Garamond" w:cs="Calibri"/>
        </w:rPr>
        <w:t xml:space="preserve">nformed </w:t>
      </w:r>
      <w:r w:rsidR="00256880">
        <w:rPr>
          <w:rFonts w:ascii="Garamond" w:hAnsi="Garamond" w:cs="Calibri"/>
        </w:rPr>
        <w:t>c</w:t>
      </w:r>
      <w:r w:rsidRPr="00323D7F">
        <w:rPr>
          <w:rFonts w:ascii="Garamond" w:hAnsi="Garamond" w:cs="Calibri"/>
        </w:rPr>
        <w:t>onsent (FPIC).</w:t>
      </w:r>
    </w:p>
    <w:p w14:paraId="22F5F181" w14:textId="10DC8BD7" w:rsidR="004507BB" w:rsidRPr="00323D7F" w:rsidRDefault="00077FCA"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In 2017</w:t>
      </w:r>
      <w:r w:rsidR="003E2AB4" w:rsidRPr="00323D7F">
        <w:rPr>
          <w:rFonts w:ascii="Garamond" w:hAnsi="Garamond" w:cs="Calibri"/>
        </w:rPr>
        <w:t xml:space="preserve"> and 2019</w:t>
      </w:r>
      <w:r w:rsidRPr="00323D7F">
        <w:rPr>
          <w:rFonts w:ascii="Garamond" w:hAnsi="Garamond" w:cs="Calibri"/>
        </w:rPr>
        <w:t xml:space="preserve">, Egypt’s </w:t>
      </w:r>
      <w:r w:rsidR="004507BB" w:rsidRPr="00323D7F">
        <w:rPr>
          <w:rFonts w:ascii="Garamond" w:hAnsi="Garamond" w:cs="Calibri"/>
        </w:rPr>
        <w:t>Prime Minister</w:t>
      </w:r>
      <w:r w:rsidRPr="00323D7F">
        <w:rPr>
          <w:rFonts w:ascii="Garamond" w:hAnsi="Garamond" w:cs="Calibri"/>
        </w:rPr>
        <w:t>s</w:t>
      </w:r>
      <w:r w:rsidR="004507BB" w:rsidRPr="00323D7F">
        <w:rPr>
          <w:rFonts w:ascii="Garamond" w:hAnsi="Garamond" w:cs="Calibri"/>
        </w:rPr>
        <w:t xml:space="preserve"> issued Decision No. 478 of 2017 and Decision No. 371 of 2019 aimed at disbursing compensation to families of those who have been displaced </w:t>
      </w:r>
      <w:proofErr w:type="gramStart"/>
      <w:r w:rsidR="004507BB" w:rsidRPr="00323D7F">
        <w:rPr>
          <w:rFonts w:ascii="Garamond" w:hAnsi="Garamond" w:cs="Calibri"/>
        </w:rPr>
        <w:t>as a result of</w:t>
      </w:r>
      <w:proofErr w:type="gramEnd"/>
      <w:r w:rsidR="004507BB" w:rsidRPr="00323D7F">
        <w:rPr>
          <w:rFonts w:ascii="Garamond" w:hAnsi="Garamond" w:cs="Calibri"/>
        </w:rPr>
        <w:t xml:space="preserve"> the Aswan Dam </w:t>
      </w:r>
      <w:r w:rsidR="0014451B" w:rsidRPr="00323D7F">
        <w:rPr>
          <w:rFonts w:ascii="Garamond" w:hAnsi="Garamond" w:cs="Calibri"/>
        </w:rPr>
        <w:t>building</w:t>
      </w:r>
      <w:r w:rsidR="004507BB" w:rsidRPr="00323D7F">
        <w:rPr>
          <w:rFonts w:ascii="Garamond" w:hAnsi="Garamond" w:cs="Calibri"/>
        </w:rPr>
        <w:t xml:space="preserve">. The decisions lacked reference to a judicial mechanism to appeal the decision and the value of the compensation offered and was issued without adequate and meaningful consultation with concerned Nubian families. The </w:t>
      </w:r>
      <w:r w:rsidR="004507BB" w:rsidRPr="00323D7F">
        <w:rPr>
          <w:rFonts w:ascii="Garamond" w:hAnsi="Garamond" w:cs="Calibri"/>
        </w:rPr>
        <w:lastRenderedPageBreak/>
        <w:t xml:space="preserve">Decision has circumvented the right to return to the Nubian historic lands that has been stipulated in Article 236 of the Constitution and agreed with Nubian local leaders in 2014. </w:t>
      </w:r>
    </w:p>
    <w:p w14:paraId="00DC2A8C" w14:textId="680944C5" w:rsidR="00B55724" w:rsidRPr="009E58BE" w:rsidRDefault="00B55724" w:rsidP="009E58BE">
      <w:pPr>
        <w:adjustRightInd w:val="0"/>
        <w:spacing w:after="240" w:line="360" w:lineRule="auto"/>
        <w:ind w:left="66"/>
        <w:rPr>
          <w:rFonts w:ascii="Garamond" w:hAnsi="Garamond" w:cs="Calibri"/>
          <w:b/>
          <w:bCs/>
        </w:rPr>
      </w:pPr>
      <w:r w:rsidRPr="009E58BE">
        <w:rPr>
          <w:rFonts w:ascii="Garamond" w:hAnsi="Garamond" w:cs="Calibri"/>
          <w:b/>
          <w:bCs/>
        </w:rPr>
        <w:t>Discrimination</w:t>
      </w:r>
      <w:r w:rsidR="00B83EEA" w:rsidRPr="009E58BE">
        <w:rPr>
          <w:rFonts w:ascii="Garamond" w:hAnsi="Garamond" w:cs="Calibri"/>
          <w:b/>
          <w:bCs/>
        </w:rPr>
        <w:t xml:space="preserve"> in the enjoyment of the right</w:t>
      </w:r>
      <w:r w:rsidRPr="009E58BE">
        <w:rPr>
          <w:rFonts w:ascii="Garamond" w:hAnsi="Garamond" w:cs="Calibri"/>
          <w:b/>
          <w:bCs/>
        </w:rPr>
        <w:t xml:space="preserve"> to adequate housing </w:t>
      </w:r>
      <w:r w:rsidR="00B83EEA" w:rsidRPr="009E58BE">
        <w:rPr>
          <w:rFonts w:ascii="Garamond" w:hAnsi="Garamond" w:cs="Calibri"/>
          <w:b/>
          <w:bCs/>
        </w:rPr>
        <w:t>based on actual or perceived sexual orientation, gender identity and gender expression</w:t>
      </w:r>
    </w:p>
    <w:p w14:paraId="7694239A" w14:textId="2539241A" w:rsidR="00B17868" w:rsidRPr="009E58BE" w:rsidRDefault="00B17868" w:rsidP="009E58BE">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Transgender, non-binary, and LGBTQ+ individuals in Egypt face systemic </w:t>
      </w:r>
      <w:r w:rsidR="00B83EEA" w:rsidRPr="00323D7F">
        <w:rPr>
          <w:rFonts w:ascii="Garamond" w:hAnsi="Garamond" w:cs="Calibri"/>
        </w:rPr>
        <w:t>difficulties in terms of access to housing</w:t>
      </w:r>
      <w:r w:rsidRPr="00323D7F">
        <w:rPr>
          <w:rFonts w:ascii="Garamond" w:hAnsi="Garamond" w:cs="Calibri"/>
        </w:rPr>
        <w:t xml:space="preserve">, beginning with widespread </w:t>
      </w:r>
      <w:r w:rsidR="0014451B" w:rsidRPr="00323D7F">
        <w:rPr>
          <w:rFonts w:ascii="Garamond" w:hAnsi="Garamond" w:cs="Calibri"/>
        </w:rPr>
        <w:t>eviction</w:t>
      </w:r>
      <w:r w:rsidRPr="00323D7F">
        <w:rPr>
          <w:rFonts w:ascii="Garamond" w:hAnsi="Garamond" w:cs="Calibri"/>
        </w:rPr>
        <w:t xml:space="preserve"> from family homes,</w:t>
      </w:r>
      <w:r w:rsidR="00256880">
        <w:rPr>
          <w:rFonts w:ascii="Garamond" w:hAnsi="Garamond" w:cs="Calibri"/>
        </w:rPr>
        <w:t xml:space="preserve"> which</w:t>
      </w:r>
      <w:r w:rsidRPr="00323D7F">
        <w:rPr>
          <w:rFonts w:ascii="Garamond" w:hAnsi="Garamond" w:cs="Calibri"/>
        </w:rPr>
        <w:t xml:space="preserve"> </w:t>
      </w:r>
      <w:r w:rsidR="0014451B" w:rsidRPr="00323D7F">
        <w:rPr>
          <w:rFonts w:ascii="Garamond" w:hAnsi="Garamond" w:cs="Calibri"/>
        </w:rPr>
        <w:t>is identified</w:t>
      </w:r>
      <w:r w:rsidRPr="00323D7F">
        <w:rPr>
          <w:rFonts w:ascii="Garamond" w:hAnsi="Garamond" w:cs="Calibri"/>
        </w:rPr>
        <w:t xml:space="preserve"> as one of the most common forms of abuse, especially against transgender women who are expelled at disproportionate rates and subsequently exposed to homelessness, </w:t>
      </w:r>
      <w:r w:rsidR="00B83EEA" w:rsidRPr="00323D7F">
        <w:rPr>
          <w:rFonts w:ascii="Garamond" w:hAnsi="Garamond" w:cs="Calibri"/>
        </w:rPr>
        <w:t xml:space="preserve">sexual and other forms of </w:t>
      </w:r>
      <w:r w:rsidRPr="00323D7F">
        <w:rPr>
          <w:rFonts w:ascii="Garamond" w:hAnsi="Garamond" w:cs="Calibri"/>
        </w:rPr>
        <w:t xml:space="preserve">exploitation, and violence. Once </w:t>
      </w:r>
      <w:r w:rsidR="00E51859" w:rsidRPr="00323D7F">
        <w:rPr>
          <w:rFonts w:ascii="Garamond" w:hAnsi="Garamond" w:cs="Calibri"/>
        </w:rPr>
        <w:t>evicted by their families</w:t>
      </w:r>
      <w:r w:rsidRPr="00323D7F">
        <w:rPr>
          <w:rFonts w:ascii="Garamond" w:hAnsi="Garamond" w:cs="Calibri"/>
        </w:rPr>
        <w:t xml:space="preserve">, many are unable to secure safe or stable housing due to </w:t>
      </w:r>
      <w:r w:rsidR="00B83EEA" w:rsidRPr="00323D7F">
        <w:rPr>
          <w:rFonts w:ascii="Garamond" w:hAnsi="Garamond" w:cs="Calibri"/>
        </w:rPr>
        <w:t xml:space="preserve">social stigma, </w:t>
      </w:r>
      <w:r w:rsidRPr="00323D7F">
        <w:rPr>
          <w:rFonts w:ascii="Garamond" w:hAnsi="Garamond" w:cs="Calibri"/>
        </w:rPr>
        <w:t xml:space="preserve">discrimination, refusal of landlords, and the inability to access formal employment or official documents, leaving them </w:t>
      </w:r>
      <w:r w:rsidR="00B83EEA" w:rsidRPr="00323D7F">
        <w:rPr>
          <w:rFonts w:ascii="Garamond" w:hAnsi="Garamond" w:cs="Calibri"/>
        </w:rPr>
        <w:t xml:space="preserve">vulnerable and </w:t>
      </w:r>
      <w:r w:rsidRPr="00323D7F">
        <w:rPr>
          <w:rFonts w:ascii="Garamond" w:hAnsi="Garamond" w:cs="Calibri"/>
        </w:rPr>
        <w:t>reliant on emergency shelter services.</w:t>
      </w:r>
      <w:r w:rsidR="00733CC7" w:rsidRPr="00323D7F">
        <w:rPr>
          <w:rStyle w:val="Appelnotedebasdep"/>
          <w:rFonts w:ascii="Garamond" w:hAnsi="Garamond" w:cs="Calibri"/>
        </w:rPr>
        <w:footnoteReference w:id="12"/>
      </w:r>
    </w:p>
    <w:p w14:paraId="48A4A5A2" w14:textId="629B6153" w:rsidR="005C4470" w:rsidRPr="009E58BE" w:rsidRDefault="009E58BE" w:rsidP="009E58BE">
      <w:pPr>
        <w:adjustRightInd w:val="0"/>
        <w:spacing w:after="240" w:line="360" w:lineRule="auto"/>
        <w:ind w:left="66"/>
        <w:rPr>
          <w:rFonts w:ascii="Garamond" w:hAnsi="Garamond" w:cs="Calibri"/>
          <w:b/>
          <w:bCs/>
          <w:lang w:val="en-US"/>
        </w:rPr>
      </w:pPr>
      <w:r>
        <w:rPr>
          <w:rFonts w:ascii="Garamond" w:hAnsi="Garamond" w:cs="Calibri"/>
          <w:b/>
          <w:bCs/>
          <w:lang w:val="en-US"/>
        </w:rPr>
        <w:t>ARTICLE</w:t>
      </w:r>
      <w:r w:rsidR="005C4470" w:rsidRPr="009E58BE">
        <w:rPr>
          <w:rFonts w:ascii="Garamond" w:hAnsi="Garamond" w:cs="Calibri"/>
          <w:b/>
          <w:bCs/>
          <w:lang w:val="en-US"/>
        </w:rPr>
        <w:t xml:space="preserve"> 12 – </w:t>
      </w:r>
      <w:r>
        <w:rPr>
          <w:rFonts w:ascii="Garamond" w:hAnsi="Garamond" w:cs="Calibri"/>
          <w:b/>
          <w:bCs/>
          <w:lang w:val="en-US"/>
        </w:rPr>
        <w:t>RIGHT TO HEALTH</w:t>
      </w:r>
    </w:p>
    <w:p w14:paraId="5A7C27BB" w14:textId="3705622E" w:rsidR="005C4470" w:rsidRPr="009E58BE" w:rsidRDefault="005C4470" w:rsidP="009E58BE">
      <w:pPr>
        <w:adjustRightInd w:val="0"/>
        <w:spacing w:after="240" w:line="360" w:lineRule="auto"/>
        <w:rPr>
          <w:rFonts w:ascii="Garamond" w:hAnsi="Garamond" w:cs="Calibri"/>
          <w:b/>
          <w:bCs/>
        </w:rPr>
      </w:pPr>
      <w:r w:rsidRPr="009E58BE">
        <w:rPr>
          <w:rFonts w:ascii="Garamond" w:hAnsi="Garamond" w:cs="Calibri"/>
          <w:b/>
          <w:bCs/>
        </w:rPr>
        <w:t>Denial of Legal Gender Recognition and Medical Access</w:t>
      </w:r>
    </w:p>
    <w:p w14:paraId="777FE315" w14:textId="0D798DF1" w:rsidR="003907A3" w:rsidRPr="00323D7F" w:rsidRDefault="007819F9"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Transgender people in Egypt face coercive health practices, including forced psychological treatment or confinement in psychiatric hospitals under the guise of “correcting” their gender identity. Families often pressure them to submit to “corrective therapy”. These forms of interventions violate the principle of informed consent and caus</w:t>
      </w:r>
      <w:r w:rsidR="004E3F43" w:rsidRPr="00323D7F">
        <w:rPr>
          <w:rFonts w:ascii="Garamond" w:hAnsi="Garamond" w:cs="Calibri"/>
        </w:rPr>
        <w:t>e</w:t>
      </w:r>
      <w:r w:rsidRPr="00323D7F">
        <w:rPr>
          <w:rFonts w:ascii="Garamond" w:hAnsi="Garamond" w:cs="Calibri"/>
        </w:rPr>
        <w:t xml:space="preserve"> severe psychological and physical harm</w:t>
      </w:r>
      <w:r w:rsidR="004E3F43" w:rsidRPr="00323D7F">
        <w:rPr>
          <w:rFonts w:ascii="Garamond" w:hAnsi="Garamond" w:cs="Calibri"/>
        </w:rPr>
        <w:t>. They also violate transgender persons’</w:t>
      </w:r>
      <w:r w:rsidRPr="00323D7F">
        <w:rPr>
          <w:rFonts w:ascii="Garamond" w:hAnsi="Garamond" w:cs="Calibri"/>
        </w:rPr>
        <w:t xml:space="preserve"> bodily autonomy</w:t>
      </w:r>
      <w:r w:rsidR="005E72CC" w:rsidRPr="00323D7F">
        <w:rPr>
          <w:rFonts w:ascii="Garamond" w:hAnsi="Garamond" w:cs="Calibri"/>
        </w:rPr>
        <w:t xml:space="preserve"> and </w:t>
      </w:r>
      <w:r w:rsidR="004E3F43" w:rsidRPr="00323D7F">
        <w:rPr>
          <w:rFonts w:ascii="Garamond" w:hAnsi="Garamond" w:cs="Calibri"/>
        </w:rPr>
        <w:t xml:space="preserve">their </w:t>
      </w:r>
      <w:r w:rsidR="005E72CC" w:rsidRPr="00323D7F">
        <w:rPr>
          <w:rFonts w:ascii="Garamond" w:hAnsi="Garamond" w:cs="Calibri"/>
        </w:rPr>
        <w:t>dignity</w:t>
      </w:r>
      <w:r w:rsidRPr="00323D7F">
        <w:rPr>
          <w:rFonts w:ascii="Garamond" w:hAnsi="Garamond" w:cs="Calibri"/>
        </w:rPr>
        <w:t xml:space="preserve">. It </w:t>
      </w:r>
      <w:r w:rsidR="004E3F43" w:rsidRPr="00323D7F">
        <w:rPr>
          <w:rFonts w:ascii="Garamond" w:hAnsi="Garamond" w:cs="Calibri"/>
        </w:rPr>
        <w:t>violates</w:t>
      </w:r>
      <w:r w:rsidRPr="00323D7F">
        <w:rPr>
          <w:rFonts w:ascii="Garamond" w:hAnsi="Garamond" w:cs="Calibri"/>
        </w:rPr>
        <w:t xml:space="preserve"> the obligation to provide acceptable health care.</w:t>
      </w:r>
    </w:p>
    <w:p w14:paraId="7FAB3BD2" w14:textId="48985440" w:rsidR="00CA3009" w:rsidRPr="00323D7F" w:rsidRDefault="00CA3009"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Under the Egyptian Medical Syndicate’s Code of Professional Ethics, a “sex-correction committee” was formally created in 2003 to review cases involving intersex individuals and those seeking sex reassignment. The committee is composed of seven members: two psychology professors, an andrology specialist, a genetics and endocrinology professor, a representative from the Medical Syndicate, a delegate from Dar al-</w:t>
      </w:r>
      <w:proofErr w:type="spellStart"/>
      <w:r w:rsidRPr="00323D7F">
        <w:rPr>
          <w:rFonts w:ascii="Garamond" w:hAnsi="Garamond" w:cs="Calibri"/>
        </w:rPr>
        <w:t>Ifta</w:t>
      </w:r>
      <w:proofErr w:type="spellEnd"/>
      <w:r w:rsidR="004E3F43" w:rsidRPr="00323D7F">
        <w:rPr>
          <w:rFonts w:ascii="Garamond" w:hAnsi="Garamond" w:cs="Calibri"/>
        </w:rPr>
        <w:t xml:space="preserve"> (a state-supported Islamic advisory body providing religious guidance)</w:t>
      </w:r>
      <w:r w:rsidRPr="00323D7F">
        <w:rPr>
          <w:rFonts w:ascii="Garamond" w:hAnsi="Garamond" w:cs="Calibri"/>
        </w:rPr>
        <w:t>, and the committee’s chairperson</w:t>
      </w:r>
      <w:r w:rsidR="005E02E6" w:rsidRPr="00323D7F">
        <w:rPr>
          <w:rStyle w:val="Appelnotedebasdep"/>
          <w:rFonts w:ascii="Garamond" w:hAnsi="Garamond" w:cs="Calibri"/>
        </w:rPr>
        <w:footnoteReference w:id="13"/>
      </w:r>
      <w:r w:rsidRPr="00323D7F">
        <w:rPr>
          <w:rFonts w:ascii="Garamond" w:hAnsi="Garamond" w:cs="Calibri"/>
        </w:rPr>
        <w:t>.</w:t>
      </w:r>
    </w:p>
    <w:p w14:paraId="4C459172" w14:textId="1FA37417" w:rsidR="00AF650A" w:rsidRPr="00323D7F" w:rsidRDefault="008C192E"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Nevertheless, transgender people diagnosed with </w:t>
      </w:r>
      <w:r w:rsidR="00717A70" w:rsidRPr="00323D7F">
        <w:rPr>
          <w:rFonts w:ascii="Garamond" w:hAnsi="Garamond" w:cs="Calibri"/>
        </w:rPr>
        <w:t>“</w:t>
      </w:r>
      <w:r w:rsidRPr="00323D7F">
        <w:rPr>
          <w:rFonts w:ascii="Garamond" w:hAnsi="Garamond" w:cs="Calibri"/>
        </w:rPr>
        <w:t>gender identity disorder</w:t>
      </w:r>
      <w:r w:rsidR="00717A70" w:rsidRPr="00323D7F">
        <w:rPr>
          <w:rFonts w:ascii="Garamond" w:hAnsi="Garamond" w:cs="Calibri"/>
        </w:rPr>
        <w:t>”</w:t>
      </w:r>
      <w:r w:rsidRPr="00323D7F">
        <w:rPr>
          <w:rFonts w:ascii="Garamond" w:hAnsi="Garamond" w:cs="Calibri"/>
        </w:rPr>
        <w:t xml:space="preserve"> </w:t>
      </w:r>
      <w:r w:rsidR="005E02E6" w:rsidRPr="00323D7F">
        <w:rPr>
          <w:rFonts w:ascii="Garamond" w:hAnsi="Garamond" w:cs="Calibri"/>
        </w:rPr>
        <w:t xml:space="preserve">(according to the terminology used by local institutions) </w:t>
      </w:r>
      <w:r w:rsidRPr="00323D7F">
        <w:rPr>
          <w:rFonts w:ascii="Garamond" w:hAnsi="Garamond" w:cs="Calibri"/>
        </w:rPr>
        <w:t xml:space="preserve">continue to submit applications to this </w:t>
      </w:r>
      <w:r w:rsidRPr="00323D7F">
        <w:rPr>
          <w:rFonts w:ascii="Garamond" w:hAnsi="Garamond" w:cs="Calibri"/>
        </w:rPr>
        <w:lastRenderedPageBreak/>
        <w:t>committee, yet they receive no scheduled hearings or assurances that their requests will be considered. Consequently, many are compelled to pursue legal action to modify their identification documents. Most of these lawsuits are dismissed, largely because there is no legal framework governing gender</w:t>
      </w:r>
      <w:r w:rsidR="00717A70" w:rsidRPr="00323D7F">
        <w:rPr>
          <w:rFonts w:ascii="Garamond" w:hAnsi="Garamond" w:cs="Calibri"/>
        </w:rPr>
        <w:t xml:space="preserve"> transition</w:t>
      </w:r>
      <w:r w:rsidR="005E02E6" w:rsidRPr="00323D7F">
        <w:rPr>
          <w:rFonts w:ascii="Garamond" w:hAnsi="Garamond" w:cs="Calibri"/>
        </w:rPr>
        <w:t xml:space="preserve"> </w:t>
      </w:r>
      <w:r w:rsidRPr="00323D7F">
        <w:rPr>
          <w:rFonts w:ascii="Garamond" w:hAnsi="Garamond" w:cs="Calibri"/>
        </w:rPr>
        <w:t xml:space="preserve">and because prevailing religious views oppose recognition of </w:t>
      </w:r>
      <w:proofErr w:type="spellStart"/>
      <w:r w:rsidRPr="00323D7F">
        <w:rPr>
          <w:rFonts w:ascii="Garamond" w:hAnsi="Garamond" w:cs="Calibri"/>
        </w:rPr>
        <w:t>trans</w:t>
      </w:r>
      <w:r w:rsidR="00717A70" w:rsidRPr="00323D7F">
        <w:rPr>
          <w:rFonts w:ascii="Garamond" w:hAnsi="Garamond" w:cs="Calibri"/>
        </w:rPr>
        <w:t>identity</w:t>
      </w:r>
      <w:proofErr w:type="spellEnd"/>
      <w:r w:rsidR="005E02E6" w:rsidRPr="00323D7F">
        <w:rPr>
          <w:rFonts w:ascii="Garamond" w:hAnsi="Garamond" w:cs="Calibri"/>
        </w:rPr>
        <w:t xml:space="preserve">. </w:t>
      </w:r>
      <w:r w:rsidR="005E02E6" w:rsidRPr="00323D7F">
        <w:rPr>
          <w:rStyle w:val="Appelnotedebasdep"/>
          <w:rFonts w:ascii="Garamond" w:hAnsi="Garamond" w:cs="Calibri"/>
        </w:rPr>
        <w:footnoteReference w:id="14"/>
      </w:r>
    </w:p>
    <w:p w14:paraId="67E22CA9" w14:textId="1032C3C7" w:rsidR="00AF650A" w:rsidRPr="009E58BE" w:rsidRDefault="00AF650A" w:rsidP="009E58BE">
      <w:pPr>
        <w:adjustRightInd w:val="0"/>
        <w:spacing w:after="240" w:line="360" w:lineRule="auto"/>
        <w:ind w:left="66"/>
        <w:rPr>
          <w:rFonts w:ascii="Garamond" w:hAnsi="Garamond" w:cs="Calibri"/>
          <w:b/>
          <w:bCs/>
        </w:rPr>
      </w:pPr>
      <w:r w:rsidRPr="009E58BE">
        <w:rPr>
          <w:rFonts w:ascii="Garamond" w:hAnsi="Garamond" w:cs="Calibri"/>
          <w:b/>
          <w:bCs/>
        </w:rPr>
        <w:t>Digni</w:t>
      </w:r>
      <w:r w:rsidR="00EF6E78" w:rsidRPr="009E58BE">
        <w:rPr>
          <w:rFonts w:ascii="Garamond" w:hAnsi="Garamond" w:cs="Calibri"/>
          <w:b/>
          <w:bCs/>
        </w:rPr>
        <w:t>fied treatment of the deceased and respect for cultural rights in relation to funerals</w:t>
      </w:r>
    </w:p>
    <w:p w14:paraId="6FFCBA81" w14:textId="79AEC323" w:rsidR="009E58BE" w:rsidRPr="009E58BE" w:rsidRDefault="0079222A" w:rsidP="00323D7F">
      <w:pPr>
        <w:pStyle w:val="Paragraphedeliste"/>
        <w:numPr>
          <w:ilvl w:val="0"/>
          <w:numId w:val="2"/>
        </w:numPr>
        <w:adjustRightInd w:val="0"/>
        <w:spacing w:after="240" w:line="360" w:lineRule="auto"/>
        <w:ind w:left="426"/>
        <w:contextualSpacing w:val="0"/>
        <w:rPr>
          <w:rFonts w:ascii="Garamond" w:hAnsi="Garamond" w:cs="Calibri"/>
          <w:b/>
          <w:bCs/>
        </w:rPr>
      </w:pPr>
      <w:r w:rsidRPr="009E58BE">
        <w:rPr>
          <w:rFonts w:ascii="Garamond" w:hAnsi="Garamond" w:cs="Calibri"/>
        </w:rPr>
        <w:t>A new report by the Sinai Foundation for Human Rights has uncovered two mass graves near a military outpost in North Sinai,</w:t>
      </w:r>
      <w:r w:rsidR="00EF6E78" w:rsidRPr="009E58BE">
        <w:rPr>
          <w:rFonts w:ascii="Garamond" w:hAnsi="Garamond" w:cs="Calibri"/>
        </w:rPr>
        <w:t xml:space="preserve"> a region marked by an important presence of the Egyptian armed forces and intense military activities since 2013, in a context of fight against ISIS-affiliated militants</w:t>
      </w:r>
      <w:r w:rsidRPr="009E58BE">
        <w:rPr>
          <w:rFonts w:ascii="Garamond" w:hAnsi="Garamond" w:cs="Calibri"/>
        </w:rPr>
        <w:t xml:space="preserve">. The existence of these </w:t>
      </w:r>
      <w:r w:rsidR="00EF6E78" w:rsidRPr="009E58BE">
        <w:rPr>
          <w:rFonts w:ascii="Garamond" w:hAnsi="Garamond" w:cs="Calibri"/>
        </w:rPr>
        <w:t xml:space="preserve">mass </w:t>
      </w:r>
      <w:r w:rsidRPr="009E58BE">
        <w:rPr>
          <w:rFonts w:ascii="Garamond" w:hAnsi="Garamond" w:cs="Calibri"/>
        </w:rPr>
        <w:t>graves</w:t>
      </w:r>
      <w:r w:rsidR="00717A70" w:rsidRPr="009E58BE">
        <w:rPr>
          <w:rFonts w:ascii="Garamond" w:hAnsi="Garamond" w:cs="Calibri"/>
        </w:rPr>
        <w:t xml:space="preserve"> raise</w:t>
      </w:r>
      <w:r w:rsidR="007B6358">
        <w:rPr>
          <w:rFonts w:ascii="Garamond" w:hAnsi="Garamond" w:cs="Calibri"/>
        </w:rPr>
        <w:t>s</w:t>
      </w:r>
      <w:r w:rsidR="00717A70" w:rsidRPr="009E58BE">
        <w:rPr>
          <w:rFonts w:ascii="Garamond" w:hAnsi="Garamond" w:cs="Calibri"/>
        </w:rPr>
        <w:t xml:space="preserve"> concerns about</w:t>
      </w:r>
      <w:r w:rsidR="00EF6E78" w:rsidRPr="009E58BE">
        <w:rPr>
          <w:rFonts w:ascii="Garamond" w:hAnsi="Garamond" w:cs="Calibri"/>
        </w:rPr>
        <w:t xml:space="preserve"> potential serious violations of human rights by the military, including enforced disappearances and extrajudicial executions</w:t>
      </w:r>
      <w:r w:rsidR="0038772D" w:rsidRPr="009E58BE">
        <w:rPr>
          <w:rStyle w:val="Appelnotedebasdep"/>
          <w:rFonts w:ascii="Garamond" w:hAnsi="Garamond" w:cs="Calibri"/>
        </w:rPr>
        <w:footnoteReference w:id="15"/>
      </w:r>
      <w:r w:rsidR="00EF6E78" w:rsidRPr="009E58BE">
        <w:rPr>
          <w:rFonts w:ascii="Garamond" w:hAnsi="Garamond" w:cs="Calibri"/>
        </w:rPr>
        <w:t>. It</w:t>
      </w:r>
      <w:r w:rsidRPr="009E58BE">
        <w:rPr>
          <w:rFonts w:ascii="Garamond" w:hAnsi="Garamond" w:cs="Calibri"/>
        </w:rPr>
        <w:t xml:space="preserve"> also indicates a denial of dignified treatment of the dead, inflict</w:t>
      </w:r>
      <w:r w:rsidR="007B6358">
        <w:rPr>
          <w:rFonts w:ascii="Garamond" w:hAnsi="Garamond" w:cs="Calibri"/>
        </w:rPr>
        <w:t>ing</w:t>
      </w:r>
      <w:r w:rsidRPr="009E58BE">
        <w:rPr>
          <w:rFonts w:ascii="Garamond" w:hAnsi="Garamond" w:cs="Calibri"/>
        </w:rPr>
        <w:t xml:space="preserve"> severe psychological harm on families</w:t>
      </w:r>
      <w:r w:rsidR="00EF6E78" w:rsidRPr="009E58BE">
        <w:rPr>
          <w:rFonts w:ascii="Garamond" w:hAnsi="Garamond" w:cs="Calibri"/>
        </w:rPr>
        <w:t xml:space="preserve"> who have been deprived of the body of their loved ones</w:t>
      </w:r>
      <w:r w:rsidRPr="009E58BE">
        <w:rPr>
          <w:rFonts w:ascii="Garamond" w:hAnsi="Garamond" w:cs="Calibri"/>
        </w:rPr>
        <w:t>, and violates</w:t>
      </w:r>
      <w:r w:rsidR="00EF6E78" w:rsidRPr="009E58BE">
        <w:rPr>
          <w:rFonts w:ascii="Garamond" w:hAnsi="Garamond" w:cs="Calibri"/>
        </w:rPr>
        <w:t xml:space="preserve"> </w:t>
      </w:r>
      <w:r w:rsidRPr="009E58BE">
        <w:rPr>
          <w:rFonts w:ascii="Garamond" w:hAnsi="Garamond" w:cs="Calibri"/>
        </w:rPr>
        <w:t>cultural rights</w:t>
      </w:r>
      <w:r w:rsidR="007B6358">
        <w:rPr>
          <w:rFonts w:ascii="Garamond" w:hAnsi="Garamond" w:cs="Calibri"/>
        </w:rPr>
        <w:t xml:space="preserve"> and the right to freedom of religion or belief</w:t>
      </w:r>
      <w:r w:rsidRPr="009E58BE">
        <w:rPr>
          <w:rFonts w:ascii="Garamond" w:hAnsi="Garamond" w:cs="Calibri"/>
        </w:rPr>
        <w:t xml:space="preserve"> by preventing</w:t>
      </w:r>
      <w:r w:rsidRPr="00323D7F">
        <w:rPr>
          <w:rFonts w:ascii="Garamond" w:hAnsi="Garamond" w:cs="Calibri"/>
        </w:rPr>
        <w:t xml:space="preserve"> relatives from mourning and carrying out </w:t>
      </w:r>
      <w:r w:rsidR="00EF6E78" w:rsidRPr="00323D7F">
        <w:rPr>
          <w:rFonts w:ascii="Garamond" w:hAnsi="Garamond" w:cs="Calibri"/>
        </w:rPr>
        <w:t xml:space="preserve">the </w:t>
      </w:r>
      <w:r w:rsidRPr="00323D7F">
        <w:rPr>
          <w:rFonts w:ascii="Garamond" w:hAnsi="Garamond" w:cs="Calibri"/>
        </w:rPr>
        <w:t>funeral practices</w:t>
      </w:r>
      <w:r w:rsidR="00EF6E78" w:rsidRPr="00323D7F">
        <w:rPr>
          <w:rFonts w:ascii="Garamond" w:hAnsi="Garamond" w:cs="Calibri"/>
        </w:rPr>
        <w:t xml:space="preserve"> and religious rites of their choice</w:t>
      </w:r>
      <w:r w:rsidRPr="00323D7F">
        <w:rPr>
          <w:rFonts w:ascii="Garamond" w:hAnsi="Garamond" w:cs="Calibri"/>
        </w:rPr>
        <w:t>.</w:t>
      </w:r>
    </w:p>
    <w:p w14:paraId="7E21A708" w14:textId="5B3ACFF9" w:rsidR="00AF650A" w:rsidRPr="009E58BE" w:rsidRDefault="0079222A" w:rsidP="009E58BE">
      <w:pPr>
        <w:pStyle w:val="Paragraphedeliste"/>
        <w:numPr>
          <w:ilvl w:val="0"/>
          <w:numId w:val="2"/>
        </w:numPr>
        <w:adjustRightInd w:val="0"/>
        <w:spacing w:after="240" w:line="360" w:lineRule="auto"/>
        <w:ind w:left="426"/>
        <w:contextualSpacing w:val="0"/>
        <w:rPr>
          <w:rFonts w:ascii="Garamond" w:hAnsi="Garamond" w:cs="Calibri"/>
          <w:b/>
          <w:bCs/>
        </w:rPr>
      </w:pPr>
      <w:r w:rsidRPr="00323D7F">
        <w:rPr>
          <w:rFonts w:ascii="Garamond" w:hAnsi="Garamond" w:cs="Calibri"/>
        </w:rPr>
        <w:t>Since</w:t>
      </w:r>
      <w:r w:rsidR="004536D6" w:rsidRPr="00323D7F">
        <w:rPr>
          <w:rFonts w:ascii="Garamond" w:hAnsi="Garamond" w:cs="Calibri"/>
        </w:rPr>
        <w:t xml:space="preserve"> the adoption of</w:t>
      </w:r>
      <w:r w:rsidRPr="00323D7F">
        <w:rPr>
          <w:rFonts w:ascii="Garamond" w:hAnsi="Garamond" w:cs="Calibri"/>
        </w:rPr>
        <w:t xml:space="preserve"> </w:t>
      </w:r>
      <w:r w:rsidR="0038772D" w:rsidRPr="00323D7F">
        <w:rPr>
          <w:rFonts w:ascii="Garamond" w:hAnsi="Garamond" w:cs="Calibri"/>
        </w:rPr>
        <w:t>Presidential D</w:t>
      </w:r>
      <w:r w:rsidRPr="00323D7F">
        <w:rPr>
          <w:rFonts w:ascii="Garamond" w:hAnsi="Garamond" w:cs="Calibri"/>
        </w:rPr>
        <w:t>ecree 263 in 1960</w:t>
      </w:r>
      <w:r w:rsidR="00040165" w:rsidRPr="00323D7F">
        <w:rPr>
          <w:rStyle w:val="Appelnotedebasdep"/>
          <w:rFonts w:ascii="Garamond" w:hAnsi="Garamond" w:cs="Calibri"/>
        </w:rPr>
        <w:footnoteReference w:id="16"/>
      </w:r>
      <w:r w:rsidR="004536D6" w:rsidRPr="00323D7F">
        <w:rPr>
          <w:rFonts w:ascii="Garamond" w:hAnsi="Garamond" w:cs="Calibri"/>
        </w:rPr>
        <w:t>,</w:t>
      </w:r>
      <w:r w:rsidRPr="00323D7F">
        <w:rPr>
          <w:rFonts w:ascii="Garamond" w:hAnsi="Garamond" w:cs="Calibri"/>
        </w:rPr>
        <w:t xml:space="preserve"> </w:t>
      </w:r>
      <w:proofErr w:type="spellStart"/>
      <w:r w:rsidR="007B6358" w:rsidRPr="00323D7F">
        <w:rPr>
          <w:rFonts w:ascii="Garamond" w:hAnsi="Garamond" w:cs="Calibri"/>
        </w:rPr>
        <w:t>Bahá’í</w:t>
      </w:r>
      <w:proofErr w:type="spellEnd"/>
      <w:r w:rsidR="007B6358">
        <w:rPr>
          <w:rFonts w:ascii="Garamond" w:hAnsi="Garamond" w:cs="Calibri"/>
        </w:rPr>
        <w:t xml:space="preserve"> </w:t>
      </w:r>
      <w:r w:rsidR="004536D6" w:rsidRPr="00323D7F">
        <w:rPr>
          <w:rFonts w:ascii="Garamond" w:hAnsi="Garamond" w:cs="Calibri"/>
        </w:rPr>
        <w:t>A</w:t>
      </w:r>
      <w:r w:rsidRPr="00323D7F">
        <w:rPr>
          <w:rFonts w:ascii="Garamond" w:hAnsi="Garamond" w:cs="Calibri"/>
        </w:rPr>
        <w:t>ssemblies</w:t>
      </w:r>
      <w:r w:rsidR="00B17868" w:rsidRPr="00323D7F">
        <w:rPr>
          <w:rFonts w:ascii="Garamond" w:hAnsi="Garamond" w:cs="Calibri"/>
        </w:rPr>
        <w:t>,</w:t>
      </w:r>
      <w:r w:rsidR="0038772D" w:rsidRPr="00323D7F">
        <w:rPr>
          <w:rFonts w:ascii="Garamond" w:hAnsi="Garamond" w:cs="Calibri"/>
        </w:rPr>
        <w:t xml:space="preserve"> </w:t>
      </w:r>
      <w:r w:rsidR="004536D6" w:rsidRPr="00323D7F">
        <w:rPr>
          <w:rFonts w:ascii="Garamond" w:hAnsi="Garamond" w:cs="Calibri"/>
        </w:rPr>
        <w:t>including</w:t>
      </w:r>
      <w:r w:rsidR="00B17868" w:rsidRPr="00323D7F">
        <w:rPr>
          <w:rFonts w:ascii="Garamond" w:hAnsi="Garamond" w:cs="Calibri"/>
        </w:rPr>
        <w:t xml:space="preserve"> the </w:t>
      </w:r>
      <w:proofErr w:type="spellStart"/>
      <w:r w:rsidR="007B6358" w:rsidRPr="00323D7F">
        <w:rPr>
          <w:rFonts w:ascii="Garamond" w:hAnsi="Garamond" w:cs="Calibri"/>
        </w:rPr>
        <w:t>Bahá’í</w:t>
      </w:r>
      <w:proofErr w:type="spellEnd"/>
      <w:r w:rsidR="007B6358">
        <w:rPr>
          <w:rFonts w:ascii="Garamond" w:hAnsi="Garamond" w:cs="Calibri"/>
        </w:rPr>
        <w:t xml:space="preserve"> </w:t>
      </w:r>
      <w:r w:rsidRPr="00323D7F">
        <w:rPr>
          <w:rFonts w:ascii="Garamond" w:hAnsi="Garamond" w:cs="Calibri"/>
        </w:rPr>
        <w:t>National Spiritual Assembly</w:t>
      </w:r>
      <w:r w:rsidR="004536D6" w:rsidRPr="00323D7F">
        <w:rPr>
          <w:rFonts w:ascii="Garamond" w:hAnsi="Garamond" w:cs="Calibri"/>
        </w:rPr>
        <w:t>, have been banned,</w:t>
      </w:r>
      <w:r w:rsidRPr="00323D7F">
        <w:rPr>
          <w:rFonts w:ascii="Garamond" w:hAnsi="Garamond" w:cs="Calibri"/>
        </w:rPr>
        <w:t xml:space="preserve"> </w:t>
      </w:r>
      <w:r w:rsidR="00B17868" w:rsidRPr="00323D7F">
        <w:rPr>
          <w:rFonts w:ascii="Garamond" w:hAnsi="Garamond" w:cs="Calibri"/>
        </w:rPr>
        <w:t xml:space="preserve">and </w:t>
      </w:r>
      <w:proofErr w:type="spellStart"/>
      <w:r w:rsidR="007B6358" w:rsidRPr="00323D7F">
        <w:rPr>
          <w:rFonts w:ascii="Garamond" w:hAnsi="Garamond" w:cs="Calibri"/>
        </w:rPr>
        <w:t>Bahá’í</w:t>
      </w:r>
      <w:proofErr w:type="spellEnd"/>
      <w:r w:rsidR="007B6358">
        <w:rPr>
          <w:rFonts w:ascii="Garamond" w:hAnsi="Garamond" w:cs="Calibri"/>
        </w:rPr>
        <w:t xml:space="preserve"> </w:t>
      </w:r>
      <w:r w:rsidRPr="00323D7F">
        <w:rPr>
          <w:rFonts w:ascii="Garamond" w:hAnsi="Garamond" w:cs="Calibri"/>
        </w:rPr>
        <w:t>properties including cemeteries</w:t>
      </w:r>
      <w:r w:rsidR="004536D6" w:rsidRPr="00323D7F">
        <w:rPr>
          <w:rFonts w:ascii="Garamond" w:hAnsi="Garamond" w:cs="Calibri"/>
        </w:rPr>
        <w:t xml:space="preserve"> have been confiscated. Up to now, </w:t>
      </w:r>
      <w:proofErr w:type="spellStart"/>
      <w:r w:rsidR="007B6358" w:rsidRPr="00323D7F">
        <w:rPr>
          <w:rFonts w:ascii="Garamond" w:hAnsi="Garamond" w:cs="Calibri"/>
        </w:rPr>
        <w:t>Bahá’í</w:t>
      </w:r>
      <w:proofErr w:type="spellEnd"/>
      <w:r w:rsidR="007B6358">
        <w:rPr>
          <w:rFonts w:ascii="Garamond" w:hAnsi="Garamond" w:cs="Calibri"/>
        </w:rPr>
        <w:t xml:space="preserve"> </w:t>
      </w:r>
      <w:r w:rsidR="004536D6" w:rsidRPr="00323D7F">
        <w:rPr>
          <w:rFonts w:ascii="Garamond" w:hAnsi="Garamond" w:cs="Calibri"/>
        </w:rPr>
        <w:t xml:space="preserve">cemeteries have not been returned and </w:t>
      </w:r>
      <w:proofErr w:type="spellStart"/>
      <w:r w:rsidR="007B6358" w:rsidRPr="00323D7F">
        <w:rPr>
          <w:rFonts w:ascii="Garamond" w:hAnsi="Garamond" w:cs="Calibri"/>
        </w:rPr>
        <w:t>Bahá’í</w:t>
      </w:r>
      <w:r w:rsidR="007B6358">
        <w:rPr>
          <w:rFonts w:ascii="Garamond" w:hAnsi="Garamond" w:cs="Calibri"/>
        </w:rPr>
        <w:t>s</w:t>
      </w:r>
      <w:proofErr w:type="spellEnd"/>
      <w:r w:rsidR="007B6358">
        <w:rPr>
          <w:rFonts w:ascii="Garamond" w:hAnsi="Garamond" w:cs="Calibri"/>
        </w:rPr>
        <w:t xml:space="preserve"> </w:t>
      </w:r>
      <w:r w:rsidR="004536D6" w:rsidRPr="00323D7F">
        <w:rPr>
          <w:rFonts w:ascii="Garamond" w:hAnsi="Garamond" w:cs="Calibri"/>
        </w:rPr>
        <w:t xml:space="preserve">cannot bury their dead in </w:t>
      </w:r>
      <w:proofErr w:type="spellStart"/>
      <w:r w:rsidR="007B6358" w:rsidRPr="00323D7F">
        <w:rPr>
          <w:rFonts w:ascii="Garamond" w:hAnsi="Garamond" w:cs="Calibri"/>
        </w:rPr>
        <w:t>Bahá’í</w:t>
      </w:r>
      <w:proofErr w:type="spellEnd"/>
      <w:r w:rsidR="007B6358">
        <w:rPr>
          <w:rFonts w:ascii="Garamond" w:hAnsi="Garamond" w:cs="Calibri"/>
        </w:rPr>
        <w:t xml:space="preserve"> </w:t>
      </w:r>
      <w:proofErr w:type="gramStart"/>
      <w:r w:rsidR="005267B2" w:rsidRPr="00323D7F">
        <w:rPr>
          <w:rFonts w:ascii="Garamond" w:hAnsi="Garamond" w:cs="Calibri"/>
        </w:rPr>
        <w:t>cemeteries</w:t>
      </w:r>
      <w:r w:rsidRPr="00323D7F">
        <w:rPr>
          <w:rFonts w:ascii="Garamond" w:hAnsi="Garamond" w:cs="Calibri"/>
        </w:rPr>
        <w:t xml:space="preserve"> .</w:t>
      </w:r>
      <w:proofErr w:type="gramEnd"/>
      <w:r w:rsidRPr="00323D7F">
        <w:rPr>
          <w:rFonts w:ascii="Garamond" w:hAnsi="Garamond" w:cs="Calibri"/>
        </w:rPr>
        <w:t xml:space="preserve"> A subsequent Al-Azhar fatwa</w:t>
      </w:r>
      <w:r w:rsidR="004536D6" w:rsidRPr="00323D7F">
        <w:rPr>
          <w:rFonts w:ascii="Garamond" w:hAnsi="Garamond" w:cs="Calibri"/>
        </w:rPr>
        <w:t xml:space="preserve"> from </w:t>
      </w:r>
      <w:r w:rsidR="005267B2" w:rsidRPr="00323D7F">
        <w:rPr>
          <w:rFonts w:ascii="Garamond" w:hAnsi="Garamond" w:cs="Calibri"/>
        </w:rPr>
        <w:t>1939</w:t>
      </w:r>
      <w:r w:rsidR="00040165" w:rsidRPr="00323D7F">
        <w:rPr>
          <w:rStyle w:val="Appelnotedebasdep"/>
          <w:rFonts w:ascii="Garamond" w:hAnsi="Garamond" w:cs="Calibri"/>
        </w:rPr>
        <w:footnoteReference w:id="17"/>
      </w:r>
      <w:r w:rsidR="005267B2" w:rsidRPr="00323D7F">
        <w:rPr>
          <w:rFonts w:ascii="Garamond" w:hAnsi="Garamond" w:cs="Calibri"/>
        </w:rPr>
        <w:t xml:space="preserve"> </w:t>
      </w:r>
      <w:r w:rsidRPr="00323D7F">
        <w:rPr>
          <w:rFonts w:ascii="Garamond" w:hAnsi="Garamond" w:cs="Calibri"/>
        </w:rPr>
        <w:t xml:space="preserve"> banned </w:t>
      </w:r>
      <w:proofErr w:type="spellStart"/>
      <w:r w:rsidRPr="00323D7F">
        <w:rPr>
          <w:rFonts w:ascii="Garamond" w:hAnsi="Garamond" w:cs="Calibri"/>
        </w:rPr>
        <w:t>Bahá’í</w:t>
      </w:r>
      <w:proofErr w:type="spellEnd"/>
      <w:r w:rsidRPr="00323D7F">
        <w:rPr>
          <w:rFonts w:ascii="Garamond" w:hAnsi="Garamond" w:cs="Calibri"/>
        </w:rPr>
        <w:t xml:space="preserve"> burials in Muslim cemeteries, leaving only one overcrowded cemetery in Cairo’s </w:t>
      </w:r>
      <w:proofErr w:type="spellStart"/>
      <w:r w:rsidRPr="00323D7F">
        <w:rPr>
          <w:rFonts w:ascii="Garamond" w:hAnsi="Garamond" w:cs="Calibri"/>
        </w:rPr>
        <w:t>Basatin</w:t>
      </w:r>
      <w:proofErr w:type="spellEnd"/>
      <w:r w:rsidRPr="00323D7F">
        <w:rPr>
          <w:rFonts w:ascii="Garamond" w:hAnsi="Garamond" w:cs="Calibri"/>
        </w:rPr>
        <w:t xml:space="preserve"> district for </w:t>
      </w:r>
      <w:proofErr w:type="spellStart"/>
      <w:r w:rsidRPr="00323D7F">
        <w:rPr>
          <w:rFonts w:ascii="Garamond" w:hAnsi="Garamond" w:cs="Calibri"/>
        </w:rPr>
        <w:t>Bahá’ís</w:t>
      </w:r>
      <w:proofErr w:type="spellEnd"/>
      <w:r w:rsidRPr="00323D7F">
        <w:rPr>
          <w:rFonts w:ascii="Garamond" w:hAnsi="Garamond" w:cs="Calibri"/>
        </w:rPr>
        <w:t xml:space="preserve"> nationwide, forcing families to transport bodies long distances</w:t>
      </w:r>
      <w:r w:rsidR="00632B1E" w:rsidRPr="00323D7F">
        <w:rPr>
          <w:rFonts w:ascii="Garamond" w:hAnsi="Garamond" w:cs="Calibri"/>
        </w:rPr>
        <w:t>,</w:t>
      </w:r>
      <w:r w:rsidRPr="00323D7F">
        <w:rPr>
          <w:rFonts w:ascii="Garamond" w:hAnsi="Garamond" w:cs="Calibri"/>
        </w:rPr>
        <w:t xml:space="preserve"> contraven</w:t>
      </w:r>
      <w:r w:rsidR="00632B1E" w:rsidRPr="00323D7F">
        <w:rPr>
          <w:rFonts w:ascii="Garamond" w:hAnsi="Garamond" w:cs="Calibri"/>
        </w:rPr>
        <w:t>ing</w:t>
      </w:r>
      <w:r w:rsidRPr="00323D7F">
        <w:rPr>
          <w:rFonts w:ascii="Garamond" w:hAnsi="Garamond" w:cs="Calibri"/>
        </w:rPr>
        <w:t xml:space="preserve"> Bahá’í burial </w:t>
      </w:r>
      <w:r w:rsidR="00632B1E" w:rsidRPr="00323D7F">
        <w:rPr>
          <w:rFonts w:ascii="Garamond" w:hAnsi="Garamond" w:cs="Calibri"/>
        </w:rPr>
        <w:t>rites</w:t>
      </w:r>
      <w:r w:rsidRPr="00323D7F">
        <w:rPr>
          <w:rFonts w:ascii="Garamond" w:hAnsi="Garamond" w:cs="Calibri"/>
        </w:rPr>
        <w:t xml:space="preserve">. In 2020, </w:t>
      </w:r>
      <w:proofErr w:type="spellStart"/>
      <w:r w:rsidRPr="00323D7F">
        <w:rPr>
          <w:rFonts w:ascii="Garamond" w:hAnsi="Garamond" w:cs="Calibri"/>
        </w:rPr>
        <w:t>Bahá’ís</w:t>
      </w:r>
      <w:proofErr w:type="spellEnd"/>
      <w:r w:rsidRPr="00323D7F">
        <w:rPr>
          <w:rFonts w:ascii="Garamond" w:hAnsi="Garamond" w:cs="Calibri"/>
        </w:rPr>
        <w:t xml:space="preserve"> in Alexandria and Port Said filed legal cases requesting burial land based on the state’s effective recognition of citizens with a dash (–) for religion on ID cards, but the courts dismissed the cases, arguing that the Bahá’í Faith is not a “recognized religion” under Article 64 of the Constitution. The</w:t>
      </w:r>
      <w:r w:rsidR="00040165" w:rsidRPr="00323D7F">
        <w:rPr>
          <w:rFonts w:ascii="Garamond" w:hAnsi="Garamond" w:cs="Calibri"/>
        </w:rPr>
        <w:t xml:space="preserve"> case was appealed to the</w:t>
      </w:r>
      <w:r w:rsidRPr="00323D7F">
        <w:rPr>
          <w:rFonts w:ascii="Garamond" w:hAnsi="Garamond" w:cs="Calibri"/>
        </w:rPr>
        <w:t xml:space="preserve"> State Commissioner </w:t>
      </w:r>
      <w:r w:rsidR="00040165" w:rsidRPr="00323D7F">
        <w:rPr>
          <w:rFonts w:ascii="Garamond" w:hAnsi="Garamond" w:cs="Calibri"/>
        </w:rPr>
        <w:t xml:space="preserve">that </w:t>
      </w:r>
      <w:r w:rsidRPr="00323D7F">
        <w:rPr>
          <w:rFonts w:ascii="Garamond" w:hAnsi="Garamond" w:cs="Calibri"/>
        </w:rPr>
        <w:t xml:space="preserve">upheld this view in 2021, leaving the community </w:t>
      </w:r>
      <w:r w:rsidRPr="00323D7F">
        <w:rPr>
          <w:rFonts w:ascii="Garamond" w:hAnsi="Garamond" w:cs="Calibri"/>
        </w:rPr>
        <w:lastRenderedPageBreak/>
        <w:t>with no legally recognized burial grounds beyond the single remaining site.</w:t>
      </w:r>
      <w:r w:rsidR="00040165" w:rsidRPr="00323D7F">
        <w:rPr>
          <w:rStyle w:val="Appelnotedebasdep"/>
          <w:rFonts w:ascii="Garamond" w:hAnsi="Garamond" w:cs="Calibri"/>
        </w:rPr>
        <w:footnoteReference w:id="18"/>
      </w:r>
      <w:r w:rsidR="00040165" w:rsidRPr="00323D7F">
        <w:rPr>
          <w:rFonts w:ascii="Garamond" w:hAnsi="Garamond" w:cs="Calibri"/>
        </w:rPr>
        <w:t xml:space="preserve"> </w:t>
      </w:r>
      <w:r w:rsidRPr="00323D7F">
        <w:rPr>
          <w:rFonts w:ascii="Garamond" w:hAnsi="Garamond" w:cs="Calibri"/>
        </w:rPr>
        <w:t xml:space="preserve">This undermines the right to dignity in death </w:t>
      </w:r>
      <w:r w:rsidR="00632B1E" w:rsidRPr="00323D7F">
        <w:rPr>
          <w:rFonts w:ascii="Garamond" w:hAnsi="Garamond" w:cs="Calibri"/>
        </w:rPr>
        <w:t xml:space="preserve">and the cultural rights of the </w:t>
      </w:r>
      <w:proofErr w:type="spellStart"/>
      <w:r w:rsidR="007B6358" w:rsidRPr="00323D7F">
        <w:rPr>
          <w:rFonts w:ascii="Garamond" w:hAnsi="Garamond" w:cs="Calibri"/>
        </w:rPr>
        <w:t>Bahá’í</w:t>
      </w:r>
      <w:r w:rsidR="00632B1E" w:rsidRPr="00323D7F">
        <w:rPr>
          <w:rFonts w:ascii="Garamond" w:hAnsi="Garamond" w:cs="Calibri"/>
        </w:rPr>
        <w:t>s</w:t>
      </w:r>
      <w:proofErr w:type="spellEnd"/>
      <w:r w:rsidR="00632B1E" w:rsidRPr="00323D7F">
        <w:rPr>
          <w:rFonts w:ascii="Garamond" w:hAnsi="Garamond" w:cs="Calibri"/>
        </w:rPr>
        <w:t xml:space="preserve">, </w:t>
      </w:r>
      <w:r w:rsidRPr="00323D7F">
        <w:rPr>
          <w:rFonts w:ascii="Garamond" w:hAnsi="Garamond" w:cs="Calibri"/>
        </w:rPr>
        <w:t>because it deprives individuals of the basic conditions required to be buried according to their beliefs, in a timely and respectful manner, and without humiliation or</w:t>
      </w:r>
      <w:r w:rsidR="00632B1E" w:rsidRPr="00323D7F">
        <w:rPr>
          <w:rFonts w:ascii="Garamond" w:hAnsi="Garamond" w:cs="Calibri"/>
        </w:rPr>
        <w:t xml:space="preserve"> unnecessary</w:t>
      </w:r>
      <w:r w:rsidRPr="00323D7F">
        <w:rPr>
          <w:rFonts w:ascii="Garamond" w:hAnsi="Garamond" w:cs="Calibri"/>
        </w:rPr>
        <w:t xml:space="preserve"> hardship for their families</w:t>
      </w:r>
      <w:r w:rsidR="0038772D" w:rsidRPr="00323D7F">
        <w:rPr>
          <w:rStyle w:val="Appelnotedebasdep"/>
          <w:rFonts w:ascii="Garamond" w:hAnsi="Garamond" w:cs="Calibri"/>
        </w:rPr>
        <w:footnoteReference w:id="19"/>
      </w:r>
      <w:r w:rsidRPr="00323D7F">
        <w:rPr>
          <w:rFonts w:ascii="Garamond" w:hAnsi="Garamond" w:cs="Calibri"/>
        </w:rPr>
        <w:t xml:space="preserve">. </w:t>
      </w:r>
    </w:p>
    <w:p w14:paraId="2B30F299" w14:textId="4BE873FB" w:rsidR="005D243C" w:rsidRPr="009E58BE" w:rsidRDefault="009E58BE" w:rsidP="009E58BE">
      <w:pPr>
        <w:adjustRightInd w:val="0"/>
        <w:spacing w:after="240" w:line="360" w:lineRule="auto"/>
        <w:ind w:left="66"/>
        <w:rPr>
          <w:rFonts w:ascii="Garamond" w:hAnsi="Garamond" w:cs="Calibri"/>
          <w:b/>
          <w:bCs/>
          <w:lang w:val="en-US"/>
        </w:rPr>
      </w:pPr>
      <w:r>
        <w:rPr>
          <w:rFonts w:ascii="Garamond" w:hAnsi="Garamond" w:cs="Calibri"/>
          <w:b/>
          <w:bCs/>
          <w:lang w:val="en-US"/>
        </w:rPr>
        <w:t>ARTICLE</w:t>
      </w:r>
      <w:r w:rsidR="00711257" w:rsidRPr="009E58BE">
        <w:rPr>
          <w:rFonts w:ascii="Garamond" w:hAnsi="Garamond" w:cs="Calibri"/>
          <w:b/>
          <w:bCs/>
          <w:lang w:val="en-US"/>
        </w:rPr>
        <w:t xml:space="preserve"> 13 </w:t>
      </w:r>
      <w:r>
        <w:rPr>
          <w:rFonts w:ascii="Garamond" w:hAnsi="Garamond" w:cs="Calibri"/>
          <w:b/>
          <w:bCs/>
          <w:lang w:val="en-US"/>
        </w:rPr>
        <w:t>–</w:t>
      </w:r>
      <w:r w:rsidR="00711257" w:rsidRPr="009E58BE">
        <w:rPr>
          <w:rFonts w:ascii="Garamond" w:hAnsi="Garamond" w:cs="Calibri"/>
          <w:b/>
          <w:bCs/>
          <w:lang w:val="en-US"/>
        </w:rPr>
        <w:t xml:space="preserve"> </w:t>
      </w:r>
      <w:r>
        <w:rPr>
          <w:rFonts w:ascii="Garamond" w:hAnsi="Garamond" w:cs="Calibri"/>
          <w:b/>
          <w:bCs/>
          <w:lang w:val="en-US"/>
        </w:rPr>
        <w:t>RIGHT TO EDUCATION</w:t>
      </w:r>
    </w:p>
    <w:p w14:paraId="24B3A700" w14:textId="10D0C951" w:rsidR="008C192E" w:rsidRPr="00323D7F" w:rsidRDefault="005D243C"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In Northern Sinai, the Sinai Foundation of Human Rights recorded 386 attacks</w:t>
      </w:r>
      <w:r w:rsidR="00632B1E" w:rsidRPr="00323D7F">
        <w:rPr>
          <w:rFonts w:ascii="Garamond" w:hAnsi="Garamond" w:cs="Calibri"/>
        </w:rPr>
        <w:t xml:space="preserve"> from the Egyptian armed forces</w:t>
      </w:r>
      <w:r w:rsidRPr="00323D7F">
        <w:rPr>
          <w:rFonts w:ascii="Garamond" w:hAnsi="Garamond" w:cs="Calibri"/>
        </w:rPr>
        <w:t xml:space="preserve"> on educational facilities in addition to the demolition of 73 schools in five cities in North Sinai governorate in the period from 2013 to 2023.</w:t>
      </w:r>
      <w:r w:rsidR="00E95BE5" w:rsidRPr="00323D7F">
        <w:rPr>
          <w:rStyle w:val="Appelnotedebasdep"/>
          <w:rFonts w:ascii="Garamond" w:hAnsi="Garamond" w:cs="Calibri"/>
        </w:rPr>
        <w:footnoteReference w:id="20"/>
      </w:r>
      <w:r w:rsidRPr="00323D7F">
        <w:rPr>
          <w:rFonts w:ascii="Garamond" w:hAnsi="Garamond" w:cs="Calibri"/>
        </w:rPr>
        <w:t xml:space="preserve"> The Foundation has also documented the military use of 49 schools in 5 cities in North Sinai</w:t>
      </w:r>
      <w:r w:rsidR="008521BD" w:rsidRPr="00323D7F">
        <w:rPr>
          <w:rFonts w:ascii="Garamond" w:hAnsi="Garamond" w:cs="Calibri"/>
        </w:rPr>
        <w:t xml:space="preserve"> during the same period</w:t>
      </w:r>
      <w:r w:rsidRPr="00323D7F">
        <w:rPr>
          <w:rFonts w:ascii="Garamond" w:hAnsi="Garamond" w:cs="Calibri"/>
        </w:rPr>
        <w:t xml:space="preserve">. This has prevented many Bedouin children from continuing their primary and secondary education and has further prompted forced displacement of families as a result. </w:t>
      </w:r>
      <w:r w:rsidR="00E95BE5" w:rsidRPr="00323D7F">
        <w:rPr>
          <w:rStyle w:val="Appelnotedebasdep"/>
          <w:rFonts w:ascii="Garamond" w:hAnsi="Garamond" w:cs="Calibri"/>
        </w:rPr>
        <w:footnoteReference w:id="21"/>
      </w:r>
    </w:p>
    <w:p w14:paraId="415EDC18" w14:textId="5FED2544" w:rsidR="00CF4EF8" w:rsidRPr="009E58BE" w:rsidRDefault="001C6A69" w:rsidP="009E58BE">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Transgender people in Egypt face systematic violations of their right to education, as schools and universities often punish transgender expression rather than protect students. In the absence of institutional safeguards, trans students are frequently exposed to bullying, harassment, and violence with no administrative intervention. A case documented in 2024 illustrates the depth of this discrimination: a transgender student, was publicly outed and shamed by classmates in high school, then expelled by the administration solely because of her gender identity. Although she was later readmitted, the school provided no protection, allowing the harassment to continue unchecked. When she entered university, former classmates outed her again, resulting in her permanent expulsion and the loss of her opportunity for higher education. This exclusion not only denied her a fundamental right but also severely restricted her future employment prospects, reinforcing the cycle of economic and social marginalization she faced</w:t>
      </w:r>
      <w:r w:rsidRPr="00323D7F">
        <w:rPr>
          <w:rStyle w:val="Appelnotedebasdep"/>
          <w:rFonts w:ascii="Garamond" w:hAnsi="Garamond" w:cs="Calibri"/>
        </w:rPr>
        <w:footnoteReference w:id="22"/>
      </w:r>
      <w:r w:rsidRPr="00323D7F">
        <w:rPr>
          <w:rFonts w:ascii="Garamond" w:hAnsi="Garamond" w:cs="Calibri"/>
        </w:rPr>
        <w:t>.</w:t>
      </w:r>
    </w:p>
    <w:p w14:paraId="524CF227" w14:textId="77777777" w:rsidR="00B13D66" w:rsidRDefault="00B13D66" w:rsidP="009E58BE">
      <w:pPr>
        <w:adjustRightInd w:val="0"/>
        <w:spacing w:after="240" w:line="360" w:lineRule="auto"/>
        <w:ind w:left="66"/>
        <w:rPr>
          <w:rFonts w:ascii="Garamond" w:hAnsi="Garamond" w:cs="Calibri"/>
          <w:b/>
          <w:bCs/>
          <w:lang w:val="en-US"/>
        </w:rPr>
      </w:pPr>
    </w:p>
    <w:p w14:paraId="34F1B698" w14:textId="796C7EE4" w:rsidR="00711257" w:rsidRPr="009E58BE" w:rsidRDefault="009E58BE" w:rsidP="009E58BE">
      <w:pPr>
        <w:adjustRightInd w:val="0"/>
        <w:spacing w:after="240" w:line="360" w:lineRule="auto"/>
        <w:ind w:left="66"/>
        <w:rPr>
          <w:rFonts w:ascii="Garamond" w:hAnsi="Garamond" w:cs="Calibri"/>
          <w:b/>
          <w:bCs/>
        </w:rPr>
      </w:pPr>
      <w:r>
        <w:rPr>
          <w:rFonts w:ascii="Garamond" w:hAnsi="Garamond" w:cs="Calibri"/>
          <w:b/>
          <w:bCs/>
          <w:lang w:val="en-US"/>
        </w:rPr>
        <w:lastRenderedPageBreak/>
        <w:t>ARTICLE</w:t>
      </w:r>
      <w:r w:rsidR="00711257" w:rsidRPr="009E58BE">
        <w:rPr>
          <w:rFonts w:ascii="Garamond" w:hAnsi="Garamond" w:cs="Calibri"/>
          <w:b/>
          <w:bCs/>
          <w:lang w:val="en-US"/>
        </w:rPr>
        <w:t xml:space="preserve"> 15 </w:t>
      </w:r>
      <w:r>
        <w:rPr>
          <w:rFonts w:ascii="Garamond" w:hAnsi="Garamond" w:cs="Calibri"/>
          <w:b/>
          <w:bCs/>
          <w:lang w:val="en-US"/>
        </w:rPr>
        <w:t>–</w:t>
      </w:r>
      <w:r w:rsidR="00711257" w:rsidRPr="009E58BE">
        <w:rPr>
          <w:rFonts w:ascii="Garamond" w:hAnsi="Garamond" w:cs="Calibri"/>
          <w:b/>
          <w:bCs/>
          <w:lang w:val="en-US"/>
        </w:rPr>
        <w:t xml:space="preserve"> </w:t>
      </w:r>
      <w:r>
        <w:rPr>
          <w:rFonts w:ascii="Garamond" w:hAnsi="Garamond" w:cs="Calibri"/>
          <w:b/>
          <w:bCs/>
          <w:lang w:val="en-US"/>
        </w:rPr>
        <w:t>CULTURAL RIGHTS</w:t>
      </w:r>
    </w:p>
    <w:p w14:paraId="08FAEE26" w14:textId="533756A5" w:rsidR="005D243C" w:rsidRPr="00323D7F" w:rsidRDefault="00CF4EF8" w:rsidP="00323D7F">
      <w:pPr>
        <w:pStyle w:val="Paragraphedeliste"/>
        <w:numPr>
          <w:ilvl w:val="0"/>
          <w:numId w:val="2"/>
        </w:numPr>
        <w:adjustRightInd w:val="0"/>
        <w:spacing w:after="240" w:line="360" w:lineRule="auto"/>
        <w:ind w:left="426"/>
        <w:contextualSpacing w:val="0"/>
        <w:rPr>
          <w:rFonts w:ascii="Garamond" w:hAnsi="Garamond" w:cs="Calibri"/>
          <w:b/>
          <w:bCs/>
        </w:rPr>
      </w:pPr>
      <w:r w:rsidRPr="00323D7F">
        <w:rPr>
          <w:rFonts w:ascii="Garamond" w:hAnsi="Garamond" w:cs="Calibri"/>
        </w:rPr>
        <w:t xml:space="preserve">Article 48 of the Constitution states that “culture is a right of every citizen that is guaranteed by the state.” In practice, linguistic and cultural minorities, such as Nubians, </w:t>
      </w:r>
      <w:proofErr w:type="spellStart"/>
      <w:r w:rsidRPr="00323D7F">
        <w:rPr>
          <w:rFonts w:ascii="Garamond" w:hAnsi="Garamond" w:cs="Calibri"/>
        </w:rPr>
        <w:t>Amazighs</w:t>
      </w:r>
      <w:proofErr w:type="spellEnd"/>
      <w:r w:rsidRPr="00323D7F">
        <w:rPr>
          <w:rFonts w:ascii="Garamond" w:hAnsi="Garamond" w:cs="Calibri"/>
        </w:rPr>
        <w:t xml:space="preserve">, and other communities, remain unable to provide education to their children in their mother tongue within the state school system. The absence of explicit constitutional protection for linguistic rights reinforces longstanding structural barriers and permits the continuation of policies that prioritize a monolingual, Arab-centric cultural model. As a result, minority communities face systemic obstacles to preserving and transmitting their cultural and linguistic heritage, contrary to international human rights standards that guarantee minorities </w:t>
      </w:r>
      <w:r w:rsidR="001C6A69" w:rsidRPr="00323D7F">
        <w:rPr>
          <w:rFonts w:ascii="Garamond" w:hAnsi="Garamond" w:cs="Calibri"/>
        </w:rPr>
        <w:t xml:space="preserve">and indigenous people </w:t>
      </w:r>
      <w:r w:rsidRPr="00323D7F">
        <w:rPr>
          <w:rFonts w:ascii="Garamond" w:hAnsi="Garamond" w:cs="Calibri"/>
        </w:rPr>
        <w:t>the right to use and teach their own languages.</w:t>
      </w:r>
    </w:p>
    <w:p w14:paraId="5ED6E51F" w14:textId="7574E71A" w:rsidR="002F2678" w:rsidRPr="009E58BE" w:rsidRDefault="005038FE" w:rsidP="009E58BE">
      <w:pPr>
        <w:adjustRightInd w:val="0"/>
        <w:spacing w:after="240" w:line="360" w:lineRule="auto"/>
        <w:ind w:left="66"/>
        <w:rPr>
          <w:rFonts w:ascii="Garamond" w:hAnsi="Garamond" w:cs="Calibri"/>
          <w:b/>
          <w:bCs/>
        </w:rPr>
      </w:pPr>
      <w:r w:rsidRPr="009E58BE">
        <w:rPr>
          <w:rFonts w:ascii="Garamond" w:hAnsi="Garamond" w:cs="Calibri"/>
          <w:b/>
          <w:bCs/>
        </w:rPr>
        <w:t xml:space="preserve">Discrimination in Cultural Rights and Preservation of Cultural Heritage </w:t>
      </w:r>
      <w:r w:rsidR="00711B2D" w:rsidRPr="009E58BE">
        <w:rPr>
          <w:rFonts w:ascii="Garamond" w:hAnsi="Garamond" w:cs="Calibri"/>
          <w:b/>
          <w:bCs/>
        </w:rPr>
        <w:t xml:space="preserve"> </w:t>
      </w:r>
    </w:p>
    <w:p w14:paraId="1AB7A335" w14:textId="2D57D602" w:rsidR="005038FE" w:rsidRPr="00323D7F" w:rsidRDefault="005038FE"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 xml:space="preserve">The restoration of </w:t>
      </w:r>
      <w:r w:rsidR="00711B2D" w:rsidRPr="00323D7F">
        <w:rPr>
          <w:rFonts w:ascii="Garamond" w:hAnsi="Garamond" w:cs="Calibri"/>
        </w:rPr>
        <w:t xml:space="preserve">Coptic Christian </w:t>
      </w:r>
      <w:r w:rsidRPr="00323D7F">
        <w:rPr>
          <w:rFonts w:ascii="Garamond" w:hAnsi="Garamond" w:cs="Calibri"/>
        </w:rPr>
        <w:t xml:space="preserve">churches and monasteries is often neglected, leading to partial collapse. One example is the historic Monastery of Saint Fana in </w:t>
      </w:r>
      <w:proofErr w:type="spellStart"/>
      <w:r w:rsidRPr="00323D7F">
        <w:rPr>
          <w:rFonts w:ascii="Garamond" w:hAnsi="Garamond" w:cs="Calibri"/>
        </w:rPr>
        <w:t>Mallawi</w:t>
      </w:r>
      <w:proofErr w:type="spellEnd"/>
      <w:r w:rsidRPr="00323D7F">
        <w:rPr>
          <w:rFonts w:ascii="Garamond" w:hAnsi="Garamond" w:cs="Calibri"/>
        </w:rPr>
        <w:t>, Minya that saw its western wall collapse in December 2019. In January 2022, part of the northern wall of the church at Sohag’s White Monastery also collapsed</w:t>
      </w:r>
      <w:r w:rsidR="00711B2D" w:rsidRPr="00323D7F">
        <w:rPr>
          <w:rFonts w:ascii="Garamond" w:hAnsi="Garamond" w:cs="Calibri"/>
        </w:rPr>
        <w:t>, despite years of warning that the monastery was in urgent need of restoration work</w:t>
      </w:r>
      <w:r w:rsidRPr="00323D7F">
        <w:rPr>
          <w:rFonts w:ascii="Garamond" w:hAnsi="Garamond" w:cs="Calibri"/>
        </w:rPr>
        <w:t>. However, the Coptic Church budget did not allow for the necessary restoration work to be carried out</w:t>
      </w:r>
      <w:r w:rsidR="003A71D8" w:rsidRPr="00323D7F">
        <w:rPr>
          <w:rStyle w:val="Appelnotedebasdep"/>
          <w:rFonts w:ascii="Garamond" w:hAnsi="Garamond" w:cs="Calibri"/>
        </w:rPr>
        <w:footnoteReference w:id="23"/>
      </w:r>
      <w:r w:rsidRPr="00323D7F">
        <w:rPr>
          <w:rFonts w:ascii="Garamond" w:hAnsi="Garamond" w:cs="Calibri"/>
        </w:rPr>
        <w:t xml:space="preserve">. </w:t>
      </w:r>
    </w:p>
    <w:p w14:paraId="40176BD1" w14:textId="229EEF58" w:rsidR="00F32F01" w:rsidRPr="00323D7F" w:rsidRDefault="005038FE"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The problem lies in the sectarian funding system for restoration work in the country. Article 30 of the Antiquities Protection Law No. 117 of 1983 states that in the case of Islamic heritage sites, the Ministry of Endowments (</w:t>
      </w:r>
      <w:r w:rsidRPr="00323D7F">
        <w:rPr>
          <w:rFonts w:ascii="Garamond" w:hAnsi="Garamond" w:cs="Calibri"/>
          <w:i/>
          <w:iCs/>
        </w:rPr>
        <w:t>Awqaf</w:t>
      </w:r>
      <w:r w:rsidRPr="00323D7F">
        <w:rPr>
          <w:rFonts w:ascii="Garamond" w:hAnsi="Garamond" w:cs="Calibri"/>
        </w:rPr>
        <w:t>) provides dedicated funding</w:t>
      </w:r>
      <w:r w:rsidR="003A71D8" w:rsidRPr="00323D7F">
        <w:rPr>
          <w:rFonts w:ascii="Garamond" w:hAnsi="Garamond" w:cs="Calibri"/>
        </w:rPr>
        <w:t xml:space="preserve"> for renovations</w:t>
      </w:r>
      <w:r w:rsidRPr="00323D7F">
        <w:rPr>
          <w:rFonts w:ascii="Garamond" w:hAnsi="Garamond" w:cs="Calibri"/>
        </w:rPr>
        <w:t xml:space="preserve">, while in the case of Coptic heritage sites, the Church itself is expected to cover costs of restoration and maintenance work. </w:t>
      </w:r>
      <w:r w:rsidR="00577A9B" w:rsidRPr="00323D7F">
        <w:rPr>
          <w:rFonts w:ascii="Garamond" w:hAnsi="Garamond" w:cs="Calibri"/>
        </w:rPr>
        <w:t xml:space="preserve">This leads to inequality in protection of and access to cultural heritage </w:t>
      </w:r>
      <w:r w:rsidR="00711B2D" w:rsidRPr="00323D7F">
        <w:rPr>
          <w:rFonts w:ascii="Garamond" w:hAnsi="Garamond" w:cs="Calibri"/>
        </w:rPr>
        <w:t xml:space="preserve">sites between </w:t>
      </w:r>
      <w:r w:rsidR="00577A9B" w:rsidRPr="00323D7F">
        <w:rPr>
          <w:rFonts w:ascii="Garamond" w:hAnsi="Garamond" w:cs="Calibri"/>
        </w:rPr>
        <w:t>Coptic Christian and Muslim groups</w:t>
      </w:r>
      <w:r w:rsidR="003A71D8" w:rsidRPr="00323D7F">
        <w:rPr>
          <w:rStyle w:val="Appelnotedebasdep"/>
          <w:rFonts w:ascii="Garamond" w:hAnsi="Garamond" w:cs="Calibri"/>
        </w:rPr>
        <w:footnoteReference w:id="24"/>
      </w:r>
      <w:r w:rsidR="00577A9B" w:rsidRPr="00323D7F">
        <w:rPr>
          <w:rFonts w:ascii="Garamond" w:hAnsi="Garamond" w:cs="Calibri"/>
        </w:rPr>
        <w:t>.</w:t>
      </w:r>
    </w:p>
    <w:p w14:paraId="279AFD73" w14:textId="72B51B4E" w:rsidR="005038FE" w:rsidRPr="00323D7F" w:rsidRDefault="005038FE"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Furthermore,</w:t>
      </w:r>
      <w:r w:rsidR="00EB2804" w:rsidRPr="00323D7F">
        <w:rPr>
          <w:rFonts w:ascii="Garamond" w:hAnsi="Garamond" w:cs="Calibri"/>
        </w:rPr>
        <w:t xml:space="preserve"> </w:t>
      </w:r>
      <w:r w:rsidRPr="00323D7F">
        <w:rPr>
          <w:rFonts w:ascii="Garamond" w:hAnsi="Garamond" w:cs="Calibri"/>
        </w:rPr>
        <w:t xml:space="preserve">no punitive measures </w:t>
      </w:r>
      <w:r w:rsidR="003A71D8" w:rsidRPr="00323D7F">
        <w:rPr>
          <w:rFonts w:ascii="Garamond" w:hAnsi="Garamond" w:cs="Calibri"/>
        </w:rPr>
        <w:t>were</w:t>
      </w:r>
      <w:r w:rsidRPr="00323D7F">
        <w:rPr>
          <w:rFonts w:ascii="Garamond" w:hAnsi="Garamond" w:cs="Calibri"/>
        </w:rPr>
        <w:t xml:space="preserve"> taken against the perpetrators</w:t>
      </w:r>
      <w:r w:rsidR="00711B2D" w:rsidRPr="00323D7F">
        <w:rPr>
          <w:rFonts w:ascii="Garamond" w:hAnsi="Garamond" w:cs="Calibri"/>
        </w:rPr>
        <w:t xml:space="preserve"> of</w:t>
      </w:r>
      <w:r w:rsidRPr="00323D7F">
        <w:rPr>
          <w:rFonts w:ascii="Garamond" w:hAnsi="Garamond" w:cs="Calibri"/>
        </w:rPr>
        <w:t xml:space="preserve"> attacks on Coptic heritage</w:t>
      </w:r>
      <w:r w:rsidR="003A71D8" w:rsidRPr="00323D7F">
        <w:rPr>
          <w:rFonts w:ascii="Garamond" w:hAnsi="Garamond" w:cs="Calibri"/>
        </w:rPr>
        <w:t>, particularly i</w:t>
      </w:r>
      <w:r w:rsidRPr="00323D7F">
        <w:rPr>
          <w:rFonts w:ascii="Garamond" w:hAnsi="Garamond" w:cs="Calibri"/>
        </w:rPr>
        <w:t>n the case of</w:t>
      </w:r>
      <w:r w:rsidR="00EB2804" w:rsidRPr="00323D7F">
        <w:rPr>
          <w:rFonts w:ascii="Garamond" w:hAnsi="Garamond" w:cs="Calibri"/>
        </w:rPr>
        <w:t xml:space="preserve"> the </w:t>
      </w:r>
      <w:r w:rsidRPr="00323D7F">
        <w:rPr>
          <w:rFonts w:ascii="Garamond" w:hAnsi="Garamond" w:cs="Calibri"/>
        </w:rPr>
        <w:t>Abu Daraj Monastery</w:t>
      </w:r>
      <w:r w:rsidR="003A71D8" w:rsidRPr="00323D7F">
        <w:rPr>
          <w:rFonts w:ascii="Garamond" w:hAnsi="Garamond" w:cs="Calibri"/>
        </w:rPr>
        <w:t>.</w:t>
      </w:r>
      <w:r w:rsidRPr="00323D7F">
        <w:rPr>
          <w:rFonts w:ascii="Garamond" w:hAnsi="Garamond" w:cs="Calibri"/>
        </w:rPr>
        <w:t xml:space="preserve"> </w:t>
      </w:r>
      <w:r w:rsidR="003A71D8" w:rsidRPr="00323D7F">
        <w:rPr>
          <w:rFonts w:ascii="Garamond" w:hAnsi="Garamond" w:cs="Calibri"/>
        </w:rPr>
        <w:t>T</w:t>
      </w:r>
      <w:r w:rsidRPr="00323D7F">
        <w:rPr>
          <w:rFonts w:ascii="Garamond" w:hAnsi="Garamond" w:cs="Calibri"/>
        </w:rPr>
        <w:t>he monastery’s land was sold to investors by the General Authority for Tourism Development and repeated</w:t>
      </w:r>
      <w:r w:rsidR="00711B2D" w:rsidRPr="00323D7F">
        <w:rPr>
          <w:rFonts w:ascii="Garamond" w:hAnsi="Garamond" w:cs="Calibri"/>
        </w:rPr>
        <w:t xml:space="preserve"> mob</w:t>
      </w:r>
      <w:r w:rsidRPr="00323D7F">
        <w:rPr>
          <w:rFonts w:ascii="Garamond" w:hAnsi="Garamond" w:cs="Calibri"/>
        </w:rPr>
        <w:t xml:space="preserve"> attacks </w:t>
      </w:r>
      <w:r w:rsidRPr="00323D7F">
        <w:rPr>
          <w:rFonts w:ascii="Garamond" w:hAnsi="Garamond" w:cs="Calibri"/>
        </w:rPr>
        <w:lastRenderedPageBreak/>
        <w:t>were carried out on core parts of the monastery, and no one was held responsible, the Minister of Antiquities was informed of the incident.</w:t>
      </w:r>
      <w:r w:rsidR="00FD079E" w:rsidRPr="00323D7F">
        <w:rPr>
          <w:rStyle w:val="Appelnotedebasdep"/>
          <w:rFonts w:ascii="Garamond" w:hAnsi="Garamond" w:cs="Calibri"/>
        </w:rPr>
        <w:footnoteReference w:id="25"/>
      </w:r>
      <w:r w:rsidRPr="00323D7F">
        <w:rPr>
          <w:rFonts w:ascii="Garamond" w:hAnsi="Garamond" w:cs="Calibri"/>
        </w:rPr>
        <w:t xml:space="preserve"> </w:t>
      </w:r>
    </w:p>
    <w:p w14:paraId="2D01D4BD" w14:textId="64A286D1" w:rsidR="00577A9B" w:rsidRPr="00323D7F" w:rsidRDefault="00577A9B" w:rsidP="00323D7F">
      <w:pPr>
        <w:pStyle w:val="Paragraphedeliste"/>
        <w:numPr>
          <w:ilvl w:val="0"/>
          <w:numId w:val="2"/>
        </w:numPr>
        <w:adjustRightInd w:val="0"/>
        <w:spacing w:after="240" w:line="360" w:lineRule="auto"/>
        <w:ind w:left="426"/>
        <w:contextualSpacing w:val="0"/>
        <w:rPr>
          <w:rFonts w:ascii="Garamond" w:hAnsi="Garamond" w:cs="Calibri"/>
        </w:rPr>
      </w:pPr>
      <w:r w:rsidRPr="00323D7F">
        <w:rPr>
          <w:rFonts w:ascii="Garamond" w:hAnsi="Garamond" w:cs="Calibri"/>
        </w:rPr>
        <w:t>In May 2025, the Ismailia Court of Appeal (</w:t>
      </w:r>
      <w:r w:rsidRPr="00323D7F">
        <w:rPr>
          <w:rFonts w:ascii="Garamond" w:hAnsi="Garamond" w:cs="Calibri"/>
          <w:i/>
          <w:iCs/>
        </w:rPr>
        <w:t>El Tor</w:t>
      </w:r>
      <w:r w:rsidRPr="00323D7F">
        <w:rPr>
          <w:rFonts w:ascii="Garamond" w:hAnsi="Garamond" w:cs="Calibri"/>
        </w:rPr>
        <w:t xml:space="preserve"> circuit) ruled that the Egyptian state is the lawful owner of all Saint Catherine’s Monastery lands, granting the monks only a right of use. The court justified its decision by citing the absence of registered ownership deeds, asserting that unregistered lands automatically revert to state ownership under public-domain law. </w:t>
      </w:r>
      <w:r w:rsidR="00CA00B1" w:rsidRPr="00323D7F">
        <w:rPr>
          <w:rFonts w:ascii="Garamond" w:hAnsi="Garamond" w:cs="Calibri"/>
        </w:rPr>
        <w:t>Indeed, w</w:t>
      </w:r>
      <w:r w:rsidRPr="00323D7F">
        <w:rPr>
          <w:rFonts w:ascii="Garamond" w:hAnsi="Garamond" w:cs="Calibri"/>
        </w:rPr>
        <w:t xml:space="preserve">hile the ruling maintains the monks’ right to worship and manage religious activities, it effectively ends the monastery’s historical custodianship over lands continuously inhabited for more than 1,400 years. </w:t>
      </w:r>
      <w:r w:rsidR="00446EBF" w:rsidRPr="00323D7F">
        <w:rPr>
          <w:rFonts w:ascii="Garamond" w:hAnsi="Garamond" w:cs="Calibri"/>
        </w:rPr>
        <w:t>The ruling’s ambiguity regarding the boundaries between the “core monastic precinct” and “auxiliary lands”</w:t>
      </w:r>
      <w:r w:rsidR="00446EBF" w:rsidRPr="00323D7F">
        <w:rPr>
          <w:rStyle w:val="Appelnotedebasdep"/>
          <w:rFonts w:ascii="Garamond" w:hAnsi="Garamond" w:cs="Calibri"/>
        </w:rPr>
        <w:footnoteReference w:id="26"/>
      </w:r>
      <w:r w:rsidR="00446EBF" w:rsidRPr="00323D7F">
        <w:rPr>
          <w:rFonts w:ascii="Garamond" w:hAnsi="Garamond" w:cs="Calibri"/>
        </w:rPr>
        <w:t xml:space="preserve"> puts some of </w:t>
      </w:r>
      <w:proofErr w:type="gramStart"/>
      <w:r w:rsidR="00446EBF" w:rsidRPr="00323D7F">
        <w:rPr>
          <w:rFonts w:ascii="Garamond" w:hAnsi="Garamond" w:cs="Calibri"/>
        </w:rPr>
        <w:t>the ”auxiliary</w:t>
      </w:r>
      <w:proofErr w:type="gramEnd"/>
      <w:r w:rsidR="00446EBF" w:rsidRPr="00323D7F">
        <w:rPr>
          <w:rFonts w:ascii="Garamond" w:hAnsi="Garamond" w:cs="Calibri"/>
        </w:rPr>
        <w:t xml:space="preserve"> lands” in danger and highlights the need for a regulation that defines the scope of a monastery, in the absence of ownership deeds. </w:t>
      </w:r>
    </w:p>
    <w:p w14:paraId="7AC2536B" w14:textId="3526CCBD" w:rsidR="005D243C" w:rsidRPr="00E13BA1" w:rsidRDefault="005D243C" w:rsidP="00323D7F">
      <w:pPr>
        <w:adjustRightInd w:val="0"/>
        <w:spacing w:after="240" w:line="360" w:lineRule="auto"/>
        <w:ind w:left="426"/>
        <w:rPr>
          <w:rFonts w:ascii="Calibri" w:hAnsi="Calibri" w:cs="Calibri"/>
          <w:b/>
          <w:bCs/>
        </w:rPr>
      </w:pPr>
    </w:p>
    <w:sectPr w:rsidR="005D243C" w:rsidRPr="00E13BA1" w:rsidSect="00323D7F">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0FB7A" w14:textId="77777777" w:rsidR="00E82595" w:rsidRDefault="00E82595" w:rsidP="00DA53E3">
      <w:pPr>
        <w:spacing w:after="0" w:line="240" w:lineRule="auto"/>
      </w:pPr>
      <w:r>
        <w:separator/>
      </w:r>
    </w:p>
  </w:endnote>
  <w:endnote w:type="continuationSeparator" w:id="0">
    <w:p w14:paraId="672682A9" w14:textId="77777777" w:rsidR="00E82595" w:rsidRDefault="00E82595" w:rsidP="00DA5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2040934750"/>
      <w:docPartObj>
        <w:docPartGallery w:val="Page Numbers (Bottom of Page)"/>
        <w:docPartUnique/>
      </w:docPartObj>
    </w:sdtPr>
    <w:sdtContent>
      <w:p w14:paraId="6F9843A2" w14:textId="0407DDC5" w:rsidR="00323D7F" w:rsidRDefault="00323D7F" w:rsidP="00C3477A">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29E5DFB4" w14:textId="77777777" w:rsidR="00323D7F" w:rsidRDefault="00323D7F" w:rsidP="00323D7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2123040446"/>
      <w:docPartObj>
        <w:docPartGallery w:val="Page Numbers (Bottom of Page)"/>
        <w:docPartUnique/>
      </w:docPartObj>
    </w:sdtPr>
    <w:sdtContent>
      <w:p w14:paraId="67477070" w14:textId="10723D30" w:rsidR="00323D7F" w:rsidRDefault="00323D7F" w:rsidP="00C3477A">
        <w:pPr>
          <w:pStyle w:val="Pieddepage"/>
          <w:framePr w:wrap="none" w:vAnchor="text" w:hAnchor="margin" w:xAlign="right" w:y="1"/>
          <w:rPr>
            <w:rStyle w:val="Numrodepage"/>
          </w:rPr>
        </w:pPr>
        <w:r w:rsidRPr="00323D7F">
          <w:rPr>
            <w:rStyle w:val="Numrodepage"/>
            <w:rFonts w:ascii="Garamond" w:hAnsi="Garamond"/>
          </w:rPr>
          <w:fldChar w:fldCharType="begin"/>
        </w:r>
        <w:r w:rsidRPr="00323D7F">
          <w:rPr>
            <w:rStyle w:val="Numrodepage"/>
            <w:rFonts w:ascii="Garamond" w:hAnsi="Garamond"/>
          </w:rPr>
          <w:instrText xml:space="preserve"> PAGE </w:instrText>
        </w:r>
        <w:r w:rsidRPr="00323D7F">
          <w:rPr>
            <w:rStyle w:val="Numrodepage"/>
            <w:rFonts w:ascii="Garamond" w:hAnsi="Garamond"/>
          </w:rPr>
          <w:fldChar w:fldCharType="separate"/>
        </w:r>
        <w:r w:rsidRPr="00323D7F">
          <w:rPr>
            <w:rStyle w:val="Numrodepage"/>
            <w:rFonts w:ascii="Garamond" w:hAnsi="Garamond"/>
            <w:noProof/>
          </w:rPr>
          <w:t>0</w:t>
        </w:r>
        <w:r w:rsidRPr="00323D7F">
          <w:rPr>
            <w:rStyle w:val="Numrodepage"/>
            <w:rFonts w:ascii="Garamond" w:hAnsi="Garamond"/>
          </w:rPr>
          <w:fldChar w:fldCharType="end"/>
        </w:r>
      </w:p>
    </w:sdtContent>
  </w:sdt>
  <w:p w14:paraId="1E491112" w14:textId="562BACC4" w:rsidR="002C17A2" w:rsidRDefault="002C17A2" w:rsidP="00323D7F">
    <w:pPr>
      <w:pStyle w:val="Pieddepage"/>
      <w:ind w:right="360"/>
      <w:jc w:val="center"/>
    </w:pPr>
  </w:p>
  <w:p w14:paraId="325035ED" w14:textId="77777777" w:rsidR="002C17A2" w:rsidRDefault="002C17A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BA2C0" w14:textId="77777777" w:rsidR="00E82595" w:rsidRDefault="00E82595" w:rsidP="00DA53E3">
      <w:pPr>
        <w:spacing w:after="0" w:line="240" w:lineRule="auto"/>
      </w:pPr>
      <w:r>
        <w:separator/>
      </w:r>
    </w:p>
  </w:footnote>
  <w:footnote w:type="continuationSeparator" w:id="0">
    <w:p w14:paraId="5429C39C" w14:textId="77777777" w:rsidR="00E82595" w:rsidRDefault="00E82595" w:rsidP="00DA53E3">
      <w:pPr>
        <w:spacing w:after="0" w:line="240" w:lineRule="auto"/>
      </w:pPr>
      <w:r>
        <w:continuationSeparator/>
      </w:r>
    </w:p>
  </w:footnote>
  <w:footnote w:id="1">
    <w:p w14:paraId="0108A04F" w14:textId="2171774F" w:rsidR="00D070D3" w:rsidRPr="00323D7F" w:rsidRDefault="00D070D3" w:rsidP="00257F27">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w:t>
      </w:r>
      <w:r w:rsidR="00257F27" w:rsidRPr="00323D7F">
        <w:rPr>
          <w:rFonts w:ascii="Garamond" w:hAnsi="Garamond"/>
          <w:sz w:val="18"/>
          <w:szCs w:val="18"/>
        </w:rPr>
        <w:t xml:space="preserve">Egyptian Initiative for Personal Rights. (2019). </w:t>
      </w:r>
      <w:r w:rsidR="00257F27" w:rsidRPr="00323D7F">
        <w:rPr>
          <w:rFonts w:ascii="Garamond" w:hAnsi="Garamond"/>
          <w:i/>
          <w:iCs/>
          <w:sz w:val="18"/>
          <w:szCs w:val="18"/>
        </w:rPr>
        <w:t>Identity papers, marriage, and burials: Missing fundamental rights of holders of “unrecognized” religions in Egypt — Executive and legislative proposals</w:t>
      </w:r>
      <w:r w:rsidR="00257F27" w:rsidRPr="00323D7F">
        <w:rPr>
          <w:rFonts w:ascii="Garamond" w:hAnsi="Garamond"/>
          <w:sz w:val="18"/>
          <w:szCs w:val="18"/>
        </w:rPr>
        <w:t xml:space="preserve"> (1st ed.).</w:t>
      </w:r>
      <w:r w:rsidR="00257F27" w:rsidRPr="00323D7F">
        <w:rPr>
          <w:rFonts w:ascii="Garamond" w:hAnsi="Garamond"/>
          <w:sz w:val="18"/>
          <w:szCs w:val="18"/>
        </w:rPr>
        <w:br/>
      </w:r>
      <w:hyperlink r:id="rId1" w:tgtFrame="_new" w:history="1">
        <w:r w:rsidR="00257F27" w:rsidRPr="00323D7F">
          <w:rPr>
            <w:rStyle w:val="Lienhypertexte"/>
            <w:rFonts w:ascii="Garamond" w:hAnsi="Garamond"/>
            <w:sz w:val="18"/>
            <w:szCs w:val="18"/>
          </w:rPr>
          <w:t>https://eipr.org/sites/default/files/reports/pdf/unknownids.pdf</w:t>
        </w:r>
      </w:hyperlink>
    </w:p>
  </w:footnote>
  <w:footnote w:id="2">
    <w:p w14:paraId="0B5C9035" w14:textId="114ECA78" w:rsidR="00D070D3" w:rsidRPr="00323D7F" w:rsidRDefault="00D070D3">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Bahá’í International Community. (2025, October). </w:t>
      </w:r>
      <w:r w:rsidRPr="00323D7F">
        <w:rPr>
          <w:rFonts w:ascii="Garamond" w:hAnsi="Garamond"/>
          <w:i/>
          <w:iCs/>
          <w:sz w:val="18"/>
          <w:szCs w:val="18"/>
        </w:rPr>
        <w:t xml:space="preserve">Overview of the situation of the </w:t>
      </w:r>
      <w:proofErr w:type="spellStart"/>
      <w:r w:rsidRPr="00323D7F">
        <w:rPr>
          <w:rFonts w:ascii="Garamond" w:hAnsi="Garamond"/>
          <w:i/>
          <w:iCs/>
          <w:sz w:val="18"/>
          <w:szCs w:val="18"/>
        </w:rPr>
        <w:t>Bahá’ís</w:t>
      </w:r>
      <w:proofErr w:type="spellEnd"/>
      <w:r w:rsidRPr="00323D7F">
        <w:rPr>
          <w:rFonts w:ascii="Garamond" w:hAnsi="Garamond"/>
          <w:i/>
          <w:iCs/>
          <w:sz w:val="18"/>
          <w:szCs w:val="18"/>
        </w:rPr>
        <w:t xml:space="preserve"> in Egypt</w:t>
      </w:r>
      <w:r w:rsidRPr="00323D7F">
        <w:rPr>
          <w:rFonts w:ascii="Garamond" w:hAnsi="Garamond"/>
          <w:sz w:val="18"/>
          <w:szCs w:val="18"/>
        </w:rPr>
        <w:t>.</w:t>
      </w:r>
    </w:p>
  </w:footnote>
  <w:footnote w:id="3">
    <w:p w14:paraId="76086EDA" w14:textId="1E4C342A" w:rsidR="00A71415" w:rsidRPr="00323D7F" w:rsidRDefault="00A71415">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w:t>
      </w:r>
      <w:r w:rsidR="00257F27" w:rsidRPr="00323D7F">
        <w:rPr>
          <w:rFonts w:ascii="Garamond" w:hAnsi="Garamond"/>
          <w:sz w:val="18"/>
          <w:szCs w:val="18"/>
        </w:rPr>
        <w:t xml:space="preserve">Transat-MENA. (2024). </w:t>
      </w:r>
      <w:r w:rsidR="00257F27" w:rsidRPr="00323D7F">
        <w:rPr>
          <w:rFonts w:ascii="Garamond" w:hAnsi="Garamond"/>
          <w:i/>
          <w:iCs/>
          <w:sz w:val="18"/>
          <w:szCs w:val="18"/>
        </w:rPr>
        <w:t>No recognition, no protection: Documenting violations against the LGBTQI+ community in Egypt</w:t>
      </w:r>
      <w:r w:rsidR="00257F27" w:rsidRPr="00323D7F">
        <w:rPr>
          <w:rFonts w:ascii="Garamond" w:hAnsi="Garamond"/>
          <w:sz w:val="18"/>
          <w:szCs w:val="18"/>
        </w:rPr>
        <w:t xml:space="preserve"> (Annual report 2023–2024). </w:t>
      </w:r>
    </w:p>
  </w:footnote>
  <w:footnote w:id="4">
    <w:p w14:paraId="3E70C541" w14:textId="02376335" w:rsidR="00DA53E3" w:rsidRPr="00323D7F" w:rsidRDefault="00DA53E3">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w:t>
      </w:r>
      <w:r w:rsidRPr="00323D7F">
        <w:rPr>
          <w:rFonts w:ascii="Garamond" w:hAnsi="Garamond"/>
          <w:i/>
          <w:iCs/>
          <w:sz w:val="18"/>
          <w:szCs w:val="18"/>
        </w:rPr>
        <w:t>“The principles of the laws of Egyptian Christians and Jews are the main source of legislation regulating their personal status, religious affairs, and the selection of their spiritual leaders.”</w:t>
      </w:r>
    </w:p>
  </w:footnote>
  <w:footnote w:id="5">
    <w:p w14:paraId="74E4DCA6" w14:textId="21E59CB5" w:rsidR="00DA53E3" w:rsidRPr="00323D7F" w:rsidRDefault="00DA53E3" w:rsidP="00DA53E3">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“Freedom of belief is absolute.</w:t>
      </w:r>
      <w:r w:rsidRPr="00323D7F">
        <w:rPr>
          <w:rFonts w:ascii="Garamond" w:hAnsi="Garamond"/>
          <w:sz w:val="18"/>
          <w:szCs w:val="18"/>
        </w:rPr>
        <w:br/>
        <w:t xml:space="preserve">The freedom of practicing religious rites and establishing places of worship for the </w:t>
      </w:r>
      <w:proofErr w:type="spellStart"/>
      <w:r w:rsidRPr="00323D7F">
        <w:rPr>
          <w:rFonts w:ascii="Garamond" w:hAnsi="Garamond"/>
          <w:sz w:val="18"/>
          <w:szCs w:val="18"/>
        </w:rPr>
        <w:t>heavanly</w:t>
      </w:r>
      <w:proofErr w:type="spellEnd"/>
      <w:r w:rsidRPr="00323D7F">
        <w:rPr>
          <w:rFonts w:ascii="Garamond" w:hAnsi="Garamond"/>
          <w:sz w:val="18"/>
          <w:szCs w:val="18"/>
        </w:rPr>
        <w:t xml:space="preserve"> religions is a right regulated by law.”</w:t>
      </w:r>
    </w:p>
  </w:footnote>
  <w:footnote w:id="6">
    <w:p w14:paraId="17D4C280" w14:textId="35873934" w:rsidR="00257F27" w:rsidRPr="00323D7F" w:rsidRDefault="00257F27" w:rsidP="00257F27">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Egyptian Initiative for Personal Rights. (2019). </w:t>
      </w:r>
      <w:r w:rsidRPr="00323D7F">
        <w:rPr>
          <w:rFonts w:ascii="Garamond" w:hAnsi="Garamond"/>
          <w:i/>
          <w:iCs/>
          <w:sz w:val="18"/>
          <w:szCs w:val="18"/>
        </w:rPr>
        <w:t>Identity papers, marriage, and burials: Missing fundamental rights of holders of “unrecognized” religions in Egypt — Executive and legislative proposals</w:t>
      </w:r>
      <w:r w:rsidRPr="00323D7F">
        <w:rPr>
          <w:rFonts w:ascii="Garamond" w:hAnsi="Garamond"/>
          <w:sz w:val="18"/>
          <w:szCs w:val="18"/>
        </w:rPr>
        <w:t xml:space="preserve"> (1st ed.).</w:t>
      </w:r>
      <w:r w:rsidR="00256880">
        <w:rPr>
          <w:rFonts w:ascii="Garamond" w:hAnsi="Garamond"/>
          <w:sz w:val="18"/>
          <w:szCs w:val="18"/>
        </w:rPr>
        <w:t xml:space="preserve"> </w:t>
      </w:r>
      <w:hyperlink r:id="rId2" w:history="1">
        <w:r w:rsidR="00256880" w:rsidRPr="00C3477A">
          <w:rPr>
            <w:rStyle w:val="Lienhypertexte"/>
            <w:rFonts w:ascii="Garamond" w:hAnsi="Garamond"/>
            <w:sz w:val="18"/>
            <w:szCs w:val="18"/>
          </w:rPr>
          <w:t>https://eipr.org/sites/default/files/reports/pdf/unknownids.pdf</w:t>
        </w:r>
      </w:hyperlink>
    </w:p>
    <w:p w14:paraId="38BE5F97" w14:textId="58367839" w:rsidR="00257F27" w:rsidRPr="00323D7F" w:rsidRDefault="00257F27">
      <w:pPr>
        <w:pStyle w:val="Notedebasdepage"/>
        <w:rPr>
          <w:rFonts w:ascii="Garamond" w:hAnsi="Garamond"/>
          <w:sz w:val="18"/>
          <w:szCs w:val="18"/>
        </w:rPr>
      </w:pPr>
    </w:p>
  </w:footnote>
  <w:footnote w:id="7">
    <w:p w14:paraId="0BDFE2FF" w14:textId="4F21B07D" w:rsidR="004039BE" w:rsidRPr="00323D7F" w:rsidRDefault="004039BE" w:rsidP="00D55EA1">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w:t>
      </w:r>
      <w:r w:rsidR="00D55EA1" w:rsidRPr="00323D7F">
        <w:rPr>
          <w:rFonts w:ascii="Garamond" w:hAnsi="Garamond"/>
          <w:sz w:val="18"/>
          <w:szCs w:val="18"/>
        </w:rPr>
        <w:t xml:space="preserve">Human Rights Watch. (2021, March 17). </w:t>
      </w:r>
      <w:r w:rsidR="00D55EA1" w:rsidRPr="00323D7F">
        <w:rPr>
          <w:rFonts w:ascii="Garamond" w:hAnsi="Garamond"/>
          <w:i/>
          <w:iCs/>
          <w:sz w:val="18"/>
          <w:szCs w:val="18"/>
        </w:rPr>
        <w:t>Egypt: Massive Sinai demolitions likely war crimes</w:t>
      </w:r>
      <w:r w:rsidR="00D55EA1" w:rsidRPr="00323D7F">
        <w:rPr>
          <w:rFonts w:ascii="Garamond" w:hAnsi="Garamond"/>
          <w:sz w:val="18"/>
          <w:szCs w:val="18"/>
        </w:rPr>
        <w:t xml:space="preserve">. </w:t>
      </w:r>
      <w:hyperlink r:id="rId3" w:tgtFrame="_new" w:history="1">
        <w:r w:rsidR="00D55EA1" w:rsidRPr="00323D7F">
          <w:rPr>
            <w:rStyle w:val="Lienhypertexte"/>
            <w:rFonts w:ascii="Garamond" w:hAnsi="Garamond"/>
            <w:sz w:val="18"/>
            <w:szCs w:val="18"/>
          </w:rPr>
          <w:t>https://www.hrw.org/news/2021/03/17/egypt-massive-sinai-demolitions-likely-war-crimes</w:t>
        </w:r>
      </w:hyperlink>
    </w:p>
  </w:footnote>
  <w:footnote w:id="8">
    <w:p w14:paraId="533A8E02" w14:textId="72DD47A5" w:rsidR="004039BE" w:rsidRPr="00323D7F" w:rsidRDefault="004039BE" w:rsidP="00581661">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w:t>
      </w:r>
      <w:r w:rsidR="00581661" w:rsidRPr="00323D7F">
        <w:rPr>
          <w:rFonts w:ascii="Garamond" w:hAnsi="Garamond"/>
          <w:sz w:val="18"/>
          <w:szCs w:val="18"/>
        </w:rPr>
        <w:t xml:space="preserve">Sinai Foundation for Human Rights. (2024) </w:t>
      </w:r>
      <w:r w:rsidR="00581661" w:rsidRPr="00323D7F">
        <w:rPr>
          <w:rFonts w:ascii="Garamond" w:hAnsi="Garamond"/>
          <w:i/>
          <w:iCs/>
          <w:sz w:val="18"/>
          <w:szCs w:val="18"/>
        </w:rPr>
        <w:t>Returned to leave: A new chapter of the continued forced displacement ordeal of the Indigenous people of Sinai</w:t>
      </w:r>
      <w:r w:rsidR="00581661" w:rsidRPr="00323D7F">
        <w:rPr>
          <w:rFonts w:ascii="Garamond" w:hAnsi="Garamond"/>
          <w:sz w:val="18"/>
          <w:szCs w:val="18"/>
        </w:rPr>
        <w:t>. Sinai Foundation for Human Rights.</w:t>
      </w:r>
    </w:p>
  </w:footnote>
  <w:footnote w:id="9">
    <w:p w14:paraId="0630986D" w14:textId="4195D5B8" w:rsidR="004039BE" w:rsidRPr="00323D7F" w:rsidRDefault="004039BE" w:rsidP="00581661">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w:t>
      </w:r>
      <w:r w:rsidR="00581661" w:rsidRPr="00323D7F">
        <w:rPr>
          <w:rFonts w:ascii="Garamond" w:hAnsi="Garamond"/>
          <w:sz w:val="18"/>
          <w:szCs w:val="18"/>
        </w:rPr>
        <w:t xml:space="preserve">Sinai Foundation for Human Rights. (2024). </w:t>
      </w:r>
      <w:r w:rsidR="00581661" w:rsidRPr="00323D7F">
        <w:rPr>
          <w:rFonts w:ascii="Garamond" w:hAnsi="Garamond"/>
          <w:i/>
          <w:iCs/>
          <w:sz w:val="18"/>
          <w:szCs w:val="18"/>
        </w:rPr>
        <w:t>Returned to leave: A new chapter of the continued forced displacement ordeal of the Indigenous people of Sinai</w:t>
      </w:r>
      <w:r w:rsidR="00581661" w:rsidRPr="00323D7F">
        <w:rPr>
          <w:rFonts w:ascii="Garamond" w:hAnsi="Garamond"/>
          <w:sz w:val="18"/>
          <w:szCs w:val="18"/>
        </w:rPr>
        <w:t>. Sinai Foundation for Human Rights.</w:t>
      </w:r>
    </w:p>
  </w:footnote>
  <w:footnote w:id="10">
    <w:p w14:paraId="2A588080" w14:textId="5C13543E" w:rsidR="00581661" w:rsidRPr="00323D7F" w:rsidRDefault="004039BE" w:rsidP="00581661">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w:t>
      </w:r>
      <w:r w:rsidR="00581661" w:rsidRPr="00323D7F">
        <w:rPr>
          <w:rFonts w:ascii="Garamond" w:hAnsi="Garamond"/>
          <w:sz w:val="18"/>
          <w:szCs w:val="18"/>
        </w:rPr>
        <w:t>See Video of a public session of the Egyptian Parliament, in which MP Aida Al-</w:t>
      </w:r>
      <w:proofErr w:type="spellStart"/>
      <w:r w:rsidR="00581661" w:rsidRPr="00323D7F">
        <w:rPr>
          <w:rFonts w:ascii="Garamond" w:hAnsi="Garamond"/>
          <w:sz w:val="18"/>
          <w:szCs w:val="18"/>
        </w:rPr>
        <w:t>Sawarka</w:t>
      </w:r>
      <w:proofErr w:type="spellEnd"/>
      <w:r w:rsidR="00581661" w:rsidRPr="00323D7F">
        <w:rPr>
          <w:rFonts w:ascii="Garamond" w:hAnsi="Garamond"/>
          <w:sz w:val="18"/>
          <w:szCs w:val="18"/>
        </w:rPr>
        <w:t xml:space="preserve"> submitted a briefing request about the</w:t>
      </w:r>
    </w:p>
    <w:p w14:paraId="2046754F" w14:textId="77777777" w:rsidR="00581661" w:rsidRPr="00323D7F" w:rsidRDefault="00581661" w:rsidP="00581661">
      <w:pPr>
        <w:pStyle w:val="Notedebasdepage"/>
        <w:rPr>
          <w:rFonts w:ascii="Garamond" w:hAnsi="Garamond"/>
          <w:sz w:val="18"/>
          <w:szCs w:val="18"/>
        </w:rPr>
      </w:pPr>
      <w:r w:rsidRPr="00323D7F">
        <w:rPr>
          <w:rFonts w:ascii="Garamond" w:hAnsi="Garamond"/>
          <w:sz w:val="18"/>
          <w:szCs w:val="18"/>
        </w:rPr>
        <w:t>compensation mechanisms, Khaled Al-Atrash’s Facebook account, January 1, 2023:</w:t>
      </w:r>
    </w:p>
    <w:p w14:paraId="4A0F2420" w14:textId="77777777" w:rsidR="00581661" w:rsidRPr="00323D7F" w:rsidRDefault="00581661" w:rsidP="00581661">
      <w:pPr>
        <w:pStyle w:val="Notedebasdepage"/>
        <w:rPr>
          <w:rFonts w:ascii="Garamond" w:hAnsi="Garamond"/>
          <w:sz w:val="18"/>
          <w:szCs w:val="18"/>
        </w:rPr>
      </w:pPr>
      <w:r w:rsidRPr="00323D7F">
        <w:rPr>
          <w:rFonts w:ascii="Garamond" w:hAnsi="Garamond"/>
          <w:sz w:val="18"/>
          <w:szCs w:val="18"/>
        </w:rPr>
        <w:t>https://www.facebook.com/watch/?v=687257906187260</w:t>
      </w:r>
    </w:p>
    <w:p w14:paraId="1C7353B5" w14:textId="13AFAC96" w:rsidR="004039BE" w:rsidRPr="00256880" w:rsidRDefault="00581661" w:rsidP="00581661">
      <w:pPr>
        <w:pStyle w:val="Notedebasdepage"/>
        <w:rPr>
          <w:rFonts w:ascii="Garamond" w:hAnsi="Garamond"/>
          <w:sz w:val="18"/>
          <w:szCs w:val="18"/>
        </w:rPr>
      </w:pPr>
      <w:r w:rsidRPr="00323D7F">
        <w:rPr>
          <w:rFonts w:ascii="Garamond" w:hAnsi="Garamond"/>
          <w:sz w:val="18"/>
          <w:szCs w:val="18"/>
        </w:rPr>
        <w:t>and Video of a public session of the Egyptian Parliament, in which MP Ibrahim Abu Shaera raised the issue of the compensation,</w:t>
      </w:r>
      <w:r w:rsidR="00256880">
        <w:rPr>
          <w:rFonts w:ascii="Garamond" w:hAnsi="Garamond"/>
          <w:sz w:val="18"/>
          <w:szCs w:val="18"/>
        </w:rPr>
        <w:t xml:space="preserve"> </w:t>
      </w:r>
      <w:r w:rsidRPr="00323D7F">
        <w:rPr>
          <w:rFonts w:ascii="Garamond" w:hAnsi="Garamond"/>
          <w:sz w:val="18"/>
          <w:szCs w:val="18"/>
        </w:rPr>
        <w:t>the official page of Representative Ibrahim Abu Shaera on Facebook, October 31, 2021:</w:t>
      </w:r>
      <w:r w:rsidR="00256880">
        <w:rPr>
          <w:rFonts w:ascii="Garamond" w:hAnsi="Garamond"/>
          <w:sz w:val="18"/>
          <w:szCs w:val="18"/>
        </w:rPr>
        <w:t xml:space="preserve"> </w:t>
      </w:r>
      <w:r w:rsidRPr="00323D7F">
        <w:rPr>
          <w:rFonts w:ascii="Garamond" w:hAnsi="Garamond"/>
          <w:sz w:val="18"/>
          <w:szCs w:val="18"/>
        </w:rPr>
        <w:t>https://www.facebook.com/watch/?v=1069314940563575</w:t>
      </w:r>
      <w:r w:rsidRPr="00323D7F">
        <w:rPr>
          <w:rFonts w:ascii="Garamond" w:hAnsi="Garamond"/>
          <w:sz w:val="18"/>
          <w:szCs w:val="18"/>
        </w:rPr>
        <w:br/>
      </w:r>
      <w:r w:rsidRPr="00323D7F">
        <w:rPr>
          <w:rFonts w:ascii="Garamond" w:hAnsi="Garamond"/>
          <w:b/>
          <w:bCs/>
          <w:sz w:val="18"/>
          <w:szCs w:val="18"/>
        </w:rPr>
        <w:t>cited in</w:t>
      </w:r>
      <w:r w:rsidR="00256880">
        <w:rPr>
          <w:rFonts w:ascii="Garamond" w:hAnsi="Garamond"/>
          <w:sz w:val="18"/>
          <w:szCs w:val="18"/>
        </w:rPr>
        <w:t xml:space="preserve"> </w:t>
      </w:r>
      <w:r w:rsidRPr="00323D7F">
        <w:rPr>
          <w:rFonts w:ascii="Garamond" w:hAnsi="Garamond"/>
          <w:sz w:val="18"/>
          <w:szCs w:val="18"/>
        </w:rPr>
        <w:t xml:space="preserve">Sinai Foundation for Human Rights. (2024). </w:t>
      </w:r>
      <w:r w:rsidRPr="00323D7F">
        <w:rPr>
          <w:rFonts w:ascii="Garamond" w:hAnsi="Garamond"/>
          <w:i/>
          <w:iCs/>
          <w:sz w:val="18"/>
          <w:szCs w:val="18"/>
        </w:rPr>
        <w:t>Returned to leave: A new chapter of the continued forced displacement ordeal of the Indigenous people of Sinai</w:t>
      </w:r>
      <w:r w:rsidRPr="00323D7F">
        <w:rPr>
          <w:rFonts w:ascii="Garamond" w:hAnsi="Garamond"/>
          <w:sz w:val="18"/>
          <w:szCs w:val="18"/>
        </w:rPr>
        <w:t>. Sinai Foundation for Human Rights.</w:t>
      </w:r>
    </w:p>
  </w:footnote>
  <w:footnote w:id="11">
    <w:p w14:paraId="58CFD74A" w14:textId="593F8744" w:rsidR="0014451B" w:rsidRPr="00323D7F" w:rsidRDefault="0014451B" w:rsidP="0014451B">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Constitute Project. (2019). </w:t>
      </w:r>
      <w:r w:rsidRPr="00323D7F">
        <w:rPr>
          <w:rFonts w:ascii="Garamond" w:hAnsi="Garamond"/>
          <w:i/>
          <w:iCs/>
          <w:sz w:val="18"/>
          <w:szCs w:val="18"/>
        </w:rPr>
        <w:t>Egypt’s Constitution of 2014 (rev. 2019)</w:t>
      </w:r>
      <w:r w:rsidRPr="00323D7F">
        <w:rPr>
          <w:rFonts w:ascii="Garamond" w:hAnsi="Garamond"/>
          <w:sz w:val="18"/>
          <w:szCs w:val="18"/>
        </w:rPr>
        <w:t>.</w:t>
      </w:r>
      <w:r w:rsidR="00256880">
        <w:rPr>
          <w:rFonts w:ascii="Garamond" w:hAnsi="Garamond"/>
          <w:sz w:val="18"/>
          <w:szCs w:val="18"/>
        </w:rPr>
        <w:t xml:space="preserve"> </w:t>
      </w:r>
      <w:hyperlink r:id="rId4" w:history="1">
        <w:r w:rsidR="00256880" w:rsidRPr="00C3477A">
          <w:rPr>
            <w:rStyle w:val="Lienhypertexte"/>
            <w:rFonts w:ascii="Garamond" w:hAnsi="Garamond"/>
            <w:sz w:val="18"/>
            <w:szCs w:val="18"/>
          </w:rPr>
          <w:t>https://www.constituteproject.org/constitution/Egypt_2019.pdf?lang=en</w:t>
        </w:r>
      </w:hyperlink>
      <w:r w:rsidRPr="00323D7F">
        <w:rPr>
          <w:rFonts w:ascii="Garamond" w:hAnsi="Garamond"/>
          <w:sz w:val="18"/>
          <w:szCs w:val="18"/>
        </w:rPr>
        <w:t xml:space="preserve"> </w:t>
      </w:r>
    </w:p>
  </w:footnote>
  <w:footnote w:id="12">
    <w:p w14:paraId="1B2A5D91" w14:textId="1C2ABBC2" w:rsidR="00733CC7" w:rsidRPr="00256880" w:rsidRDefault="00733CC7">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Transat-MENA. (2024). </w:t>
      </w:r>
      <w:r w:rsidRPr="00323D7F">
        <w:rPr>
          <w:rFonts w:ascii="Garamond" w:hAnsi="Garamond"/>
          <w:i/>
          <w:iCs/>
          <w:sz w:val="18"/>
          <w:szCs w:val="18"/>
        </w:rPr>
        <w:t>No recognition, no protection: Documenting violations against the LGBTQI+ community in Egypt</w:t>
      </w:r>
      <w:r w:rsidRPr="00323D7F">
        <w:rPr>
          <w:rFonts w:ascii="Garamond" w:hAnsi="Garamond"/>
          <w:sz w:val="18"/>
          <w:szCs w:val="18"/>
        </w:rPr>
        <w:t xml:space="preserve"> (Annual report 2023–2024). </w:t>
      </w:r>
    </w:p>
  </w:footnote>
  <w:footnote w:id="13">
    <w:p w14:paraId="16E4E91A" w14:textId="4ED32A3B" w:rsidR="005E02E6" w:rsidRPr="00323D7F" w:rsidRDefault="005E02E6" w:rsidP="005E02E6">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Transat-MENA. (2024). </w:t>
      </w:r>
      <w:proofErr w:type="spellStart"/>
      <w:r w:rsidRPr="00323D7F">
        <w:rPr>
          <w:rFonts w:ascii="Garamond" w:hAnsi="Garamond"/>
          <w:i/>
          <w:iCs/>
          <w:sz w:val="18"/>
          <w:szCs w:val="18"/>
        </w:rPr>
        <w:t>Makhamat</w:t>
      </w:r>
      <w:proofErr w:type="spellEnd"/>
      <w:r w:rsidRPr="00323D7F">
        <w:rPr>
          <w:rFonts w:ascii="Garamond" w:hAnsi="Garamond"/>
          <w:i/>
          <w:iCs/>
          <w:sz w:val="18"/>
          <w:szCs w:val="18"/>
        </w:rPr>
        <w:t xml:space="preserve"> al-</w:t>
      </w:r>
      <w:proofErr w:type="spellStart"/>
      <w:r w:rsidRPr="00323D7F">
        <w:rPr>
          <w:rFonts w:ascii="Garamond" w:hAnsi="Garamond"/>
          <w:i/>
          <w:iCs/>
          <w:sz w:val="18"/>
          <w:szCs w:val="18"/>
        </w:rPr>
        <w:t>khurūj</w:t>
      </w:r>
      <w:proofErr w:type="spellEnd"/>
      <w:r w:rsidRPr="00323D7F">
        <w:rPr>
          <w:rFonts w:ascii="Garamond" w:hAnsi="Garamond"/>
          <w:i/>
          <w:iCs/>
          <w:sz w:val="18"/>
          <w:szCs w:val="18"/>
        </w:rPr>
        <w:t xml:space="preserve"> </w:t>
      </w:r>
      <w:proofErr w:type="spellStart"/>
      <w:r w:rsidRPr="00323D7F">
        <w:rPr>
          <w:rFonts w:ascii="Times New Roman" w:hAnsi="Times New Roman" w:cs="Times New Roman"/>
          <w:i/>
          <w:iCs/>
          <w:sz w:val="18"/>
          <w:szCs w:val="18"/>
        </w:rPr>
        <w:t>ʿ</w:t>
      </w:r>
      <w:r w:rsidRPr="00323D7F">
        <w:rPr>
          <w:rFonts w:ascii="Garamond" w:hAnsi="Garamond"/>
          <w:i/>
          <w:iCs/>
          <w:sz w:val="18"/>
          <w:szCs w:val="18"/>
        </w:rPr>
        <w:t>an</w:t>
      </w:r>
      <w:proofErr w:type="spellEnd"/>
      <w:r w:rsidRPr="00323D7F">
        <w:rPr>
          <w:rFonts w:ascii="Garamond" w:hAnsi="Garamond"/>
          <w:i/>
          <w:iCs/>
          <w:sz w:val="18"/>
          <w:szCs w:val="18"/>
        </w:rPr>
        <w:t xml:space="preserve"> al-</w:t>
      </w:r>
      <w:proofErr w:type="spellStart"/>
      <w:r w:rsidRPr="00323D7F">
        <w:rPr>
          <w:rFonts w:ascii="Garamond" w:hAnsi="Garamond"/>
          <w:i/>
          <w:iCs/>
          <w:sz w:val="18"/>
          <w:szCs w:val="18"/>
        </w:rPr>
        <w:t>naw</w:t>
      </w:r>
      <w:r w:rsidRPr="00323D7F">
        <w:rPr>
          <w:rFonts w:ascii="Times New Roman" w:hAnsi="Times New Roman" w:cs="Times New Roman"/>
          <w:i/>
          <w:iCs/>
          <w:sz w:val="18"/>
          <w:szCs w:val="18"/>
        </w:rPr>
        <w:t>ʿ</w:t>
      </w:r>
      <w:proofErr w:type="spellEnd"/>
      <w:r w:rsidRPr="00323D7F">
        <w:rPr>
          <w:rFonts w:ascii="Garamond" w:hAnsi="Garamond"/>
          <w:i/>
          <w:iCs/>
          <w:sz w:val="18"/>
          <w:szCs w:val="18"/>
        </w:rPr>
        <w:t>: Legal persecution of trans and non-binary people in Egypt</w:t>
      </w:r>
      <w:r w:rsidRPr="00323D7F">
        <w:rPr>
          <w:rFonts w:ascii="Garamond" w:hAnsi="Garamond"/>
          <w:sz w:val="18"/>
          <w:szCs w:val="18"/>
        </w:rPr>
        <w:t>. Pg 27-9</w:t>
      </w:r>
    </w:p>
  </w:footnote>
  <w:footnote w:id="14">
    <w:p w14:paraId="17A7F92A" w14:textId="4B660C67" w:rsidR="005E02E6" w:rsidRPr="00323D7F" w:rsidRDefault="005E02E6" w:rsidP="005E02E6">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Transat-MENA. (2024). </w:t>
      </w:r>
      <w:proofErr w:type="spellStart"/>
      <w:r w:rsidRPr="00323D7F">
        <w:rPr>
          <w:rFonts w:ascii="Garamond" w:hAnsi="Garamond"/>
          <w:i/>
          <w:iCs/>
          <w:sz w:val="18"/>
          <w:szCs w:val="18"/>
        </w:rPr>
        <w:t>Makhamat</w:t>
      </w:r>
      <w:proofErr w:type="spellEnd"/>
      <w:r w:rsidRPr="00323D7F">
        <w:rPr>
          <w:rFonts w:ascii="Garamond" w:hAnsi="Garamond"/>
          <w:i/>
          <w:iCs/>
          <w:sz w:val="18"/>
          <w:szCs w:val="18"/>
        </w:rPr>
        <w:t xml:space="preserve"> al-</w:t>
      </w:r>
      <w:proofErr w:type="spellStart"/>
      <w:r w:rsidRPr="00323D7F">
        <w:rPr>
          <w:rFonts w:ascii="Garamond" w:hAnsi="Garamond"/>
          <w:i/>
          <w:iCs/>
          <w:sz w:val="18"/>
          <w:szCs w:val="18"/>
        </w:rPr>
        <w:t>khurūj</w:t>
      </w:r>
      <w:proofErr w:type="spellEnd"/>
      <w:r w:rsidRPr="00323D7F">
        <w:rPr>
          <w:rFonts w:ascii="Garamond" w:hAnsi="Garamond"/>
          <w:i/>
          <w:iCs/>
          <w:sz w:val="18"/>
          <w:szCs w:val="18"/>
        </w:rPr>
        <w:t xml:space="preserve"> </w:t>
      </w:r>
      <w:proofErr w:type="spellStart"/>
      <w:r w:rsidRPr="00323D7F">
        <w:rPr>
          <w:rFonts w:ascii="Times New Roman" w:hAnsi="Times New Roman" w:cs="Times New Roman"/>
          <w:i/>
          <w:iCs/>
          <w:sz w:val="18"/>
          <w:szCs w:val="18"/>
        </w:rPr>
        <w:t>ʿ</w:t>
      </w:r>
      <w:r w:rsidRPr="00323D7F">
        <w:rPr>
          <w:rFonts w:ascii="Garamond" w:hAnsi="Garamond"/>
          <w:i/>
          <w:iCs/>
          <w:sz w:val="18"/>
          <w:szCs w:val="18"/>
        </w:rPr>
        <w:t>an</w:t>
      </w:r>
      <w:proofErr w:type="spellEnd"/>
      <w:r w:rsidRPr="00323D7F">
        <w:rPr>
          <w:rFonts w:ascii="Garamond" w:hAnsi="Garamond"/>
          <w:i/>
          <w:iCs/>
          <w:sz w:val="18"/>
          <w:szCs w:val="18"/>
        </w:rPr>
        <w:t xml:space="preserve"> al-</w:t>
      </w:r>
      <w:proofErr w:type="spellStart"/>
      <w:r w:rsidRPr="00323D7F">
        <w:rPr>
          <w:rFonts w:ascii="Garamond" w:hAnsi="Garamond"/>
          <w:i/>
          <w:iCs/>
          <w:sz w:val="18"/>
          <w:szCs w:val="18"/>
        </w:rPr>
        <w:t>naw</w:t>
      </w:r>
      <w:r w:rsidRPr="00323D7F">
        <w:rPr>
          <w:rFonts w:ascii="Times New Roman" w:hAnsi="Times New Roman" w:cs="Times New Roman"/>
          <w:i/>
          <w:iCs/>
          <w:sz w:val="18"/>
          <w:szCs w:val="18"/>
        </w:rPr>
        <w:t>ʿ</w:t>
      </w:r>
      <w:proofErr w:type="spellEnd"/>
      <w:r w:rsidRPr="00323D7F">
        <w:rPr>
          <w:rFonts w:ascii="Garamond" w:hAnsi="Garamond"/>
          <w:i/>
          <w:iCs/>
          <w:sz w:val="18"/>
          <w:szCs w:val="18"/>
        </w:rPr>
        <w:t>: Legal persecution of trans and non-binary people in Egypt</w:t>
      </w:r>
      <w:r w:rsidRPr="00323D7F">
        <w:rPr>
          <w:rFonts w:ascii="Garamond" w:hAnsi="Garamond"/>
          <w:sz w:val="18"/>
          <w:szCs w:val="18"/>
        </w:rPr>
        <w:t>. Pg 27-9</w:t>
      </w:r>
    </w:p>
  </w:footnote>
  <w:footnote w:id="15">
    <w:p w14:paraId="1992E3A5" w14:textId="1E1F06F2" w:rsidR="0038772D" w:rsidRPr="00323D7F" w:rsidRDefault="0038772D" w:rsidP="0038772D">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Sinai Foundation for Human Rights. (2025). </w:t>
      </w:r>
      <w:r w:rsidRPr="00323D7F">
        <w:rPr>
          <w:rFonts w:ascii="Garamond" w:hAnsi="Garamond"/>
          <w:i/>
          <w:iCs/>
          <w:sz w:val="18"/>
          <w:szCs w:val="18"/>
        </w:rPr>
        <w:t>Killed in Cold Blood: Untold Stories of Extrajudicial Killings and a Mass Grave in Sinai</w:t>
      </w:r>
      <w:r w:rsidRPr="00323D7F">
        <w:rPr>
          <w:rFonts w:ascii="Garamond" w:hAnsi="Garamond"/>
          <w:sz w:val="18"/>
          <w:szCs w:val="18"/>
        </w:rPr>
        <w:t xml:space="preserve">. Retrieved from </w:t>
      </w:r>
      <w:hyperlink r:id="rId5" w:tgtFrame="_new" w:history="1">
        <w:r w:rsidRPr="00323D7F">
          <w:rPr>
            <w:rStyle w:val="Lienhypertexte"/>
            <w:rFonts w:ascii="Garamond" w:hAnsi="Garamond"/>
            <w:sz w:val="18"/>
            <w:szCs w:val="18"/>
          </w:rPr>
          <w:t>https://sinaifhr.org//upload//2grytiusy6800s0g4o.pdf</w:t>
        </w:r>
      </w:hyperlink>
      <w:r w:rsidRPr="00323D7F">
        <w:rPr>
          <w:rFonts w:ascii="Garamond" w:hAnsi="Garamond"/>
          <w:sz w:val="18"/>
          <w:szCs w:val="18"/>
        </w:rPr>
        <w:t xml:space="preserve"> </w:t>
      </w:r>
    </w:p>
  </w:footnote>
  <w:footnote w:id="16">
    <w:p w14:paraId="1BE860C0" w14:textId="2AD26246" w:rsidR="00040165" w:rsidRPr="00323D7F" w:rsidRDefault="00040165" w:rsidP="007C2689">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Al-</w:t>
      </w:r>
      <w:proofErr w:type="spellStart"/>
      <w:r w:rsidRPr="00323D7F">
        <w:rPr>
          <w:rFonts w:ascii="Garamond" w:hAnsi="Garamond"/>
          <w:sz w:val="18"/>
          <w:szCs w:val="18"/>
        </w:rPr>
        <w:t>Dahshan</w:t>
      </w:r>
      <w:proofErr w:type="spellEnd"/>
      <w:r w:rsidRPr="00323D7F">
        <w:rPr>
          <w:rFonts w:ascii="Garamond" w:hAnsi="Garamond"/>
          <w:sz w:val="18"/>
          <w:szCs w:val="18"/>
        </w:rPr>
        <w:t xml:space="preserve">. (2025, April 27). </w:t>
      </w:r>
      <w:r w:rsidRPr="00323D7F">
        <w:rPr>
          <w:rFonts w:ascii="Garamond" w:hAnsi="Garamond"/>
          <w:i/>
          <w:iCs/>
          <w:sz w:val="18"/>
          <w:szCs w:val="18"/>
        </w:rPr>
        <w:t xml:space="preserve">Law No. 263 of 1960 – Dissolution of </w:t>
      </w:r>
      <w:proofErr w:type="spellStart"/>
      <w:r w:rsidR="007B6358" w:rsidRPr="007B6358">
        <w:rPr>
          <w:rFonts w:ascii="Garamond" w:hAnsi="Garamond"/>
          <w:i/>
          <w:iCs/>
          <w:sz w:val="18"/>
          <w:szCs w:val="18"/>
        </w:rPr>
        <w:t>Bahá’í</w:t>
      </w:r>
      <w:proofErr w:type="spellEnd"/>
      <w:r w:rsidR="007B6358">
        <w:rPr>
          <w:rFonts w:ascii="Garamond" w:hAnsi="Garamond"/>
          <w:i/>
          <w:iCs/>
          <w:sz w:val="18"/>
          <w:szCs w:val="18"/>
        </w:rPr>
        <w:t xml:space="preserve"> </w:t>
      </w:r>
      <w:r w:rsidRPr="00323D7F">
        <w:rPr>
          <w:rFonts w:ascii="Garamond" w:hAnsi="Garamond"/>
          <w:i/>
          <w:iCs/>
          <w:sz w:val="18"/>
          <w:szCs w:val="18"/>
        </w:rPr>
        <w:t>assemblies</w:t>
      </w:r>
      <w:r w:rsidRPr="00323D7F">
        <w:rPr>
          <w:rFonts w:ascii="Garamond" w:hAnsi="Garamond"/>
          <w:sz w:val="18"/>
          <w:szCs w:val="18"/>
        </w:rPr>
        <w:t>. Al-</w:t>
      </w:r>
      <w:proofErr w:type="spellStart"/>
      <w:r w:rsidRPr="00323D7F">
        <w:rPr>
          <w:rFonts w:ascii="Garamond" w:hAnsi="Garamond"/>
          <w:sz w:val="18"/>
          <w:szCs w:val="18"/>
        </w:rPr>
        <w:t>Dahshan</w:t>
      </w:r>
      <w:proofErr w:type="spellEnd"/>
      <w:r w:rsidRPr="00323D7F">
        <w:rPr>
          <w:rFonts w:ascii="Garamond" w:hAnsi="Garamond"/>
          <w:sz w:val="18"/>
          <w:szCs w:val="18"/>
        </w:rPr>
        <w:t xml:space="preserve"> Law Firm. </w:t>
      </w:r>
      <w:hyperlink r:id="rId6" w:tgtFrame="_new" w:history="1">
        <w:r w:rsidRPr="00323D7F">
          <w:rPr>
            <w:rStyle w:val="Lienhypertexte"/>
            <w:rFonts w:ascii="Garamond" w:hAnsi="Garamond"/>
            <w:sz w:val="18"/>
            <w:szCs w:val="18"/>
          </w:rPr>
          <w:t>https://www.aldhshan.com/2025/04/263-1960.html</w:t>
        </w:r>
      </w:hyperlink>
    </w:p>
  </w:footnote>
  <w:footnote w:id="17">
    <w:p w14:paraId="241B51E5" w14:textId="1C02AD07" w:rsidR="00040165" w:rsidRPr="00323D7F" w:rsidRDefault="00040165" w:rsidP="00040165">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w:t>
      </w:r>
      <w:proofErr w:type="spellStart"/>
      <w:r w:rsidRPr="00323D7F">
        <w:rPr>
          <w:rFonts w:ascii="Garamond" w:hAnsi="Garamond"/>
          <w:sz w:val="18"/>
          <w:szCs w:val="18"/>
        </w:rPr>
        <w:t>Arshif</w:t>
      </w:r>
      <w:proofErr w:type="spellEnd"/>
      <w:r w:rsidRPr="00323D7F">
        <w:rPr>
          <w:rFonts w:ascii="Garamond" w:hAnsi="Garamond"/>
          <w:sz w:val="18"/>
          <w:szCs w:val="18"/>
        </w:rPr>
        <w:t xml:space="preserve"> al-Islam. (2020, April 10). </w:t>
      </w:r>
      <w:r w:rsidRPr="00323D7F">
        <w:rPr>
          <w:rFonts w:ascii="Garamond" w:hAnsi="Garamond"/>
          <w:i/>
          <w:iCs/>
          <w:sz w:val="18"/>
          <w:szCs w:val="18"/>
        </w:rPr>
        <w:t xml:space="preserve">Fatwa: The prohibition of burying deceased </w:t>
      </w:r>
      <w:proofErr w:type="spellStart"/>
      <w:r w:rsidRPr="00323D7F">
        <w:rPr>
          <w:rFonts w:ascii="Garamond" w:hAnsi="Garamond"/>
          <w:i/>
          <w:iCs/>
          <w:sz w:val="18"/>
          <w:szCs w:val="18"/>
        </w:rPr>
        <w:t>Bahá’ís</w:t>
      </w:r>
      <w:proofErr w:type="spellEnd"/>
      <w:r w:rsidRPr="00323D7F">
        <w:rPr>
          <w:rFonts w:ascii="Garamond" w:hAnsi="Garamond"/>
          <w:i/>
          <w:iCs/>
          <w:sz w:val="18"/>
          <w:szCs w:val="18"/>
        </w:rPr>
        <w:t xml:space="preserve"> in Muslim cemeteries because they are considered apostates.</w:t>
      </w:r>
      <w:r w:rsidRPr="00323D7F">
        <w:rPr>
          <w:rFonts w:ascii="Garamond" w:hAnsi="Garamond"/>
          <w:sz w:val="18"/>
          <w:szCs w:val="18"/>
        </w:rPr>
        <w:t xml:space="preserve"> Retrieved December 9, 2025, from </w:t>
      </w:r>
      <w:hyperlink r:id="rId7" w:tgtFrame="_new" w:history="1">
        <w:r w:rsidRPr="00323D7F">
          <w:rPr>
            <w:rStyle w:val="Lienhypertexte"/>
            <w:rFonts w:ascii="Garamond" w:hAnsi="Garamond"/>
            <w:sz w:val="18"/>
            <w:szCs w:val="18"/>
          </w:rPr>
          <w:t>https://islamarchive.cc/fatwa_show_2540_13</w:t>
        </w:r>
      </w:hyperlink>
    </w:p>
  </w:footnote>
  <w:footnote w:id="18">
    <w:p w14:paraId="31AEFEB6" w14:textId="01E2A1B7" w:rsidR="00040165" w:rsidRPr="00323D7F" w:rsidRDefault="00040165">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Bahá’í International Community, &amp; Minority Rights Group. (2025, October 24). </w:t>
      </w:r>
      <w:r w:rsidRPr="00323D7F">
        <w:rPr>
          <w:rFonts w:ascii="Garamond" w:hAnsi="Garamond"/>
          <w:i/>
          <w:iCs/>
          <w:sz w:val="18"/>
          <w:szCs w:val="18"/>
        </w:rPr>
        <w:t>Joint submission to the Special Rapporteur’s report on freedom of religion or belief in relation to death and the honouring of the deceased: Egypt</w:t>
      </w:r>
      <w:r w:rsidRPr="00323D7F">
        <w:rPr>
          <w:rFonts w:ascii="Garamond" w:hAnsi="Garamond"/>
          <w:sz w:val="18"/>
          <w:szCs w:val="18"/>
        </w:rPr>
        <w:t xml:space="preserve">. </w:t>
      </w:r>
    </w:p>
  </w:footnote>
  <w:footnote w:id="19">
    <w:p w14:paraId="7EF872FF" w14:textId="6EABA362" w:rsidR="0038772D" w:rsidRPr="00323D7F" w:rsidRDefault="0038772D" w:rsidP="0038772D">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Bahá’í International Community, &amp; Minority Rights Group. (2025, October 24). </w:t>
      </w:r>
      <w:r w:rsidRPr="00323D7F">
        <w:rPr>
          <w:rFonts w:ascii="Garamond" w:hAnsi="Garamond"/>
          <w:i/>
          <w:iCs/>
          <w:sz w:val="18"/>
          <w:szCs w:val="18"/>
        </w:rPr>
        <w:t>Joint submission to the Special Rapporteur’s report on freedom of religion or belief in relation to death and the honouring of the deceased: Egypt</w:t>
      </w:r>
      <w:r w:rsidRPr="00323D7F">
        <w:rPr>
          <w:rFonts w:ascii="Garamond" w:hAnsi="Garamond"/>
          <w:sz w:val="18"/>
          <w:szCs w:val="18"/>
        </w:rPr>
        <w:t xml:space="preserve">. </w:t>
      </w:r>
    </w:p>
  </w:footnote>
  <w:footnote w:id="20">
    <w:p w14:paraId="3E353CB5" w14:textId="383433E2" w:rsidR="00E95BE5" w:rsidRPr="00323D7F" w:rsidRDefault="00E95BE5" w:rsidP="00CF4EF8">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w:t>
      </w:r>
      <w:r w:rsidR="00CF4EF8" w:rsidRPr="00323D7F">
        <w:rPr>
          <w:rFonts w:ascii="Garamond" w:hAnsi="Garamond"/>
          <w:sz w:val="18"/>
          <w:szCs w:val="18"/>
        </w:rPr>
        <w:t xml:space="preserve">Sinai Foundation for Human Rights. (2023). </w:t>
      </w:r>
      <w:r w:rsidR="00CF4EF8" w:rsidRPr="00323D7F">
        <w:rPr>
          <w:rFonts w:ascii="Garamond" w:hAnsi="Garamond"/>
          <w:i/>
          <w:iCs/>
          <w:sz w:val="18"/>
          <w:szCs w:val="18"/>
        </w:rPr>
        <w:t>Mines of the Future: Violations of the Right to Education in North Sinai in the War Decade (2013–2023)</w:t>
      </w:r>
      <w:r w:rsidR="00CF4EF8" w:rsidRPr="00323D7F">
        <w:rPr>
          <w:rFonts w:ascii="Garamond" w:hAnsi="Garamond"/>
          <w:sz w:val="18"/>
          <w:szCs w:val="18"/>
        </w:rPr>
        <w:t xml:space="preserve">. </w:t>
      </w:r>
      <w:hyperlink r:id="rId8" w:tgtFrame="_new" w:history="1">
        <w:r w:rsidR="00CF4EF8" w:rsidRPr="00323D7F">
          <w:rPr>
            <w:rStyle w:val="Lienhypertexte"/>
            <w:rFonts w:ascii="Garamond" w:hAnsi="Garamond"/>
            <w:sz w:val="18"/>
            <w:szCs w:val="18"/>
          </w:rPr>
          <w:t>https://sinaifhr.org/show/365</w:t>
        </w:r>
      </w:hyperlink>
    </w:p>
  </w:footnote>
  <w:footnote w:id="21">
    <w:p w14:paraId="3BD7C028" w14:textId="17EEB5E8" w:rsidR="00E95BE5" w:rsidRPr="00323D7F" w:rsidRDefault="00E95BE5" w:rsidP="00CF4EF8">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w:t>
      </w:r>
      <w:r w:rsidR="00CF4EF8" w:rsidRPr="00323D7F">
        <w:rPr>
          <w:rFonts w:ascii="Garamond" w:hAnsi="Garamond"/>
          <w:sz w:val="18"/>
          <w:szCs w:val="18"/>
        </w:rPr>
        <w:t xml:space="preserve">Sinai Foundation for Human Rights. (2023). </w:t>
      </w:r>
      <w:r w:rsidR="00CF4EF8" w:rsidRPr="00323D7F">
        <w:rPr>
          <w:rFonts w:ascii="Garamond" w:hAnsi="Garamond"/>
          <w:i/>
          <w:iCs/>
          <w:sz w:val="18"/>
          <w:szCs w:val="18"/>
        </w:rPr>
        <w:t>Mines of the Future: Violations of the Right to Education in North Sinai in the War Decade (2013–2023)</w:t>
      </w:r>
      <w:r w:rsidR="00CF4EF8" w:rsidRPr="00323D7F">
        <w:rPr>
          <w:rFonts w:ascii="Garamond" w:hAnsi="Garamond"/>
          <w:sz w:val="18"/>
          <w:szCs w:val="18"/>
        </w:rPr>
        <w:t xml:space="preserve">. </w:t>
      </w:r>
      <w:hyperlink r:id="rId9" w:tgtFrame="_new" w:history="1">
        <w:r w:rsidR="00CF4EF8" w:rsidRPr="00323D7F">
          <w:rPr>
            <w:rStyle w:val="Lienhypertexte"/>
            <w:rFonts w:ascii="Garamond" w:hAnsi="Garamond"/>
            <w:sz w:val="18"/>
            <w:szCs w:val="18"/>
          </w:rPr>
          <w:t>https://sinaifhr.org/show/365</w:t>
        </w:r>
      </w:hyperlink>
    </w:p>
  </w:footnote>
  <w:footnote w:id="22">
    <w:p w14:paraId="5CAC9FC8" w14:textId="3B45AAF7" w:rsidR="001C6A69" w:rsidRPr="00323D7F" w:rsidRDefault="001C6A69">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Transat-MENA. (2024). </w:t>
      </w:r>
      <w:r w:rsidRPr="00323D7F">
        <w:rPr>
          <w:rFonts w:ascii="Garamond" w:hAnsi="Garamond"/>
          <w:i/>
          <w:iCs/>
          <w:sz w:val="18"/>
          <w:szCs w:val="18"/>
        </w:rPr>
        <w:t>No recognition, no protection: Documenting violations against the LGBTQI+ community in Egypt</w:t>
      </w:r>
      <w:r w:rsidRPr="00323D7F">
        <w:rPr>
          <w:rFonts w:ascii="Garamond" w:hAnsi="Garamond"/>
          <w:sz w:val="18"/>
          <w:szCs w:val="18"/>
        </w:rPr>
        <w:t xml:space="preserve"> (Annual report 2023–2024). </w:t>
      </w:r>
    </w:p>
  </w:footnote>
  <w:footnote w:id="23">
    <w:p w14:paraId="1DB9DA14" w14:textId="5095AC2F" w:rsidR="003A71D8" w:rsidRPr="00323D7F" w:rsidRDefault="003A71D8" w:rsidP="00446EBF">
      <w:pPr>
        <w:pStyle w:val="Notedebasdepage"/>
        <w:rPr>
          <w:rFonts w:ascii="Garamond" w:hAnsi="Garamond"/>
          <w:sz w:val="18"/>
          <w:szCs w:val="18"/>
        </w:rPr>
      </w:pPr>
      <w:r w:rsidRPr="00323D7F">
        <w:rPr>
          <w:rStyle w:val="Appelnotedebasdep"/>
          <w:rFonts w:ascii="Garamond" w:hAnsi="Garamond"/>
          <w:sz w:val="18"/>
          <w:szCs w:val="18"/>
        </w:rPr>
        <w:footnoteRef/>
      </w:r>
      <w:r w:rsidRPr="00323D7F">
        <w:rPr>
          <w:rFonts w:ascii="Garamond" w:hAnsi="Garamond"/>
          <w:sz w:val="18"/>
          <w:szCs w:val="18"/>
        </w:rPr>
        <w:t xml:space="preserve"> </w:t>
      </w:r>
      <w:r w:rsidR="00446EBF" w:rsidRPr="00323D7F">
        <w:rPr>
          <w:rFonts w:ascii="Garamond" w:hAnsi="Garamond"/>
          <w:sz w:val="18"/>
          <w:szCs w:val="18"/>
        </w:rPr>
        <w:t xml:space="preserve">Minority Rights Group International. (2023). </w:t>
      </w:r>
      <w:r w:rsidR="00446EBF" w:rsidRPr="00323D7F">
        <w:rPr>
          <w:rFonts w:ascii="Garamond" w:hAnsi="Garamond"/>
          <w:i/>
          <w:iCs/>
          <w:sz w:val="18"/>
          <w:szCs w:val="18"/>
        </w:rPr>
        <w:t>The state of cultural citizenship for Egyptian minorities</w:t>
      </w:r>
      <w:r w:rsidR="00446EBF" w:rsidRPr="00323D7F">
        <w:rPr>
          <w:rFonts w:ascii="Garamond" w:hAnsi="Garamond"/>
          <w:sz w:val="18"/>
          <w:szCs w:val="18"/>
        </w:rPr>
        <w:t>. Minority Rights Group International</w:t>
      </w:r>
      <w:r w:rsidR="00446EBF" w:rsidRPr="00323D7F">
        <w:rPr>
          <w:rFonts w:ascii="Garamond" w:hAnsi="Garamond"/>
          <w:b/>
          <w:bCs/>
          <w:sz w:val="18"/>
          <w:szCs w:val="18"/>
        </w:rPr>
        <w:t>.</w:t>
      </w:r>
    </w:p>
  </w:footnote>
  <w:footnote w:id="24">
    <w:p w14:paraId="40D9DE43" w14:textId="184CCBF2" w:rsidR="003A71D8" w:rsidRPr="00323D7F" w:rsidRDefault="003A71D8" w:rsidP="00446EBF">
      <w:pPr>
        <w:pStyle w:val="Notedebasdepage"/>
        <w:rPr>
          <w:rFonts w:ascii="Garamond" w:hAnsi="Garamond"/>
          <w:sz w:val="18"/>
          <w:szCs w:val="18"/>
          <w:lang w:val="en-US"/>
        </w:rPr>
      </w:pPr>
      <w:r w:rsidRPr="00323D7F">
        <w:rPr>
          <w:rStyle w:val="Appelnotedebasdep"/>
          <w:rFonts w:ascii="Garamond" w:hAnsi="Garamond"/>
          <w:sz w:val="18"/>
          <w:szCs w:val="18"/>
        </w:rPr>
        <w:footnoteRef/>
      </w:r>
      <w:r w:rsidRPr="00323D7F">
        <w:rPr>
          <w:rFonts w:ascii="Garamond" w:hAnsi="Garamond"/>
          <w:sz w:val="18"/>
          <w:szCs w:val="18"/>
        </w:rPr>
        <w:t xml:space="preserve"> </w:t>
      </w:r>
      <w:r w:rsidR="00446EBF" w:rsidRPr="00323D7F">
        <w:rPr>
          <w:rFonts w:ascii="Garamond" w:hAnsi="Garamond"/>
          <w:i/>
          <w:iCs/>
          <w:sz w:val="18"/>
          <w:szCs w:val="18"/>
        </w:rPr>
        <w:t xml:space="preserve">Ministry of Tourism and Antiquities. (2022). Antiquities Protection Law (2022). </w:t>
      </w:r>
      <w:hyperlink r:id="rId10" w:tgtFrame="_new" w:history="1">
        <w:r w:rsidR="00446EBF" w:rsidRPr="00323D7F">
          <w:rPr>
            <w:rStyle w:val="Lienhypertexte"/>
            <w:rFonts w:ascii="Garamond" w:hAnsi="Garamond"/>
            <w:i/>
            <w:iCs/>
            <w:sz w:val="18"/>
            <w:szCs w:val="18"/>
          </w:rPr>
          <w:t>https://mota.gov.eg/media/yafbwufg/</w:t>
        </w:r>
        <w:r w:rsidR="00446EBF" w:rsidRPr="00323D7F">
          <w:rPr>
            <w:rStyle w:val="Lienhypertexte"/>
            <w:rFonts w:ascii="Garamond" w:hAnsi="Garamond"/>
            <w:i/>
            <w:iCs/>
            <w:sz w:val="18"/>
            <w:szCs w:val="18"/>
            <w:rtl/>
          </w:rPr>
          <w:t>قانون-حماية-الآثار-2022</w:t>
        </w:r>
        <w:r w:rsidR="00446EBF" w:rsidRPr="00323D7F">
          <w:rPr>
            <w:rStyle w:val="Lienhypertexte"/>
            <w:rFonts w:ascii="Garamond" w:hAnsi="Garamond"/>
            <w:i/>
            <w:iCs/>
            <w:sz w:val="18"/>
            <w:szCs w:val="18"/>
          </w:rPr>
          <w:t>.pdf</w:t>
        </w:r>
      </w:hyperlink>
    </w:p>
  </w:footnote>
  <w:footnote w:id="25">
    <w:p w14:paraId="19267BCE" w14:textId="67DC60A8" w:rsidR="00FD079E" w:rsidRPr="00FD079E" w:rsidRDefault="00FD079E" w:rsidP="00FD079E">
      <w:pPr>
        <w:pStyle w:val="Notedebasdepage"/>
        <w:rPr>
          <w:lang w:val="en-US"/>
        </w:rPr>
      </w:pPr>
      <w:r w:rsidRPr="00323D7F">
        <w:rPr>
          <w:rStyle w:val="Appelnotedebasdep"/>
          <w:rFonts w:ascii="Garamond" w:hAnsi="Garamond"/>
          <w:sz w:val="18"/>
          <w:szCs w:val="18"/>
        </w:rPr>
        <w:footnoteRef/>
      </w:r>
      <w:r w:rsidRPr="00323D7F">
        <w:rPr>
          <w:rFonts w:ascii="Garamond" w:hAnsi="Garamond"/>
          <w:sz w:val="18"/>
          <w:szCs w:val="18"/>
        </w:rPr>
        <w:t xml:space="preserve"> Minority Rights Group International. (2023). </w:t>
      </w:r>
      <w:r w:rsidRPr="00323D7F">
        <w:rPr>
          <w:rFonts w:ascii="Garamond" w:hAnsi="Garamond"/>
          <w:i/>
          <w:iCs/>
          <w:sz w:val="18"/>
          <w:szCs w:val="18"/>
        </w:rPr>
        <w:t>Minority and Indigenous Trends 2022</w:t>
      </w:r>
      <w:r w:rsidRPr="00323D7F">
        <w:rPr>
          <w:rFonts w:ascii="Garamond" w:hAnsi="Garamond"/>
          <w:sz w:val="18"/>
          <w:szCs w:val="18"/>
        </w:rPr>
        <w:t xml:space="preserve">. </w:t>
      </w:r>
      <w:hyperlink r:id="rId11" w:tgtFrame="_new" w:history="1">
        <w:r w:rsidRPr="00323D7F">
          <w:rPr>
            <w:rStyle w:val="Lienhypertexte"/>
            <w:rFonts w:ascii="Garamond" w:hAnsi="Garamond"/>
            <w:sz w:val="18"/>
            <w:szCs w:val="18"/>
          </w:rPr>
          <w:t>https://minorityrights.org/app/uploads/2023/12/2022-mr-report-170x240-v7-1-pubpage.pdf</w:t>
        </w:r>
      </w:hyperlink>
      <w:r w:rsidRPr="00323D7F">
        <w:rPr>
          <w:rFonts w:ascii="Garamond" w:hAnsi="Garamond"/>
          <w:sz w:val="18"/>
          <w:szCs w:val="18"/>
        </w:rPr>
        <w:t>, p. 86</w:t>
      </w:r>
    </w:p>
  </w:footnote>
  <w:footnote w:id="26">
    <w:p w14:paraId="5C3C87B1" w14:textId="0298FF30" w:rsidR="00446EBF" w:rsidRPr="00CA00B1" w:rsidRDefault="00446EBF" w:rsidP="00446EBF">
      <w:pPr>
        <w:pStyle w:val="Notedebasdepage"/>
        <w:rPr>
          <w:rtl/>
          <w:lang w:val="en-US" w:bidi="ar-E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61113"/>
    <w:multiLevelType w:val="hybridMultilevel"/>
    <w:tmpl w:val="1D105A4E"/>
    <w:lvl w:ilvl="0" w:tplc="EBF6FB2A">
      <w:start w:val="1"/>
      <w:numFmt w:val="decimal"/>
      <w:lvlText w:val="%1."/>
      <w:lvlJc w:val="left"/>
      <w:pPr>
        <w:ind w:left="720" w:hanging="360"/>
      </w:pPr>
      <w:rPr>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59F259BD"/>
    <w:multiLevelType w:val="hybridMultilevel"/>
    <w:tmpl w:val="DB62E2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679164009">
    <w:abstractNumId w:val="1"/>
  </w:num>
  <w:num w:numId="2" w16cid:durableId="1562671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208"/>
    <w:rsid w:val="00004F25"/>
    <w:rsid w:val="00040165"/>
    <w:rsid w:val="00061A67"/>
    <w:rsid w:val="000755D5"/>
    <w:rsid w:val="00077FCA"/>
    <w:rsid w:val="00081AE3"/>
    <w:rsid w:val="000970BC"/>
    <w:rsid w:val="0014451B"/>
    <w:rsid w:val="001600B4"/>
    <w:rsid w:val="00167461"/>
    <w:rsid w:val="00175161"/>
    <w:rsid w:val="00184EF6"/>
    <w:rsid w:val="001C6A69"/>
    <w:rsid w:val="001D712E"/>
    <w:rsid w:val="00247529"/>
    <w:rsid w:val="00256880"/>
    <w:rsid w:val="00257F27"/>
    <w:rsid w:val="0027614F"/>
    <w:rsid w:val="00287B7C"/>
    <w:rsid w:val="002C17A2"/>
    <w:rsid w:val="002F2678"/>
    <w:rsid w:val="00323D7F"/>
    <w:rsid w:val="003416E1"/>
    <w:rsid w:val="00343275"/>
    <w:rsid w:val="00361B69"/>
    <w:rsid w:val="0038772D"/>
    <w:rsid w:val="003907A3"/>
    <w:rsid w:val="003A71D8"/>
    <w:rsid w:val="003E2AB4"/>
    <w:rsid w:val="004039BE"/>
    <w:rsid w:val="0040767E"/>
    <w:rsid w:val="004351B0"/>
    <w:rsid w:val="00446EBF"/>
    <w:rsid w:val="004507BB"/>
    <w:rsid w:val="004536D6"/>
    <w:rsid w:val="004653F4"/>
    <w:rsid w:val="004820BA"/>
    <w:rsid w:val="004B4DBA"/>
    <w:rsid w:val="004E3F43"/>
    <w:rsid w:val="005038FE"/>
    <w:rsid w:val="005267B2"/>
    <w:rsid w:val="0056434C"/>
    <w:rsid w:val="00577A9B"/>
    <w:rsid w:val="00581661"/>
    <w:rsid w:val="005A6567"/>
    <w:rsid w:val="005B11E6"/>
    <w:rsid w:val="005C4470"/>
    <w:rsid w:val="005D243C"/>
    <w:rsid w:val="005D4382"/>
    <w:rsid w:val="005E02E6"/>
    <w:rsid w:val="005E72CC"/>
    <w:rsid w:val="00632B1E"/>
    <w:rsid w:val="00636616"/>
    <w:rsid w:val="00684C33"/>
    <w:rsid w:val="00695F13"/>
    <w:rsid w:val="006F7967"/>
    <w:rsid w:val="00711257"/>
    <w:rsid w:val="00711B2D"/>
    <w:rsid w:val="00717A70"/>
    <w:rsid w:val="00733CC7"/>
    <w:rsid w:val="00746F93"/>
    <w:rsid w:val="007819F9"/>
    <w:rsid w:val="00790528"/>
    <w:rsid w:val="0079222A"/>
    <w:rsid w:val="007B6358"/>
    <w:rsid w:val="007C2689"/>
    <w:rsid w:val="007F6919"/>
    <w:rsid w:val="0080490A"/>
    <w:rsid w:val="008521BD"/>
    <w:rsid w:val="0089281A"/>
    <w:rsid w:val="008A0E68"/>
    <w:rsid w:val="008C192E"/>
    <w:rsid w:val="008C5CC6"/>
    <w:rsid w:val="009264D1"/>
    <w:rsid w:val="00947BF8"/>
    <w:rsid w:val="00970C8B"/>
    <w:rsid w:val="009C4525"/>
    <w:rsid w:val="009E58BE"/>
    <w:rsid w:val="00A06098"/>
    <w:rsid w:val="00A12801"/>
    <w:rsid w:val="00A26634"/>
    <w:rsid w:val="00A37208"/>
    <w:rsid w:val="00A44596"/>
    <w:rsid w:val="00A57E62"/>
    <w:rsid w:val="00A71415"/>
    <w:rsid w:val="00A80BAC"/>
    <w:rsid w:val="00AC3191"/>
    <w:rsid w:val="00AF650A"/>
    <w:rsid w:val="00B13D66"/>
    <w:rsid w:val="00B17868"/>
    <w:rsid w:val="00B22CA4"/>
    <w:rsid w:val="00B55724"/>
    <w:rsid w:val="00B83EEA"/>
    <w:rsid w:val="00C4375F"/>
    <w:rsid w:val="00C62622"/>
    <w:rsid w:val="00C70B59"/>
    <w:rsid w:val="00C72470"/>
    <w:rsid w:val="00C75209"/>
    <w:rsid w:val="00CA00B1"/>
    <w:rsid w:val="00CA3009"/>
    <w:rsid w:val="00CA7549"/>
    <w:rsid w:val="00CB7803"/>
    <w:rsid w:val="00CC441E"/>
    <w:rsid w:val="00CF4EF8"/>
    <w:rsid w:val="00D070D3"/>
    <w:rsid w:val="00D3111D"/>
    <w:rsid w:val="00D361DF"/>
    <w:rsid w:val="00D47DA2"/>
    <w:rsid w:val="00D55EA1"/>
    <w:rsid w:val="00DA53E3"/>
    <w:rsid w:val="00DB3986"/>
    <w:rsid w:val="00DF266B"/>
    <w:rsid w:val="00E13BA1"/>
    <w:rsid w:val="00E51859"/>
    <w:rsid w:val="00E53C9B"/>
    <w:rsid w:val="00E63933"/>
    <w:rsid w:val="00E82595"/>
    <w:rsid w:val="00E95BE5"/>
    <w:rsid w:val="00EB2804"/>
    <w:rsid w:val="00EF0F5A"/>
    <w:rsid w:val="00EF6E78"/>
    <w:rsid w:val="00F32F01"/>
    <w:rsid w:val="00F610DF"/>
    <w:rsid w:val="00FB5510"/>
    <w:rsid w:val="00FD079E"/>
    <w:rsid w:val="00FD0AE6"/>
    <w:rsid w:val="00FE49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95297"/>
  <w15:chartTrackingRefBased/>
  <w15:docId w15:val="{350E5A50-460C-470B-98AA-C280DAA5D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549"/>
  </w:style>
  <w:style w:type="paragraph" w:styleId="Titre1">
    <w:name w:val="heading 1"/>
    <w:basedOn w:val="Normal"/>
    <w:next w:val="Normal"/>
    <w:link w:val="Titre1Car"/>
    <w:uiPriority w:val="9"/>
    <w:qFormat/>
    <w:rsid w:val="00A372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A372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A37208"/>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37208"/>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37208"/>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37208"/>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37208"/>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37208"/>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37208"/>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37208"/>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A37208"/>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A37208"/>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37208"/>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37208"/>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37208"/>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37208"/>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37208"/>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37208"/>
    <w:rPr>
      <w:rFonts w:eastAsiaTheme="majorEastAsia" w:cstheme="majorBidi"/>
      <w:color w:val="272727" w:themeColor="text1" w:themeTint="D8"/>
    </w:rPr>
  </w:style>
  <w:style w:type="paragraph" w:styleId="Titre">
    <w:name w:val="Title"/>
    <w:basedOn w:val="Normal"/>
    <w:next w:val="Normal"/>
    <w:link w:val="TitreCar"/>
    <w:uiPriority w:val="10"/>
    <w:qFormat/>
    <w:rsid w:val="00A372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3720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37208"/>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37208"/>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37208"/>
    <w:pPr>
      <w:spacing w:before="160"/>
      <w:jc w:val="center"/>
    </w:pPr>
    <w:rPr>
      <w:i/>
      <w:iCs/>
      <w:color w:val="404040" w:themeColor="text1" w:themeTint="BF"/>
    </w:rPr>
  </w:style>
  <w:style w:type="character" w:customStyle="1" w:styleId="CitationCar">
    <w:name w:val="Citation Car"/>
    <w:basedOn w:val="Policepardfaut"/>
    <w:link w:val="Citation"/>
    <w:uiPriority w:val="29"/>
    <w:rsid w:val="00A37208"/>
    <w:rPr>
      <w:i/>
      <w:iCs/>
      <w:color w:val="404040" w:themeColor="text1" w:themeTint="BF"/>
    </w:rPr>
  </w:style>
  <w:style w:type="paragraph" w:styleId="Paragraphedeliste">
    <w:name w:val="List Paragraph"/>
    <w:basedOn w:val="Normal"/>
    <w:uiPriority w:val="34"/>
    <w:qFormat/>
    <w:rsid w:val="00A37208"/>
    <w:pPr>
      <w:ind w:left="720"/>
      <w:contextualSpacing/>
    </w:pPr>
  </w:style>
  <w:style w:type="character" w:styleId="Accentuationintense">
    <w:name w:val="Intense Emphasis"/>
    <w:basedOn w:val="Policepardfaut"/>
    <w:uiPriority w:val="21"/>
    <w:qFormat/>
    <w:rsid w:val="00A37208"/>
    <w:rPr>
      <w:i/>
      <w:iCs/>
      <w:color w:val="0F4761" w:themeColor="accent1" w:themeShade="BF"/>
    </w:rPr>
  </w:style>
  <w:style w:type="paragraph" w:styleId="Citationintense">
    <w:name w:val="Intense Quote"/>
    <w:basedOn w:val="Normal"/>
    <w:next w:val="Normal"/>
    <w:link w:val="CitationintenseCar"/>
    <w:uiPriority w:val="30"/>
    <w:qFormat/>
    <w:rsid w:val="00A372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37208"/>
    <w:rPr>
      <w:i/>
      <w:iCs/>
      <w:color w:val="0F4761" w:themeColor="accent1" w:themeShade="BF"/>
    </w:rPr>
  </w:style>
  <w:style w:type="character" w:styleId="Rfrenceintense">
    <w:name w:val="Intense Reference"/>
    <w:basedOn w:val="Policepardfaut"/>
    <w:uiPriority w:val="32"/>
    <w:qFormat/>
    <w:rsid w:val="00A37208"/>
    <w:rPr>
      <w:b/>
      <w:bCs/>
      <w:smallCaps/>
      <w:color w:val="0F4761" w:themeColor="accent1" w:themeShade="BF"/>
      <w:spacing w:val="5"/>
    </w:rPr>
  </w:style>
  <w:style w:type="paragraph" w:styleId="Notedebasdepage">
    <w:name w:val="footnote text"/>
    <w:basedOn w:val="Normal"/>
    <w:link w:val="NotedebasdepageCar"/>
    <w:uiPriority w:val="99"/>
    <w:semiHidden/>
    <w:unhideWhenUsed/>
    <w:rsid w:val="00DA53E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DA53E3"/>
    <w:rPr>
      <w:sz w:val="20"/>
      <w:szCs w:val="20"/>
    </w:rPr>
  </w:style>
  <w:style w:type="character" w:styleId="Appelnotedebasdep">
    <w:name w:val="footnote reference"/>
    <w:basedOn w:val="Policepardfaut"/>
    <w:uiPriority w:val="99"/>
    <w:semiHidden/>
    <w:unhideWhenUsed/>
    <w:rsid w:val="00DA53E3"/>
    <w:rPr>
      <w:vertAlign w:val="superscript"/>
    </w:rPr>
  </w:style>
  <w:style w:type="paragraph" w:styleId="NormalWeb">
    <w:name w:val="Normal (Web)"/>
    <w:basedOn w:val="Normal"/>
    <w:uiPriority w:val="99"/>
    <w:semiHidden/>
    <w:unhideWhenUsed/>
    <w:rsid w:val="00DA53E3"/>
    <w:rPr>
      <w:rFonts w:ascii="Times New Roman" w:hAnsi="Times New Roman" w:cs="Times New Roman"/>
    </w:rPr>
  </w:style>
  <w:style w:type="paragraph" w:styleId="Notedefin">
    <w:name w:val="endnote text"/>
    <w:basedOn w:val="Normal"/>
    <w:link w:val="NotedefinCar"/>
    <w:uiPriority w:val="99"/>
    <w:semiHidden/>
    <w:unhideWhenUsed/>
    <w:rsid w:val="00DA53E3"/>
    <w:pPr>
      <w:spacing w:after="0" w:line="240" w:lineRule="auto"/>
    </w:pPr>
    <w:rPr>
      <w:sz w:val="20"/>
      <w:szCs w:val="20"/>
    </w:rPr>
  </w:style>
  <w:style w:type="character" w:customStyle="1" w:styleId="NotedefinCar">
    <w:name w:val="Note de fin Car"/>
    <w:basedOn w:val="Policepardfaut"/>
    <w:link w:val="Notedefin"/>
    <w:uiPriority w:val="99"/>
    <w:semiHidden/>
    <w:rsid w:val="00DA53E3"/>
    <w:rPr>
      <w:sz w:val="20"/>
      <w:szCs w:val="20"/>
    </w:rPr>
  </w:style>
  <w:style w:type="character" w:styleId="Appeldenotedefin">
    <w:name w:val="endnote reference"/>
    <w:basedOn w:val="Policepardfaut"/>
    <w:uiPriority w:val="99"/>
    <w:semiHidden/>
    <w:unhideWhenUsed/>
    <w:rsid w:val="00DA53E3"/>
    <w:rPr>
      <w:vertAlign w:val="superscript"/>
    </w:rPr>
  </w:style>
  <w:style w:type="paragraph" w:styleId="En-tte">
    <w:name w:val="header"/>
    <w:basedOn w:val="Normal"/>
    <w:link w:val="En-tteCar"/>
    <w:uiPriority w:val="99"/>
    <w:unhideWhenUsed/>
    <w:rsid w:val="002C17A2"/>
    <w:pPr>
      <w:tabs>
        <w:tab w:val="center" w:pos="4513"/>
        <w:tab w:val="right" w:pos="9026"/>
      </w:tabs>
      <w:spacing w:after="0" w:line="240" w:lineRule="auto"/>
    </w:pPr>
  </w:style>
  <w:style w:type="character" w:customStyle="1" w:styleId="En-tteCar">
    <w:name w:val="En-tête Car"/>
    <w:basedOn w:val="Policepardfaut"/>
    <w:link w:val="En-tte"/>
    <w:uiPriority w:val="99"/>
    <w:rsid w:val="002C17A2"/>
  </w:style>
  <w:style w:type="paragraph" w:styleId="Pieddepage">
    <w:name w:val="footer"/>
    <w:basedOn w:val="Normal"/>
    <w:link w:val="PieddepageCar"/>
    <w:uiPriority w:val="99"/>
    <w:unhideWhenUsed/>
    <w:rsid w:val="002C17A2"/>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2C17A2"/>
  </w:style>
  <w:style w:type="paragraph" w:styleId="Rvision">
    <w:name w:val="Revision"/>
    <w:hidden/>
    <w:uiPriority w:val="99"/>
    <w:semiHidden/>
    <w:rsid w:val="00684C33"/>
    <w:pPr>
      <w:spacing w:after="0" w:line="240" w:lineRule="auto"/>
    </w:pPr>
  </w:style>
  <w:style w:type="character" w:styleId="Marquedecommentaire">
    <w:name w:val="annotation reference"/>
    <w:basedOn w:val="Policepardfaut"/>
    <w:uiPriority w:val="99"/>
    <w:semiHidden/>
    <w:unhideWhenUsed/>
    <w:rsid w:val="00AC3191"/>
    <w:rPr>
      <w:sz w:val="16"/>
      <w:szCs w:val="16"/>
    </w:rPr>
  </w:style>
  <w:style w:type="paragraph" w:styleId="Commentaire">
    <w:name w:val="annotation text"/>
    <w:basedOn w:val="Normal"/>
    <w:link w:val="CommentaireCar"/>
    <w:uiPriority w:val="99"/>
    <w:unhideWhenUsed/>
    <w:rsid w:val="00AC3191"/>
    <w:pPr>
      <w:spacing w:line="240" w:lineRule="auto"/>
    </w:pPr>
    <w:rPr>
      <w:sz w:val="20"/>
      <w:szCs w:val="20"/>
    </w:rPr>
  </w:style>
  <w:style w:type="character" w:customStyle="1" w:styleId="CommentaireCar">
    <w:name w:val="Commentaire Car"/>
    <w:basedOn w:val="Policepardfaut"/>
    <w:link w:val="Commentaire"/>
    <w:uiPriority w:val="99"/>
    <w:rsid w:val="00AC3191"/>
    <w:rPr>
      <w:sz w:val="20"/>
      <w:szCs w:val="20"/>
    </w:rPr>
  </w:style>
  <w:style w:type="paragraph" w:styleId="Objetducommentaire">
    <w:name w:val="annotation subject"/>
    <w:basedOn w:val="Commentaire"/>
    <w:next w:val="Commentaire"/>
    <w:link w:val="ObjetducommentaireCar"/>
    <w:uiPriority w:val="99"/>
    <w:semiHidden/>
    <w:unhideWhenUsed/>
    <w:rsid w:val="00AC3191"/>
    <w:rPr>
      <w:b/>
      <w:bCs/>
    </w:rPr>
  </w:style>
  <w:style w:type="character" w:customStyle="1" w:styleId="ObjetducommentaireCar">
    <w:name w:val="Objet du commentaire Car"/>
    <w:basedOn w:val="CommentaireCar"/>
    <w:link w:val="Objetducommentaire"/>
    <w:uiPriority w:val="99"/>
    <w:semiHidden/>
    <w:rsid w:val="00AC3191"/>
    <w:rPr>
      <w:b/>
      <w:bCs/>
      <w:sz w:val="20"/>
      <w:szCs w:val="20"/>
    </w:rPr>
  </w:style>
  <w:style w:type="character" w:styleId="Lienhypertexte">
    <w:name w:val="Hyperlink"/>
    <w:basedOn w:val="Policepardfaut"/>
    <w:uiPriority w:val="99"/>
    <w:unhideWhenUsed/>
    <w:rsid w:val="00EF6E78"/>
    <w:rPr>
      <w:color w:val="467886" w:themeColor="hyperlink"/>
      <w:u w:val="single"/>
    </w:rPr>
  </w:style>
  <w:style w:type="character" w:styleId="Mentionnonrsolue">
    <w:name w:val="Unresolved Mention"/>
    <w:basedOn w:val="Policepardfaut"/>
    <w:uiPriority w:val="99"/>
    <w:semiHidden/>
    <w:unhideWhenUsed/>
    <w:rsid w:val="00EF6E78"/>
    <w:rPr>
      <w:color w:val="605E5C"/>
      <w:shd w:val="clear" w:color="auto" w:fill="E1DFDD"/>
    </w:rPr>
  </w:style>
  <w:style w:type="character" w:styleId="Lienhypertextesuivivisit">
    <w:name w:val="FollowedHyperlink"/>
    <w:basedOn w:val="Policepardfaut"/>
    <w:uiPriority w:val="99"/>
    <w:semiHidden/>
    <w:unhideWhenUsed/>
    <w:rsid w:val="00A71415"/>
    <w:rPr>
      <w:color w:val="96607D" w:themeColor="followedHyperlink"/>
      <w:u w:val="single"/>
    </w:rPr>
  </w:style>
  <w:style w:type="table" w:styleId="Grilledutableau">
    <w:name w:val="Table Grid"/>
    <w:basedOn w:val="TableauNormal"/>
    <w:uiPriority w:val="59"/>
    <w:rsid w:val="00323D7F"/>
    <w:pPr>
      <w:spacing w:after="0" w:line="240" w:lineRule="auto"/>
    </w:pPr>
    <w:rPr>
      <w:rFonts w:ascii="Arial" w:eastAsia="Arial" w:hAnsi="Arial" w:cs="Arial"/>
      <w:kern w:val="0"/>
      <w:sz w:val="22"/>
      <w:szCs w:val="22"/>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umrodepage">
    <w:name w:val="page number"/>
    <w:basedOn w:val="Policepardfaut"/>
    <w:uiPriority w:val="99"/>
    <w:semiHidden/>
    <w:unhideWhenUsed/>
    <w:rsid w:val="00323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lenn.payot@minorityrights.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inorityrights.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sinaifhr.org/show/365?utm_source=chatgpt.com" TargetMode="External"/><Relationship Id="rId3" Type="http://schemas.openxmlformats.org/officeDocument/2006/relationships/hyperlink" Target="https://www.hrw.org/news/2021/03/17/egypt-massive-sinai-demolitions-likely-war-crimes?utm_source=chatgpt.com" TargetMode="External"/><Relationship Id="rId7" Type="http://schemas.openxmlformats.org/officeDocument/2006/relationships/hyperlink" Target="https://islamarchive.cc/fatwa_show_2540_13?utm_source=chatgpt.com" TargetMode="External"/><Relationship Id="rId2" Type="http://schemas.openxmlformats.org/officeDocument/2006/relationships/hyperlink" Target="https://eipr.org/sites/default/files/reports/pdf/unknownids.pdf" TargetMode="External"/><Relationship Id="rId1" Type="http://schemas.openxmlformats.org/officeDocument/2006/relationships/hyperlink" Target="https://eipr.org/sites/default/files/reports/pdf/unknownids.pdf" TargetMode="External"/><Relationship Id="rId6" Type="http://schemas.openxmlformats.org/officeDocument/2006/relationships/hyperlink" Target="https://www.aldhshan.com/2025/04/263-1960.html?utm_source=chatgpt.com" TargetMode="External"/><Relationship Id="rId11" Type="http://schemas.openxmlformats.org/officeDocument/2006/relationships/hyperlink" Target="https://minorityrights.org/app/uploads/2023/12/2022-mr-report-170x240-v7-1-pubpage.pdf?utm_source=chatgpt.com" TargetMode="External"/><Relationship Id="rId5" Type="http://schemas.openxmlformats.org/officeDocument/2006/relationships/hyperlink" Target="https://sinaifhr.org/upload/2grytiusy6800s0g4o.pdf?utm_source=chatgpt.com" TargetMode="External"/><Relationship Id="rId10" Type="http://schemas.openxmlformats.org/officeDocument/2006/relationships/hyperlink" Target="https://mota.gov.eg/media/yafbwufg/%D9%82%D8%A7%D9%86%D9%88%D9%86-%D8%AD%D9%85%D8%A7%D9%8A%D8%A9-%D8%A7%D9%84%D8%A2%D8%AB%D8%A7%D8%B1-2022.pdf?utm_source=chatgpt.com" TargetMode="External"/><Relationship Id="rId4" Type="http://schemas.openxmlformats.org/officeDocument/2006/relationships/hyperlink" Target="https://www.constituteproject.org/constitution/Egypt_2019.pdf?lang=en" TargetMode="External"/><Relationship Id="rId9" Type="http://schemas.openxmlformats.org/officeDocument/2006/relationships/hyperlink" Target="https://sinaifhr.org/show/36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95eb221-5aae-43b0-bce3-3848a3fe9a53">
      <Terms xmlns="http://schemas.microsoft.com/office/infopath/2007/PartnerControls"/>
    </lcf76f155ced4ddcb4097134ff3c332f>
    <_Flow_SignoffStatus xmlns="f95eb221-5aae-43b0-bce3-3848a3fe9a53" xsi:nil="true"/>
    <actualdateofthedocumentation xmlns="f95eb221-5aae-43b0-bce3-3848a3fe9a53" xsi:nil="true"/>
    <TaxCatchAll xmlns="b54ade0f-147d-41d6-bdce-9d30fe4adc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B669865074D8B4FA0649CC721C5275D" ma:contentTypeVersion="26" ma:contentTypeDescription="Create a new document." ma:contentTypeScope="" ma:versionID="ab8515a759b853e4451b2ba32ccd54cf">
  <xsd:schema xmlns:xsd="http://www.w3.org/2001/XMLSchema" xmlns:xs="http://www.w3.org/2001/XMLSchema" xmlns:p="http://schemas.microsoft.com/office/2006/metadata/properties" xmlns:ns2="1bf8031e-db2d-4f45-9fcc-e4ffd0c0b233" xmlns:ns3="f95eb221-5aae-43b0-bce3-3848a3fe9a53" xmlns:ns4="b54ade0f-147d-41d6-bdce-9d30fe4adccb" targetNamespace="http://schemas.microsoft.com/office/2006/metadata/properties" ma:root="true" ma:fieldsID="bdee95f2a78d2a0839f4665457fddeeb" ns2:_="" ns3:_="" ns4:_="">
    <xsd:import namespace="1bf8031e-db2d-4f45-9fcc-e4ffd0c0b233"/>
    <xsd:import namespace="f95eb221-5aae-43b0-bce3-3848a3fe9a53"/>
    <xsd:import namespace="b54ade0f-147d-41d6-bdce-9d30fe4adccb"/>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actualdateofthedocumentation" minOccurs="0"/>
                <xsd:element ref="ns3:MediaLengthInSeconds" minOccurs="0"/>
                <xsd:element ref="ns4:TaxCatchAll" minOccurs="0"/>
                <xsd:element ref="ns3:lcf76f155ced4ddcb4097134ff3c332f" minOccurs="0"/>
                <xsd:element ref="ns3:MediaServiceObjectDetectorVersions" minOccurs="0"/>
                <xsd:element ref="ns3:MediaServiceSearchProperties"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f8031e-db2d-4f45-9fcc-e4ffd0c0b23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95eb221-5aae-43b0-bce3-3848a3fe9a5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actualdateofthedocumentation" ma:index="22" nillable="true" ma:displayName="actual date of the documentation" ma:format="DateOnly" ma:internalName="actualdateofthedocumentation">
      <xsd:simpleType>
        <xsd:restriction base="dms:DateTime"/>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6c75991d-6e36-4a7f-93b3-43df95f52b1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_Flow_SignoffStatus" ma:index="29"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4ade0f-147d-41d6-bdce-9d30fe4adcc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34c610a-525c-4101-8f06-45bd2ddad3fb}" ma:internalName="TaxCatchAll" ma:showField="CatchAllData" ma:web="b54ade0f-147d-41d6-bdce-9d30fe4ad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EDCBE4-5EB6-445F-97CB-1A76E427D955}">
  <ds:schemaRefs>
    <ds:schemaRef ds:uri="http://schemas.microsoft.com/office/2006/metadata/properties"/>
    <ds:schemaRef ds:uri="http://schemas.microsoft.com/office/infopath/2007/PartnerControls"/>
    <ds:schemaRef ds:uri="f95eb221-5aae-43b0-bce3-3848a3fe9a53"/>
    <ds:schemaRef ds:uri="b54ade0f-147d-41d6-bdce-9d30fe4adccb"/>
  </ds:schemaRefs>
</ds:datastoreItem>
</file>

<file path=customXml/itemProps2.xml><?xml version="1.0" encoding="utf-8"?>
<ds:datastoreItem xmlns:ds="http://schemas.openxmlformats.org/officeDocument/2006/customXml" ds:itemID="{AE10BBA6-BBDB-48A3-846A-FD84F5B46EEA}">
  <ds:schemaRefs>
    <ds:schemaRef ds:uri="http://schemas.microsoft.com/sharepoint/v3/contenttype/forms"/>
  </ds:schemaRefs>
</ds:datastoreItem>
</file>

<file path=customXml/itemProps3.xml><?xml version="1.0" encoding="utf-8"?>
<ds:datastoreItem xmlns:ds="http://schemas.openxmlformats.org/officeDocument/2006/customXml" ds:itemID="{8DB804A9-202D-448C-8ECE-D8C82E4A538B}">
  <ds:schemaRefs>
    <ds:schemaRef ds:uri="http://schemas.openxmlformats.org/officeDocument/2006/bibliography"/>
  </ds:schemaRefs>
</ds:datastoreItem>
</file>

<file path=customXml/itemProps4.xml><?xml version="1.0" encoding="utf-8"?>
<ds:datastoreItem xmlns:ds="http://schemas.openxmlformats.org/officeDocument/2006/customXml" ds:itemID="{385D9025-7E03-47F1-9DC6-4958EE4EE2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f8031e-db2d-4f45-9fcc-e4ffd0c0b233"/>
    <ds:schemaRef ds:uri="f95eb221-5aae-43b0-bce3-3848a3fe9a53"/>
    <ds:schemaRef ds:uri="b54ade0f-147d-41d6-bdce-9d30fe4ad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3197</Words>
  <Characters>17585</Characters>
  <Application>Microsoft Office Word</Application>
  <DocSecurity>0</DocSecurity>
  <Lines>146</Lines>
  <Paragraphs>41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Yosra Elgendi</dc:creator>
  <cp:keywords/>
  <dc:description/>
  <cp:lastModifiedBy>Glenn Payot</cp:lastModifiedBy>
  <cp:revision>5</cp:revision>
  <dcterms:created xsi:type="dcterms:W3CDTF">2025-12-15T10:15:00Z</dcterms:created>
  <dcterms:modified xsi:type="dcterms:W3CDTF">2025-12-15T11:11:00Z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0x0101002B669865074D8B4FA0649CC721C5275D</vt:lpwstr>
  </property>
</Properties>
</file>