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docProps/custom.xml" ContentType="application/vnd.openxmlformats-officedocument.custom-properti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commentsIds.xml" ContentType="application/vnd.openxmlformats-officedocument.wordprocessingml.commentsId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78BC78E" w14:textId="31218C69" w:rsidR="002872D9" w:rsidRDefault="002872D9">
      <w:bookmarkStart w:id="0" w:name="_GoBack"/>
      <w:bookmarkEnd w:id="0"/>
    </w:p>
    <w:p w14:paraId="6F146997" w14:textId="77777777" w:rsidR="00B12408" w:rsidRDefault="00B12408"/>
    <w:p w14:paraId="28737F02" w14:textId="77777777" w:rsidR="002872D9" w:rsidRDefault="002872D9"/>
    <w:p w14:paraId="71DC4332" w14:textId="77777777" w:rsidR="002872D9" w:rsidRDefault="002872D9"/>
    <w:tbl>
      <w:tblPr>
        <w:tblW w:w="9014" w:type="dxa"/>
        <w:jc w:val="center"/>
        <w:tblBorders>
          <w:top w:val="single" w:sz="2" w:space="0" w:color="000000"/>
          <w:left w:val="single" w:sz="2" w:space="0" w:color="000000"/>
          <w:bottom w:val="single" w:sz="2" w:space="0" w:color="000000"/>
          <w:insideH w:val="single" w:sz="2" w:space="0" w:color="000000"/>
        </w:tblBorders>
        <w:tblCellMar>
          <w:top w:w="113" w:type="dxa"/>
          <w:left w:w="112" w:type="dxa"/>
          <w:bottom w:w="113" w:type="dxa"/>
          <w:right w:w="113" w:type="dxa"/>
        </w:tblCellMar>
        <w:tblLook w:val="04A0" w:firstRow="1" w:lastRow="0" w:firstColumn="1" w:lastColumn="0" w:noHBand="0" w:noVBand="1"/>
      </w:tblPr>
      <w:tblGrid>
        <w:gridCol w:w="2177"/>
        <w:gridCol w:w="6837"/>
      </w:tblGrid>
      <w:tr w:rsidR="002872D9" w14:paraId="7F233210" w14:textId="77777777">
        <w:trPr>
          <w:jc w:val="center"/>
        </w:trPr>
        <w:tc>
          <w:tcPr>
            <w:tcW w:w="2177" w:type="dxa"/>
            <w:tcBorders>
              <w:top w:val="single" w:sz="2" w:space="0" w:color="000000"/>
              <w:left w:val="single" w:sz="2" w:space="0" w:color="000000"/>
              <w:bottom w:val="single" w:sz="2" w:space="0" w:color="000000"/>
            </w:tcBorders>
            <w:shd w:val="clear" w:color="auto" w:fill="E6E6E6"/>
            <w:tcMar>
              <w:left w:w="112" w:type="dxa"/>
            </w:tcMar>
          </w:tcPr>
          <w:p w14:paraId="2A0ABC58" w14:textId="77777777" w:rsidR="002872D9" w:rsidRDefault="002872D9">
            <w:pPr>
              <w:pStyle w:val="TableContents"/>
              <w:spacing w:before="57" w:after="57"/>
              <w:contextualSpacing/>
            </w:pPr>
          </w:p>
        </w:tc>
        <w:tc>
          <w:tcPr>
            <w:tcW w:w="6837" w:type="dxa"/>
            <w:tcBorders>
              <w:top w:val="single" w:sz="2" w:space="0" w:color="000000"/>
              <w:left w:val="single" w:sz="2" w:space="0" w:color="000000"/>
              <w:bottom w:val="single" w:sz="2" w:space="0" w:color="000000"/>
              <w:right w:val="single" w:sz="2" w:space="0" w:color="000000"/>
            </w:tcBorders>
            <w:shd w:val="clear" w:color="auto" w:fill="auto"/>
            <w:tcMar>
              <w:left w:w="112" w:type="dxa"/>
            </w:tcMar>
          </w:tcPr>
          <w:p w14:paraId="78E83416" w14:textId="77777777" w:rsidR="002872D9" w:rsidRDefault="00E0301A">
            <w:pPr>
              <w:pStyle w:val="TableContents"/>
              <w:spacing w:before="113" w:after="113"/>
              <w:ind w:right="0"/>
              <w:contextualSpacing/>
              <w:jc w:val="center"/>
              <w:rPr>
                <w:b/>
                <w:bCs/>
              </w:rPr>
            </w:pPr>
            <w:r>
              <w:rPr>
                <w:b/>
                <w:bCs/>
              </w:rPr>
              <w:t>List of Issues to the Initial State Report of Luxembourg:</w:t>
            </w:r>
          </w:p>
        </w:tc>
      </w:tr>
      <w:tr w:rsidR="002872D9" w14:paraId="3330F185" w14:textId="77777777">
        <w:trPr>
          <w:jc w:val="center"/>
        </w:trPr>
        <w:tc>
          <w:tcPr>
            <w:tcW w:w="2177" w:type="dxa"/>
            <w:tcBorders>
              <w:left w:val="single" w:sz="2" w:space="0" w:color="000000"/>
              <w:bottom w:val="single" w:sz="2" w:space="0" w:color="000000"/>
            </w:tcBorders>
            <w:shd w:val="clear" w:color="auto" w:fill="E6E6E6"/>
            <w:tcMar>
              <w:left w:w="112" w:type="dxa"/>
            </w:tcMar>
          </w:tcPr>
          <w:p w14:paraId="04449C9B" w14:textId="77777777" w:rsidR="002872D9" w:rsidRDefault="00E0301A">
            <w:pPr>
              <w:pStyle w:val="TableContents"/>
              <w:spacing w:before="0" w:after="0"/>
              <w:jc w:val="right"/>
              <w:rPr>
                <w:b/>
                <w:bCs/>
              </w:rPr>
            </w:pPr>
            <w:r>
              <w:rPr>
                <w:b/>
                <w:bCs/>
              </w:rPr>
              <w:t>Title :</w:t>
            </w:r>
          </w:p>
        </w:tc>
        <w:tc>
          <w:tcPr>
            <w:tcW w:w="6837" w:type="dxa"/>
            <w:tcBorders>
              <w:left w:val="single" w:sz="2" w:space="0" w:color="000000"/>
              <w:bottom w:val="single" w:sz="2" w:space="0" w:color="000000"/>
              <w:right w:val="single" w:sz="2" w:space="0" w:color="000000"/>
            </w:tcBorders>
            <w:shd w:val="clear" w:color="auto" w:fill="auto"/>
            <w:tcMar>
              <w:left w:w="112" w:type="dxa"/>
            </w:tcMar>
            <w:vAlign w:val="center"/>
          </w:tcPr>
          <w:p w14:paraId="5738A579" w14:textId="77777777" w:rsidR="002872D9" w:rsidRDefault="00E0301A">
            <w:pPr>
              <w:pStyle w:val="TableContents"/>
              <w:spacing w:before="0" w:after="0"/>
              <w:jc w:val="left"/>
              <w:rPr>
                <w:b/>
                <w:bCs/>
              </w:rPr>
            </w:pPr>
            <w:r>
              <w:rPr>
                <w:b/>
                <w:bCs/>
              </w:rPr>
              <w:t>List of Issues - Responses</w:t>
            </w:r>
          </w:p>
        </w:tc>
      </w:tr>
      <w:tr w:rsidR="002872D9" w14:paraId="1B0CF85D" w14:textId="77777777">
        <w:trPr>
          <w:jc w:val="center"/>
        </w:trPr>
        <w:tc>
          <w:tcPr>
            <w:tcW w:w="2177" w:type="dxa"/>
            <w:tcBorders>
              <w:left w:val="single" w:sz="2" w:space="0" w:color="000000"/>
              <w:bottom w:val="single" w:sz="2" w:space="0" w:color="000000"/>
            </w:tcBorders>
            <w:shd w:val="clear" w:color="auto" w:fill="E6E6E6"/>
            <w:tcMar>
              <w:left w:w="112" w:type="dxa"/>
            </w:tcMar>
          </w:tcPr>
          <w:p w14:paraId="77AE37A1" w14:textId="77777777" w:rsidR="002872D9" w:rsidRDefault="00E0301A">
            <w:pPr>
              <w:pStyle w:val="TableContents"/>
              <w:spacing w:before="0" w:after="0"/>
              <w:jc w:val="right"/>
              <w:rPr>
                <w:b/>
                <w:bCs/>
              </w:rPr>
            </w:pPr>
            <w:r>
              <w:rPr>
                <w:b/>
                <w:bCs/>
              </w:rPr>
              <w:t>Status :</w:t>
            </w:r>
          </w:p>
        </w:tc>
        <w:tc>
          <w:tcPr>
            <w:tcW w:w="6837" w:type="dxa"/>
            <w:tcBorders>
              <w:left w:val="single" w:sz="2" w:space="0" w:color="000000"/>
              <w:bottom w:val="single" w:sz="2" w:space="0" w:color="000000"/>
              <w:right w:val="single" w:sz="2" w:space="0" w:color="000000"/>
            </w:tcBorders>
            <w:shd w:val="clear" w:color="auto" w:fill="auto"/>
            <w:tcMar>
              <w:left w:w="112" w:type="dxa"/>
            </w:tcMar>
          </w:tcPr>
          <w:p w14:paraId="71992428" w14:textId="77777777" w:rsidR="002872D9" w:rsidRDefault="00E0301A">
            <w:pPr>
              <w:pStyle w:val="TableContents"/>
              <w:spacing w:before="0" w:after="0"/>
            </w:pPr>
            <w:r>
              <w:t>final</w:t>
            </w:r>
          </w:p>
        </w:tc>
      </w:tr>
      <w:tr w:rsidR="002872D9" w14:paraId="3A5D9BCA" w14:textId="77777777">
        <w:trPr>
          <w:jc w:val="center"/>
        </w:trPr>
        <w:tc>
          <w:tcPr>
            <w:tcW w:w="2177" w:type="dxa"/>
            <w:tcBorders>
              <w:left w:val="single" w:sz="2" w:space="0" w:color="000000"/>
              <w:bottom w:val="single" w:sz="2" w:space="0" w:color="000000"/>
            </w:tcBorders>
            <w:shd w:val="clear" w:color="auto" w:fill="E6E6E6"/>
            <w:tcMar>
              <w:left w:w="112" w:type="dxa"/>
            </w:tcMar>
          </w:tcPr>
          <w:p w14:paraId="5BA0B591" w14:textId="77777777" w:rsidR="002872D9" w:rsidRDefault="00E0301A">
            <w:pPr>
              <w:pStyle w:val="TableContents"/>
              <w:spacing w:before="0" w:after="0"/>
              <w:jc w:val="right"/>
              <w:rPr>
                <w:b/>
                <w:bCs/>
              </w:rPr>
            </w:pPr>
            <w:r>
              <w:rPr>
                <w:b/>
                <w:bCs/>
              </w:rPr>
              <w:t>Distribution :</w:t>
            </w:r>
          </w:p>
        </w:tc>
        <w:tc>
          <w:tcPr>
            <w:tcW w:w="6837" w:type="dxa"/>
            <w:tcBorders>
              <w:left w:val="single" w:sz="2" w:space="0" w:color="000000"/>
              <w:bottom w:val="single" w:sz="2" w:space="0" w:color="000000"/>
              <w:right w:val="single" w:sz="2" w:space="0" w:color="000000"/>
            </w:tcBorders>
            <w:shd w:val="clear" w:color="auto" w:fill="auto"/>
            <w:tcMar>
              <w:left w:w="112" w:type="dxa"/>
            </w:tcMar>
          </w:tcPr>
          <w:p w14:paraId="3F6254D7" w14:textId="77777777" w:rsidR="002872D9" w:rsidRDefault="00E0301A">
            <w:pPr>
              <w:pStyle w:val="TableContents"/>
              <w:spacing w:before="0" w:after="0"/>
            </w:pPr>
            <w:proofErr w:type="spellStart"/>
            <w:r>
              <w:t>Nëmme</w:t>
            </w:r>
            <w:proofErr w:type="spellEnd"/>
            <w:r>
              <w:t xml:space="preserve"> mat </w:t>
            </w:r>
            <w:proofErr w:type="spellStart"/>
            <w:r>
              <w:t>Eis</w:t>
            </w:r>
            <w:proofErr w:type="spellEnd"/>
            <w:r>
              <w:t>!, Info-Handicap</w:t>
            </w:r>
          </w:p>
        </w:tc>
      </w:tr>
      <w:tr w:rsidR="002872D9" w14:paraId="254278AB" w14:textId="77777777">
        <w:trPr>
          <w:jc w:val="center"/>
        </w:trPr>
        <w:tc>
          <w:tcPr>
            <w:tcW w:w="2177" w:type="dxa"/>
            <w:tcBorders>
              <w:left w:val="single" w:sz="2" w:space="0" w:color="000000"/>
              <w:bottom w:val="single" w:sz="2" w:space="0" w:color="000000"/>
            </w:tcBorders>
            <w:shd w:val="clear" w:color="auto" w:fill="E6E6E6"/>
            <w:tcMar>
              <w:left w:w="112" w:type="dxa"/>
            </w:tcMar>
          </w:tcPr>
          <w:p w14:paraId="342E6C80" w14:textId="77777777" w:rsidR="002872D9" w:rsidRDefault="00E0301A">
            <w:pPr>
              <w:pStyle w:val="TableContents"/>
              <w:spacing w:before="0" w:after="0"/>
              <w:jc w:val="right"/>
              <w:rPr>
                <w:b/>
                <w:bCs/>
              </w:rPr>
            </w:pPr>
            <w:r>
              <w:rPr>
                <w:b/>
                <w:bCs/>
              </w:rPr>
              <w:t>Authors :</w:t>
            </w:r>
            <w:r>
              <w:rPr>
                <w:b/>
                <w:bCs/>
              </w:rPr>
              <w:br/>
              <w:t>(in alphabetic order)</w:t>
            </w:r>
          </w:p>
        </w:tc>
        <w:tc>
          <w:tcPr>
            <w:tcW w:w="6837" w:type="dxa"/>
            <w:tcBorders>
              <w:left w:val="single" w:sz="2" w:space="0" w:color="000000"/>
              <w:bottom w:val="single" w:sz="2" w:space="0" w:color="000000"/>
              <w:right w:val="single" w:sz="2" w:space="0" w:color="000000"/>
            </w:tcBorders>
            <w:shd w:val="clear" w:color="auto" w:fill="auto"/>
            <w:tcMar>
              <w:left w:w="112" w:type="dxa"/>
            </w:tcMar>
          </w:tcPr>
          <w:p w14:paraId="7405355A" w14:textId="77777777" w:rsidR="002872D9" w:rsidRDefault="00E0301A">
            <w:pPr>
              <w:pStyle w:val="TableContents"/>
              <w:spacing w:before="0" w:after="0"/>
            </w:pPr>
            <w:r>
              <w:t>Patrick Hurst (NME)</w:t>
            </w:r>
          </w:p>
          <w:p w14:paraId="06DCA925" w14:textId="77777777" w:rsidR="002872D9" w:rsidRDefault="00E0301A">
            <w:pPr>
              <w:pStyle w:val="TableContents"/>
              <w:spacing w:before="0" w:after="0"/>
            </w:pPr>
            <w:proofErr w:type="spellStart"/>
            <w:r>
              <w:t>Rigobert</w:t>
            </w:r>
            <w:proofErr w:type="spellEnd"/>
            <w:r>
              <w:t xml:space="preserve"> Rink (NME)</w:t>
            </w:r>
          </w:p>
          <w:p w14:paraId="5A51B633" w14:textId="77777777" w:rsidR="002872D9" w:rsidRPr="007B4A14" w:rsidRDefault="00E0301A">
            <w:pPr>
              <w:pStyle w:val="TableContents"/>
              <w:spacing w:before="0" w:after="0"/>
              <w:rPr>
                <w:lang w:val="fr-BE"/>
              </w:rPr>
            </w:pPr>
            <w:r w:rsidRPr="007B4A14">
              <w:rPr>
                <w:lang w:val="fr-BE"/>
              </w:rPr>
              <w:t xml:space="preserve">Josiane </w:t>
            </w:r>
            <w:proofErr w:type="spellStart"/>
            <w:r w:rsidRPr="007B4A14">
              <w:rPr>
                <w:lang w:val="fr-BE"/>
              </w:rPr>
              <w:t>Rommes</w:t>
            </w:r>
            <w:proofErr w:type="spellEnd"/>
            <w:r w:rsidRPr="007B4A14">
              <w:rPr>
                <w:lang w:val="fr-BE"/>
              </w:rPr>
              <w:t xml:space="preserve"> (Chien guides d'aveugles au Luxembourg)</w:t>
            </w:r>
          </w:p>
          <w:p w14:paraId="0BC7A07E" w14:textId="77777777" w:rsidR="002872D9" w:rsidRDefault="00E0301A">
            <w:pPr>
              <w:pStyle w:val="TableContents"/>
              <w:spacing w:before="0" w:after="0"/>
            </w:pPr>
            <w:r>
              <w:t>Matthias Schmitt (NME)</w:t>
            </w:r>
          </w:p>
          <w:p w14:paraId="0464ACB6" w14:textId="77777777" w:rsidR="002872D9" w:rsidRDefault="00E0301A">
            <w:pPr>
              <w:pStyle w:val="TableContents"/>
              <w:spacing w:before="0" w:after="0"/>
            </w:pPr>
            <w:r>
              <w:t xml:space="preserve">With special thanks to: Sabrina </w:t>
            </w:r>
            <w:proofErr w:type="spellStart"/>
            <w:r>
              <w:t>Collé</w:t>
            </w:r>
            <w:proofErr w:type="spellEnd"/>
            <w:r>
              <w:t xml:space="preserve">, Fabiano </w:t>
            </w:r>
            <w:proofErr w:type="spellStart"/>
            <w:r>
              <w:t>Munisso</w:t>
            </w:r>
            <w:proofErr w:type="spellEnd"/>
          </w:p>
        </w:tc>
      </w:tr>
      <w:tr w:rsidR="002872D9" w14:paraId="0FD91FE3" w14:textId="77777777">
        <w:trPr>
          <w:jc w:val="center"/>
        </w:trPr>
        <w:tc>
          <w:tcPr>
            <w:tcW w:w="2177" w:type="dxa"/>
            <w:tcBorders>
              <w:left w:val="single" w:sz="2" w:space="0" w:color="000000"/>
              <w:bottom w:val="single" w:sz="2" w:space="0" w:color="000000"/>
            </w:tcBorders>
            <w:shd w:val="clear" w:color="auto" w:fill="E6E6E6"/>
            <w:tcMar>
              <w:left w:w="112" w:type="dxa"/>
            </w:tcMar>
          </w:tcPr>
          <w:p w14:paraId="021BF498" w14:textId="77777777" w:rsidR="002872D9" w:rsidRDefault="00E0301A">
            <w:pPr>
              <w:pStyle w:val="TableContents"/>
              <w:spacing w:before="0" w:after="0"/>
              <w:jc w:val="right"/>
              <w:rPr>
                <w:b/>
                <w:bCs/>
              </w:rPr>
            </w:pPr>
            <w:r>
              <w:rPr>
                <w:b/>
                <w:bCs/>
              </w:rPr>
              <w:t>Last update :</w:t>
            </w:r>
          </w:p>
        </w:tc>
        <w:tc>
          <w:tcPr>
            <w:tcW w:w="6837" w:type="dxa"/>
            <w:tcBorders>
              <w:left w:val="single" w:sz="2" w:space="0" w:color="000000"/>
              <w:bottom w:val="single" w:sz="2" w:space="0" w:color="000000"/>
              <w:right w:val="single" w:sz="2" w:space="0" w:color="000000"/>
            </w:tcBorders>
            <w:shd w:val="clear" w:color="auto" w:fill="auto"/>
            <w:tcMar>
              <w:left w:w="112" w:type="dxa"/>
            </w:tcMar>
          </w:tcPr>
          <w:p w14:paraId="05830EBD" w14:textId="77777777" w:rsidR="002872D9" w:rsidRDefault="00E0301A">
            <w:pPr>
              <w:pStyle w:val="TableContents"/>
              <w:spacing w:before="0" w:after="0"/>
            </w:pPr>
            <w:r>
              <w:t>23.06.2017</w:t>
            </w:r>
          </w:p>
        </w:tc>
      </w:tr>
    </w:tbl>
    <w:p w14:paraId="17A90CEB" w14:textId="77777777" w:rsidR="002872D9" w:rsidRDefault="00E0301A">
      <w:r>
        <w:br w:type="page"/>
      </w:r>
    </w:p>
    <w:p w14:paraId="4B614636" w14:textId="77777777" w:rsidR="002872D9" w:rsidRDefault="00E0301A">
      <w:pPr>
        <w:pStyle w:val="Heading1"/>
      </w:pPr>
      <w:bookmarkStart w:id="1" w:name="__RefHeading__192_46960417"/>
      <w:bookmarkEnd w:id="1"/>
      <w:r>
        <w:lastRenderedPageBreak/>
        <w:t>Purpose and General Obligations (Art 1-4)</w:t>
      </w:r>
    </w:p>
    <w:p w14:paraId="6DCF559A" w14:textId="77777777" w:rsidR="002872D9" w:rsidRDefault="00E0301A">
      <w:pPr>
        <w:pStyle w:val="Heading2"/>
      </w:pPr>
      <w:bookmarkStart w:id="2" w:name="__RefHeading___Toc2708_915346823"/>
      <w:bookmarkEnd w:id="2"/>
      <w:r>
        <w:t>1)</w:t>
      </w:r>
      <w:r>
        <w:tab/>
        <w:t>In the absence of a uniformed definition of disability (para.17 of the State’s report), please inform on whether the concept of disability in the national laws is compliant with human rights model of disability in line with the purpose of the Convention.</w:t>
      </w:r>
    </w:p>
    <w:p w14:paraId="4613DE25" w14:textId="35AB9DDA" w:rsidR="002872D9" w:rsidRDefault="00E0301A">
      <w:pPr>
        <w:pStyle w:val="BodyText"/>
      </w:pPr>
      <w:r>
        <w:t xml:space="preserve">The State of Luxembourg uses various definitions of disability. In general a definition is used in the context of describing an assistive aid or service provided by the state or </w:t>
      </w:r>
      <w:r w:rsidR="007B4A14">
        <w:t>state agency</w:t>
      </w:r>
      <w:r>
        <w:t>. In any case the definition is based on the description of pure medical criteria. If a person wants to benefit from support measures, he/she must prove a minimum level of disability by a medical certificate. It states in the reply to the CRPD list of issues, that a human rights approach is applied in some institutional settings. We however have no proof for such a paradigm shift. On the contrary, legislative proposal 7014</w:t>
      </w:r>
      <w:r w:rsidR="008F1E1B">
        <w:t xml:space="preserve"> </w:t>
      </w:r>
      <w:r w:rsidR="004D4CCF">
        <w:t>issued on July 8</w:t>
      </w:r>
      <w:r w:rsidR="004D4CCF" w:rsidRPr="008F1E1B">
        <w:rPr>
          <w:vertAlign w:val="superscript"/>
        </w:rPr>
        <w:t>th</w:t>
      </w:r>
      <w:r w:rsidR="004D4CCF">
        <w:t xml:space="preserve"> 2016 </w:t>
      </w:r>
      <w:r>
        <w:t xml:space="preserve"> </w:t>
      </w:r>
      <w:hyperlink r:id="rId8" w:history="1">
        <w:r w:rsidRPr="00B12408">
          <w:rPr>
            <w:rStyle w:val="Hyperlink"/>
          </w:rPr>
          <w:t>reforming care insurance</w:t>
        </w:r>
      </w:hyperlink>
      <w:r>
        <w:t xml:space="preserve"> does not state any right the user can claim for.</w:t>
      </w:r>
    </w:p>
    <w:p w14:paraId="7E661946" w14:textId="66C1EF7A" w:rsidR="002872D9" w:rsidRDefault="00670403" w:rsidP="00475800">
      <w:pPr>
        <w:pStyle w:val="BodyText"/>
      </w:pPr>
      <w:r>
        <w:t xml:space="preserve">We </w:t>
      </w:r>
      <w:r w:rsidRPr="00670403">
        <w:t>rec</w:t>
      </w:r>
      <w:r>
        <w:t>ommend</w:t>
      </w:r>
      <w:r w:rsidRPr="00670403">
        <w:t xml:space="preserve"> </w:t>
      </w:r>
      <w:r w:rsidR="006F7AE5">
        <w:t>the</w:t>
      </w:r>
      <w:r w:rsidRPr="00670403">
        <w:t xml:space="preserve"> amend</w:t>
      </w:r>
      <w:r w:rsidR="006F7AE5">
        <w:t>ment of</w:t>
      </w:r>
      <w:r w:rsidRPr="00670403">
        <w:t xml:space="preserve"> the legal definition of disability in accordance with the criteria and principles provided in articles 1 to 3 of the Convention and that it effectively apply the amended legal definition in all laws and regulations.</w:t>
      </w:r>
      <w:r w:rsidDel="00670403">
        <w:t xml:space="preserve"> </w:t>
      </w:r>
      <w:bookmarkStart w:id="3" w:name="__RefHeading___Toc9806_721564466"/>
      <w:bookmarkEnd w:id="3"/>
      <w:r w:rsidR="00E0301A">
        <w:t>2)</w:t>
      </w:r>
      <w:r w:rsidR="00E0301A">
        <w:tab/>
        <w:t xml:space="preserve">Please inform about measures adopted in implementing the concepts of "reasonable accommodation" and "universal design". </w:t>
      </w:r>
    </w:p>
    <w:p w14:paraId="2DE48719" w14:textId="039CAF9D" w:rsidR="002872D9" w:rsidRDefault="00E0301A">
      <w:pPr>
        <w:pStyle w:val="BodyText"/>
      </w:pPr>
      <w:r>
        <w:t>The State of Luxembourg differentiates between measures provided for everybody ("Design for All") and measures taken for one specific person in a given context ("reasonable accommodation"). As an example measures in schools for improving inclusion are evaluated based on the individual situation of a person. General measures on the labour market could thus be interpreted as part of a “Design for All” approach.</w:t>
      </w:r>
      <w:r w:rsidR="004D4CCF">
        <w:t xml:space="preserve"> In schools, there is indeed a legal implementation of the concept of reasonable accommodation (Law on Access to Qualification and Degrees issued on July 15</w:t>
      </w:r>
      <w:r w:rsidR="004D4CCF" w:rsidRPr="008F1E1B">
        <w:rPr>
          <w:vertAlign w:val="superscript"/>
        </w:rPr>
        <w:t>th</w:t>
      </w:r>
      <w:r w:rsidR="004D4CCF">
        <w:t xml:space="preserve"> 2011) whereas it is applied on a voluntary basis in the field of employment.</w:t>
      </w:r>
    </w:p>
    <w:p w14:paraId="331F8D72" w14:textId="77777777" w:rsidR="002872D9" w:rsidRDefault="00E0301A">
      <w:pPr>
        <w:pStyle w:val="BodyText"/>
      </w:pPr>
      <w:r>
        <w:t>The Ministry for Family, Integration and the Greater Region promotes the term of "Design for All" in the context of public architecture and construction (</w:t>
      </w:r>
      <w:hyperlink r:id="rId9" w:tgtFrame="_blank">
        <w:r>
          <w:rPr>
            <w:rStyle w:val="InternetLink"/>
          </w:rPr>
          <w:t>Source Web</w:t>
        </w:r>
      </w:hyperlink>
      <w:r>
        <w:t>). Furthermore the term is often used when referring to the accessibility of public places.</w:t>
      </w:r>
    </w:p>
    <w:p w14:paraId="5C820D34" w14:textId="77777777" w:rsidR="002872D9" w:rsidRDefault="00E0301A">
      <w:pPr>
        <w:pStyle w:val="Heading2"/>
        <w:tabs>
          <w:tab w:val="left" w:pos="288"/>
        </w:tabs>
      </w:pPr>
      <w:bookmarkStart w:id="4" w:name="__RefHeading___Toc9808_721564466"/>
      <w:bookmarkEnd w:id="4"/>
      <w:r>
        <w:t>3)</w:t>
      </w:r>
      <w:r>
        <w:tab/>
        <w:t>Please provide detailed statistical data on the number and role of organisations for persons with disabilities that have participated in consultation in legislative policy and administrative measures in combating discrimination and the effect of such legislative policy and administrative measures up to date.</w:t>
      </w:r>
    </w:p>
    <w:p w14:paraId="044165FA" w14:textId="77777777" w:rsidR="002872D9" w:rsidRDefault="00E0301A">
      <w:pPr>
        <w:pStyle w:val="BodyText"/>
      </w:pPr>
      <w:r>
        <w:t>The following organisations are active on a consultative basis when it comes to elaborating legislation and combatting discrimination.</w:t>
      </w:r>
    </w:p>
    <w:p w14:paraId="5BF1D261" w14:textId="6701E8B7" w:rsidR="002872D9" w:rsidRDefault="00E0301A" w:rsidP="004D4CCF">
      <w:pPr>
        <w:pStyle w:val="BulletList1"/>
      </w:pPr>
      <w:r>
        <w:t xml:space="preserve">The </w:t>
      </w:r>
      <w:proofErr w:type="spellStart"/>
      <w:r>
        <w:t>Center</w:t>
      </w:r>
      <w:proofErr w:type="spellEnd"/>
      <w:r>
        <w:t xml:space="preserve"> for Equal Treatment ("Centre pour </w:t>
      </w:r>
      <w:proofErr w:type="spellStart"/>
      <w:r>
        <w:t>l’égalité</w:t>
      </w:r>
      <w:proofErr w:type="spellEnd"/>
      <w:r>
        <w:t xml:space="preserve"> de </w:t>
      </w:r>
      <w:proofErr w:type="spellStart"/>
      <w:r>
        <w:t>traitement</w:t>
      </w:r>
      <w:proofErr w:type="spellEnd"/>
      <w:r>
        <w:t xml:space="preserve">", short "CET") was created by the anti-discrimination act on November 28th 2006 and aims at promoting equal treatment and combating discriminations due to racial and ethnic origin, religion, age, gender, sexual orientation or a disability. </w:t>
      </w:r>
      <w:r w:rsidR="004D4CCF">
        <w:t xml:space="preserve">According to the its yearly report, disability is the first cause of </w:t>
      </w:r>
      <w:proofErr w:type="gramStart"/>
      <w:r w:rsidR="004D4CCF">
        <w:t>discrimination(</w:t>
      </w:r>
      <w:proofErr w:type="gramEnd"/>
      <w:r w:rsidR="004D4CCF">
        <w:t xml:space="preserve">see </w:t>
      </w:r>
      <w:hyperlink r:id="rId10" w:history="1">
        <w:r w:rsidR="004D4CCF" w:rsidRPr="000D62B0">
          <w:rPr>
            <w:rStyle w:val="Hyperlink"/>
          </w:rPr>
          <w:t>http://cet.lu/lb/2017/04/rapport-2016/</w:t>
        </w:r>
      </w:hyperlink>
      <w:r w:rsidR="004D4CCF">
        <w:t>).</w:t>
      </w:r>
      <w:r>
        <w:t>It has however no legal nor sanctioning powers.</w:t>
      </w:r>
    </w:p>
    <w:p w14:paraId="6720B3AB" w14:textId="19FD0075" w:rsidR="002872D9" w:rsidRDefault="00E0301A" w:rsidP="005F2568">
      <w:pPr>
        <w:pStyle w:val="BulletList1"/>
      </w:pPr>
      <w:r>
        <w:t xml:space="preserve">The Consulting Commission for Human Rights ("Commission Consultative des Droits de </w:t>
      </w:r>
      <w:proofErr w:type="spellStart"/>
      <w:r>
        <w:t>l'Homme</w:t>
      </w:r>
      <w:proofErr w:type="spellEnd"/>
      <w:r>
        <w:t>", short "CCDH") is a counselling body endorsed by the government that is meant to support the government in matters of human rights. It can provide expertise on human rights questions, either on government request or on its own initiative.</w:t>
      </w:r>
      <w:r w:rsidR="005F2568">
        <w:t xml:space="preserve"> In the law ratifying the CRPD </w:t>
      </w:r>
      <w:hyperlink r:id="rId11" w:history="1">
        <w:r w:rsidR="005F2568" w:rsidRPr="000D62B0">
          <w:rPr>
            <w:rStyle w:val="Hyperlink"/>
          </w:rPr>
          <w:t>http://www.chd.lu/wps/portal/public/Accueil/TravailALaChambre/Recherche/RoleDesAffaires?action=doDocpaDetail</w:t>
        </w:r>
        <w:r w:rsidR="005F2568" w:rsidRPr="000D62B0">
          <w:rPr>
            <w:rStyle w:val="Hyperlink"/>
          </w:rPr>
          <w:lastRenderedPageBreak/>
          <w:t>s&amp;backto=/wps/portal/public/Accueil/Actualite&amp;id=6141</w:t>
        </w:r>
      </w:hyperlink>
      <w:r w:rsidR="005F2568">
        <w:t xml:space="preserve"> , both CET and CCDH have been given a monitoring role in relation to the Convention, but no further resources.</w:t>
      </w:r>
    </w:p>
    <w:p w14:paraId="6C999E8E" w14:textId="77777777" w:rsidR="002872D9" w:rsidRDefault="00E0301A">
      <w:pPr>
        <w:pStyle w:val="BulletList1"/>
      </w:pPr>
      <w:r>
        <w:t>Info-Handicap informs and raises awareness on disability in Luxembourg. In the context of the UN-CRPD, it also has the following missions:</w:t>
      </w:r>
    </w:p>
    <w:p w14:paraId="5C649BF4" w14:textId="77777777" w:rsidR="002872D9" w:rsidRDefault="00E0301A">
      <w:pPr>
        <w:pStyle w:val="BulletList2"/>
      </w:pPr>
      <w:r>
        <w:t>Assisting people with a disability to access disability-related benefits;</w:t>
      </w:r>
    </w:p>
    <w:p w14:paraId="1ABFCEE9" w14:textId="77777777" w:rsidR="002872D9" w:rsidRDefault="00E0301A">
      <w:pPr>
        <w:pStyle w:val="BulletList2"/>
      </w:pPr>
      <w:r>
        <w:t>Providing legal counselling to persons assumed to be victims of a discrimination;</w:t>
      </w:r>
    </w:p>
    <w:p w14:paraId="4B71905E" w14:textId="77777777" w:rsidR="002872D9" w:rsidRDefault="00E0301A">
      <w:pPr>
        <w:pStyle w:val="BulletList2"/>
      </w:pPr>
      <w:r>
        <w:t>Guiding persons with disabilities to other more specialised services (CET, CCDH or Ombudsman).</w:t>
      </w:r>
    </w:p>
    <w:p w14:paraId="5EBC4A2D" w14:textId="77777777" w:rsidR="002872D9" w:rsidRDefault="00E0301A">
      <w:pPr>
        <w:pStyle w:val="BulletList2"/>
      </w:pPr>
      <w:r>
        <w:t>Promoting the dialogue between different involved partners.</w:t>
      </w:r>
    </w:p>
    <w:p w14:paraId="78768CFE" w14:textId="77777777" w:rsidR="002872D9" w:rsidRDefault="00E0301A">
      <w:pPr>
        <w:pStyle w:val="BulletList1"/>
      </w:pPr>
      <w:r>
        <w:t>The High Council of Persons with Disabilities ("</w:t>
      </w:r>
      <w:proofErr w:type="spellStart"/>
      <w:r>
        <w:t>Conseil</w:t>
      </w:r>
      <w:proofErr w:type="spellEnd"/>
      <w:r>
        <w:t xml:space="preserve"> </w:t>
      </w:r>
      <w:proofErr w:type="spellStart"/>
      <w:r>
        <w:t>supérieur</w:t>
      </w:r>
      <w:proofErr w:type="spellEnd"/>
      <w:r>
        <w:t xml:space="preserve"> des </w:t>
      </w:r>
      <w:proofErr w:type="spellStart"/>
      <w:r>
        <w:t>personnes</w:t>
      </w:r>
      <w:proofErr w:type="spellEnd"/>
      <w:r>
        <w:t xml:space="preserve"> </w:t>
      </w:r>
      <w:proofErr w:type="spellStart"/>
      <w:r>
        <w:t>handicapées</w:t>
      </w:r>
      <w:proofErr w:type="spellEnd"/>
      <w:r>
        <w:t>", short "CSPH") is a counselling board to the Ministry for Family. Its missions are"</w:t>
      </w:r>
    </w:p>
    <w:p w14:paraId="770BD4A5" w14:textId="77777777" w:rsidR="002872D9" w:rsidRDefault="00E0301A">
      <w:pPr>
        <w:pStyle w:val="BulletList2"/>
      </w:pPr>
      <w:r>
        <w:t>Counselling the government in the domain of disability;</w:t>
      </w:r>
    </w:p>
    <w:p w14:paraId="1BE9BF32" w14:textId="77777777" w:rsidR="002872D9" w:rsidRDefault="00E0301A">
      <w:pPr>
        <w:pStyle w:val="BulletList2"/>
      </w:pPr>
      <w:r>
        <w:t>Connecting persons with disabilities, experts and government officials to improve communication;</w:t>
      </w:r>
    </w:p>
    <w:p w14:paraId="7158A160" w14:textId="77777777" w:rsidR="002872D9" w:rsidRDefault="00E0301A">
      <w:pPr>
        <w:pStyle w:val="BulletList2"/>
      </w:pPr>
      <w:r>
        <w:t>Raising awareness on draft legislations or regulations related to disability.</w:t>
      </w:r>
    </w:p>
    <w:p w14:paraId="7033D343" w14:textId="77777777" w:rsidR="002872D9" w:rsidRDefault="00E0301A">
      <w:pPr>
        <w:pStyle w:val="BulletList1Text"/>
      </w:pPr>
      <w:r>
        <w:t>Occasionally, there are public meetings where people with disabilities can express their views and objections on laws and regulations related to the domain of disability.</w:t>
      </w:r>
    </w:p>
    <w:p w14:paraId="0F3CA70E" w14:textId="77777777" w:rsidR="002872D9" w:rsidRDefault="00E0301A">
      <w:pPr>
        <w:pStyle w:val="BulletList1Text"/>
      </w:pPr>
      <w:r>
        <w:t>However, many NGOs of persons with disabilities complain about the fact, that they may express their views and arguments, but that these are rarely taken into final consideration. As a consequence, these public meetings are considered to be "alibi" meetings.</w:t>
      </w:r>
    </w:p>
    <w:p w14:paraId="24E1855A" w14:textId="77777777" w:rsidR="002872D9" w:rsidRDefault="00E0301A">
      <w:pPr>
        <w:pStyle w:val="BulletList1Text"/>
      </w:pPr>
      <w:r>
        <w:t xml:space="preserve">Many legislative proposals are submitted for expertise to persons with disabilities or their counselling bodies very late, which means the possibility for intervention is limited. </w:t>
      </w:r>
    </w:p>
    <w:p w14:paraId="072CD8D2" w14:textId="41D82F8C" w:rsidR="002872D9" w:rsidRDefault="00C76DEE">
      <w:pPr>
        <w:pStyle w:val="Heading2"/>
        <w:tabs>
          <w:tab w:val="left" w:pos="274"/>
        </w:tabs>
      </w:pPr>
      <w:r>
        <w:rPr>
          <w:b/>
        </w:rPr>
        <w:t xml:space="preserve">We recommend </w:t>
      </w:r>
      <w:r w:rsidR="00D423BE">
        <w:rPr>
          <w:b/>
        </w:rPr>
        <w:t>the</w:t>
      </w:r>
      <w:r>
        <w:rPr>
          <w:b/>
        </w:rPr>
        <w:t xml:space="preserve"> d</w:t>
      </w:r>
      <w:r w:rsidRPr="00257470">
        <w:rPr>
          <w:b/>
        </w:rPr>
        <w:t>evelop</w:t>
      </w:r>
      <w:r w:rsidR="00D423BE">
        <w:rPr>
          <w:b/>
        </w:rPr>
        <w:t>ment</w:t>
      </w:r>
      <w:r w:rsidRPr="00257470">
        <w:rPr>
          <w:b/>
        </w:rPr>
        <w:t>, adopt</w:t>
      </w:r>
      <w:r w:rsidR="00D423BE">
        <w:rPr>
          <w:b/>
        </w:rPr>
        <w:t>ion</w:t>
      </w:r>
      <w:r w:rsidRPr="00257470">
        <w:rPr>
          <w:b/>
        </w:rPr>
        <w:t xml:space="preserve"> and implement</w:t>
      </w:r>
      <w:r w:rsidR="00D423BE">
        <w:rPr>
          <w:b/>
        </w:rPr>
        <w:t>ation of</w:t>
      </w:r>
      <w:r w:rsidRPr="00257470">
        <w:rPr>
          <w:b/>
        </w:rPr>
        <w:t xml:space="preserve"> a strategy aimed at achieving the full inclusion of organizations of persons with disabilities in all political decision-making processes relating to matters affecting persons with disabilities, from the early stages and across all sectors</w:t>
      </w:r>
      <w:bookmarkStart w:id="5" w:name="__RefHeading___Toc9810_721564466"/>
      <w:bookmarkEnd w:id="5"/>
      <w:r w:rsidR="00E0301A">
        <w:t>4)</w:t>
      </w:r>
      <w:r w:rsidR="00E0301A">
        <w:tab/>
        <w:t>Please provide information on the outcomes of participation of persons with disabilities and their representative organisations in decision-making processes, development, implementation and evaluation of plans and policies that affect them.</w:t>
      </w:r>
    </w:p>
    <w:p w14:paraId="5E86B6CC" w14:textId="5C3C79F9" w:rsidR="002872D9" w:rsidRDefault="00E0301A">
      <w:pPr>
        <w:pStyle w:val="BodyText"/>
      </w:pPr>
      <w:r>
        <w:t xml:space="preserve">When it comes to decision-making, </w:t>
      </w:r>
      <w:r w:rsidR="00385582">
        <w:t>representative</w:t>
      </w:r>
      <w:r>
        <w:t xml:space="preserve"> organisations of persons with disability are rarely consulted</w:t>
      </w:r>
      <w:r w:rsidR="00385582">
        <w:t xml:space="preserve"> and involved in decision making processes</w:t>
      </w:r>
      <w:r>
        <w:t xml:space="preserve">. Their only power is to formulate recommendations. Another noteworthy fact is that 90% of self-advocacy organisations do not have the financial and human resources to participate in the decision-making processes on a professional time basis. Persons involved in a </w:t>
      </w:r>
      <w:r w:rsidR="00385582">
        <w:t>representative</w:t>
      </w:r>
      <w:r>
        <w:t xml:space="preserve"> organization work on a voluntary basis and are therefore not able to attend decision-making meetings taking place at office hours. Besides, the complexity of legislative matters requires additional time and expertise that most persons with disabilities do not dispose of.</w:t>
      </w:r>
    </w:p>
    <w:p w14:paraId="711F8706" w14:textId="77777777" w:rsidR="002872D9" w:rsidRDefault="00E0301A">
      <w:pPr>
        <w:pStyle w:val="Heading1"/>
      </w:pPr>
      <w:bookmarkStart w:id="6" w:name="__RefHeading___Toc2718_915346823"/>
      <w:bookmarkEnd w:id="6"/>
      <w:r>
        <w:t>Specific rights (arts.5 and 8-30)</w:t>
      </w:r>
    </w:p>
    <w:p w14:paraId="618BE5FE" w14:textId="77777777" w:rsidR="002872D9" w:rsidRDefault="00E0301A">
      <w:pPr>
        <w:pStyle w:val="BodyText"/>
      </w:pPr>
      <w:r>
        <w:rPr>
          <w:b/>
          <w:bCs/>
          <w:sz w:val="20"/>
          <w:szCs w:val="20"/>
        </w:rPr>
        <w:t>Equality and non-discrimination (art.</w:t>
      </w:r>
      <w:r>
        <w:rPr>
          <w:b/>
          <w:bCs/>
        </w:rPr>
        <w:t xml:space="preserve"> 5)</w:t>
      </w:r>
    </w:p>
    <w:p w14:paraId="4F032201" w14:textId="77777777" w:rsidR="002872D9" w:rsidRDefault="00E0301A">
      <w:pPr>
        <w:pStyle w:val="Heading2"/>
      </w:pPr>
      <w:bookmarkStart w:id="7" w:name="__RefHeading___Toc1048_1856714900"/>
      <w:bookmarkEnd w:id="7"/>
      <w:r>
        <w:t>5)</w:t>
      </w:r>
      <w:r>
        <w:tab/>
        <w:t xml:space="preserve">Please inform about procedures and mechanisms available to persons with disabilities for defending their rights as "persons with disabilities" and about remedies available to them. </w:t>
      </w:r>
    </w:p>
    <w:p w14:paraId="463C6D4F" w14:textId="2ADB6E25" w:rsidR="002872D9" w:rsidRDefault="00E0301A">
      <w:pPr>
        <w:pStyle w:val="BodyText"/>
      </w:pPr>
      <w:r>
        <w:t xml:space="preserve">As an advisory centre Info-Handicap provides free legal counsel to persons with a disability. Should the person decide to go to court the services of Info-Handicap come to an end. The person has to bear the cost of the lawsuit. Currently there is no precedent, as in most cases, a settlement could be reached out of court. Obviously many persons with disabilities are afraid of having to face high costs and the uncertain outcome of a law suit. Others are afraid of potential consequences, </w:t>
      </w:r>
      <w:r w:rsidR="005F2568">
        <w:t xml:space="preserve">such as bullying or refusal of reasonable accommodation </w:t>
      </w:r>
      <w:r>
        <w:t>which they could have to face</w:t>
      </w:r>
      <w:r w:rsidR="00B12408">
        <w:t xml:space="preserve"> after having reported discriminations</w:t>
      </w:r>
      <w:r>
        <w:t>.</w:t>
      </w:r>
    </w:p>
    <w:p w14:paraId="173A4D96" w14:textId="77777777" w:rsidR="002872D9" w:rsidRDefault="00E0301A">
      <w:pPr>
        <w:pStyle w:val="BodyText"/>
      </w:pPr>
      <w:r>
        <w:t>The Anti-Discrimination Act of 2006 however provides the right for organisations to represent victims of a discrimination in court with a special accreditation. In that case, these organisations, mainly funded by member contributions and donations, may bare some of the costs from the victims. The organisations “</w:t>
      </w:r>
      <w:proofErr w:type="spellStart"/>
      <w:r>
        <w:t>Chiens</w:t>
      </w:r>
      <w:proofErr w:type="spellEnd"/>
      <w:r>
        <w:t xml:space="preserve"> Guides </w:t>
      </w:r>
      <w:proofErr w:type="spellStart"/>
      <w:r>
        <w:t>d’Aveugles</w:t>
      </w:r>
      <w:proofErr w:type="spellEnd"/>
      <w:r>
        <w:t xml:space="preserve"> au Luxembourg” and Info-Handicap have such an accreditation in the domain of disability. But even in this case, there has been no precedence so far. According to the information we have, two different lawyers would then have to act in court: One for the victim and another one for the organisation. The organisation would then state that a similar situation would be a discrimination for all persons with a disability.</w:t>
      </w:r>
    </w:p>
    <w:p w14:paraId="32BF3DD2" w14:textId="77777777" w:rsidR="002872D9" w:rsidRDefault="00E0301A">
      <w:pPr>
        <w:pStyle w:val="BodyText"/>
      </w:pPr>
      <w:r>
        <w:t>As for the Commission mentioned in the state reply to the list of issues, this board is difficult to access, and scarcely known among the targeted public.</w:t>
      </w:r>
    </w:p>
    <w:p w14:paraId="6DB38252" w14:textId="46073C29" w:rsidR="00F110A6" w:rsidRDefault="005F2568">
      <w:pPr>
        <w:pStyle w:val="BodyText"/>
      </w:pPr>
      <w:r>
        <w:t>We recommend that the State of Luxembourg should strengthen services and institutions combatting discrimination of persons with disabilities, legally, politically and financially</w:t>
      </w:r>
      <w:r w:rsidR="00F110A6">
        <w:t>.</w:t>
      </w:r>
    </w:p>
    <w:p w14:paraId="1A9B663F" w14:textId="77777777" w:rsidR="002872D9" w:rsidRDefault="00E0301A">
      <w:pPr>
        <w:pStyle w:val="Heading2"/>
      </w:pPr>
      <w:bookmarkStart w:id="8" w:name="__RefHeading___Toc1050_1856714900"/>
      <w:bookmarkEnd w:id="8"/>
      <w:r>
        <w:t>6)</w:t>
      </w:r>
      <w:r>
        <w:tab/>
        <w:t>Please inform about the situation of asylum seekers, refugees and migrant children with disabilities. Please explain what actions have been adopted to support them.</w:t>
      </w:r>
    </w:p>
    <w:p w14:paraId="56AE4C70" w14:textId="77777777" w:rsidR="002872D9" w:rsidRDefault="00E0301A">
      <w:pPr>
        <w:pStyle w:val="BodyText"/>
      </w:pPr>
      <w:r>
        <w:t xml:space="preserve">For refugees, the Luxemburgish Welcoming and Integration Office ("Office </w:t>
      </w:r>
      <w:proofErr w:type="spellStart"/>
      <w:r>
        <w:t>Luxembourgeois</w:t>
      </w:r>
      <w:proofErr w:type="spellEnd"/>
      <w:r>
        <w:t xml:space="preserve"> de </w:t>
      </w:r>
      <w:proofErr w:type="spellStart"/>
      <w:r>
        <w:t>l’Accueil</w:t>
      </w:r>
      <w:proofErr w:type="spellEnd"/>
      <w:r>
        <w:t xml:space="preserve"> et de </w:t>
      </w:r>
      <w:proofErr w:type="spellStart"/>
      <w:r>
        <w:t>l’Intégration</w:t>
      </w:r>
      <w:proofErr w:type="spellEnd"/>
      <w:r>
        <w:t xml:space="preserve">", short "OLAI") is the main address to go for. It organizes the arrival of refugees in co-operation with other organisations. One main actor is the Red Cross which founded the Luxemburgish </w:t>
      </w:r>
      <w:proofErr w:type="spellStart"/>
      <w:r>
        <w:t>Center</w:t>
      </w:r>
      <w:proofErr w:type="spellEnd"/>
      <w:r>
        <w:t xml:space="preserve"> for Integration and Social Cohesion ("</w:t>
      </w:r>
      <w:proofErr w:type="spellStart"/>
      <w:r>
        <w:t>Lëtzebuerger</w:t>
      </w:r>
      <w:proofErr w:type="spellEnd"/>
      <w:r>
        <w:t xml:space="preserve"> </w:t>
      </w:r>
      <w:proofErr w:type="spellStart"/>
      <w:r>
        <w:t>Integratiouns</w:t>
      </w:r>
      <w:proofErr w:type="spellEnd"/>
      <w:r>
        <w:t xml:space="preserve">- a </w:t>
      </w:r>
      <w:proofErr w:type="spellStart"/>
      <w:r>
        <w:t>Sozialkohäsiounszenter</w:t>
      </w:r>
      <w:proofErr w:type="spellEnd"/>
      <w:r>
        <w:t>" short "LISKO"). It is a mediator between the refugees, and social service providers, seeking to address the refugee’s specific needs on an individual basis, in particular those who live in temporary shelters.</w:t>
      </w:r>
    </w:p>
    <w:p w14:paraId="77B73E73" w14:textId="77777777" w:rsidR="002872D9" w:rsidRDefault="00E0301A">
      <w:pPr>
        <w:pStyle w:val="BodyText"/>
      </w:pPr>
      <w:r>
        <w:t>As long as the application for asylum has not been confirmed, refugees do not have access to the Luxembourg social system. This makes it particularly difficult for refugees with a disability to get access to aids. Special support for refugees with disabilities is based on individual evaluations. Refugees do not have a legal claim. Anyway, we have received many reports, indicating refugees have received the required support on an individual base.</w:t>
      </w:r>
    </w:p>
    <w:p w14:paraId="4BE3B2D8" w14:textId="5AF3D200" w:rsidR="00267621" w:rsidRDefault="005F2568">
      <w:pPr>
        <w:pStyle w:val="BodyText"/>
      </w:pPr>
      <w:r>
        <w:t xml:space="preserve">Unfortunately, we can provide no information on </w:t>
      </w:r>
      <w:r w:rsidR="00F579DD">
        <w:t>t</w:t>
      </w:r>
      <w:r w:rsidR="00B12408">
        <w:t>h</w:t>
      </w:r>
      <w:r w:rsidR="00F579DD">
        <w:t>e accessibility of reception infrastructure and asylum-seeking procedures.</w:t>
      </w:r>
    </w:p>
    <w:p w14:paraId="7950E60D" w14:textId="77777777" w:rsidR="002872D9" w:rsidRDefault="00E0301A">
      <w:pPr>
        <w:pStyle w:val="BodyText"/>
        <w:rPr>
          <w:b/>
          <w:bCs/>
          <w:sz w:val="20"/>
          <w:szCs w:val="20"/>
        </w:rPr>
      </w:pPr>
      <w:r>
        <w:rPr>
          <w:b/>
          <w:bCs/>
          <w:sz w:val="20"/>
          <w:szCs w:val="20"/>
        </w:rPr>
        <w:t xml:space="preserve">Women and girls with disabilities (art. 6) </w:t>
      </w:r>
    </w:p>
    <w:p w14:paraId="2F967BE8" w14:textId="77777777" w:rsidR="002872D9" w:rsidRDefault="00E0301A">
      <w:pPr>
        <w:pStyle w:val="Heading2"/>
      </w:pPr>
      <w:bookmarkStart w:id="9" w:name="__RefHeading___Toc2724_915346823"/>
      <w:bookmarkEnd w:id="9"/>
      <w:r>
        <w:t>7)</w:t>
      </w:r>
      <w:r>
        <w:tab/>
        <w:t>Please provide statistical data on the number of a) women and girls with disabilities affected by sexual violence and abuse; and b) women and girls with disabilities who have been affected by multiple discrimination and/or intersectional discrimination.</w:t>
      </w:r>
    </w:p>
    <w:p w14:paraId="3B1C3E6F" w14:textId="77777777" w:rsidR="00D82EE8" w:rsidRDefault="00E0301A">
      <w:pPr>
        <w:pStyle w:val="BodyText"/>
      </w:pPr>
      <w:r>
        <w:t xml:space="preserve">There have been studies carried out on the topic of domestic violence towards women. However, the disability factor has not been taken into consideration (cf. Shadow Report on Article 16). </w:t>
      </w:r>
    </w:p>
    <w:p w14:paraId="45940948" w14:textId="3049AA1D" w:rsidR="002872D9" w:rsidRDefault="00E0301A">
      <w:pPr>
        <w:pStyle w:val="BodyText"/>
      </w:pPr>
      <w:r>
        <w:t>We recommend that such statistic should be established in the future</w:t>
      </w:r>
      <w:r w:rsidR="00D82EE8">
        <w:t>, and to do so in consultation with representative organisations of persons with disabilities, in particular with women and girls with disabilities</w:t>
      </w:r>
    </w:p>
    <w:p w14:paraId="5B34EAA4" w14:textId="77777777" w:rsidR="002872D9" w:rsidRDefault="00E0301A">
      <w:pPr>
        <w:pStyle w:val="Heading2"/>
      </w:pPr>
      <w:bookmarkStart w:id="10" w:name="__RefHeading___Toc2728_915346823"/>
      <w:bookmarkEnd w:id="10"/>
      <w:r>
        <w:t>8)</w:t>
      </w:r>
      <w:r>
        <w:tab/>
        <w:t>Please provide information on measures taken to eradicate discrimination against women and girls with disabilities and on measures taken to increase their participation in education and employment.</w:t>
      </w:r>
    </w:p>
    <w:p w14:paraId="181A8D77" w14:textId="37315A3F" w:rsidR="002872D9" w:rsidRDefault="00E0301A">
      <w:pPr>
        <w:pStyle w:val="BodyText"/>
      </w:pPr>
      <w:r>
        <w:t xml:space="preserve">We do not know of any measures concerning specific measures for girls and women with disabilities. </w:t>
      </w:r>
      <w:r w:rsidR="007B5066">
        <w:t>T</w:t>
      </w:r>
      <w:r>
        <w:t>he measures target</w:t>
      </w:r>
      <w:r w:rsidR="007B5066">
        <w:t>ing</w:t>
      </w:r>
      <w:r>
        <w:t xml:space="preserve"> persons with disabilities</w:t>
      </w:r>
      <w:r w:rsidR="007B5066">
        <w:t xml:space="preserve"> do not take into account the gender perspective</w:t>
      </w:r>
      <w:r>
        <w:t xml:space="preserve"> (regardless of gender) </w:t>
      </w:r>
      <w:r w:rsidR="007B5066">
        <w:t xml:space="preserve">and all measures on gender equality do not take into account the perspectives of women and girls with disabilities. </w:t>
      </w:r>
    </w:p>
    <w:p w14:paraId="4DB1D9AF" w14:textId="77777777" w:rsidR="000D1B8E" w:rsidRDefault="000D1B8E">
      <w:pPr>
        <w:pStyle w:val="BodyText"/>
      </w:pPr>
      <w:r>
        <w:rPr>
          <w:b/>
        </w:rPr>
        <w:t>We recommend</w:t>
      </w:r>
      <w:r w:rsidRPr="00257470">
        <w:rPr>
          <w:b/>
        </w:rPr>
        <w:t xml:space="preserve"> </w:t>
      </w:r>
      <w:r w:rsidR="003B06FF">
        <w:rPr>
          <w:b/>
        </w:rPr>
        <w:t>the incorporation of</w:t>
      </w:r>
      <w:r w:rsidRPr="00257470">
        <w:rPr>
          <w:b/>
        </w:rPr>
        <w:t xml:space="preserve"> the perspective of women and girls with disabilities in its gender equality policies, programmes and strategies, and the gender perspective in its disability strategies, employing a twin-track approach which also includes levelling and affirmative action measures to eliminate multiple and intersectional discri</w:t>
      </w:r>
      <w:r>
        <w:rPr>
          <w:b/>
        </w:rPr>
        <w:t>mination from all areas of life.</w:t>
      </w:r>
    </w:p>
    <w:p w14:paraId="3AF8E50B" w14:textId="77777777" w:rsidR="002872D9" w:rsidRDefault="00E0301A">
      <w:pPr>
        <w:pStyle w:val="BodyText"/>
        <w:rPr>
          <w:b/>
          <w:bCs/>
          <w:sz w:val="20"/>
          <w:szCs w:val="20"/>
        </w:rPr>
      </w:pPr>
      <w:r>
        <w:rPr>
          <w:b/>
          <w:bCs/>
          <w:sz w:val="20"/>
          <w:szCs w:val="20"/>
        </w:rPr>
        <w:t xml:space="preserve">Children with disabilities (art. 7) </w:t>
      </w:r>
    </w:p>
    <w:p w14:paraId="7977A1FF" w14:textId="77777777" w:rsidR="002872D9" w:rsidRDefault="00E0301A">
      <w:pPr>
        <w:pStyle w:val="Heading2"/>
      </w:pPr>
      <w:r>
        <w:t>9)</w:t>
      </w:r>
      <w:r>
        <w:tab/>
        <w:t xml:space="preserve">Please provide information on options and facilities available for children with disabilities that require high level of support to access education, especially those who require sign language support?  </w:t>
      </w:r>
    </w:p>
    <w:p w14:paraId="7D8EAD04" w14:textId="77777777" w:rsidR="002872D9" w:rsidRDefault="00E0301A">
      <w:pPr>
        <w:pStyle w:val="BodyText"/>
      </w:pPr>
      <w:r>
        <w:t xml:space="preserve">The responsible centre for children needing sign language is the "Centre de </w:t>
      </w:r>
      <w:proofErr w:type="spellStart"/>
      <w:r>
        <w:t>Logopédie</w:t>
      </w:r>
      <w:proofErr w:type="spellEnd"/>
      <w:r>
        <w:t>" (</w:t>
      </w:r>
      <w:hyperlink r:id="rId12" w:tgtFrame="_blank">
        <w:r>
          <w:rPr>
            <w:rStyle w:val="InternetLink"/>
          </w:rPr>
          <w:t>Source Web</w:t>
        </w:r>
      </w:hyperlink>
      <w:r>
        <w:t xml:space="preserve">). </w:t>
      </w:r>
    </w:p>
    <w:p w14:paraId="65907C8B" w14:textId="77777777" w:rsidR="002872D9" w:rsidRDefault="00E0301A">
      <w:pPr>
        <w:pStyle w:val="BodyText"/>
      </w:pPr>
      <w:r>
        <w:t xml:space="preserve">Quote: “The Centre de </w:t>
      </w:r>
      <w:proofErr w:type="spellStart"/>
      <w:r>
        <w:t>Logopédie</w:t>
      </w:r>
      <w:proofErr w:type="spellEnd"/>
      <w:r>
        <w:t xml:space="preserve"> is a specialised school run by the Ministry for Education, Childhood and Youth (MENJE). The Centre de </w:t>
      </w:r>
      <w:proofErr w:type="spellStart"/>
      <w:r>
        <w:t>Logopédie</w:t>
      </w:r>
      <w:proofErr w:type="spellEnd"/>
      <w:r>
        <w:t>" is the competence centre for the training of children and adolescents with hearing and / or speech impairments."</w:t>
      </w:r>
    </w:p>
    <w:p w14:paraId="7306D7B4" w14:textId="284B2BC8" w:rsidR="002872D9" w:rsidRDefault="00E0301A">
      <w:pPr>
        <w:pStyle w:val="BodyText"/>
      </w:pPr>
      <w:r>
        <w:t>We know of draft legislations to improve the right to inclusion in regular schools, as well as to introduce the right for sign language interpretation.</w:t>
      </w:r>
    </w:p>
    <w:p w14:paraId="66DB5A1E" w14:textId="167576B0" w:rsidR="00F24C64" w:rsidRDefault="00F24C64">
      <w:pPr>
        <w:pStyle w:val="BodyText"/>
      </w:pPr>
      <w:r>
        <w:t xml:space="preserve">As far as support in regular school is concerned, we don’t know of any deaf children receiving sign language assistance in regular schools. When it comes to care needs, external services may intervene at given times, but again, there is no concept for continual assistance. Other measures such as assistive devices or </w:t>
      </w:r>
      <w:proofErr w:type="spellStart"/>
      <w:r>
        <w:t>accomodations</w:t>
      </w:r>
      <w:proofErr w:type="spellEnd"/>
      <w:r>
        <w:t xml:space="preserve"> in exams are regulated by the 2011 law on reasonable accommodation in secondary education.</w:t>
      </w:r>
    </w:p>
    <w:p w14:paraId="00A49E83" w14:textId="77777777" w:rsidR="002872D9" w:rsidRDefault="00E0301A">
      <w:pPr>
        <w:pStyle w:val="Heading2"/>
      </w:pPr>
      <w:r>
        <w:t>10)</w:t>
      </w:r>
      <w:r>
        <w:tab/>
        <w:t>Please provide detailed statistics of all children with disabilities enrolled in mainstream education, particularly children who are (a) Blind and visually-impaired, (b) Deaf-Blind, (c) Hearing-impaired, (d) Deaf, (e) physically impaired and children with intellectual and/or psychosocial disabilities.</w:t>
      </w:r>
    </w:p>
    <w:p w14:paraId="4661A556" w14:textId="2941C1D8" w:rsidR="002872D9" w:rsidRPr="008F1E1B" w:rsidRDefault="00E0301A">
      <w:pPr>
        <w:pStyle w:val="BodyText"/>
      </w:pPr>
      <w:r>
        <w:t xml:space="preserve">We </w:t>
      </w:r>
      <w:r w:rsidR="0062724B">
        <w:t>do not have</w:t>
      </w:r>
      <w:r>
        <w:t xml:space="preserve"> any details on that subject. </w:t>
      </w:r>
      <w:r w:rsidRPr="008F1E1B">
        <w:t>Our information is based on the report "</w:t>
      </w:r>
      <w:proofErr w:type="spellStart"/>
      <w:r w:rsidR="003D0B12">
        <w:fldChar w:fldCharType="begin"/>
      </w:r>
      <w:r w:rsidR="003D0B12">
        <w:instrText xml:space="preserve"> HYPERLINK "https://www.gouvernement.lu/6303980/Chiffres-de-la-rentree-scol</w:instrText>
      </w:r>
      <w:r w:rsidR="003D0B12">
        <w:instrText xml:space="preserve">aire-2016-2017.pdf" \t "_blank" \h </w:instrText>
      </w:r>
      <w:r w:rsidR="003D0B12">
        <w:fldChar w:fldCharType="separate"/>
      </w:r>
      <w:r w:rsidRPr="008F1E1B">
        <w:rPr>
          <w:rStyle w:val="InternetLink"/>
        </w:rPr>
        <w:t>Chiffres</w:t>
      </w:r>
      <w:proofErr w:type="spellEnd"/>
      <w:r w:rsidRPr="008F1E1B">
        <w:rPr>
          <w:rStyle w:val="InternetLink"/>
        </w:rPr>
        <w:t xml:space="preserve"> de la </w:t>
      </w:r>
      <w:proofErr w:type="spellStart"/>
      <w:r w:rsidRPr="008F1E1B">
        <w:rPr>
          <w:rStyle w:val="InternetLink"/>
        </w:rPr>
        <w:t>rentree</w:t>
      </w:r>
      <w:proofErr w:type="spellEnd"/>
      <w:r w:rsidRPr="008F1E1B">
        <w:rPr>
          <w:rStyle w:val="InternetLink"/>
        </w:rPr>
        <w:t xml:space="preserve"> </w:t>
      </w:r>
      <w:proofErr w:type="spellStart"/>
      <w:r w:rsidRPr="008F1E1B">
        <w:rPr>
          <w:rStyle w:val="InternetLink"/>
        </w:rPr>
        <w:t>scolaire</w:t>
      </w:r>
      <w:proofErr w:type="spellEnd"/>
      <w:r w:rsidRPr="008F1E1B">
        <w:rPr>
          <w:rStyle w:val="InternetLink"/>
        </w:rPr>
        <w:t xml:space="preserve"> 2016-2017</w:t>
      </w:r>
      <w:r w:rsidR="003D0B12">
        <w:rPr>
          <w:rStyle w:val="InternetLink"/>
        </w:rPr>
        <w:fldChar w:fldCharType="end"/>
      </w:r>
      <w:r w:rsidRPr="008F1E1B">
        <w:t>".</w:t>
      </w:r>
    </w:p>
    <w:p w14:paraId="2B10B25B" w14:textId="77777777" w:rsidR="002872D9" w:rsidRPr="007B4A14" w:rsidRDefault="00E0301A">
      <w:pPr>
        <w:pStyle w:val="BodyText"/>
        <w:rPr>
          <w:b/>
          <w:bCs/>
          <w:lang w:val="fr-BE"/>
        </w:rPr>
      </w:pPr>
      <w:r w:rsidRPr="007B4A14">
        <w:rPr>
          <w:b/>
          <w:bCs/>
          <w:lang w:val="fr-BE"/>
        </w:rPr>
        <w:t>5. Éducation Différenciée et Centre de Logopédie</w:t>
      </w:r>
    </w:p>
    <w:p w14:paraId="3A971165" w14:textId="77777777" w:rsidR="002872D9" w:rsidRDefault="00E0301A">
      <w:pPr>
        <w:pStyle w:val="BodyText"/>
        <w:rPr>
          <w:u w:val="single"/>
        </w:rPr>
      </w:pPr>
      <w:proofErr w:type="spellStart"/>
      <w:r>
        <w:rPr>
          <w:u w:val="single"/>
        </w:rPr>
        <w:t>L’intégration</w:t>
      </w:r>
      <w:proofErr w:type="spellEnd"/>
      <w:r>
        <w:rPr>
          <w:u w:val="single"/>
        </w:rPr>
        <w:t xml:space="preserve"> </w:t>
      </w:r>
      <w:proofErr w:type="spellStart"/>
      <w:r>
        <w:rPr>
          <w:u w:val="single"/>
        </w:rPr>
        <w:t>scolaire</w:t>
      </w:r>
      <w:proofErr w:type="spellEnd"/>
    </w:p>
    <w:tbl>
      <w:tblPr>
        <w:tblW w:w="9638" w:type="dxa"/>
        <w:tblInd w:w="55" w:type="dxa"/>
        <w:tblBorders>
          <w:top w:val="single" w:sz="2" w:space="0" w:color="000000"/>
          <w:left w:val="single" w:sz="2" w:space="0" w:color="000000"/>
          <w:bottom w:val="single" w:sz="2" w:space="0" w:color="000000"/>
          <w:insideH w:val="single" w:sz="2" w:space="0" w:color="000000"/>
        </w:tblBorders>
        <w:tblCellMar>
          <w:top w:w="55" w:type="dxa"/>
          <w:left w:w="54" w:type="dxa"/>
          <w:bottom w:w="55" w:type="dxa"/>
          <w:right w:w="55" w:type="dxa"/>
        </w:tblCellMar>
        <w:tblLook w:val="04A0" w:firstRow="1" w:lastRow="0" w:firstColumn="1" w:lastColumn="0" w:noHBand="0" w:noVBand="1"/>
      </w:tblPr>
      <w:tblGrid>
        <w:gridCol w:w="4534"/>
        <w:gridCol w:w="1701"/>
        <w:gridCol w:w="1701"/>
        <w:gridCol w:w="1702"/>
      </w:tblGrid>
      <w:tr w:rsidR="002872D9" w14:paraId="478ADDC9" w14:textId="77777777">
        <w:trPr>
          <w:tblHeader/>
        </w:trPr>
        <w:tc>
          <w:tcPr>
            <w:tcW w:w="4534" w:type="dxa"/>
            <w:tcBorders>
              <w:top w:val="single" w:sz="2" w:space="0" w:color="000000"/>
              <w:left w:val="single" w:sz="2" w:space="0" w:color="000000"/>
              <w:bottom w:val="single" w:sz="2" w:space="0" w:color="000000"/>
            </w:tcBorders>
            <w:shd w:val="clear" w:color="auto" w:fill="auto"/>
            <w:tcMar>
              <w:left w:w="54" w:type="dxa"/>
            </w:tcMar>
          </w:tcPr>
          <w:p w14:paraId="50831C58" w14:textId="77777777" w:rsidR="002872D9" w:rsidRDefault="002872D9">
            <w:pPr>
              <w:pStyle w:val="TableHeading"/>
            </w:pPr>
          </w:p>
        </w:tc>
        <w:tc>
          <w:tcPr>
            <w:tcW w:w="1701" w:type="dxa"/>
            <w:tcBorders>
              <w:top w:val="single" w:sz="2" w:space="0" w:color="000000"/>
              <w:left w:val="single" w:sz="2" w:space="0" w:color="000000"/>
              <w:bottom w:val="single" w:sz="2" w:space="0" w:color="000000"/>
            </w:tcBorders>
            <w:shd w:val="clear" w:color="auto" w:fill="auto"/>
            <w:tcMar>
              <w:left w:w="54" w:type="dxa"/>
            </w:tcMar>
          </w:tcPr>
          <w:p w14:paraId="50E32ED7" w14:textId="77777777" w:rsidR="002872D9" w:rsidRDefault="00E0301A">
            <w:pPr>
              <w:pStyle w:val="TableHeading"/>
            </w:pPr>
            <w:r>
              <w:t xml:space="preserve">2014/2015 </w:t>
            </w:r>
          </w:p>
        </w:tc>
        <w:tc>
          <w:tcPr>
            <w:tcW w:w="1701" w:type="dxa"/>
            <w:tcBorders>
              <w:top w:val="single" w:sz="2" w:space="0" w:color="000000"/>
              <w:left w:val="single" w:sz="2" w:space="0" w:color="000000"/>
              <w:bottom w:val="single" w:sz="2" w:space="0" w:color="000000"/>
            </w:tcBorders>
            <w:shd w:val="clear" w:color="auto" w:fill="auto"/>
            <w:tcMar>
              <w:left w:w="54" w:type="dxa"/>
            </w:tcMar>
          </w:tcPr>
          <w:p w14:paraId="3688C3E6" w14:textId="77777777" w:rsidR="002872D9" w:rsidRDefault="00E0301A">
            <w:pPr>
              <w:pStyle w:val="TableHeading"/>
            </w:pPr>
            <w:r>
              <w:t>2015/2016</w:t>
            </w:r>
          </w:p>
        </w:tc>
        <w:tc>
          <w:tcPr>
            <w:tcW w:w="1702" w:type="dxa"/>
            <w:tcBorders>
              <w:top w:val="single" w:sz="2" w:space="0" w:color="000000"/>
              <w:left w:val="single" w:sz="2" w:space="0" w:color="000000"/>
              <w:bottom w:val="single" w:sz="2" w:space="0" w:color="000000"/>
              <w:right w:val="single" w:sz="2" w:space="0" w:color="000000"/>
            </w:tcBorders>
            <w:shd w:val="clear" w:color="auto" w:fill="auto"/>
            <w:tcMar>
              <w:left w:w="54" w:type="dxa"/>
            </w:tcMar>
          </w:tcPr>
          <w:p w14:paraId="37D02792" w14:textId="77777777" w:rsidR="002872D9" w:rsidRDefault="00E0301A">
            <w:pPr>
              <w:pStyle w:val="TableHeading"/>
            </w:pPr>
            <w:proofErr w:type="spellStart"/>
            <w:r>
              <w:t>Prévisions</w:t>
            </w:r>
            <w:proofErr w:type="spellEnd"/>
            <w:r>
              <w:t xml:space="preserve"> 2016/2017 </w:t>
            </w:r>
          </w:p>
        </w:tc>
      </w:tr>
      <w:tr w:rsidR="002872D9" w14:paraId="6E8DC868" w14:textId="77777777">
        <w:tc>
          <w:tcPr>
            <w:tcW w:w="4534" w:type="dxa"/>
            <w:tcBorders>
              <w:left w:val="single" w:sz="2" w:space="0" w:color="000000"/>
              <w:bottom w:val="single" w:sz="2" w:space="0" w:color="000000"/>
            </w:tcBorders>
            <w:shd w:val="clear" w:color="auto" w:fill="auto"/>
            <w:tcMar>
              <w:left w:w="54" w:type="dxa"/>
            </w:tcMar>
          </w:tcPr>
          <w:p w14:paraId="356B4861" w14:textId="77777777" w:rsidR="002872D9" w:rsidRPr="007B4A14" w:rsidRDefault="00E0301A">
            <w:pPr>
              <w:pStyle w:val="TableContents"/>
              <w:rPr>
                <w:lang w:val="fr-BE"/>
              </w:rPr>
            </w:pPr>
            <w:r w:rsidRPr="007B4A14">
              <w:rPr>
                <w:lang w:val="fr-BE"/>
              </w:rPr>
              <w:t xml:space="preserve">Institut pour </w:t>
            </w:r>
            <w:proofErr w:type="spellStart"/>
            <w:r w:rsidRPr="007B4A14">
              <w:rPr>
                <w:lang w:val="fr-BE"/>
              </w:rPr>
              <w:t>Déficients</w:t>
            </w:r>
            <w:proofErr w:type="spellEnd"/>
            <w:r w:rsidRPr="007B4A14">
              <w:rPr>
                <w:lang w:val="fr-BE"/>
              </w:rPr>
              <w:t xml:space="preserve"> visuels (IDV)</w:t>
            </w:r>
          </w:p>
        </w:tc>
        <w:tc>
          <w:tcPr>
            <w:tcW w:w="1701" w:type="dxa"/>
            <w:tcBorders>
              <w:left w:val="single" w:sz="2" w:space="0" w:color="000000"/>
              <w:bottom w:val="single" w:sz="2" w:space="0" w:color="000000"/>
            </w:tcBorders>
            <w:shd w:val="clear" w:color="auto" w:fill="auto"/>
            <w:tcMar>
              <w:left w:w="54" w:type="dxa"/>
            </w:tcMar>
          </w:tcPr>
          <w:p w14:paraId="6FC47B57" w14:textId="77777777" w:rsidR="002872D9" w:rsidRDefault="00E0301A">
            <w:pPr>
              <w:pStyle w:val="TableContents"/>
              <w:jc w:val="center"/>
            </w:pPr>
            <w:r>
              <w:t>127</w:t>
            </w:r>
          </w:p>
        </w:tc>
        <w:tc>
          <w:tcPr>
            <w:tcW w:w="1701" w:type="dxa"/>
            <w:tcBorders>
              <w:left w:val="single" w:sz="2" w:space="0" w:color="000000"/>
              <w:bottom w:val="single" w:sz="2" w:space="0" w:color="000000"/>
            </w:tcBorders>
            <w:shd w:val="clear" w:color="auto" w:fill="auto"/>
            <w:tcMar>
              <w:left w:w="54" w:type="dxa"/>
            </w:tcMar>
          </w:tcPr>
          <w:p w14:paraId="5FBCAB18" w14:textId="77777777" w:rsidR="002872D9" w:rsidRDefault="00E0301A">
            <w:pPr>
              <w:pStyle w:val="TableContents"/>
              <w:jc w:val="center"/>
            </w:pPr>
            <w:r>
              <w:t>130</w:t>
            </w:r>
          </w:p>
        </w:tc>
        <w:tc>
          <w:tcPr>
            <w:tcW w:w="1702" w:type="dxa"/>
            <w:tcBorders>
              <w:left w:val="single" w:sz="2" w:space="0" w:color="000000"/>
              <w:bottom w:val="single" w:sz="2" w:space="0" w:color="000000"/>
              <w:right w:val="single" w:sz="2" w:space="0" w:color="000000"/>
            </w:tcBorders>
            <w:shd w:val="clear" w:color="auto" w:fill="auto"/>
            <w:tcMar>
              <w:left w:w="54" w:type="dxa"/>
            </w:tcMar>
          </w:tcPr>
          <w:p w14:paraId="63FCA689" w14:textId="77777777" w:rsidR="002872D9" w:rsidRDefault="00E0301A">
            <w:pPr>
              <w:pStyle w:val="TableContents"/>
              <w:jc w:val="center"/>
            </w:pPr>
            <w:r>
              <w:t>134</w:t>
            </w:r>
          </w:p>
        </w:tc>
      </w:tr>
      <w:tr w:rsidR="002872D9" w14:paraId="5B0AEAA9" w14:textId="77777777">
        <w:tc>
          <w:tcPr>
            <w:tcW w:w="4534" w:type="dxa"/>
            <w:tcBorders>
              <w:left w:val="single" w:sz="2" w:space="0" w:color="000000"/>
              <w:bottom w:val="single" w:sz="2" w:space="0" w:color="000000"/>
            </w:tcBorders>
            <w:shd w:val="clear" w:color="auto" w:fill="auto"/>
            <w:tcMar>
              <w:left w:w="54" w:type="dxa"/>
            </w:tcMar>
          </w:tcPr>
          <w:p w14:paraId="504E3A89" w14:textId="77777777" w:rsidR="002872D9" w:rsidRDefault="00E0301A">
            <w:pPr>
              <w:pStyle w:val="TableContents"/>
            </w:pPr>
            <w:proofErr w:type="spellStart"/>
            <w:r>
              <w:t>Equipes</w:t>
            </w:r>
            <w:proofErr w:type="spellEnd"/>
            <w:r>
              <w:t xml:space="preserve"> multi-</w:t>
            </w:r>
            <w:proofErr w:type="spellStart"/>
            <w:r>
              <w:t>professionnelles</w:t>
            </w:r>
            <w:proofErr w:type="spellEnd"/>
            <w:r>
              <w:t xml:space="preserve"> (EMP)</w:t>
            </w:r>
          </w:p>
        </w:tc>
        <w:tc>
          <w:tcPr>
            <w:tcW w:w="1701" w:type="dxa"/>
            <w:tcBorders>
              <w:left w:val="single" w:sz="2" w:space="0" w:color="000000"/>
              <w:bottom w:val="single" w:sz="2" w:space="0" w:color="000000"/>
            </w:tcBorders>
            <w:shd w:val="clear" w:color="auto" w:fill="auto"/>
            <w:tcMar>
              <w:left w:w="54" w:type="dxa"/>
            </w:tcMar>
          </w:tcPr>
          <w:p w14:paraId="6428843E" w14:textId="77777777" w:rsidR="002872D9" w:rsidRDefault="00E0301A">
            <w:pPr>
              <w:pStyle w:val="TableContents"/>
              <w:jc w:val="center"/>
            </w:pPr>
            <w:r>
              <w:t>606</w:t>
            </w:r>
          </w:p>
        </w:tc>
        <w:tc>
          <w:tcPr>
            <w:tcW w:w="1701" w:type="dxa"/>
            <w:tcBorders>
              <w:left w:val="single" w:sz="2" w:space="0" w:color="000000"/>
              <w:bottom w:val="single" w:sz="2" w:space="0" w:color="000000"/>
            </w:tcBorders>
            <w:shd w:val="clear" w:color="auto" w:fill="auto"/>
            <w:tcMar>
              <w:left w:w="54" w:type="dxa"/>
            </w:tcMar>
          </w:tcPr>
          <w:p w14:paraId="01661CA3" w14:textId="77777777" w:rsidR="002872D9" w:rsidRDefault="00E0301A">
            <w:pPr>
              <w:pStyle w:val="TableContents"/>
              <w:jc w:val="center"/>
            </w:pPr>
            <w:r>
              <w:t>634</w:t>
            </w:r>
          </w:p>
        </w:tc>
        <w:tc>
          <w:tcPr>
            <w:tcW w:w="1702" w:type="dxa"/>
            <w:tcBorders>
              <w:left w:val="single" w:sz="2" w:space="0" w:color="000000"/>
              <w:bottom w:val="single" w:sz="2" w:space="0" w:color="000000"/>
              <w:right w:val="single" w:sz="2" w:space="0" w:color="000000"/>
            </w:tcBorders>
            <w:shd w:val="clear" w:color="auto" w:fill="auto"/>
            <w:tcMar>
              <w:left w:w="54" w:type="dxa"/>
            </w:tcMar>
          </w:tcPr>
          <w:p w14:paraId="45655216" w14:textId="77777777" w:rsidR="002872D9" w:rsidRDefault="00E0301A">
            <w:pPr>
              <w:pStyle w:val="TableContents"/>
              <w:jc w:val="center"/>
            </w:pPr>
            <w:r>
              <w:t>785</w:t>
            </w:r>
          </w:p>
        </w:tc>
      </w:tr>
      <w:tr w:rsidR="002872D9" w14:paraId="38F3181C" w14:textId="77777777">
        <w:tc>
          <w:tcPr>
            <w:tcW w:w="4534" w:type="dxa"/>
            <w:tcBorders>
              <w:left w:val="single" w:sz="2" w:space="0" w:color="000000"/>
              <w:bottom w:val="single" w:sz="2" w:space="0" w:color="000000"/>
            </w:tcBorders>
            <w:shd w:val="clear" w:color="auto" w:fill="auto"/>
            <w:tcMar>
              <w:left w:w="54" w:type="dxa"/>
            </w:tcMar>
          </w:tcPr>
          <w:p w14:paraId="4CD94470" w14:textId="77777777" w:rsidR="002872D9" w:rsidRDefault="00E0301A">
            <w:pPr>
              <w:pStyle w:val="TableContents"/>
            </w:pPr>
            <w:r>
              <w:t>TOTAL</w:t>
            </w:r>
          </w:p>
        </w:tc>
        <w:tc>
          <w:tcPr>
            <w:tcW w:w="1701" w:type="dxa"/>
            <w:tcBorders>
              <w:left w:val="single" w:sz="2" w:space="0" w:color="000000"/>
              <w:bottom w:val="single" w:sz="2" w:space="0" w:color="000000"/>
            </w:tcBorders>
            <w:shd w:val="clear" w:color="auto" w:fill="auto"/>
            <w:tcMar>
              <w:left w:w="54" w:type="dxa"/>
            </w:tcMar>
          </w:tcPr>
          <w:p w14:paraId="46235DDF" w14:textId="77777777" w:rsidR="002872D9" w:rsidRDefault="00E0301A">
            <w:pPr>
              <w:pStyle w:val="TableContents"/>
              <w:jc w:val="center"/>
            </w:pPr>
            <w:r>
              <w:t>733</w:t>
            </w:r>
          </w:p>
        </w:tc>
        <w:tc>
          <w:tcPr>
            <w:tcW w:w="1701" w:type="dxa"/>
            <w:tcBorders>
              <w:left w:val="single" w:sz="2" w:space="0" w:color="000000"/>
              <w:bottom w:val="single" w:sz="2" w:space="0" w:color="000000"/>
            </w:tcBorders>
            <w:shd w:val="clear" w:color="auto" w:fill="auto"/>
            <w:tcMar>
              <w:left w:w="54" w:type="dxa"/>
            </w:tcMar>
          </w:tcPr>
          <w:p w14:paraId="55D4FE0A" w14:textId="77777777" w:rsidR="002872D9" w:rsidRDefault="00E0301A">
            <w:pPr>
              <w:pStyle w:val="TableContents"/>
              <w:jc w:val="center"/>
            </w:pPr>
            <w:r>
              <w:t>764</w:t>
            </w:r>
          </w:p>
        </w:tc>
        <w:tc>
          <w:tcPr>
            <w:tcW w:w="1702" w:type="dxa"/>
            <w:tcBorders>
              <w:left w:val="single" w:sz="2" w:space="0" w:color="000000"/>
              <w:bottom w:val="single" w:sz="2" w:space="0" w:color="000000"/>
              <w:right w:val="single" w:sz="2" w:space="0" w:color="000000"/>
            </w:tcBorders>
            <w:shd w:val="clear" w:color="auto" w:fill="auto"/>
            <w:tcMar>
              <w:left w:w="54" w:type="dxa"/>
            </w:tcMar>
          </w:tcPr>
          <w:p w14:paraId="6722B127" w14:textId="77777777" w:rsidR="002872D9" w:rsidRDefault="00E0301A">
            <w:pPr>
              <w:pStyle w:val="TableContents"/>
              <w:jc w:val="center"/>
            </w:pPr>
            <w:r>
              <w:t>919</w:t>
            </w:r>
          </w:p>
        </w:tc>
      </w:tr>
    </w:tbl>
    <w:p w14:paraId="60F0B613" w14:textId="77777777" w:rsidR="002872D9" w:rsidRDefault="00E0301A">
      <w:pPr>
        <w:pStyle w:val="BodyText"/>
        <w:spacing w:before="227"/>
      </w:pPr>
      <w:r>
        <w:rPr>
          <w:u w:val="single"/>
        </w:rPr>
        <w:t xml:space="preserve">Les </w:t>
      </w:r>
      <w:proofErr w:type="spellStart"/>
      <w:r>
        <w:rPr>
          <w:u w:val="single"/>
        </w:rPr>
        <w:t>écoles</w:t>
      </w:r>
      <w:proofErr w:type="spellEnd"/>
      <w:r>
        <w:rPr>
          <w:u w:val="single"/>
        </w:rPr>
        <w:t xml:space="preserve"> </w:t>
      </w:r>
      <w:proofErr w:type="spellStart"/>
      <w:r>
        <w:rPr>
          <w:u w:val="single"/>
        </w:rPr>
        <w:t>spécialisées</w:t>
      </w:r>
      <w:proofErr w:type="spellEnd"/>
      <w:r>
        <w:t xml:space="preserve"> </w:t>
      </w:r>
    </w:p>
    <w:tbl>
      <w:tblPr>
        <w:tblW w:w="9638" w:type="dxa"/>
        <w:tblInd w:w="55" w:type="dxa"/>
        <w:tblBorders>
          <w:top w:val="single" w:sz="2" w:space="0" w:color="000000"/>
          <w:left w:val="single" w:sz="2" w:space="0" w:color="000000"/>
          <w:bottom w:val="single" w:sz="2" w:space="0" w:color="000000"/>
          <w:insideH w:val="single" w:sz="2" w:space="0" w:color="000000"/>
        </w:tblBorders>
        <w:tblCellMar>
          <w:top w:w="55" w:type="dxa"/>
          <w:left w:w="54" w:type="dxa"/>
          <w:bottom w:w="55" w:type="dxa"/>
          <w:right w:w="55" w:type="dxa"/>
        </w:tblCellMar>
        <w:tblLook w:val="04A0" w:firstRow="1" w:lastRow="0" w:firstColumn="1" w:lastColumn="0" w:noHBand="0" w:noVBand="1"/>
      </w:tblPr>
      <w:tblGrid>
        <w:gridCol w:w="4534"/>
        <w:gridCol w:w="1701"/>
        <w:gridCol w:w="1701"/>
        <w:gridCol w:w="1702"/>
      </w:tblGrid>
      <w:tr w:rsidR="002872D9" w14:paraId="4EF1032F" w14:textId="77777777">
        <w:trPr>
          <w:tblHeader/>
        </w:trPr>
        <w:tc>
          <w:tcPr>
            <w:tcW w:w="4534" w:type="dxa"/>
            <w:tcBorders>
              <w:top w:val="single" w:sz="2" w:space="0" w:color="000000"/>
              <w:left w:val="single" w:sz="2" w:space="0" w:color="000000"/>
              <w:bottom w:val="single" w:sz="2" w:space="0" w:color="000000"/>
            </w:tcBorders>
            <w:shd w:val="clear" w:color="auto" w:fill="auto"/>
            <w:tcMar>
              <w:left w:w="54" w:type="dxa"/>
            </w:tcMar>
          </w:tcPr>
          <w:p w14:paraId="0D85D0D2" w14:textId="77777777" w:rsidR="002872D9" w:rsidRDefault="002872D9">
            <w:pPr>
              <w:pStyle w:val="TableHeading"/>
            </w:pPr>
          </w:p>
        </w:tc>
        <w:tc>
          <w:tcPr>
            <w:tcW w:w="1701" w:type="dxa"/>
            <w:tcBorders>
              <w:top w:val="single" w:sz="2" w:space="0" w:color="000000"/>
              <w:left w:val="single" w:sz="2" w:space="0" w:color="000000"/>
              <w:bottom w:val="single" w:sz="2" w:space="0" w:color="000000"/>
            </w:tcBorders>
            <w:shd w:val="clear" w:color="auto" w:fill="auto"/>
            <w:tcMar>
              <w:left w:w="54" w:type="dxa"/>
            </w:tcMar>
          </w:tcPr>
          <w:p w14:paraId="61A8BA90" w14:textId="77777777" w:rsidR="002872D9" w:rsidRDefault="00E0301A">
            <w:pPr>
              <w:pStyle w:val="TableHeading"/>
            </w:pPr>
            <w:r>
              <w:t xml:space="preserve">2014/2015 </w:t>
            </w:r>
          </w:p>
        </w:tc>
        <w:tc>
          <w:tcPr>
            <w:tcW w:w="1701" w:type="dxa"/>
            <w:tcBorders>
              <w:top w:val="single" w:sz="2" w:space="0" w:color="000000"/>
              <w:left w:val="single" w:sz="2" w:space="0" w:color="000000"/>
              <w:bottom w:val="single" w:sz="2" w:space="0" w:color="000000"/>
            </w:tcBorders>
            <w:shd w:val="clear" w:color="auto" w:fill="auto"/>
            <w:tcMar>
              <w:left w:w="54" w:type="dxa"/>
            </w:tcMar>
          </w:tcPr>
          <w:p w14:paraId="210A21F2" w14:textId="77777777" w:rsidR="002872D9" w:rsidRDefault="00E0301A">
            <w:pPr>
              <w:pStyle w:val="TableHeading"/>
            </w:pPr>
            <w:r>
              <w:t>2015/2016</w:t>
            </w:r>
          </w:p>
        </w:tc>
        <w:tc>
          <w:tcPr>
            <w:tcW w:w="1702" w:type="dxa"/>
            <w:tcBorders>
              <w:top w:val="single" w:sz="2" w:space="0" w:color="000000"/>
              <w:left w:val="single" w:sz="2" w:space="0" w:color="000000"/>
              <w:bottom w:val="single" w:sz="2" w:space="0" w:color="000000"/>
              <w:right w:val="single" w:sz="2" w:space="0" w:color="000000"/>
            </w:tcBorders>
            <w:shd w:val="clear" w:color="auto" w:fill="auto"/>
            <w:tcMar>
              <w:left w:w="54" w:type="dxa"/>
            </w:tcMar>
          </w:tcPr>
          <w:p w14:paraId="1CC50F84" w14:textId="77777777" w:rsidR="002872D9" w:rsidRDefault="00E0301A">
            <w:pPr>
              <w:pStyle w:val="TableHeading"/>
            </w:pPr>
            <w:proofErr w:type="spellStart"/>
            <w:r>
              <w:t>Prévisions</w:t>
            </w:r>
            <w:proofErr w:type="spellEnd"/>
            <w:r>
              <w:t xml:space="preserve"> 2016/2017 </w:t>
            </w:r>
          </w:p>
        </w:tc>
      </w:tr>
      <w:tr w:rsidR="002872D9" w14:paraId="34EBDDED" w14:textId="77777777">
        <w:tc>
          <w:tcPr>
            <w:tcW w:w="4534" w:type="dxa"/>
            <w:tcBorders>
              <w:left w:val="single" w:sz="2" w:space="0" w:color="000000"/>
              <w:bottom w:val="single" w:sz="2" w:space="0" w:color="000000"/>
            </w:tcBorders>
            <w:shd w:val="clear" w:color="auto" w:fill="auto"/>
            <w:tcMar>
              <w:left w:w="54" w:type="dxa"/>
            </w:tcMar>
          </w:tcPr>
          <w:p w14:paraId="0F13FFD0" w14:textId="77777777" w:rsidR="002872D9" w:rsidRDefault="00E0301A">
            <w:pPr>
              <w:pStyle w:val="TableContents"/>
            </w:pPr>
            <w:r>
              <w:t xml:space="preserve">Centre de </w:t>
            </w:r>
            <w:proofErr w:type="spellStart"/>
            <w:r>
              <w:t>Logopédie</w:t>
            </w:r>
            <w:proofErr w:type="spellEnd"/>
            <w:r>
              <w:t xml:space="preserve"> </w:t>
            </w:r>
          </w:p>
        </w:tc>
        <w:tc>
          <w:tcPr>
            <w:tcW w:w="1701" w:type="dxa"/>
            <w:tcBorders>
              <w:left w:val="single" w:sz="2" w:space="0" w:color="000000"/>
              <w:bottom w:val="single" w:sz="2" w:space="0" w:color="000000"/>
            </w:tcBorders>
            <w:shd w:val="clear" w:color="auto" w:fill="auto"/>
            <w:tcMar>
              <w:left w:w="54" w:type="dxa"/>
            </w:tcMar>
          </w:tcPr>
          <w:p w14:paraId="0D498AF5" w14:textId="77777777" w:rsidR="002872D9" w:rsidRDefault="00E0301A">
            <w:pPr>
              <w:pStyle w:val="TableContents"/>
              <w:jc w:val="center"/>
            </w:pPr>
            <w:r>
              <w:t xml:space="preserve">282 </w:t>
            </w:r>
          </w:p>
        </w:tc>
        <w:tc>
          <w:tcPr>
            <w:tcW w:w="1701" w:type="dxa"/>
            <w:tcBorders>
              <w:left w:val="single" w:sz="2" w:space="0" w:color="000000"/>
              <w:bottom w:val="single" w:sz="2" w:space="0" w:color="000000"/>
            </w:tcBorders>
            <w:shd w:val="clear" w:color="auto" w:fill="auto"/>
            <w:tcMar>
              <w:left w:w="54" w:type="dxa"/>
            </w:tcMar>
          </w:tcPr>
          <w:p w14:paraId="59649BEA" w14:textId="77777777" w:rsidR="002872D9" w:rsidRDefault="00E0301A">
            <w:pPr>
              <w:pStyle w:val="TableContents"/>
              <w:jc w:val="center"/>
            </w:pPr>
            <w:r>
              <w:t>332</w:t>
            </w:r>
          </w:p>
        </w:tc>
        <w:tc>
          <w:tcPr>
            <w:tcW w:w="1702" w:type="dxa"/>
            <w:tcBorders>
              <w:left w:val="single" w:sz="2" w:space="0" w:color="000000"/>
              <w:bottom w:val="single" w:sz="2" w:space="0" w:color="000000"/>
              <w:right w:val="single" w:sz="2" w:space="0" w:color="000000"/>
            </w:tcBorders>
            <w:shd w:val="clear" w:color="auto" w:fill="auto"/>
            <w:tcMar>
              <w:left w:w="54" w:type="dxa"/>
            </w:tcMar>
          </w:tcPr>
          <w:p w14:paraId="03BE41B8" w14:textId="77777777" w:rsidR="002872D9" w:rsidRDefault="00E0301A">
            <w:pPr>
              <w:pStyle w:val="TableContents"/>
              <w:jc w:val="center"/>
            </w:pPr>
            <w:r>
              <w:t>315</w:t>
            </w:r>
          </w:p>
        </w:tc>
      </w:tr>
      <w:tr w:rsidR="002872D9" w14:paraId="0DA6CEBC" w14:textId="77777777">
        <w:tc>
          <w:tcPr>
            <w:tcW w:w="4534" w:type="dxa"/>
            <w:tcBorders>
              <w:left w:val="single" w:sz="2" w:space="0" w:color="000000"/>
              <w:bottom w:val="single" w:sz="2" w:space="0" w:color="000000"/>
            </w:tcBorders>
            <w:shd w:val="clear" w:color="auto" w:fill="auto"/>
            <w:tcMar>
              <w:left w:w="54" w:type="dxa"/>
            </w:tcMar>
          </w:tcPr>
          <w:p w14:paraId="57AD9BC5" w14:textId="77777777" w:rsidR="002872D9" w:rsidRDefault="00E0301A">
            <w:pPr>
              <w:pStyle w:val="TableContents"/>
            </w:pPr>
            <w:proofErr w:type="spellStart"/>
            <w:r>
              <w:t>Instituts</w:t>
            </w:r>
            <w:proofErr w:type="spellEnd"/>
            <w:r>
              <w:t xml:space="preserve"> </w:t>
            </w:r>
            <w:proofErr w:type="spellStart"/>
            <w:r>
              <w:t>spécialisés</w:t>
            </w:r>
            <w:proofErr w:type="spellEnd"/>
            <w:r>
              <w:t xml:space="preserve"> de </w:t>
            </w:r>
            <w:proofErr w:type="spellStart"/>
            <w:r>
              <w:t>l'EDIFF</w:t>
            </w:r>
            <w:proofErr w:type="spellEnd"/>
            <w:r>
              <w:t xml:space="preserve"> </w:t>
            </w:r>
          </w:p>
        </w:tc>
        <w:tc>
          <w:tcPr>
            <w:tcW w:w="1701" w:type="dxa"/>
            <w:tcBorders>
              <w:left w:val="single" w:sz="2" w:space="0" w:color="000000"/>
              <w:bottom w:val="single" w:sz="2" w:space="0" w:color="000000"/>
            </w:tcBorders>
            <w:shd w:val="clear" w:color="auto" w:fill="auto"/>
            <w:tcMar>
              <w:left w:w="54" w:type="dxa"/>
            </w:tcMar>
          </w:tcPr>
          <w:p w14:paraId="3A3DCA21" w14:textId="77777777" w:rsidR="002872D9" w:rsidRDefault="00E0301A">
            <w:pPr>
              <w:pStyle w:val="TableContents"/>
              <w:jc w:val="center"/>
            </w:pPr>
            <w:r>
              <w:t>126</w:t>
            </w:r>
          </w:p>
        </w:tc>
        <w:tc>
          <w:tcPr>
            <w:tcW w:w="1701" w:type="dxa"/>
            <w:tcBorders>
              <w:left w:val="single" w:sz="2" w:space="0" w:color="000000"/>
              <w:bottom w:val="single" w:sz="2" w:space="0" w:color="000000"/>
            </w:tcBorders>
            <w:shd w:val="clear" w:color="auto" w:fill="auto"/>
            <w:tcMar>
              <w:left w:w="54" w:type="dxa"/>
            </w:tcMar>
          </w:tcPr>
          <w:p w14:paraId="6F802D9A" w14:textId="77777777" w:rsidR="002872D9" w:rsidRDefault="00E0301A">
            <w:pPr>
              <w:pStyle w:val="TableContents"/>
              <w:jc w:val="center"/>
            </w:pPr>
            <w:r>
              <w:t xml:space="preserve">126 </w:t>
            </w:r>
          </w:p>
        </w:tc>
        <w:tc>
          <w:tcPr>
            <w:tcW w:w="1702" w:type="dxa"/>
            <w:tcBorders>
              <w:left w:val="single" w:sz="2" w:space="0" w:color="000000"/>
              <w:bottom w:val="single" w:sz="2" w:space="0" w:color="000000"/>
              <w:right w:val="single" w:sz="2" w:space="0" w:color="000000"/>
            </w:tcBorders>
            <w:shd w:val="clear" w:color="auto" w:fill="auto"/>
            <w:tcMar>
              <w:left w:w="54" w:type="dxa"/>
            </w:tcMar>
          </w:tcPr>
          <w:p w14:paraId="23625014" w14:textId="77777777" w:rsidR="002872D9" w:rsidRDefault="00E0301A">
            <w:pPr>
              <w:pStyle w:val="TableContents"/>
              <w:jc w:val="center"/>
            </w:pPr>
            <w:r>
              <w:t>142</w:t>
            </w:r>
          </w:p>
        </w:tc>
      </w:tr>
      <w:tr w:rsidR="002872D9" w14:paraId="52CF97EF" w14:textId="77777777">
        <w:tc>
          <w:tcPr>
            <w:tcW w:w="4534" w:type="dxa"/>
            <w:tcBorders>
              <w:left w:val="single" w:sz="2" w:space="0" w:color="000000"/>
              <w:bottom w:val="single" w:sz="2" w:space="0" w:color="000000"/>
            </w:tcBorders>
            <w:shd w:val="clear" w:color="auto" w:fill="auto"/>
            <w:tcMar>
              <w:left w:w="54" w:type="dxa"/>
            </w:tcMar>
          </w:tcPr>
          <w:p w14:paraId="5355B001" w14:textId="77777777" w:rsidR="002872D9" w:rsidRDefault="00E0301A">
            <w:pPr>
              <w:pStyle w:val="TableContents"/>
            </w:pPr>
            <w:r>
              <w:t xml:space="preserve">Centres </w:t>
            </w:r>
            <w:proofErr w:type="spellStart"/>
            <w:r>
              <w:t>d'éducation</w:t>
            </w:r>
            <w:proofErr w:type="spellEnd"/>
            <w:r>
              <w:t xml:space="preserve"> </w:t>
            </w:r>
            <w:proofErr w:type="spellStart"/>
            <w:r>
              <w:t>différenciée</w:t>
            </w:r>
            <w:proofErr w:type="spellEnd"/>
          </w:p>
        </w:tc>
        <w:tc>
          <w:tcPr>
            <w:tcW w:w="1701" w:type="dxa"/>
            <w:tcBorders>
              <w:left w:val="single" w:sz="2" w:space="0" w:color="000000"/>
              <w:bottom w:val="single" w:sz="2" w:space="0" w:color="000000"/>
            </w:tcBorders>
            <w:shd w:val="clear" w:color="auto" w:fill="auto"/>
            <w:tcMar>
              <w:left w:w="54" w:type="dxa"/>
            </w:tcMar>
          </w:tcPr>
          <w:p w14:paraId="194DE890" w14:textId="77777777" w:rsidR="002872D9" w:rsidRDefault="00E0301A">
            <w:pPr>
              <w:pStyle w:val="TableContents"/>
              <w:jc w:val="center"/>
            </w:pPr>
            <w:r>
              <w:t>398</w:t>
            </w:r>
          </w:p>
        </w:tc>
        <w:tc>
          <w:tcPr>
            <w:tcW w:w="1701" w:type="dxa"/>
            <w:tcBorders>
              <w:left w:val="single" w:sz="2" w:space="0" w:color="000000"/>
              <w:bottom w:val="single" w:sz="2" w:space="0" w:color="000000"/>
            </w:tcBorders>
            <w:shd w:val="clear" w:color="auto" w:fill="auto"/>
            <w:tcMar>
              <w:left w:w="54" w:type="dxa"/>
            </w:tcMar>
          </w:tcPr>
          <w:p w14:paraId="5CDF99C1" w14:textId="77777777" w:rsidR="002872D9" w:rsidRDefault="00E0301A">
            <w:pPr>
              <w:pStyle w:val="TableContents"/>
              <w:jc w:val="center"/>
            </w:pPr>
            <w:r>
              <w:t>412</w:t>
            </w:r>
          </w:p>
        </w:tc>
        <w:tc>
          <w:tcPr>
            <w:tcW w:w="1702" w:type="dxa"/>
            <w:tcBorders>
              <w:left w:val="single" w:sz="2" w:space="0" w:color="000000"/>
              <w:bottom w:val="single" w:sz="2" w:space="0" w:color="000000"/>
              <w:right w:val="single" w:sz="2" w:space="0" w:color="000000"/>
            </w:tcBorders>
            <w:shd w:val="clear" w:color="auto" w:fill="auto"/>
            <w:tcMar>
              <w:left w:w="54" w:type="dxa"/>
            </w:tcMar>
          </w:tcPr>
          <w:p w14:paraId="091A58DC" w14:textId="77777777" w:rsidR="002872D9" w:rsidRDefault="00E0301A">
            <w:pPr>
              <w:pStyle w:val="TableContents"/>
              <w:jc w:val="center"/>
            </w:pPr>
            <w:r>
              <w:t>400</w:t>
            </w:r>
          </w:p>
        </w:tc>
      </w:tr>
      <w:tr w:rsidR="002872D9" w14:paraId="358461E6" w14:textId="77777777">
        <w:tc>
          <w:tcPr>
            <w:tcW w:w="4534" w:type="dxa"/>
            <w:tcBorders>
              <w:left w:val="single" w:sz="2" w:space="0" w:color="000000"/>
              <w:bottom w:val="single" w:sz="2" w:space="0" w:color="000000"/>
            </w:tcBorders>
            <w:shd w:val="clear" w:color="auto" w:fill="auto"/>
            <w:tcMar>
              <w:left w:w="54" w:type="dxa"/>
            </w:tcMar>
          </w:tcPr>
          <w:p w14:paraId="01048584" w14:textId="77777777" w:rsidR="002872D9" w:rsidRDefault="00E0301A">
            <w:pPr>
              <w:pStyle w:val="TableContents"/>
            </w:pPr>
            <w:r>
              <w:t xml:space="preserve">Centres de </w:t>
            </w:r>
            <w:proofErr w:type="spellStart"/>
            <w:r>
              <w:t>propédeutique</w:t>
            </w:r>
            <w:proofErr w:type="spellEnd"/>
            <w:r>
              <w:t xml:space="preserve"> </w:t>
            </w:r>
            <w:proofErr w:type="spellStart"/>
            <w:r>
              <w:t>professionnelle</w:t>
            </w:r>
            <w:proofErr w:type="spellEnd"/>
          </w:p>
        </w:tc>
        <w:tc>
          <w:tcPr>
            <w:tcW w:w="1701" w:type="dxa"/>
            <w:tcBorders>
              <w:left w:val="single" w:sz="2" w:space="0" w:color="000000"/>
              <w:bottom w:val="single" w:sz="2" w:space="0" w:color="000000"/>
            </w:tcBorders>
            <w:shd w:val="clear" w:color="auto" w:fill="auto"/>
            <w:tcMar>
              <w:left w:w="54" w:type="dxa"/>
            </w:tcMar>
          </w:tcPr>
          <w:p w14:paraId="2582DCB1" w14:textId="77777777" w:rsidR="002872D9" w:rsidRDefault="00E0301A">
            <w:pPr>
              <w:pStyle w:val="TableContents"/>
              <w:jc w:val="center"/>
            </w:pPr>
            <w:r>
              <w:t>78</w:t>
            </w:r>
          </w:p>
        </w:tc>
        <w:tc>
          <w:tcPr>
            <w:tcW w:w="1701" w:type="dxa"/>
            <w:tcBorders>
              <w:left w:val="single" w:sz="2" w:space="0" w:color="000000"/>
              <w:bottom w:val="single" w:sz="2" w:space="0" w:color="000000"/>
            </w:tcBorders>
            <w:shd w:val="clear" w:color="auto" w:fill="auto"/>
            <w:tcMar>
              <w:left w:w="54" w:type="dxa"/>
            </w:tcMar>
          </w:tcPr>
          <w:p w14:paraId="28592D92" w14:textId="77777777" w:rsidR="002872D9" w:rsidRDefault="00E0301A">
            <w:pPr>
              <w:pStyle w:val="TableContents"/>
              <w:jc w:val="center"/>
            </w:pPr>
            <w:r>
              <w:t xml:space="preserve">84 </w:t>
            </w:r>
          </w:p>
        </w:tc>
        <w:tc>
          <w:tcPr>
            <w:tcW w:w="1702" w:type="dxa"/>
            <w:tcBorders>
              <w:left w:val="single" w:sz="2" w:space="0" w:color="000000"/>
              <w:bottom w:val="single" w:sz="2" w:space="0" w:color="000000"/>
              <w:right w:val="single" w:sz="2" w:space="0" w:color="000000"/>
            </w:tcBorders>
            <w:shd w:val="clear" w:color="auto" w:fill="auto"/>
            <w:tcMar>
              <w:left w:w="54" w:type="dxa"/>
            </w:tcMar>
          </w:tcPr>
          <w:p w14:paraId="00361305" w14:textId="77777777" w:rsidR="002872D9" w:rsidRDefault="00E0301A">
            <w:pPr>
              <w:pStyle w:val="TableContents"/>
              <w:jc w:val="center"/>
            </w:pPr>
            <w:r>
              <w:t>106</w:t>
            </w:r>
          </w:p>
        </w:tc>
      </w:tr>
      <w:tr w:rsidR="002872D9" w14:paraId="714E2645" w14:textId="77777777">
        <w:tc>
          <w:tcPr>
            <w:tcW w:w="4534" w:type="dxa"/>
            <w:tcBorders>
              <w:left w:val="single" w:sz="2" w:space="0" w:color="000000"/>
              <w:bottom w:val="single" w:sz="2" w:space="0" w:color="000000"/>
            </w:tcBorders>
            <w:shd w:val="clear" w:color="auto" w:fill="auto"/>
            <w:tcMar>
              <w:left w:w="54" w:type="dxa"/>
            </w:tcMar>
          </w:tcPr>
          <w:p w14:paraId="32AC83CB" w14:textId="77777777" w:rsidR="002872D9" w:rsidRDefault="00E0301A">
            <w:pPr>
              <w:pStyle w:val="TableContents"/>
            </w:pPr>
            <w:r>
              <w:t>TOTAL</w:t>
            </w:r>
          </w:p>
        </w:tc>
        <w:tc>
          <w:tcPr>
            <w:tcW w:w="1701" w:type="dxa"/>
            <w:tcBorders>
              <w:left w:val="single" w:sz="2" w:space="0" w:color="000000"/>
              <w:bottom w:val="single" w:sz="2" w:space="0" w:color="000000"/>
            </w:tcBorders>
            <w:shd w:val="clear" w:color="auto" w:fill="auto"/>
            <w:tcMar>
              <w:left w:w="54" w:type="dxa"/>
            </w:tcMar>
          </w:tcPr>
          <w:p w14:paraId="1F48DB04" w14:textId="77777777" w:rsidR="002872D9" w:rsidRDefault="00E0301A">
            <w:pPr>
              <w:pStyle w:val="TableContents"/>
              <w:jc w:val="center"/>
            </w:pPr>
            <w:r>
              <w:t>884</w:t>
            </w:r>
          </w:p>
        </w:tc>
        <w:tc>
          <w:tcPr>
            <w:tcW w:w="1701" w:type="dxa"/>
            <w:tcBorders>
              <w:left w:val="single" w:sz="2" w:space="0" w:color="000000"/>
              <w:bottom w:val="single" w:sz="2" w:space="0" w:color="000000"/>
            </w:tcBorders>
            <w:shd w:val="clear" w:color="auto" w:fill="auto"/>
            <w:tcMar>
              <w:left w:w="54" w:type="dxa"/>
            </w:tcMar>
          </w:tcPr>
          <w:p w14:paraId="4906DAE1" w14:textId="77777777" w:rsidR="002872D9" w:rsidRDefault="00E0301A">
            <w:pPr>
              <w:pStyle w:val="TableContents"/>
              <w:jc w:val="center"/>
            </w:pPr>
            <w:r>
              <w:t>954</w:t>
            </w:r>
          </w:p>
        </w:tc>
        <w:tc>
          <w:tcPr>
            <w:tcW w:w="1702" w:type="dxa"/>
            <w:tcBorders>
              <w:left w:val="single" w:sz="2" w:space="0" w:color="000000"/>
              <w:bottom w:val="single" w:sz="2" w:space="0" w:color="000000"/>
              <w:right w:val="single" w:sz="2" w:space="0" w:color="000000"/>
            </w:tcBorders>
            <w:shd w:val="clear" w:color="auto" w:fill="auto"/>
            <w:tcMar>
              <w:left w:w="54" w:type="dxa"/>
            </w:tcMar>
          </w:tcPr>
          <w:p w14:paraId="2707CCF2" w14:textId="77777777" w:rsidR="002872D9" w:rsidRDefault="00E0301A">
            <w:pPr>
              <w:pStyle w:val="TableContents"/>
              <w:jc w:val="center"/>
            </w:pPr>
            <w:r>
              <w:t>963</w:t>
            </w:r>
          </w:p>
        </w:tc>
      </w:tr>
    </w:tbl>
    <w:p w14:paraId="5E1F1469" w14:textId="77777777" w:rsidR="002872D9" w:rsidRDefault="002872D9">
      <w:pPr>
        <w:pStyle w:val="BodyText"/>
      </w:pPr>
    </w:p>
    <w:p w14:paraId="695ED6FC" w14:textId="77777777" w:rsidR="00BC5B49" w:rsidRPr="003414B1" w:rsidRDefault="00BC5B49" w:rsidP="00BC5B49">
      <w:pPr>
        <w:pStyle w:val="Heading2"/>
      </w:pPr>
      <w:r>
        <w:rPr>
          <w:b/>
          <w:i w:val="0"/>
          <w:iCs w:val="0"/>
          <w:sz w:val="18"/>
          <w:szCs w:val="18"/>
        </w:rPr>
        <w:t xml:space="preserve">we recommend </w:t>
      </w:r>
      <w:r w:rsidR="00B35FB7">
        <w:rPr>
          <w:b/>
          <w:i w:val="0"/>
          <w:iCs w:val="0"/>
          <w:sz w:val="18"/>
          <w:szCs w:val="18"/>
        </w:rPr>
        <w:t>the collection of data and establishment</w:t>
      </w:r>
      <w:r w:rsidRPr="00BC5B49">
        <w:rPr>
          <w:b/>
          <w:i w:val="0"/>
          <w:iCs w:val="0"/>
          <w:sz w:val="18"/>
          <w:szCs w:val="18"/>
        </w:rPr>
        <w:t xml:space="preserve"> statistics on children and disabilities, in order to assess the support needs of children with disabilities in Luxembourg.</w:t>
      </w:r>
    </w:p>
    <w:p w14:paraId="766A6F64" w14:textId="77777777" w:rsidR="002872D9" w:rsidRDefault="00E0301A" w:rsidP="00BC5B49">
      <w:pPr>
        <w:pStyle w:val="Heading2"/>
      </w:pPr>
      <w:r>
        <w:t>11)</w:t>
      </w:r>
      <w:r>
        <w:tab/>
        <w:t>Please explain what mechanisms are put in place to ensure that children with disabilities can freely express their views in matters affecting their daily living.</w:t>
      </w:r>
    </w:p>
    <w:p w14:paraId="6C40341B" w14:textId="77777777" w:rsidR="002872D9" w:rsidRDefault="00E0301A">
      <w:pPr>
        <w:pStyle w:val="BodyText"/>
      </w:pPr>
      <w:r>
        <w:t xml:space="preserve">We have had no report on children having been deprived of free speech. </w:t>
      </w:r>
      <w:r w:rsidR="0062724B">
        <w:t xml:space="preserve">However, we are not aware of any initiative that involves and consults children with disabilities and their views in matters affecting their daily lives. </w:t>
      </w:r>
      <w:r>
        <w:t>There are several measures put in place for all children in schools and at government level: Children and Youth Hotline ("</w:t>
      </w:r>
      <w:proofErr w:type="spellStart"/>
      <w:r>
        <w:t>Kanner-Jugend</w:t>
      </w:r>
      <w:proofErr w:type="spellEnd"/>
      <w:r>
        <w:t xml:space="preserve"> </w:t>
      </w:r>
      <w:proofErr w:type="spellStart"/>
      <w:r>
        <w:t>Telefon</w:t>
      </w:r>
      <w:proofErr w:type="spellEnd"/>
      <w:r>
        <w:t xml:space="preserve">"), </w:t>
      </w:r>
      <w:proofErr w:type="spellStart"/>
      <w:r>
        <w:t>Ombudscommittee</w:t>
      </w:r>
      <w:proofErr w:type="spellEnd"/>
      <w:r>
        <w:t xml:space="preserve"> for the Rights of the Child ("</w:t>
      </w:r>
      <w:proofErr w:type="spellStart"/>
      <w:r>
        <w:t>Ombuds-Comité</w:t>
      </w:r>
      <w:proofErr w:type="spellEnd"/>
      <w:r>
        <w:t xml:space="preserve"> fir </w:t>
      </w:r>
      <w:proofErr w:type="spellStart"/>
      <w:r>
        <w:t>d'Rechter</w:t>
      </w:r>
      <w:proofErr w:type="spellEnd"/>
      <w:r>
        <w:t xml:space="preserve"> </w:t>
      </w:r>
      <w:proofErr w:type="spellStart"/>
      <w:r>
        <w:t>vum</w:t>
      </w:r>
      <w:proofErr w:type="spellEnd"/>
      <w:r>
        <w:t xml:space="preserve"> </w:t>
      </w:r>
      <w:proofErr w:type="spellStart"/>
      <w:r>
        <w:t>Kand</w:t>
      </w:r>
      <w:proofErr w:type="spellEnd"/>
      <w:r>
        <w:t>"), National Office for Children ("</w:t>
      </w:r>
      <w:proofErr w:type="spellStart"/>
      <w:r>
        <w:t>Nationales</w:t>
      </w:r>
      <w:proofErr w:type="spellEnd"/>
      <w:r>
        <w:t xml:space="preserve"> </w:t>
      </w:r>
      <w:proofErr w:type="spellStart"/>
      <w:r>
        <w:t>Kinderbüro</w:t>
      </w:r>
      <w:proofErr w:type="spellEnd"/>
      <w:r>
        <w:t>"). The State reply mentions measures to be implemented in the future, so we cannot assess their effectiveness at the current moment.(</w:t>
      </w:r>
      <w:hyperlink r:id="rId13" w:tgtFrame="_blank">
        <w:r>
          <w:rPr>
            <w:rStyle w:val="InternetLink"/>
          </w:rPr>
          <w:t>Source</w:t>
        </w:r>
      </w:hyperlink>
      <w:hyperlink r:id="rId14" w:tgtFrame="_blank">
        <w:r>
          <w:rPr>
            <w:rStyle w:val="InternetLink"/>
          </w:rPr>
          <w:t xml:space="preserve"> Web</w:t>
        </w:r>
      </w:hyperlink>
      <w:r>
        <w:t>).</w:t>
      </w:r>
    </w:p>
    <w:p w14:paraId="761BD57C" w14:textId="77777777" w:rsidR="00724BFF" w:rsidRPr="005F6F08" w:rsidRDefault="00724BFF">
      <w:pPr>
        <w:pStyle w:val="BodyText"/>
        <w:rPr>
          <w:b/>
        </w:rPr>
      </w:pPr>
      <w:r w:rsidRPr="005F6F08">
        <w:rPr>
          <w:b/>
        </w:rPr>
        <w:t xml:space="preserve">We recommend </w:t>
      </w:r>
      <w:r w:rsidR="00B35FB7">
        <w:rPr>
          <w:b/>
        </w:rPr>
        <w:t>the establishment of</w:t>
      </w:r>
      <w:r w:rsidRPr="005F6F08">
        <w:rPr>
          <w:b/>
        </w:rPr>
        <w:t xml:space="preserve"> legislative and administrative measures to guarantee the right of children with disabilities to express their views on all matters affecting them, particularly in judicial and administrative procedures, recognizing their evolving capacity and giving due weight to their views in accordance with their age and maturity, and to be provided with disability- and age-appropriate assistance to realize this right.</w:t>
      </w:r>
    </w:p>
    <w:p w14:paraId="24D9E29F" w14:textId="77777777" w:rsidR="002872D9" w:rsidRDefault="00E0301A">
      <w:pPr>
        <w:pStyle w:val="BodyText"/>
        <w:rPr>
          <w:b/>
          <w:bCs/>
          <w:sz w:val="20"/>
          <w:szCs w:val="20"/>
        </w:rPr>
      </w:pPr>
      <w:r>
        <w:rPr>
          <w:b/>
          <w:bCs/>
          <w:sz w:val="20"/>
          <w:szCs w:val="20"/>
        </w:rPr>
        <w:t xml:space="preserve">Awareness-raising (art. 8) </w:t>
      </w:r>
    </w:p>
    <w:p w14:paraId="55D7A8E1" w14:textId="77777777" w:rsidR="002872D9" w:rsidRDefault="00E0301A">
      <w:pPr>
        <w:pStyle w:val="Heading2"/>
      </w:pPr>
      <w:r>
        <w:t>12)</w:t>
      </w:r>
      <w:r>
        <w:tab/>
        <w:t>Please provide information on the progress made on awareness raising strategies as per the National Action plan 2011-2016 and whether awareness on the Convention has increased among the general public.</w:t>
      </w:r>
    </w:p>
    <w:p w14:paraId="5BBD5F9D" w14:textId="7718CD03" w:rsidR="00B35FB7" w:rsidRDefault="00E0301A" w:rsidP="00B35FB7">
      <w:pPr>
        <w:pStyle w:val="Default"/>
        <w:rPr>
          <w:sz w:val="18"/>
          <w:szCs w:val="18"/>
        </w:rPr>
      </w:pPr>
      <w:r>
        <w:t xml:space="preserve">After the Convention was adopted, there was only one state-initiated awareness-raising campaign on the needs of persons with disabilities via brochures and video clips, but there was little reference made to the CRPD. According to our experience there is only little or no knowledge about the CRPD among the general population. </w:t>
      </w:r>
      <w:r w:rsidR="00B35FB7">
        <w:rPr>
          <w:b/>
          <w:bCs/>
          <w:sz w:val="18"/>
          <w:szCs w:val="18"/>
        </w:rPr>
        <w:t xml:space="preserve">We recommend </w:t>
      </w:r>
    </w:p>
    <w:p w14:paraId="0B09FE7A" w14:textId="77777777" w:rsidR="00B35FB7" w:rsidRDefault="00B35FB7" w:rsidP="00B35FB7">
      <w:pPr>
        <w:pStyle w:val="Default"/>
        <w:spacing w:after="230"/>
        <w:rPr>
          <w:sz w:val="18"/>
          <w:szCs w:val="18"/>
        </w:rPr>
      </w:pPr>
      <w:r>
        <w:rPr>
          <w:b/>
          <w:bCs/>
          <w:sz w:val="18"/>
          <w:szCs w:val="18"/>
        </w:rPr>
        <w:t xml:space="preserve">1. More awareness raising-campaigns addressed to the general public, covering </w:t>
      </w:r>
      <w:r>
        <w:rPr>
          <w:b/>
          <w:bCs/>
          <w:i/>
          <w:iCs/>
          <w:sz w:val="18"/>
          <w:szCs w:val="18"/>
        </w:rPr>
        <w:t>all different groups of persons with disabilities</w:t>
      </w:r>
      <w:r>
        <w:rPr>
          <w:b/>
          <w:bCs/>
          <w:sz w:val="18"/>
          <w:szCs w:val="18"/>
        </w:rPr>
        <w:t xml:space="preserve">. </w:t>
      </w:r>
    </w:p>
    <w:p w14:paraId="19744C24" w14:textId="77777777" w:rsidR="00B35FB7" w:rsidRDefault="00B35FB7" w:rsidP="00B35FB7">
      <w:pPr>
        <w:pStyle w:val="Default"/>
        <w:spacing w:after="230"/>
        <w:rPr>
          <w:sz w:val="18"/>
          <w:szCs w:val="18"/>
        </w:rPr>
      </w:pPr>
      <w:r>
        <w:rPr>
          <w:b/>
          <w:bCs/>
          <w:sz w:val="18"/>
          <w:szCs w:val="18"/>
        </w:rPr>
        <w:t xml:space="preserve">2. Support to initiatives aiming to raise awareness amongst children and the youth. </w:t>
      </w:r>
    </w:p>
    <w:p w14:paraId="1D99AEF0" w14:textId="77777777" w:rsidR="00B35FB7" w:rsidRDefault="00B35FB7" w:rsidP="00B35FB7">
      <w:pPr>
        <w:pStyle w:val="Default"/>
        <w:spacing w:after="230"/>
        <w:rPr>
          <w:sz w:val="18"/>
          <w:szCs w:val="18"/>
        </w:rPr>
      </w:pPr>
      <w:r>
        <w:rPr>
          <w:b/>
          <w:bCs/>
          <w:sz w:val="18"/>
          <w:szCs w:val="18"/>
        </w:rPr>
        <w:t xml:space="preserve">3. Making mass media aware of their impact on the image of disability. </w:t>
      </w:r>
    </w:p>
    <w:p w14:paraId="2BD8E6F5" w14:textId="77777777" w:rsidR="00B35FB7" w:rsidRDefault="00B35FB7" w:rsidP="00B35FB7">
      <w:pPr>
        <w:pStyle w:val="Default"/>
        <w:rPr>
          <w:sz w:val="18"/>
          <w:szCs w:val="18"/>
        </w:rPr>
      </w:pPr>
      <w:r>
        <w:rPr>
          <w:b/>
          <w:bCs/>
          <w:sz w:val="18"/>
          <w:szCs w:val="18"/>
        </w:rPr>
        <w:t xml:space="preserve">4. Making training on the rights of persons with disabilities and their needs an obligatory part of education for relevant professions. </w:t>
      </w:r>
    </w:p>
    <w:p w14:paraId="3B212091" w14:textId="77777777" w:rsidR="00BC5B49" w:rsidRDefault="00BC5B49">
      <w:pPr>
        <w:pStyle w:val="BodyText"/>
      </w:pPr>
    </w:p>
    <w:p w14:paraId="00EB332C" w14:textId="77777777" w:rsidR="002872D9" w:rsidRDefault="00E0301A">
      <w:pPr>
        <w:pStyle w:val="BodyText"/>
        <w:rPr>
          <w:b/>
          <w:bCs/>
          <w:sz w:val="20"/>
          <w:szCs w:val="20"/>
        </w:rPr>
      </w:pPr>
      <w:r>
        <w:rPr>
          <w:b/>
          <w:bCs/>
          <w:sz w:val="20"/>
          <w:szCs w:val="20"/>
        </w:rPr>
        <w:t>Accessibility (art 9)</w:t>
      </w:r>
    </w:p>
    <w:p w14:paraId="5A16BFF4" w14:textId="77777777" w:rsidR="002872D9" w:rsidRDefault="00E0301A">
      <w:pPr>
        <w:pStyle w:val="Heading2"/>
      </w:pPr>
      <w:r>
        <w:t>13)</w:t>
      </w:r>
      <w:r>
        <w:tab/>
        <w:t xml:space="preserve">Please inform on the status of the review of the Accessibility Act 2001, which only requires the accessibility of public buildings, institutions and transportations belonging to the state or the municipalities. Please provide information on policy and legislative measures adopted to harmonize the Act with the Convention. </w:t>
      </w:r>
    </w:p>
    <w:p w14:paraId="35CECA7C" w14:textId="2C0AF049" w:rsidR="002872D9" w:rsidRDefault="00E0301A">
      <w:pPr>
        <w:pStyle w:val="BodyText"/>
      </w:pPr>
      <w:r>
        <w:t xml:space="preserve">There is a legislative </w:t>
      </w:r>
      <w:r w:rsidR="00FF1CDD">
        <w:t xml:space="preserve">draft </w:t>
      </w:r>
      <w:r>
        <w:t>proposal currently subject to discussion at the Ministry for Family. Once these discussions are closed, this proposal will be public. It focuses on 4 main aspects:</w:t>
      </w:r>
    </w:p>
    <w:p w14:paraId="593AC9FE" w14:textId="77777777" w:rsidR="002872D9" w:rsidRDefault="00E0301A">
      <w:pPr>
        <w:pStyle w:val="BodyText"/>
        <w:numPr>
          <w:ilvl w:val="0"/>
          <w:numId w:val="4"/>
        </w:numPr>
      </w:pPr>
      <w:r>
        <w:t>All public and private buildings being open to the public;</w:t>
      </w:r>
    </w:p>
    <w:p w14:paraId="3F63F209" w14:textId="77777777" w:rsidR="002872D9" w:rsidRDefault="00E0301A">
      <w:pPr>
        <w:pStyle w:val="BodyText"/>
        <w:numPr>
          <w:ilvl w:val="0"/>
          <w:numId w:val="4"/>
        </w:numPr>
      </w:pPr>
      <w:r>
        <w:t>The architect must certify the construction plan complies with accessibility rules and the certificate is to be submitted to the municipality with the request for construction.</w:t>
      </w:r>
    </w:p>
    <w:p w14:paraId="78491829" w14:textId="77777777" w:rsidR="002872D9" w:rsidRDefault="00E0301A">
      <w:pPr>
        <w:pStyle w:val="BodyText"/>
        <w:numPr>
          <w:ilvl w:val="0"/>
          <w:numId w:val="4"/>
        </w:numPr>
      </w:pPr>
      <w:r>
        <w:t>Existing buildings open to the public of the state and municipalities should be made accessible within a period of 10 years.</w:t>
      </w:r>
    </w:p>
    <w:p w14:paraId="2730D562" w14:textId="77777777" w:rsidR="002872D9" w:rsidRDefault="00E0301A">
      <w:pPr>
        <w:pStyle w:val="BodyText"/>
        <w:numPr>
          <w:ilvl w:val="0"/>
          <w:numId w:val="4"/>
        </w:numPr>
      </w:pPr>
      <w:r>
        <w:t>All common facilities in new apartment buildings must be accessible.</w:t>
      </w:r>
    </w:p>
    <w:p w14:paraId="1776C714" w14:textId="77777777" w:rsidR="002872D9" w:rsidRDefault="00E0301A">
      <w:pPr>
        <w:pStyle w:val="BodyText"/>
      </w:pPr>
      <w:r>
        <w:t>Since these proposals have not yet been released to the public</w:t>
      </w:r>
      <w:r w:rsidR="001B1022">
        <w:t xml:space="preserve"> and we have not been consulted during its preparations</w:t>
      </w:r>
      <w:r>
        <w:t>, we cannot yet assess their content.</w:t>
      </w:r>
    </w:p>
    <w:p w14:paraId="42BFFFC4" w14:textId="260B2E01" w:rsidR="002872D9" w:rsidRDefault="00E0301A">
      <w:pPr>
        <w:pStyle w:val="BodyText"/>
      </w:pPr>
      <w:r>
        <w:t>As far as access to transport and mobility is mentioned</w:t>
      </w:r>
      <w:r w:rsidR="00FF1CDD">
        <w:t xml:space="preserve"> in the State reply</w:t>
      </w:r>
      <w:r>
        <w:t xml:space="preserve">, </w:t>
      </w:r>
      <w:r w:rsidR="00FF1CDD">
        <w:t xml:space="preserve">the special transport called </w:t>
      </w:r>
      <w:r>
        <w:t xml:space="preserve">ADAPTO can only be used for 15 rides per month. Furthermore they can only be booked from 7.00 a.m. till 10.00 p.m., during the week and on week-ends until 12.00 </w:t>
      </w:r>
      <w:proofErr w:type="gramStart"/>
      <w:r>
        <w:t>p.m..</w:t>
      </w:r>
      <w:proofErr w:type="gramEnd"/>
      <w:r>
        <w:t xml:space="preserve"> </w:t>
      </w:r>
    </w:p>
    <w:p w14:paraId="5AC3D034" w14:textId="77777777" w:rsidR="002872D9" w:rsidRDefault="00E0301A">
      <w:pPr>
        <w:pStyle w:val="BodyText"/>
      </w:pPr>
      <w:r>
        <w:t>Certain specific orientation and mobility training professions, aimed at blind persons in particular, are still not legally recognized in Luxembourg, so students wishing to train for this job get no financial support for their studies.</w:t>
      </w:r>
    </w:p>
    <w:p w14:paraId="2517381A" w14:textId="77777777" w:rsidR="00CA3760" w:rsidRDefault="00CA3760" w:rsidP="00CA3760">
      <w:pPr>
        <w:pStyle w:val="Default"/>
        <w:rPr>
          <w:sz w:val="18"/>
          <w:szCs w:val="18"/>
        </w:rPr>
      </w:pPr>
      <w:r>
        <w:rPr>
          <w:b/>
          <w:bCs/>
          <w:sz w:val="18"/>
          <w:szCs w:val="18"/>
        </w:rPr>
        <w:t xml:space="preserve">We recommend the adoption of a comprehensive accessibility plan with the allocation of sufficient resources, enforceable and effective sanctions for non-compliance, in close consultation and involvement of organisations of persons with disabilities.  </w:t>
      </w:r>
    </w:p>
    <w:p w14:paraId="06D015CA" w14:textId="77777777" w:rsidR="00CA3760" w:rsidRDefault="00CA3760">
      <w:pPr>
        <w:pStyle w:val="BodyText"/>
      </w:pPr>
    </w:p>
    <w:p w14:paraId="77E09FC6" w14:textId="77777777" w:rsidR="002872D9" w:rsidRDefault="00E0301A">
      <w:pPr>
        <w:pStyle w:val="Heading2"/>
      </w:pPr>
      <w:r>
        <w:t>14)</w:t>
      </w:r>
      <w:r>
        <w:tab/>
        <w:t>Please provide information on measures taken specifically in relation to access of persons with disabilities to communication and information technologies and systems including internet.</w:t>
      </w:r>
    </w:p>
    <w:p w14:paraId="7F5E7460" w14:textId="77777777" w:rsidR="002872D9" w:rsidRDefault="00E0301A">
      <w:pPr>
        <w:pStyle w:val="BodyText"/>
      </w:pPr>
      <w:r>
        <w:t xml:space="preserve">The State has released recommendations for creating accessible websites and PDF documents (Source Web: </w:t>
      </w:r>
      <w:hyperlink r:id="rId15" w:tgtFrame="_blank">
        <w:r>
          <w:rPr>
            <w:rStyle w:val="InternetLink"/>
          </w:rPr>
          <w:t>RENOW</w:t>
        </w:r>
      </w:hyperlink>
      <w:r>
        <w:t>). However, these guidelines are not legally binding. Also are there no accessibility regulations for websites operated by private organisations, which offer services to the public. Nor are there accessibility standards for mobile applications. In its reply, the State mentions telecommunication services providing accessible information to people with disability. We are not aware of such measures.</w:t>
      </w:r>
    </w:p>
    <w:p w14:paraId="65A3740B" w14:textId="0C768D01" w:rsidR="002872D9" w:rsidRDefault="00E0301A">
      <w:pPr>
        <w:pStyle w:val="BodyText"/>
      </w:pPr>
      <w:r>
        <w:t xml:space="preserve">Therefore, we greatly appreciate </w:t>
      </w:r>
      <w:r w:rsidR="001B1022">
        <w:t xml:space="preserve">the EU </w:t>
      </w:r>
      <w:r>
        <w:t>directive 2016/2102 on the accessibility of the websites and mobile applications of public sector bodies. The State of Luxemburg has to implement it before the end of 2018. The accessibility standards of websites and mobile applications should then be mandatory by 2020.</w:t>
      </w:r>
    </w:p>
    <w:p w14:paraId="4AA7BCDC" w14:textId="3B0C0DAB" w:rsidR="002872D9" w:rsidRDefault="00E0301A">
      <w:pPr>
        <w:pStyle w:val="BodyText"/>
      </w:pPr>
      <w:r>
        <w:t xml:space="preserve">As for the centre for easy-to-read language KLARO, which is mentioned in the State reply, we would like to refer to the shadow report, since only one full-time job is allocated for that task. We recommend that this centre </w:t>
      </w:r>
      <w:r w:rsidR="00FF1CDD">
        <w:t>should</w:t>
      </w:r>
      <w:r>
        <w:t xml:space="preserve"> get more staff members. </w:t>
      </w:r>
    </w:p>
    <w:p w14:paraId="20052F39" w14:textId="77777777" w:rsidR="002872D9" w:rsidRDefault="00E0301A">
      <w:pPr>
        <w:pStyle w:val="BodyText"/>
      </w:pPr>
      <w:r>
        <w:t>As far as the administrative website "guichet.lu" is concerned, most of the applications concerning persons with disability are still to be made offline; in other words, they remain inaccessible.</w:t>
      </w:r>
    </w:p>
    <w:p w14:paraId="01F15562" w14:textId="77777777" w:rsidR="00A028D3" w:rsidRPr="00A028D3" w:rsidRDefault="00A028D3" w:rsidP="00A028D3">
      <w:pPr>
        <w:pStyle w:val="BodyText"/>
        <w:rPr>
          <w:b/>
        </w:rPr>
      </w:pPr>
      <w:r w:rsidRPr="00A028D3">
        <w:rPr>
          <w:b/>
        </w:rPr>
        <w:t>We recommend:</w:t>
      </w:r>
    </w:p>
    <w:p w14:paraId="22654282" w14:textId="77777777" w:rsidR="00A028D3" w:rsidRPr="00A028D3" w:rsidRDefault="00A028D3" w:rsidP="00A028D3">
      <w:pPr>
        <w:pStyle w:val="BodyText"/>
        <w:rPr>
          <w:b/>
        </w:rPr>
      </w:pPr>
      <w:r w:rsidRPr="00A028D3">
        <w:rPr>
          <w:b/>
        </w:rPr>
        <w:t>1. Measures to assure that multilingualism is respected in all public information, both in digital and printed forms.</w:t>
      </w:r>
    </w:p>
    <w:p w14:paraId="21B527A8" w14:textId="77777777" w:rsidR="00A028D3" w:rsidRPr="00A028D3" w:rsidRDefault="00A028D3" w:rsidP="00A028D3">
      <w:pPr>
        <w:pStyle w:val="BodyText"/>
        <w:rPr>
          <w:b/>
        </w:rPr>
      </w:pPr>
      <w:r w:rsidRPr="00A028D3">
        <w:rPr>
          <w:b/>
        </w:rPr>
        <w:t>2. Increased promotion of “Easy to Read” or Plain Language, also respecting multilingualism.</w:t>
      </w:r>
    </w:p>
    <w:p w14:paraId="3DBF2BE0" w14:textId="77777777" w:rsidR="00A028D3" w:rsidRPr="00A028D3" w:rsidRDefault="00A028D3" w:rsidP="00A028D3">
      <w:pPr>
        <w:pStyle w:val="BodyText"/>
        <w:rPr>
          <w:b/>
        </w:rPr>
      </w:pPr>
      <w:r w:rsidRPr="00A028D3">
        <w:rPr>
          <w:b/>
        </w:rPr>
        <w:t>3. Improved accessibility of public websites.</w:t>
      </w:r>
    </w:p>
    <w:p w14:paraId="6A031407" w14:textId="77777777" w:rsidR="00A028D3" w:rsidRPr="00A028D3" w:rsidRDefault="00A028D3" w:rsidP="00A028D3">
      <w:pPr>
        <w:pStyle w:val="BodyText"/>
        <w:rPr>
          <w:b/>
        </w:rPr>
      </w:pPr>
      <w:r w:rsidRPr="00A028D3">
        <w:rPr>
          <w:b/>
        </w:rPr>
        <w:t>4. Eliminating existing barriers in dealing with authorities.</w:t>
      </w:r>
    </w:p>
    <w:p w14:paraId="132440B7" w14:textId="77777777" w:rsidR="00A028D3" w:rsidRPr="00A028D3" w:rsidRDefault="00A028D3" w:rsidP="00A028D3">
      <w:pPr>
        <w:pStyle w:val="BodyText"/>
        <w:rPr>
          <w:b/>
        </w:rPr>
      </w:pPr>
      <w:r w:rsidRPr="00A028D3">
        <w:rPr>
          <w:b/>
        </w:rPr>
        <w:t>5. Measures to increase regard for accessibility of information by mass media and private legal entities.</w:t>
      </w:r>
    </w:p>
    <w:p w14:paraId="70D35CBB" w14:textId="77777777" w:rsidR="001B1022" w:rsidRPr="00A028D3" w:rsidRDefault="00A028D3" w:rsidP="00A028D3">
      <w:pPr>
        <w:pStyle w:val="BodyText"/>
        <w:rPr>
          <w:b/>
        </w:rPr>
      </w:pPr>
      <w:r w:rsidRPr="00A028D3">
        <w:rPr>
          <w:b/>
        </w:rPr>
        <w:t>6. The recognition and promotion of sign language and deaf culture.</w:t>
      </w:r>
    </w:p>
    <w:p w14:paraId="7799713C" w14:textId="77777777" w:rsidR="002872D9" w:rsidRDefault="00E0301A">
      <w:pPr>
        <w:pStyle w:val="BodyText"/>
        <w:rPr>
          <w:b/>
          <w:bCs/>
          <w:sz w:val="20"/>
          <w:szCs w:val="20"/>
        </w:rPr>
      </w:pPr>
      <w:r>
        <w:rPr>
          <w:b/>
          <w:bCs/>
          <w:sz w:val="20"/>
          <w:szCs w:val="20"/>
        </w:rPr>
        <w:t>Situation of risk and humanitarian emergencies (art 11)</w:t>
      </w:r>
    </w:p>
    <w:p w14:paraId="5499FC03" w14:textId="77777777" w:rsidR="002872D9" w:rsidRDefault="00E0301A">
      <w:pPr>
        <w:pStyle w:val="Heading2"/>
      </w:pPr>
      <w:bookmarkStart w:id="11" w:name="__RefHeading___Toc1066_1856714900"/>
      <w:bookmarkEnd w:id="11"/>
      <w:r>
        <w:t>15)</w:t>
      </w:r>
      <w:r>
        <w:tab/>
        <w:t xml:space="preserve">Please inform on the extent to which organisations of persons with disabilities are involved in the national strategy for the management of emergencies and disaster related risk and on accessible measures available for persons with disabilities in emergency situations. </w:t>
      </w:r>
    </w:p>
    <w:p w14:paraId="3265EA9D" w14:textId="77777777" w:rsidR="002872D9" w:rsidRDefault="00E0301A">
      <w:pPr>
        <w:pStyle w:val="BodyText"/>
      </w:pPr>
      <w:r>
        <w:t>We do not know of any public emergency plans actively involving persons with disabilities. While there are several brochures dealing with that subject, their content is often not accessible. Depending on the organization, emergency plans take various forms and focus on various priorities. While some organisations for persons with disabilities prepare intensively for emergency situations (e.g. wheelchair users), visual alarm signals for deaf persons are often left out in public buildings. The new pending accessibility legislation should take into account these aspects.</w:t>
      </w:r>
    </w:p>
    <w:p w14:paraId="0AE6559E" w14:textId="77777777" w:rsidR="008C4842" w:rsidRDefault="008C4842" w:rsidP="008C4842">
      <w:pPr>
        <w:pStyle w:val="Default"/>
        <w:rPr>
          <w:b/>
          <w:bCs/>
          <w:sz w:val="18"/>
          <w:szCs w:val="18"/>
        </w:rPr>
      </w:pPr>
      <w:r>
        <w:rPr>
          <w:b/>
          <w:bCs/>
          <w:sz w:val="18"/>
          <w:szCs w:val="18"/>
        </w:rPr>
        <w:t xml:space="preserve">We recommend </w:t>
      </w:r>
    </w:p>
    <w:p w14:paraId="416F33F0" w14:textId="77777777" w:rsidR="008C4842" w:rsidRDefault="008C4842" w:rsidP="008C4842">
      <w:pPr>
        <w:pStyle w:val="Default"/>
        <w:rPr>
          <w:sz w:val="18"/>
          <w:szCs w:val="18"/>
        </w:rPr>
      </w:pPr>
      <w:r>
        <w:rPr>
          <w:b/>
          <w:bCs/>
          <w:sz w:val="18"/>
          <w:szCs w:val="18"/>
        </w:rPr>
        <w:t>1. for persons with disabilities to be involved in the national strategy for the management of emergencies and disaster related risk</w:t>
      </w:r>
    </w:p>
    <w:p w14:paraId="6228581A" w14:textId="58753CB3" w:rsidR="008C4842" w:rsidRDefault="003F7684" w:rsidP="008C4842">
      <w:pPr>
        <w:pStyle w:val="Default"/>
        <w:spacing w:after="233"/>
        <w:rPr>
          <w:sz w:val="18"/>
          <w:szCs w:val="18"/>
        </w:rPr>
      </w:pPr>
      <w:r>
        <w:rPr>
          <w:b/>
          <w:bCs/>
          <w:sz w:val="18"/>
          <w:szCs w:val="18"/>
        </w:rPr>
        <w:t>2</w:t>
      </w:r>
      <w:r w:rsidR="008C4842">
        <w:rPr>
          <w:b/>
          <w:bCs/>
          <w:sz w:val="18"/>
          <w:szCs w:val="18"/>
        </w:rPr>
        <w:t xml:space="preserve">. the development of mandatory accessibility standards for alarm systems and emergency protocols. </w:t>
      </w:r>
    </w:p>
    <w:p w14:paraId="40C8B616" w14:textId="24A6883B" w:rsidR="008C4842" w:rsidRDefault="003F7684" w:rsidP="008C4842">
      <w:pPr>
        <w:pStyle w:val="Default"/>
        <w:rPr>
          <w:sz w:val="18"/>
          <w:szCs w:val="18"/>
        </w:rPr>
      </w:pPr>
      <w:r>
        <w:rPr>
          <w:b/>
          <w:bCs/>
          <w:sz w:val="18"/>
          <w:szCs w:val="18"/>
        </w:rPr>
        <w:t>3</w:t>
      </w:r>
      <w:r w:rsidR="008C4842">
        <w:rPr>
          <w:b/>
          <w:bCs/>
          <w:sz w:val="18"/>
          <w:szCs w:val="18"/>
        </w:rPr>
        <w:t>. the provis</w:t>
      </w:r>
      <w:r>
        <w:rPr>
          <w:b/>
          <w:bCs/>
          <w:sz w:val="18"/>
          <w:szCs w:val="18"/>
        </w:rPr>
        <w:t>i</w:t>
      </w:r>
      <w:r w:rsidR="008C4842">
        <w:rPr>
          <w:b/>
          <w:bCs/>
          <w:sz w:val="18"/>
          <w:szCs w:val="18"/>
        </w:rPr>
        <w:t xml:space="preserve">on of accessible information on dangerous situations and emergency protocols. </w:t>
      </w:r>
    </w:p>
    <w:p w14:paraId="6EFE3F42" w14:textId="77777777" w:rsidR="008C4842" w:rsidRDefault="008C4842">
      <w:pPr>
        <w:pStyle w:val="BodyText"/>
      </w:pPr>
    </w:p>
    <w:p w14:paraId="2ACDBBF1" w14:textId="77777777" w:rsidR="002872D9" w:rsidRDefault="00E0301A">
      <w:pPr>
        <w:pStyle w:val="BodyText"/>
        <w:rPr>
          <w:b/>
          <w:bCs/>
          <w:sz w:val="20"/>
          <w:szCs w:val="20"/>
        </w:rPr>
      </w:pPr>
      <w:r>
        <w:rPr>
          <w:b/>
          <w:bCs/>
          <w:sz w:val="20"/>
          <w:szCs w:val="20"/>
        </w:rPr>
        <w:t>Equal recognition before the law (art. 12)</w:t>
      </w:r>
    </w:p>
    <w:p w14:paraId="31AFD4DC" w14:textId="77777777" w:rsidR="002872D9" w:rsidRDefault="00E0301A">
      <w:pPr>
        <w:pStyle w:val="Heading2"/>
      </w:pPr>
      <w:r>
        <w:t>16)</w:t>
      </w:r>
      <w:r>
        <w:tab/>
        <w:t>Please provide information on measures adopted to repeal The Guardianship Act of 1982 and harmonize it with article 12 of the Convention in line with the Committee’s General Comment No 1 on equal recognition before the law. Please provide data and statistics disaggregated by age and sex of persons currently placed under guardianship.</w:t>
      </w:r>
    </w:p>
    <w:p w14:paraId="4185BA43" w14:textId="77777777" w:rsidR="002872D9" w:rsidRDefault="00E0301A">
      <w:pPr>
        <w:pStyle w:val="BodyText"/>
      </w:pPr>
      <w:r>
        <w:t>We don’t have any figures or statistics on this issue</w:t>
      </w:r>
      <w:r w:rsidR="002C55F7">
        <w:t>, nor are we involved in steps taken by the Ministry of Justice to repeal the Guardianship Act</w:t>
      </w:r>
      <w:r>
        <w:t xml:space="preserve">. In 2016 and early 2017, various organisations such as TACS </w:t>
      </w:r>
      <w:proofErr w:type="spellStart"/>
      <w:r>
        <w:t>asbl</w:t>
      </w:r>
      <w:proofErr w:type="spellEnd"/>
      <w:r>
        <w:t xml:space="preserve">, SAT </w:t>
      </w:r>
      <w:proofErr w:type="spellStart"/>
      <w:r>
        <w:t>asbl</w:t>
      </w:r>
      <w:proofErr w:type="spellEnd"/>
      <w:r>
        <w:t>, Info-Handicap and interested guardians started exchanging on that matter. The aim was to elaborate recommendations to be considered in future legislations that were to be submitted to the Ministry for Justice. Early 2017, these organisations had a meeting with the Minister for Justice at which they were promised to be invited to the relevant working group, once the legislative work would start, but there was no timeline being set.</w:t>
      </w:r>
    </w:p>
    <w:p w14:paraId="42477AF9" w14:textId="77777777" w:rsidR="00677827" w:rsidRPr="00677827" w:rsidRDefault="00677827" w:rsidP="00677827">
      <w:pPr>
        <w:pStyle w:val="BodyText"/>
        <w:rPr>
          <w:b/>
        </w:rPr>
      </w:pPr>
      <w:r w:rsidRPr="00677827">
        <w:rPr>
          <w:b/>
        </w:rPr>
        <w:t>We recommend:</w:t>
      </w:r>
    </w:p>
    <w:p w14:paraId="4B458C1B" w14:textId="77777777" w:rsidR="00677827" w:rsidRPr="00677827" w:rsidRDefault="00677827" w:rsidP="00677827">
      <w:pPr>
        <w:pStyle w:val="BodyText"/>
        <w:rPr>
          <w:b/>
        </w:rPr>
      </w:pPr>
      <w:r w:rsidRPr="00677827">
        <w:rPr>
          <w:b/>
        </w:rPr>
        <w:t>1. Harmonizing legislation with the Convention with a view to replacing substituted decision-making with supported decision-making regimes which respect the person’s autonomy, will and preferences.</w:t>
      </w:r>
    </w:p>
    <w:p w14:paraId="461CC5FE" w14:textId="77777777" w:rsidR="00677827" w:rsidRPr="00677827" w:rsidRDefault="00677827" w:rsidP="00677827">
      <w:pPr>
        <w:pStyle w:val="BodyText"/>
        <w:rPr>
          <w:b/>
        </w:rPr>
      </w:pPr>
      <w:r w:rsidRPr="00677827">
        <w:rPr>
          <w:b/>
        </w:rPr>
        <w:t>2. Provide training to all relevant actors, including civil servants, judges, and social workers, on the recognition of the legal capacity of persons with disabilities and on good practices in supported decision-making.</w:t>
      </w:r>
    </w:p>
    <w:p w14:paraId="58E48779" w14:textId="77777777" w:rsidR="002872D9" w:rsidRDefault="00E0301A">
      <w:pPr>
        <w:pStyle w:val="BodyText"/>
        <w:rPr>
          <w:b/>
          <w:bCs/>
          <w:sz w:val="20"/>
          <w:szCs w:val="20"/>
        </w:rPr>
      </w:pPr>
      <w:r>
        <w:rPr>
          <w:b/>
          <w:bCs/>
          <w:sz w:val="20"/>
          <w:szCs w:val="20"/>
        </w:rPr>
        <w:t xml:space="preserve">Access to justice (Art. 13) </w:t>
      </w:r>
    </w:p>
    <w:p w14:paraId="522E23DE" w14:textId="77777777" w:rsidR="002872D9" w:rsidRDefault="00E0301A">
      <w:pPr>
        <w:pStyle w:val="Heading2"/>
      </w:pPr>
      <w:r>
        <w:t>17)</w:t>
      </w:r>
      <w:r>
        <w:tab/>
        <w:t>Please provide detailed information on capacity building training programmes on the rights of persons with disabilities conducted for law enforcement officials, police, judiciary, and prison officials in line with the principles of the Convention. Please indicate whether such training is systematic and/or a mandatory requirement. Please also provide information on the number and percentage of judges trained specifically on the rights of persons with disabilities and on the Convention.</w:t>
      </w:r>
    </w:p>
    <w:p w14:paraId="4F22DF9A" w14:textId="23C4F3CF" w:rsidR="002872D9" w:rsidRDefault="00E0301A">
      <w:pPr>
        <w:pStyle w:val="BodyText"/>
      </w:pPr>
      <w:r>
        <w:t xml:space="preserve">Info-Handicap provides general information and brochures on various types of disabilities. However, we do not know </w:t>
      </w:r>
      <w:r w:rsidR="00F24C64">
        <w:t>about</w:t>
      </w:r>
      <w:r>
        <w:t xml:space="preserve"> any training measures addressing jurisdictional and police staff</w:t>
      </w:r>
      <w:r w:rsidR="002C55F7">
        <w:t xml:space="preserve"> organised by the State party</w:t>
      </w:r>
      <w:r>
        <w:t>. As well, we do not have any figures on that subject.</w:t>
      </w:r>
    </w:p>
    <w:p w14:paraId="07E8FCA0" w14:textId="77777777" w:rsidR="007B6703" w:rsidRPr="007B6703" w:rsidRDefault="007B6703" w:rsidP="007B6703">
      <w:pPr>
        <w:pStyle w:val="Default"/>
        <w:rPr>
          <w:b/>
          <w:bCs/>
          <w:sz w:val="18"/>
          <w:szCs w:val="18"/>
        </w:rPr>
      </w:pPr>
      <w:r w:rsidRPr="007B6703">
        <w:rPr>
          <w:b/>
          <w:bCs/>
          <w:sz w:val="18"/>
          <w:szCs w:val="18"/>
        </w:rPr>
        <w:t>We recommend m</w:t>
      </w:r>
      <w:r>
        <w:rPr>
          <w:b/>
          <w:bCs/>
          <w:sz w:val="18"/>
          <w:szCs w:val="18"/>
        </w:rPr>
        <w:t xml:space="preserve">aking human rights and the CRPD part of standard training for judiciary personnel, police officers and prison staff. </w:t>
      </w:r>
    </w:p>
    <w:p w14:paraId="10304C43" w14:textId="77777777" w:rsidR="007B6703" w:rsidRDefault="007B6703">
      <w:pPr>
        <w:pStyle w:val="BodyText"/>
      </w:pPr>
    </w:p>
    <w:p w14:paraId="27EA5A6B" w14:textId="77777777" w:rsidR="002872D9" w:rsidRDefault="00E0301A">
      <w:pPr>
        <w:pStyle w:val="Heading2"/>
      </w:pPr>
      <w:r>
        <w:t>18)</w:t>
      </w:r>
      <w:r>
        <w:tab/>
        <w:t xml:space="preserve">Please provide information on procedural protocols and appropriate accommodation for court proceedings, and on available information and communication for persons with disabilities about access to the justice system and on whether court documents are provided in both French and German languages for persons with intellectual or psychosocial disabilities. </w:t>
      </w:r>
    </w:p>
    <w:p w14:paraId="649B7790" w14:textId="77777777" w:rsidR="002872D9" w:rsidRDefault="00E0301A">
      <w:pPr>
        <w:pStyle w:val="BodyText"/>
      </w:pPr>
      <w:r>
        <w:t>DPOs as well as the High Disability Council have not been informed nor been consulted in the legislative changes mentioned in the State reply.</w:t>
      </w:r>
    </w:p>
    <w:p w14:paraId="3B46AE19" w14:textId="77777777" w:rsidR="007B6703" w:rsidRDefault="007B6703" w:rsidP="007B6703">
      <w:pPr>
        <w:pStyle w:val="Default"/>
        <w:rPr>
          <w:sz w:val="18"/>
          <w:szCs w:val="18"/>
        </w:rPr>
      </w:pPr>
      <w:r>
        <w:rPr>
          <w:b/>
          <w:bCs/>
          <w:sz w:val="18"/>
          <w:szCs w:val="18"/>
        </w:rPr>
        <w:t xml:space="preserve">We recommend: </w:t>
      </w:r>
    </w:p>
    <w:p w14:paraId="2191C64E" w14:textId="77777777" w:rsidR="007B6703" w:rsidRDefault="007B6703" w:rsidP="007B6703">
      <w:pPr>
        <w:pStyle w:val="Default"/>
        <w:spacing w:after="231"/>
        <w:rPr>
          <w:sz w:val="18"/>
          <w:szCs w:val="18"/>
        </w:rPr>
      </w:pPr>
      <w:r>
        <w:rPr>
          <w:b/>
          <w:bCs/>
          <w:sz w:val="18"/>
          <w:szCs w:val="18"/>
        </w:rPr>
        <w:t xml:space="preserve">1. Reducing further physical barriers for all persons with disabilities. </w:t>
      </w:r>
    </w:p>
    <w:p w14:paraId="70717447" w14:textId="77777777" w:rsidR="007B6703" w:rsidRDefault="007B6703" w:rsidP="007B6703">
      <w:pPr>
        <w:pStyle w:val="Default"/>
        <w:spacing w:after="231"/>
        <w:rPr>
          <w:sz w:val="18"/>
          <w:szCs w:val="18"/>
        </w:rPr>
      </w:pPr>
      <w:r>
        <w:rPr>
          <w:b/>
          <w:bCs/>
          <w:sz w:val="18"/>
          <w:szCs w:val="18"/>
        </w:rPr>
        <w:t xml:space="preserve">2. Introducing protocols for procedural, age and gender appropriate accommodations for content of proceedings, information and communication for all persons with disabilities. </w:t>
      </w:r>
    </w:p>
    <w:p w14:paraId="4B86AEBE" w14:textId="77777777" w:rsidR="007B6703" w:rsidRDefault="007B6703" w:rsidP="007B6703">
      <w:pPr>
        <w:pStyle w:val="Default"/>
        <w:rPr>
          <w:sz w:val="18"/>
          <w:szCs w:val="18"/>
        </w:rPr>
      </w:pPr>
      <w:r>
        <w:rPr>
          <w:b/>
          <w:bCs/>
          <w:sz w:val="18"/>
          <w:szCs w:val="18"/>
        </w:rPr>
        <w:t xml:space="preserve">3. Rethinking the importance of legal representation in the current judiciary system and introducing standard legal representation for criminal proceedings. </w:t>
      </w:r>
    </w:p>
    <w:p w14:paraId="08EA9F0B" w14:textId="77777777" w:rsidR="007B6703" w:rsidRDefault="007B6703">
      <w:pPr>
        <w:pStyle w:val="BodyText"/>
        <w:rPr>
          <w:b/>
          <w:bCs/>
          <w:sz w:val="20"/>
          <w:szCs w:val="20"/>
        </w:rPr>
      </w:pPr>
    </w:p>
    <w:p w14:paraId="2BE431AE" w14:textId="77777777" w:rsidR="002872D9" w:rsidRDefault="00E0301A">
      <w:pPr>
        <w:pStyle w:val="BodyText"/>
        <w:rPr>
          <w:b/>
          <w:bCs/>
          <w:sz w:val="20"/>
          <w:szCs w:val="20"/>
        </w:rPr>
      </w:pPr>
      <w:r>
        <w:rPr>
          <w:b/>
          <w:bCs/>
          <w:sz w:val="20"/>
          <w:szCs w:val="20"/>
        </w:rPr>
        <w:t>Liberty and security of persons (art. 14)</w:t>
      </w:r>
    </w:p>
    <w:p w14:paraId="6C529B07" w14:textId="77777777" w:rsidR="002872D9" w:rsidRDefault="00E0301A">
      <w:pPr>
        <w:pStyle w:val="Heading2"/>
      </w:pPr>
      <w:r>
        <w:rPr>
          <w:i w:val="0"/>
          <w:iCs w:val="0"/>
        </w:rPr>
        <w:t>19)</w:t>
      </w:r>
      <w:r>
        <w:rPr>
          <w:i w:val="0"/>
          <w:iCs w:val="0"/>
        </w:rPr>
        <w:tab/>
        <w:t>Please inform on whether the state party has carried out any research to determine how the hospitalization of persons with disabilities without their consent is impacting on their rights to inclusion in the community and whether the State party is considering repealing the Act of 2009, which regulates hospitalisation of persons with mental disorders without their consent.</w:t>
      </w:r>
    </w:p>
    <w:p w14:paraId="38124BF0" w14:textId="77777777" w:rsidR="002872D9" w:rsidRDefault="00E0301A">
      <w:pPr>
        <w:pStyle w:val="BodyText"/>
      </w:pPr>
      <w:r>
        <w:t>We do not know of any study on that specific subject. There is no change since the shadow report (see article 25). We strongly recommend the State should modify or repeal the law in question.</w:t>
      </w:r>
    </w:p>
    <w:p w14:paraId="30F7FB59" w14:textId="77777777" w:rsidR="0051306B" w:rsidRDefault="0051306B" w:rsidP="0051306B">
      <w:pPr>
        <w:pStyle w:val="Default"/>
        <w:rPr>
          <w:sz w:val="18"/>
          <w:szCs w:val="18"/>
        </w:rPr>
      </w:pPr>
      <w:r>
        <w:rPr>
          <w:b/>
          <w:bCs/>
          <w:sz w:val="18"/>
          <w:szCs w:val="18"/>
        </w:rPr>
        <w:t xml:space="preserve">We recommend: </w:t>
      </w:r>
    </w:p>
    <w:p w14:paraId="347251E9" w14:textId="77777777" w:rsidR="0051306B" w:rsidRDefault="0051306B" w:rsidP="0051306B">
      <w:pPr>
        <w:pStyle w:val="Default"/>
        <w:spacing w:after="233"/>
        <w:rPr>
          <w:sz w:val="18"/>
          <w:szCs w:val="18"/>
        </w:rPr>
      </w:pPr>
      <w:r>
        <w:rPr>
          <w:b/>
          <w:bCs/>
          <w:sz w:val="18"/>
          <w:szCs w:val="18"/>
        </w:rPr>
        <w:t xml:space="preserve">1. Measure to collect anonymous data and to establish statistics on disability and deprivation of liberty. </w:t>
      </w:r>
    </w:p>
    <w:p w14:paraId="20BD238D" w14:textId="77777777" w:rsidR="0051306B" w:rsidRDefault="0051306B" w:rsidP="0051306B">
      <w:pPr>
        <w:pStyle w:val="Default"/>
        <w:spacing w:after="233"/>
        <w:rPr>
          <w:sz w:val="18"/>
          <w:szCs w:val="18"/>
        </w:rPr>
      </w:pPr>
      <w:r>
        <w:rPr>
          <w:b/>
          <w:bCs/>
          <w:sz w:val="18"/>
          <w:szCs w:val="18"/>
        </w:rPr>
        <w:t xml:space="preserve">2. The introduction of independent control bodies for “closed” living facilities. </w:t>
      </w:r>
    </w:p>
    <w:p w14:paraId="13098BC7" w14:textId="77777777" w:rsidR="0051306B" w:rsidRDefault="0051306B" w:rsidP="0051306B">
      <w:pPr>
        <w:pStyle w:val="Default"/>
        <w:spacing w:after="233"/>
        <w:rPr>
          <w:sz w:val="18"/>
          <w:szCs w:val="18"/>
        </w:rPr>
      </w:pPr>
      <w:r>
        <w:rPr>
          <w:b/>
          <w:bCs/>
          <w:sz w:val="18"/>
          <w:szCs w:val="18"/>
        </w:rPr>
        <w:t xml:space="preserve">3. Promoting freedom and autonomy of persons with disabilities living in such facilities. </w:t>
      </w:r>
    </w:p>
    <w:p w14:paraId="70440391" w14:textId="77777777" w:rsidR="0051306B" w:rsidRDefault="0051306B">
      <w:pPr>
        <w:pStyle w:val="BodyText"/>
      </w:pPr>
    </w:p>
    <w:p w14:paraId="7C49CD4E" w14:textId="77777777" w:rsidR="002872D9" w:rsidRDefault="00E0301A">
      <w:pPr>
        <w:pStyle w:val="Heading2"/>
      </w:pPr>
      <w:r>
        <w:rPr>
          <w:i w:val="0"/>
          <w:iCs w:val="0"/>
        </w:rPr>
        <w:t>20)</w:t>
      </w:r>
      <w:r>
        <w:rPr>
          <w:i w:val="0"/>
          <w:iCs w:val="0"/>
        </w:rPr>
        <w:tab/>
        <w:t xml:space="preserve">Please explain what budgetary measures have been taken by the State party to move persons with disabilities from in-care hospitalization to community-based services. </w:t>
      </w:r>
    </w:p>
    <w:p w14:paraId="36561E73" w14:textId="77777777" w:rsidR="006F687C" w:rsidRDefault="00E0301A">
      <w:pPr>
        <w:pStyle w:val="BodyText"/>
      </w:pPr>
      <w:r>
        <w:t xml:space="preserve">We have no such budgetary numbers. </w:t>
      </w:r>
    </w:p>
    <w:p w14:paraId="20DAF806" w14:textId="55CA24C3" w:rsidR="002872D9" w:rsidRPr="006F687C" w:rsidRDefault="00E0301A">
      <w:pPr>
        <w:pStyle w:val="BodyText"/>
        <w:rPr>
          <w:b/>
        </w:rPr>
      </w:pPr>
      <w:r w:rsidRPr="006F687C">
        <w:rPr>
          <w:b/>
        </w:rPr>
        <w:t>We recommend the State to actively consult DPOs when elaborating such measures.</w:t>
      </w:r>
    </w:p>
    <w:p w14:paraId="0B69B448" w14:textId="77777777" w:rsidR="002872D9" w:rsidRDefault="00E0301A">
      <w:pPr>
        <w:pStyle w:val="Heading2"/>
      </w:pPr>
      <w:r>
        <w:rPr>
          <w:i w:val="0"/>
          <w:iCs w:val="0"/>
        </w:rPr>
        <w:t>21)</w:t>
      </w:r>
      <w:r>
        <w:rPr>
          <w:i w:val="0"/>
          <w:iCs w:val="0"/>
        </w:rPr>
        <w:tab/>
        <w:t xml:space="preserve">Please explain efforts made by the State party to make legal representation available for persons with intellectual disabilities during criminal proceedings. </w:t>
      </w:r>
    </w:p>
    <w:p w14:paraId="7135E72D" w14:textId="77777777" w:rsidR="002872D9" w:rsidRDefault="00E0301A">
      <w:pPr>
        <w:pStyle w:val="BodyText"/>
      </w:pPr>
      <w:r>
        <w:t>As stated for question 18, information towards persons with disabilities and their organisations regarding legislative changes and assistance in court should be drastically improved.</w:t>
      </w:r>
    </w:p>
    <w:p w14:paraId="3BF28BF4" w14:textId="77777777" w:rsidR="006F687C" w:rsidRPr="006F687C" w:rsidRDefault="006F687C" w:rsidP="006F687C">
      <w:pPr>
        <w:pStyle w:val="Default"/>
        <w:rPr>
          <w:b/>
          <w:bCs/>
          <w:sz w:val="18"/>
          <w:szCs w:val="18"/>
        </w:rPr>
      </w:pPr>
      <w:r w:rsidRPr="006F687C">
        <w:rPr>
          <w:b/>
          <w:bCs/>
          <w:sz w:val="18"/>
          <w:szCs w:val="18"/>
        </w:rPr>
        <w:t xml:space="preserve">We recommend </w:t>
      </w:r>
      <w:r>
        <w:rPr>
          <w:b/>
          <w:bCs/>
          <w:sz w:val="18"/>
          <w:szCs w:val="18"/>
        </w:rPr>
        <w:t xml:space="preserve">making legal representation mandatory (or at least standard) in criminal proceedings. </w:t>
      </w:r>
    </w:p>
    <w:p w14:paraId="62EFEAFA" w14:textId="77777777" w:rsidR="006F687C" w:rsidRDefault="006F687C">
      <w:pPr>
        <w:pStyle w:val="BodyText"/>
      </w:pPr>
    </w:p>
    <w:p w14:paraId="291662C5" w14:textId="77777777" w:rsidR="002872D9" w:rsidRDefault="00E0301A">
      <w:pPr>
        <w:pStyle w:val="BodyText"/>
        <w:rPr>
          <w:b/>
          <w:bCs/>
          <w:sz w:val="20"/>
          <w:szCs w:val="20"/>
        </w:rPr>
      </w:pPr>
      <w:r>
        <w:rPr>
          <w:b/>
          <w:bCs/>
          <w:sz w:val="20"/>
          <w:szCs w:val="20"/>
        </w:rPr>
        <w:t xml:space="preserve">Freedom from violence, exploitation and abuse (art. 16) </w:t>
      </w:r>
    </w:p>
    <w:p w14:paraId="5AD7F343" w14:textId="77777777" w:rsidR="002872D9" w:rsidRDefault="00E0301A">
      <w:pPr>
        <w:pStyle w:val="Heading2"/>
      </w:pPr>
      <w:r>
        <w:t>22)</w:t>
      </w:r>
      <w:r>
        <w:tab/>
        <w:t>Please provide information on affirmative action measures taken to harmonize the Domestic Violence Act 2003 to protect persons with disabilities, in particular women and girls with disabilities, from violence and abuse.</w:t>
      </w:r>
    </w:p>
    <w:p w14:paraId="299C270F" w14:textId="77777777" w:rsidR="00310AF5" w:rsidRDefault="00E0301A">
      <w:pPr>
        <w:pStyle w:val="BodyText"/>
      </w:pPr>
      <w:r>
        <w:t xml:space="preserve">We are not aware of any such measures. </w:t>
      </w:r>
    </w:p>
    <w:p w14:paraId="66933C7E" w14:textId="46F14181" w:rsidR="002872D9" w:rsidRPr="00310AF5" w:rsidRDefault="00E0301A">
      <w:pPr>
        <w:pStyle w:val="BodyText"/>
        <w:rPr>
          <w:b/>
        </w:rPr>
      </w:pPr>
      <w:r w:rsidRPr="00310AF5">
        <w:rPr>
          <w:b/>
        </w:rPr>
        <w:t xml:space="preserve">We recommend the State </w:t>
      </w:r>
      <w:r w:rsidR="00310AF5" w:rsidRPr="00310AF5">
        <w:rPr>
          <w:b/>
        </w:rPr>
        <w:t>to adopt affirmative measures to harmonize the Domestic Violence Act 2003 as to include the perspective of women and girls with disabilities, and to</w:t>
      </w:r>
      <w:r w:rsidRPr="00310AF5">
        <w:rPr>
          <w:b/>
        </w:rPr>
        <w:t xml:space="preserve"> actively involve DPOs in future legislative or administrative changes</w:t>
      </w:r>
      <w:r w:rsidR="00310AF5" w:rsidRPr="00310AF5">
        <w:rPr>
          <w:b/>
        </w:rPr>
        <w:t xml:space="preserve"> in this regard</w:t>
      </w:r>
      <w:r w:rsidRPr="00310AF5">
        <w:rPr>
          <w:b/>
        </w:rPr>
        <w:t xml:space="preserve">. </w:t>
      </w:r>
    </w:p>
    <w:p w14:paraId="3984AA01" w14:textId="77777777" w:rsidR="002872D9" w:rsidRDefault="00E0301A">
      <w:pPr>
        <w:pStyle w:val="Heading2"/>
      </w:pPr>
      <w:r>
        <w:t>23)</w:t>
      </w:r>
      <w:r>
        <w:tab/>
        <w:t>Please provide information on measures adopted to prevent the use of physical and mechanical restraints of persons with disabilities in psychiatric care, and the forcible treatment of such persons.</w:t>
      </w:r>
    </w:p>
    <w:p w14:paraId="317AC859" w14:textId="77777777" w:rsidR="002872D9" w:rsidRDefault="00E0301A">
      <w:pPr>
        <w:pStyle w:val="BodyText"/>
      </w:pPr>
      <w:r>
        <w:t>We do not know of any such independent monitoring body being able to assess the human rights situation in such institutions on a regular basis. As far as the Patients Act of July 2014 is concerned, we recommend that persons should be informed about their rights in an accessible manner.</w:t>
      </w:r>
    </w:p>
    <w:p w14:paraId="4E64CBF5" w14:textId="77777777" w:rsidR="00221AB9" w:rsidRPr="00B31AB8" w:rsidRDefault="00221AB9">
      <w:pPr>
        <w:pStyle w:val="BodyText"/>
        <w:rPr>
          <w:b/>
        </w:rPr>
      </w:pPr>
      <w:r w:rsidRPr="00B31AB8">
        <w:rPr>
          <w:b/>
        </w:rPr>
        <w:t>We recommend</w:t>
      </w:r>
    </w:p>
    <w:p w14:paraId="0BF156BD" w14:textId="77777777" w:rsidR="00221AB9" w:rsidRPr="00B31AB8" w:rsidRDefault="00221AB9" w:rsidP="00221AB9">
      <w:pPr>
        <w:pStyle w:val="Default"/>
        <w:rPr>
          <w:b/>
        </w:rPr>
      </w:pPr>
    </w:p>
    <w:p w14:paraId="4499573E" w14:textId="77777777" w:rsidR="00221AB9" w:rsidRPr="00B31AB8" w:rsidRDefault="00221AB9" w:rsidP="00221AB9">
      <w:pPr>
        <w:pStyle w:val="Default"/>
        <w:spacing w:after="233"/>
        <w:rPr>
          <w:b/>
          <w:sz w:val="18"/>
          <w:szCs w:val="18"/>
        </w:rPr>
      </w:pPr>
      <w:r w:rsidRPr="00221AB9">
        <w:rPr>
          <w:b/>
          <w:bCs/>
          <w:sz w:val="18"/>
          <w:szCs w:val="18"/>
        </w:rPr>
        <w:t xml:space="preserve">1. </w:t>
      </w:r>
      <w:r w:rsidRPr="00B31AB8">
        <w:rPr>
          <w:b/>
          <w:bCs/>
          <w:sz w:val="18"/>
          <w:szCs w:val="18"/>
        </w:rPr>
        <w:t xml:space="preserve">The establishment of independent monitoring structures for private institutions housing, treating or employing persons with disabilities. </w:t>
      </w:r>
    </w:p>
    <w:p w14:paraId="49B4C369" w14:textId="77777777" w:rsidR="00221AB9" w:rsidRDefault="00221AB9" w:rsidP="00221AB9">
      <w:pPr>
        <w:pStyle w:val="Default"/>
        <w:rPr>
          <w:sz w:val="18"/>
          <w:szCs w:val="18"/>
        </w:rPr>
      </w:pPr>
      <w:r>
        <w:rPr>
          <w:b/>
          <w:bCs/>
          <w:sz w:val="18"/>
          <w:szCs w:val="18"/>
        </w:rPr>
        <w:t xml:space="preserve">2. Taking measures, including the repeal of relevant legal provisions, to abolish the practice of involuntary commitment or hospitalization, to prohibit forced medical treatment, in particular, psychiatric treatments, on the basis of impairment and provide sufficient community-based alternatives. </w:t>
      </w:r>
    </w:p>
    <w:p w14:paraId="36B95D79" w14:textId="77777777" w:rsidR="00221AB9" w:rsidRDefault="00221AB9">
      <w:pPr>
        <w:pStyle w:val="BodyText"/>
      </w:pPr>
    </w:p>
    <w:p w14:paraId="0043CBFE" w14:textId="77777777" w:rsidR="002872D9" w:rsidRDefault="00E0301A">
      <w:pPr>
        <w:pStyle w:val="BodyText"/>
        <w:rPr>
          <w:b/>
          <w:bCs/>
          <w:sz w:val="20"/>
          <w:szCs w:val="20"/>
        </w:rPr>
      </w:pPr>
      <w:r>
        <w:rPr>
          <w:b/>
          <w:bCs/>
          <w:sz w:val="20"/>
          <w:szCs w:val="20"/>
        </w:rPr>
        <w:t xml:space="preserve">Protecting the integrity of persons (art. 17) </w:t>
      </w:r>
    </w:p>
    <w:p w14:paraId="43F58B5E" w14:textId="77777777" w:rsidR="002872D9" w:rsidRDefault="00E0301A">
      <w:pPr>
        <w:pStyle w:val="Heading2"/>
      </w:pPr>
      <w:r>
        <w:t>24)</w:t>
      </w:r>
      <w:r>
        <w:tab/>
        <w:t>With reference to the Act of Patient`s rights of 31 July 2014, please provide information on the conditions under which treatment or institutionalized care can be imposed upon persons with disabilities without their consent and on the remedies which are available in case of refusal of such consent.</w:t>
      </w:r>
    </w:p>
    <w:p w14:paraId="3DF0628D" w14:textId="77777777" w:rsidR="002872D9" w:rsidRDefault="00E0301A">
      <w:pPr>
        <w:pStyle w:val="BodyText"/>
      </w:pPr>
      <w:r>
        <w:t>We are not aware of changes since the shadow report (see article 25). Patients with a disability should be informed about their rights in an accessible manner and given the assistance they need.</w:t>
      </w:r>
    </w:p>
    <w:p w14:paraId="4A019570" w14:textId="77777777" w:rsidR="005A16CF" w:rsidRPr="005A16CF" w:rsidRDefault="005A16CF" w:rsidP="005A16CF">
      <w:pPr>
        <w:pStyle w:val="BodyText"/>
        <w:rPr>
          <w:b/>
        </w:rPr>
      </w:pPr>
      <w:r w:rsidRPr="005A16CF">
        <w:rPr>
          <w:b/>
        </w:rPr>
        <w:t>We recommend:</w:t>
      </w:r>
    </w:p>
    <w:p w14:paraId="39CEB7D7" w14:textId="77777777" w:rsidR="005A16CF" w:rsidRPr="005A16CF" w:rsidRDefault="005A16CF" w:rsidP="005A16CF">
      <w:pPr>
        <w:pStyle w:val="BodyText"/>
        <w:numPr>
          <w:ilvl w:val="0"/>
          <w:numId w:val="7"/>
        </w:numPr>
        <w:rPr>
          <w:b/>
        </w:rPr>
      </w:pPr>
      <w:r w:rsidRPr="005A16CF">
        <w:rPr>
          <w:b/>
        </w:rPr>
        <w:t>Targeted awareness-raising measures and training for health-care workers on recognition of the legal capacity of persons with disabilities and the mechanisms of supported decision-making.</w:t>
      </w:r>
    </w:p>
    <w:p w14:paraId="4A6F77E4" w14:textId="77777777" w:rsidR="005A16CF" w:rsidRDefault="005A16CF" w:rsidP="005A16CF">
      <w:pPr>
        <w:pStyle w:val="BodyText"/>
        <w:numPr>
          <w:ilvl w:val="0"/>
          <w:numId w:val="7"/>
        </w:numPr>
        <w:rPr>
          <w:b/>
        </w:rPr>
      </w:pPr>
      <w:r w:rsidRPr="005A16CF">
        <w:rPr>
          <w:b/>
        </w:rPr>
        <w:t>Accessible information and support to persons with disabilities who use the health care system</w:t>
      </w:r>
    </w:p>
    <w:p w14:paraId="315735ED" w14:textId="77777777" w:rsidR="005A16CF" w:rsidRPr="005A16CF" w:rsidRDefault="005A16CF" w:rsidP="005A16CF">
      <w:pPr>
        <w:pStyle w:val="BodyText"/>
        <w:numPr>
          <w:ilvl w:val="0"/>
          <w:numId w:val="7"/>
        </w:numPr>
        <w:rPr>
          <w:b/>
        </w:rPr>
      </w:pPr>
      <w:r w:rsidRPr="005A16CF">
        <w:rPr>
          <w:b/>
        </w:rPr>
        <w:t>An independent body in charge of monitoring facilities and care services.</w:t>
      </w:r>
    </w:p>
    <w:p w14:paraId="79BCA59A" w14:textId="77777777" w:rsidR="002872D9" w:rsidRDefault="00E0301A">
      <w:pPr>
        <w:pStyle w:val="Heading2"/>
      </w:pPr>
      <w:r>
        <w:t>25)</w:t>
      </w:r>
      <w:r>
        <w:tab/>
        <w:t xml:space="preserve">Please inform on measures adopted to repeal the policy allowing for the sterilization of women and girls with disabilities without their informed consent. </w:t>
      </w:r>
    </w:p>
    <w:p w14:paraId="552A0359" w14:textId="77777777" w:rsidR="002872D9" w:rsidRDefault="00E0301A">
      <w:pPr>
        <w:pStyle w:val="BodyText"/>
      </w:pPr>
      <w:r>
        <w:t>We are not aware of changes since the shadow report (see article 6).</w:t>
      </w:r>
    </w:p>
    <w:p w14:paraId="47CF57A8" w14:textId="77777777" w:rsidR="002872D9" w:rsidRDefault="00E0301A">
      <w:pPr>
        <w:pStyle w:val="BodyText"/>
        <w:rPr>
          <w:b/>
          <w:bCs/>
          <w:sz w:val="20"/>
          <w:szCs w:val="20"/>
        </w:rPr>
      </w:pPr>
      <w:r>
        <w:rPr>
          <w:b/>
          <w:bCs/>
          <w:sz w:val="20"/>
          <w:szCs w:val="20"/>
        </w:rPr>
        <w:t>Liberty of movement and nationality (art. 18)</w:t>
      </w:r>
    </w:p>
    <w:p w14:paraId="78629834" w14:textId="77777777" w:rsidR="002872D9" w:rsidRDefault="00E0301A">
      <w:pPr>
        <w:pStyle w:val="Heading2"/>
      </w:pPr>
      <w:r>
        <w:t>26)</w:t>
      </w:r>
      <w:r>
        <w:tab/>
        <w:t>Please inform about the situation of refugees and asylum seekers with disabilities and whether the reception centres that receive and house refugees and asylum seekers are compatible with the accessibility standards as required in article 9 of the Convention and general comment no 2 on accessibility.</w:t>
      </w:r>
    </w:p>
    <w:p w14:paraId="7975EA5D" w14:textId="77777777" w:rsidR="002872D9" w:rsidRDefault="00E0301A">
      <w:pPr>
        <w:pStyle w:val="BodyText"/>
      </w:pPr>
      <w:r>
        <w:t>As we do not have any contacts to refugees, nor have we been contacted by them, there is little information we can give here.</w:t>
      </w:r>
    </w:p>
    <w:p w14:paraId="3BACEC25" w14:textId="77777777" w:rsidR="00D85B71" w:rsidRDefault="00D85B71" w:rsidP="00D85B71">
      <w:pPr>
        <w:pStyle w:val="Default"/>
        <w:rPr>
          <w:sz w:val="18"/>
          <w:szCs w:val="18"/>
        </w:rPr>
      </w:pPr>
      <w:r>
        <w:rPr>
          <w:b/>
          <w:bCs/>
          <w:sz w:val="18"/>
          <w:szCs w:val="18"/>
        </w:rPr>
        <w:t xml:space="preserve">We recommend: </w:t>
      </w:r>
    </w:p>
    <w:p w14:paraId="73EC12BE" w14:textId="77777777" w:rsidR="00D85B71" w:rsidRDefault="00D85B71" w:rsidP="00D85B71">
      <w:pPr>
        <w:pStyle w:val="Default"/>
        <w:spacing w:after="233"/>
        <w:rPr>
          <w:sz w:val="18"/>
          <w:szCs w:val="18"/>
        </w:rPr>
      </w:pPr>
      <w:r>
        <w:rPr>
          <w:b/>
          <w:bCs/>
          <w:sz w:val="18"/>
          <w:szCs w:val="18"/>
        </w:rPr>
        <w:t xml:space="preserve">1. Collecting data and compiling statistics on refugees, asylum seekers and disability. </w:t>
      </w:r>
    </w:p>
    <w:p w14:paraId="4297F1EB" w14:textId="77777777" w:rsidR="00D85B71" w:rsidRDefault="00D85B71" w:rsidP="00D85B71">
      <w:pPr>
        <w:pStyle w:val="Default"/>
        <w:rPr>
          <w:sz w:val="18"/>
          <w:szCs w:val="18"/>
        </w:rPr>
      </w:pPr>
      <w:r>
        <w:rPr>
          <w:b/>
          <w:bCs/>
          <w:sz w:val="18"/>
          <w:szCs w:val="18"/>
        </w:rPr>
        <w:t xml:space="preserve">2. Evaluating accessibility and sanitary conditions of all services and structures for refugees and asylum seekers. </w:t>
      </w:r>
    </w:p>
    <w:p w14:paraId="5A28979D" w14:textId="77777777" w:rsidR="00D85B71" w:rsidRDefault="00D85B71">
      <w:pPr>
        <w:pStyle w:val="BodyText"/>
      </w:pPr>
    </w:p>
    <w:p w14:paraId="624D5AAB" w14:textId="77777777" w:rsidR="002872D9" w:rsidRDefault="00E0301A">
      <w:pPr>
        <w:pStyle w:val="BodyText"/>
        <w:rPr>
          <w:b/>
          <w:bCs/>
          <w:sz w:val="20"/>
          <w:szCs w:val="20"/>
        </w:rPr>
      </w:pPr>
      <w:r>
        <w:rPr>
          <w:b/>
          <w:bCs/>
          <w:sz w:val="20"/>
          <w:szCs w:val="20"/>
        </w:rPr>
        <w:t xml:space="preserve">Living independently and being included in the community (art. 19) </w:t>
      </w:r>
    </w:p>
    <w:p w14:paraId="4C9C3CE5" w14:textId="77777777" w:rsidR="002872D9" w:rsidRDefault="00E0301A">
      <w:pPr>
        <w:pStyle w:val="Heading2"/>
        <w:jc w:val="left"/>
      </w:pPr>
      <w:r>
        <w:t>27)</w:t>
      </w:r>
      <w:r>
        <w:tab/>
        <w:t xml:space="preserve"> Please provide information on:</w:t>
      </w:r>
      <w:r>
        <w:br/>
        <w:t xml:space="preserve">(a) Whether there is a yearly itemized budget for the provision of personal assistants to persons with disabilities, in particular sign language interpreters; </w:t>
      </w:r>
      <w:r>
        <w:br/>
        <w:t>(b) The number of personal assistants and the budget allocation for persons with disabilities in recent years; and</w:t>
      </w:r>
      <w:r>
        <w:br/>
        <w:t>(c) The type and number of residential institutions for persons with disabilities including the number of persons with disabilities living in these institutions.</w:t>
      </w:r>
      <w:r>
        <w:br/>
        <w:t>(d) The number of complaints made by persons with disabilities in institutions and the remedies granted to them since the ratification of the Convention.</w:t>
      </w:r>
    </w:p>
    <w:p w14:paraId="20D8F0D0" w14:textId="77777777" w:rsidR="002872D9" w:rsidRDefault="00E0301A">
      <w:pPr>
        <w:pStyle w:val="BodyText"/>
      </w:pPr>
      <w:r>
        <w:t>(a) There is a clear distinction to be made between sign language interpreters and other personal assistants. Sign language interpretation is provided by the Hearing Impaired Consultants ("</w:t>
      </w:r>
      <w:proofErr w:type="spellStart"/>
      <w:r>
        <w:t>Hörgeschädigtenberatung</w:t>
      </w:r>
      <w:proofErr w:type="spellEnd"/>
      <w:r>
        <w:t>"). This state-funded organization provides one sign language interpreter and one speech-to-text reporter</w:t>
      </w:r>
      <w:r w:rsidR="00C12A58">
        <w:t xml:space="preserve"> for all the users in Luxembourg</w:t>
      </w:r>
      <w:r>
        <w:t xml:space="preserve">. The Ministry for Family also has a sign language interpreter. </w:t>
      </w:r>
    </w:p>
    <w:p w14:paraId="3D9B2A50" w14:textId="77777777" w:rsidR="002872D9" w:rsidRDefault="00E0301A">
      <w:pPr>
        <w:pStyle w:val="BodyText"/>
      </w:pPr>
      <w:r>
        <w:t>For all other types of personal assistance, there is neither a global budget nor any provision.</w:t>
      </w:r>
    </w:p>
    <w:p w14:paraId="04B3153C" w14:textId="77777777" w:rsidR="002872D9" w:rsidRDefault="00E0301A">
      <w:pPr>
        <w:pStyle w:val="BodyText"/>
      </w:pPr>
      <w:r>
        <w:t>(b) The assistance mentioned on a professional basis has to be funded at first hand by the user before being reimbursed by the Ministry. This however prevents persons with disabilities from taking long-term measures (e.g. higher education studies, etc.). As well, informal helpers mentioned in the context of the Care Insurance system are supported only on the ground of elementary activities ("</w:t>
      </w:r>
      <w:proofErr w:type="spellStart"/>
      <w:r>
        <w:t>Actes</w:t>
      </w:r>
      <w:proofErr w:type="spellEnd"/>
      <w:r>
        <w:t xml:space="preserve"> </w:t>
      </w:r>
      <w:proofErr w:type="spellStart"/>
      <w:r>
        <w:t>Essentiels</w:t>
      </w:r>
      <w:proofErr w:type="spellEnd"/>
      <w:r>
        <w:t xml:space="preserve"> de la Vie") for a maximal budget of €1.100 per month.</w:t>
      </w:r>
    </w:p>
    <w:p w14:paraId="65424DED" w14:textId="77777777" w:rsidR="002872D9" w:rsidRDefault="00E0301A">
      <w:pPr>
        <w:pStyle w:val="BodyText"/>
      </w:pPr>
      <w:r>
        <w:t>(c) As declared by the Ministry for Family and Integration, there has been progress towards smaller groups and semi-autonomous housing. We however recommend that more accessible housing should be available within the community and the mainstream market.</w:t>
      </w:r>
    </w:p>
    <w:p w14:paraId="3BB4609A" w14:textId="77777777" w:rsidR="002872D9" w:rsidRDefault="00E0301A">
      <w:pPr>
        <w:pStyle w:val="BodyText"/>
      </w:pPr>
      <w:r>
        <w:t xml:space="preserve">(d) In 2016, Info-Handicap has had 6 complaints or questions with regard to housing problems, as stated above. Info-Handicap provides no assistance in court and the person relies on jurisdictional protection. Assistance can be provided by the state if the person cannot afford a lawyer ("Assurance </w:t>
      </w:r>
      <w:proofErr w:type="spellStart"/>
      <w:r>
        <w:t>Juridique</w:t>
      </w:r>
      <w:proofErr w:type="spellEnd"/>
      <w:r>
        <w:t>").</w:t>
      </w:r>
    </w:p>
    <w:p w14:paraId="11EAD62E" w14:textId="77777777" w:rsidR="002872D9" w:rsidRDefault="00E0301A">
      <w:pPr>
        <w:pStyle w:val="Heading2"/>
      </w:pPr>
      <w:r>
        <w:t>28)</w:t>
      </w:r>
      <w:r>
        <w:tab/>
        <w:t>Please inform about steps taken as per the National Action plan 2011-2016 to accelerate the process of de-institutionalization of persons with disabilities.</w:t>
      </w:r>
    </w:p>
    <w:p w14:paraId="79275B34" w14:textId="77777777" w:rsidR="002872D9" w:rsidRDefault="00E0301A">
      <w:pPr>
        <w:pStyle w:val="BodyText"/>
      </w:pPr>
      <w:r>
        <w:t>We do not know of any deinstitutionalisation measures so far. The measures mentioned in the State reply do not really foster independent living and choice of the person. Also the reform act to the Care Insurance does not explicitly anchor the rights enshrined in the CRPD but rather focuses on tighter control, benefit restrictions and tends to weaken the role of the informal helpers (</w:t>
      </w:r>
      <w:hyperlink r:id="rId16" w:tgtFrame="_blank">
        <w:r>
          <w:rPr>
            <w:rStyle w:val="InternetLink"/>
          </w:rPr>
          <w:t>Web reference</w:t>
        </w:r>
      </w:hyperlink>
      <w:r>
        <w:t>).</w:t>
      </w:r>
    </w:p>
    <w:p w14:paraId="75E2D871" w14:textId="77777777" w:rsidR="00D85B71" w:rsidRDefault="00D85B71" w:rsidP="00D85B71">
      <w:pPr>
        <w:pStyle w:val="Default"/>
        <w:rPr>
          <w:sz w:val="18"/>
          <w:szCs w:val="18"/>
        </w:rPr>
      </w:pPr>
      <w:r>
        <w:rPr>
          <w:b/>
          <w:bCs/>
          <w:sz w:val="18"/>
          <w:szCs w:val="18"/>
        </w:rPr>
        <w:t xml:space="preserve">We recommend: </w:t>
      </w:r>
    </w:p>
    <w:p w14:paraId="1A965F50" w14:textId="77777777" w:rsidR="00D85B71" w:rsidRDefault="00D85B71" w:rsidP="00D85B71">
      <w:pPr>
        <w:pStyle w:val="Default"/>
        <w:spacing w:after="230"/>
        <w:rPr>
          <w:sz w:val="18"/>
          <w:szCs w:val="18"/>
        </w:rPr>
      </w:pPr>
      <w:r>
        <w:rPr>
          <w:b/>
          <w:bCs/>
          <w:sz w:val="18"/>
          <w:szCs w:val="18"/>
        </w:rPr>
        <w:t xml:space="preserve">1. Developing and implementing an effective de-institutionalization and community-based living strategy with clear time frames and benchmarks, in consultation with organizations of persons with disabilities. </w:t>
      </w:r>
    </w:p>
    <w:p w14:paraId="15D34812" w14:textId="77777777" w:rsidR="00D85B71" w:rsidRDefault="00D85B71" w:rsidP="00D85B71">
      <w:pPr>
        <w:pStyle w:val="Default"/>
        <w:rPr>
          <w:sz w:val="18"/>
          <w:szCs w:val="18"/>
        </w:rPr>
      </w:pPr>
      <w:r>
        <w:rPr>
          <w:b/>
          <w:bCs/>
          <w:sz w:val="18"/>
          <w:szCs w:val="18"/>
        </w:rPr>
        <w:t xml:space="preserve">2. Establishing a framework providing for legal entitlement to personal assistance services to enable persons with disabilities to live independently in the community. </w:t>
      </w:r>
    </w:p>
    <w:p w14:paraId="6580A35E" w14:textId="77777777" w:rsidR="00D85B71" w:rsidRDefault="00D85B71">
      <w:pPr>
        <w:pStyle w:val="BodyText"/>
      </w:pPr>
    </w:p>
    <w:p w14:paraId="13083C45" w14:textId="77777777" w:rsidR="002872D9" w:rsidRDefault="00E0301A">
      <w:pPr>
        <w:pStyle w:val="BodyText"/>
        <w:rPr>
          <w:b/>
          <w:bCs/>
          <w:sz w:val="20"/>
          <w:szCs w:val="20"/>
        </w:rPr>
      </w:pPr>
      <w:r>
        <w:rPr>
          <w:b/>
          <w:bCs/>
          <w:sz w:val="20"/>
          <w:szCs w:val="20"/>
        </w:rPr>
        <w:t>Freedom of expression and opinion, and access to information (art. 21)</w:t>
      </w:r>
    </w:p>
    <w:p w14:paraId="3DFCE4DB" w14:textId="77777777" w:rsidR="002872D9" w:rsidRDefault="00E0301A">
      <w:pPr>
        <w:pStyle w:val="Heading2"/>
      </w:pPr>
      <w:r>
        <w:t>29)</w:t>
      </w:r>
      <w:r>
        <w:tab/>
        <w:t xml:space="preserve">Please provide information, including on timelines, for the official recognition of sign language(s) in the State party and whether there are sufficient resources available for sign language(s) interpretation in Luxembourg. </w:t>
      </w:r>
    </w:p>
    <w:p w14:paraId="29E46B78" w14:textId="77777777" w:rsidR="002872D9" w:rsidRDefault="00E0301A">
      <w:pPr>
        <w:pStyle w:val="BodyText"/>
      </w:pPr>
      <w:r w:rsidRPr="007B4A14">
        <w:rPr>
          <w:lang w:val="fr-BE"/>
        </w:rPr>
        <w:t xml:space="preserve">There </w:t>
      </w:r>
      <w:proofErr w:type="spellStart"/>
      <w:r w:rsidRPr="007B4A14">
        <w:rPr>
          <w:lang w:val="fr-BE"/>
        </w:rPr>
        <w:t>is</w:t>
      </w:r>
      <w:proofErr w:type="spellEnd"/>
      <w:r w:rsidRPr="007B4A14">
        <w:rPr>
          <w:lang w:val="fr-BE"/>
        </w:rPr>
        <w:t xml:space="preserve"> a </w:t>
      </w:r>
      <w:proofErr w:type="spellStart"/>
      <w:r w:rsidRPr="007B4A14">
        <w:rPr>
          <w:lang w:val="fr-BE"/>
        </w:rPr>
        <w:t>legislative</w:t>
      </w:r>
      <w:proofErr w:type="spellEnd"/>
      <w:r w:rsidRPr="007B4A14">
        <w:rPr>
          <w:lang w:val="fr-BE"/>
        </w:rPr>
        <w:t xml:space="preserve"> </w:t>
      </w:r>
      <w:proofErr w:type="spellStart"/>
      <w:r w:rsidRPr="007B4A14">
        <w:rPr>
          <w:lang w:val="fr-BE"/>
        </w:rPr>
        <w:t>proposal</w:t>
      </w:r>
      <w:proofErr w:type="spellEnd"/>
      <w:r w:rsidRPr="007B4A14">
        <w:rPr>
          <w:lang w:val="fr-BE"/>
        </w:rPr>
        <w:t xml:space="preserve"> </w:t>
      </w:r>
      <w:proofErr w:type="spellStart"/>
      <w:r w:rsidRPr="007B4A14">
        <w:rPr>
          <w:lang w:val="fr-BE"/>
        </w:rPr>
        <w:t>pending</w:t>
      </w:r>
      <w:proofErr w:type="spellEnd"/>
      <w:r w:rsidRPr="007B4A14">
        <w:rPr>
          <w:lang w:val="fr-BE"/>
        </w:rPr>
        <w:t xml:space="preserve"> ("Projet de loi modifiant la loi du 24 </w:t>
      </w:r>
      <w:proofErr w:type="spellStart"/>
      <w:r w:rsidRPr="007B4A14">
        <w:rPr>
          <w:lang w:val="fr-BE"/>
        </w:rPr>
        <w:t>février</w:t>
      </w:r>
      <w:proofErr w:type="spellEnd"/>
      <w:r w:rsidRPr="007B4A14">
        <w:rPr>
          <w:lang w:val="fr-BE"/>
        </w:rPr>
        <w:t xml:space="preserve"> 1984 sur le </w:t>
      </w:r>
      <w:proofErr w:type="spellStart"/>
      <w:r w:rsidRPr="007B4A14">
        <w:rPr>
          <w:lang w:val="fr-BE"/>
        </w:rPr>
        <w:t>régime</w:t>
      </w:r>
      <w:proofErr w:type="spellEnd"/>
      <w:r w:rsidRPr="007B4A14">
        <w:rPr>
          <w:lang w:val="fr-BE"/>
        </w:rPr>
        <w:t xml:space="preserve"> des langues." </w:t>
      </w:r>
      <w:r>
        <w:t>(</w:t>
      </w:r>
      <w:proofErr w:type="spellStart"/>
      <w:r>
        <w:t>Projet</w:t>
      </w:r>
      <w:proofErr w:type="spellEnd"/>
      <w:r>
        <w:t xml:space="preserve"> de </w:t>
      </w:r>
      <w:proofErr w:type="spellStart"/>
      <w:r>
        <w:t>loi</w:t>
      </w:r>
      <w:proofErr w:type="spellEnd"/>
      <w:r>
        <w:t xml:space="preserve"> Nº 7142)), stipulating a formal recognition of sign language. This law should be enforced until the end of the year. We strongly hope that this recognition finally opens the way to new resources that can be used on a day-to-day basis. In order to achieve this goal, the State should proactively support students training for sign language teachers and/or interpreters.</w:t>
      </w:r>
    </w:p>
    <w:p w14:paraId="3AFBA021" w14:textId="77777777" w:rsidR="000A54DA" w:rsidRPr="000A54DA" w:rsidRDefault="000A54DA" w:rsidP="000A54DA">
      <w:pPr>
        <w:pStyle w:val="Default"/>
        <w:rPr>
          <w:b/>
          <w:bCs/>
          <w:sz w:val="18"/>
          <w:szCs w:val="18"/>
        </w:rPr>
      </w:pPr>
      <w:r w:rsidRPr="000A54DA">
        <w:rPr>
          <w:b/>
          <w:bCs/>
          <w:sz w:val="18"/>
          <w:szCs w:val="18"/>
        </w:rPr>
        <w:t>We recommend t</w:t>
      </w:r>
      <w:r>
        <w:rPr>
          <w:b/>
          <w:bCs/>
          <w:sz w:val="18"/>
          <w:szCs w:val="18"/>
        </w:rPr>
        <w:t xml:space="preserve">he recognition and promotion of sign language and deaf culture. </w:t>
      </w:r>
    </w:p>
    <w:p w14:paraId="623ADB0B" w14:textId="77777777" w:rsidR="000A54DA" w:rsidRPr="000A54DA" w:rsidRDefault="000A54DA">
      <w:pPr>
        <w:pStyle w:val="BodyText"/>
        <w:rPr>
          <w:rFonts w:cs="Arial"/>
          <w:b/>
          <w:bCs/>
          <w:color w:val="000000"/>
          <w:lang w:bidi="ar-SA"/>
        </w:rPr>
      </w:pPr>
    </w:p>
    <w:p w14:paraId="06F212A9" w14:textId="77777777" w:rsidR="002872D9" w:rsidRDefault="00E0301A">
      <w:pPr>
        <w:pStyle w:val="BodyText"/>
        <w:rPr>
          <w:b/>
          <w:bCs/>
          <w:sz w:val="20"/>
          <w:szCs w:val="20"/>
        </w:rPr>
      </w:pPr>
      <w:r>
        <w:rPr>
          <w:b/>
          <w:bCs/>
          <w:sz w:val="20"/>
          <w:szCs w:val="20"/>
        </w:rPr>
        <w:t xml:space="preserve">Education (art. 24) </w:t>
      </w:r>
    </w:p>
    <w:p w14:paraId="0FC292D2" w14:textId="77777777" w:rsidR="002872D9" w:rsidRDefault="00E0301A">
      <w:pPr>
        <w:pStyle w:val="Heading2"/>
        <w:jc w:val="left"/>
      </w:pPr>
      <w:r>
        <w:t>30)</w:t>
      </w:r>
      <w:r>
        <w:tab/>
        <w:t>Please provide information on:</w:t>
      </w:r>
      <w:r>
        <w:br/>
        <w:t>(a) The assessment criteria for the admission of all learners with disabilities to inclusive mainstream education from pre-primary to tertiary education;</w:t>
      </w:r>
      <w:r>
        <w:br/>
        <w:t>(b) The available procedures and remedies in case of refusal by the authority to enrol learners with disabilities in mainstream settings.</w:t>
      </w:r>
    </w:p>
    <w:p w14:paraId="36874952" w14:textId="77777777" w:rsidR="002872D9" w:rsidRDefault="00E0301A">
      <w:pPr>
        <w:pStyle w:val="BodyText"/>
      </w:pPr>
      <w:r>
        <w:t>(a) The reply to the list of issues states that children are placed according to their needs. In other words, they are not necessarily included in their community</w:t>
      </w:r>
      <w:r w:rsidR="00A679CC">
        <w:t xml:space="preserve"> and in inclusive mainstream education</w:t>
      </w:r>
      <w:r>
        <w:t>.</w:t>
      </w:r>
    </w:p>
    <w:p w14:paraId="7F14B01E" w14:textId="77777777" w:rsidR="002872D9" w:rsidRDefault="00E0301A">
      <w:pPr>
        <w:pStyle w:val="BodyText"/>
      </w:pPr>
      <w:r>
        <w:t>(b) Since school inclusion teams are run by personnel from specialized education, parents are often advised to bring their children to special schools, which comes down to self-segregation.</w:t>
      </w:r>
    </w:p>
    <w:p w14:paraId="57B56D3A" w14:textId="77777777" w:rsidR="002872D9" w:rsidRDefault="00E0301A">
      <w:pPr>
        <w:pStyle w:val="Heading2"/>
      </w:pPr>
      <w:r>
        <w:t>31)</w:t>
      </w:r>
      <w:r>
        <w:tab/>
        <w:t>In accordance with general comment no 4 on the right to inclusive education, please provide disaggregated data on the number and percentage of children with disabilities who are in: (a) Inclusive mainstream education; (b) Integrated education;(c) Segregated education and (d) children with disabilities outside the education system</w:t>
      </w:r>
    </w:p>
    <w:p w14:paraId="662C2D80" w14:textId="77777777" w:rsidR="002872D9" w:rsidRDefault="00E0301A">
      <w:pPr>
        <w:pStyle w:val="BodyText"/>
      </w:pPr>
      <w:r>
        <w:t xml:space="preserve">On that specific subject, we can only refer to figures from the Ministry for Education: </w:t>
      </w:r>
      <w:hyperlink r:id="rId17" w:tgtFrame="_blank">
        <w:r>
          <w:rPr>
            <w:rStyle w:val="InternetLink"/>
          </w:rPr>
          <w:t xml:space="preserve">Rapport </w:t>
        </w:r>
        <w:proofErr w:type="spellStart"/>
        <w:r>
          <w:rPr>
            <w:rStyle w:val="InternetLink"/>
          </w:rPr>
          <w:t>d'activité</w:t>
        </w:r>
        <w:proofErr w:type="spellEnd"/>
        <w:r>
          <w:rPr>
            <w:rStyle w:val="InternetLink"/>
          </w:rPr>
          <w:t xml:space="preserve"> 2016 MENEJ</w:t>
        </w:r>
      </w:hyperlink>
      <w:r>
        <w:t xml:space="preserve"> .</w:t>
      </w:r>
    </w:p>
    <w:p w14:paraId="47DA62C3" w14:textId="77777777" w:rsidR="002872D9" w:rsidRDefault="00E0301A">
      <w:pPr>
        <w:pStyle w:val="Heading2"/>
      </w:pPr>
      <w:r>
        <w:t>32)</w:t>
      </w:r>
      <w:r>
        <w:tab/>
        <w:t>Please inform about the outcome of measures taken by the State party as per the National Action plan 2011-2016 in relation to inclusive education and on the budget allocations for providing reasonable accommodation to persons with disabilities, particularly for sign language(s).</w:t>
      </w:r>
    </w:p>
    <w:p w14:paraId="200BB5D3" w14:textId="77777777" w:rsidR="002872D9" w:rsidRDefault="00E0301A">
      <w:pPr>
        <w:pStyle w:val="BodyText"/>
      </w:pPr>
      <w:r>
        <w:t>There is a draft law being prepared. According to our opinion, this draft strengthens special needs education and it seems to provide more integration than inclusion. There was another draft law (n° 7104) that was voted in Parliament on May 31st. We strongly regret that the High Disability Council and other relevant organisations were not able to involve into these discussions earlier (see Web "</w:t>
      </w:r>
      <w:proofErr w:type="spellStart"/>
      <w:r w:rsidR="003D0B12">
        <w:fldChar w:fldCharType="begin"/>
      </w:r>
      <w:r w:rsidR="003D0B12">
        <w:instrText xml:space="preserve"> </w:instrText>
      </w:r>
      <w:r w:rsidR="003D0B12">
        <w:instrText xml:space="preserve">HYPERLINK "http://chd.lu/wps/portal/public/Accueil/TravailALaChambre/Recherche/RoleDesAffaires?action=doDocpaDetails&amp;id=7104" \t "_blank" \h </w:instrText>
      </w:r>
      <w:r w:rsidR="003D0B12">
        <w:fldChar w:fldCharType="separate"/>
      </w:r>
      <w:r>
        <w:rPr>
          <w:rStyle w:val="InternetLink"/>
        </w:rPr>
        <w:t>Rôle</w:t>
      </w:r>
      <w:proofErr w:type="spellEnd"/>
      <w:r>
        <w:rPr>
          <w:rStyle w:val="InternetLink"/>
        </w:rPr>
        <w:t xml:space="preserve"> des affaires</w:t>
      </w:r>
      <w:r w:rsidR="003D0B12">
        <w:rPr>
          <w:rStyle w:val="InternetLink"/>
        </w:rPr>
        <w:fldChar w:fldCharType="end"/>
      </w:r>
      <w:r>
        <w:t>").</w:t>
      </w:r>
    </w:p>
    <w:p w14:paraId="7C4B111A" w14:textId="77777777" w:rsidR="002872D9" w:rsidRDefault="00E0301A">
      <w:pPr>
        <w:pStyle w:val="Heading2"/>
      </w:pPr>
      <w:r>
        <w:rPr>
          <w:i w:val="0"/>
          <w:iCs w:val="0"/>
        </w:rPr>
        <w:t>33)</w:t>
      </w:r>
      <w:r>
        <w:rPr>
          <w:i w:val="0"/>
          <w:iCs w:val="0"/>
        </w:rPr>
        <w:tab/>
        <w:t xml:space="preserve">Please inform on measures the State party intend to implement article 24 in accordance with general comment no 4 on the right to inclusive education, in particular in relation to the training of support teachers to assist children with disabilities to fully realise the right to inclusive education. </w:t>
      </w:r>
    </w:p>
    <w:p w14:paraId="66DC0E26" w14:textId="77777777" w:rsidR="002872D9" w:rsidRDefault="00E0301A">
      <w:pPr>
        <w:pStyle w:val="BodyText"/>
      </w:pPr>
      <w:r>
        <w:t>In Primary School, the following measures will be implemented:</w:t>
      </w:r>
    </w:p>
    <w:p w14:paraId="2317C3D0" w14:textId="77777777" w:rsidR="002872D9" w:rsidRDefault="00E0301A">
      <w:pPr>
        <w:pStyle w:val="BodyText"/>
        <w:numPr>
          <w:ilvl w:val="0"/>
          <w:numId w:val="5"/>
        </w:numPr>
      </w:pPr>
      <w:r>
        <w:t>The 21 district inspections will become 15 regional head offices. The director shall be assisted by two to 4 vice-directors. One of these vice-directors shall be responsible for and chair the Inclusion Commission for Students with special needs. That commission shall assess the students’ needs in and out of school and shall provide the necessary resources.</w:t>
      </w:r>
    </w:p>
    <w:p w14:paraId="61BFCDA4" w14:textId="77777777" w:rsidR="002872D9" w:rsidRDefault="00E0301A">
      <w:pPr>
        <w:pStyle w:val="BodyText"/>
        <w:numPr>
          <w:ilvl w:val="0"/>
          <w:numId w:val="5"/>
        </w:numPr>
      </w:pPr>
      <w:r>
        <w:t>By 2019, 150 specialised teachers for students with Special Needs (IEBS) shall be recruited and work either in the newly created learning centres or assist students included in regular classes. In 2017-2018, 70 of these teachers shall start working and by 2020, every regular school shall have at least one such teacher.</w:t>
      </w:r>
    </w:p>
    <w:p w14:paraId="1640E692" w14:textId="77777777" w:rsidR="002872D9" w:rsidRDefault="00E0301A">
      <w:pPr>
        <w:pStyle w:val="BodyText"/>
        <w:rPr>
          <w:lang w:val="fr-BE"/>
        </w:rPr>
      </w:pPr>
      <w:r w:rsidRPr="007B4A14">
        <w:rPr>
          <w:lang w:val="fr-BE"/>
        </w:rPr>
        <w:t xml:space="preserve">Sources: </w:t>
      </w:r>
      <w:proofErr w:type="spellStart"/>
      <w:r w:rsidRPr="007B4A14">
        <w:rPr>
          <w:lang w:val="fr-BE"/>
        </w:rPr>
        <w:t>Luxemburger</w:t>
      </w:r>
      <w:proofErr w:type="spellEnd"/>
      <w:r w:rsidRPr="007B4A14">
        <w:rPr>
          <w:lang w:val="fr-BE"/>
        </w:rPr>
        <w:t xml:space="preserve"> </w:t>
      </w:r>
      <w:proofErr w:type="spellStart"/>
      <w:r w:rsidRPr="007B4A14">
        <w:rPr>
          <w:lang w:val="fr-BE"/>
        </w:rPr>
        <w:t>Wort</w:t>
      </w:r>
      <w:proofErr w:type="spellEnd"/>
      <w:r w:rsidRPr="007B4A14">
        <w:rPr>
          <w:lang w:val="fr-BE"/>
        </w:rPr>
        <w:t xml:space="preserve"> (</w:t>
      </w:r>
      <w:proofErr w:type="spellStart"/>
      <w:r w:rsidRPr="007B4A14">
        <w:rPr>
          <w:lang w:val="fr-BE"/>
        </w:rPr>
        <w:t>June</w:t>
      </w:r>
      <w:proofErr w:type="spellEnd"/>
      <w:r w:rsidRPr="007B4A14">
        <w:rPr>
          <w:lang w:val="fr-BE"/>
        </w:rPr>
        <w:t xml:space="preserve"> 1st, p. 2) and </w:t>
      </w:r>
      <w:proofErr w:type="spellStart"/>
      <w:r w:rsidRPr="007B4A14">
        <w:rPr>
          <w:lang w:val="fr-BE"/>
        </w:rPr>
        <w:t>press</w:t>
      </w:r>
      <w:proofErr w:type="spellEnd"/>
      <w:r w:rsidRPr="007B4A14">
        <w:rPr>
          <w:lang w:val="fr-BE"/>
        </w:rPr>
        <w:t xml:space="preserve"> dossier </w:t>
      </w:r>
      <w:proofErr w:type="spellStart"/>
      <w:r w:rsidRPr="007B4A14">
        <w:rPr>
          <w:lang w:val="fr-BE"/>
        </w:rPr>
        <w:t>from</w:t>
      </w:r>
      <w:proofErr w:type="spellEnd"/>
      <w:r w:rsidRPr="007B4A14">
        <w:rPr>
          <w:lang w:val="fr-BE"/>
        </w:rPr>
        <w:t xml:space="preserve"> the Education Ministry "Dossier de presse Une </w:t>
      </w:r>
      <w:proofErr w:type="spellStart"/>
      <w:r w:rsidRPr="007B4A14">
        <w:rPr>
          <w:lang w:val="fr-BE"/>
        </w:rPr>
        <w:t>école</w:t>
      </w:r>
      <w:proofErr w:type="spellEnd"/>
      <w:r w:rsidRPr="007B4A14">
        <w:rPr>
          <w:lang w:val="fr-BE"/>
        </w:rPr>
        <w:t xml:space="preserve"> pour tous La prise en charge des </w:t>
      </w:r>
      <w:proofErr w:type="spellStart"/>
      <w:r w:rsidRPr="007B4A14">
        <w:rPr>
          <w:lang w:val="fr-BE"/>
        </w:rPr>
        <w:t>élèves</w:t>
      </w:r>
      <w:proofErr w:type="spellEnd"/>
      <w:r w:rsidRPr="007B4A14">
        <w:rPr>
          <w:lang w:val="fr-BE"/>
        </w:rPr>
        <w:t xml:space="preserve"> à besoins particuliers ou </w:t>
      </w:r>
      <w:proofErr w:type="spellStart"/>
      <w:r w:rsidRPr="007B4A14">
        <w:rPr>
          <w:lang w:val="fr-BE"/>
        </w:rPr>
        <w:t>spécifiques</w:t>
      </w:r>
      <w:proofErr w:type="spellEnd"/>
      <w:r w:rsidRPr="007B4A14">
        <w:rPr>
          <w:lang w:val="fr-BE"/>
        </w:rPr>
        <w:t xml:space="preserve"> : un dispositif sur trois niveaux" (</w:t>
      </w:r>
      <w:hyperlink r:id="rId18" w:tgtFrame="_blank">
        <w:r w:rsidRPr="007B4A14">
          <w:rPr>
            <w:rStyle w:val="InternetLink"/>
            <w:lang w:val="fr-BE"/>
          </w:rPr>
          <w:t>Web</w:t>
        </w:r>
      </w:hyperlink>
      <w:r w:rsidRPr="007B4A14">
        <w:rPr>
          <w:lang w:val="fr-BE"/>
        </w:rPr>
        <w:t>).</w:t>
      </w:r>
    </w:p>
    <w:p w14:paraId="52DA2849" w14:textId="77777777" w:rsidR="00EF166C" w:rsidRDefault="00EF166C" w:rsidP="00EF166C">
      <w:pPr>
        <w:pStyle w:val="Default"/>
        <w:rPr>
          <w:sz w:val="18"/>
          <w:szCs w:val="18"/>
        </w:rPr>
      </w:pPr>
      <w:r>
        <w:rPr>
          <w:b/>
          <w:bCs/>
          <w:sz w:val="18"/>
          <w:szCs w:val="18"/>
        </w:rPr>
        <w:t xml:space="preserve">We recommend with regards to Article 24: </w:t>
      </w:r>
    </w:p>
    <w:p w14:paraId="164849AB" w14:textId="77777777" w:rsidR="00EF166C" w:rsidRDefault="00EF166C" w:rsidP="00EF166C">
      <w:pPr>
        <w:pStyle w:val="Default"/>
        <w:numPr>
          <w:ilvl w:val="0"/>
          <w:numId w:val="8"/>
        </w:numPr>
        <w:rPr>
          <w:sz w:val="18"/>
          <w:szCs w:val="18"/>
        </w:rPr>
      </w:pPr>
      <w:r>
        <w:rPr>
          <w:b/>
          <w:bCs/>
          <w:sz w:val="18"/>
          <w:szCs w:val="18"/>
        </w:rPr>
        <w:t xml:space="preserve">The adoption of all legal and other measures necessary to ensure the right to inclusive quality education to persons with disabilities, especially children with disabilities, in mainstream schools within their communities, and the allocation of adequate resources necessary for implementation of such measures, which should include: </w:t>
      </w:r>
    </w:p>
    <w:p w14:paraId="6E3EF418" w14:textId="77777777" w:rsidR="00EF166C" w:rsidRDefault="00EF166C" w:rsidP="00EF166C">
      <w:pPr>
        <w:pStyle w:val="Default"/>
        <w:numPr>
          <w:ilvl w:val="0"/>
          <w:numId w:val="8"/>
        </w:numPr>
        <w:rPr>
          <w:sz w:val="18"/>
          <w:szCs w:val="18"/>
        </w:rPr>
      </w:pPr>
      <w:r>
        <w:rPr>
          <w:b/>
          <w:bCs/>
          <w:sz w:val="18"/>
          <w:szCs w:val="18"/>
        </w:rPr>
        <w:t xml:space="preserve">Measures to ensure that parents of children with disabilities receive sufficient information on all education options, and that their choices as well as the preferences of their children are respected. </w:t>
      </w:r>
    </w:p>
    <w:p w14:paraId="002727CC" w14:textId="77777777" w:rsidR="00EF166C" w:rsidRDefault="00EF166C" w:rsidP="00EF166C">
      <w:pPr>
        <w:pStyle w:val="Default"/>
        <w:numPr>
          <w:ilvl w:val="0"/>
          <w:numId w:val="8"/>
        </w:numPr>
        <w:rPr>
          <w:sz w:val="18"/>
          <w:szCs w:val="18"/>
        </w:rPr>
      </w:pPr>
      <w:r w:rsidRPr="00EF166C">
        <w:rPr>
          <w:b/>
          <w:bCs/>
          <w:sz w:val="18"/>
          <w:szCs w:val="18"/>
        </w:rPr>
        <w:t xml:space="preserve"> Mandatory pre-and in-service training of teachers and other education personnel on inclusive education. </w:t>
      </w:r>
    </w:p>
    <w:p w14:paraId="792E5FF3" w14:textId="77777777" w:rsidR="00EF166C" w:rsidRDefault="00EF166C" w:rsidP="00EF166C">
      <w:pPr>
        <w:pStyle w:val="Default"/>
        <w:numPr>
          <w:ilvl w:val="0"/>
          <w:numId w:val="8"/>
        </w:numPr>
        <w:rPr>
          <w:sz w:val="18"/>
          <w:szCs w:val="18"/>
        </w:rPr>
      </w:pPr>
      <w:r w:rsidRPr="00EF166C">
        <w:rPr>
          <w:b/>
          <w:bCs/>
          <w:sz w:val="18"/>
          <w:szCs w:val="18"/>
        </w:rPr>
        <w:t xml:space="preserve">Integration of assisting staff (EMPs) into regular school teaching personnel. </w:t>
      </w:r>
    </w:p>
    <w:p w14:paraId="0323D8E1" w14:textId="77777777" w:rsidR="00EF166C" w:rsidRDefault="00EF166C" w:rsidP="00EF166C">
      <w:pPr>
        <w:pStyle w:val="Default"/>
        <w:numPr>
          <w:ilvl w:val="0"/>
          <w:numId w:val="8"/>
        </w:numPr>
        <w:rPr>
          <w:sz w:val="18"/>
          <w:szCs w:val="18"/>
        </w:rPr>
      </w:pPr>
      <w:r w:rsidRPr="00EF166C">
        <w:rPr>
          <w:b/>
          <w:bCs/>
          <w:sz w:val="18"/>
          <w:szCs w:val="18"/>
        </w:rPr>
        <w:t xml:space="preserve">Recognition and promotion of an Assistance in school life (AVS). </w:t>
      </w:r>
    </w:p>
    <w:p w14:paraId="1143EB4F" w14:textId="77777777" w:rsidR="00EF166C" w:rsidRPr="00EF166C" w:rsidRDefault="00EF166C" w:rsidP="00EF166C">
      <w:pPr>
        <w:pStyle w:val="Default"/>
        <w:numPr>
          <w:ilvl w:val="0"/>
          <w:numId w:val="8"/>
        </w:numPr>
        <w:rPr>
          <w:sz w:val="18"/>
          <w:szCs w:val="18"/>
        </w:rPr>
      </w:pPr>
      <w:r w:rsidRPr="00EF166C">
        <w:rPr>
          <w:b/>
          <w:bCs/>
          <w:sz w:val="18"/>
          <w:szCs w:val="18"/>
        </w:rPr>
        <w:t xml:space="preserve">A legally regulated procedure for reasonable accommodations in </w:t>
      </w:r>
      <w:r>
        <w:rPr>
          <w:b/>
          <w:bCs/>
          <w:sz w:val="18"/>
          <w:szCs w:val="18"/>
        </w:rPr>
        <w:t>primary and tertiary education.</w:t>
      </w:r>
    </w:p>
    <w:p w14:paraId="75A6F8AF" w14:textId="77777777" w:rsidR="00EF166C" w:rsidRPr="00EF166C" w:rsidRDefault="00EF166C" w:rsidP="00EF166C">
      <w:pPr>
        <w:pStyle w:val="Default"/>
        <w:numPr>
          <w:ilvl w:val="0"/>
          <w:numId w:val="8"/>
        </w:numPr>
        <w:rPr>
          <w:sz w:val="18"/>
          <w:szCs w:val="18"/>
        </w:rPr>
      </w:pPr>
      <w:r w:rsidRPr="00EF166C">
        <w:rPr>
          <w:b/>
          <w:bCs/>
          <w:sz w:val="18"/>
          <w:szCs w:val="18"/>
        </w:rPr>
        <w:t xml:space="preserve"> Measures for guaranteed accessibility of all education infrastructures. </w:t>
      </w:r>
    </w:p>
    <w:p w14:paraId="219F5141" w14:textId="77777777" w:rsidR="00EF166C" w:rsidRPr="00EF166C" w:rsidRDefault="00EF166C">
      <w:pPr>
        <w:pStyle w:val="BodyText"/>
        <w:rPr>
          <w:b/>
        </w:rPr>
      </w:pPr>
    </w:p>
    <w:p w14:paraId="77FCF1DE" w14:textId="77777777" w:rsidR="002872D9" w:rsidRDefault="00E0301A">
      <w:pPr>
        <w:pStyle w:val="BodyText"/>
        <w:rPr>
          <w:b/>
          <w:bCs/>
          <w:sz w:val="20"/>
          <w:szCs w:val="20"/>
        </w:rPr>
      </w:pPr>
      <w:r>
        <w:rPr>
          <w:b/>
          <w:bCs/>
          <w:sz w:val="20"/>
          <w:szCs w:val="20"/>
        </w:rPr>
        <w:t xml:space="preserve">Work and employment (art. 27) </w:t>
      </w:r>
    </w:p>
    <w:p w14:paraId="3DD7C7E3" w14:textId="77777777" w:rsidR="002872D9" w:rsidRDefault="00E0301A">
      <w:pPr>
        <w:pStyle w:val="Heading2"/>
        <w:jc w:val="left"/>
      </w:pPr>
      <w:r>
        <w:t>34)</w:t>
      </w:r>
      <w:r>
        <w:tab/>
        <w:t>Please provide information on:</w:t>
      </w:r>
      <w:r>
        <w:br/>
        <w:t>(a) Measures to monitor the implementation of the quota requirement for the employment of persons with disabilities in the private sector;</w:t>
      </w:r>
      <w:r>
        <w:br/>
        <w:t>(b) The number and percentage of persons with disabilities employed in the private and public sector,</w:t>
      </w:r>
      <w:r>
        <w:br/>
        <w:t>(c) The number of complaints made and available remedies for addressing discrimination at work in particular in relation to the non-provision of reasonable accommodation.</w:t>
      </w:r>
    </w:p>
    <w:p w14:paraId="1A1C1B38" w14:textId="77777777" w:rsidR="002872D9" w:rsidRDefault="00E0301A">
      <w:pPr>
        <w:pStyle w:val="BodyText"/>
      </w:pPr>
      <w:r>
        <w:t>(a) The Ministry for Labour (MTESS) does not intend to enforce the quota legislation and penalize private employers; it instead relies on good will and sensitisation campaigns.</w:t>
      </w:r>
    </w:p>
    <w:p w14:paraId="434CFF52" w14:textId="77777777" w:rsidR="002872D9" w:rsidRDefault="00E0301A">
      <w:pPr>
        <w:pStyle w:val="BodyText"/>
        <w:jc w:val="left"/>
      </w:pPr>
      <w:r>
        <w:t xml:space="preserve">(b) Here, we may refer to the following services: </w:t>
      </w:r>
      <w:r>
        <w:br/>
      </w:r>
      <w:r>
        <w:tab/>
        <w:t>(1) monthly statistics on jobseekers recognized with a disability (</w:t>
      </w:r>
      <w:hyperlink r:id="rId19" w:tgtFrame="_blank">
        <w:r>
          <w:rPr>
            <w:rStyle w:val="InternetLink"/>
          </w:rPr>
          <w:t>Source Web</w:t>
        </w:r>
      </w:hyperlink>
      <w:r>
        <w:t xml:space="preserve">) and </w:t>
      </w:r>
      <w:r>
        <w:br/>
      </w:r>
      <w:r>
        <w:tab/>
        <w:t>(2) the yearly report of the Ministry for Labour (MTEESS) P. 103-105. (</w:t>
      </w:r>
      <w:hyperlink r:id="rId20" w:tgtFrame="_blank">
        <w:r>
          <w:rPr>
            <w:rStyle w:val="InternetLink"/>
          </w:rPr>
          <w:t>Source Web</w:t>
        </w:r>
      </w:hyperlink>
      <w:r>
        <w:t>)</w:t>
      </w:r>
    </w:p>
    <w:p w14:paraId="7BEBCDAB" w14:textId="77777777" w:rsidR="002872D9" w:rsidRDefault="00E0301A">
      <w:pPr>
        <w:pStyle w:val="BodyText"/>
      </w:pPr>
      <w:r>
        <w:t>(c) In 2016, Info-Handicap has had 23 work-related complaints among which several were based on the refusal of reasonable accommodation.</w:t>
      </w:r>
    </w:p>
    <w:p w14:paraId="203E1401" w14:textId="77777777" w:rsidR="002872D9" w:rsidRDefault="00E0301A">
      <w:pPr>
        <w:pStyle w:val="Heading2"/>
      </w:pPr>
      <w:r>
        <w:t>35)</w:t>
      </w:r>
      <w:r>
        <w:tab/>
        <w:t>Please provide information on policy measures and incentives the State party intends to adopt to move persons with disabilities from sheltered workshops into the open labour market.</w:t>
      </w:r>
    </w:p>
    <w:p w14:paraId="08924003" w14:textId="77777777" w:rsidR="002872D9" w:rsidRDefault="00E0301A">
      <w:pPr>
        <w:pStyle w:val="BodyText"/>
      </w:pPr>
      <w:r>
        <w:t>There are no new measures we are aware of. The State even confirms our view and sees sheltered workshops as partners. However we refer to the recommendations on Article 27 in the shadow report, including the introduction of personal assistance. Besides, financial support to sheltered workshops should be reorganized so as to stimulate more transitioning to the open labour market.</w:t>
      </w:r>
    </w:p>
    <w:p w14:paraId="6DAE57CD" w14:textId="77777777" w:rsidR="002A40AC" w:rsidRDefault="002A40AC" w:rsidP="002A40AC">
      <w:pPr>
        <w:pStyle w:val="Default"/>
        <w:rPr>
          <w:b/>
          <w:bCs/>
          <w:sz w:val="18"/>
          <w:szCs w:val="18"/>
        </w:rPr>
      </w:pPr>
      <w:r>
        <w:rPr>
          <w:b/>
          <w:bCs/>
          <w:sz w:val="18"/>
          <w:szCs w:val="18"/>
        </w:rPr>
        <w:t>We recommend with regards to Article 27:</w:t>
      </w:r>
    </w:p>
    <w:p w14:paraId="546B53D3" w14:textId="77777777" w:rsidR="002A40AC" w:rsidRDefault="002A40AC" w:rsidP="002A40AC">
      <w:pPr>
        <w:pStyle w:val="Default"/>
        <w:rPr>
          <w:sz w:val="18"/>
          <w:szCs w:val="18"/>
        </w:rPr>
      </w:pPr>
      <w:r>
        <w:rPr>
          <w:b/>
          <w:bCs/>
          <w:sz w:val="18"/>
          <w:szCs w:val="18"/>
        </w:rPr>
        <w:t xml:space="preserve"> </w:t>
      </w:r>
    </w:p>
    <w:p w14:paraId="347BA556" w14:textId="77777777" w:rsidR="002A40AC" w:rsidRDefault="002A40AC" w:rsidP="002A40AC">
      <w:pPr>
        <w:pStyle w:val="Default"/>
        <w:spacing w:after="230"/>
        <w:rPr>
          <w:sz w:val="18"/>
          <w:szCs w:val="18"/>
        </w:rPr>
      </w:pPr>
      <w:r>
        <w:rPr>
          <w:b/>
          <w:bCs/>
          <w:sz w:val="18"/>
          <w:szCs w:val="18"/>
        </w:rPr>
        <w:t xml:space="preserve">1. Additional and more effective measures for transitioning from a partially segregated to an inclusive labour market. </w:t>
      </w:r>
    </w:p>
    <w:p w14:paraId="0682AC5D" w14:textId="77777777" w:rsidR="002A40AC" w:rsidRDefault="002A40AC" w:rsidP="002A40AC">
      <w:pPr>
        <w:pStyle w:val="Default"/>
        <w:spacing w:after="230"/>
        <w:rPr>
          <w:sz w:val="18"/>
          <w:szCs w:val="18"/>
        </w:rPr>
      </w:pPr>
      <w:r>
        <w:rPr>
          <w:b/>
          <w:bCs/>
          <w:sz w:val="18"/>
          <w:szCs w:val="18"/>
        </w:rPr>
        <w:t xml:space="preserve">2. Reducing the 40% reduction of work capacity threshold for State participation in salaries of “employees with disabilities” and considering standard temporary participation, not linked to specific percentages. </w:t>
      </w:r>
    </w:p>
    <w:p w14:paraId="5E1B1046" w14:textId="77777777" w:rsidR="002A40AC" w:rsidRDefault="002A40AC" w:rsidP="002A40AC">
      <w:pPr>
        <w:pStyle w:val="Default"/>
        <w:spacing w:after="230"/>
        <w:rPr>
          <w:sz w:val="18"/>
          <w:szCs w:val="18"/>
        </w:rPr>
      </w:pPr>
      <w:r>
        <w:rPr>
          <w:b/>
          <w:bCs/>
          <w:sz w:val="18"/>
          <w:szCs w:val="18"/>
        </w:rPr>
        <w:t xml:space="preserve">3. Equipping CET and DPOs with better legal instruments for the fight against discrimination in the area of employment. </w:t>
      </w:r>
    </w:p>
    <w:p w14:paraId="4F4C38E0" w14:textId="77777777" w:rsidR="002A40AC" w:rsidRDefault="002A40AC" w:rsidP="002A40AC">
      <w:pPr>
        <w:pStyle w:val="Default"/>
        <w:spacing w:after="230"/>
        <w:rPr>
          <w:sz w:val="18"/>
          <w:szCs w:val="18"/>
        </w:rPr>
      </w:pPr>
      <w:r>
        <w:rPr>
          <w:b/>
          <w:bCs/>
          <w:sz w:val="18"/>
          <w:szCs w:val="18"/>
        </w:rPr>
        <w:t xml:space="preserve">4. More measures for transitions to and inclusion in the regular labour market. </w:t>
      </w:r>
    </w:p>
    <w:p w14:paraId="3A2ED559" w14:textId="77777777" w:rsidR="002A40AC" w:rsidRDefault="002A40AC" w:rsidP="002A40AC">
      <w:pPr>
        <w:pStyle w:val="Default"/>
        <w:rPr>
          <w:b/>
          <w:bCs/>
          <w:sz w:val="18"/>
          <w:szCs w:val="18"/>
        </w:rPr>
      </w:pPr>
      <w:r>
        <w:rPr>
          <w:b/>
          <w:bCs/>
          <w:sz w:val="18"/>
          <w:szCs w:val="18"/>
        </w:rPr>
        <w:t xml:space="preserve">5. More awareness-raising campaigns and measures targeting employers. </w:t>
      </w:r>
    </w:p>
    <w:p w14:paraId="31BB875B" w14:textId="77777777" w:rsidR="002A40AC" w:rsidRDefault="002A40AC" w:rsidP="002A40AC">
      <w:pPr>
        <w:pStyle w:val="Default"/>
      </w:pPr>
    </w:p>
    <w:p w14:paraId="0244879A" w14:textId="77777777" w:rsidR="002A40AC" w:rsidRDefault="002A40AC" w:rsidP="002A40AC">
      <w:pPr>
        <w:pStyle w:val="Default"/>
        <w:spacing w:after="230"/>
        <w:rPr>
          <w:sz w:val="18"/>
          <w:szCs w:val="18"/>
        </w:rPr>
      </w:pPr>
      <w:r>
        <w:rPr>
          <w:b/>
          <w:bCs/>
          <w:sz w:val="18"/>
          <w:szCs w:val="18"/>
        </w:rPr>
        <w:t xml:space="preserve">6. Officially recognizing and promoting the profession “job coach”. </w:t>
      </w:r>
    </w:p>
    <w:p w14:paraId="1A12D4BF" w14:textId="77777777" w:rsidR="002A40AC" w:rsidRDefault="002A40AC" w:rsidP="002A40AC">
      <w:pPr>
        <w:pStyle w:val="Default"/>
        <w:spacing w:after="230"/>
        <w:rPr>
          <w:sz w:val="18"/>
          <w:szCs w:val="18"/>
        </w:rPr>
      </w:pPr>
      <w:r>
        <w:rPr>
          <w:b/>
          <w:bCs/>
          <w:sz w:val="18"/>
          <w:szCs w:val="18"/>
        </w:rPr>
        <w:t xml:space="preserve">7. Measures to generate more professional training and retraining opportunities for persons with disabilities. </w:t>
      </w:r>
    </w:p>
    <w:p w14:paraId="5F7866E6" w14:textId="77777777" w:rsidR="002A40AC" w:rsidRDefault="002A40AC" w:rsidP="002A40AC">
      <w:pPr>
        <w:pStyle w:val="Default"/>
        <w:rPr>
          <w:sz w:val="18"/>
          <w:szCs w:val="18"/>
        </w:rPr>
      </w:pPr>
      <w:r>
        <w:rPr>
          <w:b/>
          <w:bCs/>
          <w:sz w:val="18"/>
          <w:szCs w:val="18"/>
        </w:rPr>
        <w:t xml:space="preserve">8. An independent monitoring structure for “sheltered workshops”, to prevent illegal practices and assure that integration into the regular labour market truly becomes a priority. </w:t>
      </w:r>
    </w:p>
    <w:p w14:paraId="29106949" w14:textId="77777777" w:rsidR="002A40AC" w:rsidRDefault="002A40AC" w:rsidP="002A40AC">
      <w:pPr>
        <w:pStyle w:val="Default"/>
        <w:rPr>
          <w:sz w:val="18"/>
          <w:szCs w:val="18"/>
        </w:rPr>
      </w:pPr>
    </w:p>
    <w:p w14:paraId="75A3E64A" w14:textId="77777777" w:rsidR="002A40AC" w:rsidRDefault="002A40AC">
      <w:pPr>
        <w:pStyle w:val="BodyText"/>
      </w:pPr>
    </w:p>
    <w:p w14:paraId="2BC69DBE" w14:textId="77777777" w:rsidR="002872D9" w:rsidRDefault="00E0301A">
      <w:pPr>
        <w:pStyle w:val="BodyText"/>
        <w:rPr>
          <w:b/>
          <w:bCs/>
          <w:sz w:val="20"/>
          <w:szCs w:val="20"/>
        </w:rPr>
      </w:pPr>
      <w:r>
        <w:rPr>
          <w:b/>
          <w:bCs/>
          <w:sz w:val="20"/>
          <w:szCs w:val="20"/>
        </w:rPr>
        <w:t xml:space="preserve">Participation in political and public life (art. 29) </w:t>
      </w:r>
    </w:p>
    <w:p w14:paraId="7D9E5B69" w14:textId="77777777" w:rsidR="002872D9" w:rsidRDefault="00E0301A">
      <w:pPr>
        <w:pStyle w:val="Heading2"/>
      </w:pPr>
      <w:r>
        <w:t>36)</w:t>
      </w:r>
      <w:r>
        <w:tab/>
        <w:t xml:space="preserve">Please inform on the status - including the timeline - for the adoption of the bill that proposes amendments to the Constitution, which will ensure that persons under Guardianship are not automatically deprived of the right to vote. </w:t>
      </w:r>
    </w:p>
    <w:p w14:paraId="3F25BFBC" w14:textId="77777777" w:rsidR="009C0E8F" w:rsidRDefault="00666BDE">
      <w:pPr>
        <w:pStyle w:val="BodyText"/>
      </w:pPr>
      <w:r>
        <w:t xml:space="preserve">As mentioned in the alternative report, at the beginning of 2014, the State Report promised speedy introduction of the </w:t>
      </w:r>
    </w:p>
    <w:p w14:paraId="26395B0D" w14:textId="306AC496" w:rsidR="009C0E8F" w:rsidRDefault="00666BDE">
      <w:pPr>
        <w:pStyle w:val="BodyText"/>
      </w:pPr>
      <w:r>
        <w:t>“</w:t>
      </w:r>
      <w:r>
        <w:rPr>
          <w:b/>
          <w:bCs/>
        </w:rPr>
        <w:t>Right to Vote for All</w:t>
      </w:r>
      <w:r>
        <w:t>”. At the drafting of these responses, there is no progress that we are aware of</w:t>
      </w:r>
      <w:proofErr w:type="gramStart"/>
      <w:r>
        <w:t>.</w:t>
      </w:r>
      <w:r w:rsidR="00E0301A">
        <w:t>.</w:t>
      </w:r>
      <w:proofErr w:type="gramEnd"/>
      <w:r w:rsidR="00E0301A">
        <w:t xml:space="preserve"> </w:t>
      </w:r>
    </w:p>
    <w:p w14:paraId="0166CDB4" w14:textId="77777777" w:rsidR="00A17403" w:rsidRDefault="00A17403" w:rsidP="00A17403">
      <w:pPr>
        <w:pStyle w:val="Default"/>
        <w:rPr>
          <w:sz w:val="18"/>
          <w:szCs w:val="18"/>
        </w:rPr>
      </w:pPr>
      <w:r>
        <w:rPr>
          <w:b/>
          <w:bCs/>
          <w:sz w:val="18"/>
          <w:szCs w:val="18"/>
        </w:rPr>
        <w:t xml:space="preserve">We recommend: </w:t>
      </w:r>
    </w:p>
    <w:p w14:paraId="5FEE2CE8" w14:textId="77777777" w:rsidR="00A17403" w:rsidRDefault="00A17403" w:rsidP="00A17403">
      <w:pPr>
        <w:pStyle w:val="Default"/>
        <w:rPr>
          <w:sz w:val="18"/>
          <w:szCs w:val="18"/>
        </w:rPr>
      </w:pPr>
      <w:r>
        <w:rPr>
          <w:b/>
          <w:bCs/>
          <w:sz w:val="18"/>
          <w:szCs w:val="18"/>
        </w:rPr>
        <w:t xml:space="preserve">1. Making the “Right to Vote for All” promise a reality, starting with reforming guardianship legislation. </w:t>
      </w:r>
    </w:p>
    <w:p w14:paraId="4F3DBB2A" w14:textId="453D1597" w:rsidR="002872D9" w:rsidRDefault="00A17403">
      <w:pPr>
        <w:pStyle w:val="BodyText"/>
      </w:pPr>
      <w:r>
        <w:t>2. that the amendment of the</w:t>
      </w:r>
      <w:r w:rsidR="00E0301A">
        <w:t xml:space="preserve"> electoral legislations so as to include accessibility provisions for polling stations and assistance to persons with disabilities.</w:t>
      </w:r>
    </w:p>
    <w:p w14:paraId="0E421B5E" w14:textId="77777777" w:rsidR="002872D9" w:rsidRDefault="00E0301A">
      <w:pPr>
        <w:pStyle w:val="Heading2"/>
      </w:pPr>
      <w:r>
        <w:t>37)</w:t>
      </w:r>
      <w:r>
        <w:tab/>
        <w:t>Please provide information on measures to implement: (a) The effective representation of persons with disabilities at all ranks of political institutions; (b) The right to vote of persons with disabilities including the provision of personal assistants to all types of persons with disabilities, including those under guardianship.</w:t>
      </w:r>
    </w:p>
    <w:p w14:paraId="1920A836" w14:textId="77777777" w:rsidR="002872D9" w:rsidRDefault="00E0301A">
      <w:pPr>
        <w:pStyle w:val="BodyText"/>
      </w:pPr>
      <w:r>
        <w:t>This year, Info-Handicap will once again inform local authorities on the needs of persons with disability, ahead of the upcoming municipal elections. This time, the brochure will also include a chapter on easy-to-read language, elaborated in collaboration with the KLARO competence centre run by the DPO APEMH.</w:t>
      </w:r>
    </w:p>
    <w:p w14:paraId="14E1E8E6" w14:textId="77777777" w:rsidR="00A77D39" w:rsidRDefault="00A77D39">
      <w:pPr>
        <w:pStyle w:val="BodyText"/>
      </w:pPr>
    </w:p>
    <w:p w14:paraId="39B08BC2" w14:textId="77777777" w:rsidR="002872D9" w:rsidRDefault="00E0301A">
      <w:pPr>
        <w:pStyle w:val="BodyText"/>
        <w:rPr>
          <w:b/>
          <w:bCs/>
          <w:sz w:val="20"/>
          <w:szCs w:val="20"/>
        </w:rPr>
      </w:pPr>
      <w:r>
        <w:rPr>
          <w:b/>
          <w:bCs/>
          <w:sz w:val="20"/>
          <w:szCs w:val="20"/>
        </w:rPr>
        <w:t>Participation in cultural life, recreation, leisure and sport (art. 30)</w:t>
      </w:r>
    </w:p>
    <w:p w14:paraId="44EE60E7" w14:textId="77777777" w:rsidR="002872D9" w:rsidRDefault="00E0301A">
      <w:pPr>
        <w:pStyle w:val="Heading2"/>
      </w:pPr>
      <w:r>
        <w:t>38)</w:t>
      </w:r>
      <w:r>
        <w:tab/>
        <w:t>Please provide information on measures adopted to improve accessibility of persons with disabilities to sports, recreational and cultural facilities and services.</w:t>
      </w:r>
    </w:p>
    <w:p w14:paraId="08084614" w14:textId="77777777" w:rsidR="002872D9" w:rsidRDefault="00E0301A">
      <w:pPr>
        <w:pStyle w:val="BodyText"/>
      </w:pPr>
      <w:r>
        <w:t>As confirmed in the State’s reply, public funds mainly support specialized services, while inclusive organisations such as ZAK ("Active Together") are left out. This is confirmed by the fact that there is no mention of accessibility requirements for audio-visual content, etc.</w:t>
      </w:r>
    </w:p>
    <w:p w14:paraId="40751DAB" w14:textId="77777777" w:rsidR="00A77D39" w:rsidRDefault="00A77D39" w:rsidP="00A77D39">
      <w:pPr>
        <w:pStyle w:val="Default"/>
        <w:rPr>
          <w:sz w:val="18"/>
          <w:szCs w:val="18"/>
        </w:rPr>
      </w:pPr>
      <w:r>
        <w:rPr>
          <w:b/>
          <w:bCs/>
          <w:sz w:val="18"/>
          <w:szCs w:val="18"/>
        </w:rPr>
        <w:t xml:space="preserve">We recommend: </w:t>
      </w:r>
    </w:p>
    <w:p w14:paraId="68000FFF" w14:textId="77777777" w:rsidR="00A77D39" w:rsidRPr="00A77D39" w:rsidRDefault="00A77D39" w:rsidP="00A77D39">
      <w:pPr>
        <w:pStyle w:val="Default"/>
        <w:rPr>
          <w:sz w:val="18"/>
          <w:szCs w:val="18"/>
        </w:rPr>
      </w:pPr>
      <w:r>
        <w:rPr>
          <w:b/>
          <w:bCs/>
          <w:sz w:val="18"/>
          <w:szCs w:val="18"/>
        </w:rPr>
        <w:t xml:space="preserve">1. Increased financial support for all initiatives or associations providing sports or leisure activities; </w:t>
      </w:r>
    </w:p>
    <w:p w14:paraId="65729289" w14:textId="77777777" w:rsidR="00A77D39" w:rsidRDefault="00A77D39" w:rsidP="00A77D39">
      <w:pPr>
        <w:pStyle w:val="Default"/>
        <w:rPr>
          <w:b/>
          <w:bCs/>
          <w:color w:val="auto"/>
          <w:sz w:val="18"/>
          <w:szCs w:val="18"/>
        </w:rPr>
      </w:pPr>
      <w:r>
        <w:rPr>
          <w:b/>
          <w:bCs/>
          <w:color w:val="auto"/>
          <w:sz w:val="18"/>
          <w:szCs w:val="18"/>
        </w:rPr>
        <w:t xml:space="preserve">- for persons with and without disabilities. </w:t>
      </w:r>
    </w:p>
    <w:p w14:paraId="776C76FF" w14:textId="77777777" w:rsidR="00A77D39" w:rsidRDefault="00A77D39" w:rsidP="00A77D39">
      <w:pPr>
        <w:pStyle w:val="Default"/>
        <w:rPr>
          <w:color w:val="auto"/>
          <w:sz w:val="18"/>
          <w:szCs w:val="18"/>
        </w:rPr>
      </w:pPr>
      <w:r>
        <w:rPr>
          <w:b/>
          <w:bCs/>
          <w:color w:val="auto"/>
          <w:sz w:val="18"/>
          <w:szCs w:val="18"/>
        </w:rPr>
        <w:t xml:space="preserve">- especially for people with disabilities. </w:t>
      </w:r>
    </w:p>
    <w:p w14:paraId="171DFDB0" w14:textId="77777777" w:rsidR="00A77D39" w:rsidRDefault="00A77D39" w:rsidP="00A77D39">
      <w:pPr>
        <w:pStyle w:val="Default"/>
        <w:rPr>
          <w:color w:val="auto"/>
          <w:sz w:val="18"/>
          <w:szCs w:val="18"/>
        </w:rPr>
      </w:pPr>
      <w:r>
        <w:rPr>
          <w:b/>
          <w:bCs/>
          <w:color w:val="auto"/>
          <w:sz w:val="18"/>
          <w:szCs w:val="18"/>
        </w:rPr>
        <w:t xml:space="preserve">2. Measures for improved accessibility of sports, recreational and cultural facilities and services. </w:t>
      </w:r>
    </w:p>
    <w:p w14:paraId="749A15E3" w14:textId="77777777" w:rsidR="00A77D39" w:rsidRDefault="00A77D39">
      <w:pPr>
        <w:pStyle w:val="BodyText"/>
      </w:pPr>
    </w:p>
    <w:p w14:paraId="56469435" w14:textId="77777777" w:rsidR="002872D9" w:rsidRDefault="00E0301A">
      <w:pPr>
        <w:pStyle w:val="Heading1"/>
      </w:pPr>
      <w:r>
        <w:t xml:space="preserve">Specific obligations </w:t>
      </w:r>
    </w:p>
    <w:p w14:paraId="6CB0A113" w14:textId="77777777" w:rsidR="002872D9" w:rsidRDefault="00E0301A">
      <w:pPr>
        <w:pStyle w:val="BodyText"/>
        <w:rPr>
          <w:b/>
          <w:bCs/>
          <w:sz w:val="20"/>
          <w:szCs w:val="20"/>
        </w:rPr>
      </w:pPr>
      <w:r>
        <w:rPr>
          <w:b/>
          <w:bCs/>
          <w:sz w:val="20"/>
          <w:szCs w:val="20"/>
        </w:rPr>
        <w:t>Statistic and data collection (art. 31)</w:t>
      </w:r>
    </w:p>
    <w:p w14:paraId="4F203E5A" w14:textId="77777777" w:rsidR="002872D9" w:rsidRDefault="00E0301A">
      <w:pPr>
        <w:pStyle w:val="Heading2"/>
      </w:pPr>
      <w:r>
        <w:rPr>
          <w:i w:val="0"/>
          <w:iCs w:val="0"/>
        </w:rPr>
        <w:t>39)</w:t>
      </w:r>
      <w:r>
        <w:rPr>
          <w:i w:val="0"/>
          <w:iCs w:val="0"/>
        </w:rPr>
        <w:tab/>
        <w:t>Please provide data disaggregated by age, gender and types of disability in the State party. Please also explain whether the State party has been collecting disability specific data systematically and in line with international human rights standards.</w:t>
      </w:r>
    </w:p>
    <w:p w14:paraId="2304E4A1" w14:textId="537212DA" w:rsidR="002872D9" w:rsidRDefault="00E0301A">
      <w:pPr>
        <w:pStyle w:val="BodyText"/>
      </w:pPr>
      <w:r>
        <w:t xml:space="preserve">As declared in the State reply as well as the shadow report, there is no holistic data on persons with disabilities and their needs; each service has its own accounts. </w:t>
      </w:r>
    </w:p>
    <w:p w14:paraId="0DC3B77A" w14:textId="77777777" w:rsidR="006224CA" w:rsidRDefault="006224CA" w:rsidP="006224CA">
      <w:pPr>
        <w:pStyle w:val="Default"/>
        <w:rPr>
          <w:sz w:val="18"/>
          <w:szCs w:val="18"/>
        </w:rPr>
      </w:pPr>
      <w:r>
        <w:rPr>
          <w:b/>
          <w:bCs/>
          <w:sz w:val="18"/>
          <w:szCs w:val="18"/>
        </w:rPr>
        <w:t xml:space="preserve">We recommend: </w:t>
      </w:r>
    </w:p>
    <w:p w14:paraId="286285A2" w14:textId="77777777" w:rsidR="006224CA" w:rsidRDefault="006224CA" w:rsidP="006224CA">
      <w:pPr>
        <w:pStyle w:val="Default"/>
        <w:rPr>
          <w:sz w:val="18"/>
          <w:szCs w:val="18"/>
        </w:rPr>
      </w:pPr>
      <w:r>
        <w:rPr>
          <w:b/>
          <w:bCs/>
          <w:sz w:val="18"/>
          <w:szCs w:val="18"/>
        </w:rPr>
        <w:t xml:space="preserve">1. Appropriate measures for the collection of data and the establishment of statistics on disability in Luxembourg, including factors such as gender, age, origin and type of disability. </w:t>
      </w:r>
    </w:p>
    <w:p w14:paraId="66AD682C" w14:textId="77777777" w:rsidR="00A77D39" w:rsidRDefault="00A77D39">
      <w:pPr>
        <w:pStyle w:val="BodyText"/>
      </w:pPr>
    </w:p>
    <w:p w14:paraId="25825566" w14:textId="77777777" w:rsidR="002872D9" w:rsidRDefault="00E0301A">
      <w:pPr>
        <w:pStyle w:val="BodyText"/>
        <w:rPr>
          <w:b/>
          <w:bCs/>
          <w:sz w:val="20"/>
          <w:szCs w:val="20"/>
        </w:rPr>
      </w:pPr>
      <w:r>
        <w:rPr>
          <w:b/>
          <w:bCs/>
          <w:sz w:val="20"/>
          <w:szCs w:val="20"/>
        </w:rPr>
        <w:t>International co-operation (art. 32)</w:t>
      </w:r>
    </w:p>
    <w:p w14:paraId="1412F5BC" w14:textId="77777777" w:rsidR="002872D9" w:rsidRDefault="00E0301A">
      <w:pPr>
        <w:pStyle w:val="Heading2"/>
      </w:pPr>
      <w:r>
        <w:rPr>
          <w:i w:val="0"/>
          <w:iCs w:val="0"/>
        </w:rPr>
        <w:t>40)</w:t>
      </w:r>
      <w:r>
        <w:rPr>
          <w:i w:val="0"/>
          <w:iCs w:val="0"/>
        </w:rPr>
        <w:tab/>
        <w:t>Please inform on whether there are established criteria and/or guidelines for the funding of activities of overseas organisations with disabilities and whether persons with disabilities or their representative organizations are consulted in these processes.</w:t>
      </w:r>
    </w:p>
    <w:p w14:paraId="3669F24F" w14:textId="77777777" w:rsidR="002872D9" w:rsidRDefault="00E0301A">
      <w:pPr>
        <w:pStyle w:val="BodyText"/>
      </w:pPr>
      <w:r>
        <w:t>We do not have any information about this topic.</w:t>
      </w:r>
    </w:p>
    <w:p w14:paraId="19817F58" w14:textId="77777777" w:rsidR="002872D9" w:rsidRDefault="00E0301A">
      <w:pPr>
        <w:pStyle w:val="BodyText"/>
        <w:rPr>
          <w:b/>
          <w:bCs/>
          <w:sz w:val="20"/>
          <w:szCs w:val="20"/>
        </w:rPr>
      </w:pPr>
      <w:r>
        <w:rPr>
          <w:b/>
          <w:bCs/>
          <w:sz w:val="20"/>
          <w:szCs w:val="20"/>
        </w:rPr>
        <w:t>National implementation and monitoring (art. 33)</w:t>
      </w:r>
    </w:p>
    <w:p w14:paraId="17FF00C1" w14:textId="77777777" w:rsidR="002872D9" w:rsidRDefault="00E0301A">
      <w:pPr>
        <w:pStyle w:val="Heading2"/>
      </w:pPr>
      <w:r>
        <w:rPr>
          <w:i w:val="0"/>
          <w:iCs w:val="0"/>
        </w:rPr>
        <w:t>41)</w:t>
      </w:r>
      <w:r>
        <w:rPr>
          <w:i w:val="0"/>
          <w:iCs w:val="0"/>
        </w:rPr>
        <w:tab/>
        <w:t xml:space="preserve">Please provide information on measures to: (a) Strengthen the process of disability representation in the monitoring framework, namely Commission consultative des Droits de </w:t>
      </w:r>
      <w:proofErr w:type="spellStart"/>
      <w:r>
        <w:rPr>
          <w:i w:val="0"/>
          <w:iCs w:val="0"/>
        </w:rPr>
        <w:t>l’Homme</w:t>
      </w:r>
      <w:proofErr w:type="spellEnd"/>
      <w:r>
        <w:rPr>
          <w:i w:val="0"/>
          <w:iCs w:val="0"/>
        </w:rPr>
        <w:t xml:space="preserve"> (CCDH) and the Centre pour </w:t>
      </w:r>
      <w:proofErr w:type="spellStart"/>
      <w:r>
        <w:rPr>
          <w:i w:val="0"/>
          <w:iCs w:val="0"/>
        </w:rPr>
        <w:t>l’Egalité</w:t>
      </w:r>
      <w:proofErr w:type="spellEnd"/>
      <w:r>
        <w:rPr>
          <w:i w:val="0"/>
          <w:iCs w:val="0"/>
        </w:rPr>
        <w:t xml:space="preserve"> de </w:t>
      </w:r>
      <w:proofErr w:type="spellStart"/>
      <w:r>
        <w:rPr>
          <w:i w:val="0"/>
          <w:iCs w:val="0"/>
        </w:rPr>
        <w:t>Traitement</w:t>
      </w:r>
      <w:proofErr w:type="spellEnd"/>
      <w:r>
        <w:rPr>
          <w:i w:val="0"/>
          <w:iCs w:val="0"/>
        </w:rPr>
        <w:t xml:space="preserve"> (CET); (b) ensure the effectiveness and independence of these mechanisms; and (c) ensure stable budgetary allocations to the monitoring framework.</w:t>
      </w:r>
    </w:p>
    <w:p w14:paraId="2CCC9EEB" w14:textId="77777777" w:rsidR="002872D9" w:rsidRDefault="00E0301A">
      <w:pPr>
        <w:pStyle w:val="BodyText"/>
      </w:pPr>
      <w:r>
        <w:t>The fact that one person with disability has become Ombudsman and two members of the Centre for Equal Treatment have a disability is not a sign for sustainable strength on a political level and efficient implementation, but rather a sign of the disability community’s will and determination to endorse positive change. As stated under questions 3 and 4, participation of persons with disabilities should indeed be improved. As for the Empowerment Meetings quoted, that is all the CET, the CCDH, and Info-Handicap can do, since they have been allocated no further resources when the CRPD was ratified. Following these meetings, a list of recommendations formulated by persons with disabilities had been sent to 18 authorities among which only 3 responded constructively.</w:t>
      </w:r>
    </w:p>
    <w:p w14:paraId="40F956B1" w14:textId="77777777" w:rsidR="002872D9" w:rsidRDefault="00E0301A">
      <w:pPr>
        <w:pStyle w:val="BodyText"/>
      </w:pPr>
      <w:r>
        <w:t>We therefore refer to our recommendations made in the shadow report, including:</w:t>
      </w:r>
    </w:p>
    <w:p w14:paraId="387F9C6B" w14:textId="77777777" w:rsidR="002872D9" w:rsidRDefault="00E0301A">
      <w:pPr>
        <w:pStyle w:val="BodyText"/>
        <w:numPr>
          <w:ilvl w:val="0"/>
          <w:numId w:val="6"/>
        </w:numPr>
      </w:pPr>
      <w:r>
        <w:t>the introduction of a Secretary for Inclusion;</w:t>
      </w:r>
    </w:p>
    <w:p w14:paraId="12A07FBA" w14:textId="77777777" w:rsidR="002872D9" w:rsidRDefault="00E0301A">
      <w:pPr>
        <w:pStyle w:val="BodyText"/>
        <w:numPr>
          <w:ilvl w:val="0"/>
          <w:numId w:val="6"/>
        </w:numPr>
      </w:pPr>
      <w:r>
        <w:t>Strengthening of legal and financial resources of the CET and CCDH and all services combatting discrimination of persons with disabilities.</w:t>
      </w:r>
    </w:p>
    <w:p w14:paraId="3250C7A8" w14:textId="77777777" w:rsidR="002872D9" w:rsidRDefault="00E0301A">
      <w:pPr>
        <w:pStyle w:val="BodyText"/>
        <w:numPr>
          <w:ilvl w:val="0"/>
          <w:numId w:val="6"/>
        </w:numPr>
      </w:pPr>
      <w:r>
        <w:t>Making the consultation of CET and CSPH mandatory in the legislative process.</w:t>
      </w:r>
    </w:p>
    <w:p w14:paraId="60083DA3" w14:textId="77777777" w:rsidR="002872D9" w:rsidRDefault="00E0301A">
      <w:pPr>
        <w:pStyle w:val="BodyText"/>
      </w:pPr>
      <w:r>
        <w:t>(c) In February 2017 the CCDH was strengthened by an additional person. The contract of this additional person is limited to one year. The situation regarding the CET has not been improved. As the shadow report describes: "The budget of the CET was even reduced by more than half shortly after Luxembourg signed the CRPD, and has since then not significantly increased."</w:t>
      </w:r>
    </w:p>
    <w:sectPr w:rsidR="002872D9">
      <w:headerReference w:type="default" r:id="rId21"/>
      <w:footerReference w:type="default" r:id="rId22"/>
      <w:headerReference w:type="first" r:id="rId23"/>
      <w:pgSz w:w="11906" w:h="16838"/>
      <w:pgMar w:top="1715" w:right="1134" w:bottom="1715" w:left="1134" w:header="1134" w:footer="1134" w:gutter="0"/>
      <w:cols w:space="720"/>
      <w:formProt w:val="0"/>
      <w:titlePg/>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7318C9A" w16cid:durableId="1D07236F"/>
  <w16cid:commentId w16cid:paraId="02EBC97D" w16cid:durableId="1D072370"/>
  <w16cid:commentId w16cid:paraId="2A9D7636" w16cid:durableId="1D072371"/>
  <w16cid:commentId w16cid:paraId="75CCB921" w16cid:durableId="1D072372"/>
  <w16cid:commentId w16cid:paraId="49E70AB8" w16cid:durableId="1D072373"/>
  <w16cid:commentId w16cid:paraId="3F9305B1" w16cid:durableId="1D072374"/>
  <w16cid:commentId w16cid:paraId="064E30C5" w16cid:durableId="1D072375"/>
  <w16cid:commentId w16cid:paraId="00B1A467" w16cid:durableId="1D07237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C54794E" w14:textId="77777777" w:rsidR="004E2219" w:rsidRDefault="004E2219">
      <w:pPr>
        <w:spacing w:before="0" w:after="0" w:line="240" w:lineRule="auto"/>
      </w:pPr>
      <w:r>
        <w:separator/>
      </w:r>
    </w:p>
  </w:endnote>
  <w:endnote w:type="continuationSeparator" w:id="0">
    <w:p w14:paraId="5DF02754" w14:textId="77777777" w:rsidR="004E2219" w:rsidRDefault="004E221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0"/>
    <w:family w:val="auto"/>
    <w:pitch w:val="variable"/>
    <w:sig w:usb0="800000AF" w:usb1="1001ECE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6C3618" w14:textId="431EF1D7" w:rsidR="00F24C64" w:rsidRDefault="00F24C64">
    <w:pPr>
      <w:pStyle w:val="Footer"/>
      <w:pBdr>
        <w:top w:val="single" w:sz="2" w:space="1" w:color="000000"/>
      </w:pBdr>
      <w:rPr>
        <w:szCs w:val="16"/>
      </w:rPr>
    </w:pPr>
    <w:r>
      <w:rPr>
        <w:szCs w:val="16"/>
      </w:rPr>
      <w:t xml:space="preserve">magic moving pixel </w:t>
    </w:r>
    <w:proofErr w:type="spellStart"/>
    <w:r>
      <w:rPr>
        <w:szCs w:val="16"/>
      </w:rPr>
      <w:t>s.a.</w:t>
    </w:r>
    <w:proofErr w:type="spellEnd"/>
    <w:r>
      <w:rPr>
        <w:szCs w:val="16"/>
      </w:rPr>
      <w:tab/>
      <w:t>23.06.2017</w:t>
    </w:r>
    <w:r>
      <w:rPr>
        <w:szCs w:val="16"/>
      </w:rPr>
      <w:tab/>
      <w:t xml:space="preserve">Page </w:t>
    </w:r>
    <w:r>
      <w:rPr>
        <w:szCs w:val="16"/>
      </w:rPr>
      <w:fldChar w:fldCharType="begin"/>
    </w:r>
    <w:r>
      <w:instrText>PAGE</w:instrText>
    </w:r>
    <w:r>
      <w:fldChar w:fldCharType="separate"/>
    </w:r>
    <w:r w:rsidR="003D0B12">
      <w:rPr>
        <w:noProof/>
      </w:rPr>
      <w:t>18</w:t>
    </w:r>
    <w:r>
      <w:fldChar w:fldCharType="end"/>
    </w:r>
    <w:r>
      <w:rPr>
        <w:szCs w:val="16"/>
      </w:rPr>
      <w:t xml:space="preserve"> / </w:t>
    </w:r>
    <w:r>
      <w:rPr>
        <w:szCs w:val="16"/>
      </w:rPr>
      <w:fldChar w:fldCharType="begin"/>
    </w:r>
    <w:r>
      <w:instrText>NUMPAGES</w:instrText>
    </w:r>
    <w:r>
      <w:fldChar w:fldCharType="separate"/>
    </w:r>
    <w:r w:rsidR="003D0B12">
      <w:rPr>
        <w:noProof/>
      </w:rPr>
      <w:t>18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B5D97C3" w14:textId="77777777" w:rsidR="004E2219" w:rsidRDefault="004E2219">
      <w:pPr>
        <w:spacing w:before="0" w:after="0" w:line="240" w:lineRule="auto"/>
      </w:pPr>
      <w:r>
        <w:separator/>
      </w:r>
    </w:p>
  </w:footnote>
  <w:footnote w:type="continuationSeparator" w:id="0">
    <w:p w14:paraId="35B32227" w14:textId="77777777" w:rsidR="004E2219" w:rsidRDefault="004E2219">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6DDC33" w14:textId="77777777" w:rsidR="00F24C64" w:rsidRDefault="00F24C64">
    <w:pPr>
      <w:pStyle w:val="Header"/>
      <w:pBdr>
        <w:bottom w:val="single" w:sz="2" w:space="1" w:color="000000"/>
      </w:pBdr>
    </w:pPr>
    <w:r>
      <w:t>List of Issues - Responses</w:t>
    </w:r>
    <w:r>
      <w:tab/>
    </w:r>
    <w:r>
      <w:tab/>
    </w:r>
    <w:proofErr w:type="spellStart"/>
    <w:r>
      <w:t>Nëmme</w:t>
    </w:r>
    <w:proofErr w:type="spellEnd"/>
    <w:r>
      <w:t xml:space="preserve"> mat </w:t>
    </w:r>
    <w:proofErr w:type="spellStart"/>
    <w:r>
      <w:t>Eis</w:t>
    </w:r>
    <w:proofErr w:type="spellEnd"/>
    <w: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39108B" w14:textId="77777777" w:rsidR="00F24C64" w:rsidRPr="008F1E1B" w:rsidRDefault="00F24C64">
    <w:pPr>
      <w:pStyle w:val="Header"/>
      <w:jc w:val="right"/>
      <w:rPr>
        <w:b/>
        <w:bCs/>
        <w:sz w:val="18"/>
        <w:szCs w:val="18"/>
        <w:lang w:val="de-DE"/>
      </w:rPr>
    </w:pPr>
    <w:r>
      <w:rPr>
        <w:noProof/>
        <w:lang w:eastAsia="en-GB" w:bidi="ar-SA"/>
      </w:rPr>
      <w:drawing>
        <wp:anchor distT="0" distB="0" distL="0" distR="0" simplePos="0" relativeHeight="2" behindDoc="0" locked="0" layoutInCell="1" allowOverlap="1" wp14:anchorId="6EC2C674" wp14:editId="41444B8C">
          <wp:simplePos x="0" y="0"/>
          <wp:positionH relativeFrom="column">
            <wp:posOffset>-5080</wp:posOffset>
          </wp:positionH>
          <wp:positionV relativeFrom="paragraph">
            <wp:posOffset>635</wp:posOffset>
          </wp:positionV>
          <wp:extent cx="914400" cy="723900"/>
          <wp:effectExtent l="0" t="0" r="0" b="0"/>
          <wp:wrapTopAndBottom/>
          <wp:docPr id="1" name="Logo &quot;Nëmme mat Eis&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quot;Nëmme mat Eis&quot;"/>
                  <pic:cNvPicPr>
                    <a:picLocks noChangeAspect="1" noChangeArrowheads="1"/>
                  </pic:cNvPicPr>
                </pic:nvPicPr>
                <pic:blipFill>
                  <a:blip r:embed="rId1"/>
                  <a:stretch>
                    <a:fillRect/>
                  </a:stretch>
                </pic:blipFill>
                <pic:spPr bwMode="auto">
                  <a:xfrm>
                    <a:off x="0" y="0"/>
                    <a:ext cx="914400" cy="723900"/>
                  </a:xfrm>
                  <a:prstGeom prst="rect">
                    <a:avLst/>
                  </a:prstGeom>
                </pic:spPr>
              </pic:pic>
            </a:graphicData>
          </a:graphic>
        </wp:anchor>
      </w:drawing>
    </w:r>
    <w:proofErr w:type="spellStart"/>
    <w:r w:rsidRPr="008F1E1B">
      <w:rPr>
        <w:b/>
        <w:bCs/>
        <w:sz w:val="18"/>
        <w:szCs w:val="18"/>
        <w:lang w:val="de-DE"/>
      </w:rPr>
      <w:t>Nëmme</w:t>
    </w:r>
    <w:proofErr w:type="spellEnd"/>
    <w:r w:rsidRPr="008F1E1B">
      <w:rPr>
        <w:b/>
        <w:bCs/>
        <w:sz w:val="18"/>
        <w:szCs w:val="18"/>
        <w:lang w:val="de-DE"/>
      </w:rPr>
      <w:t xml:space="preserve"> Mat Eis! </w:t>
    </w:r>
    <w:proofErr w:type="spellStart"/>
    <w:r w:rsidRPr="008F1E1B">
      <w:rPr>
        <w:b/>
        <w:bCs/>
        <w:sz w:val="18"/>
        <w:szCs w:val="18"/>
        <w:lang w:val="de-DE"/>
      </w:rPr>
      <w:t>asbl</w:t>
    </w:r>
    <w:proofErr w:type="spellEnd"/>
  </w:p>
  <w:p w14:paraId="763C7B09" w14:textId="77777777" w:rsidR="00F24C64" w:rsidRPr="008F1E1B" w:rsidRDefault="00F24C64">
    <w:pPr>
      <w:pStyle w:val="Header"/>
      <w:jc w:val="right"/>
      <w:rPr>
        <w:b/>
        <w:bCs/>
        <w:sz w:val="18"/>
        <w:szCs w:val="18"/>
        <w:lang w:val="de-DE"/>
      </w:rPr>
    </w:pPr>
    <w:r w:rsidRPr="008F1E1B">
      <w:rPr>
        <w:b/>
        <w:bCs/>
        <w:sz w:val="18"/>
        <w:szCs w:val="18"/>
        <w:lang w:val="de-DE"/>
      </w:rPr>
      <w:t xml:space="preserve">3, </w:t>
    </w:r>
    <w:proofErr w:type="spellStart"/>
    <w:r w:rsidRPr="008F1E1B">
      <w:rPr>
        <w:b/>
        <w:bCs/>
        <w:sz w:val="18"/>
        <w:szCs w:val="18"/>
        <w:lang w:val="de-DE"/>
      </w:rPr>
      <w:t>place</w:t>
    </w:r>
    <w:proofErr w:type="spellEnd"/>
    <w:r w:rsidRPr="008F1E1B">
      <w:rPr>
        <w:b/>
        <w:bCs/>
        <w:sz w:val="18"/>
        <w:szCs w:val="18"/>
        <w:lang w:val="de-DE"/>
      </w:rPr>
      <w:t xml:space="preserve"> Sauerwies</w:t>
    </w:r>
  </w:p>
  <w:p w14:paraId="0949009C" w14:textId="77777777" w:rsidR="00F24C64" w:rsidRPr="008F1E1B" w:rsidRDefault="00F24C64">
    <w:pPr>
      <w:pStyle w:val="Header"/>
      <w:jc w:val="right"/>
      <w:rPr>
        <w:b/>
        <w:bCs/>
        <w:sz w:val="18"/>
        <w:szCs w:val="18"/>
        <w:lang w:val="de-DE"/>
      </w:rPr>
    </w:pPr>
    <w:r w:rsidRPr="008F1E1B">
      <w:rPr>
        <w:b/>
        <w:bCs/>
        <w:sz w:val="18"/>
        <w:szCs w:val="18"/>
        <w:lang w:val="de-DE"/>
      </w:rPr>
      <w:t>L-2512 Luxemburg-</w:t>
    </w:r>
    <w:proofErr w:type="spellStart"/>
    <w:r w:rsidRPr="008F1E1B">
      <w:rPr>
        <w:b/>
        <w:bCs/>
        <w:sz w:val="18"/>
        <w:szCs w:val="18"/>
        <w:lang w:val="de-DE"/>
      </w:rPr>
      <w:t>Gasperich</w:t>
    </w:r>
    <w:proofErr w:type="spellEnd"/>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4B3448"/>
    <w:multiLevelType w:val="hybridMultilevel"/>
    <w:tmpl w:val="6F1CDD8E"/>
    <w:lvl w:ilvl="0" w:tplc="0B08B5D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1D6647B"/>
    <w:multiLevelType w:val="multilevel"/>
    <w:tmpl w:val="3E98A6FC"/>
    <w:lvl w:ilvl="0">
      <w:start w:val="1"/>
      <w:numFmt w:val="upperLetter"/>
      <w:pStyle w:val="LetterList1"/>
      <w:lvlText w:val="%1)"/>
      <w:lvlJc w:val="left"/>
      <w:pPr>
        <w:tabs>
          <w:tab w:val="num" w:pos="283"/>
        </w:tabs>
        <w:ind w:left="283" w:hanging="283"/>
      </w:pPr>
    </w:lvl>
    <w:lvl w:ilvl="1">
      <w:start w:val="1"/>
      <w:numFmt w:val="decimal"/>
      <w:lvlText w:val="%2."/>
      <w:lvlJc w:val="left"/>
      <w:pPr>
        <w:tabs>
          <w:tab w:val="num" w:pos="567"/>
        </w:tabs>
        <w:ind w:left="567" w:hanging="283"/>
      </w:pPr>
    </w:lvl>
    <w:lvl w:ilvl="2">
      <w:start w:val="1"/>
      <w:numFmt w:val="decimal"/>
      <w:lvlText w:val="%3."/>
      <w:lvlJc w:val="left"/>
      <w:pPr>
        <w:tabs>
          <w:tab w:val="num" w:pos="850"/>
        </w:tabs>
        <w:ind w:left="850" w:hanging="283"/>
      </w:pPr>
    </w:lvl>
    <w:lvl w:ilvl="3">
      <w:start w:val="1"/>
      <w:numFmt w:val="decimal"/>
      <w:lvlText w:val="%4."/>
      <w:lvlJc w:val="left"/>
      <w:pPr>
        <w:tabs>
          <w:tab w:val="num" w:pos="1134"/>
        </w:tabs>
        <w:ind w:left="1134" w:hanging="283"/>
      </w:pPr>
    </w:lvl>
    <w:lvl w:ilvl="4">
      <w:start w:val="1"/>
      <w:numFmt w:val="decimal"/>
      <w:lvlText w:val="%5."/>
      <w:lvlJc w:val="left"/>
      <w:pPr>
        <w:tabs>
          <w:tab w:val="num" w:pos="1417"/>
        </w:tabs>
        <w:ind w:left="1417" w:hanging="283"/>
      </w:pPr>
    </w:lvl>
    <w:lvl w:ilvl="5">
      <w:start w:val="1"/>
      <w:numFmt w:val="decimal"/>
      <w:lvlText w:val="%6."/>
      <w:lvlJc w:val="left"/>
      <w:pPr>
        <w:tabs>
          <w:tab w:val="num" w:pos="1701"/>
        </w:tabs>
        <w:ind w:left="1701" w:hanging="283"/>
      </w:pPr>
    </w:lvl>
    <w:lvl w:ilvl="6">
      <w:start w:val="1"/>
      <w:numFmt w:val="decimal"/>
      <w:lvlText w:val="%7."/>
      <w:lvlJc w:val="left"/>
      <w:pPr>
        <w:tabs>
          <w:tab w:val="num" w:pos="1984"/>
        </w:tabs>
        <w:ind w:left="1984" w:hanging="283"/>
      </w:pPr>
    </w:lvl>
    <w:lvl w:ilvl="7">
      <w:start w:val="1"/>
      <w:numFmt w:val="decimal"/>
      <w:lvlText w:val="%8."/>
      <w:lvlJc w:val="left"/>
      <w:pPr>
        <w:tabs>
          <w:tab w:val="num" w:pos="2268"/>
        </w:tabs>
        <w:ind w:left="2268" w:hanging="283"/>
      </w:pPr>
    </w:lvl>
    <w:lvl w:ilvl="8">
      <w:start w:val="1"/>
      <w:numFmt w:val="decimal"/>
      <w:lvlText w:val="%9."/>
      <w:lvlJc w:val="left"/>
      <w:pPr>
        <w:tabs>
          <w:tab w:val="num" w:pos="2551"/>
        </w:tabs>
        <w:ind w:left="2551" w:hanging="283"/>
      </w:pPr>
    </w:lvl>
  </w:abstractNum>
  <w:abstractNum w:abstractNumId="2">
    <w:nsid w:val="31E610B9"/>
    <w:multiLevelType w:val="multilevel"/>
    <w:tmpl w:val="60003646"/>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nsid w:val="36353FEC"/>
    <w:multiLevelType w:val="hybridMultilevel"/>
    <w:tmpl w:val="2DB261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48760BA7"/>
    <w:multiLevelType w:val="multilevel"/>
    <w:tmpl w:val="5BE6F8E8"/>
    <w:lvl w:ilvl="0">
      <w:start w:val="1"/>
      <w:numFmt w:val="bullet"/>
      <w:pStyle w:val="BulletList1"/>
      <w:lvlText w:val=""/>
      <w:lvlJc w:val="left"/>
      <w:pPr>
        <w:tabs>
          <w:tab w:val="num" w:pos="283"/>
        </w:tabs>
        <w:ind w:left="170" w:hanging="170"/>
      </w:pPr>
      <w:rPr>
        <w:rFonts w:ascii="Symbol" w:hAnsi="Symbol" w:cs="OpenSymbol" w:hint="default"/>
      </w:rPr>
    </w:lvl>
    <w:lvl w:ilvl="1">
      <w:start w:val="1"/>
      <w:numFmt w:val="bullet"/>
      <w:lvlText w:val=""/>
      <w:lvlJc w:val="left"/>
      <w:pPr>
        <w:tabs>
          <w:tab w:val="num" w:pos="454"/>
        </w:tabs>
        <w:ind w:left="454" w:hanging="227"/>
      </w:pPr>
      <w:rPr>
        <w:rFonts w:ascii="Symbol" w:hAnsi="Symbol" w:cs="Symbol" w:hint="default"/>
      </w:rPr>
    </w:lvl>
    <w:lvl w:ilvl="2">
      <w:start w:val="1"/>
      <w:numFmt w:val="bullet"/>
      <w:lvlText w:val=""/>
      <w:lvlJc w:val="left"/>
      <w:pPr>
        <w:tabs>
          <w:tab w:val="num" w:pos="680"/>
        </w:tabs>
        <w:ind w:left="680" w:hanging="227"/>
      </w:pPr>
      <w:rPr>
        <w:rFonts w:ascii="Symbol" w:hAnsi="Symbol" w:cs="Symbol" w:hint="default"/>
      </w:rPr>
    </w:lvl>
    <w:lvl w:ilvl="3">
      <w:start w:val="1"/>
      <w:numFmt w:val="bullet"/>
      <w:lvlText w:val=""/>
      <w:lvlJc w:val="left"/>
      <w:pPr>
        <w:tabs>
          <w:tab w:val="num" w:pos="907"/>
        </w:tabs>
        <w:ind w:left="907" w:hanging="227"/>
      </w:pPr>
      <w:rPr>
        <w:rFonts w:ascii="Symbol" w:hAnsi="Symbol" w:cs="Symbol" w:hint="default"/>
      </w:rPr>
    </w:lvl>
    <w:lvl w:ilvl="4">
      <w:start w:val="1"/>
      <w:numFmt w:val="bullet"/>
      <w:lvlText w:val=""/>
      <w:lvlJc w:val="left"/>
      <w:pPr>
        <w:tabs>
          <w:tab w:val="num" w:pos="1134"/>
        </w:tabs>
        <w:ind w:left="1134" w:hanging="227"/>
      </w:pPr>
      <w:rPr>
        <w:rFonts w:ascii="Symbol" w:hAnsi="Symbol" w:cs="Symbol" w:hint="default"/>
      </w:rPr>
    </w:lvl>
    <w:lvl w:ilvl="5">
      <w:start w:val="1"/>
      <w:numFmt w:val="bullet"/>
      <w:lvlText w:val=""/>
      <w:lvlJc w:val="left"/>
      <w:pPr>
        <w:tabs>
          <w:tab w:val="num" w:pos="1361"/>
        </w:tabs>
        <w:ind w:left="1361" w:hanging="227"/>
      </w:pPr>
      <w:rPr>
        <w:rFonts w:ascii="Symbol" w:hAnsi="Symbol" w:cs="Symbol" w:hint="default"/>
      </w:rPr>
    </w:lvl>
    <w:lvl w:ilvl="6">
      <w:start w:val="1"/>
      <w:numFmt w:val="bullet"/>
      <w:lvlText w:val=""/>
      <w:lvlJc w:val="left"/>
      <w:pPr>
        <w:tabs>
          <w:tab w:val="num" w:pos="1587"/>
        </w:tabs>
        <w:ind w:left="1587" w:hanging="227"/>
      </w:pPr>
      <w:rPr>
        <w:rFonts w:ascii="Symbol" w:hAnsi="Symbol" w:cs="Symbol" w:hint="default"/>
      </w:rPr>
    </w:lvl>
    <w:lvl w:ilvl="7">
      <w:start w:val="1"/>
      <w:numFmt w:val="bullet"/>
      <w:lvlText w:val=""/>
      <w:lvlJc w:val="left"/>
      <w:pPr>
        <w:tabs>
          <w:tab w:val="num" w:pos="1814"/>
        </w:tabs>
        <w:ind w:left="1814" w:hanging="227"/>
      </w:pPr>
      <w:rPr>
        <w:rFonts w:ascii="Symbol" w:hAnsi="Symbol" w:cs="Symbol" w:hint="default"/>
      </w:rPr>
    </w:lvl>
    <w:lvl w:ilvl="8">
      <w:start w:val="1"/>
      <w:numFmt w:val="bullet"/>
      <w:lvlText w:val=""/>
      <w:lvlJc w:val="left"/>
      <w:pPr>
        <w:tabs>
          <w:tab w:val="num" w:pos="2041"/>
        </w:tabs>
        <w:ind w:left="2041" w:hanging="227"/>
      </w:pPr>
      <w:rPr>
        <w:rFonts w:ascii="Symbol" w:hAnsi="Symbol" w:cs="Symbol" w:hint="default"/>
      </w:rPr>
    </w:lvl>
  </w:abstractNum>
  <w:abstractNum w:abstractNumId="5">
    <w:nsid w:val="55BA7622"/>
    <w:multiLevelType w:val="multilevel"/>
    <w:tmpl w:val="9CB2DE98"/>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6">
    <w:nsid w:val="66C7321C"/>
    <w:multiLevelType w:val="multilevel"/>
    <w:tmpl w:val="4ED819C0"/>
    <w:lvl w:ilvl="0">
      <w:start w:val="1"/>
      <w:numFmt w:val="upperLetter"/>
      <w:pStyle w:val="Heading1"/>
      <w:lvlText w:val="%1"/>
      <w:lvlJc w:val="left"/>
      <w:pPr>
        <w:tabs>
          <w:tab w:val="num" w:pos="432"/>
        </w:tabs>
        <w:ind w:left="432" w:hanging="432"/>
      </w:pPr>
    </w:lvl>
    <w:lvl w:ilvl="1">
      <w:start w:val="1"/>
      <w:numFmt w:val="none"/>
      <w:pStyle w:val="Heading2"/>
      <w:suff w:val="nothing"/>
      <w:lvlText w:val=""/>
      <w:lvlJc w:val="left"/>
      <w:pPr>
        <w:tabs>
          <w:tab w:val="num" w:pos="576"/>
        </w:tabs>
        <w:ind w:left="576" w:hanging="576"/>
      </w:pPr>
    </w:lvl>
    <w:lvl w:ilvl="2">
      <w:start w:val="1"/>
      <w:numFmt w:val="none"/>
      <w:pStyle w:val="Heading3"/>
      <w:suff w:val="nothing"/>
      <w:lvlText w:val=""/>
      <w:lvlJc w:val="left"/>
      <w:pPr>
        <w:ind w:left="720" w:hanging="720"/>
      </w:pPr>
    </w:lvl>
    <w:lvl w:ilvl="3">
      <w:start w:val="1"/>
      <w:numFmt w:val="decimal"/>
      <w:pStyle w:val="Heading4"/>
      <w:lvlText w:val="%1.%4."/>
      <w:lvlJc w:val="left"/>
      <w:pPr>
        <w:tabs>
          <w:tab w:val="num" w:pos="864"/>
        </w:tabs>
        <w:ind w:left="864" w:hanging="864"/>
      </w:pPr>
    </w:lvl>
    <w:lvl w:ilvl="4">
      <w:start w:val="1"/>
      <w:numFmt w:val="none"/>
      <w:pStyle w:val="Heading5"/>
      <w:suff w:val="nothing"/>
      <w:lvlText w:val=""/>
      <w:lvlJc w:val="left"/>
      <w:pPr>
        <w:tabs>
          <w:tab w:val="num" w:pos="1008"/>
        </w:tabs>
        <w:ind w:left="1008" w:hanging="1008"/>
      </w:pPr>
    </w:lvl>
    <w:lvl w:ilvl="5">
      <w:start w:val="1"/>
      <w:numFmt w:val="none"/>
      <w:pStyle w:val="Heading6"/>
      <w:suff w:val="nothing"/>
      <w:lvlText w:val=""/>
      <w:lvlJc w:val="left"/>
      <w:pPr>
        <w:tabs>
          <w:tab w:val="num" w:pos="1152"/>
        </w:tabs>
        <w:ind w:left="1152" w:hanging="1152"/>
      </w:pPr>
    </w:lvl>
    <w:lvl w:ilvl="6">
      <w:start w:val="1"/>
      <w:numFmt w:val="none"/>
      <w:pStyle w:val="Heading7"/>
      <w:suff w:val="nothing"/>
      <w:lvlText w:val=""/>
      <w:lvlJc w:val="left"/>
      <w:pPr>
        <w:tabs>
          <w:tab w:val="num" w:pos="1296"/>
        </w:tabs>
        <w:ind w:left="1296" w:hanging="1296"/>
      </w:pPr>
    </w:lvl>
    <w:lvl w:ilvl="7">
      <w:start w:val="1"/>
      <w:numFmt w:val="none"/>
      <w:pStyle w:val="Heading8"/>
      <w:suff w:val="nothing"/>
      <w:lvlText w:val=""/>
      <w:lvlJc w:val="left"/>
      <w:pPr>
        <w:tabs>
          <w:tab w:val="num" w:pos="1440"/>
        </w:tabs>
        <w:ind w:left="1440" w:hanging="1440"/>
      </w:pPr>
    </w:lvl>
    <w:lvl w:ilvl="8">
      <w:start w:val="1"/>
      <w:numFmt w:val="none"/>
      <w:pStyle w:val="Heading9"/>
      <w:suff w:val="nothing"/>
      <w:lvlText w:val=""/>
      <w:lvlJc w:val="left"/>
      <w:pPr>
        <w:tabs>
          <w:tab w:val="num" w:pos="1584"/>
        </w:tabs>
        <w:ind w:left="1584" w:hanging="1584"/>
      </w:pPr>
    </w:lvl>
  </w:abstractNum>
  <w:abstractNum w:abstractNumId="7">
    <w:nsid w:val="769F0F29"/>
    <w:multiLevelType w:val="multilevel"/>
    <w:tmpl w:val="A9D4D75A"/>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num w:numId="1">
    <w:abstractNumId w:val="6"/>
  </w:num>
  <w:num w:numId="2">
    <w:abstractNumId w:val="1"/>
  </w:num>
  <w:num w:numId="3">
    <w:abstractNumId w:val="4"/>
  </w:num>
  <w:num w:numId="4">
    <w:abstractNumId w:val="2"/>
  </w:num>
  <w:num w:numId="5">
    <w:abstractNumId w:val="5"/>
  </w:num>
  <w:num w:numId="6">
    <w:abstractNumId w:val="7"/>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trackRevisions/>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72D9"/>
    <w:rsid w:val="00002E72"/>
    <w:rsid w:val="000564B7"/>
    <w:rsid w:val="000A54DA"/>
    <w:rsid w:val="000D1B8E"/>
    <w:rsid w:val="001B1022"/>
    <w:rsid w:val="001C206C"/>
    <w:rsid w:val="00221AB9"/>
    <w:rsid w:val="00267621"/>
    <w:rsid w:val="002872D9"/>
    <w:rsid w:val="002A40AC"/>
    <w:rsid w:val="002C55F7"/>
    <w:rsid w:val="00310AF5"/>
    <w:rsid w:val="00325FAA"/>
    <w:rsid w:val="003414B1"/>
    <w:rsid w:val="003464E4"/>
    <w:rsid w:val="00385582"/>
    <w:rsid w:val="003B06FF"/>
    <w:rsid w:val="003D0B12"/>
    <w:rsid w:val="003E616F"/>
    <w:rsid w:val="003F7684"/>
    <w:rsid w:val="00431DB1"/>
    <w:rsid w:val="00475800"/>
    <w:rsid w:val="004D4CCF"/>
    <w:rsid w:val="004E2219"/>
    <w:rsid w:val="004F7EAF"/>
    <w:rsid w:val="0051306B"/>
    <w:rsid w:val="005A16CF"/>
    <w:rsid w:val="005F2568"/>
    <w:rsid w:val="005F6F08"/>
    <w:rsid w:val="00615942"/>
    <w:rsid w:val="006224CA"/>
    <w:rsid w:val="0062724B"/>
    <w:rsid w:val="00666BDE"/>
    <w:rsid w:val="00670403"/>
    <w:rsid w:val="00677827"/>
    <w:rsid w:val="006F687C"/>
    <w:rsid w:val="006F7AE5"/>
    <w:rsid w:val="00724BFF"/>
    <w:rsid w:val="007B4A14"/>
    <w:rsid w:val="007B5066"/>
    <w:rsid w:val="007B6703"/>
    <w:rsid w:val="008C4842"/>
    <w:rsid w:val="008F1E1B"/>
    <w:rsid w:val="009C0E8F"/>
    <w:rsid w:val="00A028D3"/>
    <w:rsid w:val="00A17403"/>
    <w:rsid w:val="00A34C5E"/>
    <w:rsid w:val="00A679CC"/>
    <w:rsid w:val="00A77D39"/>
    <w:rsid w:val="00B12408"/>
    <w:rsid w:val="00B31AB8"/>
    <w:rsid w:val="00B35FB7"/>
    <w:rsid w:val="00BC5B49"/>
    <w:rsid w:val="00BE5901"/>
    <w:rsid w:val="00C12A58"/>
    <w:rsid w:val="00C76DEE"/>
    <w:rsid w:val="00C848F7"/>
    <w:rsid w:val="00CA3760"/>
    <w:rsid w:val="00D423BE"/>
    <w:rsid w:val="00D82EE8"/>
    <w:rsid w:val="00D85B71"/>
    <w:rsid w:val="00E0301A"/>
    <w:rsid w:val="00EF06D2"/>
    <w:rsid w:val="00EF166C"/>
    <w:rsid w:val="00F110A6"/>
    <w:rsid w:val="00F24C64"/>
    <w:rsid w:val="00F579DD"/>
    <w:rsid w:val="00FF1CDD"/>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D900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Arial Unicode MS"/>
        <w:sz w:val="24"/>
        <w:szCs w:val="24"/>
        <w:lang w:val="en-GB" w:eastAsia="zh-CN" w:bidi="hi-I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pacing w:before="57" w:after="57" w:line="360" w:lineRule="auto"/>
      <w:jc w:val="both"/>
    </w:pPr>
    <w:rPr>
      <w:rFonts w:ascii="Arial" w:hAnsi="Arial"/>
      <w:sz w:val="18"/>
      <w:szCs w:val="18"/>
    </w:rPr>
  </w:style>
  <w:style w:type="paragraph" w:styleId="Heading1">
    <w:name w:val="heading 1"/>
    <w:basedOn w:val="Heading"/>
    <w:next w:val="BodyText"/>
    <w:qFormat/>
    <w:pPr>
      <w:pageBreakBefore/>
      <w:numPr>
        <w:numId w:val="1"/>
      </w:numPr>
      <w:pBdr>
        <w:bottom w:val="single" w:sz="2" w:space="1" w:color="000000"/>
      </w:pBdr>
      <w:tabs>
        <w:tab w:val="right" w:pos="9638"/>
      </w:tabs>
      <w:spacing w:before="57" w:after="227" w:line="240" w:lineRule="auto"/>
      <w:outlineLvl w:val="0"/>
    </w:pPr>
    <w:rPr>
      <w:b/>
      <w:bCs/>
      <w:szCs w:val="32"/>
    </w:rPr>
  </w:style>
  <w:style w:type="paragraph" w:styleId="Heading2">
    <w:name w:val="heading 2"/>
    <w:basedOn w:val="Heading"/>
    <w:next w:val="BodyText"/>
    <w:qFormat/>
    <w:pPr>
      <w:numPr>
        <w:ilvl w:val="1"/>
        <w:numId w:val="1"/>
      </w:numPr>
      <w:tabs>
        <w:tab w:val="left" w:pos="446"/>
      </w:tabs>
      <w:spacing w:before="227" w:after="170"/>
      <w:ind w:left="0" w:firstLine="0"/>
      <w:outlineLvl w:val="1"/>
    </w:pPr>
    <w:rPr>
      <w:i/>
      <w:iCs/>
      <w:sz w:val="20"/>
      <w:szCs w:val="20"/>
    </w:rPr>
  </w:style>
  <w:style w:type="paragraph" w:styleId="Heading3">
    <w:name w:val="heading 3"/>
    <w:basedOn w:val="Heading"/>
    <w:next w:val="BodyText"/>
    <w:qFormat/>
    <w:pPr>
      <w:numPr>
        <w:ilvl w:val="2"/>
        <w:numId w:val="1"/>
      </w:numPr>
      <w:spacing w:before="113" w:after="113"/>
      <w:outlineLvl w:val="2"/>
    </w:pPr>
    <w:rPr>
      <w:b/>
      <w:bCs/>
      <w:i/>
      <w:iCs/>
      <w:sz w:val="18"/>
      <w:szCs w:val="18"/>
    </w:rPr>
  </w:style>
  <w:style w:type="paragraph" w:styleId="Heading4">
    <w:name w:val="heading 4"/>
    <w:basedOn w:val="Heading"/>
    <w:next w:val="BodyText"/>
    <w:qFormat/>
    <w:pPr>
      <w:numPr>
        <w:ilvl w:val="3"/>
        <w:numId w:val="1"/>
      </w:numPr>
      <w:spacing w:before="119" w:after="119"/>
      <w:jc w:val="left"/>
      <w:outlineLvl w:val="3"/>
    </w:pPr>
    <w:rPr>
      <w:b/>
      <w:bCs/>
      <w:sz w:val="20"/>
      <w:szCs w:val="20"/>
    </w:rPr>
  </w:style>
  <w:style w:type="paragraph" w:styleId="Heading5">
    <w:name w:val="heading 5"/>
    <w:basedOn w:val="Heading"/>
    <w:next w:val="BodyText"/>
    <w:qFormat/>
    <w:pPr>
      <w:numPr>
        <w:ilvl w:val="4"/>
        <w:numId w:val="1"/>
      </w:numPr>
      <w:outlineLvl w:val="4"/>
    </w:pPr>
    <w:rPr>
      <w:b/>
      <w:bCs/>
      <w:sz w:val="24"/>
      <w:szCs w:val="24"/>
    </w:rPr>
  </w:style>
  <w:style w:type="paragraph" w:styleId="Heading6">
    <w:name w:val="heading 6"/>
    <w:basedOn w:val="Heading"/>
    <w:next w:val="BodyText"/>
    <w:qFormat/>
    <w:pPr>
      <w:numPr>
        <w:ilvl w:val="5"/>
        <w:numId w:val="1"/>
      </w:numPr>
      <w:outlineLvl w:val="5"/>
    </w:pPr>
    <w:rPr>
      <w:b/>
      <w:bCs/>
      <w:sz w:val="21"/>
      <w:szCs w:val="21"/>
    </w:rPr>
  </w:style>
  <w:style w:type="paragraph" w:styleId="Heading7">
    <w:name w:val="heading 7"/>
    <w:basedOn w:val="Heading"/>
    <w:next w:val="BodyText"/>
    <w:qFormat/>
    <w:pPr>
      <w:numPr>
        <w:ilvl w:val="6"/>
        <w:numId w:val="1"/>
      </w:numPr>
      <w:outlineLvl w:val="6"/>
    </w:pPr>
    <w:rPr>
      <w:b/>
      <w:bCs/>
      <w:sz w:val="21"/>
      <w:szCs w:val="21"/>
    </w:rPr>
  </w:style>
  <w:style w:type="paragraph" w:styleId="Heading8">
    <w:name w:val="heading 8"/>
    <w:basedOn w:val="Heading"/>
    <w:next w:val="BodyText"/>
    <w:qFormat/>
    <w:pPr>
      <w:numPr>
        <w:ilvl w:val="7"/>
        <w:numId w:val="1"/>
      </w:numPr>
      <w:outlineLvl w:val="7"/>
    </w:pPr>
    <w:rPr>
      <w:b/>
      <w:bCs/>
      <w:sz w:val="21"/>
      <w:szCs w:val="21"/>
    </w:rPr>
  </w:style>
  <w:style w:type="paragraph" w:styleId="Heading9">
    <w:name w:val="heading 9"/>
    <w:basedOn w:val="Heading"/>
    <w:next w:val="BodyText"/>
    <w:qFormat/>
    <w:pPr>
      <w:numPr>
        <w:ilvl w:val="8"/>
        <w:numId w:val="1"/>
      </w:numPr>
      <w:outlineLvl w:val="8"/>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umberingSymbols">
    <w:name w:val="Numbering Symbols"/>
    <w:qFormat/>
  </w:style>
  <w:style w:type="character" w:customStyle="1" w:styleId="InternetLink">
    <w:name w:val="Internet Link"/>
    <w:rPr>
      <w:color w:val="000080"/>
      <w:u w:val="single"/>
    </w:rPr>
  </w:style>
  <w:style w:type="character" w:customStyle="1" w:styleId="IndexLink">
    <w:name w:val="Index Link"/>
    <w:qFormat/>
  </w:style>
  <w:style w:type="character" w:customStyle="1" w:styleId="Bullets">
    <w:name w:val="Bullets"/>
    <w:qFormat/>
    <w:rPr>
      <w:rFonts w:ascii="OpenSymbol" w:eastAsia="OpenSymbol" w:hAnsi="OpenSymbol" w:cs="OpenSymbol"/>
    </w:rPr>
  </w:style>
  <w:style w:type="character" w:customStyle="1" w:styleId="FootnoteCharacters">
    <w:name w:val="Footnote Characters"/>
    <w:qFormat/>
  </w:style>
  <w:style w:type="character" w:customStyle="1" w:styleId="FootnoteAnchor">
    <w:name w:val="Footnote Anchor"/>
    <w:rPr>
      <w:vertAlign w:val="superscript"/>
    </w:rPr>
  </w:style>
  <w:style w:type="character" w:customStyle="1" w:styleId="SourceCodeRed">
    <w:name w:val="Source Code Red"/>
    <w:qFormat/>
    <w:rPr>
      <w:rFonts w:ascii="Courier" w:hAnsi="Courier"/>
      <w:b/>
      <w:bCs/>
      <w:color w:val="FF0000"/>
      <w:sz w:val="16"/>
      <w:szCs w:val="16"/>
      <w:u w:val="none"/>
    </w:rPr>
  </w:style>
  <w:style w:type="character" w:customStyle="1" w:styleId="SourceCodeBlue">
    <w:name w:val="Source Code Blue"/>
    <w:basedOn w:val="SourceText"/>
    <w:qFormat/>
    <w:rPr>
      <w:rFonts w:ascii="Courier" w:eastAsia="Courier New" w:hAnsi="Courier" w:cs="Courier New"/>
      <w:b/>
      <w:bCs/>
      <w:color w:val="0000FF"/>
      <w:sz w:val="16"/>
      <w:szCs w:val="16"/>
      <w:u w:val="none"/>
    </w:rPr>
  </w:style>
  <w:style w:type="character" w:customStyle="1" w:styleId="SourceText">
    <w:name w:val="Source Text"/>
    <w:qFormat/>
    <w:rPr>
      <w:rFonts w:ascii="Courier New" w:eastAsia="Courier New" w:hAnsi="Courier New" w:cs="Courier New"/>
    </w:rPr>
  </w:style>
  <w:style w:type="character" w:customStyle="1" w:styleId="StrongEmphasis">
    <w:name w:val="Strong Emphasis"/>
    <w:qFormat/>
    <w:rPr>
      <w:b/>
      <w:bCs/>
    </w:rPr>
  </w:style>
  <w:style w:type="character" w:styleId="Emphasis">
    <w:name w:val="Emphasis"/>
    <w:qFormat/>
    <w:rPr>
      <w:i/>
      <w:iCs/>
    </w:rPr>
  </w:style>
  <w:style w:type="character" w:customStyle="1" w:styleId="Tobeupdateddefaultdocs">
    <w:name w:val="To be updated (default docs)"/>
    <w:qFormat/>
    <w:rPr>
      <w:rFonts w:ascii="Arial" w:hAnsi="Arial"/>
      <w:b/>
      <w:bCs/>
      <w:color w:val="800000"/>
      <w:sz w:val="18"/>
      <w:szCs w:val="18"/>
    </w:rPr>
  </w:style>
  <w:style w:type="character" w:customStyle="1" w:styleId="VisitedInternetLink">
    <w:name w:val="Visited Internet Link"/>
    <w:rPr>
      <w:color w:val="800000"/>
      <w:u w:val="single"/>
    </w:rPr>
  </w:style>
  <w:style w:type="paragraph" w:customStyle="1" w:styleId="Heading">
    <w:name w:val="Heading"/>
    <w:basedOn w:val="Normal"/>
    <w:next w:val="BodyText"/>
    <w:qFormat/>
    <w:pPr>
      <w:keepNext/>
      <w:spacing w:before="240" w:after="120"/>
    </w:pPr>
    <w:rPr>
      <w:sz w:val="28"/>
      <w:szCs w:val="28"/>
    </w:rPr>
  </w:style>
  <w:style w:type="paragraph" w:styleId="BodyText">
    <w:name w:val="Body Text"/>
    <w:basedOn w:val="Normal"/>
    <w:link w:val="BodyTextChar"/>
    <w:pPr>
      <w:spacing w:before="113" w:after="119"/>
    </w:pPr>
  </w:style>
  <w:style w:type="paragraph" w:styleId="List">
    <w:name w:val="List"/>
    <w:basedOn w:val="BodyText"/>
  </w:style>
  <w:style w:type="paragraph" w:styleId="Caption">
    <w:name w:val="caption"/>
    <w:basedOn w:val="Normal"/>
    <w:qFormat/>
    <w:pPr>
      <w:suppressLineNumbers/>
      <w:spacing w:before="120" w:after="120"/>
    </w:pPr>
    <w:rPr>
      <w:i/>
      <w:iCs/>
      <w:sz w:val="24"/>
      <w:szCs w:val="24"/>
    </w:rPr>
  </w:style>
  <w:style w:type="paragraph" w:customStyle="1" w:styleId="Index">
    <w:name w:val="Index"/>
    <w:basedOn w:val="Normal"/>
    <w:qFormat/>
    <w:pPr>
      <w:suppressLineNumbers/>
    </w:pPr>
  </w:style>
  <w:style w:type="paragraph" w:styleId="Header">
    <w:name w:val="header"/>
    <w:basedOn w:val="Normal"/>
    <w:pPr>
      <w:suppressLineNumbers/>
      <w:tabs>
        <w:tab w:val="center" w:pos="4819"/>
        <w:tab w:val="right" w:pos="9638"/>
      </w:tabs>
    </w:pPr>
    <w:rPr>
      <w:sz w:val="16"/>
      <w:szCs w:val="20"/>
    </w:rPr>
  </w:style>
  <w:style w:type="paragraph" w:customStyle="1" w:styleId="TableContents">
    <w:name w:val="Table Contents"/>
    <w:basedOn w:val="Normal"/>
    <w:qFormat/>
    <w:pPr>
      <w:suppressLineNumbers/>
      <w:spacing w:before="11" w:after="11"/>
      <w:ind w:right="57"/>
    </w:pPr>
  </w:style>
  <w:style w:type="paragraph" w:styleId="Footer">
    <w:name w:val="footer"/>
    <w:basedOn w:val="Normal"/>
    <w:pPr>
      <w:suppressLineNumbers/>
      <w:tabs>
        <w:tab w:val="center" w:pos="4819"/>
        <w:tab w:val="right" w:pos="9638"/>
      </w:tabs>
    </w:pPr>
    <w:rPr>
      <w:sz w:val="16"/>
      <w:szCs w:val="22"/>
    </w:rPr>
  </w:style>
  <w:style w:type="paragraph" w:styleId="TOAHeading">
    <w:name w:val="toa heading"/>
    <w:basedOn w:val="Heading"/>
    <w:pPr>
      <w:suppressLineNumbers/>
    </w:pPr>
    <w:rPr>
      <w:b/>
      <w:bCs/>
      <w:sz w:val="32"/>
      <w:szCs w:val="32"/>
    </w:rPr>
  </w:style>
  <w:style w:type="paragraph" w:styleId="TOC1">
    <w:name w:val="toc 1"/>
    <w:basedOn w:val="Index"/>
    <w:pPr>
      <w:spacing w:before="170" w:after="113" w:line="240" w:lineRule="auto"/>
    </w:pPr>
  </w:style>
  <w:style w:type="paragraph" w:styleId="TOC2">
    <w:name w:val="toc 2"/>
    <w:basedOn w:val="Index"/>
    <w:pPr>
      <w:spacing w:line="264" w:lineRule="auto"/>
      <w:ind w:left="283"/>
    </w:pPr>
  </w:style>
  <w:style w:type="paragraph" w:styleId="TOC3">
    <w:name w:val="toc 3"/>
    <w:basedOn w:val="Index"/>
    <w:pPr>
      <w:tabs>
        <w:tab w:val="right" w:leader="dot" w:pos="9072"/>
      </w:tabs>
      <w:spacing w:line="240" w:lineRule="auto"/>
      <w:ind w:left="794"/>
    </w:pPr>
  </w:style>
  <w:style w:type="paragraph" w:customStyle="1" w:styleId="ListIndent">
    <w:name w:val="List Indent"/>
    <w:basedOn w:val="BodyText"/>
    <w:qFormat/>
    <w:pPr>
      <w:tabs>
        <w:tab w:val="left" w:pos="0"/>
      </w:tabs>
      <w:ind w:left="2835" w:hanging="2551"/>
    </w:pPr>
  </w:style>
  <w:style w:type="paragraph" w:customStyle="1" w:styleId="BulletList1">
    <w:name w:val="Bullet List 1"/>
    <w:basedOn w:val="Normal"/>
    <w:qFormat/>
    <w:pPr>
      <w:numPr>
        <w:numId w:val="3"/>
      </w:numPr>
      <w:spacing w:after="170"/>
      <w:ind w:left="397"/>
      <w:jc w:val="left"/>
    </w:pPr>
  </w:style>
  <w:style w:type="paragraph" w:customStyle="1" w:styleId="ReferenceList">
    <w:name w:val="Reference List"/>
    <w:basedOn w:val="BodyText"/>
    <w:qFormat/>
    <w:pPr>
      <w:tabs>
        <w:tab w:val="left" w:pos="1416"/>
      </w:tabs>
      <w:spacing w:before="0" w:after="113"/>
      <w:jc w:val="left"/>
    </w:pPr>
  </w:style>
  <w:style w:type="paragraph" w:customStyle="1" w:styleId="PreformattedText">
    <w:name w:val="Preformatted Text"/>
    <w:basedOn w:val="Normal"/>
    <w:qFormat/>
    <w:pPr>
      <w:spacing w:after="0"/>
    </w:pPr>
    <w:rPr>
      <w:rFonts w:ascii="Courier New" w:eastAsia="Courier New" w:hAnsi="Courier New" w:cs="Courier New"/>
      <w:sz w:val="20"/>
      <w:szCs w:val="20"/>
    </w:rPr>
  </w:style>
  <w:style w:type="paragraph" w:customStyle="1" w:styleId="BulletList2">
    <w:name w:val="Bullet List 2"/>
    <w:basedOn w:val="BulletList1"/>
    <w:qFormat/>
    <w:pPr>
      <w:spacing w:after="57"/>
      <w:ind w:left="567"/>
    </w:pPr>
  </w:style>
  <w:style w:type="paragraph" w:customStyle="1" w:styleId="Text">
    <w:name w:val="Text"/>
    <w:basedOn w:val="Caption"/>
    <w:qFormat/>
  </w:style>
  <w:style w:type="paragraph" w:styleId="List2">
    <w:name w:val="List 2"/>
    <w:basedOn w:val="List"/>
    <w:pPr>
      <w:spacing w:before="0" w:after="120"/>
      <w:ind w:left="360" w:hanging="360"/>
    </w:pPr>
  </w:style>
  <w:style w:type="paragraph" w:styleId="ListBullet3">
    <w:name w:val="List Bullet 3"/>
    <w:basedOn w:val="List"/>
    <w:pPr>
      <w:spacing w:before="0" w:after="120"/>
      <w:ind w:left="720" w:hanging="360"/>
    </w:pPr>
  </w:style>
  <w:style w:type="paragraph" w:styleId="FootnoteText">
    <w:name w:val="footnote text"/>
    <w:basedOn w:val="Normal"/>
    <w:pPr>
      <w:suppressLineNumbers/>
      <w:ind w:left="339" w:hanging="339"/>
    </w:pPr>
    <w:rPr>
      <w:sz w:val="16"/>
      <w:szCs w:val="16"/>
    </w:rPr>
  </w:style>
  <w:style w:type="paragraph" w:customStyle="1" w:styleId="Illustration">
    <w:name w:val="Illustration"/>
    <w:basedOn w:val="Caption"/>
    <w:qFormat/>
    <w:pPr>
      <w:jc w:val="center"/>
    </w:pPr>
    <w:rPr>
      <w:sz w:val="16"/>
      <w:szCs w:val="16"/>
    </w:rPr>
  </w:style>
  <w:style w:type="paragraph" w:customStyle="1" w:styleId="SourceCode">
    <w:name w:val="Source Code"/>
    <w:basedOn w:val="TableContents"/>
    <w:qFormat/>
    <w:pPr>
      <w:spacing w:before="0" w:after="91" w:line="204" w:lineRule="exact"/>
      <w:jc w:val="left"/>
    </w:pPr>
    <w:rPr>
      <w:rFonts w:ascii="Courier" w:hAnsi="Courier"/>
      <w:sz w:val="16"/>
      <w:szCs w:val="16"/>
    </w:rPr>
  </w:style>
  <w:style w:type="paragraph" w:customStyle="1" w:styleId="TableHeading">
    <w:name w:val="Table Heading"/>
    <w:basedOn w:val="TableContents"/>
    <w:qFormat/>
    <w:pPr>
      <w:jc w:val="center"/>
    </w:pPr>
    <w:rPr>
      <w:b/>
      <w:bCs/>
    </w:rPr>
  </w:style>
  <w:style w:type="paragraph" w:styleId="TOC4">
    <w:name w:val="toc 4"/>
    <w:basedOn w:val="Index"/>
    <w:pPr>
      <w:tabs>
        <w:tab w:val="right" w:leader="dot" w:pos="8789"/>
      </w:tabs>
      <w:spacing w:line="240" w:lineRule="auto"/>
      <w:ind w:left="584"/>
    </w:pPr>
  </w:style>
  <w:style w:type="paragraph" w:customStyle="1" w:styleId="FrameContents">
    <w:name w:val="Frame Contents"/>
    <w:basedOn w:val="BodyText"/>
    <w:qFormat/>
  </w:style>
  <w:style w:type="paragraph" w:customStyle="1" w:styleId="BulletList1Text">
    <w:name w:val="Bullet List 1 Text"/>
    <w:basedOn w:val="BodyText"/>
    <w:qFormat/>
    <w:pPr>
      <w:ind w:left="397"/>
    </w:pPr>
  </w:style>
  <w:style w:type="paragraph" w:customStyle="1" w:styleId="Heading10">
    <w:name w:val="Heading 10"/>
    <w:basedOn w:val="Heading"/>
    <w:next w:val="BodyText"/>
    <w:qFormat/>
    <w:pPr>
      <w:tabs>
        <w:tab w:val="num" w:pos="1584"/>
      </w:tabs>
      <w:ind w:left="1584" w:hanging="1584"/>
      <w:outlineLvl w:val="8"/>
    </w:pPr>
    <w:rPr>
      <w:b/>
      <w:bCs/>
      <w:sz w:val="21"/>
      <w:szCs w:val="21"/>
    </w:rPr>
  </w:style>
  <w:style w:type="paragraph" w:styleId="List3">
    <w:name w:val="List 3"/>
    <w:basedOn w:val="List"/>
    <w:pPr>
      <w:spacing w:before="0" w:after="120"/>
      <w:ind w:left="360" w:hanging="360"/>
    </w:pPr>
  </w:style>
  <w:style w:type="paragraph" w:customStyle="1" w:styleId="LetterList1">
    <w:name w:val="Letter List 1"/>
    <w:basedOn w:val="BulletList1"/>
    <w:qFormat/>
    <w:pPr>
      <w:numPr>
        <w:numId w:val="2"/>
      </w:numPr>
      <w:ind w:left="558" w:hanging="301"/>
    </w:pPr>
  </w:style>
  <w:style w:type="paragraph" w:customStyle="1" w:styleId="Quotations">
    <w:name w:val="Quotations"/>
    <w:basedOn w:val="Normal"/>
    <w:qFormat/>
    <w:pPr>
      <w:spacing w:after="283"/>
      <w:ind w:left="567" w:right="567"/>
    </w:pPr>
  </w:style>
  <w:style w:type="paragraph" w:styleId="Title">
    <w:name w:val="Title"/>
    <w:basedOn w:val="Heading"/>
    <w:next w:val="BodyText"/>
    <w:qFormat/>
    <w:pPr>
      <w:jc w:val="center"/>
    </w:pPr>
    <w:rPr>
      <w:b/>
      <w:bCs/>
      <w:sz w:val="56"/>
      <w:szCs w:val="56"/>
    </w:rPr>
  </w:style>
  <w:style w:type="paragraph" w:styleId="Subtitle">
    <w:name w:val="Subtitle"/>
    <w:basedOn w:val="Heading"/>
    <w:next w:val="BodyText"/>
    <w:qFormat/>
    <w:pPr>
      <w:spacing w:before="60"/>
      <w:jc w:val="center"/>
    </w:pPr>
    <w:rPr>
      <w:sz w:val="36"/>
      <w:szCs w:val="36"/>
    </w:rPr>
  </w:style>
  <w:style w:type="paragraph" w:customStyle="1" w:styleId="TableIndexHeading">
    <w:name w:val="Table Index Heading"/>
    <w:basedOn w:val="Heading"/>
    <w:qFormat/>
    <w:pPr>
      <w:suppressLineNumbers/>
    </w:pPr>
    <w:rPr>
      <w:b/>
      <w:bCs/>
      <w:sz w:val="32"/>
      <w:szCs w:val="32"/>
    </w:rPr>
  </w:style>
  <w:style w:type="paragraph" w:styleId="BodyTextIndent">
    <w:name w:val="Body Text Indent"/>
    <w:basedOn w:val="BodyText"/>
    <w:pPr>
      <w:ind w:left="283"/>
    </w:pPr>
  </w:style>
  <w:style w:type="paragraph" w:customStyle="1" w:styleId="UserIndex1">
    <w:name w:val="User Index 1"/>
    <w:basedOn w:val="Index"/>
    <w:qFormat/>
    <w:pPr>
      <w:tabs>
        <w:tab w:val="right" w:leader="dot" w:pos="9638"/>
      </w:tabs>
    </w:pPr>
  </w:style>
  <w:style w:type="paragraph" w:customStyle="1" w:styleId="UserIndex2">
    <w:name w:val="User Index 2"/>
    <w:basedOn w:val="Index"/>
    <w:qFormat/>
    <w:pPr>
      <w:tabs>
        <w:tab w:val="right" w:leader="dot" w:pos="9355"/>
      </w:tabs>
      <w:ind w:left="283"/>
    </w:pPr>
  </w:style>
  <w:style w:type="paragraph" w:customStyle="1" w:styleId="UserIndex3">
    <w:name w:val="User Index 3"/>
    <w:basedOn w:val="Index"/>
    <w:qFormat/>
    <w:pPr>
      <w:tabs>
        <w:tab w:val="right" w:leader="dot" w:pos="9072"/>
      </w:tabs>
      <w:ind w:left="566"/>
    </w:pPr>
  </w:style>
  <w:style w:type="paragraph" w:customStyle="1" w:styleId="UserIndex4">
    <w:name w:val="User Index 4"/>
    <w:basedOn w:val="Index"/>
    <w:qFormat/>
    <w:pPr>
      <w:tabs>
        <w:tab w:val="right" w:leader="dot" w:pos="8789"/>
      </w:tabs>
      <w:ind w:left="849"/>
    </w:pPr>
  </w:style>
  <w:style w:type="paragraph" w:customStyle="1" w:styleId="UserIndex5">
    <w:name w:val="User Index 5"/>
    <w:basedOn w:val="Index"/>
    <w:qFormat/>
    <w:pPr>
      <w:tabs>
        <w:tab w:val="right" w:leader="dot" w:pos="8506"/>
      </w:tabs>
      <w:ind w:left="1132"/>
    </w:pPr>
  </w:style>
  <w:style w:type="paragraph" w:customStyle="1" w:styleId="UserIndex6">
    <w:name w:val="User Index 6"/>
    <w:basedOn w:val="Index"/>
    <w:qFormat/>
    <w:pPr>
      <w:tabs>
        <w:tab w:val="right" w:leader="dot" w:pos="8223"/>
      </w:tabs>
      <w:ind w:left="1415"/>
    </w:pPr>
  </w:style>
  <w:style w:type="paragraph" w:customStyle="1" w:styleId="UserIndex7">
    <w:name w:val="User Index 7"/>
    <w:basedOn w:val="Index"/>
    <w:qFormat/>
    <w:pPr>
      <w:tabs>
        <w:tab w:val="right" w:leader="dot" w:pos="7940"/>
      </w:tabs>
      <w:ind w:left="1698"/>
    </w:pPr>
  </w:style>
  <w:style w:type="paragraph" w:customStyle="1" w:styleId="UserIndex8">
    <w:name w:val="User Index 8"/>
    <w:basedOn w:val="Index"/>
    <w:qFormat/>
    <w:pPr>
      <w:tabs>
        <w:tab w:val="right" w:leader="dot" w:pos="7657"/>
      </w:tabs>
      <w:ind w:left="1981"/>
    </w:pPr>
  </w:style>
  <w:style w:type="paragraph" w:customStyle="1" w:styleId="UserIndex9">
    <w:name w:val="User Index 9"/>
    <w:basedOn w:val="Index"/>
    <w:qFormat/>
    <w:pPr>
      <w:tabs>
        <w:tab w:val="right" w:leader="dot" w:pos="7374"/>
      </w:tabs>
      <w:ind w:left="2264"/>
    </w:pPr>
  </w:style>
  <w:style w:type="paragraph" w:customStyle="1" w:styleId="UserIndex10">
    <w:name w:val="User Index 10"/>
    <w:basedOn w:val="Index"/>
    <w:qFormat/>
    <w:pPr>
      <w:tabs>
        <w:tab w:val="right" w:leader="dot" w:pos="7091"/>
      </w:tabs>
      <w:ind w:left="2547"/>
    </w:pPr>
  </w:style>
  <w:style w:type="paragraph" w:customStyle="1" w:styleId="UserIndexHeading">
    <w:name w:val="User Index Heading"/>
    <w:basedOn w:val="Heading"/>
    <w:qFormat/>
    <w:pPr>
      <w:suppressLineNumbers/>
    </w:pPr>
    <w:rPr>
      <w:b/>
      <w:bCs/>
      <w:sz w:val="32"/>
      <w:szCs w:val="32"/>
    </w:rPr>
  </w:style>
  <w:style w:type="paragraph" w:customStyle="1" w:styleId="TableIndex1">
    <w:name w:val="Table Index 1"/>
    <w:basedOn w:val="Index"/>
    <w:qFormat/>
    <w:pPr>
      <w:tabs>
        <w:tab w:val="right" w:leader="dot" w:pos="9638"/>
      </w:tabs>
    </w:pPr>
  </w:style>
  <w:style w:type="paragraph" w:styleId="Signature">
    <w:name w:val="Signature"/>
    <w:basedOn w:val="Normal"/>
    <w:pPr>
      <w:suppressLineNumbers/>
    </w:pPr>
  </w:style>
  <w:style w:type="paragraph" w:customStyle="1" w:styleId="Table">
    <w:name w:val="Table"/>
    <w:basedOn w:val="Caption"/>
    <w:qFormat/>
  </w:style>
  <w:style w:type="paragraph" w:customStyle="1" w:styleId="Numbering2Cont">
    <w:name w:val="Numbering 2 Cont."/>
    <w:basedOn w:val="List"/>
    <w:qFormat/>
    <w:pPr>
      <w:spacing w:before="0" w:after="120"/>
      <w:ind w:left="720"/>
    </w:pPr>
  </w:style>
  <w:style w:type="paragraph" w:customStyle="1" w:styleId="Numbering2End">
    <w:name w:val="Numbering 2 End"/>
    <w:basedOn w:val="List"/>
    <w:next w:val="ListNumber2"/>
    <w:qFormat/>
    <w:pPr>
      <w:spacing w:before="0" w:after="240"/>
      <w:ind w:left="720" w:hanging="360"/>
    </w:pPr>
  </w:style>
  <w:style w:type="paragraph" w:styleId="ListNumber2">
    <w:name w:val="List Number 2"/>
    <w:basedOn w:val="List"/>
    <w:pPr>
      <w:spacing w:before="0" w:after="120"/>
      <w:ind w:left="720" w:hanging="360"/>
    </w:pPr>
  </w:style>
  <w:style w:type="paragraph" w:customStyle="1" w:styleId="Numbering2Start">
    <w:name w:val="Numbering 2 Start"/>
    <w:basedOn w:val="List"/>
    <w:next w:val="ListNumber2"/>
    <w:qFormat/>
    <w:pPr>
      <w:spacing w:before="240" w:after="120"/>
      <w:ind w:left="720" w:hanging="360"/>
    </w:pPr>
  </w:style>
  <w:style w:type="paragraph" w:styleId="ListNumber3">
    <w:name w:val="List Number 3"/>
    <w:basedOn w:val="List"/>
    <w:pPr>
      <w:spacing w:before="0" w:after="120"/>
      <w:ind w:left="1080" w:hanging="360"/>
    </w:pPr>
  </w:style>
  <w:style w:type="paragraph" w:customStyle="1" w:styleId="Numbering3Cont">
    <w:name w:val="Numbering 3 Cont."/>
    <w:basedOn w:val="List"/>
    <w:qFormat/>
    <w:pPr>
      <w:spacing w:before="0" w:after="120"/>
      <w:ind w:left="1080"/>
    </w:pPr>
  </w:style>
  <w:style w:type="paragraph" w:customStyle="1" w:styleId="Numbering3End">
    <w:name w:val="Numbering 3 End"/>
    <w:basedOn w:val="List"/>
    <w:next w:val="ListNumber3"/>
    <w:qFormat/>
    <w:pPr>
      <w:spacing w:before="0" w:after="240"/>
      <w:ind w:left="1080" w:hanging="360"/>
    </w:pPr>
  </w:style>
  <w:style w:type="paragraph" w:customStyle="1" w:styleId="Numbering3Start">
    <w:name w:val="Numbering 3 Start"/>
    <w:basedOn w:val="List"/>
    <w:next w:val="ListNumber3"/>
    <w:qFormat/>
    <w:pPr>
      <w:spacing w:before="240" w:after="120"/>
      <w:ind w:left="1080" w:hanging="360"/>
    </w:pPr>
  </w:style>
  <w:style w:type="paragraph" w:styleId="ListNumber4">
    <w:name w:val="List Number 4"/>
    <w:basedOn w:val="List"/>
    <w:pPr>
      <w:spacing w:before="0" w:after="120"/>
      <w:ind w:left="1440" w:hanging="360"/>
    </w:pPr>
  </w:style>
  <w:style w:type="paragraph" w:customStyle="1" w:styleId="Numbering4Cont">
    <w:name w:val="Numbering 4 Cont."/>
    <w:basedOn w:val="List"/>
    <w:qFormat/>
    <w:pPr>
      <w:spacing w:before="0" w:after="120"/>
      <w:ind w:left="1440"/>
    </w:pPr>
  </w:style>
  <w:style w:type="paragraph" w:customStyle="1" w:styleId="Numbering4End">
    <w:name w:val="Numbering 4 End"/>
    <w:basedOn w:val="List"/>
    <w:next w:val="ListNumber4"/>
    <w:qFormat/>
    <w:pPr>
      <w:spacing w:before="0" w:after="240"/>
      <w:ind w:left="1440" w:hanging="360"/>
    </w:pPr>
  </w:style>
  <w:style w:type="paragraph" w:customStyle="1" w:styleId="Numbering4Start">
    <w:name w:val="Numbering 4 Start"/>
    <w:basedOn w:val="List"/>
    <w:next w:val="ListNumber4"/>
    <w:qFormat/>
    <w:pPr>
      <w:spacing w:before="240" w:after="120"/>
      <w:ind w:left="1440" w:hanging="360"/>
    </w:pPr>
  </w:style>
  <w:style w:type="paragraph" w:styleId="ListNumber5">
    <w:name w:val="List Number 5"/>
    <w:basedOn w:val="List"/>
    <w:pPr>
      <w:spacing w:before="0" w:after="120"/>
      <w:ind w:left="1800" w:hanging="360"/>
    </w:pPr>
  </w:style>
  <w:style w:type="paragraph" w:customStyle="1" w:styleId="Numbering5Cont">
    <w:name w:val="Numbering 5 Cont."/>
    <w:basedOn w:val="List"/>
    <w:qFormat/>
    <w:pPr>
      <w:spacing w:before="0" w:after="120"/>
      <w:ind w:left="1800"/>
    </w:pPr>
  </w:style>
  <w:style w:type="paragraph" w:customStyle="1" w:styleId="Numbering5End">
    <w:name w:val="Numbering 5 End"/>
    <w:basedOn w:val="List"/>
    <w:next w:val="ListNumber5"/>
    <w:qFormat/>
    <w:pPr>
      <w:spacing w:before="0" w:after="240"/>
      <w:ind w:left="1800" w:hanging="360"/>
    </w:pPr>
  </w:style>
  <w:style w:type="paragraph" w:customStyle="1" w:styleId="Numbering5Start">
    <w:name w:val="Numbering 5 Start"/>
    <w:basedOn w:val="List"/>
    <w:next w:val="ListNumber5"/>
    <w:qFormat/>
    <w:pPr>
      <w:spacing w:before="240" w:after="120"/>
      <w:ind w:left="1800" w:hanging="360"/>
    </w:pPr>
  </w:style>
  <w:style w:type="paragraph" w:customStyle="1" w:styleId="ObjectIndex1">
    <w:name w:val="Object Index 1"/>
    <w:basedOn w:val="Index"/>
    <w:qFormat/>
    <w:pPr>
      <w:tabs>
        <w:tab w:val="right" w:leader="dot" w:pos="9638"/>
      </w:tabs>
    </w:pPr>
  </w:style>
  <w:style w:type="paragraph" w:customStyle="1" w:styleId="ObjectIndexHeading">
    <w:name w:val="Object Index Heading"/>
    <w:basedOn w:val="Heading"/>
    <w:qFormat/>
    <w:pPr>
      <w:suppressLineNumbers/>
    </w:pPr>
    <w:rPr>
      <w:b/>
      <w:bCs/>
      <w:sz w:val="32"/>
      <w:szCs w:val="32"/>
    </w:rPr>
  </w:style>
  <w:style w:type="paragraph" w:styleId="ListNumber">
    <w:name w:val="List Number"/>
    <w:basedOn w:val="List"/>
    <w:pPr>
      <w:spacing w:before="0" w:after="120"/>
      <w:ind w:left="1800" w:hanging="360"/>
    </w:pPr>
  </w:style>
  <w:style w:type="paragraph" w:styleId="ListContinue5">
    <w:name w:val="List Continue 5"/>
    <w:basedOn w:val="List"/>
    <w:pPr>
      <w:spacing w:before="0" w:after="120"/>
      <w:ind w:left="1800"/>
    </w:pPr>
  </w:style>
  <w:style w:type="paragraph" w:customStyle="1" w:styleId="List5End">
    <w:name w:val="List 5 End"/>
    <w:basedOn w:val="List"/>
    <w:next w:val="ListNumber"/>
    <w:qFormat/>
    <w:pPr>
      <w:spacing w:before="0" w:after="240"/>
      <w:ind w:left="1800" w:hanging="360"/>
    </w:pPr>
  </w:style>
  <w:style w:type="paragraph" w:customStyle="1" w:styleId="List5Start">
    <w:name w:val="List 5 Start"/>
    <w:basedOn w:val="List"/>
    <w:next w:val="ListNumber"/>
    <w:qFormat/>
    <w:pPr>
      <w:spacing w:before="240" w:after="120"/>
      <w:ind w:left="1800" w:hanging="360"/>
    </w:pPr>
  </w:style>
  <w:style w:type="paragraph" w:customStyle="1" w:styleId="ListContents">
    <w:name w:val="List Contents"/>
    <w:basedOn w:val="Normal"/>
    <w:qFormat/>
    <w:pPr>
      <w:ind w:left="567"/>
    </w:pPr>
  </w:style>
  <w:style w:type="paragraph" w:customStyle="1" w:styleId="ListHeading">
    <w:name w:val="List Heading"/>
    <w:basedOn w:val="Normal"/>
    <w:next w:val="ListContents"/>
    <w:qFormat/>
  </w:style>
  <w:style w:type="paragraph" w:styleId="CommentText">
    <w:name w:val="annotation text"/>
    <w:basedOn w:val="BodyText"/>
    <w:link w:val="CommentTextChar"/>
    <w:pPr>
      <w:ind w:left="2268"/>
    </w:pPr>
  </w:style>
  <w:style w:type="paragraph" w:customStyle="1" w:styleId="Numbering1Cont">
    <w:name w:val="Numbering 1 Cont."/>
    <w:basedOn w:val="List"/>
    <w:qFormat/>
    <w:pPr>
      <w:spacing w:before="0" w:after="120"/>
      <w:ind w:left="360"/>
    </w:pPr>
  </w:style>
  <w:style w:type="paragraph" w:customStyle="1" w:styleId="Numbering1End">
    <w:name w:val="Numbering 1 End"/>
    <w:basedOn w:val="List"/>
    <w:next w:val="List3"/>
    <w:qFormat/>
    <w:pPr>
      <w:spacing w:before="0" w:after="240"/>
      <w:ind w:left="360" w:hanging="360"/>
    </w:pPr>
  </w:style>
  <w:style w:type="paragraph" w:customStyle="1" w:styleId="Numbering1Start">
    <w:name w:val="Numbering 1 Start"/>
    <w:basedOn w:val="List"/>
    <w:next w:val="List3"/>
    <w:qFormat/>
    <w:pPr>
      <w:spacing w:before="240" w:after="120"/>
      <w:ind w:left="360" w:hanging="360"/>
    </w:pPr>
  </w:style>
  <w:style w:type="paragraph" w:customStyle="1" w:styleId="List4Start">
    <w:name w:val="List 4 Start"/>
    <w:basedOn w:val="List"/>
    <w:next w:val="ListBullet5"/>
    <w:qFormat/>
    <w:pPr>
      <w:spacing w:before="240" w:after="120"/>
      <w:ind w:left="1440" w:hanging="360"/>
    </w:pPr>
  </w:style>
  <w:style w:type="paragraph" w:styleId="ListBullet5">
    <w:name w:val="List Bullet 5"/>
    <w:basedOn w:val="List"/>
    <w:pPr>
      <w:spacing w:before="0" w:after="120"/>
      <w:ind w:left="1440" w:hanging="360"/>
    </w:pPr>
  </w:style>
  <w:style w:type="paragraph" w:customStyle="1" w:styleId="List4End">
    <w:name w:val="List 4 End"/>
    <w:basedOn w:val="List"/>
    <w:next w:val="ListBullet5"/>
    <w:qFormat/>
    <w:pPr>
      <w:spacing w:before="0" w:after="240"/>
      <w:ind w:left="1440" w:hanging="360"/>
    </w:pPr>
  </w:style>
  <w:style w:type="paragraph" w:styleId="ListContinue3">
    <w:name w:val="List Continue 3"/>
    <w:basedOn w:val="List"/>
    <w:pPr>
      <w:spacing w:before="0" w:after="120"/>
      <w:ind w:left="1080"/>
    </w:pPr>
  </w:style>
  <w:style w:type="paragraph" w:customStyle="1" w:styleId="List3End">
    <w:name w:val="List 3 End"/>
    <w:basedOn w:val="List"/>
    <w:next w:val="ListBullet4"/>
    <w:qFormat/>
    <w:pPr>
      <w:spacing w:before="0" w:after="240"/>
      <w:ind w:left="1080" w:hanging="360"/>
    </w:pPr>
  </w:style>
  <w:style w:type="paragraph" w:styleId="ListBullet4">
    <w:name w:val="List Bullet 4"/>
    <w:basedOn w:val="List"/>
    <w:pPr>
      <w:spacing w:before="0" w:after="120"/>
      <w:ind w:left="1080" w:hanging="360"/>
    </w:pPr>
  </w:style>
  <w:style w:type="paragraph" w:customStyle="1" w:styleId="List3Start">
    <w:name w:val="List 3 Start"/>
    <w:basedOn w:val="List"/>
    <w:next w:val="ListBullet4"/>
    <w:qFormat/>
    <w:pPr>
      <w:spacing w:before="240" w:after="120"/>
      <w:ind w:left="1080" w:hanging="360"/>
    </w:pPr>
  </w:style>
  <w:style w:type="paragraph" w:styleId="ListContinue4">
    <w:name w:val="List Continue 4"/>
    <w:basedOn w:val="List"/>
    <w:pPr>
      <w:spacing w:before="0" w:after="120"/>
      <w:ind w:left="1440"/>
    </w:pPr>
  </w:style>
  <w:style w:type="paragraph" w:styleId="ListContinue">
    <w:name w:val="List Continue"/>
    <w:basedOn w:val="List"/>
    <w:pPr>
      <w:spacing w:before="0" w:after="120"/>
      <w:ind w:left="360"/>
    </w:pPr>
  </w:style>
  <w:style w:type="paragraph" w:customStyle="1" w:styleId="List1End">
    <w:name w:val="List 1 End"/>
    <w:basedOn w:val="List"/>
    <w:next w:val="List2"/>
    <w:qFormat/>
    <w:pPr>
      <w:spacing w:before="0" w:after="240"/>
      <w:ind w:left="360" w:hanging="360"/>
    </w:pPr>
  </w:style>
  <w:style w:type="paragraph" w:customStyle="1" w:styleId="List1Start">
    <w:name w:val="List 1 Start"/>
    <w:basedOn w:val="List"/>
    <w:next w:val="List2"/>
    <w:qFormat/>
    <w:pPr>
      <w:spacing w:before="240" w:after="120"/>
      <w:ind w:left="360" w:hanging="360"/>
    </w:pPr>
  </w:style>
  <w:style w:type="paragraph" w:styleId="ListContinue2">
    <w:name w:val="List Continue 2"/>
    <w:basedOn w:val="List"/>
    <w:pPr>
      <w:spacing w:before="0" w:after="120"/>
      <w:ind w:left="720"/>
    </w:pPr>
  </w:style>
  <w:style w:type="paragraph" w:customStyle="1" w:styleId="List2End">
    <w:name w:val="List 2 End"/>
    <w:basedOn w:val="List"/>
    <w:next w:val="ListBullet3"/>
    <w:qFormat/>
    <w:pPr>
      <w:spacing w:before="0" w:after="240"/>
      <w:ind w:left="720" w:hanging="360"/>
    </w:pPr>
  </w:style>
  <w:style w:type="paragraph" w:customStyle="1" w:styleId="List2Start">
    <w:name w:val="List 2 Start"/>
    <w:basedOn w:val="List"/>
    <w:next w:val="ListBullet3"/>
    <w:qFormat/>
    <w:pPr>
      <w:spacing w:before="240" w:after="120"/>
      <w:ind w:left="720" w:hanging="360"/>
    </w:pPr>
  </w:style>
  <w:style w:type="paragraph" w:styleId="Index1">
    <w:name w:val="index 1"/>
    <w:basedOn w:val="Index"/>
  </w:style>
  <w:style w:type="paragraph" w:styleId="Index2">
    <w:name w:val="index 2"/>
    <w:basedOn w:val="Index"/>
    <w:pPr>
      <w:ind w:left="283"/>
    </w:pPr>
  </w:style>
  <w:style w:type="paragraph" w:styleId="Index3">
    <w:name w:val="index 3"/>
    <w:basedOn w:val="Index"/>
    <w:pPr>
      <w:ind w:left="566"/>
    </w:pPr>
  </w:style>
  <w:style w:type="paragraph" w:styleId="IndexHeading">
    <w:name w:val="index heading"/>
    <w:basedOn w:val="Heading"/>
    <w:pPr>
      <w:suppressLineNumbers/>
    </w:pPr>
    <w:rPr>
      <w:b/>
      <w:bCs/>
      <w:sz w:val="32"/>
      <w:szCs w:val="32"/>
    </w:rPr>
  </w:style>
  <w:style w:type="paragraph" w:customStyle="1" w:styleId="IndexSeparator">
    <w:name w:val="Index Separator"/>
    <w:basedOn w:val="Index"/>
    <w:qFormat/>
  </w:style>
  <w:style w:type="paragraph" w:customStyle="1" w:styleId="HorizontalLine">
    <w:name w:val="Horizontal Line"/>
    <w:basedOn w:val="Normal"/>
    <w:next w:val="BodyText"/>
    <w:qFormat/>
    <w:pPr>
      <w:suppressLineNumbers/>
      <w:pBdr>
        <w:bottom w:val="double" w:sz="2" w:space="0" w:color="808080"/>
      </w:pBdr>
      <w:spacing w:after="283"/>
    </w:pPr>
    <w:rPr>
      <w:sz w:val="12"/>
      <w:szCs w:val="12"/>
    </w:rPr>
  </w:style>
  <w:style w:type="paragraph" w:customStyle="1" w:styleId="IllustrationIndex1">
    <w:name w:val="Illustration Index 1"/>
    <w:basedOn w:val="Index"/>
    <w:qFormat/>
    <w:pPr>
      <w:tabs>
        <w:tab w:val="right" w:leader="dot" w:pos="9638"/>
      </w:tabs>
    </w:pPr>
  </w:style>
  <w:style w:type="paragraph" w:customStyle="1" w:styleId="IllustrationIndexHeading">
    <w:name w:val="Illustration Index Heading"/>
    <w:basedOn w:val="Heading"/>
    <w:qFormat/>
    <w:pPr>
      <w:suppressLineNumbers/>
    </w:pPr>
    <w:rPr>
      <w:b/>
      <w:bCs/>
      <w:sz w:val="32"/>
      <w:szCs w:val="32"/>
    </w:rPr>
  </w:style>
  <w:style w:type="paragraph" w:customStyle="1" w:styleId="HeaderLeft">
    <w:name w:val="Header Left"/>
    <w:basedOn w:val="Normal"/>
    <w:qFormat/>
    <w:pPr>
      <w:suppressLineNumbers/>
      <w:tabs>
        <w:tab w:val="center" w:pos="4819"/>
        <w:tab w:val="right" w:pos="9638"/>
      </w:tabs>
    </w:pPr>
  </w:style>
  <w:style w:type="paragraph" w:customStyle="1" w:styleId="HeaderRight">
    <w:name w:val="Header Right"/>
    <w:basedOn w:val="Normal"/>
    <w:qFormat/>
    <w:pPr>
      <w:suppressLineNumbers/>
      <w:tabs>
        <w:tab w:val="center" w:pos="4819"/>
        <w:tab w:val="right" w:pos="9638"/>
      </w:tabs>
    </w:pPr>
  </w:style>
  <w:style w:type="paragraph" w:styleId="EnvelopeReturn">
    <w:name w:val="envelope return"/>
    <w:basedOn w:val="Normal"/>
    <w:pPr>
      <w:suppressLineNumbers/>
      <w:spacing w:before="0" w:after="60"/>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qFormat/>
    <w:pPr>
      <w:tabs>
        <w:tab w:val="right" w:leader="dot" w:pos="7091"/>
      </w:tabs>
      <w:ind w:left="2547"/>
    </w:pPr>
  </w:style>
  <w:style w:type="paragraph" w:styleId="TableofFigures">
    <w:name w:val="table of figures"/>
    <w:basedOn w:val="Caption"/>
  </w:style>
  <w:style w:type="paragraph" w:styleId="EndnoteText">
    <w:name w:val="endnote text"/>
    <w:basedOn w:val="Normal"/>
    <w:pPr>
      <w:suppressLineNumbers/>
      <w:ind w:left="339" w:hanging="339"/>
    </w:pPr>
    <w:rPr>
      <w:sz w:val="20"/>
      <w:szCs w:val="20"/>
    </w:rPr>
  </w:style>
  <w:style w:type="paragraph" w:styleId="BodyTextFirstIndent">
    <w:name w:val="Body Text First Indent"/>
    <w:basedOn w:val="BodyText"/>
    <w:pPr>
      <w:ind w:firstLine="283"/>
    </w:pPr>
  </w:style>
  <w:style w:type="paragraph" w:customStyle="1" w:styleId="FooterLeft">
    <w:name w:val="Footer Left"/>
    <w:basedOn w:val="Normal"/>
    <w:qFormat/>
    <w:pPr>
      <w:suppressLineNumbers/>
      <w:tabs>
        <w:tab w:val="center" w:pos="4819"/>
        <w:tab w:val="right" w:pos="9638"/>
      </w:tabs>
    </w:pPr>
  </w:style>
  <w:style w:type="paragraph" w:customStyle="1" w:styleId="FooterRight">
    <w:name w:val="Footer Right"/>
    <w:basedOn w:val="Normal"/>
    <w:qFormat/>
    <w:pPr>
      <w:suppressLineNumbers/>
      <w:tabs>
        <w:tab w:val="center" w:pos="4819"/>
        <w:tab w:val="right" w:pos="9638"/>
      </w:tabs>
    </w:pPr>
  </w:style>
  <w:style w:type="paragraph" w:styleId="EnvelopeAddress">
    <w:name w:val="envelope address"/>
    <w:basedOn w:val="Normal"/>
    <w:pPr>
      <w:suppressLineNumbers/>
      <w:spacing w:before="0" w:after="60"/>
    </w:pPr>
  </w:style>
  <w:style w:type="paragraph" w:customStyle="1" w:styleId="Bibliography1">
    <w:name w:val="Bibliography 1"/>
    <w:basedOn w:val="Index"/>
    <w:qFormat/>
    <w:pPr>
      <w:tabs>
        <w:tab w:val="right" w:leader="dot" w:pos="9638"/>
      </w:tabs>
    </w:pPr>
  </w:style>
  <w:style w:type="paragraph" w:styleId="TableofAuthorities">
    <w:name w:val="table of authorities"/>
    <w:basedOn w:val="Heading"/>
    <w:pPr>
      <w:suppressLineNumbers/>
    </w:pPr>
    <w:rPr>
      <w:b/>
      <w:bCs/>
      <w:sz w:val="32"/>
      <w:szCs w:val="32"/>
    </w:rPr>
  </w:style>
  <w:style w:type="paragraph" w:styleId="Salutation">
    <w:name w:val="Salutation"/>
    <w:basedOn w:val="Normal"/>
    <w:pPr>
      <w:suppressLineNumbers/>
    </w:pPr>
  </w:style>
  <w:style w:type="paragraph" w:customStyle="1" w:styleId="HangingIndent">
    <w:name w:val="Hanging Indent"/>
    <w:basedOn w:val="BodyText"/>
    <w:qFormat/>
    <w:pPr>
      <w:tabs>
        <w:tab w:val="left" w:pos="0"/>
      </w:tabs>
      <w:ind w:left="567" w:hanging="283"/>
    </w:pPr>
  </w:style>
  <w:style w:type="numbering" w:customStyle="1" w:styleId="Numbering1">
    <w:name w:val="Numbering 1"/>
    <w:qFormat/>
  </w:style>
  <w:style w:type="numbering" w:customStyle="1" w:styleId="List1">
    <w:name w:val="List 1"/>
    <w:qFormat/>
  </w:style>
  <w:style w:type="paragraph" w:styleId="BalloonText">
    <w:name w:val="Balloon Text"/>
    <w:basedOn w:val="Normal"/>
    <w:link w:val="BalloonTextChar"/>
    <w:uiPriority w:val="99"/>
    <w:semiHidden/>
    <w:unhideWhenUsed/>
    <w:rsid w:val="00E0301A"/>
    <w:pPr>
      <w:spacing w:before="0" w:after="0" w:line="240" w:lineRule="auto"/>
    </w:pPr>
    <w:rPr>
      <w:rFonts w:ascii="Tahoma" w:hAnsi="Tahoma" w:cs="Mangal"/>
      <w:sz w:val="16"/>
      <w:szCs w:val="14"/>
    </w:rPr>
  </w:style>
  <w:style w:type="character" w:customStyle="1" w:styleId="BalloonTextChar">
    <w:name w:val="Balloon Text Char"/>
    <w:basedOn w:val="DefaultParagraphFont"/>
    <w:link w:val="BalloonText"/>
    <w:uiPriority w:val="99"/>
    <w:semiHidden/>
    <w:rsid w:val="00E0301A"/>
    <w:rPr>
      <w:rFonts w:ascii="Tahoma" w:hAnsi="Tahoma" w:cs="Mangal"/>
      <w:sz w:val="16"/>
      <w:szCs w:val="14"/>
    </w:rPr>
  </w:style>
  <w:style w:type="character" w:styleId="CommentReference">
    <w:name w:val="annotation reference"/>
    <w:basedOn w:val="DefaultParagraphFont"/>
    <w:uiPriority w:val="99"/>
    <w:semiHidden/>
    <w:unhideWhenUsed/>
    <w:rsid w:val="007B4A14"/>
    <w:rPr>
      <w:sz w:val="16"/>
      <w:szCs w:val="16"/>
    </w:rPr>
  </w:style>
  <w:style w:type="paragraph" w:styleId="CommentSubject">
    <w:name w:val="annotation subject"/>
    <w:basedOn w:val="CommentText"/>
    <w:next w:val="CommentText"/>
    <w:link w:val="CommentSubjectChar"/>
    <w:uiPriority w:val="99"/>
    <w:semiHidden/>
    <w:unhideWhenUsed/>
    <w:rsid w:val="007B4A14"/>
    <w:pPr>
      <w:spacing w:before="57" w:after="57" w:line="240" w:lineRule="auto"/>
      <w:ind w:left="0"/>
    </w:pPr>
    <w:rPr>
      <w:rFonts w:cs="Mangal"/>
      <w:b/>
      <w:bCs/>
      <w:sz w:val="20"/>
    </w:rPr>
  </w:style>
  <w:style w:type="character" w:customStyle="1" w:styleId="BodyTextChar">
    <w:name w:val="Body Text Char"/>
    <w:basedOn w:val="DefaultParagraphFont"/>
    <w:link w:val="BodyText"/>
    <w:rsid w:val="007B4A14"/>
    <w:rPr>
      <w:rFonts w:ascii="Arial" w:hAnsi="Arial"/>
      <w:sz w:val="18"/>
      <w:szCs w:val="18"/>
    </w:rPr>
  </w:style>
  <w:style w:type="character" w:customStyle="1" w:styleId="CommentTextChar">
    <w:name w:val="Comment Text Char"/>
    <w:basedOn w:val="BodyTextChar"/>
    <w:link w:val="CommentText"/>
    <w:rsid w:val="007B4A14"/>
    <w:rPr>
      <w:rFonts w:ascii="Arial" w:hAnsi="Arial"/>
      <w:sz w:val="18"/>
      <w:szCs w:val="18"/>
    </w:rPr>
  </w:style>
  <w:style w:type="character" w:customStyle="1" w:styleId="CommentSubjectChar">
    <w:name w:val="Comment Subject Char"/>
    <w:basedOn w:val="CommentTextChar"/>
    <w:link w:val="CommentSubject"/>
    <w:uiPriority w:val="99"/>
    <w:semiHidden/>
    <w:rsid w:val="007B4A14"/>
    <w:rPr>
      <w:rFonts w:ascii="Arial" w:hAnsi="Arial" w:cs="Mangal"/>
      <w:b/>
      <w:bCs/>
      <w:sz w:val="20"/>
      <w:szCs w:val="18"/>
    </w:rPr>
  </w:style>
  <w:style w:type="paragraph" w:customStyle="1" w:styleId="Default">
    <w:name w:val="Default"/>
    <w:rsid w:val="00B35FB7"/>
    <w:pPr>
      <w:autoSpaceDE w:val="0"/>
      <w:autoSpaceDN w:val="0"/>
      <w:adjustRightInd w:val="0"/>
    </w:pPr>
    <w:rPr>
      <w:rFonts w:ascii="Arial" w:hAnsi="Arial" w:cs="Arial"/>
      <w:color w:val="000000"/>
      <w:lang w:bidi="ar-SA"/>
    </w:rPr>
  </w:style>
  <w:style w:type="character" w:styleId="Hyperlink">
    <w:name w:val="Hyperlink"/>
    <w:basedOn w:val="DefaultParagraphFont"/>
    <w:uiPriority w:val="99"/>
    <w:unhideWhenUsed/>
    <w:rsid w:val="004D4CCF"/>
    <w:rPr>
      <w:color w:val="0000FF" w:themeColor="hyperlink"/>
      <w:u w:val="single"/>
    </w:rPr>
  </w:style>
  <w:style w:type="character" w:customStyle="1" w:styleId="UnresolvedMention">
    <w:name w:val="Unresolved Mention"/>
    <w:basedOn w:val="DefaultParagraphFont"/>
    <w:uiPriority w:val="99"/>
    <w:semiHidden/>
    <w:unhideWhenUsed/>
    <w:rsid w:val="004D4CCF"/>
    <w:rPr>
      <w:color w:val="808080"/>
      <w:shd w:val="clear" w:color="auto" w:fill="E6E6E6"/>
    </w:rPr>
  </w:style>
  <w:style w:type="paragraph" w:styleId="Revision">
    <w:name w:val="Revision"/>
    <w:hidden/>
    <w:uiPriority w:val="99"/>
    <w:semiHidden/>
    <w:rsid w:val="008F1E1B"/>
    <w:rPr>
      <w:rFonts w:ascii="Arial" w:hAnsi="Arial" w:cs="Mangal"/>
      <w:sz w:val="18"/>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Arial Unicode MS"/>
        <w:sz w:val="24"/>
        <w:szCs w:val="24"/>
        <w:lang w:val="en-GB" w:eastAsia="zh-CN" w:bidi="hi-I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pacing w:before="57" w:after="57" w:line="360" w:lineRule="auto"/>
      <w:jc w:val="both"/>
    </w:pPr>
    <w:rPr>
      <w:rFonts w:ascii="Arial" w:hAnsi="Arial"/>
      <w:sz w:val="18"/>
      <w:szCs w:val="18"/>
    </w:rPr>
  </w:style>
  <w:style w:type="paragraph" w:styleId="Heading1">
    <w:name w:val="heading 1"/>
    <w:basedOn w:val="Heading"/>
    <w:next w:val="BodyText"/>
    <w:qFormat/>
    <w:pPr>
      <w:pageBreakBefore/>
      <w:numPr>
        <w:numId w:val="1"/>
      </w:numPr>
      <w:pBdr>
        <w:bottom w:val="single" w:sz="2" w:space="1" w:color="000000"/>
      </w:pBdr>
      <w:tabs>
        <w:tab w:val="right" w:pos="9638"/>
      </w:tabs>
      <w:spacing w:before="57" w:after="227" w:line="240" w:lineRule="auto"/>
      <w:outlineLvl w:val="0"/>
    </w:pPr>
    <w:rPr>
      <w:b/>
      <w:bCs/>
      <w:szCs w:val="32"/>
    </w:rPr>
  </w:style>
  <w:style w:type="paragraph" w:styleId="Heading2">
    <w:name w:val="heading 2"/>
    <w:basedOn w:val="Heading"/>
    <w:next w:val="BodyText"/>
    <w:qFormat/>
    <w:pPr>
      <w:numPr>
        <w:ilvl w:val="1"/>
        <w:numId w:val="1"/>
      </w:numPr>
      <w:tabs>
        <w:tab w:val="left" w:pos="446"/>
      </w:tabs>
      <w:spacing w:before="227" w:after="170"/>
      <w:ind w:left="0" w:firstLine="0"/>
      <w:outlineLvl w:val="1"/>
    </w:pPr>
    <w:rPr>
      <w:i/>
      <w:iCs/>
      <w:sz w:val="20"/>
      <w:szCs w:val="20"/>
    </w:rPr>
  </w:style>
  <w:style w:type="paragraph" w:styleId="Heading3">
    <w:name w:val="heading 3"/>
    <w:basedOn w:val="Heading"/>
    <w:next w:val="BodyText"/>
    <w:qFormat/>
    <w:pPr>
      <w:numPr>
        <w:ilvl w:val="2"/>
        <w:numId w:val="1"/>
      </w:numPr>
      <w:spacing w:before="113" w:after="113"/>
      <w:outlineLvl w:val="2"/>
    </w:pPr>
    <w:rPr>
      <w:b/>
      <w:bCs/>
      <w:i/>
      <w:iCs/>
      <w:sz w:val="18"/>
      <w:szCs w:val="18"/>
    </w:rPr>
  </w:style>
  <w:style w:type="paragraph" w:styleId="Heading4">
    <w:name w:val="heading 4"/>
    <w:basedOn w:val="Heading"/>
    <w:next w:val="BodyText"/>
    <w:qFormat/>
    <w:pPr>
      <w:numPr>
        <w:ilvl w:val="3"/>
        <w:numId w:val="1"/>
      </w:numPr>
      <w:spacing w:before="119" w:after="119"/>
      <w:jc w:val="left"/>
      <w:outlineLvl w:val="3"/>
    </w:pPr>
    <w:rPr>
      <w:b/>
      <w:bCs/>
      <w:sz w:val="20"/>
      <w:szCs w:val="20"/>
    </w:rPr>
  </w:style>
  <w:style w:type="paragraph" w:styleId="Heading5">
    <w:name w:val="heading 5"/>
    <w:basedOn w:val="Heading"/>
    <w:next w:val="BodyText"/>
    <w:qFormat/>
    <w:pPr>
      <w:numPr>
        <w:ilvl w:val="4"/>
        <w:numId w:val="1"/>
      </w:numPr>
      <w:outlineLvl w:val="4"/>
    </w:pPr>
    <w:rPr>
      <w:b/>
      <w:bCs/>
      <w:sz w:val="24"/>
      <w:szCs w:val="24"/>
    </w:rPr>
  </w:style>
  <w:style w:type="paragraph" w:styleId="Heading6">
    <w:name w:val="heading 6"/>
    <w:basedOn w:val="Heading"/>
    <w:next w:val="BodyText"/>
    <w:qFormat/>
    <w:pPr>
      <w:numPr>
        <w:ilvl w:val="5"/>
        <w:numId w:val="1"/>
      </w:numPr>
      <w:outlineLvl w:val="5"/>
    </w:pPr>
    <w:rPr>
      <w:b/>
      <w:bCs/>
      <w:sz w:val="21"/>
      <w:szCs w:val="21"/>
    </w:rPr>
  </w:style>
  <w:style w:type="paragraph" w:styleId="Heading7">
    <w:name w:val="heading 7"/>
    <w:basedOn w:val="Heading"/>
    <w:next w:val="BodyText"/>
    <w:qFormat/>
    <w:pPr>
      <w:numPr>
        <w:ilvl w:val="6"/>
        <w:numId w:val="1"/>
      </w:numPr>
      <w:outlineLvl w:val="6"/>
    </w:pPr>
    <w:rPr>
      <w:b/>
      <w:bCs/>
      <w:sz w:val="21"/>
      <w:szCs w:val="21"/>
    </w:rPr>
  </w:style>
  <w:style w:type="paragraph" w:styleId="Heading8">
    <w:name w:val="heading 8"/>
    <w:basedOn w:val="Heading"/>
    <w:next w:val="BodyText"/>
    <w:qFormat/>
    <w:pPr>
      <w:numPr>
        <w:ilvl w:val="7"/>
        <w:numId w:val="1"/>
      </w:numPr>
      <w:outlineLvl w:val="7"/>
    </w:pPr>
    <w:rPr>
      <w:b/>
      <w:bCs/>
      <w:sz w:val="21"/>
      <w:szCs w:val="21"/>
    </w:rPr>
  </w:style>
  <w:style w:type="paragraph" w:styleId="Heading9">
    <w:name w:val="heading 9"/>
    <w:basedOn w:val="Heading"/>
    <w:next w:val="BodyText"/>
    <w:qFormat/>
    <w:pPr>
      <w:numPr>
        <w:ilvl w:val="8"/>
        <w:numId w:val="1"/>
      </w:numPr>
      <w:outlineLvl w:val="8"/>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umberingSymbols">
    <w:name w:val="Numbering Symbols"/>
    <w:qFormat/>
  </w:style>
  <w:style w:type="character" w:customStyle="1" w:styleId="InternetLink">
    <w:name w:val="Internet Link"/>
    <w:rPr>
      <w:color w:val="000080"/>
      <w:u w:val="single"/>
    </w:rPr>
  </w:style>
  <w:style w:type="character" w:customStyle="1" w:styleId="IndexLink">
    <w:name w:val="Index Link"/>
    <w:qFormat/>
  </w:style>
  <w:style w:type="character" w:customStyle="1" w:styleId="Bullets">
    <w:name w:val="Bullets"/>
    <w:qFormat/>
    <w:rPr>
      <w:rFonts w:ascii="OpenSymbol" w:eastAsia="OpenSymbol" w:hAnsi="OpenSymbol" w:cs="OpenSymbol"/>
    </w:rPr>
  </w:style>
  <w:style w:type="character" w:customStyle="1" w:styleId="FootnoteCharacters">
    <w:name w:val="Footnote Characters"/>
    <w:qFormat/>
  </w:style>
  <w:style w:type="character" w:customStyle="1" w:styleId="FootnoteAnchor">
    <w:name w:val="Footnote Anchor"/>
    <w:rPr>
      <w:vertAlign w:val="superscript"/>
    </w:rPr>
  </w:style>
  <w:style w:type="character" w:customStyle="1" w:styleId="SourceCodeRed">
    <w:name w:val="Source Code Red"/>
    <w:qFormat/>
    <w:rPr>
      <w:rFonts w:ascii="Courier" w:hAnsi="Courier"/>
      <w:b/>
      <w:bCs/>
      <w:color w:val="FF0000"/>
      <w:sz w:val="16"/>
      <w:szCs w:val="16"/>
      <w:u w:val="none"/>
    </w:rPr>
  </w:style>
  <w:style w:type="character" w:customStyle="1" w:styleId="SourceCodeBlue">
    <w:name w:val="Source Code Blue"/>
    <w:basedOn w:val="SourceText"/>
    <w:qFormat/>
    <w:rPr>
      <w:rFonts w:ascii="Courier" w:eastAsia="Courier New" w:hAnsi="Courier" w:cs="Courier New"/>
      <w:b/>
      <w:bCs/>
      <w:color w:val="0000FF"/>
      <w:sz w:val="16"/>
      <w:szCs w:val="16"/>
      <w:u w:val="none"/>
    </w:rPr>
  </w:style>
  <w:style w:type="character" w:customStyle="1" w:styleId="SourceText">
    <w:name w:val="Source Text"/>
    <w:qFormat/>
    <w:rPr>
      <w:rFonts w:ascii="Courier New" w:eastAsia="Courier New" w:hAnsi="Courier New" w:cs="Courier New"/>
    </w:rPr>
  </w:style>
  <w:style w:type="character" w:customStyle="1" w:styleId="StrongEmphasis">
    <w:name w:val="Strong Emphasis"/>
    <w:qFormat/>
    <w:rPr>
      <w:b/>
      <w:bCs/>
    </w:rPr>
  </w:style>
  <w:style w:type="character" w:styleId="Emphasis">
    <w:name w:val="Emphasis"/>
    <w:qFormat/>
    <w:rPr>
      <w:i/>
      <w:iCs/>
    </w:rPr>
  </w:style>
  <w:style w:type="character" w:customStyle="1" w:styleId="Tobeupdateddefaultdocs">
    <w:name w:val="To be updated (default docs)"/>
    <w:qFormat/>
    <w:rPr>
      <w:rFonts w:ascii="Arial" w:hAnsi="Arial"/>
      <w:b/>
      <w:bCs/>
      <w:color w:val="800000"/>
      <w:sz w:val="18"/>
      <w:szCs w:val="18"/>
    </w:rPr>
  </w:style>
  <w:style w:type="character" w:customStyle="1" w:styleId="VisitedInternetLink">
    <w:name w:val="Visited Internet Link"/>
    <w:rPr>
      <w:color w:val="800000"/>
      <w:u w:val="single"/>
    </w:rPr>
  </w:style>
  <w:style w:type="paragraph" w:customStyle="1" w:styleId="Heading">
    <w:name w:val="Heading"/>
    <w:basedOn w:val="Normal"/>
    <w:next w:val="BodyText"/>
    <w:qFormat/>
    <w:pPr>
      <w:keepNext/>
      <w:spacing w:before="240" w:after="120"/>
    </w:pPr>
    <w:rPr>
      <w:sz w:val="28"/>
      <w:szCs w:val="28"/>
    </w:rPr>
  </w:style>
  <w:style w:type="paragraph" w:styleId="BodyText">
    <w:name w:val="Body Text"/>
    <w:basedOn w:val="Normal"/>
    <w:link w:val="BodyTextChar"/>
    <w:pPr>
      <w:spacing w:before="113" w:after="119"/>
    </w:pPr>
  </w:style>
  <w:style w:type="paragraph" w:styleId="List">
    <w:name w:val="List"/>
    <w:basedOn w:val="BodyText"/>
  </w:style>
  <w:style w:type="paragraph" w:styleId="Caption">
    <w:name w:val="caption"/>
    <w:basedOn w:val="Normal"/>
    <w:qFormat/>
    <w:pPr>
      <w:suppressLineNumbers/>
      <w:spacing w:before="120" w:after="120"/>
    </w:pPr>
    <w:rPr>
      <w:i/>
      <w:iCs/>
      <w:sz w:val="24"/>
      <w:szCs w:val="24"/>
    </w:rPr>
  </w:style>
  <w:style w:type="paragraph" w:customStyle="1" w:styleId="Index">
    <w:name w:val="Index"/>
    <w:basedOn w:val="Normal"/>
    <w:qFormat/>
    <w:pPr>
      <w:suppressLineNumbers/>
    </w:pPr>
  </w:style>
  <w:style w:type="paragraph" w:styleId="Header">
    <w:name w:val="header"/>
    <w:basedOn w:val="Normal"/>
    <w:pPr>
      <w:suppressLineNumbers/>
      <w:tabs>
        <w:tab w:val="center" w:pos="4819"/>
        <w:tab w:val="right" w:pos="9638"/>
      </w:tabs>
    </w:pPr>
    <w:rPr>
      <w:sz w:val="16"/>
      <w:szCs w:val="20"/>
    </w:rPr>
  </w:style>
  <w:style w:type="paragraph" w:customStyle="1" w:styleId="TableContents">
    <w:name w:val="Table Contents"/>
    <w:basedOn w:val="Normal"/>
    <w:qFormat/>
    <w:pPr>
      <w:suppressLineNumbers/>
      <w:spacing w:before="11" w:after="11"/>
      <w:ind w:right="57"/>
    </w:pPr>
  </w:style>
  <w:style w:type="paragraph" w:styleId="Footer">
    <w:name w:val="footer"/>
    <w:basedOn w:val="Normal"/>
    <w:pPr>
      <w:suppressLineNumbers/>
      <w:tabs>
        <w:tab w:val="center" w:pos="4819"/>
        <w:tab w:val="right" w:pos="9638"/>
      </w:tabs>
    </w:pPr>
    <w:rPr>
      <w:sz w:val="16"/>
      <w:szCs w:val="22"/>
    </w:rPr>
  </w:style>
  <w:style w:type="paragraph" w:styleId="TOAHeading">
    <w:name w:val="toa heading"/>
    <w:basedOn w:val="Heading"/>
    <w:pPr>
      <w:suppressLineNumbers/>
    </w:pPr>
    <w:rPr>
      <w:b/>
      <w:bCs/>
      <w:sz w:val="32"/>
      <w:szCs w:val="32"/>
    </w:rPr>
  </w:style>
  <w:style w:type="paragraph" w:styleId="TOC1">
    <w:name w:val="toc 1"/>
    <w:basedOn w:val="Index"/>
    <w:pPr>
      <w:spacing w:before="170" w:after="113" w:line="240" w:lineRule="auto"/>
    </w:pPr>
  </w:style>
  <w:style w:type="paragraph" w:styleId="TOC2">
    <w:name w:val="toc 2"/>
    <w:basedOn w:val="Index"/>
    <w:pPr>
      <w:spacing w:line="264" w:lineRule="auto"/>
      <w:ind w:left="283"/>
    </w:pPr>
  </w:style>
  <w:style w:type="paragraph" w:styleId="TOC3">
    <w:name w:val="toc 3"/>
    <w:basedOn w:val="Index"/>
    <w:pPr>
      <w:tabs>
        <w:tab w:val="right" w:leader="dot" w:pos="9072"/>
      </w:tabs>
      <w:spacing w:line="240" w:lineRule="auto"/>
      <w:ind w:left="794"/>
    </w:pPr>
  </w:style>
  <w:style w:type="paragraph" w:customStyle="1" w:styleId="ListIndent">
    <w:name w:val="List Indent"/>
    <w:basedOn w:val="BodyText"/>
    <w:qFormat/>
    <w:pPr>
      <w:tabs>
        <w:tab w:val="left" w:pos="0"/>
      </w:tabs>
      <w:ind w:left="2835" w:hanging="2551"/>
    </w:pPr>
  </w:style>
  <w:style w:type="paragraph" w:customStyle="1" w:styleId="BulletList1">
    <w:name w:val="Bullet List 1"/>
    <w:basedOn w:val="Normal"/>
    <w:qFormat/>
    <w:pPr>
      <w:numPr>
        <w:numId w:val="3"/>
      </w:numPr>
      <w:spacing w:after="170"/>
      <w:ind w:left="397"/>
      <w:jc w:val="left"/>
    </w:pPr>
  </w:style>
  <w:style w:type="paragraph" w:customStyle="1" w:styleId="ReferenceList">
    <w:name w:val="Reference List"/>
    <w:basedOn w:val="BodyText"/>
    <w:qFormat/>
    <w:pPr>
      <w:tabs>
        <w:tab w:val="left" w:pos="1416"/>
      </w:tabs>
      <w:spacing w:before="0" w:after="113"/>
      <w:jc w:val="left"/>
    </w:pPr>
  </w:style>
  <w:style w:type="paragraph" w:customStyle="1" w:styleId="PreformattedText">
    <w:name w:val="Preformatted Text"/>
    <w:basedOn w:val="Normal"/>
    <w:qFormat/>
    <w:pPr>
      <w:spacing w:after="0"/>
    </w:pPr>
    <w:rPr>
      <w:rFonts w:ascii="Courier New" w:eastAsia="Courier New" w:hAnsi="Courier New" w:cs="Courier New"/>
      <w:sz w:val="20"/>
      <w:szCs w:val="20"/>
    </w:rPr>
  </w:style>
  <w:style w:type="paragraph" w:customStyle="1" w:styleId="BulletList2">
    <w:name w:val="Bullet List 2"/>
    <w:basedOn w:val="BulletList1"/>
    <w:qFormat/>
    <w:pPr>
      <w:spacing w:after="57"/>
      <w:ind w:left="567"/>
    </w:pPr>
  </w:style>
  <w:style w:type="paragraph" w:customStyle="1" w:styleId="Text">
    <w:name w:val="Text"/>
    <w:basedOn w:val="Caption"/>
    <w:qFormat/>
  </w:style>
  <w:style w:type="paragraph" w:styleId="List2">
    <w:name w:val="List 2"/>
    <w:basedOn w:val="List"/>
    <w:pPr>
      <w:spacing w:before="0" w:after="120"/>
      <w:ind w:left="360" w:hanging="360"/>
    </w:pPr>
  </w:style>
  <w:style w:type="paragraph" w:styleId="ListBullet3">
    <w:name w:val="List Bullet 3"/>
    <w:basedOn w:val="List"/>
    <w:pPr>
      <w:spacing w:before="0" w:after="120"/>
      <w:ind w:left="720" w:hanging="360"/>
    </w:pPr>
  </w:style>
  <w:style w:type="paragraph" w:styleId="FootnoteText">
    <w:name w:val="footnote text"/>
    <w:basedOn w:val="Normal"/>
    <w:pPr>
      <w:suppressLineNumbers/>
      <w:ind w:left="339" w:hanging="339"/>
    </w:pPr>
    <w:rPr>
      <w:sz w:val="16"/>
      <w:szCs w:val="16"/>
    </w:rPr>
  </w:style>
  <w:style w:type="paragraph" w:customStyle="1" w:styleId="Illustration">
    <w:name w:val="Illustration"/>
    <w:basedOn w:val="Caption"/>
    <w:qFormat/>
    <w:pPr>
      <w:jc w:val="center"/>
    </w:pPr>
    <w:rPr>
      <w:sz w:val="16"/>
      <w:szCs w:val="16"/>
    </w:rPr>
  </w:style>
  <w:style w:type="paragraph" w:customStyle="1" w:styleId="SourceCode">
    <w:name w:val="Source Code"/>
    <w:basedOn w:val="TableContents"/>
    <w:qFormat/>
    <w:pPr>
      <w:spacing w:before="0" w:after="91" w:line="204" w:lineRule="exact"/>
      <w:jc w:val="left"/>
    </w:pPr>
    <w:rPr>
      <w:rFonts w:ascii="Courier" w:hAnsi="Courier"/>
      <w:sz w:val="16"/>
      <w:szCs w:val="16"/>
    </w:rPr>
  </w:style>
  <w:style w:type="paragraph" w:customStyle="1" w:styleId="TableHeading">
    <w:name w:val="Table Heading"/>
    <w:basedOn w:val="TableContents"/>
    <w:qFormat/>
    <w:pPr>
      <w:jc w:val="center"/>
    </w:pPr>
    <w:rPr>
      <w:b/>
      <w:bCs/>
    </w:rPr>
  </w:style>
  <w:style w:type="paragraph" w:styleId="TOC4">
    <w:name w:val="toc 4"/>
    <w:basedOn w:val="Index"/>
    <w:pPr>
      <w:tabs>
        <w:tab w:val="right" w:leader="dot" w:pos="8789"/>
      </w:tabs>
      <w:spacing w:line="240" w:lineRule="auto"/>
      <w:ind w:left="584"/>
    </w:pPr>
  </w:style>
  <w:style w:type="paragraph" w:customStyle="1" w:styleId="FrameContents">
    <w:name w:val="Frame Contents"/>
    <w:basedOn w:val="BodyText"/>
    <w:qFormat/>
  </w:style>
  <w:style w:type="paragraph" w:customStyle="1" w:styleId="BulletList1Text">
    <w:name w:val="Bullet List 1 Text"/>
    <w:basedOn w:val="BodyText"/>
    <w:qFormat/>
    <w:pPr>
      <w:ind w:left="397"/>
    </w:pPr>
  </w:style>
  <w:style w:type="paragraph" w:customStyle="1" w:styleId="Heading10">
    <w:name w:val="Heading 10"/>
    <w:basedOn w:val="Heading"/>
    <w:next w:val="BodyText"/>
    <w:qFormat/>
    <w:pPr>
      <w:tabs>
        <w:tab w:val="num" w:pos="1584"/>
      </w:tabs>
      <w:ind w:left="1584" w:hanging="1584"/>
      <w:outlineLvl w:val="8"/>
    </w:pPr>
    <w:rPr>
      <w:b/>
      <w:bCs/>
      <w:sz w:val="21"/>
      <w:szCs w:val="21"/>
    </w:rPr>
  </w:style>
  <w:style w:type="paragraph" w:styleId="List3">
    <w:name w:val="List 3"/>
    <w:basedOn w:val="List"/>
    <w:pPr>
      <w:spacing w:before="0" w:after="120"/>
      <w:ind w:left="360" w:hanging="360"/>
    </w:pPr>
  </w:style>
  <w:style w:type="paragraph" w:customStyle="1" w:styleId="LetterList1">
    <w:name w:val="Letter List 1"/>
    <w:basedOn w:val="BulletList1"/>
    <w:qFormat/>
    <w:pPr>
      <w:numPr>
        <w:numId w:val="2"/>
      </w:numPr>
      <w:ind w:left="558" w:hanging="301"/>
    </w:pPr>
  </w:style>
  <w:style w:type="paragraph" w:customStyle="1" w:styleId="Quotations">
    <w:name w:val="Quotations"/>
    <w:basedOn w:val="Normal"/>
    <w:qFormat/>
    <w:pPr>
      <w:spacing w:after="283"/>
      <w:ind w:left="567" w:right="567"/>
    </w:pPr>
  </w:style>
  <w:style w:type="paragraph" w:styleId="Title">
    <w:name w:val="Title"/>
    <w:basedOn w:val="Heading"/>
    <w:next w:val="BodyText"/>
    <w:qFormat/>
    <w:pPr>
      <w:jc w:val="center"/>
    </w:pPr>
    <w:rPr>
      <w:b/>
      <w:bCs/>
      <w:sz w:val="56"/>
      <w:szCs w:val="56"/>
    </w:rPr>
  </w:style>
  <w:style w:type="paragraph" w:styleId="Subtitle">
    <w:name w:val="Subtitle"/>
    <w:basedOn w:val="Heading"/>
    <w:next w:val="BodyText"/>
    <w:qFormat/>
    <w:pPr>
      <w:spacing w:before="60"/>
      <w:jc w:val="center"/>
    </w:pPr>
    <w:rPr>
      <w:sz w:val="36"/>
      <w:szCs w:val="36"/>
    </w:rPr>
  </w:style>
  <w:style w:type="paragraph" w:customStyle="1" w:styleId="TableIndexHeading">
    <w:name w:val="Table Index Heading"/>
    <w:basedOn w:val="Heading"/>
    <w:qFormat/>
    <w:pPr>
      <w:suppressLineNumbers/>
    </w:pPr>
    <w:rPr>
      <w:b/>
      <w:bCs/>
      <w:sz w:val="32"/>
      <w:szCs w:val="32"/>
    </w:rPr>
  </w:style>
  <w:style w:type="paragraph" w:styleId="BodyTextIndent">
    <w:name w:val="Body Text Indent"/>
    <w:basedOn w:val="BodyText"/>
    <w:pPr>
      <w:ind w:left="283"/>
    </w:pPr>
  </w:style>
  <w:style w:type="paragraph" w:customStyle="1" w:styleId="UserIndex1">
    <w:name w:val="User Index 1"/>
    <w:basedOn w:val="Index"/>
    <w:qFormat/>
    <w:pPr>
      <w:tabs>
        <w:tab w:val="right" w:leader="dot" w:pos="9638"/>
      </w:tabs>
    </w:pPr>
  </w:style>
  <w:style w:type="paragraph" w:customStyle="1" w:styleId="UserIndex2">
    <w:name w:val="User Index 2"/>
    <w:basedOn w:val="Index"/>
    <w:qFormat/>
    <w:pPr>
      <w:tabs>
        <w:tab w:val="right" w:leader="dot" w:pos="9355"/>
      </w:tabs>
      <w:ind w:left="283"/>
    </w:pPr>
  </w:style>
  <w:style w:type="paragraph" w:customStyle="1" w:styleId="UserIndex3">
    <w:name w:val="User Index 3"/>
    <w:basedOn w:val="Index"/>
    <w:qFormat/>
    <w:pPr>
      <w:tabs>
        <w:tab w:val="right" w:leader="dot" w:pos="9072"/>
      </w:tabs>
      <w:ind w:left="566"/>
    </w:pPr>
  </w:style>
  <w:style w:type="paragraph" w:customStyle="1" w:styleId="UserIndex4">
    <w:name w:val="User Index 4"/>
    <w:basedOn w:val="Index"/>
    <w:qFormat/>
    <w:pPr>
      <w:tabs>
        <w:tab w:val="right" w:leader="dot" w:pos="8789"/>
      </w:tabs>
      <w:ind w:left="849"/>
    </w:pPr>
  </w:style>
  <w:style w:type="paragraph" w:customStyle="1" w:styleId="UserIndex5">
    <w:name w:val="User Index 5"/>
    <w:basedOn w:val="Index"/>
    <w:qFormat/>
    <w:pPr>
      <w:tabs>
        <w:tab w:val="right" w:leader="dot" w:pos="8506"/>
      </w:tabs>
      <w:ind w:left="1132"/>
    </w:pPr>
  </w:style>
  <w:style w:type="paragraph" w:customStyle="1" w:styleId="UserIndex6">
    <w:name w:val="User Index 6"/>
    <w:basedOn w:val="Index"/>
    <w:qFormat/>
    <w:pPr>
      <w:tabs>
        <w:tab w:val="right" w:leader="dot" w:pos="8223"/>
      </w:tabs>
      <w:ind w:left="1415"/>
    </w:pPr>
  </w:style>
  <w:style w:type="paragraph" w:customStyle="1" w:styleId="UserIndex7">
    <w:name w:val="User Index 7"/>
    <w:basedOn w:val="Index"/>
    <w:qFormat/>
    <w:pPr>
      <w:tabs>
        <w:tab w:val="right" w:leader="dot" w:pos="7940"/>
      </w:tabs>
      <w:ind w:left="1698"/>
    </w:pPr>
  </w:style>
  <w:style w:type="paragraph" w:customStyle="1" w:styleId="UserIndex8">
    <w:name w:val="User Index 8"/>
    <w:basedOn w:val="Index"/>
    <w:qFormat/>
    <w:pPr>
      <w:tabs>
        <w:tab w:val="right" w:leader="dot" w:pos="7657"/>
      </w:tabs>
      <w:ind w:left="1981"/>
    </w:pPr>
  </w:style>
  <w:style w:type="paragraph" w:customStyle="1" w:styleId="UserIndex9">
    <w:name w:val="User Index 9"/>
    <w:basedOn w:val="Index"/>
    <w:qFormat/>
    <w:pPr>
      <w:tabs>
        <w:tab w:val="right" w:leader="dot" w:pos="7374"/>
      </w:tabs>
      <w:ind w:left="2264"/>
    </w:pPr>
  </w:style>
  <w:style w:type="paragraph" w:customStyle="1" w:styleId="UserIndex10">
    <w:name w:val="User Index 10"/>
    <w:basedOn w:val="Index"/>
    <w:qFormat/>
    <w:pPr>
      <w:tabs>
        <w:tab w:val="right" w:leader="dot" w:pos="7091"/>
      </w:tabs>
      <w:ind w:left="2547"/>
    </w:pPr>
  </w:style>
  <w:style w:type="paragraph" w:customStyle="1" w:styleId="UserIndexHeading">
    <w:name w:val="User Index Heading"/>
    <w:basedOn w:val="Heading"/>
    <w:qFormat/>
    <w:pPr>
      <w:suppressLineNumbers/>
    </w:pPr>
    <w:rPr>
      <w:b/>
      <w:bCs/>
      <w:sz w:val="32"/>
      <w:szCs w:val="32"/>
    </w:rPr>
  </w:style>
  <w:style w:type="paragraph" w:customStyle="1" w:styleId="TableIndex1">
    <w:name w:val="Table Index 1"/>
    <w:basedOn w:val="Index"/>
    <w:qFormat/>
    <w:pPr>
      <w:tabs>
        <w:tab w:val="right" w:leader="dot" w:pos="9638"/>
      </w:tabs>
    </w:pPr>
  </w:style>
  <w:style w:type="paragraph" w:styleId="Signature">
    <w:name w:val="Signature"/>
    <w:basedOn w:val="Normal"/>
    <w:pPr>
      <w:suppressLineNumbers/>
    </w:pPr>
  </w:style>
  <w:style w:type="paragraph" w:customStyle="1" w:styleId="Table">
    <w:name w:val="Table"/>
    <w:basedOn w:val="Caption"/>
    <w:qFormat/>
  </w:style>
  <w:style w:type="paragraph" w:customStyle="1" w:styleId="Numbering2Cont">
    <w:name w:val="Numbering 2 Cont."/>
    <w:basedOn w:val="List"/>
    <w:qFormat/>
    <w:pPr>
      <w:spacing w:before="0" w:after="120"/>
      <w:ind w:left="720"/>
    </w:pPr>
  </w:style>
  <w:style w:type="paragraph" w:customStyle="1" w:styleId="Numbering2End">
    <w:name w:val="Numbering 2 End"/>
    <w:basedOn w:val="List"/>
    <w:next w:val="ListNumber2"/>
    <w:qFormat/>
    <w:pPr>
      <w:spacing w:before="0" w:after="240"/>
      <w:ind w:left="720" w:hanging="360"/>
    </w:pPr>
  </w:style>
  <w:style w:type="paragraph" w:styleId="ListNumber2">
    <w:name w:val="List Number 2"/>
    <w:basedOn w:val="List"/>
    <w:pPr>
      <w:spacing w:before="0" w:after="120"/>
      <w:ind w:left="720" w:hanging="360"/>
    </w:pPr>
  </w:style>
  <w:style w:type="paragraph" w:customStyle="1" w:styleId="Numbering2Start">
    <w:name w:val="Numbering 2 Start"/>
    <w:basedOn w:val="List"/>
    <w:next w:val="ListNumber2"/>
    <w:qFormat/>
    <w:pPr>
      <w:spacing w:before="240" w:after="120"/>
      <w:ind w:left="720" w:hanging="360"/>
    </w:pPr>
  </w:style>
  <w:style w:type="paragraph" w:styleId="ListNumber3">
    <w:name w:val="List Number 3"/>
    <w:basedOn w:val="List"/>
    <w:pPr>
      <w:spacing w:before="0" w:after="120"/>
      <w:ind w:left="1080" w:hanging="360"/>
    </w:pPr>
  </w:style>
  <w:style w:type="paragraph" w:customStyle="1" w:styleId="Numbering3Cont">
    <w:name w:val="Numbering 3 Cont."/>
    <w:basedOn w:val="List"/>
    <w:qFormat/>
    <w:pPr>
      <w:spacing w:before="0" w:after="120"/>
      <w:ind w:left="1080"/>
    </w:pPr>
  </w:style>
  <w:style w:type="paragraph" w:customStyle="1" w:styleId="Numbering3End">
    <w:name w:val="Numbering 3 End"/>
    <w:basedOn w:val="List"/>
    <w:next w:val="ListNumber3"/>
    <w:qFormat/>
    <w:pPr>
      <w:spacing w:before="0" w:after="240"/>
      <w:ind w:left="1080" w:hanging="360"/>
    </w:pPr>
  </w:style>
  <w:style w:type="paragraph" w:customStyle="1" w:styleId="Numbering3Start">
    <w:name w:val="Numbering 3 Start"/>
    <w:basedOn w:val="List"/>
    <w:next w:val="ListNumber3"/>
    <w:qFormat/>
    <w:pPr>
      <w:spacing w:before="240" w:after="120"/>
      <w:ind w:left="1080" w:hanging="360"/>
    </w:pPr>
  </w:style>
  <w:style w:type="paragraph" w:styleId="ListNumber4">
    <w:name w:val="List Number 4"/>
    <w:basedOn w:val="List"/>
    <w:pPr>
      <w:spacing w:before="0" w:after="120"/>
      <w:ind w:left="1440" w:hanging="360"/>
    </w:pPr>
  </w:style>
  <w:style w:type="paragraph" w:customStyle="1" w:styleId="Numbering4Cont">
    <w:name w:val="Numbering 4 Cont."/>
    <w:basedOn w:val="List"/>
    <w:qFormat/>
    <w:pPr>
      <w:spacing w:before="0" w:after="120"/>
      <w:ind w:left="1440"/>
    </w:pPr>
  </w:style>
  <w:style w:type="paragraph" w:customStyle="1" w:styleId="Numbering4End">
    <w:name w:val="Numbering 4 End"/>
    <w:basedOn w:val="List"/>
    <w:next w:val="ListNumber4"/>
    <w:qFormat/>
    <w:pPr>
      <w:spacing w:before="0" w:after="240"/>
      <w:ind w:left="1440" w:hanging="360"/>
    </w:pPr>
  </w:style>
  <w:style w:type="paragraph" w:customStyle="1" w:styleId="Numbering4Start">
    <w:name w:val="Numbering 4 Start"/>
    <w:basedOn w:val="List"/>
    <w:next w:val="ListNumber4"/>
    <w:qFormat/>
    <w:pPr>
      <w:spacing w:before="240" w:after="120"/>
      <w:ind w:left="1440" w:hanging="360"/>
    </w:pPr>
  </w:style>
  <w:style w:type="paragraph" w:styleId="ListNumber5">
    <w:name w:val="List Number 5"/>
    <w:basedOn w:val="List"/>
    <w:pPr>
      <w:spacing w:before="0" w:after="120"/>
      <w:ind w:left="1800" w:hanging="360"/>
    </w:pPr>
  </w:style>
  <w:style w:type="paragraph" w:customStyle="1" w:styleId="Numbering5Cont">
    <w:name w:val="Numbering 5 Cont."/>
    <w:basedOn w:val="List"/>
    <w:qFormat/>
    <w:pPr>
      <w:spacing w:before="0" w:after="120"/>
      <w:ind w:left="1800"/>
    </w:pPr>
  </w:style>
  <w:style w:type="paragraph" w:customStyle="1" w:styleId="Numbering5End">
    <w:name w:val="Numbering 5 End"/>
    <w:basedOn w:val="List"/>
    <w:next w:val="ListNumber5"/>
    <w:qFormat/>
    <w:pPr>
      <w:spacing w:before="0" w:after="240"/>
      <w:ind w:left="1800" w:hanging="360"/>
    </w:pPr>
  </w:style>
  <w:style w:type="paragraph" w:customStyle="1" w:styleId="Numbering5Start">
    <w:name w:val="Numbering 5 Start"/>
    <w:basedOn w:val="List"/>
    <w:next w:val="ListNumber5"/>
    <w:qFormat/>
    <w:pPr>
      <w:spacing w:before="240" w:after="120"/>
      <w:ind w:left="1800" w:hanging="360"/>
    </w:pPr>
  </w:style>
  <w:style w:type="paragraph" w:customStyle="1" w:styleId="ObjectIndex1">
    <w:name w:val="Object Index 1"/>
    <w:basedOn w:val="Index"/>
    <w:qFormat/>
    <w:pPr>
      <w:tabs>
        <w:tab w:val="right" w:leader="dot" w:pos="9638"/>
      </w:tabs>
    </w:pPr>
  </w:style>
  <w:style w:type="paragraph" w:customStyle="1" w:styleId="ObjectIndexHeading">
    <w:name w:val="Object Index Heading"/>
    <w:basedOn w:val="Heading"/>
    <w:qFormat/>
    <w:pPr>
      <w:suppressLineNumbers/>
    </w:pPr>
    <w:rPr>
      <w:b/>
      <w:bCs/>
      <w:sz w:val="32"/>
      <w:szCs w:val="32"/>
    </w:rPr>
  </w:style>
  <w:style w:type="paragraph" w:styleId="ListNumber">
    <w:name w:val="List Number"/>
    <w:basedOn w:val="List"/>
    <w:pPr>
      <w:spacing w:before="0" w:after="120"/>
      <w:ind w:left="1800" w:hanging="360"/>
    </w:pPr>
  </w:style>
  <w:style w:type="paragraph" w:styleId="ListContinue5">
    <w:name w:val="List Continue 5"/>
    <w:basedOn w:val="List"/>
    <w:pPr>
      <w:spacing w:before="0" w:after="120"/>
      <w:ind w:left="1800"/>
    </w:pPr>
  </w:style>
  <w:style w:type="paragraph" w:customStyle="1" w:styleId="List5End">
    <w:name w:val="List 5 End"/>
    <w:basedOn w:val="List"/>
    <w:next w:val="ListNumber"/>
    <w:qFormat/>
    <w:pPr>
      <w:spacing w:before="0" w:after="240"/>
      <w:ind w:left="1800" w:hanging="360"/>
    </w:pPr>
  </w:style>
  <w:style w:type="paragraph" w:customStyle="1" w:styleId="List5Start">
    <w:name w:val="List 5 Start"/>
    <w:basedOn w:val="List"/>
    <w:next w:val="ListNumber"/>
    <w:qFormat/>
    <w:pPr>
      <w:spacing w:before="240" w:after="120"/>
      <w:ind w:left="1800" w:hanging="360"/>
    </w:pPr>
  </w:style>
  <w:style w:type="paragraph" w:customStyle="1" w:styleId="ListContents">
    <w:name w:val="List Contents"/>
    <w:basedOn w:val="Normal"/>
    <w:qFormat/>
    <w:pPr>
      <w:ind w:left="567"/>
    </w:pPr>
  </w:style>
  <w:style w:type="paragraph" w:customStyle="1" w:styleId="ListHeading">
    <w:name w:val="List Heading"/>
    <w:basedOn w:val="Normal"/>
    <w:next w:val="ListContents"/>
    <w:qFormat/>
  </w:style>
  <w:style w:type="paragraph" w:styleId="CommentText">
    <w:name w:val="annotation text"/>
    <w:basedOn w:val="BodyText"/>
    <w:link w:val="CommentTextChar"/>
    <w:pPr>
      <w:ind w:left="2268"/>
    </w:pPr>
  </w:style>
  <w:style w:type="paragraph" w:customStyle="1" w:styleId="Numbering1Cont">
    <w:name w:val="Numbering 1 Cont."/>
    <w:basedOn w:val="List"/>
    <w:qFormat/>
    <w:pPr>
      <w:spacing w:before="0" w:after="120"/>
      <w:ind w:left="360"/>
    </w:pPr>
  </w:style>
  <w:style w:type="paragraph" w:customStyle="1" w:styleId="Numbering1End">
    <w:name w:val="Numbering 1 End"/>
    <w:basedOn w:val="List"/>
    <w:next w:val="List3"/>
    <w:qFormat/>
    <w:pPr>
      <w:spacing w:before="0" w:after="240"/>
      <w:ind w:left="360" w:hanging="360"/>
    </w:pPr>
  </w:style>
  <w:style w:type="paragraph" w:customStyle="1" w:styleId="Numbering1Start">
    <w:name w:val="Numbering 1 Start"/>
    <w:basedOn w:val="List"/>
    <w:next w:val="List3"/>
    <w:qFormat/>
    <w:pPr>
      <w:spacing w:before="240" w:after="120"/>
      <w:ind w:left="360" w:hanging="360"/>
    </w:pPr>
  </w:style>
  <w:style w:type="paragraph" w:customStyle="1" w:styleId="List4Start">
    <w:name w:val="List 4 Start"/>
    <w:basedOn w:val="List"/>
    <w:next w:val="ListBullet5"/>
    <w:qFormat/>
    <w:pPr>
      <w:spacing w:before="240" w:after="120"/>
      <w:ind w:left="1440" w:hanging="360"/>
    </w:pPr>
  </w:style>
  <w:style w:type="paragraph" w:styleId="ListBullet5">
    <w:name w:val="List Bullet 5"/>
    <w:basedOn w:val="List"/>
    <w:pPr>
      <w:spacing w:before="0" w:after="120"/>
      <w:ind w:left="1440" w:hanging="360"/>
    </w:pPr>
  </w:style>
  <w:style w:type="paragraph" w:customStyle="1" w:styleId="List4End">
    <w:name w:val="List 4 End"/>
    <w:basedOn w:val="List"/>
    <w:next w:val="ListBullet5"/>
    <w:qFormat/>
    <w:pPr>
      <w:spacing w:before="0" w:after="240"/>
      <w:ind w:left="1440" w:hanging="360"/>
    </w:pPr>
  </w:style>
  <w:style w:type="paragraph" w:styleId="ListContinue3">
    <w:name w:val="List Continue 3"/>
    <w:basedOn w:val="List"/>
    <w:pPr>
      <w:spacing w:before="0" w:after="120"/>
      <w:ind w:left="1080"/>
    </w:pPr>
  </w:style>
  <w:style w:type="paragraph" w:customStyle="1" w:styleId="List3End">
    <w:name w:val="List 3 End"/>
    <w:basedOn w:val="List"/>
    <w:next w:val="ListBullet4"/>
    <w:qFormat/>
    <w:pPr>
      <w:spacing w:before="0" w:after="240"/>
      <w:ind w:left="1080" w:hanging="360"/>
    </w:pPr>
  </w:style>
  <w:style w:type="paragraph" w:styleId="ListBullet4">
    <w:name w:val="List Bullet 4"/>
    <w:basedOn w:val="List"/>
    <w:pPr>
      <w:spacing w:before="0" w:after="120"/>
      <w:ind w:left="1080" w:hanging="360"/>
    </w:pPr>
  </w:style>
  <w:style w:type="paragraph" w:customStyle="1" w:styleId="List3Start">
    <w:name w:val="List 3 Start"/>
    <w:basedOn w:val="List"/>
    <w:next w:val="ListBullet4"/>
    <w:qFormat/>
    <w:pPr>
      <w:spacing w:before="240" w:after="120"/>
      <w:ind w:left="1080" w:hanging="360"/>
    </w:pPr>
  </w:style>
  <w:style w:type="paragraph" w:styleId="ListContinue4">
    <w:name w:val="List Continue 4"/>
    <w:basedOn w:val="List"/>
    <w:pPr>
      <w:spacing w:before="0" w:after="120"/>
      <w:ind w:left="1440"/>
    </w:pPr>
  </w:style>
  <w:style w:type="paragraph" w:styleId="ListContinue">
    <w:name w:val="List Continue"/>
    <w:basedOn w:val="List"/>
    <w:pPr>
      <w:spacing w:before="0" w:after="120"/>
      <w:ind w:left="360"/>
    </w:pPr>
  </w:style>
  <w:style w:type="paragraph" w:customStyle="1" w:styleId="List1End">
    <w:name w:val="List 1 End"/>
    <w:basedOn w:val="List"/>
    <w:next w:val="List2"/>
    <w:qFormat/>
    <w:pPr>
      <w:spacing w:before="0" w:after="240"/>
      <w:ind w:left="360" w:hanging="360"/>
    </w:pPr>
  </w:style>
  <w:style w:type="paragraph" w:customStyle="1" w:styleId="List1Start">
    <w:name w:val="List 1 Start"/>
    <w:basedOn w:val="List"/>
    <w:next w:val="List2"/>
    <w:qFormat/>
    <w:pPr>
      <w:spacing w:before="240" w:after="120"/>
      <w:ind w:left="360" w:hanging="360"/>
    </w:pPr>
  </w:style>
  <w:style w:type="paragraph" w:styleId="ListContinue2">
    <w:name w:val="List Continue 2"/>
    <w:basedOn w:val="List"/>
    <w:pPr>
      <w:spacing w:before="0" w:after="120"/>
      <w:ind w:left="720"/>
    </w:pPr>
  </w:style>
  <w:style w:type="paragraph" w:customStyle="1" w:styleId="List2End">
    <w:name w:val="List 2 End"/>
    <w:basedOn w:val="List"/>
    <w:next w:val="ListBullet3"/>
    <w:qFormat/>
    <w:pPr>
      <w:spacing w:before="0" w:after="240"/>
      <w:ind w:left="720" w:hanging="360"/>
    </w:pPr>
  </w:style>
  <w:style w:type="paragraph" w:customStyle="1" w:styleId="List2Start">
    <w:name w:val="List 2 Start"/>
    <w:basedOn w:val="List"/>
    <w:next w:val="ListBullet3"/>
    <w:qFormat/>
    <w:pPr>
      <w:spacing w:before="240" w:after="120"/>
      <w:ind w:left="720" w:hanging="360"/>
    </w:pPr>
  </w:style>
  <w:style w:type="paragraph" w:styleId="Index1">
    <w:name w:val="index 1"/>
    <w:basedOn w:val="Index"/>
  </w:style>
  <w:style w:type="paragraph" w:styleId="Index2">
    <w:name w:val="index 2"/>
    <w:basedOn w:val="Index"/>
    <w:pPr>
      <w:ind w:left="283"/>
    </w:pPr>
  </w:style>
  <w:style w:type="paragraph" w:styleId="Index3">
    <w:name w:val="index 3"/>
    <w:basedOn w:val="Index"/>
    <w:pPr>
      <w:ind w:left="566"/>
    </w:pPr>
  </w:style>
  <w:style w:type="paragraph" w:styleId="IndexHeading">
    <w:name w:val="index heading"/>
    <w:basedOn w:val="Heading"/>
    <w:pPr>
      <w:suppressLineNumbers/>
    </w:pPr>
    <w:rPr>
      <w:b/>
      <w:bCs/>
      <w:sz w:val="32"/>
      <w:szCs w:val="32"/>
    </w:rPr>
  </w:style>
  <w:style w:type="paragraph" w:customStyle="1" w:styleId="IndexSeparator">
    <w:name w:val="Index Separator"/>
    <w:basedOn w:val="Index"/>
    <w:qFormat/>
  </w:style>
  <w:style w:type="paragraph" w:customStyle="1" w:styleId="HorizontalLine">
    <w:name w:val="Horizontal Line"/>
    <w:basedOn w:val="Normal"/>
    <w:next w:val="BodyText"/>
    <w:qFormat/>
    <w:pPr>
      <w:suppressLineNumbers/>
      <w:pBdr>
        <w:bottom w:val="double" w:sz="2" w:space="0" w:color="808080"/>
      </w:pBdr>
      <w:spacing w:after="283"/>
    </w:pPr>
    <w:rPr>
      <w:sz w:val="12"/>
      <w:szCs w:val="12"/>
    </w:rPr>
  </w:style>
  <w:style w:type="paragraph" w:customStyle="1" w:styleId="IllustrationIndex1">
    <w:name w:val="Illustration Index 1"/>
    <w:basedOn w:val="Index"/>
    <w:qFormat/>
    <w:pPr>
      <w:tabs>
        <w:tab w:val="right" w:leader="dot" w:pos="9638"/>
      </w:tabs>
    </w:pPr>
  </w:style>
  <w:style w:type="paragraph" w:customStyle="1" w:styleId="IllustrationIndexHeading">
    <w:name w:val="Illustration Index Heading"/>
    <w:basedOn w:val="Heading"/>
    <w:qFormat/>
    <w:pPr>
      <w:suppressLineNumbers/>
    </w:pPr>
    <w:rPr>
      <w:b/>
      <w:bCs/>
      <w:sz w:val="32"/>
      <w:szCs w:val="32"/>
    </w:rPr>
  </w:style>
  <w:style w:type="paragraph" w:customStyle="1" w:styleId="HeaderLeft">
    <w:name w:val="Header Left"/>
    <w:basedOn w:val="Normal"/>
    <w:qFormat/>
    <w:pPr>
      <w:suppressLineNumbers/>
      <w:tabs>
        <w:tab w:val="center" w:pos="4819"/>
        <w:tab w:val="right" w:pos="9638"/>
      </w:tabs>
    </w:pPr>
  </w:style>
  <w:style w:type="paragraph" w:customStyle="1" w:styleId="HeaderRight">
    <w:name w:val="Header Right"/>
    <w:basedOn w:val="Normal"/>
    <w:qFormat/>
    <w:pPr>
      <w:suppressLineNumbers/>
      <w:tabs>
        <w:tab w:val="center" w:pos="4819"/>
        <w:tab w:val="right" w:pos="9638"/>
      </w:tabs>
    </w:pPr>
  </w:style>
  <w:style w:type="paragraph" w:styleId="EnvelopeReturn">
    <w:name w:val="envelope return"/>
    <w:basedOn w:val="Normal"/>
    <w:pPr>
      <w:suppressLineNumbers/>
      <w:spacing w:before="0" w:after="60"/>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qFormat/>
    <w:pPr>
      <w:tabs>
        <w:tab w:val="right" w:leader="dot" w:pos="7091"/>
      </w:tabs>
      <w:ind w:left="2547"/>
    </w:pPr>
  </w:style>
  <w:style w:type="paragraph" w:styleId="TableofFigures">
    <w:name w:val="table of figures"/>
    <w:basedOn w:val="Caption"/>
  </w:style>
  <w:style w:type="paragraph" w:styleId="EndnoteText">
    <w:name w:val="endnote text"/>
    <w:basedOn w:val="Normal"/>
    <w:pPr>
      <w:suppressLineNumbers/>
      <w:ind w:left="339" w:hanging="339"/>
    </w:pPr>
    <w:rPr>
      <w:sz w:val="20"/>
      <w:szCs w:val="20"/>
    </w:rPr>
  </w:style>
  <w:style w:type="paragraph" w:styleId="BodyTextFirstIndent">
    <w:name w:val="Body Text First Indent"/>
    <w:basedOn w:val="BodyText"/>
    <w:pPr>
      <w:ind w:firstLine="283"/>
    </w:pPr>
  </w:style>
  <w:style w:type="paragraph" w:customStyle="1" w:styleId="FooterLeft">
    <w:name w:val="Footer Left"/>
    <w:basedOn w:val="Normal"/>
    <w:qFormat/>
    <w:pPr>
      <w:suppressLineNumbers/>
      <w:tabs>
        <w:tab w:val="center" w:pos="4819"/>
        <w:tab w:val="right" w:pos="9638"/>
      </w:tabs>
    </w:pPr>
  </w:style>
  <w:style w:type="paragraph" w:customStyle="1" w:styleId="FooterRight">
    <w:name w:val="Footer Right"/>
    <w:basedOn w:val="Normal"/>
    <w:qFormat/>
    <w:pPr>
      <w:suppressLineNumbers/>
      <w:tabs>
        <w:tab w:val="center" w:pos="4819"/>
        <w:tab w:val="right" w:pos="9638"/>
      </w:tabs>
    </w:pPr>
  </w:style>
  <w:style w:type="paragraph" w:styleId="EnvelopeAddress">
    <w:name w:val="envelope address"/>
    <w:basedOn w:val="Normal"/>
    <w:pPr>
      <w:suppressLineNumbers/>
      <w:spacing w:before="0" w:after="60"/>
    </w:pPr>
  </w:style>
  <w:style w:type="paragraph" w:customStyle="1" w:styleId="Bibliography1">
    <w:name w:val="Bibliography 1"/>
    <w:basedOn w:val="Index"/>
    <w:qFormat/>
    <w:pPr>
      <w:tabs>
        <w:tab w:val="right" w:leader="dot" w:pos="9638"/>
      </w:tabs>
    </w:pPr>
  </w:style>
  <w:style w:type="paragraph" w:styleId="TableofAuthorities">
    <w:name w:val="table of authorities"/>
    <w:basedOn w:val="Heading"/>
    <w:pPr>
      <w:suppressLineNumbers/>
    </w:pPr>
    <w:rPr>
      <w:b/>
      <w:bCs/>
      <w:sz w:val="32"/>
      <w:szCs w:val="32"/>
    </w:rPr>
  </w:style>
  <w:style w:type="paragraph" w:styleId="Salutation">
    <w:name w:val="Salutation"/>
    <w:basedOn w:val="Normal"/>
    <w:pPr>
      <w:suppressLineNumbers/>
    </w:pPr>
  </w:style>
  <w:style w:type="paragraph" w:customStyle="1" w:styleId="HangingIndent">
    <w:name w:val="Hanging Indent"/>
    <w:basedOn w:val="BodyText"/>
    <w:qFormat/>
    <w:pPr>
      <w:tabs>
        <w:tab w:val="left" w:pos="0"/>
      </w:tabs>
      <w:ind w:left="567" w:hanging="283"/>
    </w:pPr>
  </w:style>
  <w:style w:type="numbering" w:customStyle="1" w:styleId="Numbering1">
    <w:name w:val="Numbering 1"/>
    <w:qFormat/>
  </w:style>
  <w:style w:type="numbering" w:customStyle="1" w:styleId="List1">
    <w:name w:val="List 1"/>
    <w:qFormat/>
  </w:style>
  <w:style w:type="paragraph" w:styleId="BalloonText">
    <w:name w:val="Balloon Text"/>
    <w:basedOn w:val="Normal"/>
    <w:link w:val="BalloonTextChar"/>
    <w:uiPriority w:val="99"/>
    <w:semiHidden/>
    <w:unhideWhenUsed/>
    <w:rsid w:val="00E0301A"/>
    <w:pPr>
      <w:spacing w:before="0" w:after="0" w:line="240" w:lineRule="auto"/>
    </w:pPr>
    <w:rPr>
      <w:rFonts w:ascii="Tahoma" w:hAnsi="Tahoma" w:cs="Mangal"/>
      <w:sz w:val="16"/>
      <w:szCs w:val="14"/>
    </w:rPr>
  </w:style>
  <w:style w:type="character" w:customStyle="1" w:styleId="BalloonTextChar">
    <w:name w:val="Balloon Text Char"/>
    <w:basedOn w:val="DefaultParagraphFont"/>
    <w:link w:val="BalloonText"/>
    <w:uiPriority w:val="99"/>
    <w:semiHidden/>
    <w:rsid w:val="00E0301A"/>
    <w:rPr>
      <w:rFonts w:ascii="Tahoma" w:hAnsi="Tahoma" w:cs="Mangal"/>
      <w:sz w:val="16"/>
      <w:szCs w:val="14"/>
    </w:rPr>
  </w:style>
  <w:style w:type="character" w:styleId="CommentReference">
    <w:name w:val="annotation reference"/>
    <w:basedOn w:val="DefaultParagraphFont"/>
    <w:uiPriority w:val="99"/>
    <w:semiHidden/>
    <w:unhideWhenUsed/>
    <w:rsid w:val="007B4A14"/>
    <w:rPr>
      <w:sz w:val="16"/>
      <w:szCs w:val="16"/>
    </w:rPr>
  </w:style>
  <w:style w:type="paragraph" w:styleId="CommentSubject">
    <w:name w:val="annotation subject"/>
    <w:basedOn w:val="CommentText"/>
    <w:next w:val="CommentText"/>
    <w:link w:val="CommentSubjectChar"/>
    <w:uiPriority w:val="99"/>
    <w:semiHidden/>
    <w:unhideWhenUsed/>
    <w:rsid w:val="007B4A14"/>
    <w:pPr>
      <w:spacing w:before="57" w:after="57" w:line="240" w:lineRule="auto"/>
      <w:ind w:left="0"/>
    </w:pPr>
    <w:rPr>
      <w:rFonts w:cs="Mangal"/>
      <w:b/>
      <w:bCs/>
      <w:sz w:val="20"/>
    </w:rPr>
  </w:style>
  <w:style w:type="character" w:customStyle="1" w:styleId="BodyTextChar">
    <w:name w:val="Body Text Char"/>
    <w:basedOn w:val="DefaultParagraphFont"/>
    <w:link w:val="BodyText"/>
    <w:rsid w:val="007B4A14"/>
    <w:rPr>
      <w:rFonts w:ascii="Arial" w:hAnsi="Arial"/>
      <w:sz w:val="18"/>
      <w:szCs w:val="18"/>
    </w:rPr>
  </w:style>
  <w:style w:type="character" w:customStyle="1" w:styleId="CommentTextChar">
    <w:name w:val="Comment Text Char"/>
    <w:basedOn w:val="BodyTextChar"/>
    <w:link w:val="CommentText"/>
    <w:rsid w:val="007B4A14"/>
    <w:rPr>
      <w:rFonts w:ascii="Arial" w:hAnsi="Arial"/>
      <w:sz w:val="18"/>
      <w:szCs w:val="18"/>
    </w:rPr>
  </w:style>
  <w:style w:type="character" w:customStyle="1" w:styleId="CommentSubjectChar">
    <w:name w:val="Comment Subject Char"/>
    <w:basedOn w:val="CommentTextChar"/>
    <w:link w:val="CommentSubject"/>
    <w:uiPriority w:val="99"/>
    <w:semiHidden/>
    <w:rsid w:val="007B4A14"/>
    <w:rPr>
      <w:rFonts w:ascii="Arial" w:hAnsi="Arial" w:cs="Mangal"/>
      <w:b/>
      <w:bCs/>
      <w:sz w:val="20"/>
      <w:szCs w:val="18"/>
    </w:rPr>
  </w:style>
  <w:style w:type="paragraph" w:customStyle="1" w:styleId="Default">
    <w:name w:val="Default"/>
    <w:rsid w:val="00B35FB7"/>
    <w:pPr>
      <w:autoSpaceDE w:val="0"/>
      <w:autoSpaceDN w:val="0"/>
      <w:adjustRightInd w:val="0"/>
    </w:pPr>
    <w:rPr>
      <w:rFonts w:ascii="Arial" w:hAnsi="Arial" w:cs="Arial"/>
      <w:color w:val="000000"/>
      <w:lang w:bidi="ar-SA"/>
    </w:rPr>
  </w:style>
  <w:style w:type="character" w:styleId="Hyperlink">
    <w:name w:val="Hyperlink"/>
    <w:basedOn w:val="DefaultParagraphFont"/>
    <w:uiPriority w:val="99"/>
    <w:unhideWhenUsed/>
    <w:rsid w:val="004D4CCF"/>
    <w:rPr>
      <w:color w:val="0000FF" w:themeColor="hyperlink"/>
      <w:u w:val="single"/>
    </w:rPr>
  </w:style>
  <w:style w:type="character" w:customStyle="1" w:styleId="UnresolvedMention">
    <w:name w:val="Unresolved Mention"/>
    <w:basedOn w:val="DefaultParagraphFont"/>
    <w:uiPriority w:val="99"/>
    <w:semiHidden/>
    <w:unhideWhenUsed/>
    <w:rsid w:val="004D4CCF"/>
    <w:rPr>
      <w:color w:val="808080"/>
      <w:shd w:val="clear" w:color="auto" w:fill="E6E6E6"/>
    </w:rPr>
  </w:style>
  <w:style w:type="paragraph" w:styleId="Revision">
    <w:name w:val="Revision"/>
    <w:hidden/>
    <w:uiPriority w:val="99"/>
    <w:semiHidden/>
    <w:rsid w:val="008F1E1B"/>
    <w:rPr>
      <w:rFonts w:ascii="Arial" w:hAnsi="Arial" w:cs="Mangal"/>
      <w:sz w:val="18"/>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www.chd.lu/wps/portal/public/Accueil/TravailALaChambre/Recherche/RoleDesAffaires?action=doDocpaDetails&amp;backto=/wps/portal/public/Accueil/Actualite&amp;id=7014" TargetMode="External"/><Relationship Id="rId13" Type="http://schemas.openxmlformats.org/officeDocument/2006/relationships/hyperlink" Target="http://www.luxembourg.public.lu/de/vivre/famille/parents/ou-sadresser/detresse/index.html" TargetMode="External"/><Relationship Id="rId18" Type="http://schemas.openxmlformats.org/officeDocument/2006/relationships/hyperlink" Target="http://www.men.public.lu/catalogue-publications/themes-transversaux/dossiers-presse/2016-2017/170201-eleves-besoins.pdf%20" TargetMode="External"/><Relationship Id="rId3" Type="http://schemas.microsoft.com/office/2007/relationships/stylesWithEffects" Target="stylesWithEffect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logopedie.lu/" TargetMode="External"/><Relationship Id="rId17" Type="http://schemas.openxmlformats.org/officeDocument/2006/relationships/hyperlink" Target="http://www.men.public.lu/catalogue-publications/themes-transversaux/rapport-activites-ministere/2016/fr.pdf"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chd.lu/wps/portal/public/Accueil/TravailALaChambre/Recherche/RoleDesAffaires?action=doDocpaDetails&amp;backto=/wps/portal/public/Accueil/Actualite&amp;id=7014" TargetMode="External"/><Relationship Id="rId20" Type="http://schemas.openxmlformats.org/officeDocument/2006/relationships/hyperlink" Target="http://www.gouvernement.lu/4279882/publications" TargetMode="External"/><Relationship Id="rId29"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chd.lu/wps/portal/public/Accueil/TravailALaChambre/Recherche/RoleDesAffaires?action=doDocpaDetails&amp;backto=/wps/portal/public/Accueil/Actualite&amp;id=6141"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renow.public.lu/" TargetMode="External"/><Relationship Id="rId23" Type="http://schemas.openxmlformats.org/officeDocument/2006/relationships/header" Target="header2.xml"/><Relationship Id="rId28" Type="http://schemas.openxmlformats.org/officeDocument/2006/relationships/customXml" Target="../customXml/item1.xml"/><Relationship Id="rId10" Type="http://schemas.openxmlformats.org/officeDocument/2006/relationships/hyperlink" Target="http://cet.lu/lb/2017/04/rapport-2016/" TargetMode="External"/><Relationship Id="rId19" Type="http://schemas.openxmlformats.org/officeDocument/2006/relationships/hyperlink" Target="http://www.adem.public.lu/fr/publications/adem/2017/bulletin-emploi-avril-2017/bul-avril-2017.pdf" TargetMode="External"/><Relationship Id="rId4" Type="http://schemas.openxmlformats.org/officeDocument/2006/relationships/settings" Target="settings.xml"/><Relationship Id="rId9" Type="http://schemas.openxmlformats.org/officeDocument/2006/relationships/hyperlink" Target="http://www.luxembourg.public.lu/en/publications/k/Design-for-all/index.html" TargetMode="External"/><Relationship Id="rId14" Type="http://schemas.openxmlformats.org/officeDocument/2006/relationships/hyperlink" Target="http://www.luxembourg.public.lu/de/vivre/famille/parents/ou-sadresser/detresse/index.html" TargetMode="External"/><Relationship Id="rId22" Type="http://schemas.openxmlformats.org/officeDocument/2006/relationships/footer" Target="footer1.xml"/><Relationship Id="rId27" Type="http://schemas.microsoft.com/office/2016/09/relationships/commentsIds" Target="commentsIds.xml"/><Relationship Id="rId30" Type="http://schemas.openxmlformats.org/officeDocument/2006/relationships/customXml" Target="../customXml/item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E27FE53-A7E9-4EEB-9655-EA476EBD78E4}"/>
</file>

<file path=customXml/itemProps2.xml><?xml version="1.0" encoding="utf-8"?>
<ds:datastoreItem xmlns:ds="http://schemas.openxmlformats.org/officeDocument/2006/customXml" ds:itemID="{9ED80DEB-643D-4C7F-B63F-56522DD8C8DF}"/>
</file>

<file path=customXml/itemProps3.xml><?xml version="1.0" encoding="utf-8"?>
<ds:datastoreItem xmlns:ds="http://schemas.openxmlformats.org/officeDocument/2006/customXml" ds:itemID="{367BD877-4569-4791-A8D9-6ECC2ADDB4C5}"/>
</file>

<file path=docProps/app.xml><?xml version="1.0" encoding="utf-8"?>
<Properties xmlns="http://schemas.openxmlformats.org/officeDocument/2006/extended-properties" xmlns:vt="http://schemas.openxmlformats.org/officeDocument/2006/docPropsVTypes">
  <Template>Normal.dotm</Template>
  <TotalTime>1</TotalTime>
  <Pages>18</Pages>
  <Words>7145</Words>
  <Characters>40732</Characters>
  <Application>Microsoft Office Word</Application>
  <DocSecurity>0</DocSecurity>
  <Lines>339</Lines>
  <Paragraphs>95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Angebot</vt:lpstr>
      <vt:lpstr>Angebot</vt:lpstr>
    </vt:vector>
  </TitlesOfParts>
  <Company>OHCHR</Company>
  <LinksUpToDate>false</LinksUpToDate>
  <CharactersWithSpaces>47782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Angebot</dc:title>
  <dc:creator>Matthias Schmitt</dc:creator>
  <cp:lastModifiedBy>Jorge ARAYA</cp:lastModifiedBy>
  <cp:revision>2</cp:revision>
  <cp:lastPrinted>2017-06-29T12:33:00Z</cp:lastPrinted>
  <dcterms:created xsi:type="dcterms:W3CDTF">2017-07-07T13:05:00Z</dcterms:created>
  <dcterms:modified xsi:type="dcterms:W3CDTF">2017-07-07T13:05:00Z</dcterms:modified>
  <dc:language>de-LU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de</vt:lpwstr>
  </property>
  <property fmtid="{D5CDD505-2E9C-101B-9397-08002B2CF9AE}" pid="3" name="Publisher">
    <vt:lpwstr>magic moving pixel s.a.</vt:lpwstr>
  </property>
  <property fmtid="{D5CDD505-2E9C-101B-9397-08002B2CF9AE}" pid="4" name="ContentTypeId">
    <vt:lpwstr>0x010100A55E3C1D809DFD4CA245D0C6A65A453A</vt:lpwstr>
  </property>
</Properties>
</file>