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E8FD37" w14:textId="77777777" w:rsidR="00E617A5" w:rsidRPr="00006F2E" w:rsidRDefault="00E617A5">
      <w:pPr>
        <w:rPr>
          <w:rFonts w:ascii="Times New Roman" w:eastAsia="Times New Roman" w:hAnsi="Times New Roman" w:cs="Times New Roman"/>
          <w:lang w:val="en-US"/>
        </w:rPr>
      </w:pPr>
    </w:p>
    <w:p w14:paraId="3346E7DF" w14:textId="77777777" w:rsidR="00E617A5" w:rsidRPr="00006F2E" w:rsidRDefault="00E617A5">
      <w:pPr>
        <w:jc w:val="right"/>
        <w:rPr>
          <w:rFonts w:ascii="Times New Roman" w:eastAsia="Times New Roman" w:hAnsi="Times New Roman" w:cs="Times New Roman"/>
          <w:lang w:val="en-US"/>
        </w:rPr>
      </w:pPr>
    </w:p>
    <w:p w14:paraId="423A1507" w14:textId="77777777" w:rsidR="00E617A5" w:rsidRPr="00006F2E" w:rsidRDefault="00C832C9">
      <w:pPr>
        <w:jc w:val="right"/>
        <w:rPr>
          <w:rFonts w:ascii="Times New Roman" w:eastAsia="Times New Roman" w:hAnsi="Times New Roman" w:cs="Times New Roman"/>
          <w:b/>
          <w:lang w:val="en-US"/>
        </w:rPr>
      </w:pPr>
      <w:r w:rsidRPr="00006F2E">
        <w:rPr>
          <w:rFonts w:ascii="Times New Roman" w:eastAsia="Times New Roman" w:hAnsi="Times New Roman" w:cs="Times New Roman"/>
          <w:b/>
          <w:lang w:val="en-US"/>
        </w:rPr>
        <w:t>Bogotá, May, 2023</w:t>
      </w:r>
    </w:p>
    <w:p w14:paraId="49457E2A"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 </w:t>
      </w:r>
    </w:p>
    <w:p w14:paraId="0A05FC2F" w14:textId="77777777" w:rsidR="00E617A5" w:rsidRPr="00006F2E" w:rsidRDefault="00C832C9">
      <w:pPr>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Secretariat of the Human Rights Committee</w:t>
      </w:r>
    </w:p>
    <w:p w14:paraId="22A85245"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Office of the United Nations High Commissioner for Human Rights</w:t>
      </w:r>
    </w:p>
    <w:p w14:paraId="2E68E793"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Palais Wilson – 52, rue des </w:t>
      </w:r>
      <w:proofErr w:type="spellStart"/>
      <w:r w:rsidRPr="00006F2E">
        <w:rPr>
          <w:rFonts w:ascii="Times New Roman" w:eastAsia="Times New Roman" w:hAnsi="Times New Roman" w:cs="Times New Roman"/>
          <w:lang w:val="en-US"/>
        </w:rPr>
        <w:t>Pâquis</w:t>
      </w:r>
      <w:proofErr w:type="spellEnd"/>
      <w:r w:rsidRPr="00006F2E">
        <w:rPr>
          <w:rFonts w:ascii="Times New Roman" w:eastAsia="Times New Roman" w:hAnsi="Times New Roman" w:cs="Times New Roman"/>
          <w:lang w:val="en-US"/>
        </w:rPr>
        <w:t xml:space="preserve"> CH-1201</w:t>
      </w:r>
    </w:p>
    <w:p w14:paraId="0988C953"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Geneva (Switzerland)</w:t>
      </w:r>
    </w:p>
    <w:p w14:paraId="5FA01D3D"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 </w:t>
      </w:r>
    </w:p>
    <w:p w14:paraId="1C8E8DD2" w14:textId="77777777" w:rsidR="00E617A5" w:rsidRPr="00006F2E" w:rsidRDefault="00C832C9">
      <w:pPr>
        <w:ind w:left="3960"/>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Re: Independent information on Colombia, submitted for consideration by the Human Rights Committee (the “Committee”) for the 138th Session</w:t>
      </w:r>
    </w:p>
    <w:p w14:paraId="23E370E8" w14:textId="77777777" w:rsidR="00E617A5" w:rsidRPr="00006F2E" w:rsidRDefault="00C832C9">
      <w:pPr>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 xml:space="preserve"> </w:t>
      </w:r>
    </w:p>
    <w:p w14:paraId="676F2FEC"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Distinguished Committee members,</w:t>
      </w:r>
    </w:p>
    <w:p w14:paraId="2F8E610E" w14:textId="77777777" w:rsidR="00E617A5" w:rsidRPr="00006F2E" w:rsidRDefault="00C832C9">
      <w:pPr>
        <w:ind w:left="2260"/>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 </w:t>
      </w:r>
    </w:p>
    <w:p w14:paraId="042E1448"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b/>
          <w:lang w:val="en-US"/>
        </w:rPr>
        <w:t>Elementa DDHH</w:t>
      </w:r>
      <w:r w:rsidRPr="00006F2E">
        <w:rPr>
          <w:rFonts w:ascii="Times New Roman" w:eastAsia="Times New Roman" w:hAnsi="Times New Roman" w:cs="Times New Roman"/>
          <w:lang w:val="en-US"/>
        </w:rPr>
        <w:t xml:space="preserve"> is a Colombian-Mexican organization that works from a socio-legal </w:t>
      </w:r>
      <w:r w:rsidRPr="00006F2E">
        <w:rPr>
          <w:rFonts w:ascii="Times New Roman" w:eastAsia="Times New Roman" w:hAnsi="Times New Roman" w:cs="Times New Roman"/>
          <w:lang w:val="en-US"/>
        </w:rPr>
        <w:t>and political approach, to contribute to the construction and regional strengthening of human rights, including the transformation of drug policy to move towards the design and implementation of legislation and public policies on production and consumption</w:t>
      </w:r>
      <w:r w:rsidRPr="00006F2E">
        <w:rPr>
          <w:rFonts w:ascii="Times New Roman" w:eastAsia="Times New Roman" w:hAnsi="Times New Roman" w:cs="Times New Roman"/>
          <w:lang w:val="en-US"/>
        </w:rPr>
        <w:t xml:space="preserve"> of psychoactive substances under a human rights and social justice approach. </w:t>
      </w:r>
      <w:r w:rsidRPr="00006F2E">
        <w:rPr>
          <w:rFonts w:ascii="Times New Roman" w:eastAsia="Times New Roman" w:hAnsi="Times New Roman" w:cs="Times New Roman"/>
          <w:b/>
          <w:lang w:val="en-US"/>
        </w:rPr>
        <w:t xml:space="preserve">The Center for Law, Justice and Society, </w:t>
      </w:r>
      <w:proofErr w:type="spellStart"/>
      <w:r w:rsidRPr="00006F2E">
        <w:rPr>
          <w:rFonts w:ascii="Times New Roman" w:eastAsia="Times New Roman" w:hAnsi="Times New Roman" w:cs="Times New Roman"/>
          <w:b/>
          <w:lang w:val="en-US"/>
        </w:rPr>
        <w:t>Dejusticia</w:t>
      </w:r>
      <w:proofErr w:type="spellEnd"/>
      <w:r w:rsidRPr="00006F2E">
        <w:rPr>
          <w:rFonts w:ascii="Times New Roman" w:eastAsia="Times New Roman" w:hAnsi="Times New Roman" w:cs="Times New Roman"/>
          <w:lang w:val="en-US"/>
        </w:rPr>
        <w:t>, is a Colombia-based research and advocacy organization dedicated to the strengthening of the rule of law and the promotion of</w:t>
      </w:r>
      <w:r w:rsidRPr="00006F2E">
        <w:rPr>
          <w:rFonts w:ascii="Times New Roman" w:eastAsia="Times New Roman" w:hAnsi="Times New Roman" w:cs="Times New Roman"/>
          <w:lang w:val="en-US"/>
        </w:rPr>
        <w:t xml:space="preserve"> social justice and human rights in Colombia and the Global South, and drug policy reform is one of our key areas of research and advocacy, pursuing socio-legal change to incorporate evidence and human rights into drug policy. </w:t>
      </w:r>
    </w:p>
    <w:p w14:paraId="76CCB87D" w14:textId="77777777" w:rsidR="00E617A5" w:rsidRPr="00006F2E" w:rsidRDefault="00E617A5">
      <w:pPr>
        <w:jc w:val="both"/>
        <w:rPr>
          <w:rFonts w:ascii="Times New Roman" w:eastAsia="Times New Roman" w:hAnsi="Times New Roman" w:cs="Times New Roman"/>
          <w:lang w:val="en-US"/>
        </w:rPr>
      </w:pPr>
    </w:p>
    <w:p w14:paraId="26CE854E"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Elementa DDHH and </w:t>
      </w:r>
      <w:proofErr w:type="spellStart"/>
      <w:r w:rsidRPr="00006F2E">
        <w:rPr>
          <w:rFonts w:ascii="Times New Roman" w:eastAsia="Times New Roman" w:hAnsi="Times New Roman" w:cs="Times New Roman"/>
          <w:lang w:val="en-US"/>
        </w:rPr>
        <w:t>Dejustici</w:t>
      </w:r>
      <w:r w:rsidRPr="00006F2E">
        <w:rPr>
          <w:rFonts w:ascii="Times New Roman" w:eastAsia="Times New Roman" w:hAnsi="Times New Roman" w:cs="Times New Roman"/>
          <w:lang w:val="en-US"/>
        </w:rPr>
        <w:t>a</w:t>
      </w:r>
      <w:proofErr w:type="spellEnd"/>
      <w:r w:rsidRPr="00006F2E">
        <w:rPr>
          <w:rFonts w:ascii="Times New Roman" w:eastAsia="Times New Roman" w:hAnsi="Times New Roman" w:cs="Times New Roman"/>
          <w:lang w:val="en-US"/>
        </w:rPr>
        <w:t xml:space="preserve"> seek to contribute to the Committee’s elaboration of the recommendations in the process of the Colombia country review by providing independent information concerning Colombia’s compliance with its obligations to respect, protect, and fulfill the rights </w:t>
      </w:r>
      <w:r w:rsidRPr="00006F2E">
        <w:rPr>
          <w:rFonts w:ascii="Times New Roman" w:eastAsia="Times New Roman" w:hAnsi="Times New Roman" w:cs="Times New Roman"/>
          <w:lang w:val="en-US"/>
        </w:rPr>
        <w:t xml:space="preserve">protected under the International Covenant on Civil and Political Rights (the “ICCPR”), with a specific focus on the impacts that current drug policies have on such obligations. </w:t>
      </w:r>
    </w:p>
    <w:p w14:paraId="5BDCB868" w14:textId="77777777" w:rsidR="00E617A5" w:rsidRPr="00006F2E" w:rsidRDefault="00E617A5">
      <w:pPr>
        <w:jc w:val="both"/>
        <w:rPr>
          <w:rFonts w:ascii="Times New Roman" w:eastAsia="Times New Roman" w:hAnsi="Times New Roman" w:cs="Times New Roman"/>
          <w:lang w:val="en-US"/>
        </w:rPr>
      </w:pPr>
    </w:p>
    <w:p w14:paraId="3D9B5B07"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Additional to citing official sources and independent experts, the organizat</w:t>
      </w:r>
      <w:r w:rsidRPr="00006F2E">
        <w:rPr>
          <w:rFonts w:ascii="Times New Roman" w:eastAsia="Times New Roman" w:hAnsi="Times New Roman" w:cs="Times New Roman"/>
          <w:lang w:val="en-US"/>
        </w:rPr>
        <w:t>ions also incorporate in the analysis as the guiding source the “International Guidelines for Human Rights and Drug Policy”</w:t>
      </w:r>
      <w:r w:rsidRPr="00006F2E">
        <w:rPr>
          <w:rFonts w:ascii="Times New Roman" w:eastAsia="Times New Roman" w:hAnsi="Times New Roman" w:cs="Times New Roman"/>
          <w:vertAlign w:val="superscript"/>
          <w:lang w:val="en-US"/>
        </w:rPr>
        <w:footnoteReference w:id="1"/>
      </w:r>
      <w:r w:rsidRPr="00006F2E">
        <w:rPr>
          <w:rFonts w:ascii="Times New Roman" w:eastAsia="Times New Roman" w:hAnsi="Times New Roman" w:cs="Times New Roman"/>
          <w:lang w:val="en-US"/>
        </w:rPr>
        <w:t>, a document developed with the support of the United Nations Development Program (UNDP), the Office of the High Commissioner for H</w:t>
      </w:r>
      <w:r w:rsidRPr="00006F2E">
        <w:rPr>
          <w:rFonts w:ascii="Times New Roman" w:eastAsia="Times New Roman" w:hAnsi="Times New Roman" w:cs="Times New Roman"/>
          <w:lang w:val="en-US"/>
        </w:rPr>
        <w:t xml:space="preserve">uman Rights (OHCHR), the World Health Organization (WHO) and the Joint United Nations </w:t>
      </w:r>
      <w:proofErr w:type="spellStart"/>
      <w:r w:rsidRPr="00006F2E">
        <w:rPr>
          <w:rFonts w:ascii="Times New Roman" w:eastAsia="Times New Roman" w:hAnsi="Times New Roman" w:cs="Times New Roman"/>
          <w:lang w:val="en-US"/>
        </w:rPr>
        <w:t>Programme</w:t>
      </w:r>
      <w:proofErr w:type="spellEnd"/>
      <w:r w:rsidRPr="00006F2E">
        <w:rPr>
          <w:rFonts w:ascii="Times New Roman" w:eastAsia="Times New Roman" w:hAnsi="Times New Roman" w:cs="Times New Roman"/>
          <w:lang w:val="en-US"/>
        </w:rPr>
        <w:t xml:space="preserve"> on HIV/AIDS (UNAIDS). The Guidelines offer States orientation on what measures should be taken, or suspended, in the course of drug policy implementation, to fu</w:t>
      </w:r>
      <w:r w:rsidRPr="00006F2E">
        <w:rPr>
          <w:rFonts w:ascii="Times New Roman" w:eastAsia="Times New Roman" w:hAnsi="Times New Roman" w:cs="Times New Roman"/>
          <w:lang w:val="en-US"/>
        </w:rPr>
        <w:t>lly respect human rights obligations.</w:t>
      </w:r>
    </w:p>
    <w:p w14:paraId="0BFFEEF1" w14:textId="77777777" w:rsidR="00E617A5" w:rsidRPr="00006F2E" w:rsidRDefault="00C832C9">
      <w:pPr>
        <w:spacing w:before="240" w:after="240"/>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lastRenderedPageBreak/>
        <w:t>In this respect, prohibitionist drug policy has deeply marked Colombia's history, consolidating itself as a source of serious human rights violations against vulnerable populations. Although the current context present</w:t>
      </w:r>
      <w:r w:rsidRPr="00006F2E">
        <w:rPr>
          <w:rFonts w:ascii="Times New Roman" w:eastAsia="Times New Roman" w:hAnsi="Times New Roman" w:cs="Times New Roman"/>
          <w:lang w:val="en-US"/>
        </w:rPr>
        <w:t>s opportunities to move towards a drug policy with a focus on rights and social justice, it is essential to identify policies that, in addition to failing to achieve the goal of a drug-free world, have had a very high impact on people's rights.</w:t>
      </w:r>
    </w:p>
    <w:p w14:paraId="747E4D64" w14:textId="77777777" w:rsidR="00E617A5" w:rsidRPr="00006F2E" w:rsidRDefault="00C832C9">
      <w:pPr>
        <w:spacing w:before="240" w:after="240"/>
        <w:jc w:val="both"/>
        <w:rPr>
          <w:rFonts w:ascii="Times New Roman" w:eastAsia="Times New Roman" w:hAnsi="Times New Roman" w:cs="Times New Roman"/>
          <w:highlight w:val="white"/>
          <w:lang w:val="en-US"/>
        </w:rPr>
      </w:pPr>
      <w:r w:rsidRPr="00006F2E">
        <w:rPr>
          <w:rFonts w:ascii="Times New Roman" w:eastAsia="Times New Roman" w:hAnsi="Times New Roman" w:cs="Times New Roman"/>
          <w:highlight w:val="white"/>
          <w:lang w:val="en-US"/>
        </w:rPr>
        <w:t>Between 201</w:t>
      </w:r>
      <w:r w:rsidRPr="00006F2E">
        <w:rPr>
          <w:rFonts w:ascii="Times New Roman" w:eastAsia="Times New Roman" w:hAnsi="Times New Roman" w:cs="Times New Roman"/>
          <w:highlight w:val="white"/>
          <w:lang w:val="en-US"/>
        </w:rPr>
        <w:t>8-2022, the "war on drugs" was presented as a strategy that would comprehensively address the drug issue. However, the budget allocation related to the use of psychoactive substances was only 3% of the total drug policy budget. Meanwhile, the strategies of</w:t>
      </w:r>
      <w:r w:rsidRPr="00006F2E">
        <w:rPr>
          <w:rFonts w:ascii="Times New Roman" w:eastAsia="Times New Roman" w:hAnsi="Times New Roman" w:cs="Times New Roman"/>
          <w:highlight w:val="white"/>
          <w:lang w:val="en-US"/>
        </w:rPr>
        <w:t xml:space="preserve"> eradication of illicit crops without the implementation of parallel strategies focused on ensuring livelihood alternatives for the coca-growing population and the use of pesticides that generate serious affectations to life, health and the environment, ha</w:t>
      </w:r>
      <w:r w:rsidRPr="00006F2E">
        <w:rPr>
          <w:rFonts w:ascii="Times New Roman" w:eastAsia="Times New Roman" w:hAnsi="Times New Roman" w:cs="Times New Roman"/>
          <w:highlight w:val="white"/>
          <w:lang w:val="en-US"/>
        </w:rPr>
        <w:t>d a budget allocation of 95%</w:t>
      </w:r>
      <w:r w:rsidRPr="00006F2E">
        <w:rPr>
          <w:rFonts w:ascii="Times New Roman" w:eastAsia="Times New Roman" w:hAnsi="Times New Roman" w:cs="Times New Roman"/>
          <w:highlight w:val="white"/>
          <w:vertAlign w:val="superscript"/>
          <w:lang w:val="en-US"/>
        </w:rPr>
        <w:footnoteReference w:id="2"/>
      </w:r>
      <w:r w:rsidRPr="00006F2E">
        <w:rPr>
          <w:rFonts w:ascii="Times New Roman" w:eastAsia="Times New Roman" w:hAnsi="Times New Roman" w:cs="Times New Roman"/>
          <w:highlight w:val="white"/>
          <w:lang w:val="en-US"/>
        </w:rPr>
        <w:t xml:space="preserve">. In relation to forced eradication operations carried out by the public </w:t>
      </w:r>
      <w:proofErr w:type="gramStart"/>
      <w:r w:rsidRPr="00006F2E">
        <w:rPr>
          <w:rFonts w:ascii="Times New Roman" w:eastAsia="Times New Roman" w:hAnsi="Times New Roman" w:cs="Times New Roman"/>
          <w:highlight w:val="white"/>
          <w:lang w:val="en-US"/>
        </w:rPr>
        <w:t>force ,</w:t>
      </w:r>
      <w:proofErr w:type="gramEnd"/>
      <w:r w:rsidRPr="00006F2E">
        <w:rPr>
          <w:rFonts w:ascii="Times New Roman" w:eastAsia="Times New Roman" w:hAnsi="Times New Roman" w:cs="Times New Roman"/>
          <w:highlight w:val="white"/>
          <w:lang w:val="en-US"/>
        </w:rPr>
        <w:t xml:space="preserve"> the</w:t>
      </w:r>
      <w:r w:rsidRPr="00006F2E">
        <w:rPr>
          <w:rFonts w:ascii="Times New Roman" w:eastAsia="Times New Roman" w:hAnsi="Times New Roman" w:cs="Times New Roman"/>
          <w:lang w:val="en-US"/>
        </w:rPr>
        <w:t xml:space="preserve"> Ombudsperson's Office </w:t>
      </w:r>
      <w:r w:rsidRPr="00006F2E">
        <w:rPr>
          <w:rFonts w:ascii="Times New Roman" w:eastAsia="Times New Roman" w:hAnsi="Times New Roman" w:cs="Times New Roman"/>
          <w:highlight w:val="white"/>
          <w:lang w:val="en-US"/>
        </w:rPr>
        <w:t>reported, between 2020 and 2021, 18 events of social conflicts in which are identified: 3 people killed in the course o</w:t>
      </w:r>
      <w:r w:rsidRPr="00006F2E">
        <w:rPr>
          <w:rFonts w:ascii="Times New Roman" w:eastAsia="Times New Roman" w:hAnsi="Times New Roman" w:cs="Times New Roman"/>
          <w:highlight w:val="white"/>
          <w:lang w:val="en-US"/>
        </w:rPr>
        <w:t>f confrontations with armed public forces, forced displacements, personal injuries, disproportionate use of force and absence of food security guarantees</w:t>
      </w:r>
      <w:r w:rsidRPr="00006F2E">
        <w:rPr>
          <w:rFonts w:ascii="Times New Roman" w:eastAsia="Times New Roman" w:hAnsi="Times New Roman" w:cs="Times New Roman"/>
          <w:highlight w:val="white"/>
          <w:vertAlign w:val="superscript"/>
          <w:lang w:val="en-US"/>
        </w:rPr>
        <w:footnoteReference w:id="3"/>
      </w:r>
      <w:r w:rsidRPr="00006F2E">
        <w:rPr>
          <w:rFonts w:ascii="Times New Roman" w:eastAsia="Times New Roman" w:hAnsi="Times New Roman" w:cs="Times New Roman"/>
          <w:highlight w:val="white"/>
          <w:lang w:val="en-US"/>
        </w:rPr>
        <w:t>.</w:t>
      </w:r>
    </w:p>
    <w:p w14:paraId="2C6BFE39" w14:textId="77777777" w:rsidR="00E617A5" w:rsidRPr="00006F2E" w:rsidRDefault="00C832C9">
      <w:pPr>
        <w:spacing w:before="240" w:after="240"/>
        <w:jc w:val="both"/>
        <w:rPr>
          <w:rFonts w:ascii="Times New Roman" w:eastAsia="Times New Roman" w:hAnsi="Times New Roman" w:cs="Times New Roman"/>
          <w:highlight w:val="white"/>
          <w:lang w:val="en-US"/>
        </w:rPr>
      </w:pPr>
      <w:r w:rsidRPr="00006F2E">
        <w:rPr>
          <w:rFonts w:ascii="Times New Roman" w:eastAsia="Times New Roman" w:hAnsi="Times New Roman" w:cs="Times New Roman"/>
          <w:highlight w:val="white"/>
          <w:lang w:val="en-US"/>
        </w:rPr>
        <w:t>The uncertainty generated by the COVID-19 pandemic was compounded by the slow implementation of the Peace Agreement between Colombia and the FARC-EP, directly impacting populations historically affected by armed conflict. The lack of support for transition</w:t>
      </w:r>
      <w:r w:rsidRPr="00006F2E">
        <w:rPr>
          <w:rFonts w:ascii="Times New Roman" w:eastAsia="Times New Roman" w:hAnsi="Times New Roman" w:cs="Times New Roman"/>
          <w:highlight w:val="white"/>
          <w:lang w:val="en-US"/>
        </w:rPr>
        <w:t>al justice mechanisms such as the Special Jurisdiction for Peace and the Truth Commission directly affected victims and put at risk the scenario under which the recommendations of the final report of more than 3 years of work by the CEV would be delivered,</w:t>
      </w:r>
      <w:r w:rsidRPr="00006F2E">
        <w:rPr>
          <w:rFonts w:ascii="Times New Roman" w:eastAsia="Times New Roman" w:hAnsi="Times New Roman" w:cs="Times New Roman"/>
          <w:highlight w:val="white"/>
          <w:lang w:val="en-US"/>
        </w:rPr>
        <w:t xml:space="preserve"> as will be detailed below.</w:t>
      </w:r>
    </w:p>
    <w:p w14:paraId="4604A527" w14:textId="77777777" w:rsidR="00E617A5" w:rsidRPr="00006F2E" w:rsidRDefault="00C832C9">
      <w:pPr>
        <w:spacing w:before="240" w:after="240"/>
        <w:jc w:val="both"/>
        <w:rPr>
          <w:rFonts w:ascii="Times New Roman" w:eastAsia="Times New Roman" w:hAnsi="Times New Roman" w:cs="Times New Roman"/>
          <w:highlight w:val="white"/>
          <w:lang w:val="en-US"/>
        </w:rPr>
      </w:pPr>
      <w:r w:rsidRPr="00006F2E">
        <w:rPr>
          <w:rFonts w:ascii="Times New Roman" w:eastAsia="Times New Roman" w:hAnsi="Times New Roman" w:cs="Times New Roman"/>
          <w:highlight w:val="white"/>
          <w:lang w:val="en-US"/>
        </w:rPr>
        <w:t>The administrative criminalization of people who use drugs, violating the right to the free development of the personality guaranteed by the jurisprudence of the Constitutional Court and the Supreme Court of Justice, was constan</w:t>
      </w:r>
      <w:r w:rsidRPr="00006F2E">
        <w:rPr>
          <w:rFonts w:ascii="Times New Roman" w:eastAsia="Times New Roman" w:hAnsi="Times New Roman" w:cs="Times New Roman"/>
          <w:highlight w:val="white"/>
          <w:lang w:val="en-US"/>
        </w:rPr>
        <w:t>t during the last 4 years. This, without betting on alternatives to imprisonment that aim to reduce the impact of drug-related crimes in the collapsed Colombian prison system.</w:t>
      </w:r>
    </w:p>
    <w:p w14:paraId="3B4097D8"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consideration of the above, this document focuses on (</w:t>
      </w:r>
      <w:proofErr w:type="spellStart"/>
      <w:r w:rsidRPr="00006F2E">
        <w:rPr>
          <w:rFonts w:ascii="Times New Roman" w:eastAsia="Times New Roman" w:hAnsi="Times New Roman" w:cs="Times New Roman"/>
          <w:lang w:val="en-US"/>
        </w:rPr>
        <w:t>i</w:t>
      </w:r>
      <w:proofErr w:type="spellEnd"/>
      <w:r w:rsidRPr="00006F2E">
        <w:rPr>
          <w:rFonts w:ascii="Times New Roman" w:eastAsia="Times New Roman" w:hAnsi="Times New Roman" w:cs="Times New Roman"/>
          <w:lang w:val="en-US"/>
        </w:rPr>
        <w:t xml:space="preserve">) the recommendations </w:t>
      </w:r>
      <w:r w:rsidRPr="00006F2E">
        <w:rPr>
          <w:rFonts w:ascii="Times New Roman" w:eastAsia="Times New Roman" w:hAnsi="Times New Roman" w:cs="Times New Roman"/>
          <w:lang w:val="en-US"/>
        </w:rPr>
        <w:t>on drug policy from the Commission for the Clarification of the Truth (hereinafter CEV or Truth Commission); (ii) challenges to its implementation and follow-up mechanisms; (iii) the situation of incarceration across the country; and lastly the situation o</w:t>
      </w:r>
      <w:r w:rsidRPr="00006F2E">
        <w:rPr>
          <w:rFonts w:ascii="Times New Roman" w:eastAsia="Times New Roman" w:hAnsi="Times New Roman" w:cs="Times New Roman"/>
          <w:lang w:val="en-US"/>
        </w:rPr>
        <w:t xml:space="preserve">n decriminalization of drug use and </w:t>
      </w:r>
      <w:proofErr w:type="gramStart"/>
      <w:r w:rsidRPr="00006F2E">
        <w:rPr>
          <w:rFonts w:ascii="Times New Roman" w:eastAsia="Times New Roman" w:hAnsi="Times New Roman" w:cs="Times New Roman"/>
          <w:lang w:val="en-US"/>
        </w:rPr>
        <w:t>possession .</w:t>
      </w:r>
      <w:proofErr w:type="gramEnd"/>
    </w:p>
    <w:p w14:paraId="380E08AB" w14:textId="77777777" w:rsidR="00E617A5" w:rsidRPr="00006F2E" w:rsidRDefault="00E617A5">
      <w:pPr>
        <w:jc w:val="both"/>
        <w:rPr>
          <w:rFonts w:ascii="Times New Roman" w:eastAsia="Times New Roman" w:hAnsi="Times New Roman" w:cs="Times New Roman"/>
          <w:lang w:val="en-US"/>
        </w:rPr>
      </w:pPr>
    </w:p>
    <w:p w14:paraId="0D6F61BD" w14:textId="77777777" w:rsidR="00E617A5" w:rsidRPr="00006F2E" w:rsidRDefault="00C832C9">
      <w:pPr>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Recommendations on drug policy from the Truth Commission</w:t>
      </w:r>
    </w:p>
    <w:p w14:paraId="05054C6E" w14:textId="77777777" w:rsidR="00E617A5" w:rsidRPr="00006F2E" w:rsidRDefault="00E617A5">
      <w:pPr>
        <w:jc w:val="both"/>
        <w:rPr>
          <w:rFonts w:ascii="Times New Roman" w:eastAsia="Times New Roman" w:hAnsi="Times New Roman" w:cs="Times New Roman"/>
          <w:lang w:val="en-US"/>
        </w:rPr>
      </w:pPr>
    </w:p>
    <w:p w14:paraId="3751D75A"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Colombia, drug policy and armed conflict are experienced concurrently and their negative impacts are magnified. That is why the Final Report of t</w:t>
      </w:r>
      <w:r w:rsidRPr="00006F2E">
        <w:rPr>
          <w:rFonts w:ascii="Times New Roman" w:eastAsia="Times New Roman" w:hAnsi="Times New Roman" w:cs="Times New Roman"/>
          <w:lang w:val="en-US"/>
        </w:rPr>
        <w:t xml:space="preserve">he Commission for the Clarification of </w:t>
      </w:r>
      <w:r w:rsidRPr="00006F2E">
        <w:rPr>
          <w:rFonts w:ascii="Times New Roman" w:eastAsia="Times New Roman" w:hAnsi="Times New Roman" w:cs="Times New Roman"/>
          <w:lang w:val="en-US"/>
        </w:rPr>
        <w:lastRenderedPageBreak/>
        <w:t>Truth, Coexistence and Non-Repetition</w:t>
      </w:r>
      <w:r w:rsidRPr="00006F2E">
        <w:rPr>
          <w:rFonts w:ascii="Times New Roman" w:eastAsia="Times New Roman" w:hAnsi="Times New Roman" w:cs="Times New Roman"/>
          <w:vertAlign w:val="superscript"/>
          <w:lang w:val="en-US"/>
        </w:rPr>
        <w:footnoteReference w:id="4"/>
      </w:r>
      <w:r w:rsidRPr="00006F2E">
        <w:rPr>
          <w:rFonts w:ascii="Times New Roman" w:eastAsia="Times New Roman" w:hAnsi="Times New Roman" w:cs="Times New Roman"/>
          <w:lang w:val="en-US"/>
        </w:rPr>
        <w:t xml:space="preserve"> (hereinafter CEV), a transitional justice body created by the 2016 Peace Agreement between the Government of Colombia and the FARC-EP, included a study of the impacts of this po</w:t>
      </w:r>
      <w:r w:rsidRPr="00006F2E">
        <w:rPr>
          <w:rFonts w:ascii="Times New Roman" w:eastAsia="Times New Roman" w:hAnsi="Times New Roman" w:cs="Times New Roman"/>
          <w:lang w:val="en-US"/>
        </w:rPr>
        <w:t>licy and recommendations for peacebuilding.</w:t>
      </w:r>
    </w:p>
    <w:p w14:paraId="59BF64CC"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CEV concluded that current anti-drug policies are a factor of persistence for internal armed conflict and a driver of violence, with negative economic, social, cultural and environmental impacts. The CEV also</w:t>
      </w:r>
      <w:r w:rsidRPr="00006F2E">
        <w:rPr>
          <w:rFonts w:ascii="Times New Roman" w:eastAsia="Times New Roman" w:hAnsi="Times New Roman" w:cs="Times New Roman"/>
          <w:lang w:val="en-US"/>
        </w:rPr>
        <w:t xml:space="preserve"> affirms that armed conflict in Colombia will continue to have this persistence factor as long as the prohibition model continues, which provides resources to wage war. </w:t>
      </w:r>
    </w:p>
    <w:p w14:paraId="1E8ABC6E"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'war on drugs' model created two internal enemies: the guerrilla and the peasants who cultivated coca, branded as a 'narco-peasant'. This stigmatization prevented the development of policies that would guarantee the rights of the civilian peasant popul</w:t>
      </w:r>
      <w:r w:rsidRPr="00006F2E">
        <w:rPr>
          <w:rFonts w:ascii="Times New Roman" w:eastAsia="Times New Roman" w:hAnsi="Times New Roman" w:cs="Times New Roman"/>
          <w:lang w:val="en-US"/>
        </w:rPr>
        <w:t>ation in the midst of the armed conflict.</w:t>
      </w:r>
    </w:p>
    <w:p w14:paraId="4B6B8507"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One of the main strategies to reduce coca crops was aerial spraying with glyphosate. Between 1990 and 2015, Colombia implemented the "Program for the Eradication of Illicit Crops through Aerial Spraying with the he</w:t>
      </w:r>
      <w:r w:rsidRPr="00006F2E">
        <w:rPr>
          <w:rFonts w:ascii="Times New Roman" w:eastAsia="Times New Roman" w:hAnsi="Times New Roman" w:cs="Times New Roman"/>
          <w:lang w:val="en-US"/>
        </w:rPr>
        <w:t>rbicide Glyphosate" (PECIG)</w:t>
      </w:r>
      <w:r w:rsidRPr="00006F2E">
        <w:rPr>
          <w:rFonts w:ascii="Times New Roman" w:eastAsia="Times New Roman" w:hAnsi="Times New Roman" w:cs="Times New Roman"/>
          <w:vertAlign w:val="superscript"/>
          <w:lang w:val="en-US"/>
        </w:rPr>
        <w:footnoteReference w:id="5"/>
      </w:r>
      <w:r w:rsidRPr="00006F2E">
        <w:rPr>
          <w:rFonts w:ascii="Times New Roman" w:eastAsia="Times New Roman" w:hAnsi="Times New Roman" w:cs="Times New Roman"/>
          <w:lang w:val="en-US"/>
        </w:rPr>
        <w:t>, which left almost 2 million hectares sprayed and exposed communities to physical and mental health harm, damage to the ecosystems surrounding the properties of families living in areas with coca crops, deforestation to establ</w:t>
      </w:r>
      <w:r w:rsidRPr="00006F2E">
        <w:rPr>
          <w:rFonts w:ascii="Times New Roman" w:eastAsia="Times New Roman" w:hAnsi="Times New Roman" w:cs="Times New Roman"/>
          <w:lang w:val="en-US"/>
        </w:rPr>
        <w:t>ish new crops for illicit use, and displacement, multiple economic setbacks, the abandonment of social organizations and a strong economic depression that drove coca and cultivating families from one region to another</w:t>
      </w:r>
      <w:r w:rsidRPr="00006F2E">
        <w:rPr>
          <w:rFonts w:ascii="Times New Roman" w:eastAsia="Times New Roman" w:hAnsi="Times New Roman" w:cs="Times New Roman"/>
          <w:vertAlign w:val="superscript"/>
          <w:lang w:val="en-US"/>
        </w:rPr>
        <w:footnoteReference w:id="6"/>
      </w:r>
      <w:r w:rsidRPr="00006F2E">
        <w:rPr>
          <w:rFonts w:ascii="Times New Roman" w:eastAsia="Times New Roman" w:hAnsi="Times New Roman" w:cs="Times New Roman"/>
          <w:lang w:val="en-US"/>
        </w:rPr>
        <w:t>. For the peasant populations of Caqu</w:t>
      </w:r>
      <w:r w:rsidRPr="00006F2E">
        <w:rPr>
          <w:rFonts w:ascii="Times New Roman" w:eastAsia="Times New Roman" w:hAnsi="Times New Roman" w:cs="Times New Roman"/>
          <w:lang w:val="en-US"/>
        </w:rPr>
        <w:t>etá, the fumigations led to the loss of access to land for many families, particularly those families dedicated to harvesting. In addition, it affected community life not only because of the displacement of people, but also because the community works that</w:t>
      </w:r>
      <w:r w:rsidRPr="00006F2E">
        <w:rPr>
          <w:rFonts w:ascii="Times New Roman" w:eastAsia="Times New Roman" w:hAnsi="Times New Roman" w:cs="Times New Roman"/>
          <w:lang w:val="en-US"/>
        </w:rPr>
        <w:t xml:space="preserve"> were built with the surplus resources from coca cultivation were left without resources. Fumigations were suspended in 2015 by decision of the National Narcotics Council, following the classification of glyphosate as possibly carcinogenic by the World Hea</w:t>
      </w:r>
      <w:r w:rsidRPr="00006F2E">
        <w:rPr>
          <w:rFonts w:ascii="Times New Roman" w:eastAsia="Times New Roman" w:hAnsi="Times New Roman" w:cs="Times New Roman"/>
          <w:lang w:val="en-US"/>
        </w:rPr>
        <w:t xml:space="preserve">lth Organization's Cancer Research Institute. </w:t>
      </w:r>
    </w:p>
    <w:p w14:paraId="76DB38CD"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Glyphosate has specific effects on sexual and reproductive health, with studies that show "a clear consistency in favor of the harmful effects of glyphosate on reproductive health"</w:t>
      </w:r>
      <w:r w:rsidRPr="00006F2E">
        <w:rPr>
          <w:rFonts w:ascii="Times New Roman" w:eastAsia="Times New Roman" w:hAnsi="Times New Roman" w:cs="Times New Roman"/>
          <w:vertAlign w:val="superscript"/>
          <w:lang w:val="en-US"/>
        </w:rPr>
        <w:footnoteReference w:id="7"/>
      </w:r>
      <w:r w:rsidRPr="00006F2E">
        <w:rPr>
          <w:rFonts w:ascii="Times New Roman" w:eastAsia="Times New Roman" w:hAnsi="Times New Roman" w:cs="Times New Roman"/>
          <w:lang w:val="en-US"/>
        </w:rPr>
        <w:t xml:space="preserve"> among which infertility, a</w:t>
      </w:r>
      <w:r w:rsidRPr="00006F2E">
        <w:rPr>
          <w:rFonts w:ascii="Times New Roman" w:eastAsia="Times New Roman" w:hAnsi="Times New Roman" w:cs="Times New Roman"/>
          <w:lang w:val="en-US"/>
        </w:rPr>
        <w:t>bortion, perinatal effects and transgenerational effects stand out. An emblematic case is currently before the Inter-American Commission on Human Rights</w:t>
      </w:r>
      <w:r w:rsidRPr="00006F2E">
        <w:rPr>
          <w:rFonts w:ascii="Times New Roman" w:eastAsia="Times New Roman" w:hAnsi="Times New Roman" w:cs="Times New Roman"/>
          <w:vertAlign w:val="superscript"/>
          <w:lang w:val="en-US"/>
        </w:rPr>
        <w:footnoteReference w:id="8"/>
      </w:r>
      <w:r w:rsidRPr="00006F2E">
        <w:rPr>
          <w:rFonts w:ascii="Times New Roman" w:eastAsia="Times New Roman" w:hAnsi="Times New Roman" w:cs="Times New Roman"/>
          <w:lang w:val="en-US"/>
        </w:rPr>
        <w:t xml:space="preserve">. It is </w:t>
      </w:r>
      <w:r w:rsidRPr="00006F2E">
        <w:rPr>
          <w:rFonts w:ascii="Times New Roman" w:eastAsia="Times New Roman" w:hAnsi="Times New Roman" w:cs="Times New Roman"/>
          <w:lang w:val="en-US"/>
        </w:rPr>
        <w:lastRenderedPageBreak/>
        <w:t xml:space="preserve">the case of </w:t>
      </w:r>
      <w:proofErr w:type="spellStart"/>
      <w:r w:rsidRPr="00006F2E">
        <w:rPr>
          <w:rFonts w:ascii="Times New Roman" w:eastAsia="Times New Roman" w:hAnsi="Times New Roman" w:cs="Times New Roman"/>
          <w:lang w:val="en-US"/>
        </w:rPr>
        <w:t>Yaneth</w:t>
      </w:r>
      <w:proofErr w:type="spellEnd"/>
      <w:r w:rsidRPr="00006F2E">
        <w:rPr>
          <w:rFonts w:ascii="Times New Roman" w:eastAsia="Times New Roman" w:hAnsi="Times New Roman" w:cs="Times New Roman"/>
          <w:lang w:val="en-US"/>
        </w:rPr>
        <w:t xml:space="preserve"> Valderrama, a peasant woman from the municipality of </w:t>
      </w:r>
      <w:proofErr w:type="spellStart"/>
      <w:r w:rsidRPr="00006F2E">
        <w:rPr>
          <w:rFonts w:ascii="Times New Roman" w:eastAsia="Times New Roman" w:hAnsi="Times New Roman" w:cs="Times New Roman"/>
          <w:lang w:val="en-US"/>
        </w:rPr>
        <w:t>Solita</w:t>
      </w:r>
      <w:proofErr w:type="spellEnd"/>
      <w:r w:rsidRPr="00006F2E">
        <w:rPr>
          <w:rFonts w:ascii="Times New Roman" w:eastAsia="Times New Roman" w:hAnsi="Times New Roman" w:cs="Times New Roman"/>
          <w:lang w:val="en-US"/>
        </w:rPr>
        <w:t>, Caquetá. She w</w:t>
      </w:r>
      <w:r w:rsidRPr="00006F2E">
        <w:rPr>
          <w:rFonts w:ascii="Times New Roman" w:eastAsia="Times New Roman" w:hAnsi="Times New Roman" w:cs="Times New Roman"/>
          <w:lang w:val="en-US"/>
        </w:rPr>
        <w:t>as four months pregnant when she was sprayed by aerial spraying with glyphosate. Soon after, she had a miscarriage, and a few months later she died of systemic failure.</w:t>
      </w:r>
    </w:p>
    <w:p w14:paraId="531F19D1"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Drug policy in Colombia and its sources of cooperation promoted perverse incentives in </w:t>
      </w:r>
      <w:r w:rsidRPr="00006F2E">
        <w:rPr>
          <w:rFonts w:ascii="Times New Roman" w:eastAsia="Times New Roman" w:hAnsi="Times New Roman" w:cs="Times New Roman"/>
          <w:lang w:val="en-US"/>
        </w:rPr>
        <w:t xml:space="preserve">the measurement of "success" that allowed little knowledge of the progress or setbacks in the enjoyment of rights of the affected populations. “Progress” is measured by the number of coca hectares present in the country, a figure that does not account for </w:t>
      </w:r>
      <w:r w:rsidRPr="00006F2E">
        <w:rPr>
          <w:rFonts w:ascii="Times New Roman" w:eastAsia="Times New Roman" w:hAnsi="Times New Roman" w:cs="Times New Roman"/>
          <w:lang w:val="en-US"/>
        </w:rPr>
        <w:t xml:space="preserve">the socio-economic situation of populations who depend on this source of income. </w:t>
      </w:r>
    </w:p>
    <w:p w14:paraId="6B2E3ED0"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Based on these findings, the CEV recommended:</w:t>
      </w:r>
    </w:p>
    <w:p w14:paraId="682CB43C"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A transition towards the legal regulation of all drugs, with international cooperation to that end.</w:t>
      </w:r>
    </w:p>
    <w:p w14:paraId="160B599C"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Demilitarize the State's res</w:t>
      </w:r>
      <w:r w:rsidRPr="00006F2E">
        <w:rPr>
          <w:rFonts w:ascii="Times New Roman" w:eastAsia="Times New Roman" w:hAnsi="Times New Roman" w:cs="Times New Roman"/>
          <w:lang w:val="en-US"/>
        </w:rPr>
        <w:t>ponse to crops, territories and affected populations.</w:t>
      </w:r>
    </w:p>
    <w:p w14:paraId="4C797A28"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Create spaces for recognition and dialogue where affected communities can make visible the social, environmental and cultural impacts of drug policy.</w:t>
      </w:r>
    </w:p>
    <w:p w14:paraId="6B502B1E"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Make changes to the policy indicators so that they i</w:t>
      </w:r>
      <w:r w:rsidRPr="00006F2E">
        <w:rPr>
          <w:rFonts w:ascii="Times New Roman" w:eastAsia="Times New Roman" w:hAnsi="Times New Roman" w:cs="Times New Roman"/>
          <w:lang w:val="en-US"/>
        </w:rPr>
        <w:t>ncorporate a focus on human rights, sustainable development, and public health.</w:t>
      </w:r>
    </w:p>
    <w:p w14:paraId="7D930EE3" w14:textId="77777777" w:rsidR="00E617A5" w:rsidRPr="00006F2E" w:rsidRDefault="00E617A5">
      <w:pPr>
        <w:jc w:val="both"/>
        <w:rPr>
          <w:rFonts w:ascii="Times New Roman" w:eastAsia="Times New Roman" w:hAnsi="Times New Roman" w:cs="Times New Roman"/>
          <w:lang w:val="en-US"/>
        </w:rPr>
      </w:pPr>
    </w:p>
    <w:p w14:paraId="0DAF1760" w14:textId="77777777" w:rsidR="00E617A5" w:rsidRPr="00006F2E" w:rsidRDefault="00C832C9">
      <w:pPr>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Challenges to the implementation of the recommendations</w:t>
      </w:r>
    </w:p>
    <w:p w14:paraId="11206990" w14:textId="77777777" w:rsidR="00E617A5" w:rsidRPr="00006F2E" w:rsidRDefault="00E617A5">
      <w:pPr>
        <w:jc w:val="both"/>
        <w:rPr>
          <w:rFonts w:ascii="Times New Roman" w:eastAsia="Times New Roman" w:hAnsi="Times New Roman" w:cs="Times New Roman"/>
          <w:lang w:val="en-US"/>
        </w:rPr>
      </w:pPr>
    </w:p>
    <w:p w14:paraId="237E68D2"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While the mandate of the Truth Commission has been finalized, it created a Monitoring Committee to the implementation </w:t>
      </w:r>
      <w:r w:rsidRPr="00006F2E">
        <w:rPr>
          <w:rFonts w:ascii="Times New Roman" w:eastAsia="Times New Roman" w:hAnsi="Times New Roman" w:cs="Times New Roman"/>
          <w:lang w:val="en-US"/>
        </w:rPr>
        <w:t xml:space="preserve">of the recommendations for conflict non-repetition (hereinafter, CSM) that will have a </w:t>
      </w:r>
      <w:proofErr w:type="gramStart"/>
      <w:r w:rsidRPr="00006F2E">
        <w:rPr>
          <w:rFonts w:ascii="Times New Roman" w:eastAsia="Times New Roman" w:hAnsi="Times New Roman" w:cs="Times New Roman"/>
          <w:lang w:val="en-US"/>
        </w:rPr>
        <w:t>seven year</w:t>
      </w:r>
      <w:proofErr w:type="gramEnd"/>
      <w:r w:rsidRPr="00006F2E">
        <w:rPr>
          <w:rFonts w:ascii="Times New Roman" w:eastAsia="Times New Roman" w:hAnsi="Times New Roman" w:cs="Times New Roman"/>
          <w:lang w:val="en-US"/>
        </w:rPr>
        <w:t xml:space="preserve"> period. It is composed of seven individuals responsible for creating the methodology for following up on the implementation from the Final report, presenting </w:t>
      </w:r>
      <w:r w:rsidRPr="00006F2E">
        <w:rPr>
          <w:rFonts w:ascii="Times New Roman" w:eastAsia="Times New Roman" w:hAnsi="Times New Roman" w:cs="Times New Roman"/>
          <w:lang w:val="en-US"/>
        </w:rPr>
        <w:t>periodic reports and engaging with public institutions, human rights defenders, and other stakeholders in the peacebuilding processes.</w:t>
      </w:r>
    </w:p>
    <w:p w14:paraId="4387F9E9"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CSM faces significant challenges, of which the following can be highlighted:</w:t>
      </w:r>
    </w:p>
    <w:p w14:paraId="528B2D45"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There are no dedicated resources for the operation of the CSM, nor there is any institutional capacity to operate as the CSM members do so in an ad-</w:t>
      </w:r>
      <w:proofErr w:type="spellStart"/>
      <w:r w:rsidRPr="00006F2E">
        <w:rPr>
          <w:rFonts w:ascii="Times New Roman" w:eastAsia="Times New Roman" w:hAnsi="Times New Roman" w:cs="Times New Roman"/>
          <w:lang w:val="en-US"/>
        </w:rPr>
        <w:t>honorem</w:t>
      </w:r>
      <w:proofErr w:type="spellEnd"/>
      <w:r w:rsidRPr="00006F2E">
        <w:rPr>
          <w:rFonts w:ascii="Times New Roman" w:eastAsia="Times New Roman" w:hAnsi="Times New Roman" w:cs="Times New Roman"/>
          <w:lang w:val="en-US"/>
        </w:rPr>
        <w:t xml:space="preserve"> capacity, and witho</w:t>
      </w:r>
      <w:r w:rsidRPr="00006F2E">
        <w:rPr>
          <w:rFonts w:ascii="Times New Roman" w:eastAsia="Times New Roman" w:hAnsi="Times New Roman" w:cs="Times New Roman"/>
          <w:lang w:val="en-US"/>
        </w:rPr>
        <w:t xml:space="preserve">ut resources and staff, there are significant limitations to their possibilities for the work that is needed. </w:t>
      </w:r>
    </w:p>
    <w:p w14:paraId="405490CD"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recommendations from the final report are wide in scope and transformation, but also in the institutions responsible for taking up said recom</w:t>
      </w:r>
      <w:r w:rsidRPr="00006F2E">
        <w:rPr>
          <w:rFonts w:ascii="Times New Roman" w:eastAsia="Times New Roman" w:hAnsi="Times New Roman" w:cs="Times New Roman"/>
          <w:lang w:val="en-US"/>
        </w:rPr>
        <w:t>mendations. In this sense, appropriation of each of the specific recommendations by the responsible institutions remains a challenge.</w:t>
      </w:r>
    </w:p>
    <w:p w14:paraId="0743CF0F"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process of closing the Truth Commission was very quick and left no significant time to adequately prepare for the tran</w:t>
      </w:r>
      <w:r w:rsidRPr="00006F2E">
        <w:rPr>
          <w:rFonts w:ascii="Times New Roman" w:eastAsia="Times New Roman" w:hAnsi="Times New Roman" w:cs="Times New Roman"/>
          <w:lang w:val="en-US"/>
        </w:rPr>
        <w:t>sition of the work and handing over the Final Report to the CSM.</w:t>
      </w:r>
    </w:p>
    <w:p w14:paraId="4F6B29F8" w14:textId="77777777" w:rsidR="00E617A5" w:rsidRPr="00006F2E" w:rsidRDefault="00C832C9">
      <w:pPr>
        <w:numPr>
          <w:ilvl w:val="1"/>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There is a lack of coordination among different government institutions who would be the ones called for carrying out the implementation of the recommendations, and no body to articulate them</w:t>
      </w:r>
      <w:r w:rsidRPr="00006F2E">
        <w:rPr>
          <w:rFonts w:ascii="Times New Roman" w:eastAsia="Times New Roman" w:hAnsi="Times New Roman" w:cs="Times New Roman"/>
          <w:lang w:val="en-US"/>
        </w:rPr>
        <w:t xml:space="preserve">. While there was an attempt to create a coordination mechanism </w:t>
      </w:r>
      <w:r w:rsidRPr="00006F2E">
        <w:rPr>
          <w:rFonts w:ascii="Times New Roman" w:eastAsia="Times New Roman" w:hAnsi="Times New Roman" w:cs="Times New Roman"/>
          <w:lang w:val="en-US"/>
        </w:rPr>
        <w:lastRenderedPageBreak/>
        <w:t>in the recently approved National Development Plan, it was not adopted, leaving the issue unresolved.</w:t>
      </w:r>
    </w:p>
    <w:p w14:paraId="5D35FFC9" w14:textId="77777777" w:rsidR="00E617A5" w:rsidRPr="00006F2E" w:rsidRDefault="00E617A5">
      <w:pPr>
        <w:jc w:val="both"/>
        <w:rPr>
          <w:rFonts w:ascii="Times New Roman" w:eastAsia="Times New Roman" w:hAnsi="Times New Roman" w:cs="Times New Roman"/>
          <w:lang w:val="en-US"/>
        </w:rPr>
      </w:pPr>
    </w:p>
    <w:p w14:paraId="7BA2A30C" w14:textId="77777777" w:rsidR="00E617A5" w:rsidRPr="00006F2E" w:rsidRDefault="00C832C9">
      <w:pPr>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Situation of incarceration and detention conditions</w:t>
      </w:r>
    </w:p>
    <w:p w14:paraId="29560C2E" w14:textId="77777777" w:rsidR="00E617A5" w:rsidRPr="00006F2E" w:rsidRDefault="00E617A5">
      <w:pPr>
        <w:jc w:val="both"/>
        <w:rPr>
          <w:rFonts w:ascii="Times New Roman" w:eastAsia="Times New Roman" w:hAnsi="Times New Roman" w:cs="Times New Roman"/>
          <w:b/>
          <w:lang w:val="en-US"/>
        </w:rPr>
      </w:pPr>
    </w:p>
    <w:p w14:paraId="651E0E43"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 xml:space="preserve">According to Statistical Report No. </w:t>
      </w:r>
      <w:r w:rsidRPr="00006F2E">
        <w:rPr>
          <w:rFonts w:ascii="Times New Roman" w:eastAsia="Times New Roman" w:hAnsi="Times New Roman" w:cs="Times New Roman"/>
          <w:lang w:val="en-US"/>
        </w:rPr>
        <w:t xml:space="preserve">12 (2022) from the National Penitentiary and Prison Institute (INPEC) there were 197,642 persons deprived of liberty in Colombia, 93.4% men and 6.6% women, distributed in prisons, in other types of establishments (police stations, transitory units), and </w:t>
      </w:r>
      <w:proofErr w:type="gramStart"/>
      <w:r w:rsidRPr="00006F2E">
        <w:rPr>
          <w:rFonts w:ascii="Times New Roman" w:eastAsia="Times New Roman" w:hAnsi="Times New Roman" w:cs="Times New Roman"/>
          <w:lang w:val="en-US"/>
        </w:rPr>
        <w:t>in</w:t>
      </w:r>
      <w:r w:rsidRPr="00006F2E">
        <w:rPr>
          <w:rFonts w:ascii="Times New Roman" w:eastAsia="Times New Roman" w:hAnsi="Times New Roman" w:cs="Times New Roman"/>
          <w:lang w:val="en-US"/>
        </w:rPr>
        <w:t xml:space="preserve"> house</w:t>
      </w:r>
      <w:proofErr w:type="gramEnd"/>
      <w:r w:rsidRPr="00006F2E">
        <w:rPr>
          <w:rFonts w:ascii="Times New Roman" w:eastAsia="Times New Roman" w:hAnsi="Times New Roman" w:cs="Times New Roman"/>
          <w:lang w:val="en-US"/>
        </w:rPr>
        <w:t xml:space="preserve"> arrest</w:t>
      </w:r>
      <w:r w:rsidRPr="00006F2E">
        <w:rPr>
          <w:rFonts w:ascii="Times New Roman" w:eastAsia="Times New Roman" w:hAnsi="Times New Roman" w:cs="Times New Roman"/>
          <w:vertAlign w:val="superscript"/>
          <w:lang w:val="en-US"/>
        </w:rPr>
        <w:footnoteReference w:id="9"/>
      </w:r>
      <w:r w:rsidRPr="00006F2E">
        <w:rPr>
          <w:rFonts w:ascii="Times New Roman" w:eastAsia="Times New Roman" w:hAnsi="Times New Roman" w:cs="Times New Roman"/>
          <w:lang w:val="en-US"/>
        </w:rPr>
        <w:t>.</w:t>
      </w:r>
    </w:p>
    <w:p w14:paraId="4D15FA1A"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Alarmingly, it is reported that of this total, 21,283 persons were in police stations, places that are not designed for prolonged confinement. The overall rate of overcrowding is 20.5%, but when the data is broken down by facility, there a</w:t>
      </w:r>
      <w:r w:rsidRPr="00006F2E">
        <w:rPr>
          <w:rFonts w:ascii="Times New Roman" w:eastAsia="Times New Roman" w:hAnsi="Times New Roman" w:cs="Times New Roman"/>
          <w:lang w:val="en-US"/>
        </w:rPr>
        <w:t>re prisons with rates of up to 140% overcrowding, and for example in the northwest region, the rate of overcrowding is 49.4%.</w:t>
      </w:r>
    </w:p>
    <w:p w14:paraId="5F28A883"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Colombia, through ruling T-388 (2013) of the Constitutional Court, a State of Unconstitutional Affairs (ECI) was declared in th</w:t>
      </w:r>
      <w:r w:rsidRPr="00006F2E">
        <w:rPr>
          <w:rFonts w:ascii="Times New Roman" w:eastAsia="Times New Roman" w:hAnsi="Times New Roman" w:cs="Times New Roman"/>
          <w:lang w:val="en-US"/>
        </w:rPr>
        <w:t xml:space="preserve">e penitentiary and prison system. Following the decision, a Civil Society Follow-up Commission was created to monitor the implementation of the ruling, and monitor compliance or non-compliance with the orders. </w:t>
      </w:r>
    </w:p>
    <w:p w14:paraId="35D5871A"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its tenth report (2021), the Commission hi</w:t>
      </w:r>
      <w:r w:rsidRPr="00006F2E">
        <w:rPr>
          <w:rFonts w:ascii="Times New Roman" w:eastAsia="Times New Roman" w:hAnsi="Times New Roman" w:cs="Times New Roman"/>
          <w:lang w:val="en-US"/>
        </w:rPr>
        <w:t xml:space="preserve">ghlights that the ECI is far from being overcome, due to the fact that “the criminal policy led by the National Government has really been aimed at increasing and expanding in an arbitrary, disproportionate, reactive and without empirical basis the use of </w:t>
      </w:r>
      <w:r w:rsidRPr="00006F2E">
        <w:rPr>
          <w:rFonts w:ascii="Times New Roman" w:eastAsia="Times New Roman" w:hAnsi="Times New Roman" w:cs="Times New Roman"/>
          <w:lang w:val="en-US"/>
        </w:rPr>
        <w:t>deprivation of liberty in Colombia, ignoring the impact that this increase will have on the massive and widespread violation of fundamental rights.”</w:t>
      </w:r>
    </w:p>
    <w:p w14:paraId="5BACBE4B"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Commission welcomed the approval of Law 2292 of 2023, by which women heads of household who committed c</w:t>
      </w:r>
      <w:r w:rsidRPr="00006F2E">
        <w:rPr>
          <w:rFonts w:ascii="Times New Roman" w:eastAsia="Times New Roman" w:hAnsi="Times New Roman" w:cs="Times New Roman"/>
          <w:lang w:val="en-US"/>
        </w:rPr>
        <w:t>rimes associated with socio-economic vulnerability (often drug offenses), will be able to access alternatives to prison to serve their sentence through a public utility service.</w:t>
      </w:r>
    </w:p>
    <w:p w14:paraId="0D0D38E3"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2020, at the peak of the COVID pandemic, the decree issued to release perso</w:t>
      </w:r>
      <w:r w:rsidRPr="00006F2E">
        <w:rPr>
          <w:rFonts w:ascii="Times New Roman" w:eastAsia="Times New Roman" w:hAnsi="Times New Roman" w:cs="Times New Roman"/>
          <w:lang w:val="en-US"/>
        </w:rPr>
        <w:t>ns deprived of liberty and thus protect the right to health, excluded drug offenses, leaving out a large population, including women</w:t>
      </w:r>
      <w:r w:rsidRPr="00006F2E">
        <w:rPr>
          <w:rFonts w:ascii="Times New Roman" w:eastAsia="Times New Roman" w:hAnsi="Times New Roman" w:cs="Times New Roman"/>
          <w:vertAlign w:val="superscript"/>
          <w:lang w:val="en-US"/>
        </w:rPr>
        <w:footnoteReference w:id="10"/>
      </w:r>
      <w:r w:rsidRPr="00006F2E">
        <w:rPr>
          <w:rFonts w:ascii="Times New Roman" w:eastAsia="Times New Roman" w:hAnsi="Times New Roman" w:cs="Times New Roman"/>
          <w:lang w:val="en-US"/>
        </w:rPr>
        <w:t xml:space="preserve">. </w:t>
      </w:r>
    </w:p>
    <w:p w14:paraId="4F4C16AF"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overcrowding crisis that seems to have been reduced in recent years was in fact transferred from the detention cent</w:t>
      </w:r>
      <w:r w:rsidRPr="00006F2E">
        <w:rPr>
          <w:rFonts w:ascii="Times New Roman" w:eastAsia="Times New Roman" w:hAnsi="Times New Roman" w:cs="Times New Roman"/>
          <w:lang w:val="en-US"/>
        </w:rPr>
        <w:t>ers of the national penitentiary and prison system to the transitory detention centers as an effect of a series of problematic measures adopted by the Colombian government in response to the pandemic, for example, the suspension of transfers. As reported b</w:t>
      </w:r>
      <w:r w:rsidRPr="00006F2E">
        <w:rPr>
          <w:rFonts w:ascii="Times New Roman" w:eastAsia="Times New Roman" w:hAnsi="Times New Roman" w:cs="Times New Roman"/>
          <w:lang w:val="en-US"/>
        </w:rPr>
        <w:t>y the Follow-up Commission in the technical annex to the tenth report, between 2020 and 2021, the overall rate of overcrowding in these places increased by 109%, with months of the year where overcrowding in police stations has been almost 200%. This has g</w:t>
      </w:r>
      <w:r w:rsidRPr="00006F2E">
        <w:rPr>
          <w:rFonts w:ascii="Times New Roman" w:eastAsia="Times New Roman" w:hAnsi="Times New Roman" w:cs="Times New Roman"/>
          <w:lang w:val="en-US"/>
        </w:rPr>
        <w:t xml:space="preserve">enerated a serious violation of human rights, normalizing the irregular and illegal use of these places for the </w:t>
      </w:r>
      <w:r w:rsidRPr="00006F2E">
        <w:rPr>
          <w:rFonts w:ascii="Times New Roman" w:eastAsia="Times New Roman" w:hAnsi="Times New Roman" w:cs="Times New Roman"/>
          <w:lang w:val="en-US"/>
        </w:rPr>
        <w:lastRenderedPageBreak/>
        <w:t>deprivation of liberty. In addition to this, the data presented by the Police, it is presumed that the vast majority are for street crimes, incl</w:t>
      </w:r>
      <w:r w:rsidRPr="00006F2E">
        <w:rPr>
          <w:rFonts w:ascii="Times New Roman" w:eastAsia="Times New Roman" w:hAnsi="Times New Roman" w:cs="Times New Roman"/>
          <w:lang w:val="en-US"/>
        </w:rPr>
        <w:t>uding theft and drug offenses, but there is no certain information</w:t>
      </w:r>
      <w:r w:rsidRPr="00006F2E">
        <w:rPr>
          <w:rFonts w:ascii="Times New Roman" w:eastAsia="Times New Roman" w:hAnsi="Times New Roman" w:cs="Times New Roman"/>
          <w:vertAlign w:val="superscript"/>
          <w:lang w:val="en-US"/>
        </w:rPr>
        <w:footnoteReference w:id="11"/>
      </w:r>
      <w:r w:rsidRPr="00006F2E">
        <w:rPr>
          <w:rFonts w:ascii="Times New Roman" w:eastAsia="Times New Roman" w:hAnsi="Times New Roman" w:cs="Times New Roman"/>
          <w:lang w:val="en-US"/>
        </w:rPr>
        <w:t>.</w:t>
      </w:r>
    </w:p>
    <w:p w14:paraId="350F1696"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Drug offenses are the fourth leading cause of incarceration at the intramural level in Colombia - 10.7% of the total - after homicide, theft and conspiracy to commit a crime. It is estim</w:t>
      </w:r>
      <w:r w:rsidRPr="00006F2E">
        <w:rPr>
          <w:rFonts w:ascii="Times New Roman" w:eastAsia="Times New Roman" w:hAnsi="Times New Roman" w:cs="Times New Roman"/>
          <w:lang w:val="en-US"/>
        </w:rPr>
        <w:t xml:space="preserve">ated that of the total of 6,503 women deprived of liberty in Colombia, a significant percentage - 39% - are offenses related to drug trafficking, manufacture or possession, and that they did not play a significant role within criminal organizations. </w:t>
      </w:r>
    </w:p>
    <w:p w14:paraId="1EE23842"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Accor</w:t>
      </w:r>
      <w:r w:rsidRPr="00006F2E">
        <w:rPr>
          <w:rFonts w:ascii="Times New Roman" w:eastAsia="Times New Roman" w:hAnsi="Times New Roman" w:cs="Times New Roman"/>
          <w:lang w:val="en-US"/>
        </w:rPr>
        <w:t xml:space="preserve">ding to a detailed report prepared by the International Committee of the Red Cross, the Universidad Javeriana, and the Centro de </w:t>
      </w:r>
      <w:proofErr w:type="spellStart"/>
      <w:r w:rsidRPr="00006F2E">
        <w:rPr>
          <w:rFonts w:ascii="Times New Roman" w:eastAsia="Times New Roman" w:hAnsi="Times New Roman" w:cs="Times New Roman"/>
          <w:lang w:val="en-US"/>
        </w:rPr>
        <w:t>Investigación</w:t>
      </w:r>
      <w:proofErr w:type="spellEnd"/>
      <w:r w:rsidRPr="00006F2E">
        <w:rPr>
          <w:rFonts w:ascii="Times New Roman" w:eastAsia="Times New Roman" w:hAnsi="Times New Roman" w:cs="Times New Roman"/>
          <w:lang w:val="en-US"/>
        </w:rPr>
        <w:t xml:space="preserve"> y </w:t>
      </w:r>
      <w:proofErr w:type="spellStart"/>
      <w:r w:rsidRPr="00006F2E">
        <w:rPr>
          <w:rFonts w:ascii="Times New Roman" w:eastAsia="Times New Roman" w:hAnsi="Times New Roman" w:cs="Times New Roman"/>
          <w:lang w:val="en-US"/>
        </w:rPr>
        <w:t>Docencia</w:t>
      </w:r>
      <w:proofErr w:type="spellEnd"/>
      <w:r w:rsidRPr="00006F2E">
        <w:rPr>
          <w:rFonts w:ascii="Times New Roman" w:eastAsia="Times New Roman" w:hAnsi="Times New Roman" w:cs="Times New Roman"/>
          <w:lang w:val="en-US"/>
        </w:rPr>
        <w:t xml:space="preserve"> </w:t>
      </w:r>
      <w:proofErr w:type="spellStart"/>
      <w:r w:rsidRPr="00006F2E">
        <w:rPr>
          <w:rFonts w:ascii="Times New Roman" w:eastAsia="Times New Roman" w:hAnsi="Times New Roman" w:cs="Times New Roman"/>
          <w:lang w:val="en-US"/>
        </w:rPr>
        <w:t>Económicas</w:t>
      </w:r>
      <w:proofErr w:type="spellEnd"/>
      <w:r w:rsidRPr="00006F2E">
        <w:rPr>
          <w:rFonts w:ascii="Times New Roman" w:eastAsia="Times New Roman" w:hAnsi="Times New Roman" w:cs="Times New Roman"/>
          <w:lang w:val="en-US"/>
        </w:rPr>
        <w:t>, the majority of women deprived of their liberty live in precarious economic conditions. Ei</w:t>
      </w:r>
      <w:r w:rsidRPr="00006F2E">
        <w:rPr>
          <w:rFonts w:ascii="Times New Roman" w:eastAsia="Times New Roman" w:hAnsi="Times New Roman" w:cs="Times New Roman"/>
          <w:lang w:val="en-US"/>
        </w:rPr>
        <w:t>ghty-five percent of the women interviewed are mothers and 75% are heads of household, caring for children or other persons who are economically and emotionally dependent on them</w:t>
      </w:r>
      <w:r w:rsidRPr="00006F2E">
        <w:rPr>
          <w:rFonts w:ascii="Times New Roman" w:eastAsia="Times New Roman" w:hAnsi="Times New Roman" w:cs="Times New Roman"/>
          <w:vertAlign w:val="superscript"/>
          <w:lang w:val="en-US"/>
        </w:rPr>
        <w:footnoteReference w:id="12"/>
      </w:r>
      <w:r w:rsidRPr="00006F2E">
        <w:rPr>
          <w:rFonts w:ascii="Times New Roman" w:eastAsia="Times New Roman" w:hAnsi="Times New Roman" w:cs="Times New Roman"/>
          <w:lang w:val="en-US"/>
        </w:rPr>
        <w:t>. Many belong to low socioeconomic strata, with low levels of education. In most cases, these women had committed crimes because of the need to support their households and to provide for the basic needs of their dependents.</w:t>
      </w:r>
    </w:p>
    <w:p w14:paraId="6795058E" w14:textId="77777777" w:rsidR="00E617A5" w:rsidRPr="00006F2E" w:rsidRDefault="00E617A5">
      <w:pPr>
        <w:jc w:val="both"/>
        <w:rPr>
          <w:rFonts w:ascii="Times New Roman" w:eastAsia="Times New Roman" w:hAnsi="Times New Roman" w:cs="Times New Roman"/>
          <w:lang w:val="en-US"/>
        </w:rPr>
      </w:pPr>
    </w:p>
    <w:p w14:paraId="5B0300A9" w14:textId="77777777" w:rsidR="00E617A5" w:rsidRPr="00006F2E" w:rsidRDefault="00C832C9">
      <w:pPr>
        <w:jc w:val="both"/>
        <w:rPr>
          <w:rFonts w:ascii="Times New Roman" w:eastAsia="Times New Roman" w:hAnsi="Times New Roman" w:cs="Times New Roman"/>
          <w:b/>
          <w:lang w:val="en-US"/>
        </w:rPr>
      </w:pPr>
      <w:r w:rsidRPr="00006F2E">
        <w:rPr>
          <w:rFonts w:ascii="Times New Roman" w:eastAsia="Times New Roman" w:hAnsi="Times New Roman" w:cs="Times New Roman"/>
          <w:b/>
          <w:lang w:val="en-US"/>
        </w:rPr>
        <w:t>Decriminalization of drug poss</w:t>
      </w:r>
      <w:r w:rsidRPr="00006F2E">
        <w:rPr>
          <w:rFonts w:ascii="Times New Roman" w:eastAsia="Times New Roman" w:hAnsi="Times New Roman" w:cs="Times New Roman"/>
          <w:b/>
          <w:lang w:val="en-US"/>
        </w:rPr>
        <w:t>ession and use in Colombia: Progress and limitations</w:t>
      </w:r>
      <w:r w:rsidRPr="00006F2E">
        <w:rPr>
          <w:rFonts w:ascii="Times New Roman" w:eastAsia="Times New Roman" w:hAnsi="Times New Roman" w:cs="Times New Roman"/>
          <w:b/>
          <w:vertAlign w:val="superscript"/>
          <w:lang w:val="en-US"/>
        </w:rPr>
        <w:footnoteReference w:id="13"/>
      </w:r>
    </w:p>
    <w:p w14:paraId="1D3D38B3" w14:textId="77777777" w:rsidR="00E617A5" w:rsidRPr="00006F2E" w:rsidRDefault="00E617A5">
      <w:pPr>
        <w:jc w:val="both"/>
        <w:rPr>
          <w:rFonts w:ascii="Times New Roman" w:eastAsia="Times New Roman" w:hAnsi="Times New Roman" w:cs="Times New Roman"/>
          <w:lang w:val="en-US"/>
        </w:rPr>
      </w:pPr>
    </w:p>
    <w:p w14:paraId="50B4F4AE"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Colombia has a unique legal framework on drug use and possession, derived from a landmark 1994 ruling from the Constitutional Court by which both use and possession were decriminalized, on the basis o</w:t>
      </w:r>
      <w:r w:rsidRPr="00006F2E">
        <w:rPr>
          <w:rFonts w:ascii="Times New Roman" w:eastAsia="Times New Roman" w:hAnsi="Times New Roman" w:cs="Times New Roman"/>
          <w:lang w:val="en-US"/>
        </w:rPr>
        <w:t>f respecting the rights to autonomy and freedom, protecting what is called the “personal dose”. This ruling modified the National Narcotics Code (Law 30 of 1986), and as a result, people who use drugs have not been imprisoned for their sole decision to use</w:t>
      </w:r>
      <w:r w:rsidRPr="00006F2E">
        <w:rPr>
          <w:rFonts w:ascii="Times New Roman" w:eastAsia="Times New Roman" w:hAnsi="Times New Roman" w:cs="Times New Roman"/>
          <w:lang w:val="en-US"/>
        </w:rPr>
        <w:t xml:space="preserve"> illicit substances. As such, Colombia is at the vanguard to what human rights special mechanisms have been calling for years now, as criminalization of personal use of drugs has caused devastating health and social consequences in many regions.</w:t>
      </w:r>
    </w:p>
    <w:p w14:paraId="491BA641"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There have</w:t>
      </w:r>
      <w:r w:rsidRPr="00006F2E">
        <w:rPr>
          <w:rFonts w:ascii="Times New Roman" w:eastAsia="Times New Roman" w:hAnsi="Times New Roman" w:cs="Times New Roman"/>
          <w:lang w:val="en-US"/>
        </w:rPr>
        <w:t xml:space="preserve"> been significant challenges and setbacks to the decriminalization model, which continue to threaten the rights of people who use drugs, including the rights to freedom, privacy, </w:t>
      </w:r>
      <w:proofErr w:type="gramStart"/>
      <w:r w:rsidRPr="00006F2E">
        <w:rPr>
          <w:rFonts w:ascii="Times New Roman" w:eastAsia="Times New Roman" w:hAnsi="Times New Roman" w:cs="Times New Roman"/>
          <w:lang w:val="en-US"/>
        </w:rPr>
        <w:t>and  autonomy</w:t>
      </w:r>
      <w:proofErr w:type="gramEnd"/>
      <w:r w:rsidRPr="00006F2E">
        <w:rPr>
          <w:rFonts w:ascii="Times New Roman" w:eastAsia="Times New Roman" w:hAnsi="Times New Roman" w:cs="Times New Roman"/>
          <w:lang w:val="en-US"/>
        </w:rPr>
        <w:t>. Firstly, a constitutional reform in 2009 by which a general pr</w:t>
      </w:r>
      <w:r w:rsidRPr="00006F2E">
        <w:rPr>
          <w:rFonts w:ascii="Times New Roman" w:eastAsia="Times New Roman" w:hAnsi="Times New Roman" w:cs="Times New Roman"/>
          <w:lang w:val="en-US"/>
        </w:rPr>
        <w:t xml:space="preserve">ohibition was introduced on possession and use of narcotic psychotropic substances, allowing exceptions only for medical uses. This reform has led to a number of regulatory decrees sanctioned by Congress, </w:t>
      </w:r>
      <w:r w:rsidRPr="00006F2E">
        <w:rPr>
          <w:rFonts w:ascii="Times New Roman" w:eastAsia="Times New Roman" w:hAnsi="Times New Roman" w:cs="Times New Roman"/>
          <w:lang w:val="en-US"/>
        </w:rPr>
        <w:lastRenderedPageBreak/>
        <w:t>such as the National Police Code (2016), which intr</w:t>
      </w:r>
      <w:r w:rsidRPr="00006F2E">
        <w:rPr>
          <w:rFonts w:ascii="Times New Roman" w:eastAsia="Times New Roman" w:hAnsi="Times New Roman" w:cs="Times New Roman"/>
          <w:lang w:val="en-US"/>
        </w:rPr>
        <w:t>oduce a number of administrative sanctions for the possession of drugs for personal use, or use in public spaces.</w:t>
      </w:r>
    </w:p>
    <w:p w14:paraId="44C5ECCC" w14:textId="77777777" w:rsidR="00E617A5" w:rsidRPr="00006F2E" w:rsidRDefault="00C832C9">
      <w:pPr>
        <w:numPr>
          <w:ilvl w:val="0"/>
          <w:numId w:val="1"/>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tensions arising from the conflicting laws - the 1994 ruling and the 2009 reform - have as a result a paradoxical situation: under the rights to freedom and privacy, a protection of the individual decision to use drugs, but sanctions for exercising sai</w:t>
      </w:r>
      <w:r w:rsidRPr="00006F2E">
        <w:rPr>
          <w:rFonts w:ascii="Times New Roman" w:eastAsia="Times New Roman" w:hAnsi="Times New Roman" w:cs="Times New Roman"/>
          <w:lang w:val="en-US"/>
        </w:rPr>
        <w:t>d rights. As a result, there continues to be fines and seizing of small quantities of drugs, a situation that is mostly persistent against marginalized populations such as young and racialized individuals.</w:t>
      </w:r>
    </w:p>
    <w:p w14:paraId="781A1823" w14:textId="77777777" w:rsidR="00E617A5" w:rsidRPr="00006F2E" w:rsidRDefault="00E617A5">
      <w:pPr>
        <w:jc w:val="both"/>
        <w:rPr>
          <w:rFonts w:ascii="Times New Roman" w:eastAsia="Times New Roman" w:hAnsi="Times New Roman" w:cs="Times New Roman"/>
          <w:highlight w:val="yellow"/>
          <w:lang w:val="en-US"/>
        </w:rPr>
      </w:pPr>
    </w:p>
    <w:p w14:paraId="1C1CE23D"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accordance with the information presented abov</w:t>
      </w:r>
      <w:r w:rsidRPr="00006F2E">
        <w:rPr>
          <w:rFonts w:ascii="Times New Roman" w:eastAsia="Times New Roman" w:hAnsi="Times New Roman" w:cs="Times New Roman"/>
          <w:lang w:val="en-US"/>
        </w:rPr>
        <w:t xml:space="preserve">e, Elementa DDHH and </w:t>
      </w:r>
      <w:proofErr w:type="spellStart"/>
      <w:r w:rsidRPr="00006F2E">
        <w:rPr>
          <w:rFonts w:ascii="Times New Roman" w:eastAsia="Times New Roman" w:hAnsi="Times New Roman" w:cs="Times New Roman"/>
          <w:lang w:val="en-US"/>
        </w:rPr>
        <w:t>Dejusticia</w:t>
      </w:r>
      <w:proofErr w:type="spellEnd"/>
      <w:r w:rsidRPr="00006F2E">
        <w:rPr>
          <w:rFonts w:ascii="Times New Roman" w:eastAsia="Times New Roman" w:hAnsi="Times New Roman" w:cs="Times New Roman"/>
          <w:lang w:val="en-US"/>
        </w:rPr>
        <w:t xml:space="preserve"> respectfully suggest that the Committee asks Colombia to report on the following:</w:t>
      </w:r>
    </w:p>
    <w:p w14:paraId="1B200AD0" w14:textId="77777777" w:rsidR="00E617A5" w:rsidRPr="00006F2E" w:rsidRDefault="00E617A5">
      <w:pPr>
        <w:jc w:val="both"/>
        <w:rPr>
          <w:rFonts w:ascii="Times New Roman" w:eastAsia="Times New Roman" w:hAnsi="Times New Roman" w:cs="Times New Roman"/>
          <w:lang w:val="en-US"/>
        </w:rPr>
      </w:pPr>
    </w:p>
    <w:p w14:paraId="374BA06F" w14:textId="77777777" w:rsidR="00E617A5" w:rsidRPr="00006F2E" w:rsidRDefault="00C832C9">
      <w:pPr>
        <w:numPr>
          <w:ilvl w:val="0"/>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steps being taken to uptake the recommendations from the final report of the Truth Commission, specifically:</w:t>
      </w:r>
    </w:p>
    <w:p w14:paraId="6B56981D"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Institutional arrangements f</w:t>
      </w:r>
      <w:r w:rsidRPr="00006F2E">
        <w:rPr>
          <w:rFonts w:ascii="Times New Roman" w:eastAsia="Times New Roman" w:hAnsi="Times New Roman" w:cs="Times New Roman"/>
          <w:lang w:val="en-US"/>
        </w:rPr>
        <w:t>or non-repetition of aerial spraying with glyphosate and also to create spaces for dialogue and recognition of the harms caused by the PECIG to local populations and ecosystems, and the means by which such harms can be repaired. Specifically, what concrete</w:t>
      </w:r>
      <w:r w:rsidRPr="00006F2E">
        <w:rPr>
          <w:rFonts w:ascii="Times New Roman" w:eastAsia="Times New Roman" w:hAnsi="Times New Roman" w:cs="Times New Roman"/>
          <w:lang w:val="en-US"/>
        </w:rPr>
        <w:t xml:space="preserve"> measures are being taken to address the harms of aerial spraying to sexual and reproductive health.</w:t>
      </w:r>
    </w:p>
    <w:p w14:paraId="74168FE9"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concrete measures towards a demilitarization of drug policy interventions with regards to coca cultivation, and specifically the control of use of forc</w:t>
      </w:r>
      <w:r w:rsidRPr="00006F2E">
        <w:rPr>
          <w:rFonts w:ascii="Times New Roman" w:eastAsia="Times New Roman" w:hAnsi="Times New Roman" w:cs="Times New Roman"/>
          <w:lang w:val="en-US"/>
        </w:rPr>
        <w:t>e and presence or armed forces, and measures to ensure the protection of civilian population amid drug control operations.</w:t>
      </w:r>
    </w:p>
    <w:p w14:paraId="209BD5C2"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Legal and institutional steps towards a regulatory framework for drugs currently declared illicit.</w:t>
      </w:r>
    </w:p>
    <w:p w14:paraId="15642D8D" w14:textId="77777777" w:rsidR="00E617A5" w:rsidRPr="00006F2E" w:rsidRDefault="00C832C9">
      <w:pPr>
        <w:numPr>
          <w:ilvl w:val="0"/>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steps being taken to guarantee</w:t>
      </w:r>
      <w:r w:rsidRPr="00006F2E">
        <w:rPr>
          <w:rFonts w:ascii="Times New Roman" w:eastAsia="Times New Roman" w:hAnsi="Times New Roman" w:cs="Times New Roman"/>
          <w:lang w:val="en-US"/>
        </w:rPr>
        <w:t xml:space="preserve"> </w:t>
      </w:r>
      <w:r w:rsidRPr="00006F2E">
        <w:rPr>
          <w:rFonts w:ascii="Times New Roman" w:eastAsia="Times New Roman" w:hAnsi="Times New Roman" w:cs="Times New Roman"/>
          <w:highlight w:val="white"/>
          <w:lang w:val="en-US"/>
        </w:rPr>
        <w:t xml:space="preserve">the functioning and institutional capacity of the </w:t>
      </w:r>
      <w:r w:rsidRPr="00006F2E">
        <w:rPr>
          <w:rFonts w:ascii="Times New Roman" w:eastAsia="Times New Roman" w:hAnsi="Times New Roman" w:cs="Times New Roman"/>
          <w:lang w:val="en-US"/>
        </w:rPr>
        <w:t>Monitoring Committee to the implementation of the recommendations for conflict non-repetition</w:t>
      </w:r>
      <w:r w:rsidRPr="00006F2E">
        <w:rPr>
          <w:rFonts w:ascii="Times New Roman" w:eastAsia="Times New Roman" w:hAnsi="Times New Roman" w:cs="Times New Roman"/>
          <w:highlight w:val="white"/>
          <w:lang w:val="en-US"/>
        </w:rPr>
        <w:t>, particularly:</w:t>
      </w:r>
    </w:p>
    <w:p w14:paraId="3F3424EF" w14:textId="77777777" w:rsidR="00E617A5" w:rsidRPr="00006F2E" w:rsidRDefault="00C832C9">
      <w:pPr>
        <w:numPr>
          <w:ilvl w:val="0"/>
          <w:numId w:val="3"/>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resources allocated by the Colombian government for the fulfillment of its mandate. Specific</w:t>
      </w:r>
      <w:r w:rsidRPr="00006F2E">
        <w:rPr>
          <w:rFonts w:ascii="Times New Roman" w:eastAsia="Times New Roman" w:hAnsi="Times New Roman" w:cs="Times New Roman"/>
          <w:lang w:val="en-US"/>
        </w:rPr>
        <w:t>ally, where the resources will come from, through which institution will be allocated, and whether they should be administered by the Special Jurisdiction for Peace.</w:t>
      </w:r>
    </w:p>
    <w:p w14:paraId="4E79ACD4" w14:textId="77777777" w:rsidR="00E617A5" w:rsidRPr="00006F2E" w:rsidRDefault="00C832C9">
      <w:pPr>
        <w:numPr>
          <w:ilvl w:val="0"/>
          <w:numId w:val="3"/>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In addition to the 7 people and the technical secretariat that integrate the Committee, wh</w:t>
      </w:r>
      <w:r w:rsidRPr="00006F2E">
        <w:rPr>
          <w:rFonts w:ascii="Times New Roman" w:eastAsia="Times New Roman" w:hAnsi="Times New Roman" w:cs="Times New Roman"/>
          <w:lang w:val="en-US"/>
        </w:rPr>
        <w:t>at staff will accompany the challenge of following up on the implementation of the recommendations.</w:t>
      </w:r>
    </w:p>
    <w:p w14:paraId="2CE83036" w14:textId="77777777" w:rsidR="00E617A5" w:rsidRPr="00006F2E" w:rsidRDefault="00C832C9">
      <w:pPr>
        <w:numPr>
          <w:ilvl w:val="0"/>
          <w:numId w:val="3"/>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Measures to address the lack of coordination among the governmental institutions that are called to implement the recommendations of the Truth Commission.</w:t>
      </w:r>
    </w:p>
    <w:p w14:paraId="628E505F" w14:textId="77777777" w:rsidR="00E617A5" w:rsidRPr="00006F2E" w:rsidRDefault="00C832C9">
      <w:pPr>
        <w:numPr>
          <w:ilvl w:val="0"/>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w:t>
      </w:r>
      <w:r w:rsidRPr="00006F2E">
        <w:rPr>
          <w:rFonts w:ascii="Times New Roman" w:eastAsia="Times New Roman" w:hAnsi="Times New Roman" w:cs="Times New Roman"/>
          <w:lang w:val="en-US"/>
        </w:rPr>
        <w:t>he steps being taken to address and overcome the systemic crisis in the penitentiary and prison systems, including:</w:t>
      </w:r>
    </w:p>
    <w:p w14:paraId="08AE34AA"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Besides the approval and implementation of Law 2292, detail other measures to implement alternatives to incarceration, especially for low le</w:t>
      </w:r>
      <w:r w:rsidRPr="00006F2E">
        <w:rPr>
          <w:rFonts w:ascii="Times New Roman" w:eastAsia="Times New Roman" w:hAnsi="Times New Roman" w:cs="Times New Roman"/>
          <w:lang w:val="en-US"/>
        </w:rPr>
        <w:t>vel and non-violent offenders, and means by which issues around socio-economic and employment inclusion will be included, in order to ensure non-recidivism.</w:t>
      </w:r>
    </w:p>
    <w:p w14:paraId="1E2723AB"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lastRenderedPageBreak/>
        <w:t>Measures to address the overcrowding situation that has been transferred to transitional spaces suc</w:t>
      </w:r>
      <w:r w:rsidRPr="00006F2E">
        <w:rPr>
          <w:rFonts w:ascii="Times New Roman" w:eastAsia="Times New Roman" w:hAnsi="Times New Roman" w:cs="Times New Roman"/>
          <w:lang w:val="en-US"/>
        </w:rPr>
        <w:t>h as police stations, and measures to ensure dignified conditions of detention for those deprived of liberty.</w:t>
      </w:r>
    </w:p>
    <w:p w14:paraId="5E901CA7"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Measures to improve the conditions of prisons and other detention facilities, including access to decent infrastructure, food and health services,</w:t>
      </w:r>
      <w:r w:rsidRPr="00006F2E">
        <w:rPr>
          <w:rFonts w:ascii="Times New Roman" w:eastAsia="Times New Roman" w:hAnsi="Times New Roman" w:cs="Times New Roman"/>
          <w:lang w:val="en-US"/>
        </w:rPr>
        <w:t xml:space="preserve"> as well as conditions to ensure dignified conditions of detention.</w:t>
      </w:r>
    </w:p>
    <w:p w14:paraId="59A82216" w14:textId="77777777" w:rsidR="00E617A5" w:rsidRPr="00006F2E" w:rsidRDefault="00C832C9">
      <w:pPr>
        <w:numPr>
          <w:ilvl w:val="1"/>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Concrete measures to ensure that victims of torture or other cruel or inhumane treatment have effective access to complaint mechanisms and justice.</w:t>
      </w:r>
    </w:p>
    <w:p w14:paraId="223083A8" w14:textId="77777777" w:rsidR="00E617A5" w:rsidRPr="00006F2E" w:rsidRDefault="00C832C9">
      <w:pPr>
        <w:numPr>
          <w:ilvl w:val="0"/>
          <w:numId w:val="2"/>
        </w:num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The developments towards the full protec</w:t>
      </w:r>
      <w:r w:rsidRPr="00006F2E">
        <w:rPr>
          <w:rFonts w:ascii="Times New Roman" w:eastAsia="Times New Roman" w:hAnsi="Times New Roman" w:cs="Times New Roman"/>
          <w:lang w:val="en-US"/>
        </w:rPr>
        <w:t xml:space="preserve">tion of the rights to freedom, autonomy and privacy for people who use drugs, in alignment with constitutional precedents and </w:t>
      </w:r>
      <w:proofErr w:type="gramStart"/>
      <w:r w:rsidRPr="00006F2E">
        <w:rPr>
          <w:rFonts w:ascii="Times New Roman" w:eastAsia="Times New Roman" w:hAnsi="Times New Roman" w:cs="Times New Roman"/>
          <w:lang w:val="en-US"/>
        </w:rPr>
        <w:t>evidence based</w:t>
      </w:r>
      <w:proofErr w:type="gramEnd"/>
      <w:r w:rsidRPr="00006F2E">
        <w:rPr>
          <w:rFonts w:ascii="Times New Roman" w:eastAsia="Times New Roman" w:hAnsi="Times New Roman" w:cs="Times New Roman"/>
          <w:lang w:val="en-US"/>
        </w:rPr>
        <w:t xml:space="preserve"> standards. In this regard, concrete measures towards the elimination of administrative sanctions for personal drug </w:t>
      </w:r>
      <w:r w:rsidRPr="00006F2E">
        <w:rPr>
          <w:rFonts w:ascii="Times New Roman" w:eastAsia="Times New Roman" w:hAnsi="Times New Roman" w:cs="Times New Roman"/>
          <w:lang w:val="en-US"/>
        </w:rPr>
        <w:t>use, and other forms of discrimination on the right to autonomy and privacy against people who use drugs.</w:t>
      </w:r>
    </w:p>
    <w:p w14:paraId="3A377975" w14:textId="77777777" w:rsidR="00E617A5" w:rsidRPr="00006F2E" w:rsidRDefault="00E617A5">
      <w:pPr>
        <w:jc w:val="both"/>
        <w:rPr>
          <w:rFonts w:ascii="Times New Roman" w:eastAsia="Times New Roman" w:hAnsi="Times New Roman" w:cs="Times New Roman"/>
          <w:lang w:val="en-US"/>
        </w:rPr>
      </w:pPr>
    </w:p>
    <w:p w14:paraId="7D3B4488" w14:textId="7777777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We welcome the Committee’s commitment to human rights in Colombia, and hope to contribute so that impacts from drug policy can be included in the rev</w:t>
      </w:r>
      <w:r w:rsidRPr="00006F2E">
        <w:rPr>
          <w:rFonts w:ascii="Times New Roman" w:eastAsia="Times New Roman" w:hAnsi="Times New Roman" w:cs="Times New Roman"/>
          <w:lang w:val="en-US"/>
        </w:rPr>
        <w:t>iew process. We remain at your disposal for any further information you may need.</w:t>
      </w:r>
    </w:p>
    <w:p w14:paraId="65C11D19" w14:textId="77777777" w:rsidR="00E617A5" w:rsidRPr="00006F2E" w:rsidRDefault="00E617A5">
      <w:pPr>
        <w:jc w:val="both"/>
        <w:rPr>
          <w:rFonts w:ascii="Times New Roman" w:eastAsia="Times New Roman" w:hAnsi="Times New Roman" w:cs="Times New Roman"/>
          <w:lang w:val="en-US"/>
        </w:rPr>
      </w:pPr>
    </w:p>
    <w:p w14:paraId="3C86467D" w14:textId="1C4D8AD3"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noProof/>
          <w:lang w:val="en-US"/>
        </w:rPr>
        <w:drawing>
          <wp:inline distT="114300" distB="114300" distL="114300" distR="114300" wp14:anchorId="67D3DDF3" wp14:editId="25F3AEAF">
            <wp:extent cx="1371600" cy="86589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39376" cy="908683"/>
                    </a:xfrm>
                    <a:prstGeom prst="rect">
                      <a:avLst/>
                    </a:prstGeom>
                    <a:ln/>
                  </pic:spPr>
                </pic:pic>
              </a:graphicData>
            </a:graphic>
          </wp:inline>
        </w:drawing>
      </w:r>
      <w:r w:rsidR="00006F2E">
        <w:rPr>
          <w:rFonts w:ascii="Times New Roman" w:eastAsia="Times New Roman" w:hAnsi="Times New Roman" w:cs="Times New Roman"/>
          <w:lang w:val="en-US"/>
        </w:rPr>
        <w:t xml:space="preserve">                                                                 </w:t>
      </w:r>
      <w:r w:rsidR="00006F2E" w:rsidRPr="00006F2E">
        <w:rPr>
          <w:rFonts w:ascii="Times New Roman" w:eastAsia="Times New Roman" w:hAnsi="Times New Roman" w:cs="Times New Roman"/>
          <w:noProof/>
          <w:lang w:val="en-US"/>
        </w:rPr>
        <w:drawing>
          <wp:inline distT="114300" distB="114300" distL="114300" distR="114300" wp14:anchorId="12A6366E" wp14:editId="0D82E3EB">
            <wp:extent cx="1360121" cy="130126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375694" cy="1316160"/>
                    </a:xfrm>
                    <a:prstGeom prst="rect">
                      <a:avLst/>
                    </a:prstGeom>
                    <a:ln/>
                  </pic:spPr>
                </pic:pic>
              </a:graphicData>
            </a:graphic>
          </wp:inline>
        </w:drawing>
      </w:r>
    </w:p>
    <w:p w14:paraId="064AED4D" w14:textId="45F42B03" w:rsidR="00E617A5" w:rsidRPr="00006F2E" w:rsidRDefault="00C832C9">
      <w:pPr>
        <w:jc w:val="both"/>
        <w:rPr>
          <w:rFonts w:ascii="Times New Roman" w:eastAsia="Times New Roman" w:hAnsi="Times New Roman" w:cs="Times New Roman"/>
          <w:b/>
          <w:bCs/>
          <w:lang w:val="en-US"/>
        </w:rPr>
      </w:pPr>
      <w:r w:rsidRPr="00006F2E">
        <w:rPr>
          <w:rFonts w:ascii="Times New Roman" w:eastAsia="Times New Roman" w:hAnsi="Times New Roman" w:cs="Times New Roman"/>
          <w:b/>
          <w:bCs/>
          <w:lang w:val="en-US"/>
        </w:rPr>
        <w:t>Paula Aguirre-Ospina</w:t>
      </w:r>
      <w:r w:rsidR="00006F2E">
        <w:rPr>
          <w:rFonts w:ascii="Times New Roman" w:eastAsia="Times New Roman" w:hAnsi="Times New Roman" w:cs="Times New Roman"/>
          <w:lang w:val="en-US"/>
        </w:rPr>
        <w:t xml:space="preserve">                                                          </w:t>
      </w:r>
      <w:r w:rsidR="00006F2E">
        <w:rPr>
          <w:rFonts w:ascii="Times New Roman" w:eastAsia="Times New Roman" w:hAnsi="Times New Roman" w:cs="Times New Roman"/>
          <w:lang w:val="en-US"/>
        </w:rPr>
        <w:tab/>
      </w:r>
      <w:r w:rsidR="00006F2E" w:rsidRPr="00006F2E">
        <w:rPr>
          <w:rFonts w:ascii="Times New Roman" w:eastAsia="Times New Roman" w:hAnsi="Times New Roman" w:cs="Times New Roman"/>
          <w:b/>
          <w:bCs/>
          <w:lang w:val="en-US"/>
        </w:rPr>
        <w:t xml:space="preserve">Adriana </w:t>
      </w:r>
      <w:proofErr w:type="spellStart"/>
      <w:r w:rsidR="00006F2E" w:rsidRPr="00006F2E">
        <w:rPr>
          <w:rFonts w:ascii="Times New Roman" w:eastAsia="Times New Roman" w:hAnsi="Times New Roman" w:cs="Times New Roman"/>
          <w:b/>
          <w:bCs/>
          <w:lang w:val="en-US"/>
        </w:rPr>
        <w:t>Muro</w:t>
      </w:r>
      <w:proofErr w:type="spellEnd"/>
      <w:r w:rsidR="00006F2E" w:rsidRPr="00006F2E">
        <w:rPr>
          <w:rFonts w:ascii="Times New Roman" w:eastAsia="Times New Roman" w:hAnsi="Times New Roman" w:cs="Times New Roman"/>
          <w:b/>
          <w:bCs/>
          <w:lang w:val="en-US"/>
        </w:rPr>
        <w:t>-Polo</w:t>
      </w:r>
    </w:p>
    <w:p w14:paraId="4B9F64E5" w14:textId="3CEE9390" w:rsidR="00006F2E" w:rsidRDefault="00006F2E">
      <w:pPr>
        <w:jc w:val="both"/>
        <w:rPr>
          <w:rFonts w:ascii="Times New Roman" w:eastAsia="Times New Roman" w:hAnsi="Times New Roman" w:cs="Times New Roman"/>
          <w:lang w:val="en-US"/>
        </w:rPr>
      </w:pPr>
      <w:r>
        <w:rPr>
          <w:rFonts w:ascii="Times New Roman" w:eastAsia="Times New Roman" w:hAnsi="Times New Roman" w:cs="Times New Roman"/>
          <w:lang w:val="en-US"/>
        </w:rPr>
        <w:t>Colombia Office Director</w:t>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t>Executive Director</w:t>
      </w:r>
    </w:p>
    <w:p w14:paraId="32EDC6E1" w14:textId="10F419E9" w:rsidR="00006F2E" w:rsidRPr="00006F2E" w:rsidRDefault="00006F2E">
      <w:pPr>
        <w:jc w:val="both"/>
        <w:rPr>
          <w:rFonts w:ascii="Times New Roman" w:eastAsia="Times New Roman" w:hAnsi="Times New Roman" w:cs="Times New Roman"/>
          <w:lang w:val="en-US"/>
        </w:rPr>
      </w:pPr>
      <w:r>
        <w:rPr>
          <w:rFonts w:ascii="Times New Roman" w:eastAsia="Times New Roman" w:hAnsi="Times New Roman" w:cs="Times New Roman"/>
          <w:lang w:val="en-US"/>
        </w:rPr>
        <w:t>Elementa DDHH</w:t>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r>
      <w:r>
        <w:rPr>
          <w:rFonts w:ascii="Times New Roman" w:eastAsia="Times New Roman" w:hAnsi="Times New Roman" w:cs="Times New Roman"/>
          <w:lang w:val="en-US"/>
        </w:rPr>
        <w:tab/>
        <w:t>Elementa DDHH</w:t>
      </w:r>
    </w:p>
    <w:p w14:paraId="57B41AF7" w14:textId="77777777" w:rsidR="00E617A5" w:rsidRPr="00006F2E" w:rsidRDefault="00E617A5">
      <w:pPr>
        <w:jc w:val="both"/>
        <w:rPr>
          <w:rFonts w:ascii="Times New Roman" w:eastAsia="Times New Roman" w:hAnsi="Times New Roman" w:cs="Times New Roman"/>
          <w:lang w:val="en-US"/>
        </w:rPr>
      </w:pPr>
    </w:p>
    <w:p w14:paraId="337B6D51" w14:textId="04CC6E87"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noProof/>
          <w:lang w:val="en-US"/>
        </w:rPr>
        <w:drawing>
          <wp:inline distT="114300" distB="114300" distL="114300" distR="114300" wp14:anchorId="4C62B07C" wp14:editId="01196E8D">
            <wp:extent cx="1371600" cy="83174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b="6104"/>
                    <a:stretch>
                      <a:fillRect/>
                    </a:stretch>
                  </pic:blipFill>
                  <pic:spPr>
                    <a:xfrm>
                      <a:off x="0" y="0"/>
                      <a:ext cx="1371600" cy="831748"/>
                    </a:xfrm>
                    <a:prstGeom prst="rect">
                      <a:avLst/>
                    </a:prstGeom>
                    <a:ln/>
                  </pic:spPr>
                </pic:pic>
              </a:graphicData>
            </a:graphic>
          </wp:inline>
        </w:drawing>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sidRPr="00006F2E">
        <w:rPr>
          <w:rFonts w:ascii="Times New Roman" w:eastAsia="Times New Roman" w:hAnsi="Times New Roman" w:cs="Times New Roman"/>
          <w:noProof/>
          <w:lang w:val="en-US"/>
        </w:rPr>
        <w:drawing>
          <wp:inline distT="114300" distB="114300" distL="114300" distR="114300" wp14:anchorId="6CFA063A" wp14:editId="4ECDDF92">
            <wp:extent cx="1847850" cy="9620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847850" cy="962025"/>
                    </a:xfrm>
                    <a:prstGeom prst="rect">
                      <a:avLst/>
                    </a:prstGeom>
                    <a:ln/>
                  </pic:spPr>
                </pic:pic>
              </a:graphicData>
            </a:graphic>
          </wp:inline>
        </w:drawing>
      </w:r>
    </w:p>
    <w:p w14:paraId="75B0500B" w14:textId="7A68C7DC" w:rsidR="00006F2E"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b/>
          <w:bCs/>
          <w:lang w:val="en-US"/>
        </w:rPr>
        <w:t>Isabel Pereira-Arana</w:t>
      </w:r>
      <w:r w:rsidR="00006F2E" w:rsidRPr="00006F2E">
        <w:rPr>
          <w:rFonts w:ascii="Times New Roman" w:eastAsia="Times New Roman" w:hAnsi="Times New Roman" w:cs="Times New Roman"/>
          <w:b/>
          <w:bCs/>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sidRPr="00006F2E">
        <w:rPr>
          <w:rFonts w:ascii="Times New Roman" w:eastAsia="Times New Roman" w:hAnsi="Times New Roman" w:cs="Times New Roman"/>
          <w:b/>
          <w:bCs/>
          <w:lang w:val="en-US"/>
        </w:rPr>
        <w:t xml:space="preserve">            Luis Felipe Cruz-Olivera</w:t>
      </w:r>
    </w:p>
    <w:p w14:paraId="0685071B" w14:textId="7CF2098B" w:rsidR="00E617A5" w:rsidRPr="00006F2E" w:rsidRDefault="00C832C9">
      <w:pPr>
        <w:jc w:val="both"/>
        <w:rPr>
          <w:rFonts w:ascii="Times New Roman" w:eastAsia="Times New Roman" w:hAnsi="Times New Roman" w:cs="Times New Roman"/>
          <w:lang w:val="en-US"/>
        </w:rPr>
      </w:pPr>
      <w:r w:rsidRPr="00006F2E">
        <w:rPr>
          <w:rFonts w:ascii="Times New Roman" w:eastAsia="Times New Roman" w:hAnsi="Times New Roman" w:cs="Times New Roman"/>
          <w:lang w:val="en-US"/>
        </w:rPr>
        <w:t>Drug policy area coordinator</w:t>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t xml:space="preserve">            Drug policy area researcher</w:t>
      </w:r>
      <w:r w:rsidR="00006F2E">
        <w:rPr>
          <w:rFonts w:ascii="Times New Roman" w:eastAsia="Times New Roman" w:hAnsi="Times New Roman" w:cs="Times New Roman"/>
          <w:lang w:val="en-US"/>
        </w:rPr>
        <w:tab/>
      </w:r>
    </w:p>
    <w:p w14:paraId="386E39F3" w14:textId="3BD86DED" w:rsidR="00E617A5" w:rsidRPr="00006F2E" w:rsidRDefault="00C832C9">
      <w:pPr>
        <w:jc w:val="both"/>
        <w:rPr>
          <w:rFonts w:ascii="Times New Roman" w:eastAsia="Times New Roman" w:hAnsi="Times New Roman" w:cs="Times New Roman"/>
          <w:lang w:val="en-US"/>
        </w:rPr>
      </w:pPr>
      <w:proofErr w:type="spellStart"/>
      <w:r w:rsidRPr="00006F2E">
        <w:rPr>
          <w:rFonts w:ascii="Times New Roman" w:eastAsia="Times New Roman" w:hAnsi="Times New Roman" w:cs="Times New Roman"/>
          <w:lang w:val="en-US"/>
        </w:rPr>
        <w:t>Dejusticia</w:t>
      </w:r>
      <w:proofErr w:type="spellEnd"/>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r>
      <w:r w:rsidR="00006F2E">
        <w:rPr>
          <w:rFonts w:ascii="Times New Roman" w:eastAsia="Times New Roman" w:hAnsi="Times New Roman" w:cs="Times New Roman"/>
          <w:lang w:val="en-US"/>
        </w:rPr>
        <w:tab/>
        <w:t xml:space="preserve">            </w:t>
      </w:r>
      <w:proofErr w:type="spellStart"/>
      <w:r w:rsidR="00006F2E">
        <w:rPr>
          <w:rFonts w:ascii="Times New Roman" w:eastAsia="Times New Roman" w:hAnsi="Times New Roman" w:cs="Times New Roman"/>
          <w:lang w:val="en-US"/>
        </w:rPr>
        <w:t>Dejusticia</w:t>
      </w:r>
      <w:proofErr w:type="spellEnd"/>
    </w:p>
    <w:p w14:paraId="32EDCCBB" w14:textId="43FDF7F4" w:rsidR="00E617A5" w:rsidRPr="00006F2E" w:rsidRDefault="00E617A5">
      <w:pPr>
        <w:jc w:val="both"/>
        <w:rPr>
          <w:rFonts w:ascii="Times New Roman" w:eastAsia="Times New Roman" w:hAnsi="Times New Roman" w:cs="Times New Roman"/>
          <w:lang w:val="en-US"/>
        </w:rPr>
      </w:pPr>
    </w:p>
    <w:sectPr w:rsidR="00E617A5" w:rsidRPr="00006F2E">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2E8332" w14:textId="77777777" w:rsidR="00C832C9" w:rsidRDefault="00C832C9">
      <w:pPr>
        <w:spacing w:line="240" w:lineRule="auto"/>
      </w:pPr>
      <w:r>
        <w:separator/>
      </w:r>
    </w:p>
  </w:endnote>
  <w:endnote w:type="continuationSeparator" w:id="0">
    <w:p w14:paraId="01F0B439" w14:textId="77777777" w:rsidR="00C832C9" w:rsidRDefault="00C832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31684" w14:textId="77777777" w:rsidR="00C832C9" w:rsidRDefault="00C832C9">
      <w:pPr>
        <w:spacing w:line="240" w:lineRule="auto"/>
      </w:pPr>
      <w:r>
        <w:separator/>
      </w:r>
    </w:p>
  </w:footnote>
  <w:footnote w:type="continuationSeparator" w:id="0">
    <w:p w14:paraId="4A976F8E" w14:textId="77777777" w:rsidR="00C832C9" w:rsidRDefault="00C832C9">
      <w:pPr>
        <w:spacing w:line="240" w:lineRule="auto"/>
      </w:pPr>
      <w:r>
        <w:continuationSeparator/>
      </w:r>
    </w:p>
  </w:footnote>
  <w:footnote w:id="1">
    <w:p w14:paraId="36BCC45A" w14:textId="77777777" w:rsidR="00E617A5" w:rsidRDefault="00C832C9">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United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Nations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Development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Program</w:t>
      </w:r>
      <w:proofErr w:type="spellEnd"/>
      <w:r>
        <w:rPr>
          <w:rFonts w:ascii="Times New Roman" w:eastAsia="Times New Roman" w:hAnsi="Times New Roman" w:cs="Times New Roman"/>
          <w:sz w:val="20"/>
          <w:szCs w:val="20"/>
        </w:rPr>
        <w:t xml:space="preserve"> (UNDP), </w:t>
      </w:r>
      <w:proofErr w:type="spellStart"/>
      <w:r>
        <w:rPr>
          <w:rFonts w:ascii="Times New Roman" w:eastAsia="Times New Roman" w:hAnsi="Times New Roman" w:cs="Times New Roman"/>
          <w:sz w:val="20"/>
          <w:szCs w:val="20"/>
        </w:rPr>
        <w:t>the</w:t>
      </w:r>
      <w:proofErr w:type="spellEnd"/>
      <w:r>
        <w:rPr>
          <w:rFonts w:ascii="Times New Roman" w:eastAsia="Times New Roman" w:hAnsi="Times New Roman" w:cs="Times New Roman"/>
          <w:sz w:val="20"/>
          <w:szCs w:val="20"/>
        </w:rPr>
        <w:t xml:space="preserve"> Office of </w:t>
      </w:r>
      <w:proofErr w:type="spellStart"/>
      <w:r>
        <w:rPr>
          <w:rFonts w:ascii="Times New Roman" w:eastAsia="Times New Roman" w:hAnsi="Times New Roman" w:cs="Times New Roman"/>
          <w:sz w:val="20"/>
          <w:szCs w:val="20"/>
        </w:rPr>
        <w:t>the</w:t>
      </w:r>
      <w:proofErr w:type="spellEnd"/>
      <w:r>
        <w:rPr>
          <w:rFonts w:ascii="Times New Roman" w:eastAsia="Times New Roman" w:hAnsi="Times New Roman" w:cs="Times New Roman"/>
          <w:sz w:val="20"/>
          <w:szCs w:val="20"/>
        </w:rPr>
        <w:t xml:space="preserve"> High </w:t>
      </w:r>
      <w:proofErr w:type="spellStart"/>
      <w:r>
        <w:rPr>
          <w:rFonts w:ascii="Times New Roman" w:eastAsia="Times New Roman" w:hAnsi="Times New Roman" w:cs="Times New Roman"/>
          <w:sz w:val="20"/>
          <w:szCs w:val="20"/>
        </w:rPr>
        <w:t>Commissioner</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for</w:t>
      </w:r>
      <w:proofErr w:type="spellEnd"/>
      <w:r>
        <w:rPr>
          <w:rFonts w:ascii="Times New Roman" w:eastAsia="Times New Roman" w:hAnsi="Times New Roman" w:cs="Times New Roman"/>
          <w:sz w:val="20"/>
          <w:szCs w:val="20"/>
        </w:rPr>
        <w:t xml:space="preserve"> Human </w:t>
      </w:r>
      <w:proofErr w:type="spellStart"/>
      <w:r>
        <w:rPr>
          <w:rFonts w:ascii="Times New Roman" w:eastAsia="Times New Roman" w:hAnsi="Times New Roman" w:cs="Times New Roman"/>
          <w:sz w:val="20"/>
          <w:szCs w:val="20"/>
        </w:rPr>
        <w:t>Rights</w:t>
      </w:r>
      <w:proofErr w:type="spellEnd"/>
      <w:r>
        <w:rPr>
          <w:rFonts w:ascii="Times New Roman" w:eastAsia="Times New Roman" w:hAnsi="Times New Roman" w:cs="Times New Roman"/>
          <w:sz w:val="20"/>
          <w:szCs w:val="20"/>
        </w:rPr>
        <w:t xml:space="preserve"> (OHCHR), </w:t>
      </w:r>
      <w:proofErr w:type="spellStart"/>
      <w:r>
        <w:rPr>
          <w:rFonts w:ascii="Times New Roman" w:eastAsia="Times New Roman" w:hAnsi="Times New Roman" w:cs="Times New Roman"/>
          <w:sz w:val="20"/>
          <w:szCs w:val="20"/>
        </w:rPr>
        <w:t>the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World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Health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Organization</w:t>
      </w:r>
      <w:proofErr w:type="spellEnd"/>
      <w:r>
        <w:rPr>
          <w:rFonts w:ascii="Times New Roman" w:eastAsia="Times New Roman" w:hAnsi="Times New Roman" w:cs="Times New Roman"/>
          <w:sz w:val="20"/>
          <w:szCs w:val="20"/>
        </w:rPr>
        <w:t xml:space="preserve"> (WHO) and </w:t>
      </w:r>
      <w:proofErr w:type="spellStart"/>
      <w:r>
        <w:rPr>
          <w:rFonts w:ascii="Times New Roman" w:eastAsia="Times New Roman" w:hAnsi="Times New Roman" w:cs="Times New Roman"/>
          <w:sz w:val="20"/>
          <w:szCs w:val="20"/>
        </w:rPr>
        <w:t>the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Joint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United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Nations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Programme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on</w:t>
      </w:r>
      <w:proofErr w:type="spellEnd"/>
      <w:r>
        <w:rPr>
          <w:rFonts w:ascii="Times New Roman" w:eastAsia="Times New Roman" w:hAnsi="Times New Roman" w:cs="Times New Roman"/>
          <w:sz w:val="20"/>
          <w:szCs w:val="20"/>
        </w:rPr>
        <w:t xml:space="preserve"> HIV/AIDS (UNAIDS), International Centre </w:t>
      </w:r>
      <w:proofErr w:type="spellStart"/>
      <w:r>
        <w:rPr>
          <w:rFonts w:ascii="Times New Roman" w:eastAsia="Times New Roman" w:hAnsi="Times New Roman" w:cs="Times New Roman"/>
          <w:sz w:val="20"/>
          <w:szCs w:val="20"/>
        </w:rPr>
        <w:t>on</w:t>
      </w:r>
      <w:proofErr w:type="spellEnd"/>
      <w:r>
        <w:rPr>
          <w:rFonts w:ascii="Times New Roman" w:eastAsia="Times New Roman" w:hAnsi="Times New Roman" w:cs="Times New Roman"/>
          <w:sz w:val="20"/>
          <w:szCs w:val="20"/>
        </w:rPr>
        <w:t xml:space="preserve"> Human </w:t>
      </w:r>
      <w:proofErr w:type="spellStart"/>
      <w:r>
        <w:rPr>
          <w:rFonts w:ascii="Times New Roman" w:eastAsia="Times New Roman" w:hAnsi="Times New Roman" w:cs="Times New Roman"/>
          <w:sz w:val="20"/>
          <w:szCs w:val="20"/>
        </w:rPr>
        <w:t>Rights</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and </w:t>
      </w:r>
      <w:proofErr w:type="spellStart"/>
      <w:r>
        <w:rPr>
          <w:rFonts w:ascii="Times New Roman" w:eastAsia="Times New Roman" w:hAnsi="Times New Roman" w:cs="Times New Roman"/>
          <w:sz w:val="20"/>
          <w:szCs w:val="20"/>
        </w:rPr>
        <w:t>Drug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Policy</w:t>
      </w:r>
      <w:proofErr w:type="spellEnd"/>
      <w:r>
        <w:rPr>
          <w:rFonts w:ascii="Times New Roman" w:eastAsia="Times New Roman" w:hAnsi="Times New Roman" w:cs="Times New Roman"/>
          <w:sz w:val="20"/>
          <w:szCs w:val="20"/>
        </w:rPr>
        <w:t xml:space="preserve"> (2019). </w:t>
      </w:r>
      <w:r>
        <w:rPr>
          <w:rFonts w:ascii="Times New Roman" w:eastAsia="Times New Roman" w:hAnsi="Times New Roman" w:cs="Times New Roman"/>
          <w:i/>
          <w:sz w:val="20"/>
          <w:szCs w:val="20"/>
        </w:rPr>
        <w:t xml:space="preserve">International </w:t>
      </w:r>
      <w:proofErr w:type="spellStart"/>
      <w:r>
        <w:rPr>
          <w:rFonts w:ascii="Times New Roman" w:eastAsia="Times New Roman" w:hAnsi="Times New Roman" w:cs="Times New Roman"/>
          <w:i/>
          <w:sz w:val="20"/>
          <w:szCs w:val="20"/>
        </w:rPr>
        <w:t>Guidelines</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on</w:t>
      </w:r>
      <w:proofErr w:type="spellEnd"/>
      <w:r>
        <w:rPr>
          <w:rFonts w:ascii="Times New Roman" w:eastAsia="Times New Roman" w:hAnsi="Times New Roman" w:cs="Times New Roman"/>
          <w:i/>
          <w:sz w:val="20"/>
          <w:szCs w:val="20"/>
        </w:rPr>
        <w:t xml:space="preserve"> Human </w:t>
      </w:r>
      <w:proofErr w:type="spellStart"/>
      <w:r>
        <w:rPr>
          <w:rFonts w:ascii="Times New Roman" w:eastAsia="Times New Roman" w:hAnsi="Times New Roman" w:cs="Times New Roman"/>
          <w:i/>
          <w:sz w:val="20"/>
          <w:szCs w:val="20"/>
        </w:rPr>
        <w:t>Rights</w:t>
      </w:r>
      <w:proofErr w:type="spellEnd"/>
      <w:r>
        <w:rPr>
          <w:rFonts w:ascii="Times New Roman" w:eastAsia="Times New Roman" w:hAnsi="Times New Roman" w:cs="Times New Roman"/>
          <w:i/>
          <w:sz w:val="20"/>
          <w:szCs w:val="20"/>
        </w:rPr>
        <w:t xml:space="preserve"> and </w:t>
      </w:r>
      <w:proofErr w:type="spellStart"/>
      <w:r>
        <w:rPr>
          <w:rFonts w:ascii="Times New Roman" w:eastAsia="Times New Roman" w:hAnsi="Times New Roman" w:cs="Times New Roman"/>
          <w:i/>
          <w:sz w:val="20"/>
          <w:szCs w:val="20"/>
        </w:rPr>
        <w:t>Drug</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Policy</w:t>
      </w:r>
      <w:proofErr w:type="spellEnd"/>
      <w:r>
        <w:rPr>
          <w:rFonts w:ascii="Times New Roman" w:eastAsia="Times New Roman" w:hAnsi="Times New Roman" w:cs="Times New Roman"/>
          <w:i/>
          <w:sz w:val="20"/>
          <w:szCs w:val="20"/>
        </w:rPr>
        <w:t xml:space="preserve">. </w:t>
      </w:r>
      <w:hyperlink r:id="rId1">
        <w:r>
          <w:rPr>
            <w:rFonts w:ascii="Times New Roman" w:eastAsia="Times New Roman" w:hAnsi="Times New Roman" w:cs="Times New Roman"/>
            <w:color w:val="1155CC"/>
            <w:sz w:val="20"/>
            <w:szCs w:val="20"/>
            <w:u w:val="single"/>
          </w:rPr>
          <w:t>https://www.humanrights-drugpolicy.org/</w:t>
        </w:r>
      </w:hyperlink>
      <w:r>
        <w:rPr>
          <w:rFonts w:ascii="Times New Roman" w:eastAsia="Times New Roman" w:hAnsi="Times New Roman" w:cs="Times New Roman"/>
          <w:sz w:val="20"/>
          <w:szCs w:val="20"/>
        </w:rPr>
        <w:t xml:space="preserve"> </w:t>
      </w:r>
    </w:p>
  </w:footnote>
  <w:footnote w:id="2">
    <w:p w14:paraId="02C57389" w14:textId="77777777" w:rsidR="00E617A5" w:rsidRDefault="00C832C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Elementa DDHH, 2022. Radiografía de la política de drogas en Colombia 2018-2022. Bogotá, D.C.</w:t>
      </w:r>
      <w:hyperlink r:id="rId2">
        <w:r>
          <w:rPr>
            <w:rFonts w:ascii="Times New Roman" w:eastAsia="Times New Roman" w:hAnsi="Times New Roman" w:cs="Times New Roman"/>
            <w:sz w:val="20"/>
            <w:szCs w:val="20"/>
            <w:highlight w:val="white"/>
          </w:rPr>
          <w:t xml:space="preserve"> </w:t>
        </w:r>
      </w:hyperlink>
      <w:hyperlink r:id="rId3">
        <w:r>
          <w:rPr>
            <w:rFonts w:ascii="Times New Roman" w:eastAsia="Times New Roman" w:hAnsi="Times New Roman" w:cs="Times New Roman"/>
            <w:color w:val="1155CC"/>
            <w:sz w:val="20"/>
            <w:szCs w:val="20"/>
            <w:highlight w:val="white"/>
            <w:u w:val="single"/>
          </w:rPr>
          <w:t>https://elementaddhh.org/radiografia-politica-de-drogas-en-colombia-2018-2022/</w:t>
        </w:r>
      </w:hyperlink>
      <w:r>
        <w:rPr>
          <w:rFonts w:ascii="Times New Roman" w:eastAsia="Times New Roman" w:hAnsi="Times New Roman" w:cs="Times New Roman"/>
          <w:sz w:val="20"/>
          <w:szCs w:val="20"/>
          <w:highlight w:val="white"/>
        </w:rPr>
        <w:t>.</w:t>
      </w:r>
    </w:p>
  </w:footnote>
  <w:footnote w:id="3">
    <w:p w14:paraId="6BEE0324" w14:textId="77777777" w:rsidR="00E617A5" w:rsidRDefault="00C832C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Elementa DDHH, 2022. Radiografía de la política de drogas en Colombia 2018-2022. Bogotá, D.C.</w:t>
      </w:r>
      <w:hyperlink r:id="rId4">
        <w:r>
          <w:rPr>
            <w:rFonts w:ascii="Times New Roman" w:eastAsia="Times New Roman" w:hAnsi="Times New Roman" w:cs="Times New Roman"/>
            <w:sz w:val="20"/>
            <w:szCs w:val="20"/>
            <w:highlight w:val="white"/>
          </w:rPr>
          <w:t xml:space="preserve"> </w:t>
        </w:r>
      </w:hyperlink>
      <w:hyperlink r:id="rId5">
        <w:r>
          <w:rPr>
            <w:rFonts w:ascii="Times New Roman" w:eastAsia="Times New Roman" w:hAnsi="Times New Roman" w:cs="Times New Roman"/>
            <w:color w:val="1155CC"/>
            <w:sz w:val="20"/>
            <w:szCs w:val="20"/>
            <w:highlight w:val="white"/>
            <w:u w:val="single"/>
          </w:rPr>
          <w:t>https://elementaddhh.org/radiografia-politica-de-drogas-en-colomb</w:t>
        </w:r>
        <w:r>
          <w:rPr>
            <w:rFonts w:ascii="Times New Roman" w:eastAsia="Times New Roman" w:hAnsi="Times New Roman" w:cs="Times New Roman"/>
            <w:color w:val="1155CC"/>
            <w:sz w:val="20"/>
            <w:szCs w:val="20"/>
            <w:highlight w:val="white"/>
            <w:u w:val="single"/>
          </w:rPr>
          <w:t>ia-2018-2022/</w:t>
        </w:r>
      </w:hyperlink>
      <w:r>
        <w:rPr>
          <w:rFonts w:ascii="Times New Roman" w:eastAsia="Times New Roman" w:hAnsi="Times New Roman" w:cs="Times New Roman"/>
          <w:sz w:val="20"/>
          <w:szCs w:val="20"/>
          <w:highlight w:val="white"/>
        </w:rPr>
        <w:t>.</w:t>
      </w:r>
    </w:p>
  </w:footnote>
  <w:footnote w:id="4">
    <w:p w14:paraId="24FB7B03" w14:textId="77777777" w:rsidR="00E617A5" w:rsidRDefault="00C832C9">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CEV. (2022). Hay futuro si hay verdad. Informe final: Hallazgos y recomendaciones de la Comisión de la Verdad en Colombia. </w:t>
      </w:r>
      <w:hyperlink r:id="rId6">
        <w:r>
          <w:rPr>
            <w:rFonts w:ascii="Times New Roman" w:eastAsia="Times New Roman" w:hAnsi="Times New Roman" w:cs="Times New Roman"/>
            <w:color w:val="1155CC"/>
            <w:sz w:val="20"/>
            <w:szCs w:val="20"/>
            <w:u w:val="single"/>
          </w:rPr>
          <w:t>https://bit.ly/457rXf3</w:t>
        </w:r>
      </w:hyperlink>
      <w:r>
        <w:rPr>
          <w:rFonts w:ascii="Times New Roman" w:eastAsia="Times New Roman" w:hAnsi="Times New Roman" w:cs="Times New Roman"/>
          <w:sz w:val="20"/>
          <w:szCs w:val="20"/>
        </w:rPr>
        <w:t xml:space="preserve"> </w:t>
      </w:r>
    </w:p>
  </w:footnote>
  <w:footnote w:id="5">
    <w:p w14:paraId="5EAAE11A" w14:textId="77777777" w:rsidR="00E617A5" w:rsidRDefault="00C832C9">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 </w:t>
      </w:r>
      <w:proofErr w:type="spellStart"/>
      <w:r>
        <w:rPr>
          <w:rFonts w:ascii="Times New Roman" w:eastAsia="Times New Roman" w:hAnsi="Times New Roman" w:cs="Times New Roman"/>
          <w:sz w:val="20"/>
          <w:szCs w:val="20"/>
        </w:rPr>
        <w:t>timeline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on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the</w:t>
      </w:r>
      <w:proofErr w:type="spellEnd"/>
      <w:r>
        <w:rPr>
          <w:rFonts w:ascii="Times New Roman" w:eastAsia="Times New Roman" w:hAnsi="Times New Roman" w:cs="Times New Roman"/>
          <w:sz w:val="20"/>
          <w:szCs w:val="20"/>
        </w:rPr>
        <w:t xml:space="preserve"> general </w:t>
      </w:r>
      <w:proofErr w:type="spellStart"/>
      <w:r>
        <w:rPr>
          <w:rFonts w:ascii="Times New Roman" w:eastAsia="Times New Roman" w:hAnsi="Times New Roman" w:cs="Times New Roman"/>
          <w:sz w:val="20"/>
          <w:szCs w:val="20"/>
        </w:rPr>
        <w:t>implementation</w:t>
      </w:r>
      <w:proofErr w:type="spellEnd"/>
      <w:r>
        <w:rPr>
          <w:rFonts w:ascii="Times New Roman" w:eastAsia="Times New Roman" w:hAnsi="Times New Roman" w:cs="Times New Roman"/>
          <w:sz w:val="20"/>
          <w:szCs w:val="20"/>
        </w:rPr>
        <w:t xml:space="preserve"> of </w:t>
      </w:r>
      <w:proofErr w:type="spellStart"/>
      <w:r>
        <w:rPr>
          <w:rFonts w:ascii="Times New Roman" w:eastAsia="Times New Roman" w:hAnsi="Times New Roman" w:cs="Times New Roman"/>
          <w:sz w:val="20"/>
          <w:szCs w:val="20"/>
        </w:rPr>
        <w:t>aerial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spraying</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with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glyphosate</w:t>
      </w:r>
      <w:proofErr w:type="spellEnd"/>
      <w:r>
        <w:rPr>
          <w:rFonts w:ascii="Times New Roman" w:eastAsia="Times New Roman" w:hAnsi="Times New Roman" w:cs="Times New Roman"/>
          <w:sz w:val="20"/>
          <w:szCs w:val="20"/>
        </w:rPr>
        <w:t xml:space="preserve"> in Colombia </w:t>
      </w:r>
      <w:proofErr w:type="spellStart"/>
      <w:r>
        <w:rPr>
          <w:rFonts w:ascii="Times New Roman" w:eastAsia="Times New Roman" w:hAnsi="Times New Roman" w:cs="Times New Roman"/>
          <w:sz w:val="20"/>
          <w:szCs w:val="20"/>
        </w:rPr>
        <w:t>is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available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here</w:t>
      </w:r>
      <w:proofErr w:type="spellEnd"/>
      <w:r>
        <w:rPr>
          <w:rFonts w:ascii="Times New Roman" w:eastAsia="Times New Roman" w:hAnsi="Times New Roman" w:cs="Times New Roman"/>
          <w:sz w:val="20"/>
          <w:szCs w:val="20"/>
        </w:rPr>
        <w:t xml:space="preserve">: </w:t>
      </w:r>
      <w:hyperlink r:id="rId7">
        <w:r>
          <w:rPr>
            <w:rFonts w:ascii="Times New Roman" w:eastAsia="Times New Roman" w:hAnsi="Times New Roman" w:cs="Times New Roman"/>
            <w:color w:val="0000FF"/>
            <w:sz w:val="20"/>
            <w:szCs w:val="20"/>
            <w:u w:val="single"/>
          </w:rPr>
          <w:t>https://www.dejusticia.org/nuestros-temas/politica-de-drogas/linea-de-tiempo-del-glifosato-en-colombia/</w:t>
        </w:r>
      </w:hyperlink>
      <w:r>
        <w:rPr>
          <w:rFonts w:ascii="Times New Roman" w:eastAsia="Times New Roman" w:hAnsi="Times New Roman" w:cs="Times New Roman"/>
          <w:sz w:val="20"/>
          <w:szCs w:val="20"/>
        </w:rPr>
        <w:t>.</w:t>
      </w:r>
    </w:p>
  </w:footnote>
  <w:footnote w:id="6">
    <w:p w14:paraId="5C8A996E" w14:textId="77777777" w:rsidR="00E617A5" w:rsidRDefault="00C832C9">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Cruz, L., Malagón, A., &amp; Castiblanco, C. (2020). </w:t>
      </w:r>
      <w:r>
        <w:rPr>
          <w:rFonts w:ascii="Times New Roman" w:eastAsia="Times New Roman" w:hAnsi="Times New Roman" w:cs="Times New Roman"/>
          <w:i/>
          <w:sz w:val="20"/>
          <w:szCs w:val="20"/>
        </w:rPr>
        <w:t>El daño que nos hacen: Glifosato y guerra en Caquetá / Ejercicio de memoria históri</w:t>
      </w:r>
      <w:r>
        <w:rPr>
          <w:rFonts w:ascii="Times New Roman" w:eastAsia="Times New Roman" w:hAnsi="Times New Roman" w:cs="Times New Roman"/>
          <w:i/>
          <w:sz w:val="20"/>
          <w:szCs w:val="20"/>
        </w:rPr>
        <w:t xml:space="preserve">ca sobre el territorio </w:t>
      </w:r>
      <w:proofErr w:type="spellStart"/>
      <w:r>
        <w:rPr>
          <w:rFonts w:ascii="Times New Roman" w:eastAsia="Times New Roman" w:hAnsi="Times New Roman" w:cs="Times New Roman"/>
          <w:i/>
          <w:sz w:val="20"/>
          <w:szCs w:val="20"/>
        </w:rPr>
        <w:t>caqueteño</w:t>
      </w:r>
      <w:proofErr w:type="spellEnd"/>
      <w:r>
        <w:rPr>
          <w:rFonts w:ascii="Times New Roman" w:eastAsia="Times New Roman" w:hAnsi="Times New Roman" w:cs="Times New Roman"/>
          <w:i/>
          <w:sz w:val="20"/>
          <w:szCs w:val="20"/>
        </w:rPr>
        <w:t xml:space="preserve"> en medio de la guerra contra las drogas</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Dejusticia</w:t>
      </w:r>
      <w:proofErr w:type="spellEnd"/>
      <w:r>
        <w:rPr>
          <w:rFonts w:ascii="Times New Roman" w:eastAsia="Times New Roman" w:hAnsi="Times New Roman" w:cs="Times New Roman"/>
          <w:sz w:val="20"/>
          <w:szCs w:val="20"/>
        </w:rPr>
        <w:t>.</w:t>
      </w:r>
      <w:hyperlink r:id="rId8">
        <w:r>
          <w:rPr>
            <w:rFonts w:ascii="Times New Roman" w:eastAsia="Times New Roman" w:hAnsi="Times New Roman" w:cs="Times New Roman"/>
            <w:sz w:val="20"/>
            <w:szCs w:val="20"/>
          </w:rPr>
          <w:t xml:space="preserve"> </w:t>
        </w:r>
      </w:hyperlink>
      <w:hyperlink r:id="rId9">
        <w:r>
          <w:rPr>
            <w:rFonts w:ascii="Times New Roman" w:eastAsia="Times New Roman" w:hAnsi="Times New Roman" w:cs="Times New Roman"/>
            <w:color w:val="0000FF"/>
            <w:sz w:val="20"/>
            <w:szCs w:val="20"/>
            <w:u w:val="single"/>
          </w:rPr>
          <w:t>https://www.dejusticia.org/lanzamos-informe-sobre-el-glifosato-y-la-guerra-en-caqueta-que-sera-presentado-a-la-comision-</w:t>
        </w:r>
        <w:r>
          <w:rPr>
            <w:rFonts w:ascii="Times New Roman" w:eastAsia="Times New Roman" w:hAnsi="Times New Roman" w:cs="Times New Roman"/>
            <w:color w:val="0000FF"/>
            <w:sz w:val="20"/>
            <w:szCs w:val="20"/>
            <w:u w:val="single"/>
          </w:rPr>
          <w:t>de-la-verdad/</w:t>
        </w:r>
      </w:hyperlink>
      <w:r>
        <w:rPr>
          <w:rFonts w:ascii="Times New Roman" w:eastAsia="Times New Roman" w:hAnsi="Times New Roman" w:cs="Times New Roman"/>
          <w:sz w:val="20"/>
          <w:szCs w:val="20"/>
        </w:rPr>
        <w:t>, p. 162.</w:t>
      </w:r>
    </w:p>
  </w:footnote>
  <w:footnote w:id="7">
    <w:p w14:paraId="4C2CFBE2" w14:textId="77777777" w:rsidR="00E617A5" w:rsidRDefault="00C832C9">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Centro de Derechos Reproductivos y Grupo de Epidemiología y Salud</w:t>
      </w:r>
      <w:r>
        <w:rPr>
          <w:rFonts w:ascii="Times New Roman" w:eastAsia="Times New Roman" w:hAnsi="Times New Roman" w:cs="Times New Roman"/>
          <w:sz w:val="20"/>
          <w:szCs w:val="20"/>
        </w:rPr>
        <w:t xml:space="preserve"> Poblacional de la Universidad del Valle. (2020). </w:t>
      </w:r>
      <w:r>
        <w:rPr>
          <w:rFonts w:ascii="Times New Roman" w:eastAsia="Times New Roman" w:hAnsi="Times New Roman" w:cs="Times New Roman"/>
          <w:i/>
          <w:sz w:val="20"/>
          <w:szCs w:val="20"/>
        </w:rPr>
        <w:t>Salud Reproductiva y Glifosato en el Contexto de Conflicto Armado.</w:t>
      </w:r>
      <w:r>
        <w:rPr>
          <w:rFonts w:ascii="Times New Roman" w:eastAsia="Times New Roman" w:hAnsi="Times New Roman" w:cs="Times New Roman"/>
          <w:sz w:val="20"/>
          <w:szCs w:val="20"/>
        </w:rPr>
        <w:t xml:space="preserve"> CDR.</w:t>
      </w:r>
      <w:hyperlink r:id="rId10">
        <w:r>
          <w:rPr>
            <w:rFonts w:ascii="Times New Roman" w:eastAsia="Times New Roman" w:hAnsi="Times New Roman" w:cs="Times New Roman"/>
            <w:sz w:val="20"/>
            <w:szCs w:val="20"/>
          </w:rPr>
          <w:t xml:space="preserve"> </w:t>
        </w:r>
      </w:hyperlink>
      <w:hyperlink r:id="rId11">
        <w:r>
          <w:rPr>
            <w:rFonts w:ascii="Times New Roman" w:eastAsia="Times New Roman" w:hAnsi="Times New Roman" w:cs="Times New Roman"/>
            <w:color w:val="0000FF"/>
            <w:sz w:val="20"/>
            <w:szCs w:val="20"/>
            <w:u w:val="single"/>
          </w:rPr>
          <w:t>https://reproductiverights.org/wp-content/uploads/2020/12/Salud-Reproductiva-y-Glifosato-en-el-C</w:t>
        </w:r>
        <w:r>
          <w:rPr>
            <w:rFonts w:ascii="Times New Roman" w:eastAsia="Times New Roman" w:hAnsi="Times New Roman" w:cs="Times New Roman"/>
            <w:color w:val="0000FF"/>
            <w:sz w:val="20"/>
            <w:szCs w:val="20"/>
            <w:u w:val="single"/>
          </w:rPr>
          <w:t>ontexto-de-Conflicto-Armado.pdf</w:t>
        </w:r>
      </w:hyperlink>
      <w:r>
        <w:rPr>
          <w:rFonts w:ascii="Times New Roman" w:eastAsia="Times New Roman" w:hAnsi="Times New Roman" w:cs="Times New Roman"/>
          <w:sz w:val="20"/>
          <w:szCs w:val="20"/>
        </w:rPr>
        <w:t>, page 6.</w:t>
      </w:r>
    </w:p>
  </w:footnote>
  <w:footnote w:id="8">
    <w:p w14:paraId="74C7EEA8" w14:textId="77777777" w:rsidR="00E617A5" w:rsidRDefault="00C832C9">
      <w:pPr>
        <w:spacing w:line="240" w:lineRule="auto"/>
        <w:rPr>
          <w:rFonts w:ascii="Times New Roman" w:eastAsia="Times New Roman" w:hAnsi="Times New Roman" w:cs="Times New Roman"/>
          <w:color w:val="0000FF"/>
          <w:sz w:val="20"/>
          <w:szCs w:val="20"/>
          <w:u w:val="single"/>
        </w:rPr>
      </w:pPr>
      <w:r>
        <w:rPr>
          <w:vertAlign w:val="superscript"/>
        </w:rPr>
        <w:footnoteRef/>
      </w:r>
      <w:r>
        <w:rPr>
          <w:sz w:val="20"/>
          <w:szCs w:val="20"/>
        </w:rPr>
        <w:t xml:space="preserve"> </w:t>
      </w:r>
      <w:r>
        <w:rPr>
          <w:rFonts w:ascii="Times New Roman" w:eastAsia="Times New Roman" w:hAnsi="Times New Roman" w:cs="Times New Roman"/>
          <w:sz w:val="20"/>
          <w:szCs w:val="20"/>
        </w:rPr>
        <w:t>CIDH. (2018). Informe No. 76/18. Admisibilidad. Petición 1453-08. Yaneth Valderrama y familia. Colombia.</w:t>
      </w:r>
      <w:hyperlink r:id="rId12">
        <w:r>
          <w:rPr>
            <w:rFonts w:ascii="Times New Roman" w:eastAsia="Times New Roman" w:hAnsi="Times New Roman" w:cs="Times New Roman"/>
            <w:sz w:val="20"/>
            <w:szCs w:val="20"/>
          </w:rPr>
          <w:t xml:space="preserve"> </w:t>
        </w:r>
      </w:hyperlink>
      <w:hyperlink r:id="rId13">
        <w:r>
          <w:rPr>
            <w:rFonts w:ascii="Times New Roman" w:eastAsia="Times New Roman" w:hAnsi="Times New Roman" w:cs="Times New Roman"/>
            <w:color w:val="0000FF"/>
            <w:sz w:val="20"/>
            <w:szCs w:val="20"/>
            <w:u w:val="single"/>
          </w:rPr>
          <w:t>https://www.oas.org/es/cidh/decisiones/2018/COAD1453-08ES.pdf</w:t>
        </w:r>
      </w:hyperlink>
    </w:p>
    <w:p w14:paraId="351B8FE7" w14:textId="77777777" w:rsidR="00E617A5" w:rsidRDefault="00E617A5">
      <w:pPr>
        <w:spacing w:line="240" w:lineRule="auto"/>
        <w:rPr>
          <w:sz w:val="20"/>
          <w:szCs w:val="20"/>
        </w:rPr>
      </w:pPr>
    </w:p>
  </w:footnote>
  <w:footnote w:id="9">
    <w:p w14:paraId="7D6C67E8" w14:textId="77777777" w:rsidR="00E617A5" w:rsidRDefault="00C832C9">
      <w:pPr>
        <w:spacing w:line="240" w:lineRule="auto"/>
        <w:rPr>
          <w:rFonts w:ascii="Times New Roman" w:eastAsia="Times New Roman" w:hAnsi="Times New Roman" w:cs="Times New Roman"/>
          <w:color w:val="0000FF"/>
          <w:sz w:val="20"/>
          <w:szCs w:val="20"/>
          <w:u w:val="single"/>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INPEC. </w:t>
      </w:r>
      <w:r>
        <w:rPr>
          <w:rFonts w:ascii="Times New Roman" w:eastAsia="Times New Roman" w:hAnsi="Times New Roman" w:cs="Times New Roman"/>
          <w:i/>
          <w:sz w:val="20"/>
          <w:szCs w:val="20"/>
        </w:rPr>
        <w:t>Informe estadístico No.</w:t>
      </w:r>
      <w:r>
        <w:rPr>
          <w:rFonts w:ascii="Times New Roman" w:eastAsia="Times New Roman" w:hAnsi="Times New Roman" w:cs="Times New Roman"/>
          <w:i/>
          <w:sz w:val="20"/>
          <w:szCs w:val="20"/>
        </w:rPr>
        <w:t xml:space="preserve"> 12</w:t>
      </w:r>
      <w:r>
        <w:rPr>
          <w:rFonts w:ascii="Times New Roman" w:eastAsia="Times New Roman" w:hAnsi="Times New Roman" w:cs="Times New Roman"/>
          <w:sz w:val="20"/>
          <w:szCs w:val="20"/>
        </w:rPr>
        <w:t xml:space="preserve"> (2022) </w:t>
      </w:r>
      <w:hyperlink r:id="rId14">
        <w:r>
          <w:rPr>
            <w:rFonts w:ascii="Times New Roman" w:eastAsia="Times New Roman" w:hAnsi="Times New Roman" w:cs="Times New Roman"/>
            <w:color w:val="0000FF"/>
            <w:sz w:val="20"/>
            <w:szCs w:val="20"/>
            <w:u w:val="single"/>
          </w:rPr>
          <w:t>https://bit.ly/3M5ICH1</w:t>
        </w:r>
      </w:hyperlink>
    </w:p>
    <w:p w14:paraId="42DB2B10" w14:textId="77777777" w:rsidR="00E617A5" w:rsidRDefault="00E617A5">
      <w:pPr>
        <w:spacing w:line="240" w:lineRule="auto"/>
        <w:rPr>
          <w:sz w:val="20"/>
          <w:szCs w:val="20"/>
        </w:rPr>
      </w:pPr>
    </w:p>
  </w:footnote>
  <w:footnote w:id="10">
    <w:p w14:paraId="6D0FE159" w14:textId="77777777" w:rsidR="00E617A5" w:rsidRDefault="00C832C9">
      <w:pPr>
        <w:spacing w:line="240" w:lineRule="auto"/>
        <w:rPr>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Dejusticia</w:t>
      </w:r>
      <w:proofErr w:type="spellEnd"/>
      <w:r>
        <w:rPr>
          <w:rFonts w:ascii="Times New Roman" w:eastAsia="Times New Roman" w:hAnsi="Times New Roman" w:cs="Times New Roman"/>
          <w:sz w:val="20"/>
          <w:szCs w:val="20"/>
        </w:rPr>
        <w:t xml:space="preserve"> y Colectivo de Estudios de Drogas y Derecho (CEDD). (2020). </w:t>
      </w:r>
      <w:r>
        <w:rPr>
          <w:rFonts w:ascii="Times New Roman" w:eastAsia="Times New Roman" w:hAnsi="Times New Roman" w:cs="Times New Roman"/>
          <w:i/>
          <w:sz w:val="20"/>
          <w:szCs w:val="20"/>
        </w:rPr>
        <w:t xml:space="preserve">Aliviar el hacinamiento carcelario: Salvavidas en tiempos de </w:t>
      </w:r>
      <w:proofErr w:type="spellStart"/>
      <w:r>
        <w:rPr>
          <w:rFonts w:ascii="Times New Roman" w:eastAsia="Times New Roman" w:hAnsi="Times New Roman" w:cs="Times New Roman"/>
          <w:i/>
          <w:sz w:val="20"/>
          <w:szCs w:val="20"/>
        </w:rPr>
        <w:t>Covid</w:t>
      </w:r>
      <w:proofErr w:type="spellEnd"/>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Del miedo a la Acción no. 002.</w:t>
      </w:r>
      <w:hyperlink r:id="rId15">
        <w:r>
          <w:rPr>
            <w:rFonts w:ascii="Times New Roman" w:eastAsia="Times New Roman" w:hAnsi="Times New Roman" w:cs="Times New Roman"/>
            <w:sz w:val="20"/>
            <w:szCs w:val="20"/>
          </w:rPr>
          <w:t xml:space="preserve"> </w:t>
        </w:r>
      </w:hyperlink>
      <w:hyperlink r:id="rId16">
        <w:r>
          <w:rPr>
            <w:rFonts w:ascii="Times New Roman" w:eastAsia="Times New Roman" w:hAnsi="Times New Roman" w:cs="Times New Roman"/>
            <w:color w:val="0000FF"/>
            <w:sz w:val="20"/>
            <w:szCs w:val="20"/>
            <w:u w:val="single"/>
          </w:rPr>
          <w:t>https://www.dejusticia.org/wp-content/uploads/2020/07/DMAA-2-CEDD-Nuevo</w:t>
        </w:r>
        <w:r>
          <w:rPr>
            <w:rFonts w:ascii="Times New Roman" w:eastAsia="Times New Roman" w:hAnsi="Times New Roman" w:cs="Times New Roman"/>
            <w:color w:val="0000FF"/>
            <w:sz w:val="20"/>
            <w:szCs w:val="20"/>
            <w:u w:val="single"/>
          </w:rPr>
          <w:t>2.pdf</w:t>
        </w:r>
      </w:hyperlink>
    </w:p>
  </w:footnote>
  <w:footnote w:id="11">
    <w:p w14:paraId="1544F9B0" w14:textId="77777777" w:rsidR="00E617A5" w:rsidRDefault="00C832C9">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Comisión de Seguimiento de la Sentencia T-388 de 2013 (2022). </w:t>
      </w:r>
      <w:r>
        <w:rPr>
          <w:rFonts w:ascii="Times New Roman" w:eastAsia="Times New Roman" w:hAnsi="Times New Roman" w:cs="Times New Roman"/>
          <w:i/>
          <w:sz w:val="20"/>
          <w:szCs w:val="20"/>
        </w:rPr>
        <w:t>Décimo informe de la sociedad civil al estado de cosas inconstitucional del sistema penitenciario y carcelario.</w:t>
      </w:r>
      <w:hyperlink r:id="rId17">
        <w:r>
          <w:rPr>
            <w:rFonts w:ascii="Times New Roman" w:eastAsia="Times New Roman" w:hAnsi="Times New Roman" w:cs="Times New Roman"/>
            <w:sz w:val="20"/>
            <w:szCs w:val="20"/>
          </w:rPr>
          <w:t xml:space="preserve"> </w:t>
        </w:r>
      </w:hyperlink>
      <w:hyperlink r:id="rId18">
        <w:r>
          <w:rPr>
            <w:rFonts w:ascii="Times New Roman" w:eastAsia="Times New Roman" w:hAnsi="Times New Roman" w:cs="Times New Roman"/>
            <w:color w:val="0000FF"/>
            <w:sz w:val="20"/>
            <w:szCs w:val="20"/>
            <w:u w:val="single"/>
          </w:rPr>
          <w:t>https://www.humanas.org.co/decimo-informe-de-la-comision-de-seguimiento/</w:t>
        </w:r>
      </w:hyperlink>
      <w:r>
        <w:rPr>
          <w:rFonts w:ascii="Times New Roman" w:eastAsia="Times New Roman" w:hAnsi="Times New Roman" w:cs="Times New Roman"/>
          <w:sz w:val="20"/>
          <w:szCs w:val="20"/>
        </w:rPr>
        <w:t>, p. 9.</w:t>
      </w:r>
    </w:p>
  </w:footnote>
  <w:footnote w:id="12">
    <w:p w14:paraId="122B8D36" w14:textId="77777777" w:rsidR="00E617A5" w:rsidRDefault="00C832C9">
      <w:pPr>
        <w:spacing w:line="240" w:lineRule="auto"/>
        <w:rPr>
          <w:rFonts w:ascii="Times New Roman" w:eastAsia="Times New Roman" w:hAnsi="Times New Roman" w:cs="Times New Roman"/>
          <w:color w:val="0000FF"/>
          <w:sz w:val="20"/>
          <w:szCs w:val="20"/>
          <w:u w:val="single"/>
        </w:rPr>
      </w:pPr>
      <w:r>
        <w:rPr>
          <w:vertAlign w:val="superscript"/>
        </w:rPr>
        <w:footnoteRef/>
      </w:r>
      <w:r>
        <w:rPr>
          <w:sz w:val="20"/>
          <w:szCs w:val="20"/>
        </w:rPr>
        <w:t xml:space="preserve"> </w:t>
      </w:r>
      <w:r>
        <w:rPr>
          <w:rFonts w:ascii="Times New Roman" w:eastAsia="Times New Roman" w:hAnsi="Times New Roman" w:cs="Times New Roman"/>
          <w:sz w:val="20"/>
          <w:szCs w:val="20"/>
        </w:rPr>
        <w:t>Pontificia Universidad Javeriana, Facultad de Ciencias Jurídicas</w:t>
      </w:r>
      <w:r>
        <w:rPr>
          <w:rFonts w:ascii="Times New Roman" w:eastAsia="Times New Roman" w:hAnsi="Times New Roman" w:cs="Times New Roman"/>
          <w:sz w:val="20"/>
          <w:szCs w:val="20"/>
        </w:rPr>
        <w:t xml:space="preserve">, Comité Internacional de la Cruz Roja, Colombia, y Centro de Investigación y Docencia Económicas, México. (2018). </w:t>
      </w:r>
      <w:r>
        <w:rPr>
          <w:rFonts w:ascii="Times New Roman" w:eastAsia="Times New Roman" w:hAnsi="Times New Roman" w:cs="Times New Roman"/>
          <w:i/>
          <w:sz w:val="20"/>
          <w:szCs w:val="20"/>
        </w:rPr>
        <w:t>Mujeres y prisión en Colombia: Desafíos para la política criminal desde un enfoque de género.</w:t>
      </w:r>
      <w:hyperlink r:id="rId19">
        <w:r>
          <w:rPr>
            <w:rFonts w:ascii="Times New Roman" w:eastAsia="Times New Roman" w:hAnsi="Times New Roman" w:cs="Times New Roman"/>
            <w:sz w:val="20"/>
            <w:szCs w:val="20"/>
          </w:rPr>
          <w:t xml:space="preserve"> </w:t>
        </w:r>
      </w:hyperlink>
      <w:hyperlink r:id="rId20">
        <w:r>
          <w:rPr>
            <w:rFonts w:ascii="Times New Roman" w:eastAsia="Times New Roman" w:hAnsi="Times New Roman" w:cs="Times New Roman"/>
            <w:color w:val="0000FF"/>
            <w:sz w:val="20"/>
            <w:szCs w:val="20"/>
            <w:u w:val="single"/>
          </w:rPr>
          <w:t>https://repository.javeriana.edu.co/handle/10554/41010</w:t>
        </w:r>
      </w:hyperlink>
    </w:p>
    <w:p w14:paraId="2BD513E8" w14:textId="77777777" w:rsidR="00E617A5" w:rsidRDefault="00E617A5">
      <w:pPr>
        <w:spacing w:line="240" w:lineRule="auto"/>
        <w:rPr>
          <w:sz w:val="20"/>
          <w:szCs w:val="20"/>
        </w:rPr>
      </w:pPr>
    </w:p>
  </w:footnote>
  <w:footnote w:id="13">
    <w:p w14:paraId="2869631B" w14:textId="77777777" w:rsidR="00E617A5" w:rsidRDefault="00C832C9">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Muro Polo, Adriana (coordinadora) (2020). </w:t>
      </w:r>
      <w:r>
        <w:rPr>
          <w:rFonts w:ascii="Times New Roman" w:eastAsia="Times New Roman" w:hAnsi="Times New Roman" w:cs="Times New Roman"/>
          <w:i/>
          <w:sz w:val="20"/>
          <w:szCs w:val="20"/>
        </w:rPr>
        <w:t>El Control de constitucionalidad de las Altas Cortes sobre la prohibición del consumo de cannabis en América Latina.</w:t>
      </w:r>
      <w:r>
        <w:rPr>
          <w:rFonts w:ascii="Times New Roman" w:eastAsia="Times New Roman" w:hAnsi="Times New Roman" w:cs="Times New Roman"/>
          <w:sz w:val="20"/>
          <w:szCs w:val="20"/>
        </w:rPr>
        <w:t xml:space="preserve"> Suprema Corte de Justicia de la Nación. </w:t>
      </w:r>
      <w:hyperlink r:id="rId21">
        <w:r>
          <w:rPr>
            <w:rFonts w:ascii="Times New Roman" w:eastAsia="Times New Roman" w:hAnsi="Times New Roman" w:cs="Times New Roman"/>
            <w:color w:val="1155CC"/>
            <w:sz w:val="20"/>
            <w:szCs w:val="20"/>
            <w:u w:val="single"/>
          </w:rPr>
          <w:t>https://elementaddhh.org/wp-content/uploads/2021/03/El-control-de-constitucionalidad_ELECTRONICO.pdf</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B3582" w14:textId="72498411" w:rsidR="00006F2E" w:rsidRDefault="00006F2E">
    <w:pPr>
      <w:pStyle w:val="Encabezado"/>
    </w:pPr>
    <w:r>
      <w:t xml:space="preserve"> </w:t>
    </w:r>
    <w:r>
      <w:rPr>
        <w:noProof/>
      </w:rPr>
      <w:drawing>
        <wp:inline distT="0" distB="0" distL="0" distR="0" wp14:anchorId="4996D639" wp14:editId="5F7838C7">
          <wp:extent cx="2056083" cy="1308295"/>
          <wp:effectExtent l="0" t="0" r="190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
                    <a:extLst>
                      <a:ext uri="{28A0092B-C50C-407E-A947-70E740481C1C}">
                        <a14:useLocalDpi xmlns:a14="http://schemas.microsoft.com/office/drawing/2010/main" val="0"/>
                      </a:ext>
                    </a:extLst>
                  </a:blip>
                  <a:srcRect t="9122" b="6041"/>
                  <a:stretch/>
                </pic:blipFill>
                <pic:spPr bwMode="auto">
                  <a:xfrm>
                    <a:off x="0" y="0"/>
                    <a:ext cx="2092443" cy="133143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505BE9B6" wp14:editId="545910BA">
          <wp:extent cx="2567354" cy="61219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
                    <a:extLst>
                      <a:ext uri="{28A0092B-C50C-407E-A947-70E740481C1C}">
                        <a14:useLocalDpi xmlns:a14="http://schemas.microsoft.com/office/drawing/2010/main" val="0"/>
                      </a:ext>
                    </a:extLst>
                  </a:blip>
                  <a:stretch>
                    <a:fillRect/>
                  </a:stretch>
                </pic:blipFill>
                <pic:spPr>
                  <a:xfrm>
                    <a:off x="0" y="0"/>
                    <a:ext cx="2676345" cy="638185"/>
                  </a:xfrm>
                  <a:prstGeom prst="rect">
                    <a:avLst/>
                  </a:prstGeom>
                </pic:spPr>
              </pic:pic>
            </a:graphicData>
          </a:graphic>
        </wp:inline>
      </w:drawing>
    </w:r>
  </w:p>
  <w:p w14:paraId="45CBDB7C" w14:textId="77777777" w:rsidR="00006F2E" w:rsidRDefault="0000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E5808"/>
    <w:multiLevelType w:val="multilevel"/>
    <w:tmpl w:val="F9BE81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AD4FDC"/>
    <w:multiLevelType w:val="multilevel"/>
    <w:tmpl w:val="F95CDC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2A6C37B4"/>
    <w:multiLevelType w:val="multilevel"/>
    <w:tmpl w:val="847C33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7A5"/>
    <w:rsid w:val="00006F2E"/>
    <w:rsid w:val="00C832C9"/>
    <w:rsid w:val="00E617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373D139"/>
  <w15:docId w15:val="{BACFF60A-89B5-154C-8E71-FAE08FEAC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s-ES_trad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006F2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06F2E"/>
  </w:style>
  <w:style w:type="paragraph" w:styleId="Piedepgina">
    <w:name w:val="footer"/>
    <w:basedOn w:val="Normal"/>
    <w:link w:val="PiedepginaCar"/>
    <w:uiPriority w:val="99"/>
    <w:unhideWhenUsed/>
    <w:rsid w:val="00006F2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06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dejusticia.org/lanzamos-informe-sobre-el-glifosato-y-la-guerra-en-caqueta-que-sera-presentado-a-la-comision-de-la-verdad/" TargetMode="External"/><Relationship Id="rId13" Type="http://schemas.openxmlformats.org/officeDocument/2006/relationships/hyperlink" Target="https://www.oas.org/es/cidh/decisiones/2018/COAD1453-08ES.pdf" TargetMode="External"/><Relationship Id="rId18" Type="http://schemas.openxmlformats.org/officeDocument/2006/relationships/hyperlink" Target="https://www.humanas.org.co/decimo-informe-de-la-comision-de-seguimiento/" TargetMode="External"/><Relationship Id="rId3" Type="http://schemas.openxmlformats.org/officeDocument/2006/relationships/hyperlink" Target="https://elementaddhh.org/radiografia-politica-de-drogas-en-colombia-2018-2022/" TargetMode="External"/><Relationship Id="rId21" Type="http://schemas.openxmlformats.org/officeDocument/2006/relationships/hyperlink" Target="https://elementaddhh.org/wp-content/uploads/2021/03/El-control-de-constitucionalidad_ELECTRONICO.pdf" TargetMode="External"/><Relationship Id="rId7" Type="http://schemas.openxmlformats.org/officeDocument/2006/relationships/hyperlink" Target="https://www.dejusticia.org/nuestros-temas/politica-de-drogas/linea-de-tiempo-del-glifosato-en-colombia/" TargetMode="External"/><Relationship Id="rId12" Type="http://schemas.openxmlformats.org/officeDocument/2006/relationships/hyperlink" Target="https://www.oas.org/es/cidh/decisiones/2018/COAD1453-08ES.pdf" TargetMode="External"/><Relationship Id="rId17" Type="http://schemas.openxmlformats.org/officeDocument/2006/relationships/hyperlink" Target="https://www.humanas.org.co/decimo-informe-de-la-comision-de-seguimiento/" TargetMode="External"/><Relationship Id="rId2" Type="http://schemas.openxmlformats.org/officeDocument/2006/relationships/hyperlink" Target="https://elementaddhh.org/radiografia-politica-de-drogas-en-colombia-2018-2022/" TargetMode="External"/><Relationship Id="rId16" Type="http://schemas.openxmlformats.org/officeDocument/2006/relationships/hyperlink" Target="https://www.dejusticia.org/wp-content/uploads/2020/07/DMAA-2-CEDD-Nuevo2.pdf" TargetMode="External"/><Relationship Id="rId20" Type="http://schemas.openxmlformats.org/officeDocument/2006/relationships/hyperlink" Target="https://repository.javeriana.edu.co/handle/10554/41010" TargetMode="External"/><Relationship Id="rId1" Type="http://schemas.openxmlformats.org/officeDocument/2006/relationships/hyperlink" Target="https://www.humanrights-drugpolicy.org/" TargetMode="External"/><Relationship Id="rId6" Type="http://schemas.openxmlformats.org/officeDocument/2006/relationships/hyperlink" Target="https://bit.ly/457rXf3" TargetMode="External"/><Relationship Id="rId11" Type="http://schemas.openxmlformats.org/officeDocument/2006/relationships/hyperlink" Target="https://reproductiverights.org/wp-content/uploads/2020/12/Salud-Reproductiva-y-Glifosato-en-el-Contexto-de-Conflicto-Armado.pdf" TargetMode="External"/><Relationship Id="rId5" Type="http://schemas.openxmlformats.org/officeDocument/2006/relationships/hyperlink" Target="https://elementaddhh.org/radiografia-politica-de-drogas-en-colombia-2018-2022/" TargetMode="External"/><Relationship Id="rId15" Type="http://schemas.openxmlformats.org/officeDocument/2006/relationships/hyperlink" Target="https://www.dejusticia.org/wp-content/uploads/2020/07/DMAA-2-CEDD-Nuevo2.pdf" TargetMode="External"/><Relationship Id="rId10" Type="http://schemas.openxmlformats.org/officeDocument/2006/relationships/hyperlink" Target="https://reproductiverights.org/wp-content/uploads/2020/12/Salud-Reproductiva-y-Glifosato-en-el-Contexto-de-Conflicto-Armado.pdf" TargetMode="External"/><Relationship Id="rId19" Type="http://schemas.openxmlformats.org/officeDocument/2006/relationships/hyperlink" Target="https://repository.javeriana.edu.co/handle/10554/41010" TargetMode="External"/><Relationship Id="rId4" Type="http://schemas.openxmlformats.org/officeDocument/2006/relationships/hyperlink" Target="https://elementaddhh.org/radiografia-politica-de-drogas-en-colombia-2018-2022/" TargetMode="External"/><Relationship Id="rId9" Type="http://schemas.openxmlformats.org/officeDocument/2006/relationships/hyperlink" Target="https://www.dejusticia.org/lanzamos-informe-sobre-el-glifosato-y-la-guerra-en-caqueta-que-sera-presentado-a-la-comision-de-la-verdad/" TargetMode="External"/><Relationship Id="rId14" Type="http://schemas.openxmlformats.org/officeDocument/2006/relationships/hyperlink" Target="https://bit.ly/3M5ICH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3176</Words>
  <Characters>17473</Characters>
  <Application>Microsoft Office Word</Application>
  <DocSecurity>0</DocSecurity>
  <Lines>145</Lines>
  <Paragraphs>41</Paragraphs>
  <ScaleCrop>false</ScaleCrop>
  <Company>DeJusticia</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 Isabel Pereira</cp:lastModifiedBy>
  <cp:revision>2</cp:revision>
  <dcterms:created xsi:type="dcterms:W3CDTF">2023-05-29T22:30:00Z</dcterms:created>
  <dcterms:modified xsi:type="dcterms:W3CDTF">2023-05-29T22:39:00Z</dcterms:modified>
</cp:coreProperties>
</file>