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C1CA12" w14:textId="77777777" w:rsidR="00C05D9B" w:rsidRPr="00397119" w:rsidRDefault="00C05D9B" w:rsidP="000140FB">
      <w:pPr>
        <w:spacing w:line="276" w:lineRule="auto"/>
      </w:pPr>
    </w:p>
    <w:p w14:paraId="1C720C6D" w14:textId="77777777" w:rsidR="005403E3" w:rsidRPr="00397119" w:rsidRDefault="005403E3" w:rsidP="000140FB">
      <w:pPr>
        <w:spacing w:line="276" w:lineRule="auto"/>
      </w:pPr>
    </w:p>
    <w:p w14:paraId="5E537D0D" w14:textId="77777777" w:rsidR="005403E3" w:rsidRPr="00397119" w:rsidRDefault="005403E3" w:rsidP="000140FB">
      <w:pPr>
        <w:spacing w:line="276" w:lineRule="auto"/>
      </w:pPr>
    </w:p>
    <w:p w14:paraId="63C44BB4" w14:textId="77777777" w:rsidR="00347AA9" w:rsidRPr="00397119" w:rsidRDefault="00347AA9" w:rsidP="00347AA9">
      <w:pPr>
        <w:spacing w:line="276" w:lineRule="auto"/>
        <w:jc w:val="right"/>
        <w:rPr>
          <w:rFonts w:eastAsia="Times New Roman"/>
          <w:b/>
          <w:bCs/>
          <w:color w:val="000000" w:themeColor="text1"/>
        </w:rPr>
      </w:pPr>
    </w:p>
    <w:p w14:paraId="081787EE" w14:textId="517C3A4D" w:rsidR="00DF6485" w:rsidRPr="00397119" w:rsidRDefault="00DF6485" w:rsidP="00DF6485">
      <w:pPr>
        <w:spacing w:line="276" w:lineRule="auto"/>
        <w:jc w:val="center"/>
        <w:rPr>
          <w:rFonts w:eastAsia="Times New Roman"/>
          <w:color w:val="000000" w:themeColor="text1"/>
        </w:rPr>
      </w:pPr>
      <w:r w:rsidRPr="00397119">
        <w:rPr>
          <w:rFonts w:eastAsia="Times New Roman"/>
          <w:b/>
          <w:bCs/>
          <w:color w:val="000000" w:themeColor="text1"/>
        </w:rPr>
        <w:t xml:space="preserve">Republic of India’s Compliance with the International Covenant on Civil and Political Rights: </w:t>
      </w:r>
      <w:r w:rsidR="009F62A1" w:rsidRPr="00397119">
        <w:rPr>
          <w:rFonts w:eastAsia="Times New Roman"/>
          <w:b/>
          <w:bCs/>
          <w:color w:val="000000" w:themeColor="text1"/>
        </w:rPr>
        <w:t>LGBTQ+</w:t>
      </w:r>
      <w:r w:rsidR="001934E8" w:rsidRPr="00397119">
        <w:rPr>
          <w:rFonts w:eastAsia="Times New Roman"/>
          <w:b/>
          <w:bCs/>
          <w:color w:val="000000" w:themeColor="text1"/>
        </w:rPr>
        <w:t xml:space="preserve"> Human Rights </w:t>
      </w:r>
    </w:p>
    <w:p w14:paraId="09C67381" w14:textId="77777777" w:rsidR="00DF6485" w:rsidRPr="00397119" w:rsidRDefault="00DF6485" w:rsidP="00DF6485">
      <w:pPr>
        <w:spacing w:line="276" w:lineRule="auto"/>
        <w:jc w:val="center"/>
        <w:rPr>
          <w:rFonts w:eastAsia="Times New Roman"/>
          <w:color w:val="000000" w:themeColor="text1"/>
        </w:rPr>
      </w:pPr>
    </w:p>
    <w:p w14:paraId="1D49DEA0" w14:textId="77777777" w:rsidR="00DF6485" w:rsidRPr="00397119" w:rsidRDefault="00DF6485" w:rsidP="00DF6485">
      <w:pPr>
        <w:spacing w:line="276" w:lineRule="auto"/>
        <w:jc w:val="center"/>
        <w:rPr>
          <w:rFonts w:eastAsia="Times New Roman"/>
          <w:color w:val="000000" w:themeColor="text1"/>
        </w:rPr>
      </w:pPr>
      <w:r w:rsidRPr="00397119">
        <w:rPr>
          <w:rFonts w:eastAsia="Times New Roman"/>
          <w:b/>
          <w:bCs/>
          <w:color w:val="000000" w:themeColor="text1"/>
        </w:rPr>
        <w:t>Submitted by The Advocates for Human Rights</w:t>
      </w:r>
    </w:p>
    <w:p w14:paraId="35EE73E5" w14:textId="77777777" w:rsidR="00DF6485" w:rsidRPr="00397119" w:rsidRDefault="00DF6485" w:rsidP="00DF6485">
      <w:pPr>
        <w:spacing w:line="276" w:lineRule="auto"/>
        <w:jc w:val="center"/>
        <w:rPr>
          <w:rFonts w:eastAsia="Times New Roman"/>
          <w:color w:val="000000" w:themeColor="text1"/>
        </w:rPr>
      </w:pPr>
      <w:r w:rsidRPr="00397119">
        <w:rPr>
          <w:rFonts w:eastAsia="Times New Roman"/>
          <w:color w:val="000000" w:themeColor="text1"/>
        </w:rPr>
        <w:t>a non-governmental organization in special consultative status with ECOSOC since 1996</w:t>
      </w:r>
    </w:p>
    <w:p w14:paraId="17E0F4E1" w14:textId="77777777" w:rsidR="00DF6485" w:rsidRPr="00397119" w:rsidRDefault="00DF6485" w:rsidP="00DF6485">
      <w:pPr>
        <w:spacing w:line="276" w:lineRule="auto"/>
        <w:jc w:val="center"/>
        <w:rPr>
          <w:rFonts w:eastAsia="Times New Roman"/>
          <w:color w:val="000000" w:themeColor="text1"/>
        </w:rPr>
      </w:pPr>
    </w:p>
    <w:p w14:paraId="2C1F29AA" w14:textId="77777777" w:rsidR="00DF6485" w:rsidRPr="00397119" w:rsidRDefault="00DF6485" w:rsidP="00DF6485">
      <w:pPr>
        <w:spacing w:line="276" w:lineRule="auto"/>
        <w:jc w:val="center"/>
        <w:rPr>
          <w:rFonts w:eastAsia="Times New Roman"/>
          <w:b/>
          <w:bCs/>
          <w:color w:val="000000" w:themeColor="text1"/>
        </w:rPr>
      </w:pPr>
      <w:r w:rsidRPr="00397119">
        <w:rPr>
          <w:rFonts w:eastAsia="Times New Roman"/>
          <w:b/>
          <w:bCs/>
          <w:color w:val="000000" w:themeColor="text1"/>
        </w:rPr>
        <w:t xml:space="preserve">For the 141st Session of the Human Rights Committee </w:t>
      </w:r>
    </w:p>
    <w:p w14:paraId="428E3500" w14:textId="77777777" w:rsidR="00DF6485" w:rsidRPr="00397119" w:rsidRDefault="00DF6485" w:rsidP="00DF6485">
      <w:pPr>
        <w:spacing w:line="276" w:lineRule="auto"/>
        <w:jc w:val="center"/>
        <w:rPr>
          <w:rFonts w:eastAsia="Times New Roman"/>
          <w:b/>
          <w:bCs/>
          <w:color w:val="000000" w:themeColor="text1"/>
        </w:rPr>
      </w:pPr>
      <w:r w:rsidRPr="00397119">
        <w:rPr>
          <w:rFonts w:eastAsia="Times New Roman"/>
          <w:b/>
          <w:bCs/>
          <w:color w:val="000000" w:themeColor="text1"/>
        </w:rPr>
        <w:t>01 July – 02 August 2024</w:t>
      </w:r>
    </w:p>
    <w:p w14:paraId="64941D76" w14:textId="77777777" w:rsidR="00DF6485" w:rsidRPr="00397119" w:rsidRDefault="00DF6485" w:rsidP="00DF6485">
      <w:pPr>
        <w:spacing w:line="276" w:lineRule="auto"/>
        <w:jc w:val="center"/>
        <w:rPr>
          <w:rFonts w:eastAsia="Times New Roman"/>
          <w:color w:val="000000" w:themeColor="text1"/>
        </w:rPr>
      </w:pPr>
    </w:p>
    <w:p w14:paraId="213B1741" w14:textId="083FA1EB" w:rsidR="00DF6485" w:rsidRPr="00397119" w:rsidRDefault="00DF6485" w:rsidP="00DF6485">
      <w:pPr>
        <w:spacing w:line="276" w:lineRule="auto"/>
        <w:jc w:val="center"/>
        <w:rPr>
          <w:rFonts w:eastAsia="Times New Roman"/>
          <w:b/>
          <w:bCs/>
          <w:color w:val="000000" w:themeColor="text1"/>
        </w:rPr>
      </w:pPr>
      <w:r w:rsidRPr="00397119">
        <w:rPr>
          <w:rFonts w:eastAsia="Times New Roman"/>
          <w:b/>
          <w:bCs/>
          <w:color w:val="000000" w:themeColor="text1"/>
        </w:rPr>
        <w:t xml:space="preserve">Submitted </w:t>
      </w:r>
      <w:r w:rsidR="007D285A" w:rsidRPr="00397119">
        <w:rPr>
          <w:rFonts w:eastAsia="Times New Roman"/>
          <w:b/>
          <w:bCs/>
          <w:color w:val="000000" w:themeColor="text1"/>
        </w:rPr>
        <w:t>03</w:t>
      </w:r>
      <w:r w:rsidRPr="00397119">
        <w:rPr>
          <w:rFonts w:eastAsia="Times New Roman"/>
          <w:b/>
          <w:bCs/>
          <w:color w:val="000000" w:themeColor="text1"/>
        </w:rPr>
        <w:t xml:space="preserve"> </w:t>
      </w:r>
      <w:r w:rsidR="007D285A" w:rsidRPr="00397119">
        <w:rPr>
          <w:rFonts w:eastAsia="Times New Roman"/>
          <w:b/>
          <w:bCs/>
          <w:color w:val="000000" w:themeColor="text1"/>
        </w:rPr>
        <w:t>June 2024</w:t>
      </w:r>
    </w:p>
    <w:p w14:paraId="72F7D4DA" w14:textId="77777777" w:rsidR="00DF6485" w:rsidRPr="00397119" w:rsidRDefault="00DF6485" w:rsidP="00287F86">
      <w:pPr>
        <w:jc w:val="both"/>
        <w:rPr>
          <w:rFonts w:eastAsia="Times New Roman"/>
          <w:color w:val="000000" w:themeColor="text1"/>
        </w:rPr>
      </w:pPr>
    </w:p>
    <w:p w14:paraId="2150AACF" w14:textId="58D9AEF3" w:rsidR="004B1E4E" w:rsidRPr="00397119" w:rsidRDefault="00E55E06" w:rsidP="00287F86">
      <w:pPr>
        <w:spacing w:line="276" w:lineRule="auto"/>
        <w:jc w:val="both"/>
      </w:pPr>
      <w:r w:rsidRPr="00397119">
        <w:rPr>
          <w:rFonts w:eastAsia="Times New Roman"/>
          <w:color w:val="000000" w:themeColor="text1"/>
          <w:lang w:val="x-none"/>
        </w:rPr>
        <w:t xml:space="preserve">Founded in 1983, </w:t>
      </w:r>
      <w:r w:rsidRPr="00397119">
        <w:rPr>
          <w:rFonts w:eastAsia="Times New Roman"/>
          <w:b/>
          <w:bCs/>
          <w:color w:val="000000" w:themeColor="text1"/>
          <w:lang w:val="x-none"/>
        </w:rPr>
        <w:t>The Advocates for Human Rights</w:t>
      </w:r>
      <w:r w:rsidRPr="00397119">
        <w:rPr>
          <w:rFonts w:eastAsia="Times New Roman"/>
          <w:color w:val="000000" w:themeColor="text1"/>
          <w:lang w:val="x-none"/>
        </w:rPr>
        <w:t xml:space="preserve"> </w:t>
      </w:r>
      <w:r w:rsidR="009573B1">
        <w:rPr>
          <w:rFonts w:eastAsia="Times New Roman"/>
          <w:color w:val="000000" w:themeColor="text1"/>
          <w:lang w:val="x-none"/>
        </w:rPr>
        <w:t xml:space="preserve">(hereinafter, “The Advocates”) </w:t>
      </w:r>
      <w:r w:rsidRPr="00397119">
        <w:rPr>
          <w:rFonts w:eastAsia="Times New Roman"/>
          <w:color w:val="000000" w:themeColor="text1"/>
          <w:lang w:val="x-none"/>
        </w:rPr>
        <w:t>is a volunteer-based non-governmental organization committed to the impartial promotion and protection of international human rights standards and the rule of law. The Advocates conducts a range of programs to promote human rights in the United States and around the world, including monitoring and fact-finding, direct legal representation, education and training, and publications. The Advocates is the primary provider of legal services to low-income asylum seekers in the Upper Midwest region of the United States, including LGBTIQ+ individuals who have experienced discrimination and violence based on sexual orientation, gender identity and expression, and sex characteristics.</w:t>
      </w:r>
    </w:p>
    <w:p w14:paraId="7AE434B8" w14:textId="77777777" w:rsidR="00F4107A" w:rsidRPr="00397119" w:rsidRDefault="00F4107A" w:rsidP="00287F86">
      <w:pPr>
        <w:spacing w:line="276" w:lineRule="auto"/>
        <w:jc w:val="both"/>
      </w:pPr>
    </w:p>
    <w:p w14:paraId="431A8E80" w14:textId="6DCC6E1F" w:rsidR="004B1E4E" w:rsidRPr="00397119" w:rsidRDefault="004B1E4E" w:rsidP="00287F86">
      <w:pPr>
        <w:spacing w:after="240"/>
        <w:jc w:val="both"/>
        <w:rPr>
          <w:b/>
          <w:caps/>
        </w:rPr>
      </w:pPr>
      <w:r w:rsidRPr="00397119">
        <w:br w:type="page"/>
      </w:r>
      <w:r w:rsidRPr="00397119">
        <w:rPr>
          <w:b/>
          <w:caps/>
        </w:rPr>
        <w:lastRenderedPageBreak/>
        <w:t>Executive Summary</w:t>
      </w:r>
    </w:p>
    <w:p w14:paraId="70FBC129" w14:textId="664D855D" w:rsidR="00044055" w:rsidRPr="00397119" w:rsidRDefault="00044055" w:rsidP="003A039A">
      <w:pPr>
        <w:pStyle w:val="ListParagraph"/>
        <w:numPr>
          <w:ilvl w:val="0"/>
          <w:numId w:val="15"/>
        </w:numPr>
        <w:spacing w:after="120" w:line="240" w:lineRule="auto"/>
        <w:contextualSpacing w:val="0"/>
        <w:jc w:val="both"/>
        <w:rPr>
          <w:rFonts w:ascii="Times New Roman" w:hAnsi="Times New Roman"/>
          <w:sz w:val="24"/>
          <w:szCs w:val="24"/>
        </w:rPr>
      </w:pPr>
      <w:r w:rsidRPr="00397119">
        <w:rPr>
          <w:rFonts w:ascii="Times New Roman" w:hAnsi="Times New Roman"/>
          <w:sz w:val="24"/>
          <w:szCs w:val="24"/>
        </w:rPr>
        <w:t xml:space="preserve">This report addresses compliance by the </w:t>
      </w:r>
      <w:r w:rsidR="003458E6" w:rsidRPr="00397119">
        <w:rPr>
          <w:rFonts w:ascii="Times New Roman" w:hAnsi="Times New Roman"/>
          <w:sz w:val="24"/>
          <w:szCs w:val="24"/>
        </w:rPr>
        <w:t>Republic</w:t>
      </w:r>
      <w:r w:rsidRPr="00397119">
        <w:rPr>
          <w:rFonts w:ascii="Times New Roman" w:hAnsi="Times New Roman"/>
          <w:sz w:val="24"/>
          <w:szCs w:val="24"/>
        </w:rPr>
        <w:t xml:space="preserve"> of India </w:t>
      </w:r>
      <w:r w:rsidR="00F1623D" w:rsidRPr="00397119">
        <w:rPr>
          <w:rFonts w:ascii="Times New Roman" w:hAnsi="Times New Roman"/>
          <w:sz w:val="24"/>
          <w:szCs w:val="24"/>
        </w:rPr>
        <w:t>(“India”)</w:t>
      </w:r>
      <w:r w:rsidR="008B4407" w:rsidRPr="00397119">
        <w:rPr>
          <w:rFonts w:ascii="Times New Roman" w:hAnsi="Times New Roman"/>
          <w:sz w:val="24"/>
          <w:szCs w:val="24"/>
        </w:rPr>
        <w:t xml:space="preserve"> </w:t>
      </w:r>
      <w:r w:rsidRPr="00397119">
        <w:rPr>
          <w:rFonts w:ascii="Times New Roman" w:hAnsi="Times New Roman"/>
          <w:sz w:val="24"/>
          <w:szCs w:val="24"/>
        </w:rPr>
        <w:t>with its human rights obligations concerning people who are lesbian, gay, bisexual, transgender</w:t>
      </w:r>
      <w:r w:rsidR="00F10D8B" w:rsidRPr="00397119">
        <w:rPr>
          <w:rFonts w:ascii="Times New Roman" w:hAnsi="Times New Roman"/>
          <w:sz w:val="24"/>
          <w:szCs w:val="24"/>
        </w:rPr>
        <w:t xml:space="preserve">, queer, </w:t>
      </w:r>
      <w:r w:rsidRPr="00397119">
        <w:rPr>
          <w:rFonts w:ascii="Times New Roman" w:hAnsi="Times New Roman"/>
          <w:sz w:val="24"/>
          <w:szCs w:val="24"/>
        </w:rPr>
        <w:t>and other sexual or gender minorities (</w:t>
      </w:r>
      <w:r w:rsidR="007B15B3" w:rsidRPr="00397119">
        <w:rPr>
          <w:rFonts w:ascii="Times New Roman" w:hAnsi="Times New Roman"/>
          <w:sz w:val="24"/>
          <w:szCs w:val="24"/>
        </w:rPr>
        <w:t>“</w:t>
      </w:r>
      <w:bookmarkStart w:id="0" w:name="_Hlk166006897"/>
      <w:r w:rsidRPr="00397119">
        <w:rPr>
          <w:rFonts w:ascii="Times New Roman" w:hAnsi="Times New Roman"/>
          <w:sz w:val="24"/>
          <w:szCs w:val="24"/>
        </w:rPr>
        <w:t>LGBT</w:t>
      </w:r>
      <w:r w:rsidR="007B15B3" w:rsidRPr="00397119">
        <w:rPr>
          <w:rFonts w:ascii="Times New Roman" w:hAnsi="Times New Roman"/>
          <w:sz w:val="24"/>
          <w:szCs w:val="24"/>
        </w:rPr>
        <w:t>Q</w:t>
      </w:r>
      <w:r w:rsidRPr="00397119">
        <w:rPr>
          <w:rFonts w:ascii="Times New Roman" w:hAnsi="Times New Roman"/>
          <w:sz w:val="24"/>
          <w:szCs w:val="24"/>
        </w:rPr>
        <w:t>+</w:t>
      </w:r>
      <w:bookmarkEnd w:id="0"/>
      <w:r w:rsidR="007B15B3" w:rsidRPr="00397119">
        <w:rPr>
          <w:rFonts w:ascii="Times New Roman" w:hAnsi="Times New Roman"/>
          <w:sz w:val="24"/>
          <w:szCs w:val="24"/>
        </w:rPr>
        <w:t>”</w:t>
      </w:r>
      <w:r w:rsidRPr="00397119">
        <w:rPr>
          <w:rFonts w:ascii="Times New Roman" w:hAnsi="Times New Roman"/>
          <w:sz w:val="24"/>
          <w:szCs w:val="24"/>
        </w:rPr>
        <w:t xml:space="preserve">). </w:t>
      </w:r>
    </w:p>
    <w:p w14:paraId="2D54F606" w14:textId="7D3A09FA" w:rsidR="00BC11EE" w:rsidRPr="00397119" w:rsidRDefault="00F1623D" w:rsidP="003A039A">
      <w:pPr>
        <w:pStyle w:val="ListParagraph"/>
        <w:numPr>
          <w:ilvl w:val="0"/>
          <w:numId w:val="15"/>
        </w:numPr>
        <w:spacing w:after="120" w:line="240" w:lineRule="auto"/>
        <w:contextualSpacing w:val="0"/>
        <w:jc w:val="both"/>
        <w:rPr>
          <w:rFonts w:ascii="Times New Roman" w:hAnsi="Times New Roman"/>
          <w:sz w:val="24"/>
          <w:szCs w:val="24"/>
        </w:rPr>
      </w:pPr>
      <w:r w:rsidRPr="00397119">
        <w:rPr>
          <w:rFonts w:ascii="Times New Roman" w:hAnsi="Times New Roman"/>
          <w:sz w:val="24"/>
          <w:szCs w:val="24"/>
        </w:rPr>
        <w:t xml:space="preserve">Although India has strengthened </w:t>
      </w:r>
      <w:r w:rsidR="00D82EAA" w:rsidRPr="00397119">
        <w:rPr>
          <w:rFonts w:ascii="Times New Roman" w:hAnsi="Times New Roman"/>
          <w:sz w:val="24"/>
          <w:szCs w:val="24"/>
        </w:rPr>
        <w:t xml:space="preserve">its legal framework to combat </w:t>
      </w:r>
      <w:r w:rsidR="009F62A1" w:rsidRPr="00397119">
        <w:rPr>
          <w:rFonts w:ascii="Times New Roman" w:hAnsi="Times New Roman"/>
          <w:sz w:val="24"/>
          <w:szCs w:val="24"/>
        </w:rPr>
        <w:t>LGBTQ+</w:t>
      </w:r>
      <w:r w:rsidR="00D82EAA" w:rsidRPr="00397119">
        <w:rPr>
          <w:rFonts w:ascii="Times New Roman" w:hAnsi="Times New Roman"/>
          <w:sz w:val="24"/>
          <w:szCs w:val="24"/>
        </w:rPr>
        <w:t xml:space="preserve"> discrimination, </w:t>
      </w:r>
      <w:r w:rsidR="009F62A1" w:rsidRPr="00397119">
        <w:rPr>
          <w:rFonts w:ascii="Times New Roman" w:hAnsi="Times New Roman"/>
          <w:sz w:val="24"/>
          <w:szCs w:val="24"/>
        </w:rPr>
        <w:t>LGBTQ+</w:t>
      </w:r>
      <w:r w:rsidR="00BC11EE" w:rsidRPr="00397119">
        <w:rPr>
          <w:rFonts w:ascii="Times New Roman" w:hAnsi="Times New Roman"/>
          <w:sz w:val="24"/>
          <w:szCs w:val="24"/>
        </w:rPr>
        <w:t xml:space="preserve"> individuals in </w:t>
      </w:r>
      <w:r w:rsidR="00951CCB" w:rsidRPr="00397119">
        <w:rPr>
          <w:rFonts w:ascii="Times New Roman" w:hAnsi="Times New Roman"/>
          <w:sz w:val="24"/>
          <w:szCs w:val="24"/>
        </w:rPr>
        <w:t>India</w:t>
      </w:r>
      <w:r w:rsidR="00BC11EE" w:rsidRPr="00397119">
        <w:rPr>
          <w:rFonts w:ascii="Times New Roman" w:hAnsi="Times New Roman"/>
          <w:sz w:val="24"/>
          <w:szCs w:val="24"/>
        </w:rPr>
        <w:t xml:space="preserve"> live in an environment</w:t>
      </w:r>
      <w:r w:rsidR="00951CCB" w:rsidRPr="00397119">
        <w:rPr>
          <w:rFonts w:ascii="Times New Roman" w:hAnsi="Times New Roman"/>
          <w:sz w:val="24"/>
          <w:szCs w:val="24"/>
        </w:rPr>
        <w:t xml:space="preserve"> </w:t>
      </w:r>
      <w:r w:rsidR="00BC11EE" w:rsidRPr="00397119">
        <w:rPr>
          <w:rFonts w:ascii="Times New Roman" w:hAnsi="Times New Roman"/>
          <w:sz w:val="24"/>
          <w:szCs w:val="24"/>
        </w:rPr>
        <w:t>where</w:t>
      </w:r>
      <w:r w:rsidR="00DC3C37" w:rsidRPr="00397119">
        <w:rPr>
          <w:rFonts w:ascii="Times New Roman" w:hAnsi="Times New Roman"/>
          <w:sz w:val="24"/>
          <w:szCs w:val="24"/>
        </w:rPr>
        <w:t xml:space="preserve"> </w:t>
      </w:r>
      <w:r w:rsidR="00BC11EE" w:rsidRPr="00397119">
        <w:rPr>
          <w:rFonts w:ascii="Times New Roman" w:hAnsi="Times New Roman"/>
          <w:sz w:val="24"/>
          <w:szCs w:val="24"/>
        </w:rPr>
        <w:t>they do not enjoy the same rights and freedoms as non-</w:t>
      </w:r>
      <w:r w:rsidR="009F62A1" w:rsidRPr="00397119">
        <w:rPr>
          <w:rFonts w:ascii="Times New Roman" w:hAnsi="Times New Roman"/>
          <w:sz w:val="24"/>
          <w:szCs w:val="24"/>
        </w:rPr>
        <w:t>LGBTQ+</w:t>
      </w:r>
      <w:r w:rsidR="00BC11EE" w:rsidRPr="00397119">
        <w:rPr>
          <w:rFonts w:ascii="Times New Roman" w:hAnsi="Times New Roman"/>
          <w:sz w:val="24"/>
          <w:szCs w:val="24"/>
        </w:rPr>
        <w:t xml:space="preserve"> individuals</w:t>
      </w:r>
      <w:r w:rsidR="00A02DBA" w:rsidRPr="00397119">
        <w:rPr>
          <w:rFonts w:ascii="Times New Roman" w:hAnsi="Times New Roman"/>
          <w:sz w:val="24"/>
          <w:szCs w:val="24"/>
        </w:rPr>
        <w:t>,</w:t>
      </w:r>
      <w:r w:rsidR="00B1193A" w:rsidRPr="00397119">
        <w:rPr>
          <w:rFonts w:ascii="Times New Roman" w:hAnsi="Times New Roman"/>
          <w:sz w:val="24"/>
          <w:szCs w:val="24"/>
        </w:rPr>
        <w:t xml:space="preserve"> including, for example, the ability to enter into a same-sex marriage or same-sex civil partnership.</w:t>
      </w:r>
      <w:r w:rsidR="00EE1E70" w:rsidRPr="00397119">
        <w:rPr>
          <w:rFonts w:ascii="Times New Roman" w:hAnsi="Times New Roman"/>
          <w:sz w:val="24"/>
          <w:szCs w:val="24"/>
        </w:rPr>
        <w:t xml:space="preserve"> </w:t>
      </w:r>
    </w:p>
    <w:p w14:paraId="4D575106" w14:textId="77E1F79B" w:rsidR="00DC3C37" w:rsidRPr="00397119" w:rsidRDefault="009F62A1" w:rsidP="003A039A">
      <w:pPr>
        <w:pStyle w:val="ListParagraph"/>
        <w:numPr>
          <w:ilvl w:val="0"/>
          <w:numId w:val="15"/>
        </w:numPr>
        <w:spacing w:after="120" w:line="240" w:lineRule="auto"/>
        <w:contextualSpacing w:val="0"/>
        <w:jc w:val="both"/>
        <w:rPr>
          <w:rFonts w:ascii="Times New Roman" w:hAnsi="Times New Roman"/>
          <w:sz w:val="24"/>
          <w:szCs w:val="24"/>
        </w:rPr>
      </w:pPr>
      <w:r w:rsidRPr="00397119">
        <w:rPr>
          <w:rFonts w:ascii="Times New Roman" w:hAnsi="Times New Roman"/>
          <w:sz w:val="24"/>
          <w:szCs w:val="24"/>
        </w:rPr>
        <w:t>LGBTQ+</w:t>
      </w:r>
      <w:r w:rsidR="000C6E9E" w:rsidRPr="00397119">
        <w:rPr>
          <w:rFonts w:ascii="Times New Roman" w:hAnsi="Times New Roman"/>
          <w:sz w:val="24"/>
          <w:szCs w:val="24"/>
        </w:rPr>
        <w:t xml:space="preserve"> </w:t>
      </w:r>
      <w:r w:rsidR="00DC3C37" w:rsidRPr="00397119">
        <w:rPr>
          <w:rFonts w:ascii="Times New Roman" w:hAnsi="Times New Roman"/>
          <w:sz w:val="24"/>
          <w:szCs w:val="24"/>
        </w:rPr>
        <w:t>individuals</w:t>
      </w:r>
      <w:r w:rsidR="00044055" w:rsidRPr="00397119">
        <w:rPr>
          <w:rFonts w:ascii="Times New Roman" w:hAnsi="Times New Roman"/>
          <w:sz w:val="24"/>
          <w:szCs w:val="24"/>
        </w:rPr>
        <w:t xml:space="preserve"> </w:t>
      </w:r>
      <w:r w:rsidR="009C0493" w:rsidRPr="00397119">
        <w:rPr>
          <w:rFonts w:ascii="Times New Roman" w:hAnsi="Times New Roman"/>
          <w:sz w:val="24"/>
          <w:szCs w:val="24"/>
        </w:rPr>
        <w:t xml:space="preserve">in India </w:t>
      </w:r>
      <w:r w:rsidR="00B13EEC" w:rsidRPr="00397119">
        <w:rPr>
          <w:rFonts w:ascii="Times New Roman" w:hAnsi="Times New Roman"/>
          <w:sz w:val="24"/>
          <w:szCs w:val="24"/>
        </w:rPr>
        <w:t>face</w:t>
      </w:r>
      <w:r w:rsidR="00044055" w:rsidRPr="00397119">
        <w:rPr>
          <w:rFonts w:ascii="Times New Roman" w:hAnsi="Times New Roman"/>
          <w:sz w:val="24"/>
          <w:szCs w:val="24"/>
        </w:rPr>
        <w:t xml:space="preserve"> discrimination </w:t>
      </w:r>
      <w:r w:rsidR="00C4334D" w:rsidRPr="00397119">
        <w:rPr>
          <w:rFonts w:ascii="Times New Roman" w:hAnsi="Times New Roman"/>
          <w:sz w:val="24"/>
          <w:szCs w:val="24"/>
        </w:rPr>
        <w:t xml:space="preserve">in </w:t>
      </w:r>
      <w:r w:rsidR="00044055" w:rsidRPr="00397119">
        <w:rPr>
          <w:rFonts w:ascii="Times New Roman" w:hAnsi="Times New Roman"/>
          <w:sz w:val="24"/>
          <w:szCs w:val="24"/>
        </w:rPr>
        <w:t>almost all facets of their lives</w:t>
      </w:r>
      <w:r w:rsidR="00401C21" w:rsidRPr="00397119">
        <w:rPr>
          <w:rFonts w:ascii="Times New Roman" w:hAnsi="Times New Roman"/>
          <w:sz w:val="24"/>
          <w:szCs w:val="24"/>
        </w:rPr>
        <w:t xml:space="preserve"> from both </w:t>
      </w:r>
      <w:r w:rsidR="00C4334D" w:rsidRPr="00397119">
        <w:rPr>
          <w:rFonts w:ascii="Times New Roman" w:hAnsi="Times New Roman"/>
          <w:sz w:val="24"/>
          <w:szCs w:val="24"/>
        </w:rPr>
        <w:t>S</w:t>
      </w:r>
      <w:r w:rsidR="001D0A01" w:rsidRPr="00397119">
        <w:rPr>
          <w:rFonts w:ascii="Times New Roman" w:hAnsi="Times New Roman"/>
          <w:sz w:val="24"/>
          <w:szCs w:val="24"/>
        </w:rPr>
        <w:t>tate</w:t>
      </w:r>
      <w:r w:rsidR="00401C21" w:rsidRPr="00397119">
        <w:rPr>
          <w:rFonts w:ascii="Times New Roman" w:hAnsi="Times New Roman"/>
          <w:sz w:val="24"/>
          <w:szCs w:val="24"/>
        </w:rPr>
        <w:t xml:space="preserve"> and non-</w:t>
      </w:r>
      <w:r w:rsidR="00C4334D" w:rsidRPr="00397119">
        <w:rPr>
          <w:rFonts w:ascii="Times New Roman" w:hAnsi="Times New Roman"/>
          <w:sz w:val="24"/>
          <w:szCs w:val="24"/>
        </w:rPr>
        <w:t>S</w:t>
      </w:r>
      <w:r w:rsidR="00401C21" w:rsidRPr="00397119">
        <w:rPr>
          <w:rFonts w:ascii="Times New Roman" w:hAnsi="Times New Roman"/>
          <w:sz w:val="24"/>
          <w:szCs w:val="24"/>
        </w:rPr>
        <w:t>tate actors</w:t>
      </w:r>
      <w:r w:rsidR="00044055" w:rsidRPr="00397119">
        <w:rPr>
          <w:rFonts w:ascii="Times New Roman" w:hAnsi="Times New Roman"/>
          <w:sz w:val="24"/>
          <w:szCs w:val="24"/>
        </w:rPr>
        <w:t xml:space="preserve">, including in health, </w:t>
      </w:r>
      <w:r w:rsidR="009C0493" w:rsidRPr="00397119">
        <w:rPr>
          <w:rFonts w:ascii="Times New Roman" w:hAnsi="Times New Roman"/>
          <w:sz w:val="24"/>
          <w:szCs w:val="24"/>
        </w:rPr>
        <w:t>education, and economic support, and there is</w:t>
      </w:r>
      <w:r w:rsidR="00044055" w:rsidRPr="00397119">
        <w:rPr>
          <w:rFonts w:ascii="Times New Roman" w:hAnsi="Times New Roman"/>
          <w:sz w:val="24"/>
          <w:szCs w:val="24"/>
        </w:rPr>
        <w:t xml:space="preserve"> little redress for </w:t>
      </w:r>
      <w:r w:rsidRPr="00397119">
        <w:rPr>
          <w:rFonts w:ascii="Times New Roman" w:hAnsi="Times New Roman"/>
          <w:sz w:val="24"/>
          <w:szCs w:val="24"/>
        </w:rPr>
        <w:t>LGBTQ+</w:t>
      </w:r>
      <w:r w:rsidR="000C6E9E" w:rsidRPr="00397119">
        <w:rPr>
          <w:rFonts w:ascii="Times New Roman" w:hAnsi="Times New Roman"/>
          <w:sz w:val="24"/>
          <w:szCs w:val="24"/>
        </w:rPr>
        <w:t xml:space="preserve"> </w:t>
      </w:r>
      <w:r w:rsidR="00DC3C37" w:rsidRPr="00397119">
        <w:rPr>
          <w:rFonts w:ascii="Times New Roman" w:hAnsi="Times New Roman"/>
          <w:sz w:val="24"/>
          <w:szCs w:val="24"/>
        </w:rPr>
        <w:t xml:space="preserve">individuals </w:t>
      </w:r>
      <w:r w:rsidR="00044055" w:rsidRPr="00397119">
        <w:rPr>
          <w:rFonts w:ascii="Times New Roman" w:hAnsi="Times New Roman"/>
          <w:sz w:val="24"/>
          <w:szCs w:val="24"/>
        </w:rPr>
        <w:t xml:space="preserve">who experience discrimination. </w:t>
      </w:r>
      <w:r w:rsidR="008E61F6" w:rsidRPr="00397119">
        <w:rPr>
          <w:rFonts w:ascii="Times New Roman" w:hAnsi="Times New Roman"/>
          <w:sz w:val="24"/>
          <w:szCs w:val="24"/>
        </w:rPr>
        <w:t xml:space="preserve">While the Government of India has implemented a healthcare scheme which contains medical health for transgender </w:t>
      </w:r>
      <w:r w:rsidR="00345DB0" w:rsidRPr="00397119">
        <w:rPr>
          <w:rFonts w:ascii="Times New Roman" w:hAnsi="Times New Roman"/>
          <w:sz w:val="24"/>
          <w:szCs w:val="24"/>
        </w:rPr>
        <w:t>people</w:t>
      </w:r>
      <w:r w:rsidR="008E61F6" w:rsidRPr="00397119">
        <w:rPr>
          <w:rFonts w:ascii="Times New Roman" w:hAnsi="Times New Roman"/>
          <w:sz w:val="24"/>
          <w:szCs w:val="24"/>
        </w:rPr>
        <w:t xml:space="preserve"> and certain economic support, numerous structural and legal barriers prevent transgender individuals from accessing these services.</w:t>
      </w:r>
      <w:r w:rsidR="00EE1E70" w:rsidRPr="00397119">
        <w:rPr>
          <w:rFonts w:ascii="Times New Roman" w:hAnsi="Times New Roman"/>
          <w:sz w:val="24"/>
          <w:szCs w:val="24"/>
        </w:rPr>
        <w:t xml:space="preserve"> </w:t>
      </w:r>
    </w:p>
    <w:p w14:paraId="04BE93FF" w14:textId="02BE5370" w:rsidR="00F41D1E" w:rsidRPr="00397119" w:rsidRDefault="009F62A1" w:rsidP="003A039A">
      <w:pPr>
        <w:pStyle w:val="ListParagraph"/>
        <w:numPr>
          <w:ilvl w:val="0"/>
          <w:numId w:val="15"/>
        </w:numPr>
        <w:spacing w:after="120" w:line="240" w:lineRule="auto"/>
        <w:contextualSpacing w:val="0"/>
        <w:jc w:val="both"/>
        <w:rPr>
          <w:rFonts w:ascii="Times New Roman" w:hAnsi="Times New Roman"/>
          <w:sz w:val="24"/>
          <w:szCs w:val="24"/>
        </w:rPr>
      </w:pPr>
      <w:r w:rsidRPr="00397119">
        <w:rPr>
          <w:rFonts w:ascii="Times New Roman" w:hAnsi="Times New Roman"/>
          <w:sz w:val="24"/>
          <w:szCs w:val="24"/>
        </w:rPr>
        <w:t>LGBTQ+</w:t>
      </w:r>
      <w:r w:rsidR="000C6E9E" w:rsidRPr="00397119">
        <w:rPr>
          <w:rFonts w:ascii="Times New Roman" w:hAnsi="Times New Roman"/>
          <w:sz w:val="24"/>
          <w:szCs w:val="24"/>
        </w:rPr>
        <w:t xml:space="preserve"> </w:t>
      </w:r>
      <w:r w:rsidR="00B13EEC" w:rsidRPr="00397119">
        <w:rPr>
          <w:rFonts w:ascii="Times New Roman" w:hAnsi="Times New Roman"/>
          <w:sz w:val="24"/>
          <w:szCs w:val="24"/>
        </w:rPr>
        <w:t>people also</w:t>
      </w:r>
      <w:r w:rsidR="00044055" w:rsidRPr="00397119">
        <w:rPr>
          <w:rFonts w:ascii="Times New Roman" w:hAnsi="Times New Roman"/>
          <w:sz w:val="24"/>
          <w:szCs w:val="24"/>
        </w:rPr>
        <w:t xml:space="preserve"> face </w:t>
      </w:r>
      <w:r w:rsidR="000D15B9">
        <w:rPr>
          <w:rFonts w:ascii="Times New Roman" w:hAnsi="Times New Roman"/>
          <w:sz w:val="24"/>
          <w:szCs w:val="24"/>
        </w:rPr>
        <w:t xml:space="preserve">physical </w:t>
      </w:r>
      <w:r w:rsidR="00044055" w:rsidRPr="00397119">
        <w:rPr>
          <w:rFonts w:ascii="Times New Roman" w:hAnsi="Times New Roman"/>
          <w:sz w:val="24"/>
          <w:szCs w:val="24"/>
        </w:rPr>
        <w:t xml:space="preserve">violence from </w:t>
      </w:r>
      <w:r w:rsidR="00BC5474" w:rsidRPr="00397119">
        <w:rPr>
          <w:rFonts w:ascii="Times New Roman" w:hAnsi="Times New Roman"/>
          <w:sz w:val="24"/>
          <w:szCs w:val="24"/>
        </w:rPr>
        <w:t>S</w:t>
      </w:r>
      <w:r w:rsidR="00044055" w:rsidRPr="00397119">
        <w:rPr>
          <w:rFonts w:ascii="Times New Roman" w:hAnsi="Times New Roman"/>
          <w:sz w:val="24"/>
          <w:szCs w:val="24"/>
        </w:rPr>
        <w:t>tate and non</w:t>
      </w:r>
      <w:r w:rsidR="00401C21" w:rsidRPr="00397119">
        <w:rPr>
          <w:rFonts w:ascii="Times New Roman" w:hAnsi="Times New Roman"/>
          <w:sz w:val="24"/>
          <w:szCs w:val="24"/>
        </w:rPr>
        <w:t>-</w:t>
      </w:r>
      <w:r w:rsidR="00BC5474" w:rsidRPr="00397119">
        <w:rPr>
          <w:rFonts w:ascii="Times New Roman" w:hAnsi="Times New Roman"/>
          <w:sz w:val="24"/>
          <w:szCs w:val="24"/>
        </w:rPr>
        <w:t>S</w:t>
      </w:r>
      <w:r w:rsidR="00044055" w:rsidRPr="00397119">
        <w:rPr>
          <w:rFonts w:ascii="Times New Roman" w:hAnsi="Times New Roman"/>
          <w:sz w:val="24"/>
          <w:szCs w:val="24"/>
        </w:rPr>
        <w:t xml:space="preserve">tate actors, </w:t>
      </w:r>
      <w:r w:rsidR="00401C21" w:rsidRPr="00397119">
        <w:rPr>
          <w:rFonts w:ascii="Times New Roman" w:hAnsi="Times New Roman"/>
          <w:sz w:val="24"/>
          <w:szCs w:val="24"/>
        </w:rPr>
        <w:t>and m</w:t>
      </w:r>
      <w:r w:rsidR="00044055" w:rsidRPr="00397119">
        <w:rPr>
          <w:rFonts w:ascii="Times New Roman" w:hAnsi="Times New Roman"/>
          <w:sz w:val="24"/>
          <w:szCs w:val="24"/>
        </w:rPr>
        <w:t xml:space="preserve">any </w:t>
      </w:r>
      <w:r w:rsidRPr="00397119">
        <w:rPr>
          <w:rFonts w:ascii="Times New Roman" w:hAnsi="Times New Roman"/>
          <w:sz w:val="24"/>
          <w:szCs w:val="24"/>
        </w:rPr>
        <w:t>LGBTQ+</w:t>
      </w:r>
      <w:r w:rsidR="000C6E9E" w:rsidRPr="00397119">
        <w:rPr>
          <w:rFonts w:ascii="Times New Roman" w:hAnsi="Times New Roman"/>
          <w:sz w:val="24"/>
          <w:szCs w:val="24"/>
        </w:rPr>
        <w:t xml:space="preserve"> </w:t>
      </w:r>
      <w:r w:rsidR="00044055" w:rsidRPr="00397119">
        <w:rPr>
          <w:rFonts w:ascii="Times New Roman" w:hAnsi="Times New Roman"/>
          <w:sz w:val="24"/>
          <w:szCs w:val="24"/>
        </w:rPr>
        <w:t xml:space="preserve">people who experience violence do not report violations of their human rights </w:t>
      </w:r>
      <w:r w:rsidR="00401C21" w:rsidRPr="00397119">
        <w:rPr>
          <w:rFonts w:ascii="Times New Roman" w:hAnsi="Times New Roman"/>
          <w:sz w:val="24"/>
          <w:szCs w:val="24"/>
        </w:rPr>
        <w:t xml:space="preserve">to the </w:t>
      </w:r>
      <w:r w:rsidR="00592764" w:rsidRPr="00397119">
        <w:rPr>
          <w:rFonts w:ascii="Times New Roman" w:hAnsi="Times New Roman"/>
          <w:sz w:val="24"/>
          <w:szCs w:val="24"/>
        </w:rPr>
        <w:t>S</w:t>
      </w:r>
      <w:r w:rsidR="00401C21" w:rsidRPr="00397119">
        <w:rPr>
          <w:rFonts w:ascii="Times New Roman" w:hAnsi="Times New Roman"/>
          <w:sz w:val="24"/>
          <w:szCs w:val="24"/>
        </w:rPr>
        <w:t>tate</w:t>
      </w:r>
      <w:r w:rsidR="00044055" w:rsidRPr="00397119">
        <w:rPr>
          <w:rFonts w:ascii="Times New Roman" w:hAnsi="Times New Roman"/>
          <w:sz w:val="24"/>
          <w:szCs w:val="24"/>
        </w:rPr>
        <w:t xml:space="preserve"> for fear of further persecution. </w:t>
      </w:r>
    </w:p>
    <w:p w14:paraId="73A645FF" w14:textId="1C76202D" w:rsidR="007918DB" w:rsidRPr="00397119" w:rsidRDefault="007918DB" w:rsidP="003A039A">
      <w:pPr>
        <w:pStyle w:val="ListParagraph"/>
        <w:numPr>
          <w:ilvl w:val="0"/>
          <w:numId w:val="15"/>
        </w:numPr>
        <w:spacing w:after="120" w:line="240" w:lineRule="auto"/>
        <w:contextualSpacing w:val="0"/>
        <w:jc w:val="both"/>
        <w:rPr>
          <w:rFonts w:ascii="Times New Roman" w:hAnsi="Times New Roman"/>
          <w:sz w:val="24"/>
          <w:szCs w:val="24"/>
        </w:rPr>
      </w:pPr>
      <w:r w:rsidRPr="00397119">
        <w:rPr>
          <w:rFonts w:ascii="Times New Roman" w:hAnsi="Times New Roman"/>
          <w:sz w:val="24"/>
          <w:szCs w:val="24"/>
        </w:rPr>
        <w:t>In this report</w:t>
      </w:r>
      <w:r w:rsidR="00592764" w:rsidRPr="00397119">
        <w:rPr>
          <w:rFonts w:ascii="Times New Roman" w:hAnsi="Times New Roman"/>
          <w:sz w:val="24"/>
          <w:szCs w:val="24"/>
        </w:rPr>
        <w:t>,</w:t>
      </w:r>
      <w:r w:rsidRPr="00397119">
        <w:rPr>
          <w:rFonts w:ascii="Times New Roman" w:hAnsi="Times New Roman"/>
          <w:sz w:val="24"/>
          <w:szCs w:val="24"/>
        </w:rPr>
        <w:t xml:space="preserve"> we use the acronym </w:t>
      </w:r>
      <w:r w:rsidR="009F62A1" w:rsidRPr="00397119">
        <w:rPr>
          <w:rFonts w:ascii="Times New Roman" w:hAnsi="Times New Roman"/>
          <w:sz w:val="24"/>
          <w:szCs w:val="24"/>
        </w:rPr>
        <w:t>LGBTQ+</w:t>
      </w:r>
      <w:r w:rsidRPr="00397119">
        <w:rPr>
          <w:rFonts w:ascii="Times New Roman" w:hAnsi="Times New Roman"/>
          <w:sz w:val="24"/>
          <w:szCs w:val="24"/>
        </w:rPr>
        <w:t xml:space="preserve"> to refer to individuals who self-identify as lesbian, gay, bisexual, transgender</w:t>
      </w:r>
      <w:r w:rsidR="00621DA2" w:rsidRPr="00397119">
        <w:rPr>
          <w:rFonts w:ascii="Times New Roman" w:hAnsi="Times New Roman"/>
          <w:sz w:val="24"/>
          <w:szCs w:val="24"/>
        </w:rPr>
        <w:t xml:space="preserve">, </w:t>
      </w:r>
      <w:r w:rsidRPr="00397119">
        <w:rPr>
          <w:rFonts w:ascii="Times New Roman" w:hAnsi="Times New Roman"/>
          <w:sz w:val="24"/>
          <w:szCs w:val="24"/>
        </w:rPr>
        <w:t xml:space="preserve">and/or queer. These terms necessarily do not include everyone who may experience violations of their human rights on the basis of their real or perceived </w:t>
      </w:r>
      <w:r w:rsidR="00621DA2" w:rsidRPr="00397119">
        <w:rPr>
          <w:rFonts w:ascii="Times New Roman" w:hAnsi="Times New Roman"/>
          <w:sz w:val="24"/>
          <w:szCs w:val="24"/>
        </w:rPr>
        <w:t>sexual orientation, gender identity,</w:t>
      </w:r>
      <w:r w:rsidR="00D16128" w:rsidRPr="00397119">
        <w:rPr>
          <w:rFonts w:ascii="Times New Roman" w:hAnsi="Times New Roman"/>
          <w:sz w:val="24"/>
          <w:szCs w:val="24"/>
        </w:rPr>
        <w:t xml:space="preserve"> and/or</w:t>
      </w:r>
      <w:r w:rsidR="00621DA2" w:rsidRPr="00397119">
        <w:rPr>
          <w:rFonts w:ascii="Times New Roman" w:hAnsi="Times New Roman"/>
          <w:sz w:val="24"/>
          <w:szCs w:val="24"/>
        </w:rPr>
        <w:t xml:space="preserve"> gender expression</w:t>
      </w:r>
      <w:r w:rsidR="004D2F44" w:rsidRPr="00397119">
        <w:rPr>
          <w:rFonts w:ascii="Times New Roman" w:hAnsi="Times New Roman"/>
          <w:sz w:val="24"/>
          <w:szCs w:val="24"/>
        </w:rPr>
        <w:t xml:space="preserve"> (</w:t>
      </w:r>
      <w:r w:rsidRPr="00397119">
        <w:rPr>
          <w:rFonts w:ascii="Times New Roman" w:hAnsi="Times New Roman"/>
          <w:sz w:val="24"/>
          <w:szCs w:val="24"/>
        </w:rPr>
        <w:t>SOGIE</w:t>
      </w:r>
      <w:r w:rsidR="004D2F44" w:rsidRPr="00397119">
        <w:rPr>
          <w:rFonts w:ascii="Times New Roman" w:hAnsi="Times New Roman"/>
          <w:sz w:val="24"/>
          <w:szCs w:val="24"/>
        </w:rPr>
        <w:t>)</w:t>
      </w:r>
      <w:r w:rsidRPr="00397119">
        <w:rPr>
          <w:rFonts w:ascii="Times New Roman" w:hAnsi="Times New Roman"/>
          <w:sz w:val="24"/>
          <w:szCs w:val="24"/>
        </w:rPr>
        <w:t xml:space="preserve"> status, which is why we also include a “+” with the acronym. Any use of a modified acronym is intentional in that we are speaking only about certain members of the </w:t>
      </w:r>
      <w:r w:rsidR="009F62A1" w:rsidRPr="00397119">
        <w:rPr>
          <w:rFonts w:ascii="Times New Roman" w:hAnsi="Times New Roman"/>
          <w:sz w:val="24"/>
          <w:szCs w:val="24"/>
        </w:rPr>
        <w:t>LGBTQ+</w:t>
      </w:r>
      <w:r w:rsidRPr="00397119">
        <w:rPr>
          <w:rFonts w:ascii="Times New Roman" w:hAnsi="Times New Roman"/>
          <w:sz w:val="24"/>
          <w:szCs w:val="24"/>
        </w:rPr>
        <w:t xml:space="preserve"> population.</w:t>
      </w:r>
      <w:r w:rsidR="005D31A8" w:rsidRPr="00397119">
        <w:rPr>
          <w:rFonts w:ascii="Times New Roman" w:hAnsi="Times New Roman"/>
          <w:sz w:val="24"/>
          <w:szCs w:val="24"/>
        </w:rPr>
        <w:t xml:space="preserve"> India also has several “third </w:t>
      </w:r>
      <w:r w:rsidR="000F0CC7" w:rsidRPr="00397119">
        <w:rPr>
          <w:rFonts w:ascii="Times New Roman" w:hAnsi="Times New Roman"/>
          <w:sz w:val="24"/>
          <w:szCs w:val="24"/>
        </w:rPr>
        <w:t>genders</w:t>
      </w:r>
      <w:r w:rsidR="00A63FBE" w:rsidRPr="00397119">
        <w:rPr>
          <w:rFonts w:ascii="Times New Roman" w:hAnsi="Times New Roman"/>
          <w:sz w:val="24"/>
          <w:szCs w:val="24"/>
        </w:rPr>
        <w:t>,” most notably hijras. Although some hijras m</w:t>
      </w:r>
      <w:r w:rsidR="00FE51B5" w:rsidRPr="00397119">
        <w:rPr>
          <w:rFonts w:ascii="Times New Roman" w:hAnsi="Times New Roman"/>
          <w:sz w:val="24"/>
          <w:szCs w:val="24"/>
        </w:rPr>
        <w:t xml:space="preserve">ay also self-identify as transgender women, it is important to note that </w:t>
      </w:r>
      <w:r w:rsidR="002A3E59" w:rsidRPr="00397119">
        <w:rPr>
          <w:rFonts w:ascii="Times New Roman" w:hAnsi="Times New Roman"/>
          <w:sz w:val="24"/>
          <w:szCs w:val="24"/>
        </w:rPr>
        <w:t>not all hijras do, nor do all transgender women identify as hijras.</w:t>
      </w:r>
    </w:p>
    <w:p w14:paraId="5EEE331A" w14:textId="2EC74165" w:rsidR="00395406" w:rsidRPr="00397119" w:rsidRDefault="00395406" w:rsidP="003A039A">
      <w:pPr>
        <w:pStyle w:val="ListParagraph"/>
        <w:numPr>
          <w:ilvl w:val="0"/>
          <w:numId w:val="15"/>
        </w:numPr>
        <w:spacing w:after="120" w:line="240" w:lineRule="auto"/>
        <w:contextualSpacing w:val="0"/>
        <w:jc w:val="both"/>
        <w:rPr>
          <w:rFonts w:ascii="Times New Roman" w:hAnsi="Times New Roman"/>
          <w:sz w:val="24"/>
          <w:szCs w:val="24"/>
        </w:rPr>
      </w:pPr>
      <w:r w:rsidRPr="00397119">
        <w:rPr>
          <w:rFonts w:ascii="Times New Roman" w:eastAsia="Times New Roman" w:hAnsi="Times New Roman"/>
          <w:color w:val="000000"/>
          <w:sz w:val="24"/>
          <w:szCs w:val="24"/>
          <w:lang w:val="x-none"/>
        </w:rPr>
        <w:t xml:space="preserve">Information for this report includes published information and </w:t>
      </w:r>
      <w:r w:rsidR="00562F03" w:rsidRPr="00397119">
        <w:rPr>
          <w:rFonts w:ascii="Times New Roman" w:eastAsia="Times New Roman" w:hAnsi="Times New Roman"/>
          <w:color w:val="000000"/>
          <w:sz w:val="24"/>
          <w:szCs w:val="24"/>
          <w:lang w:val="x-none"/>
        </w:rPr>
        <w:t xml:space="preserve">first-hand </w:t>
      </w:r>
      <w:r w:rsidRPr="00397119">
        <w:rPr>
          <w:rFonts w:ascii="Times New Roman" w:eastAsia="Times New Roman" w:hAnsi="Times New Roman"/>
          <w:color w:val="000000"/>
          <w:sz w:val="24"/>
          <w:szCs w:val="24"/>
          <w:lang w:val="x-none"/>
        </w:rPr>
        <w:t xml:space="preserve">material </w:t>
      </w:r>
      <w:r w:rsidR="00562F03" w:rsidRPr="00397119">
        <w:rPr>
          <w:rFonts w:ascii="Times New Roman" w:eastAsia="Times New Roman" w:hAnsi="Times New Roman"/>
          <w:color w:val="000000"/>
          <w:sz w:val="24"/>
          <w:szCs w:val="24"/>
          <w:lang w:val="x-none"/>
        </w:rPr>
        <w:t xml:space="preserve">collected by </w:t>
      </w:r>
      <w:r w:rsidRPr="00397119">
        <w:rPr>
          <w:rFonts w:ascii="Times New Roman" w:eastAsia="Times New Roman" w:hAnsi="Times New Roman"/>
          <w:color w:val="000000"/>
          <w:sz w:val="24"/>
          <w:szCs w:val="24"/>
          <w:lang w:val="x-none"/>
        </w:rPr>
        <w:t xml:space="preserve">local non-governmental organizations (NGOs) and </w:t>
      </w:r>
      <w:r w:rsidR="00562F03" w:rsidRPr="00397119">
        <w:rPr>
          <w:rFonts w:ascii="Times New Roman" w:eastAsia="Times New Roman" w:hAnsi="Times New Roman"/>
          <w:color w:val="000000"/>
          <w:sz w:val="24"/>
          <w:szCs w:val="24"/>
          <w:lang w:val="x-none"/>
        </w:rPr>
        <w:t xml:space="preserve">human rights defenders </w:t>
      </w:r>
      <w:r w:rsidRPr="00397119">
        <w:rPr>
          <w:rFonts w:ascii="Times New Roman" w:eastAsia="Times New Roman" w:hAnsi="Times New Roman"/>
          <w:color w:val="000000"/>
          <w:sz w:val="24"/>
          <w:szCs w:val="24"/>
          <w:lang w:val="x-none"/>
        </w:rPr>
        <w:t xml:space="preserve">in India that work on </w:t>
      </w:r>
      <w:r w:rsidR="009F62A1" w:rsidRPr="00397119">
        <w:rPr>
          <w:rFonts w:ascii="Times New Roman" w:eastAsia="Times New Roman" w:hAnsi="Times New Roman"/>
          <w:color w:val="000000"/>
          <w:sz w:val="24"/>
          <w:szCs w:val="24"/>
          <w:lang w:val="x-none"/>
        </w:rPr>
        <w:t>LGBTQ+</w:t>
      </w:r>
      <w:r w:rsidRPr="00397119">
        <w:rPr>
          <w:rFonts w:ascii="Times New Roman" w:eastAsia="Times New Roman" w:hAnsi="Times New Roman"/>
          <w:color w:val="000000"/>
          <w:sz w:val="24"/>
          <w:szCs w:val="24"/>
          <w:lang w:val="x-none"/>
        </w:rPr>
        <w:t xml:space="preserve"> issues.</w:t>
      </w:r>
    </w:p>
    <w:p w14:paraId="65D8A534" w14:textId="0319FFFC" w:rsidR="00E34209" w:rsidRPr="00397119" w:rsidRDefault="007B15B3" w:rsidP="003A039A">
      <w:pPr>
        <w:spacing w:before="240" w:after="240"/>
        <w:jc w:val="center"/>
        <w:rPr>
          <w:b/>
          <w:bCs/>
        </w:rPr>
      </w:pPr>
      <w:r w:rsidRPr="00397119">
        <w:rPr>
          <w:b/>
          <w:bCs/>
        </w:rPr>
        <w:t>India fails to uphold its obligations under the International Covenant on</w:t>
      </w:r>
      <w:r w:rsidR="00B87DE4" w:rsidRPr="00397119">
        <w:rPr>
          <w:b/>
          <w:bCs/>
        </w:rPr>
        <w:t xml:space="preserve"> </w:t>
      </w:r>
      <w:r w:rsidRPr="00397119">
        <w:rPr>
          <w:b/>
          <w:bCs/>
        </w:rPr>
        <w:t>Civil and Political Rights (“ICCPR”)</w:t>
      </w:r>
    </w:p>
    <w:p w14:paraId="20A25052" w14:textId="7067C4F9" w:rsidR="00A0682C" w:rsidRPr="00397119" w:rsidRDefault="00A0682C" w:rsidP="003A039A">
      <w:pPr>
        <w:pStyle w:val="Subtitle"/>
        <w:spacing w:before="240" w:after="240"/>
        <w:ind w:left="1080" w:hanging="180"/>
        <w:rPr>
          <w:rFonts w:cs="Times New Roman"/>
          <w:szCs w:val="24"/>
        </w:rPr>
      </w:pPr>
      <w:r w:rsidRPr="00397119">
        <w:rPr>
          <w:rFonts w:cs="Times New Roman"/>
          <w:szCs w:val="24"/>
        </w:rPr>
        <w:t xml:space="preserve">Discrimination Against </w:t>
      </w:r>
      <w:r w:rsidR="009F62A1" w:rsidRPr="00397119">
        <w:rPr>
          <w:rFonts w:cs="Times New Roman"/>
          <w:szCs w:val="24"/>
        </w:rPr>
        <w:t>LGBTQ+</w:t>
      </w:r>
      <w:r w:rsidRPr="00397119">
        <w:rPr>
          <w:rFonts w:cs="Times New Roman"/>
          <w:szCs w:val="24"/>
        </w:rPr>
        <w:t xml:space="preserve"> People (List of Issues Prior to Reporting</w:t>
      </w:r>
      <w:r w:rsidR="004E2BF8" w:rsidRPr="00397119">
        <w:rPr>
          <w:rFonts w:cs="Times New Roman"/>
          <w:szCs w:val="24"/>
        </w:rPr>
        <w:t xml:space="preserve"> </w:t>
      </w:r>
      <w:r w:rsidRPr="00397119">
        <w:rPr>
          <w:rFonts w:cs="Times New Roman"/>
          <w:szCs w:val="24"/>
        </w:rPr>
        <w:t xml:space="preserve">paragraph </w:t>
      </w:r>
      <w:r w:rsidR="00A92087" w:rsidRPr="00397119">
        <w:rPr>
          <w:rFonts w:cs="Times New Roman"/>
          <w:szCs w:val="24"/>
        </w:rPr>
        <w:t>9</w:t>
      </w:r>
      <w:r w:rsidRPr="00397119">
        <w:rPr>
          <w:rFonts w:cs="Times New Roman"/>
          <w:szCs w:val="24"/>
        </w:rPr>
        <w:t>)</w:t>
      </w:r>
    </w:p>
    <w:p w14:paraId="57073AD4" w14:textId="28D9DA53" w:rsidR="009E508C" w:rsidRPr="00397119" w:rsidRDefault="00E34209" w:rsidP="003A039A">
      <w:pPr>
        <w:pStyle w:val="ListParagraph"/>
        <w:numPr>
          <w:ilvl w:val="0"/>
          <w:numId w:val="15"/>
        </w:numPr>
        <w:spacing w:after="120" w:line="240" w:lineRule="auto"/>
        <w:contextualSpacing w:val="0"/>
        <w:jc w:val="both"/>
        <w:rPr>
          <w:rFonts w:ascii="Times New Roman" w:eastAsia="Times New Roman" w:hAnsi="Times New Roman"/>
          <w:color w:val="000000"/>
          <w:sz w:val="24"/>
          <w:szCs w:val="24"/>
          <w:lang w:val="x-none"/>
        </w:rPr>
      </w:pPr>
      <w:r w:rsidRPr="00397119">
        <w:rPr>
          <w:rFonts w:ascii="Times New Roman" w:eastAsia="Times New Roman" w:hAnsi="Times New Roman"/>
          <w:color w:val="000000"/>
          <w:sz w:val="24"/>
          <w:szCs w:val="24"/>
          <w:lang w:val="x-none"/>
        </w:rPr>
        <w:t>In its 201</w:t>
      </w:r>
      <w:r w:rsidR="00EC4C9B" w:rsidRPr="00397119">
        <w:rPr>
          <w:rFonts w:ascii="Times New Roman" w:eastAsia="Times New Roman" w:hAnsi="Times New Roman"/>
          <w:color w:val="000000"/>
          <w:sz w:val="24"/>
          <w:szCs w:val="24"/>
          <w:lang w:val="x-none"/>
        </w:rPr>
        <w:t>9</w:t>
      </w:r>
      <w:r w:rsidRPr="00397119">
        <w:rPr>
          <w:rFonts w:ascii="Times New Roman" w:eastAsia="Times New Roman" w:hAnsi="Times New Roman"/>
          <w:color w:val="000000"/>
          <w:sz w:val="24"/>
          <w:szCs w:val="24"/>
          <w:lang w:val="x-none"/>
        </w:rPr>
        <w:t xml:space="preserve"> List of Issues</w:t>
      </w:r>
      <w:r w:rsidR="00243B8E" w:rsidRPr="00397119">
        <w:rPr>
          <w:rFonts w:ascii="Times New Roman" w:eastAsia="Times New Roman" w:hAnsi="Times New Roman"/>
          <w:color w:val="000000"/>
          <w:sz w:val="24"/>
          <w:szCs w:val="24"/>
          <w:lang w:val="x-none"/>
        </w:rPr>
        <w:t xml:space="preserve"> Prior to Reporting (</w:t>
      </w:r>
      <w:r w:rsidR="008A5D9E" w:rsidRPr="00397119">
        <w:rPr>
          <w:rFonts w:ascii="Times New Roman" w:eastAsia="Times New Roman" w:hAnsi="Times New Roman"/>
          <w:color w:val="000000"/>
          <w:sz w:val="24"/>
          <w:szCs w:val="24"/>
          <w:lang w:val="x-none"/>
        </w:rPr>
        <w:t>“</w:t>
      </w:r>
      <w:r w:rsidR="00243B8E" w:rsidRPr="00397119">
        <w:rPr>
          <w:rFonts w:ascii="Times New Roman" w:eastAsia="Times New Roman" w:hAnsi="Times New Roman"/>
          <w:color w:val="000000"/>
          <w:sz w:val="24"/>
          <w:szCs w:val="24"/>
          <w:lang w:val="x-none"/>
        </w:rPr>
        <w:t>LOIPR</w:t>
      </w:r>
      <w:r w:rsidR="008A5D9E" w:rsidRPr="00397119">
        <w:rPr>
          <w:rFonts w:ascii="Times New Roman" w:eastAsia="Times New Roman" w:hAnsi="Times New Roman"/>
          <w:color w:val="000000"/>
          <w:sz w:val="24"/>
          <w:szCs w:val="24"/>
          <w:lang w:val="x-none"/>
        </w:rPr>
        <w:t>”</w:t>
      </w:r>
      <w:r w:rsidR="00243B8E" w:rsidRPr="00397119">
        <w:rPr>
          <w:rFonts w:ascii="Times New Roman" w:eastAsia="Times New Roman" w:hAnsi="Times New Roman"/>
          <w:color w:val="000000"/>
          <w:sz w:val="24"/>
          <w:szCs w:val="24"/>
          <w:lang w:val="x-none"/>
        </w:rPr>
        <w:t>)</w:t>
      </w:r>
      <w:r w:rsidRPr="00397119">
        <w:rPr>
          <w:rFonts w:ascii="Times New Roman" w:eastAsia="Times New Roman" w:hAnsi="Times New Roman"/>
          <w:color w:val="000000"/>
          <w:sz w:val="24"/>
          <w:szCs w:val="24"/>
          <w:lang w:val="x-none"/>
        </w:rPr>
        <w:t>, the Human Rights Committee (</w:t>
      </w:r>
      <w:r w:rsidR="00EC4C9B" w:rsidRPr="00397119">
        <w:rPr>
          <w:rFonts w:ascii="Times New Roman" w:eastAsia="Times New Roman" w:hAnsi="Times New Roman"/>
          <w:color w:val="000000"/>
          <w:sz w:val="24"/>
          <w:szCs w:val="24"/>
          <w:lang w:val="x-none"/>
        </w:rPr>
        <w:t>the “</w:t>
      </w:r>
      <w:r w:rsidRPr="00397119">
        <w:rPr>
          <w:rFonts w:ascii="Times New Roman" w:eastAsia="Times New Roman" w:hAnsi="Times New Roman"/>
          <w:color w:val="000000"/>
          <w:sz w:val="24"/>
          <w:szCs w:val="24"/>
          <w:lang w:val="x-none"/>
        </w:rPr>
        <w:t>Committee</w:t>
      </w:r>
      <w:r w:rsidR="00EC4C9B" w:rsidRPr="00397119">
        <w:rPr>
          <w:rFonts w:ascii="Times New Roman" w:eastAsia="Times New Roman" w:hAnsi="Times New Roman"/>
          <w:color w:val="000000"/>
          <w:sz w:val="24"/>
          <w:szCs w:val="24"/>
          <w:lang w:val="x-none"/>
        </w:rPr>
        <w:t>”</w:t>
      </w:r>
      <w:r w:rsidRPr="00397119">
        <w:rPr>
          <w:rFonts w:ascii="Times New Roman" w:eastAsia="Times New Roman" w:hAnsi="Times New Roman"/>
          <w:color w:val="000000"/>
          <w:sz w:val="24"/>
          <w:szCs w:val="24"/>
          <w:lang w:val="x-none"/>
        </w:rPr>
        <w:t xml:space="preserve">) asked the Government of </w:t>
      </w:r>
      <w:r w:rsidR="00EC4C9B" w:rsidRPr="00397119">
        <w:rPr>
          <w:rFonts w:ascii="Times New Roman" w:eastAsia="Times New Roman" w:hAnsi="Times New Roman"/>
          <w:color w:val="000000"/>
          <w:sz w:val="24"/>
          <w:szCs w:val="24"/>
          <w:lang w:val="x-none"/>
        </w:rPr>
        <w:t>India</w:t>
      </w:r>
      <w:r w:rsidRPr="00397119">
        <w:rPr>
          <w:rFonts w:ascii="Times New Roman" w:eastAsia="Times New Roman" w:hAnsi="Times New Roman"/>
          <w:color w:val="000000"/>
          <w:sz w:val="24"/>
          <w:szCs w:val="24"/>
          <w:lang w:val="x-none"/>
        </w:rPr>
        <w:t xml:space="preserve"> for information on </w:t>
      </w:r>
      <w:r w:rsidR="00EC4C9B" w:rsidRPr="00397119">
        <w:rPr>
          <w:rFonts w:ascii="Times New Roman" w:eastAsia="Times New Roman" w:hAnsi="Times New Roman"/>
          <w:color w:val="000000"/>
          <w:sz w:val="24"/>
          <w:szCs w:val="24"/>
          <w:lang w:val="x-none"/>
        </w:rPr>
        <w:t>“</w:t>
      </w:r>
      <w:r w:rsidR="008D1E45" w:rsidRPr="00397119">
        <w:rPr>
          <w:rFonts w:ascii="Times New Roman" w:eastAsia="Times New Roman" w:hAnsi="Times New Roman"/>
          <w:color w:val="000000"/>
          <w:sz w:val="24"/>
          <w:szCs w:val="24"/>
          <w:lang w:val="x-none"/>
        </w:rPr>
        <w:t xml:space="preserve">measures taken to combat societal discrimination and violence, including abuses by the police, against lesbian, gay, bisexual, transgender and intersex persons, and fully implement the 2014 Supreme </w:t>
      </w:r>
      <w:r w:rsidR="008D1E45" w:rsidRPr="00397119">
        <w:rPr>
          <w:rFonts w:ascii="Times New Roman" w:eastAsia="Times New Roman" w:hAnsi="Times New Roman"/>
          <w:color w:val="000000"/>
          <w:sz w:val="24"/>
          <w:szCs w:val="24"/>
          <w:lang w:val="x-none"/>
        </w:rPr>
        <w:lastRenderedPageBreak/>
        <w:t xml:space="preserve">Court judgment in </w:t>
      </w:r>
      <w:r w:rsidR="008D1E45" w:rsidRPr="00397119">
        <w:rPr>
          <w:rFonts w:ascii="Times New Roman" w:eastAsia="Times New Roman" w:hAnsi="Times New Roman"/>
          <w:i/>
          <w:color w:val="000000"/>
          <w:sz w:val="24"/>
          <w:szCs w:val="24"/>
          <w:lang w:val="x-none"/>
        </w:rPr>
        <w:t xml:space="preserve">National Legal Services Authority v. Union of India and others, </w:t>
      </w:r>
      <w:r w:rsidR="008D1E45" w:rsidRPr="00397119">
        <w:rPr>
          <w:rFonts w:ascii="Times New Roman" w:eastAsia="Times New Roman" w:hAnsi="Times New Roman"/>
          <w:color w:val="000000"/>
          <w:sz w:val="24"/>
          <w:szCs w:val="24"/>
          <w:lang w:val="x-none"/>
        </w:rPr>
        <w:t>in which the rights of transgender persons were recognized.</w:t>
      </w:r>
      <w:r w:rsidR="000675B1" w:rsidRPr="00397119">
        <w:rPr>
          <w:rFonts w:ascii="Times New Roman" w:eastAsia="Times New Roman" w:hAnsi="Times New Roman"/>
          <w:color w:val="000000"/>
          <w:sz w:val="24"/>
          <w:szCs w:val="24"/>
          <w:lang w:val="x-none"/>
        </w:rPr>
        <w:t>”</w:t>
      </w:r>
      <w:r w:rsidR="009E508C" w:rsidRPr="00397119">
        <w:rPr>
          <w:rStyle w:val="FootnoteReference"/>
          <w:rFonts w:ascii="Times New Roman" w:eastAsia="Times New Roman" w:hAnsi="Times New Roman"/>
          <w:color w:val="000000"/>
          <w:sz w:val="24"/>
          <w:szCs w:val="24"/>
          <w:lang w:val="x-none"/>
        </w:rPr>
        <w:footnoteReference w:id="2"/>
      </w:r>
    </w:p>
    <w:p w14:paraId="4567693F" w14:textId="4A60867C" w:rsidR="009E508C" w:rsidRPr="00397119" w:rsidRDefault="009E508C" w:rsidP="003A039A">
      <w:pPr>
        <w:pStyle w:val="ListParagraph"/>
        <w:numPr>
          <w:ilvl w:val="0"/>
          <w:numId w:val="15"/>
        </w:numPr>
        <w:spacing w:after="120" w:line="240" w:lineRule="auto"/>
        <w:contextualSpacing w:val="0"/>
        <w:jc w:val="both"/>
        <w:rPr>
          <w:rFonts w:ascii="Times New Roman" w:eastAsia="Times New Roman" w:hAnsi="Times New Roman"/>
          <w:color w:val="000000"/>
          <w:sz w:val="24"/>
          <w:szCs w:val="24"/>
          <w:lang w:val="x-none"/>
        </w:rPr>
      </w:pPr>
      <w:r w:rsidRPr="00397119">
        <w:rPr>
          <w:rFonts w:ascii="Times New Roman" w:eastAsia="Times New Roman" w:hAnsi="Times New Roman"/>
          <w:color w:val="000000"/>
          <w:sz w:val="24"/>
          <w:szCs w:val="24"/>
          <w:lang w:val="x-none"/>
        </w:rPr>
        <w:t>The Committee also asked for information on “whether revisions are being considered to the Transgender Persons (Protection of Rights) Bill</w:t>
      </w:r>
      <w:r w:rsidR="00370C9C">
        <w:rPr>
          <w:rFonts w:ascii="Times New Roman" w:eastAsia="Times New Roman" w:hAnsi="Times New Roman"/>
          <w:color w:val="000000"/>
          <w:sz w:val="24"/>
          <w:szCs w:val="24"/>
          <w:lang w:val="x-none"/>
        </w:rPr>
        <w:t xml:space="preserve"> [</w:t>
      </w:r>
      <w:r w:rsidR="002A6574">
        <w:rPr>
          <w:rFonts w:ascii="Times New Roman" w:eastAsia="Times New Roman" w:hAnsi="Times New Roman"/>
          <w:color w:val="000000"/>
          <w:sz w:val="24"/>
          <w:szCs w:val="24"/>
          <w:lang w:val="x-none"/>
        </w:rPr>
        <w:t>which is different from the Transgender Persons (Protection of Rights) Act</w:t>
      </w:r>
      <w:r w:rsidR="0045027A">
        <w:rPr>
          <w:rFonts w:ascii="Times New Roman" w:eastAsia="Times New Roman" w:hAnsi="Times New Roman"/>
          <w:color w:val="000000"/>
          <w:sz w:val="24"/>
          <w:szCs w:val="24"/>
          <w:lang w:val="x-none"/>
        </w:rPr>
        <w:t xml:space="preserve"> in Paragraph 25 below]</w:t>
      </w:r>
      <w:r w:rsidRPr="00397119">
        <w:rPr>
          <w:rFonts w:ascii="Times New Roman" w:eastAsia="Times New Roman" w:hAnsi="Times New Roman"/>
          <w:color w:val="000000"/>
          <w:sz w:val="24"/>
          <w:szCs w:val="24"/>
          <w:lang w:val="x-none"/>
        </w:rPr>
        <w:t xml:space="preserve">, which was passed by the Lok Sabha (lower house of Parliament) on 17 December 2018, with a view to bringing it into compliance with the [ICCPR], including as regards mandatory sex reassignment surgery </w:t>
      </w:r>
      <w:r w:rsidR="00567513" w:rsidRPr="00397119">
        <w:rPr>
          <w:rFonts w:ascii="Times New Roman" w:eastAsia="Times New Roman" w:hAnsi="Times New Roman"/>
          <w:color w:val="000000"/>
          <w:sz w:val="24"/>
          <w:szCs w:val="24"/>
          <w:lang w:val="x-none"/>
        </w:rPr>
        <w:t>[gender</w:t>
      </w:r>
      <w:r w:rsidR="00AF2D47" w:rsidRPr="00397119">
        <w:rPr>
          <w:rFonts w:ascii="Times New Roman" w:eastAsia="Times New Roman" w:hAnsi="Times New Roman"/>
          <w:color w:val="000000"/>
          <w:sz w:val="24"/>
          <w:szCs w:val="24"/>
          <w:lang w:val="x-none"/>
        </w:rPr>
        <w:t xml:space="preserve">-affirming </w:t>
      </w:r>
      <w:r w:rsidR="00567513" w:rsidRPr="00397119">
        <w:rPr>
          <w:rFonts w:ascii="Times New Roman" w:eastAsia="Times New Roman" w:hAnsi="Times New Roman"/>
          <w:color w:val="000000"/>
          <w:sz w:val="24"/>
          <w:szCs w:val="24"/>
          <w:lang w:val="x-none"/>
        </w:rPr>
        <w:t>surgery</w:t>
      </w:r>
      <w:r w:rsidR="00241540" w:rsidRPr="00397119">
        <w:rPr>
          <w:rFonts w:ascii="Times New Roman" w:eastAsia="Times New Roman" w:hAnsi="Times New Roman"/>
          <w:color w:val="000000"/>
          <w:sz w:val="24"/>
          <w:szCs w:val="24"/>
          <w:lang w:val="x-none"/>
        </w:rPr>
        <w:t xml:space="preserve">] </w:t>
      </w:r>
      <w:r w:rsidRPr="00397119">
        <w:rPr>
          <w:rFonts w:ascii="Times New Roman" w:eastAsia="Times New Roman" w:hAnsi="Times New Roman"/>
          <w:color w:val="000000"/>
          <w:sz w:val="24"/>
          <w:szCs w:val="24"/>
          <w:lang w:val="x-none"/>
        </w:rPr>
        <w:t>for transgender people and the light sentences imposed for serious offences against transgender people.”</w:t>
      </w:r>
      <w:r w:rsidRPr="00397119">
        <w:rPr>
          <w:rStyle w:val="FootnoteReference"/>
          <w:rFonts w:ascii="Times New Roman" w:eastAsia="Times New Roman" w:hAnsi="Times New Roman"/>
          <w:color w:val="000000"/>
          <w:sz w:val="24"/>
          <w:szCs w:val="24"/>
          <w:lang w:val="x-none"/>
        </w:rPr>
        <w:footnoteReference w:id="3"/>
      </w:r>
    </w:p>
    <w:p w14:paraId="7DDADAC6" w14:textId="1280A2D0" w:rsidR="009E508C" w:rsidRPr="00397119" w:rsidRDefault="001D1653" w:rsidP="003A039A">
      <w:pPr>
        <w:pStyle w:val="ListParagraph"/>
        <w:keepNext/>
        <w:keepLines/>
        <w:spacing w:after="120" w:line="240" w:lineRule="auto"/>
        <w:ind w:left="360"/>
        <w:contextualSpacing w:val="0"/>
        <w:jc w:val="both"/>
        <w:rPr>
          <w:rFonts w:ascii="Times New Roman" w:eastAsia="Times New Roman" w:hAnsi="Times New Roman"/>
          <w:i/>
          <w:iCs/>
          <w:color w:val="000000"/>
          <w:sz w:val="24"/>
          <w:szCs w:val="24"/>
          <w:lang w:val="x-none"/>
        </w:rPr>
      </w:pPr>
      <w:r w:rsidRPr="00397119">
        <w:rPr>
          <w:rFonts w:ascii="Times New Roman" w:eastAsia="Times New Roman" w:hAnsi="Times New Roman"/>
          <w:i/>
          <w:iCs/>
          <w:color w:val="000000"/>
          <w:sz w:val="24"/>
          <w:szCs w:val="24"/>
          <w:lang w:val="x-none"/>
        </w:rPr>
        <w:t>Legal Challenges</w:t>
      </w:r>
    </w:p>
    <w:p w14:paraId="3C5A5024" w14:textId="0A160034" w:rsidR="009E508C" w:rsidRPr="00397119" w:rsidRDefault="009E508C" w:rsidP="003A039A">
      <w:pPr>
        <w:pStyle w:val="ListParagraph"/>
        <w:keepNext/>
        <w:keepLines/>
        <w:numPr>
          <w:ilvl w:val="0"/>
          <w:numId w:val="15"/>
        </w:numPr>
        <w:spacing w:after="120" w:line="240" w:lineRule="auto"/>
        <w:contextualSpacing w:val="0"/>
        <w:jc w:val="both"/>
        <w:rPr>
          <w:rFonts w:ascii="Times New Roman" w:eastAsia="Times New Roman" w:hAnsi="Times New Roman"/>
          <w:color w:val="000000"/>
          <w:sz w:val="24"/>
          <w:szCs w:val="24"/>
          <w:lang w:val="x-none"/>
        </w:rPr>
      </w:pPr>
      <w:r w:rsidRPr="00397119">
        <w:rPr>
          <w:rFonts w:ascii="Times New Roman" w:eastAsia="Times New Roman" w:hAnsi="Times New Roman"/>
          <w:color w:val="000000"/>
          <w:sz w:val="24"/>
          <w:szCs w:val="24"/>
          <w:lang w:val="x-none"/>
        </w:rPr>
        <w:t xml:space="preserve">In its Fourth Periodic Report (the “Report”), the Government of India notes that it has “strengthened” India’s legal framework to “combat” </w:t>
      </w:r>
      <w:r w:rsidR="009F62A1" w:rsidRPr="00397119">
        <w:rPr>
          <w:rFonts w:ascii="Times New Roman" w:eastAsia="Times New Roman" w:hAnsi="Times New Roman"/>
          <w:color w:val="000000"/>
          <w:sz w:val="24"/>
          <w:szCs w:val="24"/>
          <w:lang w:val="x-none"/>
        </w:rPr>
        <w:t>LGBTQ+</w:t>
      </w:r>
      <w:r w:rsidRPr="00397119">
        <w:rPr>
          <w:rFonts w:ascii="Times New Roman" w:eastAsia="Times New Roman" w:hAnsi="Times New Roman"/>
          <w:color w:val="000000"/>
          <w:sz w:val="24"/>
          <w:szCs w:val="24"/>
          <w:lang w:val="x-none"/>
        </w:rPr>
        <w:t xml:space="preserve"> discrimination.</w:t>
      </w:r>
      <w:r w:rsidRPr="00397119">
        <w:rPr>
          <w:rStyle w:val="FootnoteReference"/>
          <w:rFonts w:ascii="Times New Roman" w:eastAsia="Times New Roman" w:hAnsi="Times New Roman"/>
          <w:color w:val="000000"/>
          <w:sz w:val="24"/>
          <w:szCs w:val="24"/>
          <w:lang w:val="x-none"/>
        </w:rPr>
        <w:footnoteReference w:id="4"/>
      </w:r>
    </w:p>
    <w:p w14:paraId="1D07F111" w14:textId="28432525" w:rsidR="009E508C" w:rsidRPr="00397119" w:rsidRDefault="009E508C" w:rsidP="003A039A">
      <w:pPr>
        <w:pStyle w:val="ListParagraph"/>
        <w:numPr>
          <w:ilvl w:val="0"/>
          <w:numId w:val="15"/>
        </w:numPr>
        <w:spacing w:after="120" w:line="240" w:lineRule="auto"/>
        <w:contextualSpacing w:val="0"/>
        <w:jc w:val="both"/>
        <w:rPr>
          <w:rFonts w:ascii="Times New Roman" w:eastAsia="Times New Roman" w:hAnsi="Times New Roman"/>
          <w:color w:val="000000"/>
          <w:sz w:val="24"/>
          <w:szCs w:val="24"/>
          <w:lang w:val="x-none"/>
        </w:rPr>
      </w:pPr>
      <w:r w:rsidRPr="00397119">
        <w:rPr>
          <w:rFonts w:ascii="Times New Roman" w:eastAsia="Times New Roman" w:hAnsi="Times New Roman"/>
          <w:color w:val="000000"/>
          <w:sz w:val="24"/>
          <w:szCs w:val="24"/>
          <w:lang w:val="x-none"/>
        </w:rPr>
        <w:t xml:space="preserve">The Government of India also notes in the Report that “the Supreme Court of India through its 2018 decision in </w:t>
      </w:r>
      <w:r w:rsidRPr="00397119">
        <w:rPr>
          <w:rFonts w:ascii="Times New Roman" w:eastAsia="Times New Roman" w:hAnsi="Times New Roman"/>
          <w:i/>
          <w:color w:val="000000"/>
          <w:sz w:val="24"/>
          <w:szCs w:val="24"/>
          <w:lang w:val="x-none"/>
        </w:rPr>
        <w:t xml:space="preserve">Navtej Singh </w:t>
      </w:r>
      <w:proofErr w:type="spellStart"/>
      <w:r w:rsidRPr="00397119">
        <w:rPr>
          <w:rFonts w:ascii="Times New Roman" w:eastAsia="Times New Roman" w:hAnsi="Times New Roman"/>
          <w:i/>
          <w:color w:val="000000"/>
          <w:sz w:val="24"/>
          <w:szCs w:val="24"/>
          <w:lang w:val="x-none"/>
        </w:rPr>
        <w:t>Johar</w:t>
      </w:r>
      <w:proofErr w:type="spellEnd"/>
      <w:r w:rsidRPr="00397119">
        <w:rPr>
          <w:rFonts w:ascii="Times New Roman" w:eastAsia="Times New Roman" w:hAnsi="Times New Roman"/>
          <w:i/>
          <w:color w:val="000000"/>
          <w:sz w:val="24"/>
          <w:szCs w:val="24"/>
          <w:lang w:val="x-none"/>
        </w:rPr>
        <w:t xml:space="preserve"> v. Union of India </w:t>
      </w:r>
      <w:r w:rsidRPr="00397119">
        <w:rPr>
          <w:rFonts w:ascii="Times New Roman" w:eastAsia="Times New Roman" w:hAnsi="Times New Roman"/>
          <w:color w:val="000000"/>
          <w:sz w:val="24"/>
          <w:szCs w:val="24"/>
          <w:lang w:val="x-none"/>
        </w:rPr>
        <w:t xml:space="preserve">decriminalized homosexuality </w:t>
      </w:r>
      <w:r w:rsidR="00744EBC" w:rsidRPr="00397119">
        <w:rPr>
          <w:rFonts w:ascii="Times New Roman" w:eastAsia="Times New Roman" w:hAnsi="Times New Roman"/>
          <w:color w:val="000000"/>
          <w:sz w:val="24"/>
          <w:szCs w:val="24"/>
          <w:lang w:val="x-none"/>
        </w:rPr>
        <w:t xml:space="preserve">[same-sex sexual activity] </w:t>
      </w:r>
      <w:r w:rsidRPr="00397119">
        <w:rPr>
          <w:rFonts w:ascii="Times New Roman" w:eastAsia="Times New Roman" w:hAnsi="Times New Roman"/>
          <w:color w:val="000000"/>
          <w:sz w:val="24"/>
          <w:szCs w:val="24"/>
          <w:lang w:val="x-none"/>
        </w:rPr>
        <w:t>among consenting adults in private, removing the unreasonable restriction on freedom of choice and expression of [</w:t>
      </w:r>
      <w:r w:rsidR="009F62A1" w:rsidRPr="00397119">
        <w:rPr>
          <w:rFonts w:ascii="Times New Roman" w:eastAsia="Times New Roman" w:hAnsi="Times New Roman"/>
          <w:color w:val="000000"/>
          <w:sz w:val="24"/>
          <w:szCs w:val="24"/>
          <w:lang w:val="x-none"/>
        </w:rPr>
        <w:t>LGBTQ+</w:t>
      </w:r>
      <w:r w:rsidRPr="00397119">
        <w:rPr>
          <w:rFonts w:ascii="Times New Roman" w:eastAsia="Times New Roman" w:hAnsi="Times New Roman"/>
          <w:color w:val="000000"/>
          <w:sz w:val="24"/>
          <w:szCs w:val="24"/>
          <w:lang w:val="x-none"/>
        </w:rPr>
        <w:t>] community. This ruling also created enabling environment for [</w:t>
      </w:r>
      <w:r w:rsidR="009F62A1" w:rsidRPr="00397119">
        <w:rPr>
          <w:rFonts w:ascii="Times New Roman" w:eastAsia="Times New Roman" w:hAnsi="Times New Roman"/>
          <w:color w:val="000000"/>
          <w:sz w:val="24"/>
          <w:szCs w:val="24"/>
          <w:lang w:val="x-none"/>
        </w:rPr>
        <w:t>LGBTQ+</w:t>
      </w:r>
      <w:r w:rsidRPr="00397119">
        <w:rPr>
          <w:rFonts w:ascii="Times New Roman" w:eastAsia="Times New Roman" w:hAnsi="Times New Roman"/>
          <w:color w:val="000000"/>
          <w:sz w:val="24"/>
          <w:szCs w:val="24"/>
          <w:lang w:val="x-none"/>
        </w:rPr>
        <w:t>] individuals to access justice as envisaged by the [ICCPR].”</w:t>
      </w:r>
      <w:r w:rsidRPr="00397119">
        <w:rPr>
          <w:rStyle w:val="FootnoteReference"/>
          <w:rFonts w:ascii="Times New Roman" w:eastAsia="Times New Roman" w:hAnsi="Times New Roman"/>
          <w:color w:val="000000"/>
          <w:sz w:val="24"/>
          <w:szCs w:val="24"/>
          <w:lang w:val="x-none"/>
        </w:rPr>
        <w:footnoteReference w:id="5"/>
      </w:r>
    </w:p>
    <w:p w14:paraId="3316DF8D" w14:textId="36006198" w:rsidR="009E508C" w:rsidRPr="00397119" w:rsidRDefault="009E508C" w:rsidP="003A039A">
      <w:pPr>
        <w:pStyle w:val="ListParagraph"/>
        <w:numPr>
          <w:ilvl w:val="0"/>
          <w:numId w:val="15"/>
        </w:numPr>
        <w:spacing w:after="120" w:line="240" w:lineRule="auto"/>
        <w:contextualSpacing w:val="0"/>
        <w:jc w:val="both"/>
        <w:rPr>
          <w:rFonts w:ascii="Times New Roman" w:eastAsia="Times New Roman" w:hAnsi="Times New Roman"/>
          <w:color w:val="000000"/>
          <w:sz w:val="24"/>
          <w:szCs w:val="24"/>
          <w:lang w:val="x-none"/>
        </w:rPr>
      </w:pPr>
      <w:r w:rsidRPr="00397119">
        <w:rPr>
          <w:rFonts w:ascii="Times New Roman" w:eastAsia="Times New Roman" w:hAnsi="Times New Roman"/>
          <w:color w:val="000000"/>
          <w:sz w:val="24"/>
          <w:szCs w:val="24"/>
          <w:lang w:val="x-none"/>
        </w:rPr>
        <w:t xml:space="preserve">The Indian </w:t>
      </w:r>
      <w:r w:rsidR="00300921" w:rsidRPr="00397119">
        <w:rPr>
          <w:rFonts w:ascii="Times New Roman" w:eastAsia="Times New Roman" w:hAnsi="Times New Roman"/>
          <w:color w:val="000000"/>
          <w:sz w:val="24"/>
          <w:szCs w:val="24"/>
          <w:lang w:val="x-none"/>
        </w:rPr>
        <w:t>C</w:t>
      </w:r>
      <w:r w:rsidRPr="00397119">
        <w:rPr>
          <w:rFonts w:ascii="Times New Roman" w:eastAsia="Times New Roman" w:hAnsi="Times New Roman"/>
          <w:color w:val="000000"/>
          <w:sz w:val="24"/>
          <w:szCs w:val="24"/>
          <w:lang w:val="x-none"/>
        </w:rPr>
        <w:t>onstitution defines certain rights for all citizens of India, regardless of an individual’s sexual orientation</w:t>
      </w:r>
      <w:r w:rsidR="00496BA8" w:rsidRPr="00397119">
        <w:rPr>
          <w:rFonts w:ascii="Times New Roman" w:eastAsia="Times New Roman" w:hAnsi="Times New Roman"/>
          <w:color w:val="000000"/>
          <w:sz w:val="24"/>
          <w:szCs w:val="24"/>
          <w:lang w:val="x-none"/>
        </w:rPr>
        <w:t>, gender identity or expression, or sex characteristics</w:t>
      </w:r>
      <w:r w:rsidRPr="00397119">
        <w:rPr>
          <w:rFonts w:ascii="Times New Roman" w:eastAsia="Times New Roman" w:hAnsi="Times New Roman"/>
          <w:color w:val="000000"/>
          <w:sz w:val="24"/>
          <w:szCs w:val="24"/>
          <w:lang w:val="x-none"/>
        </w:rPr>
        <w:t>.</w:t>
      </w:r>
      <w:r w:rsidRPr="00397119">
        <w:rPr>
          <w:rStyle w:val="FootnoteReference"/>
          <w:rFonts w:ascii="Times New Roman" w:eastAsia="Times New Roman" w:hAnsi="Times New Roman"/>
          <w:color w:val="000000"/>
          <w:sz w:val="24"/>
          <w:szCs w:val="24"/>
          <w:lang w:val="x-none"/>
        </w:rPr>
        <w:footnoteReference w:id="6"/>
      </w:r>
      <w:r w:rsidRPr="00397119">
        <w:rPr>
          <w:rFonts w:ascii="Times New Roman" w:eastAsia="Times New Roman" w:hAnsi="Times New Roman"/>
          <w:color w:val="000000"/>
          <w:sz w:val="24"/>
          <w:szCs w:val="24"/>
          <w:lang w:val="x-none"/>
        </w:rPr>
        <w:t xml:space="preserve"> Such rights include equality before the law or the equal protection of the laws within the territory of India, and equality of opportunity for all citizens in matters relating to employment or appointment to any office under the state.</w:t>
      </w:r>
      <w:r w:rsidRPr="00397119">
        <w:rPr>
          <w:rStyle w:val="FootnoteReference"/>
          <w:rFonts w:ascii="Times New Roman" w:eastAsia="Times New Roman" w:hAnsi="Times New Roman"/>
          <w:color w:val="000000"/>
          <w:sz w:val="24"/>
          <w:szCs w:val="24"/>
          <w:lang w:val="x-none"/>
        </w:rPr>
        <w:footnoteReference w:id="7"/>
      </w:r>
    </w:p>
    <w:p w14:paraId="04B9F629" w14:textId="2B4F4444" w:rsidR="00A443F2" w:rsidRPr="00287F86" w:rsidRDefault="009E508C" w:rsidP="00287F86">
      <w:pPr>
        <w:pStyle w:val="ListParagraph"/>
        <w:numPr>
          <w:ilvl w:val="0"/>
          <w:numId w:val="15"/>
        </w:numPr>
        <w:spacing w:after="120" w:line="240" w:lineRule="auto"/>
        <w:jc w:val="both"/>
        <w:rPr>
          <w:rFonts w:ascii="Times New Roman" w:eastAsia="SimSun" w:hAnsi="Times New Roman"/>
          <w:kern w:val="28"/>
          <w:sz w:val="24"/>
          <w:szCs w:val="24"/>
        </w:rPr>
      </w:pPr>
      <w:r w:rsidRPr="00397119">
        <w:rPr>
          <w:rFonts w:ascii="Times New Roman" w:eastAsia="Times New Roman" w:hAnsi="Times New Roman"/>
          <w:color w:val="000000"/>
          <w:sz w:val="24"/>
          <w:szCs w:val="24"/>
        </w:rPr>
        <w:t xml:space="preserve"> </w:t>
      </w:r>
      <w:r w:rsidR="00C936EA" w:rsidRPr="00397119">
        <w:rPr>
          <w:rFonts w:ascii="Times New Roman" w:eastAsia="Times New Roman" w:hAnsi="Times New Roman"/>
          <w:color w:val="000000"/>
          <w:sz w:val="24"/>
          <w:szCs w:val="24"/>
        </w:rPr>
        <w:t>D</w:t>
      </w:r>
      <w:r w:rsidRPr="00397119">
        <w:rPr>
          <w:rFonts w:ascii="Times New Roman" w:eastAsia="Times New Roman" w:hAnsi="Times New Roman"/>
          <w:color w:val="000000"/>
          <w:sz w:val="24"/>
          <w:szCs w:val="24"/>
        </w:rPr>
        <w:t xml:space="preserve">espite the rights enshrined in the Indian Constitution and in the </w:t>
      </w:r>
      <w:r w:rsidRPr="00397119">
        <w:rPr>
          <w:rFonts w:ascii="Times New Roman" w:eastAsia="Times New Roman" w:hAnsi="Times New Roman"/>
          <w:i/>
          <w:iCs/>
          <w:color w:val="000000"/>
          <w:sz w:val="24"/>
          <w:szCs w:val="24"/>
        </w:rPr>
        <w:t xml:space="preserve">Navtej Singh </w:t>
      </w:r>
      <w:proofErr w:type="spellStart"/>
      <w:r w:rsidRPr="00397119">
        <w:rPr>
          <w:rFonts w:ascii="Times New Roman" w:eastAsia="Times New Roman" w:hAnsi="Times New Roman"/>
          <w:i/>
          <w:iCs/>
          <w:color w:val="000000"/>
          <w:sz w:val="24"/>
          <w:szCs w:val="24"/>
        </w:rPr>
        <w:t>Johar</w:t>
      </w:r>
      <w:proofErr w:type="spellEnd"/>
      <w:r w:rsidRPr="00397119">
        <w:rPr>
          <w:rFonts w:ascii="Times New Roman" w:eastAsia="Times New Roman" w:hAnsi="Times New Roman"/>
          <w:i/>
          <w:iCs/>
          <w:color w:val="000000"/>
          <w:sz w:val="24"/>
          <w:szCs w:val="24"/>
        </w:rPr>
        <w:t xml:space="preserve"> v. Union of India</w:t>
      </w:r>
      <w:r w:rsidRPr="00397119">
        <w:rPr>
          <w:rFonts w:ascii="Times New Roman" w:eastAsia="Times New Roman" w:hAnsi="Times New Roman"/>
          <w:color w:val="000000"/>
          <w:sz w:val="24"/>
          <w:szCs w:val="24"/>
        </w:rPr>
        <w:t xml:space="preserve"> decision, progress</w:t>
      </w:r>
      <w:r w:rsidR="00B66EF2" w:rsidRPr="00397119">
        <w:rPr>
          <w:rFonts w:ascii="Times New Roman" w:eastAsia="Times New Roman" w:hAnsi="Times New Roman"/>
          <w:color w:val="000000"/>
          <w:sz w:val="24"/>
          <w:szCs w:val="24"/>
        </w:rPr>
        <w:t xml:space="preserve"> for the rights of </w:t>
      </w:r>
      <w:r w:rsidR="009F62A1" w:rsidRPr="00397119">
        <w:rPr>
          <w:rFonts w:ascii="Times New Roman" w:eastAsia="Times New Roman" w:hAnsi="Times New Roman"/>
          <w:color w:val="000000"/>
          <w:sz w:val="24"/>
          <w:szCs w:val="24"/>
        </w:rPr>
        <w:t>LGBTQ+</w:t>
      </w:r>
      <w:r w:rsidR="00B66EF2" w:rsidRPr="00397119">
        <w:rPr>
          <w:rFonts w:ascii="Times New Roman" w:eastAsia="Times New Roman" w:hAnsi="Times New Roman"/>
          <w:color w:val="000000"/>
          <w:sz w:val="24"/>
          <w:szCs w:val="24"/>
        </w:rPr>
        <w:t xml:space="preserve"> people</w:t>
      </w:r>
      <w:r w:rsidRPr="00397119">
        <w:rPr>
          <w:rFonts w:ascii="Times New Roman" w:eastAsia="Times New Roman" w:hAnsi="Times New Roman"/>
          <w:color w:val="000000"/>
          <w:sz w:val="24"/>
          <w:szCs w:val="24"/>
        </w:rPr>
        <w:t xml:space="preserve"> has been slow. Although India’s ruling party</w:t>
      </w:r>
      <w:r w:rsidR="00B66EF2" w:rsidRPr="00397119">
        <w:rPr>
          <w:rFonts w:ascii="Times New Roman" w:eastAsia="Times New Roman" w:hAnsi="Times New Roman"/>
          <w:color w:val="000000"/>
          <w:sz w:val="24"/>
          <w:szCs w:val="24"/>
        </w:rPr>
        <w:t xml:space="preserve"> </w:t>
      </w:r>
      <w:r w:rsidRPr="00397119">
        <w:rPr>
          <w:rFonts w:ascii="Times New Roman" w:eastAsia="Times New Roman" w:hAnsi="Times New Roman"/>
          <w:color w:val="000000"/>
          <w:sz w:val="24"/>
          <w:szCs w:val="24"/>
        </w:rPr>
        <w:t>—</w:t>
      </w:r>
      <w:r w:rsidR="00B66EF2" w:rsidRPr="00397119">
        <w:rPr>
          <w:rFonts w:ascii="Times New Roman" w:eastAsia="Times New Roman" w:hAnsi="Times New Roman"/>
          <w:color w:val="000000"/>
          <w:sz w:val="24"/>
          <w:szCs w:val="24"/>
        </w:rPr>
        <w:t xml:space="preserve"> </w:t>
      </w:r>
      <w:r w:rsidRPr="00397119">
        <w:rPr>
          <w:rFonts w:ascii="Times New Roman" w:eastAsia="Times New Roman" w:hAnsi="Times New Roman"/>
          <w:color w:val="000000"/>
          <w:sz w:val="24"/>
          <w:szCs w:val="24"/>
        </w:rPr>
        <w:t xml:space="preserve">the </w:t>
      </w:r>
      <w:proofErr w:type="spellStart"/>
      <w:r w:rsidRPr="00397119">
        <w:rPr>
          <w:rFonts w:ascii="Times New Roman" w:eastAsia="Times New Roman" w:hAnsi="Times New Roman"/>
          <w:color w:val="000000"/>
          <w:sz w:val="24"/>
          <w:szCs w:val="24"/>
        </w:rPr>
        <w:t>Bharatiya</w:t>
      </w:r>
      <w:proofErr w:type="spellEnd"/>
      <w:r w:rsidRPr="00397119">
        <w:rPr>
          <w:rFonts w:ascii="Times New Roman" w:eastAsia="Times New Roman" w:hAnsi="Times New Roman"/>
          <w:color w:val="000000"/>
          <w:sz w:val="24"/>
          <w:szCs w:val="24"/>
        </w:rPr>
        <w:t xml:space="preserve"> Janata Party (“BJP”)</w:t>
      </w:r>
      <w:r w:rsidR="00B66EF2" w:rsidRPr="00397119">
        <w:rPr>
          <w:rFonts w:ascii="Times New Roman" w:eastAsia="Times New Roman" w:hAnsi="Times New Roman"/>
          <w:color w:val="000000"/>
          <w:sz w:val="24"/>
          <w:szCs w:val="24"/>
        </w:rPr>
        <w:t xml:space="preserve"> </w:t>
      </w:r>
      <w:r w:rsidRPr="00397119">
        <w:rPr>
          <w:rFonts w:ascii="Times New Roman" w:eastAsia="Times New Roman" w:hAnsi="Times New Roman"/>
          <w:color w:val="000000"/>
          <w:sz w:val="24"/>
          <w:szCs w:val="24"/>
        </w:rPr>
        <w:t>—</w:t>
      </w:r>
      <w:r w:rsidR="00B66EF2" w:rsidRPr="00397119">
        <w:rPr>
          <w:rFonts w:ascii="Times New Roman" w:eastAsia="Times New Roman" w:hAnsi="Times New Roman"/>
          <w:color w:val="000000"/>
          <w:sz w:val="24"/>
          <w:szCs w:val="24"/>
        </w:rPr>
        <w:t xml:space="preserve"> </w:t>
      </w:r>
      <w:r w:rsidRPr="00397119">
        <w:rPr>
          <w:rFonts w:ascii="Times New Roman" w:hAnsi="Times New Roman"/>
          <w:sz w:val="24"/>
          <w:szCs w:val="24"/>
        </w:rPr>
        <w:t xml:space="preserve">told the press that they will follow the Supreme Court’s ruling, the BJP has not officially supported </w:t>
      </w:r>
      <w:r w:rsidR="009F62A1" w:rsidRPr="00397119">
        <w:rPr>
          <w:rFonts w:ascii="Times New Roman" w:hAnsi="Times New Roman"/>
          <w:sz w:val="24"/>
          <w:szCs w:val="24"/>
        </w:rPr>
        <w:t>LGBTQ+</w:t>
      </w:r>
      <w:r w:rsidRPr="00397119">
        <w:rPr>
          <w:rFonts w:ascii="Times New Roman" w:hAnsi="Times New Roman"/>
          <w:sz w:val="24"/>
          <w:szCs w:val="24"/>
        </w:rPr>
        <w:t xml:space="preserve"> individuals rights in India.</w:t>
      </w:r>
      <w:r w:rsidRPr="00397119">
        <w:rPr>
          <w:rFonts w:ascii="Times New Roman" w:hAnsi="Times New Roman"/>
          <w:sz w:val="24"/>
          <w:szCs w:val="24"/>
          <w:vertAlign w:val="superscript"/>
        </w:rPr>
        <w:footnoteReference w:id="8"/>
      </w:r>
    </w:p>
    <w:p w14:paraId="0682E1B3" w14:textId="24F1EDDC" w:rsidR="00A443F2" w:rsidRPr="00287F86" w:rsidRDefault="00321F5A" w:rsidP="00287F86">
      <w:pPr>
        <w:pStyle w:val="ListParagraph"/>
        <w:numPr>
          <w:ilvl w:val="0"/>
          <w:numId w:val="15"/>
        </w:numPr>
        <w:spacing w:after="120" w:line="240" w:lineRule="auto"/>
        <w:contextualSpacing w:val="0"/>
        <w:rPr>
          <w:rFonts w:ascii="Times New Roman" w:eastAsia="SimSun" w:hAnsi="Times New Roman"/>
          <w:kern w:val="28"/>
          <w:sz w:val="24"/>
          <w:szCs w:val="24"/>
        </w:rPr>
      </w:pPr>
      <w:r w:rsidRPr="00397119">
        <w:rPr>
          <w:rFonts w:ascii="Times New Roman" w:hAnsi="Times New Roman"/>
          <w:sz w:val="24"/>
          <w:szCs w:val="24"/>
        </w:rPr>
        <w:lastRenderedPageBreak/>
        <w:t xml:space="preserve">For example, the </w:t>
      </w:r>
      <w:r w:rsidR="005D6E6E" w:rsidRPr="00397119">
        <w:rPr>
          <w:rFonts w:ascii="Times New Roman" w:hAnsi="Times New Roman"/>
          <w:sz w:val="24"/>
          <w:szCs w:val="24"/>
        </w:rPr>
        <w:t>BJP</w:t>
      </w:r>
      <w:r w:rsidR="00A443F2">
        <w:rPr>
          <w:rFonts w:ascii="Times New Roman" w:hAnsi="Times New Roman"/>
          <w:sz w:val="24"/>
          <w:szCs w:val="24"/>
        </w:rPr>
        <w:t xml:space="preserve"> </w:t>
      </w:r>
      <w:r w:rsidR="00473282" w:rsidRPr="00397119">
        <w:rPr>
          <w:rFonts w:ascii="Times New Roman" w:hAnsi="Times New Roman"/>
          <w:sz w:val="24"/>
          <w:szCs w:val="24"/>
        </w:rPr>
        <w:t>stalled the appointment of</w:t>
      </w:r>
      <w:r w:rsidR="005D6E6E" w:rsidRPr="00397119">
        <w:rPr>
          <w:rFonts w:ascii="Times New Roman" w:hAnsi="Times New Roman"/>
          <w:sz w:val="24"/>
          <w:szCs w:val="24"/>
        </w:rPr>
        <w:t xml:space="preserve"> a candidate to the </w:t>
      </w:r>
      <w:r w:rsidR="00641FED" w:rsidRPr="00397119">
        <w:rPr>
          <w:rFonts w:ascii="Times New Roman" w:hAnsi="Times New Roman"/>
          <w:sz w:val="24"/>
          <w:szCs w:val="24"/>
        </w:rPr>
        <w:t>Delhi High Court</w:t>
      </w:r>
      <w:r w:rsidR="005D6E6E" w:rsidRPr="00397119">
        <w:rPr>
          <w:rFonts w:ascii="Times New Roman" w:hAnsi="Times New Roman"/>
          <w:sz w:val="24"/>
          <w:szCs w:val="24"/>
        </w:rPr>
        <w:t xml:space="preserve"> because he is gay.</w:t>
      </w:r>
      <w:r w:rsidR="00AD0DD3" w:rsidRPr="00397119">
        <w:rPr>
          <w:rStyle w:val="FootnoteReference"/>
          <w:rFonts w:ascii="Times New Roman" w:hAnsi="Times New Roman"/>
          <w:sz w:val="24"/>
          <w:szCs w:val="24"/>
        </w:rPr>
        <w:footnoteReference w:id="9"/>
      </w:r>
    </w:p>
    <w:p w14:paraId="618DA8D5" w14:textId="0695B316" w:rsidR="00A443F2" w:rsidRPr="00287F86" w:rsidRDefault="009E508C" w:rsidP="00287F86">
      <w:pPr>
        <w:pStyle w:val="ListParagraph"/>
        <w:numPr>
          <w:ilvl w:val="0"/>
          <w:numId w:val="15"/>
        </w:numPr>
        <w:spacing w:after="120" w:line="240" w:lineRule="auto"/>
        <w:contextualSpacing w:val="0"/>
        <w:jc w:val="both"/>
        <w:rPr>
          <w:rFonts w:ascii="Times New Roman" w:eastAsia="Times New Roman" w:hAnsi="Times New Roman"/>
          <w:color w:val="000000"/>
          <w:sz w:val="24"/>
          <w:szCs w:val="24"/>
        </w:rPr>
      </w:pPr>
      <w:r w:rsidRPr="00397119">
        <w:rPr>
          <w:rFonts w:ascii="Times New Roman" w:eastAsia="Times New Roman" w:hAnsi="Times New Roman"/>
          <w:color w:val="000000"/>
          <w:sz w:val="24"/>
          <w:szCs w:val="24"/>
        </w:rPr>
        <w:t>There is also no provision in Indian law for civil partnerships or same-sex marriages.</w:t>
      </w:r>
      <w:r w:rsidRPr="00397119">
        <w:rPr>
          <w:rFonts w:ascii="Times New Roman" w:eastAsia="Times New Roman" w:hAnsi="Times New Roman"/>
          <w:color w:val="000000"/>
          <w:sz w:val="24"/>
          <w:szCs w:val="24"/>
          <w:vertAlign w:val="superscript"/>
        </w:rPr>
        <w:footnoteReference w:id="10"/>
      </w:r>
      <w:r w:rsidRPr="00397119">
        <w:rPr>
          <w:rFonts w:ascii="Times New Roman" w:eastAsia="Times New Roman" w:hAnsi="Times New Roman"/>
          <w:color w:val="000000"/>
          <w:sz w:val="24"/>
          <w:szCs w:val="24"/>
        </w:rPr>
        <w:t xml:space="preserve"> The Indian government has resisted the legal recognition of same-sex marriage, arguing that a marriage is only between a biological male and a biological woman.</w:t>
      </w:r>
      <w:r w:rsidRPr="00397119">
        <w:rPr>
          <w:rFonts w:ascii="Times New Roman" w:eastAsia="Times New Roman" w:hAnsi="Times New Roman"/>
          <w:color w:val="000000"/>
          <w:sz w:val="24"/>
          <w:szCs w:val="24"/>
          <w:vertAlign w:val="superscript"/>
        </w:rPr>
        <w:footnoteReference w:id="11"/>
      </w:r>
      <w:r w:rsidRPr="00397119">
        <w:rPr>
          <w:rFonts w:ascii="Times New Roman" w:eastAsia="Times New Roman" w:hAnsi="Times New Roman"/>
          <w:color w:val="000000"/>
          <w:sz w:val="24"/>
          <w:szCs w:val="24"/>
        </w:rPr>
        <w:t xml:space="preserve"> </w:t>
      </w:r>
    </w:p>
    <w:p w14:paraId="11F2CA47" w14:textId="5361E37D" w:rsidR="009E508C" w:rsidRDefault="009E508C" w:rsidP="00287F86">
      <w:pPr>
        <w:pStyle w:val="ListParagraph"/>
        <w:numPr>
          <w:ilvl w:val="0"/>
          <w:numId w:val="15"/>
        </w:numPr>
        <w:spacing w:after="120" w:line="240" w:lineRule="auto"/>
        <w:contextualSpacing w:val="0"/>
        <w:jc w:val="both"/>
        <w:rPr>
          <w:rFonts w:ascii="Times New Roman" w:eastAsia="Times New Roman" w:hAnsi="Times New Roman"/>
          <w:color w:val="000000"/>
          <w:sz w:val="24"/>
          <w:szCs w:val="24"/>
        </w:rPr>
      </w:pPr>
      <w:r w:rsidRPr="00397119">
        <w:rPr>
          <w:rFonts w:ascii="Times New Roman" w:eastAsia="Times New Roman" w:hAnsi="Times New Roman"/>
          <w:color w:val="000000"/>
          <w:sz w:val="24"/>
          <w:szCs w:val="24"/>
        </w:rPr>
        <w:t xml:space="preserve">In November 2022, a </w:t>
      </w:r>
      <w:r w:rsidR="000366F7" w:rsidRPr="00397119">
        <w:rPr>
          <w:rFonts w:ascii="Times New Roman" w:eastAsia="Times New Roman" w:hAnsi="Times New Roman"/>
          <w:color w:val="000000"/>
          <w:sz w:val="24"/>
          <w:szCs w:val="24"/>
        </w:rPr>
        <w:t xml:space="preserve">group of </w:t>
      </w:r>
      <w:r w:rsidR="009F62A1" w:rsidRPr="00397119">
        <w:rPr>
          <w:rFonts w:ascii="Times New Roman" w:eastAsia="Times New Roman" w:hAnsi="Times New Roman"/>
          <w:color w:val="000000"/>
          <w:sz w:val="24"/>
          <w:szCs w:val="24"/>
        </w:rPr>
        <w:t>LGBTQ+</w:t>
      </w:r>
      <w:r w:rsidR="00F07E3B" w:rsidRPr="00397119">
        <w:rPr>
          <w:rFonts w:ascii="Times New Roman" w:eastAsia="Times New Roman" w:hAnsi="Times New Roman"/>
          <w:color w:val="000000"/>
          <w:sz w:val="24"/>
          <w:szCs w:val="24"/>
        </w:rPr>
        <w:t xml:space="preserve"> couples and individuals</w:t>
      </w:r>
      <w:r w:rsidR="000366F7" w:rsidRPr="00397119">
        <w:rPr>
          <w:rFonts w:ascii="Times New Roman" w:eastAsia="Times New Roman" w:hAnsi="Times New Roman"/>
          <w:color w:val="000000"/>
          <w:sz w:val="24"/>
          <w:szCs w:val="24"/>
        </w:rPr>
        <w:t xml:space="preserve"> </w:t>
      </w:r>
      <w:r w:rsidRPr="00397119">
        <w:rPr>
          <w:rFonts w:ascii="Times New Roman" w:eastAsia="Times New Roman" w:hAnsi="Times New Roman"/>
          <w:color w:val="000000"/>
          <w:sz w:val="24"/>
          <w:szCs w:val="24"/>
        </w:rPr>
        <w:t xml:space="preserve">filed </w:t>
      </w:r>
      <w:r w:rsidR="00F07E3B" w:rsidRPr="00397119">
        <w:rPr>
          <w:rFonts w:ascii="Times New Roman" w:eastAsia="Times New Roman" w:hAnsi="Times New Roman"/>
          <w:color w:val="000000"/>
          <w:sz w:val="24"/>
          <w:szCs w:val="24"/>
        </w:rPr>
        <w:t xml:space="preserve">a constitutional challenge </w:t>
      </w:r>
      <w:r w:rsidRPr="00397119">
        <w:rPr>
          <w:rFonts w:ascii="Times New Roman" w:eastAsia="Times New Roman" w:hAnsi="Times New Roman"/>
          <w:color w:val="000000"/>
          <w:sz w:val="24"/>
          <w:szCs w:val="24"/>
        </w:rPr>
        <w:t xml:space="preserve">to allow legal recognition same-sex </w:t>
      </w:r>
      <w:r w:rsidR="003A2A96" w:rsidRPr="00397119">
        <w:rPr>
          <w:rFonts w:ascii="Times New Roman" w:eastAsia="Times New Roman" w:hAnsi="Times New Roman"/>
          <w:color w:val="000000"/>
          <w:sz w:val="24"/>
          <w:szCs w:val="24"/>
        </w:rPr>
        <w:t xml:space="preserve">marriage </w:t>
      </w:r>
      <w:r w:rsidRPr="00397119">
        <w:rPr>
          <w:rFonts w:ascii="Times New Roman" w:eastAsia="Times New Roman" w:hAnsi="Times New Roman"/>
          <w:color w:val="000000"/>
          <w:sz w:val="24"/>
          <w:szCs w:val="24"/>
        </w:rPr>
        <w:t>under the Special Marriage Act of 1954.</w:t>
      </w:r>
      <w:r w:rsidRPr="00397119">
        <w:rPr>
          <w:rFonts w:ascii="Times New Roman" w:eastAsia="Times New Roman" w:hAnsi="Times New Roman"/>
          <w:color w:val="000000"/>
          <w:sz w:val="24"/>
          <w:szCs w:val="24"/>
          <w:vertAlign w:val="superscript"/>
        </w:rPr>
        <w:footnoteReference w:id="12"/>
      </w:r>
      <w:r w:rsidRPr="00397119">
        <w:rPr>
          <w:rFonts w:ascii="Times New Roman" w:eastAsia="Times New Roman" w:hAnsi="Times New Roman"/>
          <w:color w:val="000000"/>
          <w:sz w:val="24"/>
          <w:szCs w:val="24"/>
        </w:rPr>
        <w:t xml:space="preserve"> </w:t>
      </w:r>
      <w:bookmarkStart w:id="1" w:name="_Hlk165999060"/>
      <w:r w:rsidRPr="00397119">
        <w:rPr>
          <w:rFonts w:ascii="Times New Roman" w:eastAsia="Times New Roman" w:hAnsi="Times New Roman"/>
          <w:color w:val="000000"/>
          <w:sz w:val="24"/>
          <w:szCs w:val="24"/>
        </w:rPr>
        <w:t>In response, the Supreme Court of India court ruled that the right to marry is not a fundamental right for same-sex couples.</w:t>
      </w:r>
      <w:bookmarkEnd w:id="1"/>
      <w:r w:rsidRPr="00397119">
        <w:rPr>
          <w:rFonts w:ascii="Times New Roman" w:eastAsia="Times New Roman" w:hAnsi="Times New Roman"/>
          <w:color w:val="000000"/>
          <w:sz w:val="24"/>
          <w:szCs w:val="24"/>
          <w:vertAlign w:val="superscript"/>
        </w:rPr>
        <w:footnoteReference w:id="13"/>
      </w:r>
      <w:r w:rsidRPr="00397119">
        <w:rPr>
          <w:rFonts w:ascii="Times New Roman" w:eastAsia="Times New Roman" w:hAnsi="Times New Roman"/>
          <w:color w:val="000000"/>
          <w:sz w:val="24"/>
          <w:szCs w:val="24"/>
        </w:rPr>
        <w:t xml:space="preserve"> </w:t>
      </w:r>
    </w:p>
    <w:p w14:paraId="738F6286" w14:textId="575B1237" w:rsidR="009E508C" w:rsidRPr="00397119" w:rsidRDefault="009E508C" w:rsidP="003A039A">
      <w:pPr>
        <w:spacing w:after="120"/>
        <w:ind w:left="270"/>
        <w:jc w:val="both"/>
        <w:rPr>
          <w:rFonts w:eastAsia="Times New Roman"/>
          <w:i/>
          <w:iCs/>
          <w:color w:val="000000"/>
        </w:rPr>
      </w:pPr>
      <w:r w:rsidRPr="00397119">
        <w:rPr>
          <w:rFonts w:eastAsia="Times New Roman"/>
          <w:i/>
          <w:iCs/>
          <w:color w:val="000000"/>
        </w:rPr>
        <w:t xml:space="preserve">Discrimination Against </w:t>
      </w:r>
      <w:r w:rsidR="009F62A1" w:rsidRPr="00397119">
        <w:rPr>
          <w:rFonts w:eastAsia="Times New Roman"/>
          <w:i/>
          <w:iCs/>
          <w:color w:val="000000"/>
        </w:rPr>
        <w:t>LGB</w:t>
      </w:r>
      <w:r w:rsidR="00C506C5" w:rsidRPr="00397119">
        <w:rPr>
          <w:rFonts w:eastAsia="Times New Roman"/>
          <w:i/>
          <w:iCs/>
          <w:color w:val="000000"/>
        </w:rPr>
        <w:t>T</w:t>
      </w:r>
      <w:r w:rsidR="009F62A1" w:rsidRPr="00397119">
        <w:rPr>
          <w:rFonts w:eastAsia="Times New Roman"/>
          <w:i/>
          <w:iCs/>
          <w:color w:val="000000"/>
        </w:rPr>
        <w:t>Q+</w:t>
      </w:r>
      <w:r w:rsidRPr="00397119">
        <w:rPr>
          <w:rFonts w:eastAsia="Times New Roman"/>
          <w:i/>
          <w:iCs/>
          <w:color w:val="000000"/>
        </w:rPr>
        <w:t xml:space="preserve"> Individuals </w:t>
      </w:r>
    </w:p>
    <w:p w14:paraId="65AEB963" w14:textId="1E1E99C8" w:rsidR="009E508C" w:rsidRPr="00397119" w:rsidRDefault="009E508C" w:rsidP="003A039A">
      <w:pPr>
        <w:pStyle w:val="ListParagraph"/>
        <w:numPr>
          <w:ilvl w:val="0"/>
          <w:numId w:val="15"/>
        </w:numPr>
        <w:spacing w:after="120" w:line="240" w:lineRule="auto"/>
        <w:contextualSpacing w:val="0"/>
        <w:jc w:val="both"/>
        <w:rPr>
          <w:rFonts w:ascii="Times New Roman" w:hAnsi="Times New Roman"/>
          <w:sz w:val="24"/>
          <w:szCs w:val="24"/>
        </w:rPr>
      </w:pPr>
      <w:r w:rsidRPr="00397119">
        <w:rPr>
          <w:rFonts w:ascii="Times New Roman" w:hAnsi="Times New Roman"/>
          <w:sz w:val="24"/>
          <w:szCs w:val="24"/>
        </w:rPr>
        <w:t>Although the</w:t>
      </w:r>
      <w:r w:rsidR="00D01295" w:rsidRPr="00397119">
        <w:rPr>
          <w:rFonts w:ascii="Times New Roman" w:hAnsi="Times New Roman"/>
          <w:sz w:val="24"/>
          <w:szCs w:val="24"/>
        </w:rPr>
        <w:t xml:space="preserve"> Court has ruled the</w:t>
      </w:r>
      <w:r w:rsidRPr="00397119">
        <w:rPr>
          <w:rFonts w:ascii="Times New Roman" w:hAnsi="Times New Roman"/>
          <w:sz w:val="24"/>
          <w:szCs w:val="24"/>
        </w:rPr>
        <w:t xml:space="preserve"> law criminalizing consensual sexual acts between adults of the same sex </w:t>
      </w:r>
      <w:r w:rsidR="00D01295" w:rsidRPr="00397119">
        <w:rPr>
          <w:rFonts w:ascii="Times New Roman" w:hAnsi="Times New Roman"/>
          <w:sz w:val="24"/>
          <w:szCs w:val="24"/>
        </w:rPr>
        <w:t>to be</w:t>
      </w:r>
      <w:r w:rsidRPr="00397119">
        <w:rPr>
          <w:rFonts w:ascii="Times New Roman" w:hAnsi="Times New Roman"/>
          <w:sz w:val="24"/>
          <w:szCs w:val="24"/>
        </w:rPr>
        <w:t xml:space="preserve"> unconstitutional, discrimination against </w:t>
      </w:r>
      <w:r w:rsidR="009F62A1" w:rsidRPr="00397119">
        <w:rPr>
          <w:rFonts w:ascii="Times New Roman" w:hAnsi="Times New Roman"/>
          <w:sz w:val="24"/>
          <w:szCs w:val="24"/>
        </w:rPr>
        <w:t>LGBTQ+</w:t>
      </w:r>
      <w:r w:rsidRPr="00397119">
        <w:rPr>
          <w:rFonts w:ascii="Times New Roman" w:hAnsi="Times New Roman"/>
          <w:sz w:val="24"/>
          <w:szCs w:val="24"/>
        </w:rPr>
        <w:t xml:space="preserve"> individuals in India continues.</w:t>
      </w:r>
      <w:r w:rsidRPr="00397119">
        <w:rPr>
          <w:rStyle w:val="FootnoteReference"/>
          <w:rFonts w:ascii="Times New Roman" w:hAnsi="Times New Roman"/>
          <w:sz w:val="24"/>
          <w:szCs w:val="24"/>
        </w:rPr>
        <w:footnoteReference w:id="14"/>
      </w:r>
      <w:r w:rsidRPr="00397119">
        <w:rPr>
          <w:rFonts w:ascii="Times New Roman" w:hAnsi="Times New Roman"/>
          <w:sz w:val="24"/>
          <w:szCs w:val="24"/>
        </w:rPr>
        <w:t xml:space="preserve"> </w:t>
      </w:r>
    </w:p>
    <w:p w14:paraId="17B375DD" w14:textId="1F40D541" w:rsidR="009E508C" w:rsidRPr="00397119" w:rsidRDefault="009E508C" w:rsidP="003A039A">
      <w:pPr>
        <w:pStyle w:val="ListParagraph"/>
        <w:numPr>
          <w:ilvl w:val="0"/>
          <w:numId w:val="15"/>
        </w:numPr>
        <w:spacing w:after="120" w:line="240" w:lineRule="auto"/>
        <w:contextualSpacing w:val="0"/>
        <w:jc w:val="both"/>
        <w:rPr>
          <w:rFonts w:ascii="Times New Roman" w:hAnsi="Times New Roman"/>
          <w:sz w:val="24"/>
          <w:szCs w:val="24"/>
        </w:rPr>
      </w:pPr>
      <w:r w:rsidRPr="00397119">
        <w:rPr>
          <w:rFonts w:ascii="Times New Roman" w:hAnsi="Times New Roman"/>
          <w:sz w:val="24"/>
          <w:szCs w:val="24"/>
        </w:rPr>
        <w:t>According to a 2022 joint submission by stakeholders to the Working Group on the Universal Periodic Review on the promotion and protection of human rights, “[</w:t>
      </w:r>
      <w:r w:rsidR="009F62A1" w:rsidRPr="00397119">
        <w:rPr>
          <w:rFonts w:ascii="Times New Roman" w:hAnsi="Times New Roman"/>
          <w:sz w:val="24"/>
          <w:szCs w:val="24"/>
        </w:rPr>
        <w:t>LGBTQ+</w:t>
      </w:r>
      <w:r w:rsidRPr="00397119">
        <w:rPr>
          <w:rFonts w:ascii="Times New Roman" w:hAnsi="Times New Roman"/>
          <w:sz w:val="24"/>
          <w:szCs w:val="24"/>
        </w:rPr>
        <w:t xml:space="preserve"> individuals face] discrimination, harassment, and violence in all spheres of life.”</w:t>
      </w:r>
      <w:r w:rsidRPr="00397119">
        <w:rPr>
          <w:rStyle w:val="FootnoteReference"/>
          <w:rFonts w:ascii="Times New Roman" w:hAnsi="Times New Roman"/>
          <w:sz w:val="24"/>
          <w:szCs w:val="24"/>
        </w:rPr>
        <w:footnoteReference w:id="15"/>
      </w:r>
    </w:p>
    <w:p w14:paraId="3D49FEC5" w14:textId="0D830386" w:rsidR="009E508C" w:rsidRPr="00397119" w:rsidRDefault="009E508C" w:rsidP="003A039A">
      <w:pPr>
        <w:pStyle w:val="ListParagraph"/>
        <w:numPr>
          <w:ilvl w:val="0"/>
          <w:numId w:val="15"/>
        </w:numPr>
        <w:spacing w:after="120" w:line="240" w:lineRule="auto"/>
        <w:contextualSpacing w:val="0"/>
        <w:jc w:val="both"/>
        <w:rPr>
          <w:rFonts w:ascii="Times New Roman" w:hAnsi="Times New Roman"/>
          <w:sz w:val="24"/>
          <w:szCs w:val="24"/>
        </w:rPr>
      </w:pPr>
      <w:r w:rsidRPr="00397119">
        <w:rPr>
          <w:rFonts w:ascii="Times New Roman" w:hAnsi="Times New Roman"/>
          <w:sz w:val="24"/>
          <w:szCs w:val="24"/>
        </w:rPr>
        <w:t xml:space="preserve">As </w:t>
      </w:r>
      <w:r w:rsidR="00CC584A" w:rsidRPr="00397119">
        <w:rPr>
          <w:rFonts w:ascii="Times New Roman" w:hAnsi="Times New Roman"/>
          <w:sz w:val="24"/>
          <w:szCs w:val="24"/>
        </w:rPr>
        <w:t xml:space="preserve">detailed </w:t>
      </w:r>
      <w:r w:rsidRPr="00397119">
        <w:rPr>
          <w:rFonts w:ascii="Times New Roman" w:hAnsi="Times New Roman"/>
          <w:sz w:val="24"/>
          <w:szCs w:val="24"/>
        </w:rPr>
        <w:t xml:space="preserve">in a 2019 International Court of Justice report regarding </w:t>
      </w:r>
      <w:r w:rsidR="009F62A1" w:rsidRPr="00397119">
        <w:rPr>
          <w:rFonts w:ascii="Times New Roman" w:hAnsi="Times New Roman"/>
          <w:sz w:val="24"/>
          <w:szCs w:val="24"/>
        </w:rPr>
        <w:t>LGBTQ+</w:t>
      </w:r>
      <w:r w:rsidRPr="00397119">
        <w:rPr>
          <w:rFonts w:ascii="Times New Roman" w:hAnsi="Times New Roman"/>
          <w:sz w:val="24"/>
          <w:szCs w:val="24"/>
        </w:rPr>
        <w:t xml:space="preserve"> rights in India, “[</w:t>
      </w:r>
      <w:r w:rsidR="009F62A1" w:rsidRPr="00397119">
        <w:rPr>
          <w:rFonts w:ascii="Times New Roman" w:hAnsi="Times New Roman"/>
          <w:sz w:val="24"/>
          <w:szCs w:val="24"/>
        </w:rPr>
        <w:t>LGBTQ+</w:t>
      </w:r>
      <w:r w:rsidRPr="00397119">
        <w:rPr>
          <w:rFonts w:ascii="Times New Roman" w:hAnsi="Times New Roman"/>
          <w:sz w:val="24"/>
          <w:szCs w:val="24"/>
        </w:rPr>
        <w:t>] persons in India typically face serious difficulties in seeking access to rental accommodation, adverse consequences of a lack of security of tenure, and vulnerability to homelessness. This includes discrimination and sometimes violence committed against [</w:t>
      </w:r>
      <w:r w:rsidR="009F62A1" w:rsidRPr="00397119">
        <w:rPr>
          <w:rFonts w:ascii="Times New Roman" w:hAnsi="Times New Roman"/>
          <w:sz w:val="24"/>
          <w:szCs w:val="24"/>
        </w:rPr>
        <w:t>LGBTQ+</w:t>
      </w:r>
      <w:r w:rsidRPr="00397119">
        <w:rPr>
          <w:rFonts w:ascii="Times New Roman" w:hAnsi="Times New Roman"/>
          <w:sz w:val="24"/>
          <w:szCs w:val="24"/>
        </w:rPr>
        <w:t xml:space="preserve">] persons by landlords and property owners, as well as by </w:t>
      </w:r>
      <w:r w:rsidRPr="00397119">
        <w:rPr>
          <w:rFonts w:ascii="Times New Roman" w:hAnsi="Times New Roman"/>
          <w:sz w:val="24"/>
          <w:szCs w:val="24"/>
        </w:rPr>
        <w:lastRenderedPageBreak/>
        <w:t>family members in their own homes – violence that often forces them to leave the house”</w:t>
      </w:r>
      <w:r w:rsidR="00F81C8C">
        <w:rPr>
          <w:rFonts w:ascii="Times New Roman" w:hAnsi="Times New Roman"/>
          <w:sz w:val="24"/>
          <w:szCs w:val="24"/>
        </w:rPr>
        <w:t xml:space="preserve"> or leads to displacement.</w:t>
      </w:r>
      <w:r w:rsidRPr="00397119">
        <w:rPr>
          <w:rStyle w:val="FootnoteReference"/>
          <w:rFonts w:ascii="Times New Roman" w:hAnsi="Times New Roman"/>
          <w:sz w:val="24"/>
          <w:szCs w:val="24"/>
        </w:rPr>
        <w:footnoteReference w:id="16"/>
      </w:r>
    </w:p>
    <w:p w14:paraId="44FF870F" w14:textId="44299E65" w:rsidR="009E508C" w:rsidRPr="00397119" w:rsidRDefault="009E508C" w:rsidP="003A039A">
      <w:pPr>
        <w:pStyle w:val="ListParagraph"/>
        <w:numPr>
          <w:ilvl w:val="0"/>
          <w:numId w:val="15"/>
        </w:numPr>
        <w:spacing w:after="120" w:line="240" w:lineRule="auto"/>
        <w:jc w:val="both"/>
        <w:rPr>
          <w:rFonts w:ascii="Times New Roman" w:eastAsia="Times New Roman" w:hAnsi="Times New Roman"/>
          <w:color w:val="000000"/>
          <w:sz w:val="24"/>
          <w:szCs w:val="24"/>
        </w:rPr>
      </w:pPr>
      <w:r w:rsidRPr="00397119">
        <w:rPr>
          <w:rFonts w:ascii="Times New Roman" w:eastAsia="Times New Roman" w:hAnsi="Times New Roman"/>
          <w:color w:val="000000"/>
          <w:sz w:val="24"/>
          <w:szCs w:val="24"/>
        </w:rPr>
        <w:t>A 2021-2022 Human Development Report by the United Nations Development Program</w:t>
      </w:r>
      <w:r w:rsidR="002B3B2B">
        <w:rPr>
          <w:rFonts w:ascii="Times New Roman" w:eastAsia="Times New Roman" w:hAnsi="Times New Roman"/>
          <w:color w:val="000000"/>
          <w:sz w:val="24"/>
          <w:szCs w:val="24"/>
        </w:rPr>
        <w:t xml:space="preserve"> (UNDP)</w:t>
      </w:r>
      <w:r w:rsidRPr="00397119">
        <w:rPr>
          <w:rFonts w:ascii="Times New Roman" w:eastAsia="Times New Roman" w:hAnsi="Times New Roman"/>
          <w:color w:val="000000"/>
          <w:sz w:val="24"/>
          <w:szCs w:val="24"/>
        </w:rPr>
        <w:t xml:space="preserve"> provides evidence of how </w:t>
      </w:r>
      <w:r w:rsidR="009F62A1" w:rsidRPr="00397119">
        <w:rPr>
          <w:rFonts w:ascii="Times New Roman" w:hAnsi="Times New Roman"/>
          <w:sz w:val="24"/>
          <w:szCs w:val="24"/>
        </w:rPr>
        <w:t>LGBTQ+</w:t>
      </w:r>
      <w:r w:rsidRPr="00397119">
        <w:rPr>
          <w:rFonts w:ascii="Times New Roman" w:eastAsia="Times New Roman" w:hAnsi="Times New Roman"/>
          <w:color w:val="000000"/>
          <w:sz w:val="24"/>
          <w:szCs w:val="24"/>
        </w:rPr>
        <w:t xml:space="preserve"> discrimination in India </w:t>
      </w:r>
      <w:r w:rsidR="002B3B2B">
        <w:rPr>
          <w:rFonts w:ascii="Times New Roman" w:eastAsia="Times New Roman" w:hAnsi="Times New Roman"/>
          <w:color w:val="000000"/>
          <w:sz w:val="24"/>
          <w:szCs w:val="24"/>
        </w:rPr>
        <w:t>affects</w:t>
      </w:r>
      <w:r w:rsidRPr="00397119">
        <w:rPr>
          <w:rFonts w:ascii="Times New Roman" w:eastAsia="Times New Roman" w:hAnsi="Times New Roman"/>
          <w:color w:val="000000"/>
          <w:sz w:val="24"/>
          <w:szCs w:val="24"/>
        </w:rPr>
        <w:t xml:space="preserve"> young </w:t>
      </w:r>
      <w:r w:rsidR="002B3B2B">
        <w:rPr>
          <w:rFonts w:ascii="Times New Roman" w:eastAsia="Times New Roman" w:hAnsi="Times New Roman"/>
          <w:color w:val="000000"/>
          <w:sz w:val="24"/>
          <w:szCs w:val="24"/>
        </w:rPr>
        <w:t>people</w:t>
      </w:r>
      <w:r w:rsidRPr="00397119">
        <w:rPr>
          <w:rFonts w:ascii="Times New Roman" w:eastAsia="Times New Roman" w:hAnsi="Times New Roman"/>
          <w:color w:val="000000"/>
          <w:sz w:val="24"/>
          <w:szCs w:val="24"/>
        </w:rPr>
        <w:t xml:space="preserve">. The Human Development Report found that “over 75% of young </w:t>
      </w:r>
      <w:r w:rsidR="009F62A1" w:rsidRPr="00397119">
        <w:rPr>
          <w:rFonts w:ascii="Times New Roman" w:hAnsi="Times New Roman"/>
          <w:sz w:val="24"/>
          <w:szCs w:val="24"/>
        </w:rPr>
        <w:t>LGBTQ+</w:t>
      </w:r>
      <w:r w:rsidRPr="00397119">
        <w:rPr>
          <w:rFonts w:ascii="Times New Roman" w:eastAsia="Times New Roman" w:hAnsi="Times New Roman"/>
          <w:color w:val="000000"/>
          <w:sz w:val="24"/>
          <w:szCs w:val="24"/>
        </w:rPr>
        <w:t xml:space="preserve"> people report</w:t>
      </w:r>
      <w:r w:rsidR="002B3B2B">
        <w:rPr>
          <w:rFonts w:ascii="Times New Roman" w:eastAsia="Times New Roman" w:hAnsi="Times New Roman"/>
          <w:color w:val="000000"/>
          <w:sz w:val="24"/>
          <w:szCs w:val="24"/>
        </w:rPr>
        <w:t>ed</w:t>
      </w:r>
      <w:r w:rsidRPr="00397119">
        <w:rPr>
          <w:rFonts w:ascii="Times New Roman" w:eastAsia="Times New Roman" w:hAnsi="Times New Roman"/>
          <w:color w:val="000000"/>
          <w:sz w:val="24"/>
          <w:szCs w:val="24"/>
        </w:rPr>
        <w:t xml:space="preserve"> having experienced discrimination based on their sexual orientation or gender identity.”</w:t>
      </w:r>
      <w:r w:rsidRPr="00397119">
        <w:rPr>
          <w:rStyle w:val="FootnoteReference"/>
          <w:rFonts w:ascii="Times New Roman" w:eastAsia="Times New Roman" w:hAnsi="Times New Roman"/>
          <w:color w:val="000000"/>
          <w:sz w:val="24"/>
          <w:szCs w:val="24"/>
        </w:rPr>
        <w:footnoteReference w:id="17"/>
      </w:r>
    </w:p>
    <w:p w14:paraId="6D3A0653" w14:textId="6DDC8D28" w:rsidR="006640B5" w:rsidRPr="00397119" w:rsidRDefault="006640B5" w:rsidP="003A039A">
      <w:pPr>
        <w:pStyle w:val="ListParagraph"/>
        <w:numPr>
          <w:ilvl w:val="0"/>
          <w:numId w:val="15"/>
        </w:numPr>
        <w:spacing w:after="120" w:line="240" w:lineRule="auto"/>
        <w:jc w:val="both"/>
        <w:rPr>
          <w:rFonts w:ascii="Times New Roman" w:eastAsia="Times New Roman" w:hAnsi="Times New Roman"/>
          <w:color w:val="000000"/>
          <w:sz w:val="24"/>
          <w:szCs w:val="24"/>
        </w:rPr>
      </w:pPr>
      <w:r w:rsidRPr="00397119">
        <w:rPr>
          <w:rFonts w:ascii="Times New Roman" w:eastAsia="Times New Roman" w:hAnsi="Times New Roman"/>
          <w:color w:val="000000"/>
          <w:sz w:val="24"/>
          <w:szCs w:val="24"/>
        </w:rPr>
        <w:t xml:space="preserve">For example, in May </w:t>
      </w:r>
      <w:r w:rsidR="00407F4C" w:rsidRPr="00397119">
        <w:rPr>
          <w:rFonts w:ascii="Times New Roman" w:eastAsia="Times New Roman" w:hAnsi="Times New Roman"/>
          <w:color w:val="000000"/>
          <w:sz w:val="24"/>
          <w:szCs w:val="24"/>
        </w:rPr>
        <w:t>2024</w:t>
      </w:r>
      <w:r w:rsidR="00D55818" w:rsidRPr="00397119">
        <w:rPr>
          <w:rFonts w:ascii="Times New Roman" w:eastAsia="Times New Roman" w:hAnsi="Times New Roman"/>
          <w:color w:val="000000"/>
          <w:sz w:val="24"/>
          <w:szCs w:val="24"/>
        </w:rPr>
        <w:t xml:space="preserve">, a transgender woman </w:t>
      </w:r>
      <w:r w:rsidR="003A5DAF" w:rsidRPr="00397119">
        <w:rPr>
          <w:rFonts w:ascii="Times New Roman" w:eastAsia="Times New Roman" w:hAnsi="Times New Roman"/>
          <w:color w:val="000000"/>
          <w:sz w:val="24"/>
          <w:szCs w:val="24"/>
        </w:rPr>
        <w:t>alleged</w:t>
      </w:r>
      <w:r w:rsidR="00D55818" w:rsidRPr="00397119">
        <w:rPr>
          <w:rFonts w:ascii="Times New Roman" w:eastAsia="Times New Roman" w:hAnsi="Times New Roman"/>
          <w:color w:val="000000"/>
          <w:sz w:val="24"/>
          <w:szCs w:val="24"/>
        </w:rPr>
        <w:t xml:space="preserve"> that a hotel that she had booked in advanced had cancelled her reservation and </w:t>
      </w:r>
      <w:r w:rsidR="003A5DAF" w:rsidRPr="00397119">
        <w:rPr>
          <w:rFonts w:ascii="Times New Roman" w:eastAsia="Times New Roman" w:hAnsi="Times New Roman"/>
          <w:color w:val="000000"/>
          <w:sz w:val="24"/>
          <w:szCs w:val="24"/>
        </w:rPr>
        <w:t>would not give her a room because she is transgender.</w:t>
      </w:r>
      <w:r w:rsidR="003A5DAF" w:rsidRPr="00397119">
        <w:rPr>
          <w:rStyle w:val="FootnoteReference"/>
          <w:rFonts w:ascii="Times New Roman" w:eastAsia="Times New Roman" w:hAnsi="Times New Roman"/>
          <w:color w:val="000000"/>
          <w:sz w:val="24"/>
          <w:szCs w:val="24"/>
        </w:rPr>
        <w:footnoteReference w:id="18"/>
      </w:r>
    </w:p>
    <w:p w14:paraId="677CA7DA" w14:textId="08292189" w:rsidR="00A163D0" w:rsidRPr="00397119" w:rsidRDefault="0069584D" w:rsidP="003A039A">
      <w:pPr>
        <w:pStyle w:val="ListParagraph"/>
        <w:numPr>
          <w:ilvl w:val="0"/>
          <w:numId w:val="15"/>
        </w:numPr>
        <w:spacing w:after="120" w:line="240" w:lineRule="auto"/>
        <w:jc w:val="both"/>
        <w:rPr>
          <w:rFonts w:ascii="Times New Roman" w:eastAsia="Times New Roman" w:hAnsi="Times New Roman"/>
          <w:color w:val="000000"/>
          <w:sz w:val="24"/>
          <w:szCs w:val="24"/>
        </w:rPr>
      </w:pPr>
      <w:r w:rsidRPr="00397119">
        <w:rPr>
          <w:rFonts w:ascii="Times New Roman" w:eastAsia="Times New Roman" w:hAnsi="Times New Roman"/>
          <w:color w:val="000000"/>
          <w:sz w:val="24"/>
          <w:szCs w:val="24"/>
        </w:rPr>
        <w:t xml:space="preserve">Widespread discrimination against LGBTQ+ people – and transgender people </w:t>
      </w:r>
      <w:r w:rsidR="007240E6" w:rsidRPr="00397119">
        <w:rPr>
          <w:rFonts w:ascii="Times New Roman" w:eastAsia="Times New Roman" w:hAnsi="Times New Roman"/>
          <w:color w:val="000000"/>
          <w:sz w:val="24"/>
          <w:szCs w:val="24"/>
        </w:rPr>
        <w:t>in particular – has left many people without housing</w:t>
      </w:r>
      <w:r w:rsidR="00963412" w:rsidRPr="00397119">
        <w:rPr>
          <w:rFonts w:ascii="Times New Roman" w:eastAsia="Times New Roman" w:hAnsi="Times New Roman"/>
          <w:color w:val="000000"/>
          <w:sz w:val="24"/>
          <w:szCs w:val="24"/>
        </w:rPr>
        <w:t xml:space="preserve"> and employment. Some LGBTQ+ people </w:t>
      </w:r>
      <w:r w:rsidR="00112919" w:rsidRPr="00397119">
        <w:rPr>
          <w:rFonts w:ascii="Times New Roman" w:eastAsia="Times New Roman" w:hAnsi="Times New Roman"/>
          <w:color w:val="000000"/>
          <w:sz w:val="24"/>
          <w:szCs w:val="24"/>
        </w:rPr>
        <w:t>have turned to begging on the street as a means of survival.</w:t>
      </w:r>
      <w:r w:rsidR="00783855" w:rsidRPr="00397119">
        <w:rPr>
          <w:rFonts w:ascii="Times New Roman" w:eastAsia="Times New Roman" w:hAnsi="Times New Roman"/>
          <w:color w:val="000000"/>
          <w:sz w:val="24"/>
          <w:szCs w:val="24"/>
        </w:rPr>
        <w:t xml:space="preserve"> In turn, there are reports that police </w:t>
      </w:r>
      <w:r w:rsidR="0021688E" w:rsidRPr="00397119">
        <w:rPr>
          <w:rFonts w:ascii="Times New Roman" w:eastAsia="Times New Roman" w:hAnsi="Times New Roman"/>
          <w:color w:val="000000"/>
          <w:sz w:val="24"/>
          <w:szCs w:val="24"/>
        </w:rPr>
        <w:t>occasionally</w:t>
      </w:r>
      <w:r w:rsidR="00783855" w:rsidRPr="00397119">
        <w:rPr>
          <w:rFonts w:ascii="Times New Roman" w:eastAsia="Times New Roman" w:hAnsi="Times New Roman"/>
          <w:color w:val="000000"/>
          <w:sz w:val="24"/>
          <w:szCs w:val="24"/>
        </w:rPr>
        <w:t xml:space="preserve"> harass </w:t>
      </w:r>
      <w:r w:rsidR="0021688E" w:rsidRPr="00397119">
        <w:rPr>
          <w:rFonts w:ascii="Times New Roman" w:eastAsia="Times New Roman" w:hAnsi="Times New Roman"/>
          <w:color w:val="000000"/>
          <w:sz w:val="24"/>
          <w:szCs w:val="24"/>
        </w:rPr>
        <w:t xml:space="preserve">and arrest </w:t>
      </w:r>
      <w:r w:rsidR="00783855" w:rsidRPr="00397119">
        <w:rPr>
          <w:rFonts w:ascii="Times New Roman" w:eastAsia="Times New Roman" w:hAnsi="Times New Roman"/>
          <w:color w:val="000000"/>
          <w:sz w:val="24"/>
          <w:szCs w:val="24"/>
        </w:rPr>
        <w:t>LGBTQ+ people begging street</w:t>
      </w:r>
      <w:r w:rsidR="0021688E" w:rsidRPr="00397119">
        <w:rPr>
          <w:rFonts w:ascii="Times New Roman" w:eastAsia="Times New Roman" w:hAnsi="Times New Roman"/>
          <w:color w:val="000000"/>
          <w:sz w:val="24"/>
          <w:szCs w:val="24"/>
        </w:rPr>
        <w:t xml:space="preserve">, including subjecting them to </w:t>
      </w:r>
      <w:r w:rsidR="009A0D4E" w:rsidRPr="00397119">
        <w:rPr>
          <w:rFonts w:ascii="Times New Roman" w:eastAsia="Times New Roman" w:hAnsi="Times New Roman"/>
          <w:color w:val="000000"/>
          <w:sz w:val="24"/>
          <w:szCs w:val="24"/>
        </w:rPr>
        <w:t xml:space="preserve">degrading genital examinations to “verify” the individuals’ gender identity despite </w:t>
      </w:r>
      <w:r w:rsidR="00F8511E" w:rsidRPr="00397119">
        <w:rPr>
          <w:rFonts w:ascii="Times New Roman" w:eastAsia="Times New Roman" w:hAnsi="Times New Roman"/>
          <w:color w:val="000000"/>
          <w:sz w:val="24"/>
          <w:szCs w:val="24"/>
        </w:rPr>
        <w:t>genitals</w:t>
      </w:r>
      <w:r w:rsidR="009A0D4E" w:rsidRPr="00397119">
        <w:rPr>
          <w:rFonts w:ascii="Times New Roman" w:eastAsia="Times New Roman" w:hAnsi="Times New Roman"/>
          <w:color w:val="000000"/>
          <w:sz w:val="24"/>
          <w:szCs w:val="24"/>
        </w:rPr>
        <w:t xml:space="preserve"> providing no </w:t>
      </w:r>
      <w:r w:rsidR="00F8511E" w:rsidRPr="00397119">
        <w:rPr>
          <w:rFonts w:ascii="Times New Roman" w:eastAsia="Times New Roman" w:hAnsi="Times New Roman"/>
          <w:color w:val="000000"/>
          <w:sz w:val="24"/>
          <w:szCs w:val="24"/>
        </w:rPr>
        <w:t>information to a person’s gender identity.</w:t>
      </w:r>
      <w:r w:rsidR="00F8511E" w:rsidRPr="00397119">
        <w:rPr>
          <w:rStyle w:val="FootnoteReference"/>
          <w:rFonts w:ascii="Times New Roman" w:eastAsia="Times New Roman" w:hAnsi="Times New Roman"/>
          <w:color w:val="000000"/>
          <w:sz w:val="24"/>
          <w:szCs w:val="24"/>
        </w:rPr>
        <w:footnoteReference w:id="19"/>
      </w:r>
    </w:p>
    <w:p w14:paraId="00FC8A5A" w14:textId="70A57419" w:rsidR="009E508C" w:rsidRPr="00397119" w:rsidRDefault="009E508C" w:rsidP="003A039A">
      <w:pPr>
        <w:spacing w:after="120"/>
        <w:jc w:val="both"/>
        <w:rPr>
          <w:rFonts w:eastAsia="Times New Roman"/>
          <w:i/>
          <w:iCs/>
          <w:color w:val="000000"/>
        </w:rPr>
      </w:pPr>
      <w:r w:rsidRPr="00397119">
        <w:rPr>
          <w:rFonts w:eastAsia="Times New Roman"/>
          <w:i/>
          <w:iCs/>
          <w:color w:val="000000"/>
        </w:rPr>
        <w:t xml:space="preserve">Transgender Rights </w:t>
      </w:r>
    </w:p>
    <w:p w14:paraId="5B278493" w14:textId="320E938E" w:rsidR="009E508C" w:rsidRPr="00397119" w:rsidRDefault="009E508C" w:rsidP="003A039A">
      <w:pPr>
        <w:pStyle w:val="ListParagraph"/>
        <w:numPr>
          <w:ilvl w:val="0"/>
          <w:numId w:val="15"/>
        </w:numPr>
        <w:spacing w:after="120" w:line="240" w:lineRule="auto"/>
        <w:contextualSpacing w:val="0"/>
        <w:jc w:val="both"/>
        <w:rPr>
          <w:rFonts w:ascii="Times New Roman" w:hAnsi="Times New Roman"/>
          <w:sz w:val="24"/>
          <w:szCs w:val="24"/>
        </w:rPr>
      </w:pPr>
      <w:r w:rsidRPr="00397119">
        <w:rPr>
          <w:rFonts w:ascii="Times New Roman" w:hAnsi="Times New Roman"/>
          <w:sz w:val="24"/>
          <w:szCs w:val="24"/>
        </w:rPr>
        <w:t>The Indian Constitution does not refer to gender identity</w:t>
      </w:r>
      <w:r w:rsidR="00A504E2" w:rsidRPr="00397119">
        <w:rPr>
          <w:rFonts w:ascii="Times New Roman" w:hAnsi="Times New Roman"/>
          <w:sz w:val="24"/>
          <w:szCs w:val="24"/>
        </w:rPr>
        <w:t xml:space="preserve"> or expression</w:t>
      </w:r>
      <w:r w:rsidRPr="00397119">
        <w:rPr>
          <w:rFonts w:ascii="Times New Roman" w:hAnsi="Times New Roman"/>
          <w:sz w:val="24"/>
          <w:szCs w:val="24"/>
        </w:rPr>
        <w:t xml:space="preserve"> in defining the rights of </w:t>
      </w:r>
      <w:proofErr w:type="gramStart"/>
      <w:r w:rsidRPr="00397119">
        <w:rPr>
          <w:rFonts w:ascii="Times New Roman" w:hAnsi="Times New Roman"/>
          <w:sz w:val="24"/>
          <w:szCs w:val="24"/>
        </w:rPr>
        <w:t>citizens, and</w:t>
      </w:r>
      <w:proofErr w:type="gramEnd"/>
      <w:r w:rsidRPr="00397119">
        <w:rPr>
          <w:rFonts w:ascii="Times New Roman" w:hAnsi="Times New Roman"/>
          <w:sz w:val="24"/>
          <w:szCs w:val="24"/>
        </w:rPr>
        <w:t xml:space="preserve"> provides that the </w:t>
      </w:r>
      <w:r w:rsidR="00E818F2" w:rsidRPr="00397119">
        <w:rPr>
          <w:rFonts w:ascii="Times New Roman" w:hAnsi="Times New Roman"/>
          <w:sz w:val="24"/>
          <w:szCs w:val="24"/>
        </w:rPr>
        <w:t>S</w:t>
      </w:r>
      <w:r w:rsidRPr="00397119">
        <w:rPr>
          <w:rFonts w:ascii="Times New Roman" w:hAnsi="Times New Roman"/>
          <w:sz w:val="24"/>
          <w:szCs w:val="24"/>
        </w:rPr>
        <w:t xml:space="preserve">tate shall not discriminate against any citizen on grounds only of religion, race, caste, sex, </w:t>
      </w:r>
      <w:r w:rsidR="00A504E2" w:rsidRPr="00397119">
        <w:rPr>
          <w:rFonts w:ascii="Times New Roman" w:hAnsi="Times New Roman"/>
          <w:sz w:val="24"/>
          <w:szCs w:val="24"/>
        </w:rPr>
        <w:t xml:space="preserve">or </w:t>
      </w:r>
      <w:r w:rsidRPr="00397119">
        <w:rPr>
          <w:rFonts w:ascii="Times New Roman" w:hAnsi="Times New Roman"/>
          <w:sz w:val="24"/>
          <w:szCs w:val="24"/>
        </w:rPr>
        <w:t>place of birth.</w:t>
      </w:r>
      <w:r w:rsidRPr="00397119">
        <w:rPr>
          <w:rStyle w:val="FootnoteReference"/>
          <w:rFonts w:ascii="Times New Roman" w:hAnsi="Times New Roman"/>
          <w:sz w:val="24"/>
          <w:szCs w:val="24"/>
        </w:rPr>
        <w:footnoteReference w:id="20"/>
      </w:r>
    </w:p>
    <w:p w14:paraId="0F4DE90F" w14:textId="4B213213" w:rsidR="009E508C" w:rsidRPr="00397119" w:rsidRDefault="009E508C" w:rsidP="003A039A">
      <w:pPr>
        <w:pStyle w:val="ListParagraph"/>
        <w:numPr>
          <w:ilvl w:val="0"/>
          <w:numId w:val="15"/>
        </w:numPr>
        <w:spacing w:after="120" w:line="240" w:lineRule="auto"/>
        <w:contextualSpacing w:val="0"/>
        <w:jc w:val="both"/>
        <w:rPr>
          <w:rFonts w:ascii="Times New Roman" w:hAnsi="Times New Roman"/>
          <w:sz w:val="24"/>
          <w:szCs w:val="24"/>
        </w:rPr>
      </w:pPr>
      <w:r w:rsidRPr="00397119">
        <w:rPr>
          <w:rFonts w:ascii="Times New Roman" w:hAnsi="Times New Roman"/>
          <w:sz w:val="24"/>
          <w:szCs w:val="24"/>
        </w:rPr>
        <w:t>The Supreme Court of India interpreted the term “sex” in to include gender identity, and has recognized that “third gender”</w:t>
      </w:r>
      <w:r w:rsidR="00C4033E" w:rsidRPr="00397119">
        <w:rPr>
          <w:rStyle w:val="FootnoteReference"/>
          <w:rFonts w:ascii="Times New Roman" w:hAnsi="Times New Roman"/>
          <w:sz w:val="24"/>
          <w:szCs w:val="24"/>
        </w:rPr>
        <w:footnoteReference w:id="21"/>
      </w:r>
      <w:r w:rsidRPr="00397119">
        <w:rPr>
          <w:rFonts w:ascii="Times New Roman" w:hAnsi="Times New Roman"/>
          <w:sz w:val="24"/>
          <w:szCs w:val="24"/>
        </w:rPr>
        <w:t xml:space="preserve"> </w:t>
      </w:r>
      <w:r w:rsidR="00C4033E" w:rsidRPr="00397119">
        <w:rPr>
          <w:rFonts w:ascii="Times New Roman" w:hAnsi="Times New Roman"/>
          <w:sz w:val="24"/>
          <w:szCs w:val="24"/>
        </w:rPr>
        <w:t xml:space="preserve">and </w:t>
      </w:r>
      <w:r w:rsidRPr="00397119">
        <w:rPr>
          <w:rFonts w:ascii="Times New Roman" w:hAnsi="Times New Roman"/>
          <w:sz w:val="24"/>
          <w:szCs w:val="24"/>
        </w:rPr>
        <w:t>transgender people</w:t>
      </w:r>
      <w:r w:rsidR="00A4093B" w:rsidRPr="00397119">
        <w:rPr>
          <w:rFonts w:ascii="Times New Roman" w:hAnsi="Times New Roman"/>
          <w:sz w:val="24"/>
          <w:szCs w:val="24"/>
        </w:rPr>
        <w:t xml:space="preserve"> (which the Government treats as </w:t>
      </w:r>
      <w:r w:rsidR="003B132D" w:rsidRPr="00397119">
        <w:rPr>
          <w:rFonts w:ascii="Times New Roman" w:hAnsi="Times New Roman"/>
          <w:sz w:val="24"/>
          <w:szCs w:val="24"/>
        </w:rPr>
        <w:t>people of a third gender)</w:t>
      </w:r>
      <w:r w:rsidRPr="00397119">
        <w:rPr>
          <w:rFonts w:ascii="Times New Roman" w:hAnsi="Times New Roman"/>
          <w:sz w:val="24"/>
          <w:szCs w:val="24"/>
        </w:rPr>
        <w:t xml:space="preserve"> were entitled to fundamental rights under the Constitution and international law</w:t>
      </w:r>
      <w:r w:rsidR="00E53885" w:rsidRPr="00397119">
        <w:rPr>
          <w:rFonts w:ascii="Times New Roman" w:hAnsi="Times New Roman"/>
          <w:sz w:val="24"/>
          <w:szCs w:val="24"/>
        </w:rPr>
        <w:t>. Further, the Court</w:t>
      </w:r>
      <w:r w:rsidRPr="00397119">
        <w:rPr>
          <w:rFonts w:ascii="Times New Roman" w:hAnsi="Times New Roman"/>
          <w:sz w:val="24"/>
          <w:szCs w:val="24"/>
        </w:rPr>
        <w:t xml:space="preserve"> directed </w:t>
      </w:r>
      <w:r w:rsidR="00AD033E" w:rsidRPr="00397119">
        <w:rPr>
          <w:rFonts w:ascii="Times New Roman" w:hAnsi="Times New Roman"/>
          <w:sz w:val="24"/>
          <w:szCs w:val="24"/>
        </w:rPr>
        <w:t>the G</w:t>
      </w:r>
      <w:r w:rsidRPr="00397119">
        <w:rPr>
          <w:rFonts w:ascii="Times New Roman" w:hAnsi="Times New Roman"/>
          <w:sz w:val="24"/>
          <w:szCs w:val="24"/>
        </w:rPr>
        <w:t>overnment to provide legal recognition of gender identity, including</w:t>
      </w:r>
      <w:r w:rsidR="003B132D" w:rsidRPr="00397119">
        <w:rPr>
          <w:rFonts w:ascii="Times New Roman" w:hAnsi="Times New Roman"/>
          <w:sz w:val="24"/>
          <w:szCs w:val="24"/>
        </w:rPr>
        <w:t xml:space="preserve"> a</w:t>
      </w:r>
      <w:r w:rsidRPr="00397119">
        <w:rPr>
          <w:rFonts w:ascii="Times New Roman" w:hAnsi="Times New Roman"/>
          <w:sz w:val="24"/>
          <w:szCs w:val="24"/>
        </w:rPr>
        <w:t xml:space="preserve"> “third gender.”</w:t>
      </w:r>
      <w:r w:rsidRPr="00397119">
        <w:rPr>
          <w:rStyle w:val="FootnoteReference"/>
          <w:rFonts w:ascii="Times New Roman" w:hAnsi="Times New Roman"/>
          <w:sz w:val="24"/>
          <w:szCs w:val="24"/>
        </w:rPr>
        <w:footnoteReference w:id="22"/>
      </w:r>
      <w:r w:rsidRPr="00397119">
        <w:rPr>
          <w:rFonts w:ascii="Times New Roman" w:hAnsi="Times New Roman"/>
          <w:sz w:val="24"/>
          <w:szCs w:val="24"/>
        </w:rPr>
        <w:t xml:space="preserve"> </w:t>
      </w:r>
    </w:p>
    <w:p w14:paraId="54AF3F60" w14:textId="27DFD367" w:rsidR="009E508C" w:rsidRPr="00397119" w:rsidRDefault="004C0094" w:rsidP="003A039A">
      <w:pPr>
        <w:pStyle w:val="ListParagraph"/>
        <w:numPr>
          <w:ilvl w:val="0"/>
          <w:numId w:val="15"/>
        </w:numPr>
        <w:spacing w:after="120" w:line="240" w:lineRule="auto"/>
        <w:contextualSpacing w:val="0"/>
        <w:jc w:val="both"/>
        <w:rPr>
          <w:rFonts w:ascii="Times New Roman" w:hAnsi="Times New Roman"/>
          <w:sz w:val="24"/>
          <w:szCs w:val="24"/>
        </w:rPr>
      </w:pPr>
      <w:r w:rsidRPr="00397119">
        <w:rPr>
          <w:rFonts w:ascii="Times New Roman" w:hAnsi="Times New Roman"/>
          <w:sz w:val="24"/>
          <w:szCs w:val="24"/>
        </w:rPr>
        <w:t xml:space="preserve">Common </w:t>
      </w:r>
      <w:r w:rsidR="009E508C" w:rsidRPr="00397119">
        <w:rPr>
          <w:rFonts w:ascii="Times New Roman" w:hAnsi="Times New Roman"/>
          <w:sz w:val="24"/>
          <w:szCs w:val="24"/>
        </w:rPr>
        <w:t>understanding</w:t>
      </w:r>
      <w:r w:rsidRPr="00397119">
        <w:rPr>
          <w:rFonts w:ascii="Times New Roman" w:hAnsi="Times New Roman"/>
          <w:sz w:val="24"/>
          <w:szCs w:val="24"/>
        </w:rPr>
        <w:t>s</w:t>
      </w:r>
      <w:r w:rsidR="009E508C" w:rsidRPr="00397119">
        <w:rPr>
          <w:rFonts w:ascii="Times New Roman" w:hAnsi="Times New Roman"/>
          <w:sz w:val="24"/>
          <w:szCs w:val="24"/>
        </w:rPr>
        <w:t xml:space="preserve"> of transgender </w:t>
      </w:r>
      <w:r w:rsidR="00135CFD" w:rsidRPr="00397119">
        <w:rPr>
          <w:rFonts w:ascii="Times New Roman" w:hAnsi="Times New Roman"/>
          <w:sz w:val="24"/>
          <w:szCs w:val="24"/>
        </w:rPr>
        <w:t>women in India</w:t>
      </w:r>
      <w:r w:rsidRPr="00397119">
        <w:rPr>
          <w:rFonts w:ascii="Times New Roman" w:hAnsi="Times New Roman"/>
          <w:sz w:val="24"/>
          <w:szCs w:val="24"/>
        </w:rPr>
        <w:t xml:space="preserve"> </w:t>
      </w:r>
      <w:r w:rsidR="00135CFD" w:rsidRPr="00397119">
        <w:rPr>
          <w:rFonts w:ascii="Times New Roman" w:hAnsi="Times New Roman"/>
          <w:sz w:val="24"/>
          <w:szCs w:val="24"/>
        </w:rPr>
        <w:t xml:space="preserve">are </w:t>
      </w:r>
      <w:r w:rsidR="009E508C" w:rsidRPr="00397119">
        <w:rPr>
          <w:rFonts w:ascii="Times New Roman" w:hAnsi="Times New Roman"/>
          <w:sz w:val="24"/>
          <w:szCs w:val="24"/>
        </w:rPr>
        <w:t xml:space="preserve">often </w:t>
      </w:r>
      <w:r w:rsidR="00135CFD" w:rsidRPr="00397119">
        <w:rPr>
          <w:rFonts w:ascii="Times New Roman" w:hAnsi="Times New Roman"/>
          <w:sz w:val="24"/>
          <w:szCs w:val="24"/>
        </w:rPr>
        <w:t>subsumed under the</w:t>
      </w:r>
      <w:r w:rsidR="009E508C" w:rsidRPr="00397119">
        <w:rPr>
          <w:rFonts w:ascii="Times New Roman" w:hAnsi="Times New Roman"/>
          <w:sz w:val="24"/>
          <w:szCs w:val="24"/>
        </w:rPr>
        <w:t xml:space="preserve"> </w:t>
      </w:r>
      <w:r w:rsidRPr="00397119">
        <w:rPr>
          <w:rFonts w:ascii="Times New Roman" w:hAnsi="Times New Roman"/>
          <w:sz w:val="24"/>
          <w:szCs w:val="24"/>
        </w:rPr>
        <w:t>h</w:t>
      </w:r>
      <w:r w:rsidR="009E508C" w:rsidRPr="00397119">
        <w:rPr>
          <w:rFonts w:ascii="Times New Roman" w:hAnsi="Times New Roman"/>
          <w:sz w:val="24"/>
          <w:szCs w:val="24"/>
        </w:rPr>
        <w:t>ijra (the third gender, neither male or female)</w:t>
      </w:r>
      <w:r w:rsidR="00135CFD" w:rsidRPr="00397119">
        <w:rPr>
          <w:rFonts w:ascii="Times New Roman" w:hAnsi="Times New Roman"/>
          <w:sz w:val="24"/>
          <w:szCs w:val="24"/>
        </w:rPr>
        <w:t xml:space="preserve"> identity</w:t>
      </w:r>
      <w:r w:rsidR="009E508C" w:rsidRPr="00397119">
        <w:rPr>
          <w:rFonts w:ascii="Times New Roman" w:hAnsi="Times New Roman"/>
          <w:sz w:val="24"/>
          <w:szCs w:val="24"/>
        </w:rPr>
        <w:t xml:space="preserve">, and </w:t>
      </w:r>
      <w:r w:rsidR="00135CFD" w:rsidRPr="00397119">
        <w:rPr>
          <w:rFonts w:ascii="Times New Roman" w:hAnsi="Times New Roman"/>
          <w:sz w:val="24"/>
          <w:szCs w:val="24"/>
        </w:rPr>
        <w:t xml:space="preserve">many </w:t>
      </w:r>
      <w:r w:rsidR="009E508C" w:rsidRPr="00397119">
        <w:rPr>
          <w:rFonts w:ascii="Times New Roman" w:hAnsi="Times New Roman"/>
          <w:sz w:val="24"/>
          <w:szCs w:val="24"/>
        </w:rPr>
        <w:t>trans</w:t>
      </w:r>
      <w:r w:rsidR="00135CFD" w:rsidRPr="00397119">
        <w:rPr>
          <w:rFonts w:ascii="Times New Roman" w:hAnsi="Times New Roman"/>
          <w:sz w:val="24"/>
          <w:szCs w:val="24"/>
        </w:rPr>
        <w:t>gender</w:t>
      </w:r>
      <w:r w:rsidR="009E508C" w:rsidRPr="00397119">
        <w:rPr>
          <w:rFonts w:ascii="Times New Roman" w:hAnsi="Times New Roman"/>
          <w:sz w:val="24"/>
          <w:szCs w:val="24"/>
        </w:rPr>
        <w:t xml:space="preserve"> women </w:t>
      </w:r>
      <w:r w:rsidR="009E508C" w:rsidRPr="00397119">
        <w:rPr>
          <w:rFonts w:ascii="Times New Roman" w:hAnsi="Times New Roman"/>
          <w:sz w:val="24"/>
          <w:szCs w:val="24"/>
        </w:rPr>
        <w:lastRenderedPageBreak/>
        <w:t xml:space="preserve">may identify </w:t>
      </w:r>
      <w:r w:rsidR="00135CFD" w:rsidRPr="00397119">
        <w:rPr>
          <w:rFonts w:ascii="Times New Roman" w:hAnsi="Times New Roman"/>
          <w:sz w:val="24"/>
          <w:szCs w:val="24"/>
        </w:rPr>
        <w:t>as hijra</w:t>
      </w:r>
      <w:r w:rsidR="009E508C" w:rsidRPr="00397119">
        <w:rPr>
          <w:rFonts w:ascii="Times New Roman" w:hAnsi="Times New Roman"/>
          <w:sz w:val="24"/>
          <w:szCs w:val="24"/>
        </w:rPr>
        <w:t>.</w:t>
      </w:r>
      <w:r w:rsidR="009E508C" w:rsidRPr="00397119">
        <w:rPr>
          <w:rFonts w:ascii="Times New Roman" w:hAnsi="Times New Roman"/>
          <w:sz w:val="24"/>
          <w:szCs w:val="24"/>
          <w:vertAlign w:val="superscript"/>
        </w:rPr>
        <w:footnoteReference w:id="23"/>
      </w:r>
      <w:r w:rsidR="009E508C" w:rsidRPr="00397119">
        <w:rPr>
          <w:rFonts w:ascii="Times New Roman" w:hAnsi="Times New Roman"/>
          <w:sz w:val="24"/>
          <w:szCs w:val="24"/>
        </w:rPr>
        <w:t xml:space="preserve"> </w:t>
      </w:r>
      <w:r w:rsidR="007B1962" w:rsidRPr="00397119">
        <w:rPr>
          <w:rFonts w:ascii="Times New Roman" w:hAnsi="Times New Roman"/>
          <w:sz w:val="24"/>
          <w:szCs w:val="24"/>
        </w:rPr>
        <w:t>Transgender men, however,</w:t>
      </w:r>
      <w:r w:rsidR="009E508C" w:rsidRPr="00397119">
        <w:rPr>
          <w:rFonts w:ascii="Times New Roman" w:hAnsi="Times New Roman"/>
          <w:sz w:val="24"/>
          <w:szCs w:val="24"/>
        </w:rPr>
        <w:t xml:space="preserve"> “are often rendered invisible, and many have a hard time getting government officials and medical providers to understand they are transgender too.”</w:t>
      </w:r>
      <w:r w:rsidR="009E508C" w:rsidRPr="00397119">
        <w:rPr>
          <w:rFonts w:ascii="Times New Roman" w:hAnsi="Times New Roman"/>
          <w:sz w:val="24"/>
          <w:szCs w:val="24"/>
          <w:vertAlign w:val="superscript"/>
        </w:rPr>
        <w:footnoteReference w:id="24"/>
      </w:r>
      <w:r w:rsidR="00EE1E70" w:rsidRPr="00397119">
        <w:rPr>
          <w:rFonts w:ascii="Times New Roman" w:hAnsi="Times New Roman"/>
          <w:sz w:val="24"/>
          <w:szCs w:val="24"/>
        </w:rPr>
        <w:t xml:space="preserve"> </w:t>
      </w:r>
    </w:p>
    <w:p w14:paraId="3C68D07D" w14:textId="7622F47D" w:rsidR="009E508C" w:rsidRPr="00397119" w:rsidRDefault="009E508C" w:rsidP="003A039A">
      <w:pPr>
        <w:pStyle w:val="ListParagraph"/>
        <w:numPr>
          <w:ilvl w:val="0"/>
          <w:numId w:val="15"/>
        </w:numPr>
        <w:spacing w:after="120" w:line="240" w:lineRule="auto"/>
        <w:contextualSpacing w:val="0"/>
        <w:jc w:val="both"/>
        <w:rPr>
          <w:rFonts w:ascii="Times New Roman" w:hAnsi="Times New Roman"/>
          <w:sz w:val="24"/>
          <w:szCs w:val="24"/>
        </w:rPr>
      </w:pPr>
      <w:r w:rsidRPr="00397119">
        <w:rPr>
          <w:rFonts w:ascii="Times New Roman" w:hAnsi="Times New Roman"/>
          <w:sz w:val="24"/>
          <w:szCs w:val="24"/>
        </w:rPr>
        <w:t xml:space="preserve">In 2019, the </w:t>
      </w:r>
      <w:r w:rsidR="00A04B2B">
        <w:rPr>
          <w:rFonts w:ascii="Times New Roman" w:hAnsi="Times New Roman"/>
          <w:sz w:val="24"/>
          <w:szCs w:val="24"/>
        </w:rPr>
        <w:t>Parliament</w:t>
      </w:r>
      <w:r w:rsidRPr="00397119">
        <w:rPr>
          <w:rFonts w:ascii="Times New Roman" w:hAnsi="Times New Roman"/>
          <w:sz w:val="24"/>
          <w:szCs w:val="24"/>
        </w:rPr>
        <w:t xml:space="preserve"> of India passed the Transgender Persons (Protection of Rights) Act to provide for welfare measures, provisions of non-discrimination, equal opportunity in employment as well as redressal of grievances.</w:t>
      </w:r>
      <w:r w:rsidRPr="00397119">
        <w:rPr>
          <w:rFonts w:ascii="Times New Roman" w:hAnsi="Times New Roman"/>
          <w:sz w:val="24"/>
          <w:szCs w:val="24"/>
          <w:vertAlign w:val="superscript"/>
        </w:rPr>
        <w:footnoteReference w:id="25"/>
      </w:r>
      <w:r w:rsidRPr="00397119">
        <w:rPr>
          <w:rFonts w:ascii="Times New Roman" w:hAnsi="Times New Roman"/>
          <w:sz w:val="24"/>
          <w:szCs w:val="24"/>
        </w:rPr>
        <w:t xml:space="preserve"> The Transgender Persons (Protection of Rights) Act also established “the right to self-perceived gender identity and mandate issuance on the certificate of identity solely on the basis of affidavit submitted by the person without any medical examination.”</w:t>
      </w:r>
      <w:r w:rsidRPr="00397119">
        <w:rPr>
          <w:rFonts w:ascii="Times New Roman" w:hAnsi="Times New Roman"/>
          <w:sz w:val="24"/>
          <w:szCs w:val="24"/>
          <w:vertAlign w:val="superscript"/>
        </w:rPr>
        <w:footnoteReference w:id="26"/>
      </w:r>
      <w:r w:rsidR="0093606E" w:rsidRPr="00397119">
        <w:rPr>
          <w:rFonts w:ascii="Times New Roman" w:hAnsi="Times New Roman"/>
          <w:sz w:val="24"/>
          <w:szCs w:val="24"/>
        </w:rPr>
        <w:t xml:space="preserve"> Self-declaration, however, only pertains to transgender individuals who wish to change their legal gender from male or female to “transgender,” not for individuals who wish to change their gender from male to female or vice-versa.</w:t>
      </w:r>
    </w:p>
    <w:p w14:paraId="4D0BF697" w14:textId="3787D04A" w:rsidR="009E508C" w:rsidRPr="00397119" w:rsidRDefault="009E508C" w:rsidP="003A039A">
      <w:pPr>
        <w:pStyle w:val="ListParagraph"/>
        <w:numPr>
          <w:ilvl w:val="0"/>
          <w:numId w:val="15"/>
        </w:numPr>
        <w:spacing w:after="120" w:line="240" w:lineRule="auto"/>
        <w:contextualSpacing w:val="0"/>
        <w:jc w:val="both"/>
        <w:rPr>
          <w:rFonts w:ascii="Times New Roman" w:eastAsia="Times New Roman" w:hAnsi="Times New Roman"/>
          <w:color w:val="000000" w:themeColor="text1"/>
          <w:sz w:val="24"/>
          <w:szCs w:val="24"/>
        </w:rPr>
      </w:pPr>
      <w:r w:rsidRPr="00397119">
        <w:rPr>
          <w:rFonts w:ascii="Times New Roman" w:eastAsia="Times New Roman" w:hAnsi="Times New Roman"/>
          <w:color w:val="000000" w:themeColor="text1"/>
          <w:sz w:val="24"/>
          <w:szCs w:val="24"/>
        </w:rPr>
        <w:t>All transgender people, whether having undergone gender</w:t>
      </w:r>
      <w:r w:rsidR="00432135" w:rsidRPr="00397119">
        <w:rPr>
          <w:rFonts w:ascii="Times New Roman" w:eastAsia="Times New Roman" w:hAnsi="Times New Roman"/>
          <w:color w:val="000000" w:themeColor="text1"/>
          <w:sz w:val="24"/>
          <w:szCs w:val="24"/>
        </w:rPr>
        <w:t>-affirming</w:t>
      </w:r>
      <w:r w:rsidRPr="00397119">
        <w:rPr>
          <w:rFonts w:ascii="Times New Roman" w:eastAsia="Times New Roman" w:hAnsi="Times New Roman"/>
          <w:color w:val="000000" w:themeColor="text1"/>
          <w:sz w:val="24"/>
          <w:szCs w:val="24"/>
        </w:rPr>
        <w:t xml:space="preserve"> surgery or not, can apply for an identity certificate indicating their </w:t>
      </w:r>
      <w:r w:rsidR="00560D1C" w:rsidRPr="00397119">
        <w:rPr>
          <w:rFonts w:ascii="Times New Roman" w:eastAsia="Times New Roman" w:hAnsi="Times New Roman"/>
          <w:color w:val="000000" w:themeColor="text1"/>
          <w:sz w:val="24"/>
          <w:szCs w:val="24"/>
        </w:rPr>
        <w:t>gender identity</w:t>
      </w:r>
      <w:r w:rsidRPr="00397119">
        <w:rPr>
          <w:rFonts w:ascii="Times New Roman" w:eastAsia="Times New Roman" w:hAnsi="Times New Roman"/>
          <w:color w:val="000000" w:themeColor="text1"/>
          <w:sz w:val="24"/>
          <w:szCs w:val="24"/>
        </w:rPr>
        <w:t xml:space="preserve">. Yet, subject to the process set out in the </w:t>
      </w:r>
      <w:r w:rsidRPr="00397119">
        <w:rPr>
          <w:rFonts w:ascii="Times New Roman" w:hAnsi="Times New Roman"/>
          <w:sz w:val="24"/>
          <w:szCs w:val="24"/>
        </w:rPr>
        <w:t>Transgender Persons (Protection of Rights) Act</w:t>
      </w:r>
      <w:r w:rsidRPr="00397119">
        <w:rPr>
          <w:rFonts w:ascii="Times New Roman" w:eastAsia="Times New Roman" w:hAnsi="Times New Roman"/>
          <w:color w:val="000000" w:themeColor="text1"/>
          <w:sz w:val="24"/>
          <w:szCs w:val="24"/>
        </w:rPr>
        <w:t>, changing their gender in all their official document</w:t>
      </w:r>
      <w:r w:rsidR="00560D1C" w:rsidRPr="00397119">
        <w:rPr>
          <w:rFonts w:ascii="Times New Roman" w:eastAsia="Times New Roman" w:hAnsi="Times New Roman"/>
          <w:color w:val="000000" w:themeColor="text1"/>
          <w:sz w:val="24"/>
          <w:szCs w:val="24"/>
        </w:rPr>
        <w:t>ation</w:t>
      </w:r>
      <w:r w:rsidRPr="00397119">
        <w:rPr>
          <w:rFonts w:ascii="Times New Roman" w:eastAsia="Times New Roman" w:hAnsi="Times New Roman"/>
          <w:color w:val="000000" w:themeColor="text1"/>
          <w:sz w:val="24"/>
          <w:szCs w:val="24"/>
        </w:rPr>
        <w:t xml:space="preserve"> is still subject to a complex bureaucratic </w:t>
      </w:r>
      <w:r w:rsidR="00CE4EE4">
        <w:rPr>
          <w:rFonts w:ascii="Times New Roman" w:eastAsia="Times New Roman" w:hAnsi="Times New Roman"/>
          <w:color w:val="000000" w:themeColor="text1"/>
          <w:sz w:val="24"/>
          <w:szCs w:val="24"/>
        </w:rPr>
        <w:t>process</w:t>
      </w:r>
      <w:r w:rsidRPr="00397119">
        <w:rPr>
          <w:rFonts w:ascii="Times New Roman" w:eastAsia="Times New Roman" w:hAnsi="Times New Roman"/>
          <w:color w:val="000000" w:themeColor="text1"/>
          <w:sz w:val="24"/>
          <w:szCs w:val="24"/>
        </w:rPr>
        <w:t xml:space="preserve"> – the individual must first make application to the District Magistrate of the jurisdiction to obtain </w:t>
      </w:r>
      <w:r w:rsidR="006270B0" w:rsidRPr="00397119">
        <w:rPr>
          <w:rFonts w:ascii="Times New Roman" w:eastAsia="Times New Roman" w:hAnsi="Times New Roman"/>
          <w:color w:val="000000" w:themeColor="text1"/>
          <w:sz w:val="24"/>
          <w:szCs w:val="24"/>
        </w:rPr>
        <w:t xml:space="preserve">a </w:t>
      </w:r>
      <w:r w:rsidRPr="00397119">
        <w:rPr>
          <w:rFonts w:ascii="Times New Roman" w:eastAsia="Times New Roman" w:hAnsi="Times New Roman"/>
          <w:color w:val="000000" w:themeColor="text1"/>
          <w:sz w:val="24"/>
          <w:szCs w:val="24"/>
        </w:rPr>
        <w:t>certificate and transgender identity card, which indicates that the individual is a transgender person.</w:t>
      </w:r>
      <w:r w:rsidRPr="00397119">
        <w:rPr>
          <w:rStyle w:val="FootnoteReference"/>
          <w:rFonts w:ascii="Times New Roman" w:eastAsia="Times New Roman" w:hAnsi="Times New Roman"/>
          <w:color w:val="000000" w:themeColor="text1"/>
          <w:sz w:val="24"/>
          <w:szCs w:val="24"/>
        </w:rPr>
        <w:footnoteReference w:id="27"/>
      </w:r>
      <w:r w:rsidR="00EE1E70" w:rsidRPr="00397119">
        <w:rPr>
          <w:rFonts w:ascii="Times New Roman" w:eastAsia="Times New Roman" w:hAnsi="Times New Roman"/>
          <w:color w:val="000000" w:themeColor="text1"/>
          <w:sz w:val="24"/>
          <w:szCs w:val="24"/>
        </w:rPr>
        <w:t xml:space="preserve"> </w:t>
      </w:r>
      <w:r w:rsidRPr="00397119">
        <w:rPr>
          <w:rFonts w:ascii="Times New Roman" w:eastAsia="Times New Roman" w:hAnsi="Times New Roman"/>
          <w:color w:val="000000" w:themeColor="text1"/>
          <w:sz w:val="24"/>
          <w:szCs w:val="24"/>
        </w:rPr>
        <w:t>Then</w:t>
      </w:r>
      <w:r w:rsidR="001A3656" w:rsidRPr="00397119">
        <w:rPr>
          <w:rFonts w:ascii="Times New Roman" w:eastAsia="Times New Roman" w:hAnsi="Times New Roman"/>
          <w:color w:val="000000" w:themeColor="text1"/>
          <w:sz w:val="24"/>
          <w:szCs w:val="24"/>
        </w:rPr>
        <w:t xml:space="preserve">, if the individual wants to </w:t>
      </w:r>
      <w:r w:rsidR="006C5B58" w:rsidRPr="00397119">
        <w:rPr>
          <w:rFonts w:ascii="Times New Roman" w:eastAsia="Times New Roman" w:hAnsi="Times New Roman"/>
          <w:color w:val="000000" w:themeColor="text1"/>
          <w:sz w:val="24"/>
          <w:szCs w:val="24"/>
        </w:rPr>
        <w:t>change their gender from “transgender” to either male or female,</w:t>
      </w:r>
      <w:r w:rsidRPr="00397119">
        <w:rPr>
          <w:rFonts w:ascii="Times New Roman" w:eastAsia="Times New Roman" w:hAnsi="Times New Roman"/>
          <w:color w:val="000000" w:themeColor="text1"/>
          <w:sz w:val="24"/>
          <w:szCs w:val="24"/>
        </w:rPr>
        <w:t xml:space="preserve"> the individual must undergo gender</w:t>
      </w:r>
      <w:r w:rsidR="00432135" w:rsidRPr="00397119">
        <w:rPr>
          <w:rFonts w:ascii="Times New Roman" w:eastAsia="Times New Roman" w:hAnsi="Times New Roman"/>
          <w:color w:val="000000" w:themeColor="text1"/>
          <w:sz w:val="24"/>
          <w:szCs w:val="24"/>
        </w:rPr>
        <w:t>-</w:t>
      </w:r>
      <w:r w:rsidR="00432135" w:rsidRPr="00397119">
        <w:rPr>
          <w:rFonts w:ascii="Times New Roman" w:eastAsiaTheme="minorEastAsia" w:hAnsi="Times New Roman"/>
          <w:color w:val="000000" w:themeColor="text1"/>
          <w:sz w:val="24"/>
          <w:szCs w:val="24"/>
          <w:lang w:eastAsia="zh-CN"/>
        </w:rPr>
        <w:t>affirming</w:t>
      </w:r>
      <w:r w:rsidRPr="00397119">
        <w:rPr>
          <w:rFonts w:ascii="Times New Roman" w:eastAsia="Times New Roman" w:hAnsi="Times New Roman"/>
          <w:color w:val="000000" w:themeColor="text1"/>
          <w:sz w:val="24"/>
          <w:szCs w:val="24"/>
        </w:rPr>
        <w:t xml:space="preserve"> surgery before applying for a revised certificate identifying their binary change in gender (male or female) and name with the District Magistrate. </w:t>
      </w:r>
      <w:r w:rsidRPr="00397119">
        <w:rPr>
          <w:rStyle w:val="FootnoteReference"/>
          <w:rFonts w:ascii="Times New Roman" w:eastAsia="Times New Roman" w:hAnsi="Times New Roman"/>
          <w:color w:val="000000" w:themeColor="text1"/>
          <w:sz w:val="24"/>
          <w:szCs w:val="24"/>
        </w:rPr>
        <w:footnoteReference w:id="28"/>
      </w:r>
      <w:r w:rsidRPr="00397119">
        <w:rPr>
          <w:rFonts w:ascii="Times New Roman" w:eastAsia="Times New Roman" w:hAnsi="Times New Roman"/>
          <w:color w:val="000000" w:themeColor="text1"/>
          <w:sz w:val="24"/>
          <w:szCs w:val="24"/>
        </w:rPr>
        <w:t xml:space="preserve"> The revised certificate can then be used to change</w:t>
      </w:r>
      <w:r w:rsidR="005F4D66" w:rsidRPr="00397119">
        <w:rPr>
          <w:rFonts w:ascii="Times New Roman" w:eastAsia="Times New Roman" w:hAnsi="Times New Roman"/>
          <w:color w:val="000000" w:themeColor="text1"/>
          <w:sz w:val="24"/>
          <w:szCs w:val="24"/>
        </w:rPr>
        <w:t xml:space="preserve"> the</w:t>
      </w:r>
      <w:r w:rsidRPr="00397119">
        <w:rPr>
          <w:rFonts w:ascii="Times New Roman" w:eastAsia="Times New Roman" w:hAnsi="Times New Roman"/>
          <w:color w:val="000000" w:themeColor="text1"/>
          <w:sz w:val="24"/>
          <w:szCs w:val="24"/>
        </w:rPr>
        <w:t xml:space="preserve"> gender</w:t>
      </w:r>
      <w:r w:rsidR="005F4D66" w:rsidRPr="00397119">
        <w:rPr>
          <w:rFonts w:ascii="Times New Roman" w:eastAsia="Times New Roman" w:hAnsi="Times New Roman"/>
          <w:color w:val="000000" w:themeColor="text1"/>
          <w:sz w:val="24"/>
          <w:szCs w:val="24"/>
        </w:rPr>
        <w:t xml:space="preserve"> marker in the individual’s</w:t>
      </w:r>
      <w:r w:rsidRPr="00397119">
        <w:rPr>
          <w:rFonts w:ascii="Times New Roman" w:eastAsia="Times New Roman" w:hAnsi="Times New Roman"/>
          <w:color w:val="000000" w:themeColor="text1"/>
          <w:sz w:val="24"/>
          <w:szCs w:val="24"/>
        </w:rPr>
        <w:t xml:space="preserve"> other official documents.</w:t>
      </w:r>
    </w:p>
    <w:p w14:paraId="6DDCFA30" w14:textId="27B81F85" w:rsidR="009E508C" w:rsidRPr="00397119" w:rsidRDefault="009E508C" w:rsidP="003A039A">
      <w:pPr>
        <w:pStyle w:val="ListParagraph"/>
        <w:numPr>
          <w:ilvl w:val="0"/>
          <w:numId w:val="15"/>
        </w:numPr>
        <w:spacing w:after="120" w:line="240" w:lineRule="auto"/>
        <w:contextualSpacing w:val="0"/>
        <w:jc w:val="both"/>
        <w:rPr>
          <w:rFonts w:ascii="Times New Roman" w:eastAsia="Times New Roman" w:hAnsi="Times New Roman"/>
          <w:color w:val="000000" w:themeColor="text1"/>
          <w:sz w:val="24"/>
          <w:szCs w:val="24"/>
        </w:rPr>
      </w:pPr>
      <w:r w:rsidRPr="00397119">
        <w:rPr>
          <w:rFonts w:ascii="Times New Roman" w:eastAsia="Times New Roman" w:hAnsi="Times New Roman"/>
          <w:color w:val="000000" w:themeColor="text1"/>
          <w:sz w:val="24"/>
          <w:szCs w:val="24"/>
        </w:rPr>
        <w:t>The National Portal for Transgender Persons enables transgender individuals to apply online for a certificate and identity card recognized nationally by the Indian government’s Department of Social Justice &amp; Empowerment, and which are essential for accessing welfare benefits under the Support for Marginalized Individuals for Livelihood &amp; Enterprise (</w:t>
      </w:r>
      <w:r w:rsidRPr="00397119">
        <w:rPr>
          <w:rFonts w:ascii="Times New Roman" w:eastAsiaTheme="minorEastAsia" w:hAnsi="Times New Roman"/>
          <w:color w:val="000000" w:themeColor="text1"/>
          <w:sz w:val="24"/>
          <w:szCs w:val="24"/>
          <w:lang w:eastAsia="zh-CN"/>
        </w:rPr>
        <w:t xml:space="preserve">the </w:t>
      </w:r>
      <w:r w:rsidRPr="00397119">
        <w:rPr>
          <w:rFonts w:ascii="Times New Roman" w:eastAsia="Times New Roman" w:hAnsi="Times New Roman"/>
          <w:color w:val="000000" w:themeColor="text1"/>
          <w:sz w:val="24"/>
          <w:szCs w:val="24"/>
        </w:rPr>
        <w:t>“SMILE”) scheme.</w:t>
      </w:r>
      <w:r w:rsidRPr="00397119">
        <w:rPr>
          <w:rStyle w:val="FootnoteReference"/>
          <w:rFonts w:ascii="Times New Roman" w:eastAsia="Times New Roman" w:hAnsi="Times New Roman"/>
          <w:color w:val="000000" w:themeColor="text1"/>
          <w:sz w:val="24"/>
          <w:szCs w:val="24"/>
        </w:rPr>
        <w:footnoteReference w:id="29"/>
      </w:r>
      <w:r w:rsidR="00EE1E70" w:rsidRPr="00397119">
        <w:rPr>
          <w:rFonts w:ascii="Times New Roman" w:eastAsia="Times New Roman" w:hAnsi="Times New Roman"/>
          <w:color w:val="000000" w:themeColor="text1"/>
          <w:sz w:val="24"/>
          <w:szCs w:val="24"/>
        </w:rPr>
        <w:t xml:space="preserve"> </w:t>
      </w:r>
      <w:r w:rsidRPr="00397119">
        <w:rPr>
          <w:rFonts w:ascii="Times New Roman" w:eastAsia="Times New Roman" w:hAnsi="Times New Roman"/>
          <w:color w:val="000000" w:themeColor="text1"/>
          <w:sz w:val="24"/>
          <w:szCs w:val="24"/>
        </w:rPr>
        <w:t>Applicants can track and manage their application process online, ensuring transparency, and use a grievance redressal system for any delays.</w:t>
      </w:r>
      <w:r w:rsidRPr="00397119">
        <w:rPr>
          <w:rStyle w:val="FootnoteReference"/>
          <w:rFonts w:ascii="Times New Roman" w:eastAsia="Times New Roman" w:hAnsi="Times New Roman"/>
          <w:color w:val="000000" w:themeColor="text1"/>
          <w:sz w:val="24"/>
          <w:szCs w:val="24"/>
        </w:rPr>
        <w:footnoteReference w:id="30"/>
      </w:r>
      <w:r w:rsidR="00EE1E70" w:rsidRPr="00397119">
        <w:rPr>
          <w:rFonts w:ascii="Times New Roman" w:eastAsia="Times New Roman" w:hAnsi="Times New Roman"/>
          <w:color w:val="000000" w:themeColor="text1"/>
          <w:sz w:val="24"/>
          <w:szCs w:val="24"/>
        </w:rPr>
        <w:t xml:space="preserve"> </w:t>
      </w:r>
      <w:r w:rsidRPr="00397119">
        <w:rPr>
          <w:rFonts w:ascii="Times New Roman" w:eastAsia="Times New Roman" w:hAnsi="Times New Roman"/>
          <w:color w:val="000000" w:themeColor="text1"/>
          <w:sz w:val="24"/>
          <w:szCs w:val="24"/>
        </w:rPr>
        <w:t xml:space="preserve">The portal simplifies the interaction between district authorities and applicants, facilitating the issuance of documents based on self-identified gender as mandated by </w:t>
      </w:r>
      <w:r w:rsidRPr="00397119">
        <w:rPr>
          <w:rFonts w:ascii="Times New Roman" w:hAnsi="Times New Roman"/>
          <w:sz w:val="24"/>
          <w:szCs w:val="24"/>
        </w:rPr>
        <w:t>Transgender Persons (Protection of Rights) Act</w:t>
      </w:r>
      <w:r w:rsidRPr="00397119">
        <w:rPr>
          <w:rFonts w:ascii="Times New Roman" w:eastAsia="Times New Roman" w:hAnsi="Times New Roman"/>
          <w:color w:val="000000" w:themeColor="text1"/>
          <w:sz w:val="24"/>
          <w:szCs w:val="24"/>
        </w:rPr>
        <w:t>.</w:t>
      </w:r>
      <w:r w:rsidRPr="00397119">
        <w:rPr>
          <w:rStyle w:val="FootnoteReference"/>
          <w:rFonts w:ascii="Times New Roman" w:eastAsia="Times New Roman" w:hAnsi="Times New Roman"/>
          <w:color w:val="000000" w:themeColor="text1"/>
          <w:sz w:val="24"/>
          <w:szCs w:val="24"/>
        </w:rPr>
        <w:footnoteReference w:id="31"/>
      </w:r>
      <w:r w:rsidRPr="00397119">
        <w:rPr>
          <w:rFonts w:ascii="Times New Roman" w:eastAsia="Times New Roman" w:hAnsi="Times New Roman"/>
          <w:color w:val="000000" w:themeColor="text1"/>
          <w:sz w:val="24"/>
          <w:szCs w:val="24"/>
        </w:rPr>
        <w:t xml:space="preserve"> </w:t>
      </w:r>
    </w:p>
    <w:p w14:paraId="0A8662B3" w14:textId="0E37A7B8" w:rsidR="009E508C" w:rsidRPr="00397119" w:rsidRDefault="009E508C" w:rsidP="003A039A">
      <w:pPr>
        <w:pStyle w:val="ListParagraph"/>
        <w:numPr>
          <w:ilvl w:val="0"/>
          <w:numId w:val="15"/>
        </w:numPr>
        <w:spacing w:after="120" w:line="240" w:lineRule="auto"/>
        <w:contextualSpacing w:val="0"/>
        <w:jc w:val="both"/>
        <w:rPr>
          <w:rFonts w:ascii="Times New Roman" w:eastAsia="Times New Roman" w:hAnsi="Times New Roman"/>
          <w:color w:val="000000" w:themeColor="text1"/>
          <w:sz w:val="24"/>
          <w:szCs w:val="24"/>
        </w:rPr>
      </w:pPr>
      <w:r w:rsidRPr="00397119">
        <w:rPr>
          <w:rFonts w:ascii="Times New Roman" w:eastAsia="Times New Roman" w:hAnsi="Times New Roman"/>
          <w:color w:val="000000" w:themeColor="text1"/>
          <w:sz w:val="24"/>
          <w:szCs w:val="24"/>
        </w:rPr>
        <w:lastRenderedPageBreak/>
        <w:t>According to the data presented on the portal as of April 2024, the number of total applications for transgender certificates and identity cards is 23,585, 80% of which have been issued.</w:t>
      </w:r>
      <w:r w:rsidRPr="00397119">
        <w:rPr>
          <w:rStyle w:val="FootnoteReference"/>
          <w:rFonts w:ascii="Times New Roman" w:eastAsia="Times New Roman" w:hAnsi="Times New Roman"/>
          <w:color w:val="000000" w:themeColor="text1"/>
          <w:sz w:val="24"/>
          <w:szCs w:val="24"/>
        </w:rPr>
        <w:footnoteReference w:id="32"/>
      </w:r>
      <w:r w:rsidRPr="00397119">
        <w:rPr>
          <w:rFonts w:ascii="Times New Roman" w:eastAsia="Times New Roman" w:hAnsi="Times New Roman"/>
          <w:color w:val="000000" w:themeColor="text1"/>
          <w:sz w:val="24"/>
          <w:szCs w:val="24"/>
        </w:rPr>
        <w:t xml:space="preserve"> </w:t>
      </w:r>
      <w:r w:rsidR="004A5048" w:rsidRPr="00397119">
        <w:rPr>
          <w:rFonts w:ascii="Times New Roman" w:eastAsia="Times New Roman" w:hAnsi="Times New Roman"/>
          <w:color w:val="000000" w:themeColor="text1"/>
          <w:sz w:val="24"/>
          <w:szCs w:val="24"/>
        </w:rPr>
        <w:t>T</w:t>
      </w:r>
      <w:r w:rsidRPr="00397119">
        <w:rPr>
          <w:rFonts w:ascii="Times New Roman" w:eastAsia="Times New Roman" w:hAnsi="Times New Roman"/>
          <w:color w:val="000000" w:themeColor="text1"/>
          <w:sz w:val="24"/>
          <w:szCs w:val="24"/>
        </w:rPr>
        <w:t xml:space="preserve">his number does not appear to encompass a significant majority of the transgender population in India (many of whom are likely hidden due to cultural and religious pressures), </w:t>
      </w:r>
      <w:r w:rsidR="004A5048" w:rsidRPr="00397119">
        <w:rPr>
          <w:rFonts w:ascii="Times New Roman" w:eastAsia="Times New Roman" w:hAnsi="Times New Roman"/>
          <w:color w:val="000000" w:themeColor="text1"/>
          <w:sz w:val="24"/>
          <w:szCs w:val="24"/>
        </w:rPr>
        <w:t xml:space="preserve">however, </w:t>
      </w:r>
      <w:r w:rsidRPr="00397119">
        <w:rPr>
          <w:rFonts w:ascii="Times New Roman" w:eastAsia="Times New Roman" w:hAnsi="Times New Roman"/>
          <w:color w:val="000000" w:themeColor="text1"/>
          <w:sz w:val="24"/>
          <w:szCs w:val="24"/>
        </w:rPr>
        <w:t xml:space="preserve">which means there are still a vast number of transgender individuals who have </w:t>
      </w:r>
      <w:r w:rsidR="00EB71FF" w:rsidRPr="00397119">
        <w:rPr>
          <w:rFonts w:ascii="Times New Roman" w:eastAsia="Times New Roman" w:hAnsi="Times New Roman"/>
          <w:color w:val="000000" w:themeColor="text1"/>
          <w:sz w:val="24"/>
          <w:szCs w:val="24"/>
        </w:rPr>
        <w:t xml:space="preserve">not </w:t>
      </w:r>
      <w:r w:rsidR="00C506C5" w:rsidRPr="00397119">
        <w:rPr>
          <w:rFonts w:ascii="Times New Roman" w:eastAsia="Times New Roman" w:hAnsi="Times New Roman"/>
          <w:color w:val="000000" w:themeColor="text1"/>
          <w:sz w:val="24"/>
          <w:szCs w:val="24"/>
        </w:rPr>
        <w:t>been legally recognized in their gender identity</w:t>
      </w:r>
      <w:r w:rsidRPr="00397119">
        <w:rPr>
          <w:rFonts w:ascii="Times New Roman" w:eastAsia="Times New Roman" w:hAnsi="Times New Roman"/>
          <w:color w:val="000000" w:themeColor="text1"/>
          <w:sz w:val="24"/>
          <w:szCs w:val="24"/>
        </w:rPr>
        <w:t xml:space="preserve"> </w:t>
      </w:r>
      <w:r w:rsidRPr="00397119">
        <w:rPr>
          <w:rStyle w:val="FootnoteReference"/>
          <w:rFonts w:ascii="Times New Roman" w:eastAsia="Times New Roman" w:hAnsi="Times New Roman"/>
          <w:color w:val="000000" w:themeColor="text1"/>
          <w:sz w:val="24"/>
          <w:szCs w:val="24"/>
        </w:rPr>
        <w:footnoteReference w:id="33"/>
      </w:r>
      <w:r w:rsidRPr="00397119">
        <w:rPr>
          <w:rFonts w:ascii="Times New Roman" w:eastAsiaTheme="minorEastAsia" w:hAnsi="Times New Roman"/>
          <w:color w:val="000000" w:themeColor="text1"/>
          <w:sz w:val="24"/>
          <w:szCs w:val="24"/>
          <w:lang w:eastAsia="zh-CN"/>
        </w:rPr>
        <w:t xml:space="preserve"> </w:t>
      </w:r>
    </w:p>
    <w:p w14:paraId="42796DA8" w14:textId="615E40F2" w:rsidR="009E508C" w:rsidRPr="00397119" w:rsidRDefault="009E508C" w:rsidP="00287F86">
      <w:pPr>
        <w:pStyle w:val="ListParagraph"/>
        <w:keepNext/>
        <w:keepLines/>
        <w:numPr>
          <w:ilvl w:val="0"/>
          <w:numId w:val="15"/>
        </w:numPr>
        <w:spacing w:after="120" w:line="240" w:lineRule="auto"/>
        <w:jc w:val="both"/>
        <w:rPr>
          <w:rFonts w:ascii="Times New Roman" w:hAnsi="Times New Roman"/>
          <w:sz w:val="24"/>
          <w:szCs w:val="24"/>
        </w:rPr>
      </w:pPr>
      <w:r w:rsidRPr="00397119">
        <w:rPr>
          <w:rFonts w:ascii="Times New Roman" w:eastAsia="SimSun" w:hAnsi="Times New Roman"/>
          <w:kern w:val="28"/>
          <w:sz w:val="24"/>
          <w:szCs w:val="24"/>
        </w:rPr>
        <w:t xml:space="preserve">In the Report, the Government of India states that following the enactment of the </w:t>
      </w:r>
      <w:r w:rsidRPr="00397119">
        <w:rPr>
          <w:rFonts w:ascii="Times New Roman" w:hAnsi="Times New Roman"/>
          <w:sz w:val="24"/>
          <w:szCs w:val="24"/>
        </w:rPr>
        <w:t>Transgender Persons (Protection of Rights) Act, “to facilitate application for certificate and identity card by transgender persons in a digital mode, the National Portal for Transgender Persons was made operational in November 2020, which offers an end-to-end online facility for this purpose.”</w:t>
      </w:r>
      <w:r w:rsidRPr="00397119">
        <w:rPr>
          <w:rStyle w:val="FootnoteReference"/>
          <w:rFonts w:ascii="Times New Roman" w:hAnsi="Times New Roman"/>
          <w:sz w:val="24"/>
          <w:szCs w:val="24"/>
        </w:rPr>
        <w:footnoteReference w:id="34"/>
      </w:r>
      <w:r w:rsidRPr="00397119">
        <w:rPr>
          <w:rFonts w:ascii="Times New Roman" w:hAnsi="Times New Roman"/>
          <w:sz w:val="24"/>
          <w:szCs w:val="24"/>
        </w:rPr>
        <w:t xml:space="preserve"> </w:t>
      </w:r>
    </w:p>
    <w:p w14:paraId="5D9F8D5C" w14:textId="13364F3A" w:rsidR="009E508C" w:rsidRPr="00397119" w:rsidRDefault="009E508C" w:rsidP="00287F86">
      <w:pPr>
        <w:pStyle w:val="ListParagraph"/>
        <w:numPr>
          <w:ilvl w:val="0"/>
          <w:numId w:val="15"/>
        </w:numPr>
        <w:spacing w:after="120" w:line="240" w:lineRule="auto"/>
        <w:contextualSpacing w:val="0"/>
        <w:jc w:val="both"/>
        <w:rPr>
          <w:rFonts w:ascii="Times New Roman" w:hAnsi="Times New Roman"/>
          <w:sz w:val="24"/>
          <w:szCs w:val="24"/>
        </w:rPr>
      </w:pPr>
      <w:r w:rsidRPr="00397119">
        <w:rPr>
          <w:rFonts w:ascii="Times New Roman" w:hAnsi="Times New Roman"/>
          <w:sz w:val="24"/>
          <w:szCs w:val="24"/>
          <w:lang w:val="x-none"/>
        </w:rPr>
        <w:t xml:space="preserve">The Report further provides that </w:t>
      </w:r>
      <w:r w:rsidR="008215F6" w:rsidRPr="00397119">
        <w:rPr>
          <w:rFonts w:ascii="Times New Roman" w:hAnsi="Times New Roman"/>
          <w:sz w:val="24"/>
          <w:szCs w:val="24"/>
          <w:lang w:val="x-none"/>
        </w:rPr>
        <w:t xml:space="preserve">a </w:t>
      </w:r>
      <w:r w:rsidRPr="00397119">
        <w:rPr>
          <w:rFonts w:ascii="Times New Roman" w:hAnsi="Times New Roman"/>
          <w:sz w:val="24"/>
          <w:szCs w:val="24"/>
          <w:lang w:val="x-none"/>
        </w:rPr>
        <w:t>“[p]</w:t>
      </w:r>
      <w:proofErr w:type="spellStart"/>
      <w:r w:rsidRPr="00397119">
        <w:rPr>
          <w:rFonts w:ascii="Times New Roman" w:hAnsi="Times New Roman"/>
          <w:sz w:val="24"/>
          <w:szCs w:val="24"/>
          <w:lang w:val="x-none"/>
        </w:rPr>
        <w:t>enalty</w:t>
      </w:r>
      <w:proofErr w:type="spellEnd"/>
      <w:r w:rsidRPr="00397119">
        <w:rPr>
          <w:rFonts w:ascii="Times New Roman" w:hAnsi="Times New Roman"/>
          <w:sz w:val="24"/>
          <w:szCs w:val="24"/>
          <w:lang w:val="x-none"/>
        </w:rPr>
        <w:t xml:space="preserve"> is prescribed under the law for violence, abuse of transgender persons, for restraining them from public places, removal from residence or for subjecting them to forced labour. It ranges from six months to two years of imprisonment and fine. Penalty prescribed under the Act is in addition to and not in derogation of any other law.”</w:t>
      </w:r>
      <w:r w:rsidRPr="00397119">
        <w:rPr>
          <w:rStyle w:val="FootnoteReference"/>
          <w:rFonts w:ascii="Times New Roman" w:hAnsi="Times New Roman"/>
          <w:sz w:val="24"/>
          <w:szCs w:val="24"/>
          <w:lang w:val="x-none"/>
        </w:rPr>
        <w:footnoteReference w:id="35"/>
      </w:r>
      <w:r w:rsidRPr="00397119">
        <w:rPr>
          <w:rFonts w:ascii="Times New Roman" w:hAnsi="Times New Roman"/>
          <w:sz w:val="24"/>
          <w:szCs w:val="24"/>
          <w:lang w:val="x-none"/>
        </w:rPr>
        <w:t xml:space="preserve"> </w:t>
      </w:r>
    </w:p>
    <w:p w14:paraId="4F2C9B20" w14:textId="5EC06A9B" w:rsidR="009E508C" w:rsidRPr="00397119" w:rsidRDefault="009E508C" w:rsidP="00287F86">
      <w:pPr>
        <w:pStyle w:val="ListParagraph"/>
        <w:numPr>
          <w:ilvl w:val="0"/>
          <w:numId w:val="15"/>
        </w:numPr>
        <w:spacing w:after="120" w:line="240" w:lineRule="auto"/>
        <w:contextualSpacing w:val="0"/>
        <w:jc w:val="both"/>
        <w:rPr>
          <w:rFonts w:ascii="Times New Roman" w:hAnsi="Times New Roman"/>
          <w:sz w:val="24"/>
          <w:szCs w:val="24"/>
          <w:lang w:val="x-none"/>
        </w:rPr>
      </w:pPr>
      <w:r w:rsidRPr="00397119">
        <w:rPr>
          <w:rFonts w:ascii="Times New Roman" w:eastAsia="SimSun" w:hAnsi="Times New Roman"/>
          <w:kern w:val="28"/>
          <w:sz w:val="24"/>
          <w:szCs w:val="24"/>
        </w:rPr>
        <w:t>The Government of India also states in the Report that it is “</w:t>
      </w:r>
      <w:r w:rsidRPr="00397119">
        <w:rPr>
          <w:rFonts w:ascii="Times New Roman" w:eastAsia="SimSun" w:hAnsi="Times New Roman"/>
          <w:kern w:val="28"/>
          <w:sz w:val="24"/>
          <w:szCs w:val="24"/>
          <w:lang w:val="x-none"/>
        </w:rPr>
        <w:t>working on an umbrella scheme to address issues of access to health, education, welfare, skill upgradation, shelter and economic support and livelihood for the transgender community” such as through the establishment in 2020 of the first of its kind “shelter home called ‘</w:t>
      </w:r>
      <w:r w:rsidRPr="00397119">
        <w:rPr>
          <w:rFonts w:ascii="Times New Roman" w:eastAsia="SimSun" w:hAnsi="Times New Roman"/>
          <w:i/>
          <w:kern w:val="28"/>
          <w:sz w:val="24"/>
          <w:szCs w:val="24"/>
          <w:lang w:val="x-none"/>
        </w:rPr>
        <w:t xml:space="preserve">Garima </w:t>
      </w:r>
      <w:proofErr w:type="spellStart"/>
      <w:r w:rsidRPr="00397119">
        <w:rPr>
          <w:rFonts w:ascii="Times New Roman" w:eastAsia="SimSun" w:hAnsi="Times New Roman"/>
          <w:i/>
          <w:kern w:val="28"/>
          <w:sz w:val="24"/>
          <w:szCs w:val="24"/>
          <w:lang w:val="x-none"/>
        </w:rPr>
        <w:t>Greh</w:t>
      </w:r>
      <w:proofErr w:type="spellEnd"/>
      <w:r w:rsidR="006B6EAB" w:rsidRPr="00397119">
        <w:rPr>
          <w:rFonts w:ascii="Times New Roman" w:eastAsia="SimSun" w:hAnsi="Times New Roman"/>
          <w:iCs/>
          <w:kern w:val="28"/>
          <w:sz w:val="24"/>
          <w:szCs w:val="24"/>
          <w:lang w:val="x-none"/>
        </w:rPr>
        <w:t>’”</w:t>
      </w:r>
      <w:r w:rsidRPr="00397119">
        <w:rPr>
          <w:rFonts w:ascii="Times New Roman" w:eastAsia="SimSun" w:hAnsi="Times New Roman"/>
          <w:iCs/>
          <w:kern w:val="28"/>
          <w:sz w:val="24"/>
          <w:szCs w:val="24"/>
          <w:lang w:val="x-none"/>
        </w:rPr>
        <w:t xml:space="preserve"> to provide </w:t>
      </w:r>
      <w:r w:rsidRPr="00397119">
        <w:rPr>
          <w:rFonts w:ascii="Times New Roman" w:eastAsia="SimSun" w:hAnsi="Times New Roman"/>
          <w:kern w:val="28"/>
          <w:sz w:val="24"/>
          <w:szCs w:val="24"/>
          <w:lang w:val="x-none"/>
        </w:rPr>
        <w:t>“shelter, food, medical care, recreational facilities, and support for capacity-building and skill development.”</w:t>
      </w:r>
      <w:r w:rsidRPr="00397119">
        <w:rPr>
          <w:rStyle w:val="FootnoteReference"/>
          <w:rFonts w:ascii="Times New Roman" w:eastAsia="SimSun" w:hAnsi="Times New Roman"/>
          <w:kern w:val="28"/>
          <w:sz w:val="24"/>
          <w:szCs w:val="24"/>
          <w:lang w:val="x-none"/>
        </w:rPr>
        <w:footnoteReference w:id="36"/>
      </w:r>
      <w:r w:rsidRPr="00397119">
        <w:rPr>
          <w:rFonts w:ascii="Times New Roman" w:eastAsia="SimSun" w:hAnsi="Times New Roman"/>
          <w:kern w:val="28"/>
          <w:sz w:val="24"/>
          <w:szCs w:val="24"/>
          <w:lang w:val="x-none"/>
        </w:rPr>
        <w:t xml:space="preserve"> The Government of India has identified ten cities to establish thirteen </w:t>
      </w:r>
      <w:r w:rsidRPr="00287F86">
        <w:rPr>
          <w:rFonts w:ascii="Times New Roman" w:eastAsia="SimSun" w:hAnsi="Times New Roman"/>
          <w:i/>
          <w:iCs/>
          <w:kern w:val="28"/>
          <w:sz w:val="24"/>
          <w:szCs w:val="24"/>
          <w:lang w:val="x-none"/>
        </w:rPr>
        <w:t xml:space="preserve">Garima </w:t>
      </w:r>
      <w:proofErr w:type="spellStart"/>
      <w:r w:rsidRPr="00287F86">
        <w:rPr>
          <w:rFonts w:ascii="Times New Roman" w:eastAsia="SimSun" w:hAnsi="Times New Roman"/>
          <w:i/>
          <w:iCs/>
          <w:kern w:val="28"/>
          <w:sz w:val="24"/>
          <w:szCs w:val="24"/>
          <w:lang w:val="x-none"/>
        </w:rPr>
        <w:t>Greh</w:t>
      </w:r>
      <w:proofErr w:type="spellEnd"/>
      <w:r w:rsidRPr="00397119">
        <w:rPr>
          <w:rFonts w:ascii="Times New Roman" w:eastAsia="SimSun" w:hAnsi="Times New Roman"/>
          <w:kern w:val="28"/>
          <w:sz w:val="24"/>
          <w:szCs w:val="24"/>
          <w:lang w:val="x-none"/>
        </w:rPr>
        <w:t>.</w:t>
      </w:r>
      <w:r w:rsidRPr="00397119">
        <w:rPr>
          <w:rStyle w:val="FootnoteReference"/>
          <w:rFonts w:ascii="Times New Roman" w:eastAsia="SimSun" w:hAnsi="Times New Roman"/>
          <w:kern w:val="28"/>
          <w:sz w:val="24"/>
          <w:szCs w:val="24"/>
          <w:lang w:val="x-none"/>
        </w:rPr>
        <w:footnoteReference w:id="37"/>
      </w:r>
      <w:r w:rsidRPr="00397119">
        <w:rPr>
          <w:rFonts w:ascii="Times New Roman" w:eastAsia="SimSun" w:hAnsi="Times New Roman"/>
          <w:kern w:val="28"/>
          <w:sz w:val="24"/>
          <w:szCs w:val="24"/>
          <w:lang w:val="x-none"/>
        </w:rPr>
        <w:t xml:space="preserve"> </w:t>
      </w:r>
    </w:p>
    <w:p w14:paraId="2A0A0647" w14:textId="1F691279" w:rsidR="009E508C" w:rsidRPr="00397119" w:rsidRDefault="009E508C" w:rsidP="00287F86">
      <w:pPr>
        <w:pStyle w:val="ListParagraph"/>
        <w:numPr>
          <w:ilvl w:val="0"/>
          <w:numId w:val="15"/>
        </w:numPr>
        <w:spacing w:after="120" w:line="240" w:lineRule="auto"/>
        <w:jc w:val="both"/>
        <w:rPr>
          <w:rFonts w:ascii="Times New Roman" w:eastAsia="SimSun" w:hAnsi="Times New Roman"/>
          <w:kern w:val="28"/>
          <w:sz w:val="24"/>
          <w:szCs w:val="24"/>
        </w:rPr>
      </w:pPr>
      <w:r w:rsidRPr="00397119">
        <w:rPr>
          <w:rFonts w:ascii="Times New Roman" w:eastAsia="SimSun" w:hAnsi="Times New Roman"/>
          <w:kern w:val="28"/>
          <w:sz w:val="24"/>
          <w:szCs w:val="24"/>
        </w:rPr>
        <w:t xml:space="preserve">In addition, “the Ministry of Social Justice and Empowerment has allocated funds to National Backward Classes Finance and Development Corporation for conducting skill development of members of transgender community,” and “various States in India have adopted initiatives to develop and improve the quality of life of transgender persons, including launching of an umbrella scheme by the state of Odisha called </w:t>
      </w:r>
      <w:proofErr w:type="spellStart"/>
      <w:r w:rsidRPr="00397119">
        <w:rPr>
          <w:rFonts w:ascii="Times New Roman" w:eastAsia="SimSun" w:hAnsi="Times New Roman"/>
          <w:i/>
          <w:iCs/>
          <w:kern w:val="28"/>
          <w:sz w:val="24"/>
          <w:szCs w:val="24"/>
        </w:rPr>
        <w:t>Sweekruti</w:t>
      </w:r>
      <w:proofErr w:type="spellEnd"/>
      <w:r w:rsidRPr="00397119">
        <w:rPr>
          <w:rFonts w:ascii="Times New Roman" w:eastAsia="SimSun" w:hAnsi="Times New Roman"/>
          <w:i/>
          <w:iCs/>
          <w:kern w:val="28"/>
          <w:sz w:val="24"/>
          <w:szCs w:val="24"/>
        </w:rPr>
        <w:t xml:space="preserve"> </w:t>
      </w:r>
      <w:r w:rsidRPr="00397119">
        <w:rPr>
          <w:rFonts w:ascii="Times New Roman" w:eastAsia="SimSun" w:hAnsi="Times New Roman"/>
          <w:kern w:val="28"/>
          <w:sz w:val="24"/>
          <w:szCs w:val="24"/>
        </w:rPr>
        <w:t>to create an enabling environment to ensure equal opportunities, equity, social justice and empowerment of transgender persons, and introducing reservation of seats in educational institutions and public employment.”</w:t>
      </w:r>
      <w:r w:rsidRPr="00397119">
        <w:rPr>
          <w:rStyle w:val="FootnoteReference"/>
          <w:rFonts w:ascii="Times New Roman" w:eastAsia="SimSun" w:hAnsi="Times New Roman"/>
          <w:kern w:val="28"/>
          <w:sz w:val="24"/>
          <w:szCs w:val="24"/>
        </w:rPr>
        <w:footnoteReference w:id="38"/>
      </w:r>
      <w:r w:rsidRPr="00397119">
        <w:rPr>
          <w:rFonts w:ascii="Times New Roman" w:eastAsia="SimSun" w:hAnsi="Times New Roman"/>
          <w:kern w:val="28"/>
          <w:sz w:val="24"/>
          <w:szCs w:val="24"/>
        </w:rPr>
        <w:t xml:space="preserve"> </w:t>
      </w:r>
    </w:p>
    <w:p w14:paraId="2EC07546" w14:textId="1AE8750B" w:rsidR="009E508C" w:rsidRPr="00397119" w:rsidRDefault="009E508C" w:rsidP="00287F86">
      <w:pPr>
        <w:numPr>
          <w:ilvl w:val="0"/>
          <w:numId w:val="15"/>
        </w:numPr>
        <w:spacing w:after="120"/>
        <w:jc w:val="both"/>
      </w:pPr>
      <w:r w:rsidRPr="00397119">
        <w:lastRenderedPageBreak/>
        <w:t>With respect to access to justice, it is unclear whether the Government of India is enforcing the penalties prescribed under the law for violence against transgender individuals. In contrast, and as discussed in this report, there are various documented incidents of violence against transgender individuals, including acts of violence perpetrated by police personnel</w:t>
      </w:r>
      <w:r w:rsidR="001F4358" w:rsidRPr="00397119">
        <w:t xml:space="preserve"> and non-State actors</w:t>
      </w:r>
      <w:r w:rsidRPr="00397119">
        <w:t xml:space="preserve">. </w:t>
      </w:r>
      <w:r w:rsidR="00F90C02">
        <w:t xml:space="preserve">It is also unclear what the full extent of </w:t>
      </w:r>
      <w:r w:rsidR="006F1519">
        <w:t xml:space="preserve">State and non-State violence against transgender individuals is because </w:t>
      </w:r>
      <w:r w:rsidR="00536867">
        <w:t>many individuals choose not to report violations of their human rights to police.</w:t>
      </w:r>
    </w:p>
    <w:p w14:paraId="79D4DD1F" w14:textId="56476BC7" w:rsidR="009E508C" w:rsidRPr="00397119" w:rsidRDefault="009E508C" w:rsidP="00287F86">
      <w:pPr>
        <w:numPr>
          <w:ilvl w:val="0"/>
          <w:numId w:val="15"/>
        </w:numPr>
        <w:spacing w:after="120"/>
        <w:jc w:val="both"/>
      </w:pPr>
      <w:r w:rsidRPr="00397119">
        <w:t xml:space="preserve">With respect to healthcare, the Government of India is implementing the SMILE scheme, which contains the composited medical health for transgender people. Under the regime, transgender individuals are entitled to the Ayushman </w:t>
      </w:r>
      <w:proofErr w:type="spellStart"/>
      <w:r w:rsidRPr="00397119">
        <w:t>BharatTG</w:t>
      </w:r>
      <w:proofErr w:type="spellEnd"/>
      <w:r w:rsidRPr="00397119">
        <w:t xml:space="preserve"> Plus health insurance, which includes coverage for gender</w:t>
      </w:r>
      <w:r w:rsidR="00432135" w:rsidRPr="00397119">
        <w:t>-affirming</w:t>
      </w:r>
      <w:r w:rsidRPr="00397119">
        <w:t xml:space="preserve"> surgery and offers an annual insurance cover.</w:t>
      </w:r>
      <w:r w:rsidRPr="00397119">
        <w:rPr>
          <w:vertAlign w:val="superscript"/>
        </w:rPr>
        <w:footnoteReference w:id="39"/>
      </w:r>
      <w:r w:rsidRPr="00397119">
        <w:t xml:space="preserve"> The comprehensive package covers transition-related healthcare, including hormone therapy and gender</w:t>
      </w:r>
      <w:r w:rsidR="00432135" w:rsidRPr="00397119">
        <w:t xml:space="preserve">-affirming </w:t>
      </w:r>
      <w:r w:rsidRPr="00397119">
        <w:t>surgery, with post-operative care, redeemable at both private and governmental healthcare facilities.</w:t>
      </w:r>
      <w:r w:rsidRPr="00397119">
        <w:rPr>
          <w:vertAlign w:val="superscript"/>
        </w:rPr>
        <w:footnoteReference w:id="40"/>
      </w:r>
      <w:r w:rsidR="00EE1E70" w:rsidRPr="00397119">
        <w:t xml:space="preserve"> </w:t>
      </w:r>
      <w:r w:rsidRPr="00397119">
        <w:t>Transgender people with certificates from the National Portal for Transgender Persons are automatically eligible for this insurance.</w:t>
      </w:r>
      <w:r w:rsidRPr="00397119">
        <w:rPr>
          <w:vertAlign w:val="superscript"/>
        </w:rPr>
        <w:footnoteReference w:id="41"/>
      </w:r>
      <w:r w:rsidRPr="00397119">
        <w:t xml:space="preserve"> </w:t>
      </w:r>
    </w:p>
    <w:p w14:paraId="05402A68" w14:textId="0B9DFB05" w:rsidR="009E508C" w:rsidRPr="00397119" w:rsidRDefault="00803EE3" w:rsidP="002B3B2B">
      <w:pPr>
        <w:pStyle w:val="ListParagraph"/>
        <w:numPr>
          <w:ilvl w:val="0"/>
          <w:numId w:val="15"/>
        </w:numPr>
        <w:spacing w:after="120" w:line="240" w:lineRule="auto"/>
        <w:contextualSpacing w:val="0"/>
        <w:jc w:val="both"/>
        <w:rPr>
          <w:rFonts w:ascii="Times New Roman" w:eastAsia="Times New Roman" w:hAnsi="Times New Roman"/>
          <w:color w:val="000000" w:themeColor="text1"/>
          <w:sz w:val="24"/>
          <w:szCs w:val="24"/>
        </w:rPr>
      </w:pPr>
      <w:r w:rsidRPr="00397119">
        <w:rPr>
          <w:rFonts w:ascii="Times New Roman" w:eastAsia="Times New Roman" w:hAnsi="Times New Roman"/>
          <w:color w:val="000000" w:themeColor="text1"/>
          <w:sz w:val="24"/>
          <w:szCs w:val="24"/>
        </w:rPr>
        <w:t>A</w:t>
      </w:r>
      <w:r w:rsidR="009E508C" w:rsidRPr="00397119">
        <w:rPr>
          <w:rFonts w:ascii="Times New Roman" w:eastAsia="Times New Roman" w:hAnsi="Times New Roman"/>
          <w:color w:val="000000" w:themeColor="text1"/>
          <w:sz w:val="24"/>
          <w:szCs w:val="24"/>
        </w:rPr>
        <w:t xml:space="preserve">s a result of systemic issues such as discrimination based on their gender identity, inaccessibility of public health facilities in </w:t>
      </w:r>
      <w:r w:rsidR="00B61835" w:rsidRPr="00397119">
        <w:rPr>
          <w:rFonts w:ascii="Times New Roman" w:eastAsia="Times New Roman" w:hAnsi="Times New Roman"/>
          <w:color w:val="000000" w:themeColor="text1"/>
          <w:sz w:val="24"/>
          <w:szCs w:val="24"/>
        </w:rPr>
        <w:t>under</w:t>
      </w:r>
      <w:r w:rsidR="009E508C" w:rsidRPr="00397119">
        <w:rPr>
          <w:rFonts w:ascii="Times New Roman" w:eastAsia="Times New Roman" w:hAnsi="Times New Roman"/>
          <w:color w:val="000000" w:themeColor="text1"/>
          <w:sz w:val="24"/>
          <w:szCs w:val="24"/>
        </w:rPr>
        <w:t xml:space="preserve">-developed regions, and lack of accountability and transparency in the delivery of services or prohibitive costs of treatment in the private sector, </w:t>
      </w:r>
      <w:r w:rsidR="00B61835" w:rsidRPr="00397119">
        <w:rPr>
          <w:rFonts w:ascii="Times New Roman" w:eastAsia="Times New Roman" w:hAnsi="Times New Roman"/>
          <w:color w:val="000000" w:themeColor="text1"/>
          <w:sz w:val="24"/>
          <w:szCs w:val="24"/>
        </w:rPr>
        <w:t xml:space="preserve">however, </w:t>
      </w:r>
      <w:r w:rsidR="009E508C" w:rsidRPr="00397119">
        <w:rPr>
          <w:rFonts w:ascii="Times New Roman" w:eastAsia="Times New Roman" w:hAnsi="Times New Roman"/>
          <w:color w:val="000000" w:themeColor="text1"/>
          <w:sz w:val="24"/>
          <w:szCs w:val="24"/>
        </w:rPr>
        <w:t>many transgender individuals struggle to access essential health care services.</w:t>
      </w:r>
      <w:r w:rsidR="009E508C" w:rsidRPr="00397119">
        <w:rPr>
          <w:rStyle w:val="FootnoteReference"/>
          <w:rFonts w:ascii="Times New Roman" w:eastAsia="Times New Roman" w:hAnsi="Times New Roman"/>
          <w:color w:val="000000" w:themeColor="text1"/>
          <w:sz w:val="24"/>
          <w:szCs w:val="24"/>
        </w:rPr>
        <w:footnoteReference w:id="42"/>
      </w:r>
      <w:r w:rsidR="000C3749" w:rsidRPr="00397119">
        <w:rPr>
          <w:rFonts w:ascii="Times New Roman" w:eastAsia="Times New Roman" w:hAnsi="Times New Roman"/>
          <w:color w:val="000000" w:themeColor="text1"/>
          <w:sz w:val="24"/>
          <w:szCs w:val="24"/>
        </w:rPr>
        <w:t xml:space="preserve"> There remain structural and legal barriers th</w:t>
      </w:r>
      <w:r w:rsidR="00625A86" w:rsidRPr="00397119">
        <w:rPr>
          <w:rFonts w:ascii="Times New Roman" w:eastAsia="Times New Roman" w:hAnsi="Times New Roman"/>
          <w:color w:val="000000" w:themeColor="text1"/>
          <w:sz w:val="24"/>
          <w:szCs w:val="24"/>
        </w:rPr>
        <w:t>at permit discrimination against</w:t>
      </w:r>
      <w:r w:rsidR="009E508C" w:rsidRPr="00397119">
        <w:rPr>
          <w:rFonts w:ascii="Times New Roman" w:eastAsia="Times New Roman" w:hAnsi="Times New Roman"/>
          <w:color w:val="000000" w:themeColor="text1"/>
          <w:sz w:val="24"/>
          <w:szCs w:val="24"/>
        </w:rPr>
        <w:t xml:space="preserve"> transgender</w:t>
      </w:r>
      <w:r w:rsidR="009E508C" w:rsidRPr="00397119">
        <w:rPr>
          <w:rFonts w:ascii="Times New Roman" w:eastAsiaTheme="minorEastAsia" w:hAnsi="Times New Roman"/>
          <w:color w:val="000000" w:themeColor="text1"/>
          <w:sz w:val="24"/>
          <w:szCs w:val="24"/>
          <w:lang w:eastAsia="zh-CN"/>
        </w:rPr>
        <w:t xml:space="preserve"> </w:t>
      </w:r>
      <w:r w:rsidR="009E508C" w:rsidRPr="00397119">
        <w:rPr>
          <w:rFonts w:ascii="Times New Roman" w:eastAsia="Times New Roman" w:hAnsi="Times New Roman"/>
          <w:color w:val="000000" w:themeColor="text1"/>
          <w:sz w:val="24"/>
          <w:szCs w:val="24"/>
        </w:rPr>
        <w:t xml:space="preserve">individuals </w:t>
      </w:r>
      <w:r w:rsidR="00625A86" w:rsidRPr="00397119">
        <w:rPr>
          <w:rFonts w:ascii="Times New Roman" w:eastAsia="Times New Roman" w:hAnsi="Times New Roman"/>
          <w:color w:val="000000" w:themeColor="text1"/>
          <w:sz w:val="24"/>
          <w:szCs w:val="24"/>
        </w:rPr>
        <w:t>in the healthcare system</w:t>
      </w:r>
      <w:r w:rsidR="009E508C" w:rsidRPr="00397119">
        <w:rPr>
          <w:rFonts w:ascii="Times New Roman" w:eastAsia="Times New Roman" w:hAnsi="Times New Roman"/>
          <w:color w:val="000000" w:themeColor="text1"/>
          <w:sz w:val="24"/>
          <w:szCs w:val="24"/>
        </w:rPr>
        <w:t>.</w:t>
      </w:r>
    </w:p>
    <w:p w14:paraId="6079DEC6" w14:textId="7B19BF50" w:rsidR="009E508C" w:rsidRPr="00397119" w:rsidRDefault="009E508C" w:rsidP="002B3B2B">
      <w:pPr>
        <w:pStyle w:val="ListParagraph"/>
        <w:numPr>
          <w:ilvl w:val="0"/>
          <w:numId w:val="15"/>
        </w:numPr>
        <w:spacing w:after="120" w:line="240" w:lineRule="auto"/>
        <w:contextualSpacing w:val="0"/>
        <w:jc w:val="both"/>
        <w:rPr>
          <w:rFonts w:ascii="Times New Roman" w:eastAsia="Times New Roman" w:hAnsi="Times New Roman"/>
          <w:color w:val="000000" w:themeColor="text1"/>
          <w:sz w:val="24"/>
          <w:szCs w:val="24"/>
        </w:rPr>
      </w:pPr>
      <w:r w:rsidRPr="00397119">
        <w:rPr>
          <w:rFonts w:ascii="Times New Roman" w:eastAsia="Times New Roman" w:hAnsi="Times New Roman"/>
          <w:color w:val="000000" w:themeColor="text1"/>
          <w:sz w:val="24"/>
          <w:szCs w:val="24"/>
        </w:rPr>
        <w:t xml:space="preserve">Most areas of the country </w:t>
      </w:r>
      <w:r w:rsidR="002054E6" w:rsidRPr="00397119">
        <w:rPr>
          <w:rFonts w:ascii="Times New Roman" w:eastAsia="Times New Roman" w:hAnsi="Times New Roman"/>
          <w:color w:val="000000" w:themeColor="text1"/>
          <w:sz w:val="24"/>
          <w:szCs w:val="24"/>
        </w:rPr>
        <w:t>do not provide adequate medical services for transgender people</w:t>
      </w:r>
      <w:r w:rsidRPr="00397119">
        <w:rPr>
          <w:rFonts w:ascii="Times New Roman" w:eastAsia="Times New Roman" w:hAnsi="Times New Roman"/>
          <w:color w:val="000000" w:themeColor="text1"/>
          <w:sz w:val="24"/>
          <w:szCs w:val="24"/>
        </w:rPr>
        <w:t>.</w:t>
      </w:r>
      <w:r w:rsidRPr="00397119">
        <w:rPr>
          <w:rStyle w:val="FootnoteReference"/>
          <w:rFonts w:ascii="Times New Roman" w:eastAsia="Times New Roman" w:hAnsi="Times New Roman"/>
          <w:color w:val="000000" w:themeColor="text1"/>
          <w:sz w:val="24"/>
          <w:szCs w:val="24"/>
        </w:rPr>
        <w:footnoteReference w:id="43"/>
      </w:r>
      <w:r w:rsidRPr="00397119">
        <w:rPr>
          <w:rFonts w:ascii="Times New Roman" w:eastAsia="Times New Roman" w:hAnsi="Times New Roman"/>
          <w:color w:val="000000" w:themeColor="text1"/>
          <w:sz w:val="24"/>
          <w:szCs w:val="24"/>
        </w:rPr>
        <w:t xml:space="preserve"> Only some states provide gender</w:t>
      </w:r>
      <w:r w:rsidR="007F62F2" w:rsidRPr="00397119">
        <w:rPr>
          <w:rFonts w:ascii="Times New Roman" w:eastAsiaTheme="minorEastAsia" w:hAnsi="Times New Roman"/>
          <w:color w:val="000000" w:themeColor="text1"/>
          <w:sz w:val="24"/>
          <w:szCs w:val="24"/>
          <w:lang w:eastAsia="zh-CN"/>
        </w:rPr>
        <w:t>-</w:t>
      </w:r>
      <w:r w:rsidR="007F62F2" w:rsidRPr="00397119">
        <w:rPr>
          <w:rFonts w:ascii="Times New Roman" w:eastAsia="Times New Roman" w:hAnsi="Times New Roman"/>
          <w:color w:val="000000" w:themeColor="text1"/>
          <w:sz w:val="24"/>
          <w:szCs w:val="24"/>
        </w:rPr>
        <w:t>affirming</w:t>
      </w:r>
      <w:r w:rsidRPr="00397119">
        <w:rPr>
          <w:rFonts w:ascii="Times New Roman" w:eastAsia="Times New Roman" w:hAnsi="Times New Roman"/>
          <w:color w:val="000000" w:themeColor="text1"/>
          <w:sz w:val="24"/>
          <w:szCs w:val="24"/>
        </w:rPr>
        <w:t xml:space="preserve"> </w:t>
      </w:r>
      <w:r w:rsidRPr="00397119">
        <w:rPr>
          <w:rFonts w:ascii="Times New Roman" w:eastAsiaTheme="minorEastAsia" w:hAnsi="Times New Roman"/>
          <w:color w:val="000000" w:themeColor="text1"/>
          <w:sz w:val="24"/>
          <w:szCs w:val="24"/>
          <w:lang w:eastAsia="zh-CN"/>
        </w:rPr>
        <w:t>surgeries</w:t>
      </w:r>
      <w:r w:rsidRPr="00397119">
        <w:rPr>
          <w:rFonts w:ascii="Times New Roman" w:eastAsia="Times New Roman" w:hAnsi="Times New Roman"/>
          <w:color w:val="000000" w:themeColor="text1"/>
          <w:sz w:val="24"/>
          <w:szCs w:val="24"/>
        </w:rPr>
        <w:t>, while states such as Kerala have formulated a policy on the subject but have no government-run hospitals that actually provide gender</w:t>
      </w:r>
      <w:r w:rsidR="007F62F2" w:rsidRPr="00397119">
        <w:rPr>
          <w:rFonts w:ascii="Times New Roman" w:eastAsia="Times New Roman" w:hAnsi="Times New Roman"/>
          <w:color w:val="000000" w:themeColor="text1"/>
          <w:sz w:val="24"/>
          <w:szCs w:val="24"/>
        </w:rPr>
        <w:t>-</w:t>
      </w:r>
      <w:r w:rsidRPr="00397119">
        <w:rPr>
          <w:rFonts w:ascii="Times New Roman" w:eastAsia="Times New Roman" w:hAnsi="Times New Roman"/>
          <w:color w:val="000000" w:themeColor="text1"/>
          <w:sz w:val="24"/>
          <w:szCs w:val="24"/>
        </w:rPr>
        <w:t>affirm</w:t>
      </w:r>
      <w:r w:rsidR="007F62F2" w:rsidRPr="00397119">
        <w:rPr>
          <w:rFonts w:ascii="Times New Roman" w:eastAsia="Times New Roman" w:hAnsi="Times New Roman"/>
          <w:color w:val="000000" w:themeColor="text1"/>
          <w:sz w:val="24"/>
          <w:szCs w:val="24"/>
        </w:rPr>
        <w:t>ing</w:t>
      </w:r>
      <w:r w:rsidRPr="00397119">
        <w:rPr>
          <w:rFonts w:ascii="Times New Roman" w:eastAsia="Times New Roman" w:hAnsi="Times New Roman"/>
          <w:color w:val="000000" w:themeColor="text1"/>
          <w:sz w:val="24"/>
          <w:szCs w:val="24"/>
        </w:rPr>
        <w:t xml:space="preserve"> surgeries.</w:t>
      </w:r>
      <w:r w:rsidRPr="00397119">
        <w:rPr>
          <w:rStyle w:val="FootnoteReference"/>
          <w:rFonts w:ascii="Times New Roman" w:eastAsia="Times New Roman" w:hAnsi="Times New Roman"/>
          <w:color w:val="000000" w:themeColor="text1"/>
          <w:sz w:val="24"/>
          <w:szCs w:val="24"/>
        </w:rPr>
        <w:footnoteReference w:id="44"/>
      </w:r>
    </w:p>
    <w:p w14:paraId="0A59DC11" w14:textId="7CD693AC" w:rsidR="009E508C" w:rsidRPr="00397119" w:rsidRDefault="00D44B69" w:rsidP="00287F86">
      <w:pPr>
        <w:pStyle w:val="ListParagraph"/>
        <w:numPr>
          <w:ilvl w:val="0"/>
          <w:numId w:val="15"/>
        </w:numPr>
        <w:spacing w:after="120" w:line="240" w:lineRule="auto"/>
        <w:contextualSpacing w:val="0"/>
        <w:jc w:val="both"/>
        <w:rPr>
          <w:rFonts w:ascii="Times New Roman" w:hAnsi="Times New Roman"/>
          <w:sz w:val="24"/>
          <w:szCs w:val="24"/>
        </w:rPr>
      </w:pPr>
      <w:r w:rsidRPr="00397119">
        <w:rPr>
          <w:rFonts w:ascii="Times New Roman" w:eastAsia="Times New Roman" w:hAnsi="Times New Roman"/>
          <w:color w:val="000000" w:themeColor="text1"/>
          <w:sz w:val="24"/>
          <w:szCs w:val="24"/>
        </w:rPr>
        <w:lastRenderedPageBreak/>
        <w:t>T</w:t>
      </w:r>
      <w:r w:rsidR="009E508C" w:rsidRPr="00397119">
        <w:rPr>
          <w:rFonts w:ascii="Times New Roman" w:hAnsi="Times New Roman"/>
          <w:sz w:val="24"/>
          <w:szCs w:val="24"/>
        </w:rPr>
        <w:t xml:space="preserve">ransgender individuals </w:t>
      </w:r>
      <w:r w:rsidRPr="00397119">
        <w:rPr>
          <w:rFonts w:ascii="Times New Roman" w:hAnsi="Times New Roman"/>
          <w:sz w:val="24"/>
          <w:szCs w:val="24"/>
        </w:rPr>
        <w:t>also</w:t>
      </w:r>
      <w:r w:rsidR="009E508C" w:rsidRPr="00397119">
        <w:rPr>
          <w:rFonts w:ascii="Times New Roman" w:hAnsi="Times New Roman"/>
          <w:sz w:val="24"/>
          <w:szCs w:val="24"/>
        </w:rPr>
        <w:t xml:space="preserve"> face significant </w:t>
      </w:r>
      <w:r w:rsidRPr="00397119">
        <w:rPr>
          <w:rFonts w:ascii="Times New Roman" w:hAnsi="Times New Roman"/>
          <w:sz w:val="24"/>
          <w:szCs w:val="24"/>
        </w:rPr>
        <w:t xml:space="preserve">discrimination in the education system due to </w:t>
      </w:r>
      <w:r w:rsidR="009E508C" w:rsidRPr="00397119">
        <w:rPr>
          <w:rFonts w:ascii="Times New Roman" w:hAnsi="Times New Roman"/>
          <w:sz w:val="24"/>
          <w:szCs w:val="24"/>
        </w:rPr>
        <w:t>societal stigma</w:t>
      </w:r>
      <w:r w:rsidRPr="00397119">
        <w:rPr>
          <w:rFonts w:ascii="Times New Roman" w:hAnsi="Times New Roman"/>
          <w:sz w:val="24"/>
          <w:szCs w:val="24"/>
        </w:rPr>
        <w:t xml:space="preserve"> </w:t>
      </w:r>
      <w:r w:rsidR="009E508C" w:rsidRPr="00397119">
        <w:rPr>
          <w:rFonts w:ascii="Times New Roman" w:hAnsi="Times New Roman"/>
          <w:sz w:val="24"/>
          <w:szCs w:val="24"/>
        </w:rPr>
        <w:t>and a lack of supportive facilities</w:t>
      </w:r>
      <w:r w:rsidR="005D08BA" w:rsidRPr="00397119">
        <w:rPr>
          <w:rFonts w:ascii="Times New Roman" w:hAnsi="Times New Roman"/>
          <w:sz w:val="24"/>
          <w:szCs w:val="24"/>
        </w:rPr>
        <w:t>.</w:t>
      </w:r>
      <w:r w:rsidR="009E508C" w:rsidRPr="00397119">
        <w:rPr>
          <w:rStyle w:val="FootnoteReference"/>
          <w:rFonts w:ascii="Times New Roman" w:eastAsia="Times New Roman" w:hAnsi="Times New Roman"/>
          <w:color w:val="000000" w:themeColor="text1"/>
          <w:sz w:val="24"/>
          <w:szCs w:val="24"/>
        </w:rPr>
        <w:footnoteReference w:id="45"/>
      </w:r>
    </w:p>
    <w:p w14:paraId="0D493A79" w14:textId="46E3B507" w:rsidR="009E508C" w:rsidRPr="00397119" w:rsidRDefault="009E508C" w:rsidP="002B3B2B">
      <w:pPr>
        <w:pStyle w:val="ListParagraph"/>
        <w:numPr>
          <w:ilvl w:val="0"/>
          <w:numId w:val="15"/>
        </w:numPr>
        <w:spacing w:after="120" w:line="240" w:lineRule="auto"/>
        <w:contextualSpacing w:val="0"/>
        <w:jc w:val="both"/>
        <w:rPr>
          <w:rFonts w:ascii="Times New Roman" w:eastAsia="Times New Roman" w:hAnsi="Times New Roman"/>
          <w:color w:val="000000" w:themeColor="text1"/>
          <w:sz w:val="24"/>
          <w:szCs w:val="24"/>
        </w:rPr>
      </w:pPr>
      <w:r w:rsidRPr="00397119">
        <w:rPr>
          <w:rFonts w:ascii="Times New Roman" w:eastAsia="Times New Roman" w:hAnsi="Times New Roman"/>
          <w:color w:val="000000" w:themeColor="text1"/>
          <w:sz w:val="24"/>
          <w:szCs w:val="24"/>
        </w:rPr>
        <w:t xml:space="preserve">The Indian </w:t>
      </w:r>
      <w:r w:rsidR="00E913BF" w:rsidRPr="00397119">
        <w:rPr>
          <w:rFonts w:ascii="Times New Roman" w:eastAsia="Times New Roman" w:hAnsi="Times New Roman"/>
          <w:color w:val="000000" w:themeColor="text1"/>
          <w:sz w:val="24"/>
          <w:szCs w:val="24"/>
        </w:rPr>
        <w:t>G</w:t>
      </w:r>
      <w:r w:rsidRPr="00397119">
        <w:rPr>
          <w:rFonts w:ascii="Times New Roman" w:eastAsia="Times New Roman" w:hAnsi="Times New Roman"/>
          <w:color w:val="000000" w:themeColor="text1"/>
          <w:sz w:val="24"/>
          <w:szCs w:val="24"/>
        </w:rPr>
        <w:t>overnment has taken a progressive step by introducing the Equal Opportunity Policy for Transgender Persons, which is designed to require consent from transgender individual</w:t>
      </w:r>
      <w:r w:rsidR="000C088D" w:rsidRPr="00397119">
        <w:rPr>
          <w:rFonts w:ascii="Times New Roman" w:eastAsia="Times New Roman" w:hAnsi="Times New Roman"/>
          <w:color w:val="000000" w:themeColor="text1"/>
          <w:sz w:val="24"/>
          <w:szCs w:val="24"/>
        </w:rPr>
        <w:t>s</w:t>
      </w:r>
      <w:r w:rsidRPr="00397119">
        <w:rPr>
          <w:rFonts w:ascii="Times New Roman" w:eastAsia="Times New Roman" w:hAnsi="Times New Roman"/>
          <w:color w:val="000000" w:themeColor="text1"/>
          <w:sz w:val="24"/>
          <w:szCs w:val="24"/>
        </w:rPr>
        <w:t xml:space="preserve"> before identity disclosure</w:t>
      </w:r>
      <w:r w:rsidR="00AD03E2" w:rsidRPr="00397119">
        <w:rPr>
          <w:rFonts w:ascii="Times New Roman" w:eastAsia="Times New Roman" w:hAnsi="Times New Roman"/>
          <w:color w:val="000000" w:themeColor="text1"/>
          <w:sz w:val="24"/>
          <w:szCs w:val="24"/>
        </w:rPr>
        <w:t>. The policy is also designed to</w:t>
      </w:r>
      <w:r w:rsidR="007301A2" w:rsidRPr="00397119">
        <w:rPr>
          <w:rFonts w:ascii="Times New Roman" w:eastAsia="Times New Roman" w:hAnsi="Times New Roman"/>
          <w:color w:val="000000" w:themeColor="text1"/>
          <w:sz w:val="24"/>
          <w:szCs w:val="24"/>
        </w:rPr>
        <w:t xml:space="preserve"> </w:t>
      </w:r>
      <w:r w:rsidRPr="00397119">
        <w:rPr>
          <w:rFonts w:ascii="Times New Roman" w:eastAsia="Times New Roman" w:hAnsi="Times New Roman"/>
          <w:color w:val="000000" w:themeColor="text1"/>
          <w:sz w:val="24"/>
          <w:szCs w:val="24"/>
        </w:rPr>
        <w:t>foster an environment free from discrimination, harassment</w:t>
      </w:r>
      <w:r w:rsidR="007301A2" w:rsidRPr="00397119">
        <w:rPr>
          <w:rFonts w:ascii="Times New Roman" w:eastAsia="Times New Roman" w:hAnsi="Times New Roman"/>
          <w:color w:val="000000" w:themeColor="text1"/>
          <w:sz w:val="24"/>
          <w:szCs w:val="24"/>
        </w:rPr>
        <w:t>,</w:t>
      </w:r>
      <w:r w:rsidRPr="00397119">
        <w:rPr>
          <w:rFonts w:ascii="Times New Roman" w:eastAsia="Times New Roman" w:hAnsi="Times New Roman"/>
          <w:color w:val="000000" w:themeColor="text1"/>
          <w:sz w:val="24"/>
          <w:szCs w:val="24"/>
        </w:rPr>
        <w:t xml:space="preserve"> and bias and </w:t>
      </w:r>
      <w:r w:rsidR="00AD03E2" w:rsidRPr="00397119">
        <w:rPr>
          <w:rFonts w:ascii="Times New Roman" w:eastAsia="Times New Roman" w:hAnsi="Times New Roman"/>
          <w:color w:val="000000" w:themeColor="text1"/>
          <w:sz w:val="24"/>
          <w:szCs w:val="24"/>
        </w:rPr>
        <w:t xml:space="preserve">to </w:t>
      </w:r>
      <w:r w:rsidRPr="00397119">
        <w:rPr>
          <w:rFonts w:ascii="Times New Roman" w:eastAsia="Times New Roman" w:hAnsi="Times New Roman"/>
          <w:color w:val="000000" w:themeColor="text1"/>
          <w:sz w:val="24"/>
          <w:szCs w:val="24"/>
        </w:rPr>
        <w:t>promote the sub-scheme, “Comprehensive Rehabilitation for Welfare of Transgender Persons” under the SMILE scheme.</w:t>
      </w:r>
      <w:r w:rsidRPr="00397119">
        <w:rPr>
          <w:rStyle w:val="FootnoteReference"/>
          <w:rFonts w:ascii="Times New Roman" w:eastAsia="Times New Roman" w:hAnsi="Times New Roman"/>
          <w:color w:val="000000" w:themeColor="text1"/>
          <w:sz w:val="24"/>
          <w:szCs w:val="24"/>
        </w:rPr>
        <w:footnoteReference w:id="46"/>
      </w:r>
    </w:p>
    <w:p w14:paraId="4D54F91E" w14:textId="1547C20D" w:rsidR="009E508C" w:rsidRPr="00397119" w:rsidRDefault="009E508C" w:rsidP="003A039A">
      <w:pPr>
        <w:pStyle w:val="ListParagraph"/>
        <w:numPr>
          <w:ilvl w:val="0"/>
          <w:numId w:val="15"/>
        </w:numPr>
        <w:spacing w:after="120" w:line="240" w:lineRule="auto"/>
        <w:contextualSpacing w:val="0"/>
        <w:jc w:val="both"/>
        <w:rPr>
          <w:rFonts w:ascii="Times New Roman" w:eastAsia="Times New Roman" w:hAnsi="Times New Roman"/>
          <w:color w:val="000000" w:themeColor="text1"/>
          <w:sz w:val="24"/>
          <w:szCs w:val="24"/>
        </w:rPr>
      </w:pPr>
      <w:r w:rsidRPr="00397119">
        <w:rPr>
          <w:rFonts w:ascii="Times New Roman" w:eastAsia="Times New Roman" w:hAnsi="Times New Roman"/>
          <w:color w:val="000000" w:themeColor="text1"/>
          <w:sz w:val="24"/>
          <w:szCs w:val="24"/>
        </w:rPr>
        <w:t xml:space="preserve">Nevertheless, transgender individuals face significant </w:t>
      </w:r>
      <w:r w:rsidR="00AD03E2" w:rsidRPr="00397119">
        <w:rPr>
          <w:rFonts w:ascii="Times New Roman" w:eastAsia="Times New Roman" w:hAnsi="Times New Roman"/>
          <w:color w:val="000000" w:themeColor="text1"/>
          <w:sz w:val="24"/>
          <w:szCs w:val="24"/>
        </w:rPr>
        <w:t>discrimination</w:t>
      </w:r>
      <w:r w:rsidR="001703CD" w:rsidRPr="00397119">
        <w:rPr>
          <w:rFonts w:ascii="Times New Roman" w:eastAsia="Times New Roman" w:hAnsi="Times New Roman"/>
          <w:color w:val="000000" w:themeColor="text1"/>
          <w:sz w:val="24"/>
          <w:szCs w:val="24"/>
        </w:rPr>
        <w:t>, social stigma, and a lack of supportive infrastructure</w:t>
      </w:r>
      <w:r w:rsidR="00BE4FF0" w:rsidRPr="00397119">
        <w:rPr>
          <w:rFonts w:ascii="Times New Roman" w:eastAsia="Times New Roman" w:hAnsi="Times New Roman"/>
          <w:color w:val="000000" w:themeColor="text1"/>
          <w:sz w:val="24"/>
          <w:szCs w:val="24"/>
        </w:rPr>
        <w:t>,</w:t>
      </w:r>
      <w:r w:rsidR="001703CD" w:rsidRPr="00397119">
        <w:rPr>
          <w:rFonts w:ascii="Times New Roman" w:eastAsia="Times New Roman" w:hAnsi="Times New Roman"/>
          <w:color w:val="000000" w:themeColor="text1"/>
          <w:sz w:val="24"/>
          <w:szCs w:val="24"/>
        </w:rPr>
        <w:t xml:space="preserve"> which creates </w:t>
      </w:r>
      <w:r w:rsidRPr="00397119">
        <w:rPr>
          <w:rFonts w:ascii="Times New Roman" w:eastAsia="Times New Roman" w:hAnsi="Times New Roman"/>
          <w:color w:val="000000" w:themeColor="text1"/>
          <w:sz w:val="24"/>
          <w:szCs w:val="24"/>
        </w:rPr>
        <w:t xml:space="preserve">educational challenges </w:t>
      </w:r>
      <w:r w:rsidR="000718ED" w:rsidRPr="00397119">
        <w:rPr>
          <w:rFonts w:ascii="Times New Roman" w:eastAsia="Times New Roman" w:hAnsi="Times New Roman"/>
          <w:color w:val="000000" w:themeColor="text1"/>
          <w:sz w:val="24"/>
          <w:szCs w:val="24"/>
        </w:rPr>
        <w:t xml:space="preserve">such as a substantially lower </w:t>
      </w:r>
      <w:r w:rsidRPr="00397119">
        <w:rPr>
          <w:rFonts w:ascii="Times New Roman" w:eastAsia="Times New Roman" w:hAnsi="Times New Roman"/>
          <w:color w:val="000000" w:themeColor="text1"/>
          <w:sz w:val="24"/>
          <w:szCs w:val="24"/>
        </w:rPr>
        <w:t>literacy rate for the transgender community than the general population.</w:t>
      </w:r>
      <w:r w:rsidRPr="00397119">
        <w:rPr>
          <w:rStyle w:val="FootnoteReference"/>
          <w:rFonts w:ascii="Times New Roman" w:eastAsia="Times New Roman" w:hAnsi="Times New Roman"/>
          <w:color w:val="000000" w:themeColor="text1"/>
          <w:sz w:val="24"/>
          <w:szCs w:val="24"/>
        </w:rPr>
        <w:footnoteReference w:id="47"/>
      </w:r>
      <w:r w:rsidRPr="00397119">
        <w:rPr>
          <w:rFonts w:ascii="Times New Roman" w:eastAsia="Times New Roman" w:hAnsi="Times New Roman"/>
          <w:color w:val="000000" w:themeColor="text1"/>
          <w:sz w:val="24"/>
          <w:szCs w:val="24"/>
        </w:rPr>
        <w:t xml:space="preserve"> Even if they are enrolled in an educational institute, transgender individuals face harassment so severe that they are often forced to drop out.</w:t>
      </w:r>
      <w:r w:rsidRPr="00397119">
        <w:rPr>
          <w:rStyle w:val="FootnoteReference"/>
          <w:rFonts w:ascii="Times New Roman" w:eastAsia="Times New Roman" w:hAnsi="Times New Roman"/>
          <w:color w:val="000000" w:themeColor="text1"/>
          <w:sz w:val="24"/>
          <w:szCs w:val="24"/>
        </w:rPr>
        <w:footnoteReference w:id="48"/>
      </w:r>
    </w:p>
    <w:p w14:paraId="30CE6C23" w14:textId="591EAB8D" w:rsidR="009E508C" w:rsidRPr="00397119" w:rsidRDefault="00605B20" w:rsidP="003A039A">
      <w:pPr>
        <w:pStyle w:val="ListParagraph"/>
        <w:numPr>
          <w:ilvl w:val="0"/>
          <w:numId w:val="15"/>
        </w:numPr>
        <w:spacing w:after="120" w:line="240" w:lineRule="auto"/>
        <w:contextualSpacing w:val="0"/>
        <w:jc w:val="both"/>
        <w:rPr>
          <w:rFonts w:ascii="Times New Roman" w:eastAsia="Times New Roman" w:hAnsi="Times New Roman"/>
          <w:color w:val="000000" w:themeColor="text1"/>
          <w:sz w:val="24"/>
          <w:szCs w:val="24"/>
        </w:rPr>
      </w:pPr>
      <w:r w:rsidRPr="00397119">
        <w:rPr>
          <w:rFonts w:ascii="Times New Roman" w:hAnsi="Times New Roman"/>
          <w:sz w:val="24"/>
          <w:szCs w:val="24"/>
        </w:rPr>
        <w:t>T</w:t>
      </w:r>
      <w:r w:rsidR="009E508C" w:rsidRPr="00397119">
        <w:rPr>
          <w:rFonts w:ascii="Times New Roman" w:eastAsia="Times New Roman" w:hAnsi="Times New Roman"/>
          <w:color w:val="000000" w:themeColor="text1"/>
          <w:sz w:val="24"/>
          <w:szCs w:val="24"/>
        </w:rPr>
        <w:t>op-down approaches to social change often face enforcement challenges</w:t>
      </w:r>
      <w:r w:rsidR="002A7BB9" w:rsidRPr="00397119">
        <w:rPr>
          <w:rFonts w:ascii="Times New Roman" w:eastAsia="Times New Roman" w:hAnsi="Times New Roman"/>
          <w:color w:val="000000" w:themeColor="text1"/>
          <w:sz w:val="24"/>
          <w:szCs w:val="24"/>
        </w:rPr>
        <w:t>, however,</w:t>
      </w:r>
      <w:r w:rsidR="009E508C" w:rsidRPr="00397119">
        <w:rPr>
          <w:rFonts w:ascii="Times New Roman" w:eastAsia="Times New Roman" w:hAnsi="Times New Roman"/>
          <w:color w:val="000000" w:themeColor="text1"/>
          <w:sz w:val="24"/>
          <w:szCs w:val="24"/>
        </w:rPr>
        <w:t xml:space="preserve"> and may not quickly alter deep-seated cultural attitudes or systemic discrimination.</w:t>
      </w:r>
      <w:r w:rsidR="009E508C" w:rsidRPr="00397119">
        <w:rPr>
          <w:rStyle w:val="FootnoteTextChar"/>
          <w:rFonts w:ascii="Times New Roman" w:eastAsia="Times New Roman" w:hAnsi="Times New Roman"/>
          <w:color w:val="000000" w:themeColor="text1"/>
          <w:sz w:val="24"/>
          <w:szCs w:val="24"/>
        </w:rPr>
        <w:t xml:space="preserve"> </w:t>
      </w:r>
      <w:r w:rsidR="009E508C" w:rsidRPr="00397119">
        <w:rPr>
          <w:rStyle w:val="FootnoteReference"/>
          <w:rFonts w:ascii="Times New Roman" w:eastAsia="Times New Roman" w:hAnsi="Times New Roman"/>
          <w:color w:val="000000" w:themeColor="text1"/>
          <w:sz w:val="24"/>
          <w:szCs w:val="24"/>
        </w:rPr>
        <w:footnoteReference w:id="49"/>
      </w:r>
      <w:r w:rsidR="009E508C" w:rsidRPr="00397119">
        <w:rPr>
          <w:rFonts w:ascii="Times New Roman" w:eastAsia="Times New Roman" w:hAnsi="Times New Roman"/>
          <w:color w:val="000000" w:themeColor="text1"/>
          <w:sz w:val="24"/>
          <w:szCs w:val="24"/>
        </w:rPr>
        <w:t xml:space="preserve"> The financial situation of transgender individuals is often precarious due to widespread societal discrimination that limits their access to stable and dignified employment.</w:t>
      </w:r>
      <w:r w:rsidR="009E508C" w:rsidRPr="00397119">
        <w:rPr>
          <w:rStyle w:val="FootnoteReference"/>
          <w:rFonts w:ascii="Times New Roman" w:eastAsia="Times New Roman" w:hAnsi="Times New Roman"/>
          <w:color w:val="000000" w:themeColor="text1"/>
          <w:sz w:val="24"/>
          <w:szCs w:val="24"/>
        </w:rPr>
        <w:footnoteReference w:id="50"/>
      </w:r>
      <w:r w:rsidR="009E508C" w:rsidRPr="00397119">
        <w:rPr>
          <w:rFonts w:ascii="Times New Roman" w:eastAsia="Times New Roman" w:hAnsi="Times New Roman"/>
          <w:color w:val="000000" w:themeColor="text1"/>
          <w:sz w:val="24"/>
          <w:szCs w:val="24"/>
        </w:rPr>
        <w:t xml:space="preserve"> Many face challenges in obtaining formal jobs, pushing them towards informal economies where they are vulnerable to exploitation and instability.</w:t>
      </w:r>
      <w:r w:rsidR="009E508C" w:rsidRPr="00397119">
        <w:rPr>
          <w:rStyle w:val="FootnoteReference"/>
          <w:rFonts w:ascii="Times New Roman" w:eastAsia="Times New Roman" w:hAnsi="Times New Roman"/>
          <w:color w:val="000000" w:themeColor="text1"/>
          <w:sz w:val="24"/>
          <w:szCs w:val="24"/>
        </w:rPr>
        <w:footnoteReference w:id="51"/>
      </w:r>
      <w:r w:rsidR="009E508C" w:rsidRPr="00397119">
        <w:rPr>
          <w:rFonts w:ascii="Times New Roman" w:eastAsia="Times New Roman" w:hAnsi="Times New Roman"/>
          <w:color w:val="000000" w:themeColor="text1"/>
          <w:sz w:val="24"/>
          <w:szCs w:val="24"/>
        </w:rPr>
        <w:t xml:space="preserve"> Financial institutions further marginalize them by denying access to credit, savings accounts, and other essential financial services, frequently due to a lack of proper identification documents that reflect their gender identity.</w:t>
      </w:r>
      <w:r w:rsidR="009E508C" w:rsidRPr="00397119">
        <w:rPr>
          <w:rStyle w:val="FootnoteReference"/>
          <w:rFonts w:ascii="Times New Roman" w:eastAsia="Times New Roman" w:hAnsi="Times New Roman"/>
          <w:color w:val="000000" w:themeColor="text1"/>
          <w:sz w:val="24"/>
          <w:szCs w:val="24"/>
        </w:rPr>
        <w:footnoteReference w:id="52"/>
      </w:r>
      <w:r w:rsidR="009E508C" w:rsidRPr="00397119">
        <w:rPr>
          <w:rFonts w:ascii="Times New Roman" w:eastAsia="Times New Roman" w:hAnsi="Times New Roman"/>
          <w:color w:val="000000" w:themeColor="text1"/>
          <w:sz w:val="24"/>
          <w:szCs w:val="24"/>
        </w:rPr>
        <w:t xml:space="preserve"> Social protection schemes that could alleviate their economic hardships are often out of reach, as these programs may not be designed with the inclusivity necessary to </w:t>
      </w:r>
      <w:r w:rsidR="009E508C" w:rsidRPr="00397119">
        <w:rPr>
          <w:rFonts w:ascii="Times New Roman" w:eastAsia="Times New Roman" w:hAnsi="Times New Roman"/>
          <w:color w:val="000000" w:themeColor="text1"/>
          <w:sz w:val="24"/>
          <w:szCs w:val="24"/>
        </w:rPr>
        <w:lastRenderedPageBreak/>
        <w:t>address the specific needs of transgender individuals.</w:t>
      </w:r>
      <w:r w:rsidR="009E508C" w:rsidRPr="00397119">
        <w:rPr>
          <w:rStyle w:val="FootnoteReference"/>
          <w:rFonts w:ascii="Times New Roman" w:eastAsia="Times New Roman" w:hAnsi="Times New Roman"/>
          <w:color w:val="000000" w:themeColor="text1"/>
          <w:sz w:val="24"/>
          <w:szCs w:val="24"/>
        </w:rPr>
        <w:footnoteReference w:id="53"/>
      </w:r>
      <w:r w:rsidR="009E508C" w:rsidRPr="00397119">
        <w:rPr>
          <w:rFonts w:ascii="Times New Roman" w:eastAsia="Times New Roman" w:hAnsi="Times New Roman"/>
          <w:color w:val="000000" w:themeColor="text1"/>
          <w:sz w:val="24"/>
          <w:szCs w:val="24"/>
        </w:rPr>
        <w:t xml:space="preserve"> This systemic exclusion from economic support mechanisms perpetuates the cycle of poverty within the transgender community.</w:t>
      </w:r>
    </w:p>
    <w:p w14:paraId="2395EDB8" w14:textId="4E3DCFCA" w:rsidR="009E508C" w:rsidRPr="00397119" w:rsidRDefault="009E508C" w:rsidP="003A039A">
      <w:pPr>
        <w:keepNext/>
        <w:keepLines/>
        <w:spacing w:after="120"/>
        <w:jc w:val="both"/>
        <w:rPr>
          <w:rFonts w:eastAsia="Times New Roman"/>
          <w:i/>
          <w:iCs/>
          <w:color w:val="000000"/>
        </w:rPr>
      </w:pPr>
      <w:r w:rsidRPr="00397119">
        <w:rPr>
          <w:rFonts w:eastAsia="Times New Roman"/>
          <w:i/>
          <w:iCs/>
          <w:color w:val="000000"/>
        </w:rPr>
        <w:t xml:space="preserve">Violence Against </w:t>
      </w:r>
      <w:r w:rsidR="009F62A1" w:rsidRPr="00397119">
        <w:rPr>
          <w:rFonts w:eastAsia="Times New Roman"/>
          <w:i/>
          <w:iCs/>
          <w:color w:val="000000"/>
        </w:rPr>
        <w:t>LGBTQ+</w:t>
      </w:r>
      <w:r w:rsidRPr="00397119">
        <w:rPr>
          <w:rFonts w:eastAsia="Times New Roman"/>
          <w:i/>
          <w:iCs/>
          <w:color w:val="000000"/>
        </w:rPr>
        <w:t xml:space="preserve"> Individuals </w:t>
      </w:r>
    </w:p>
    <w:p w14:paraId="4F0D9D7F" w14:textId="5BB60616" w:rsidR="009E508C" w:rsidRPr="00397119" w:rsidRDefault="009E508C" w:rsidP="003A039A">
      <w:pPr>
        <w:numPr>
          <w:ilvl w:val="0"/>
          <w:numId w:val="15"/>
        </w:numPr>
        <w:spacing w:after="120"/>
        <w:jc w:val="both"/>
      </w:pPr>
      <w:r w:rsidRPr="00397119">
        <w:t xml:space="preserve">Despite the enshrined legal protections discussed herein, </w:t>
      </w:r>
      <w:r w:rsidR="009F62A1" w:rsidRPr="00397119">
        <w:t>LGBTQ+</w:t>
      </w:r>
      <w:r w:rsidRPr="00397119">
        <w:t xml:space="preserve"> individuals also face widespread violence</w:t>
      </w:r>
      <w:r w:rsidR="00FC46B0" w:rsidRPr="00397119">
        <w:t xml:space="preserve"> from </w:t>
      </w:r>
      <w:r w:rsidR="001620B8" w:rsidRPr="00397119">
        <w:t>State and non-State actors</w:t>
      </w:r>
      <w:r w:rsidRPr="00397119">
        <w:t>, including physical attacks and rape.</w:t>
      </w:r>
      <w:r w:rsidRPr="00397119">
        <w:rPr>
          <w:rStyle w:val="FootnoteReference"/>
        </w:rPr>
        <w:footnoteReference w:id="54"/>
      </w:r>
    </w:p>
    <w:p w14:paraId="0853CF02" w14:textId="73F8ADC3" w:rsidR="009E508C" w:rsidRPr="00397119" w:rsidRDefault="009E508C" w:rsidP="003A039A">
      <w:pPr>
        <w:pStyle w:val="ListParagraph"/>
        <w:numPr>
          <w:ilvl w:val="0"/>
          <w:numId w:val="15"/>
        </w:numPr>
        <w:spacing w:after="120" w:line="240" w:lineRule="auto"/>
        <w:contextualSpacing w:val="0"/>
        <w:jc w:val="both"/>
        <w:rPr>
          <w:rFonts w:ascii="Times New Roman" w:eastAsia="Times New Roman" w:hAnsi="Times New Roman"/>
          <w:color w:val="000000"/>
          <w:sz w:val="24"/>
          <w:szCs w:val="24"/>
          <w:lang w:val="x-none"/>
        </w:rPr>
      </w:pPr>
      <w:r w:rsidRPr="00397119">
        <w:rPr>
          <w:rFonts w:ascii="Times New Roman" w:eastAsia="Times New Roman" w:hAnsi="Times New Roman"/>
          <w:color w:val="000000"/>
          <w:sz w:val="24"/>
          <w:szCs w:val="24"/>
          <w:lang w:val="x-none"/>
        </w:rPr>
        <w:t xml:space="preserve">The International </w:t>
      </w:r>
      <w:r w:rsidR="00D47F33" w:rsidRPr="00397119">
        <w:rPr>
          <w:rFonts w:ascii="Times New Roman" w:eastAsia="Times New Roman" w:hAnsi="Times New Roman"/>
          <w:color w:val="000000"/>
          <w:sz w:val="24"/>
          <w:szCs w:val="24"/>
          <w:lang w:val="x-none"/>
        </w:rPr>
        <w:t>Commission of Jurists</w:t>
      </w:r>
      <w:r w:rsidRPr="00397119">
        <w:rPr>
          <w:rFonts w:ascii="Times New Roman" w:eastAsia="Times New Roman" w:hAnsi="Times New Roman"/>
          <w:color w:val="000000"/>
          <w:sz w:val="24"/>
          <w:szCs w:val="24"/>
          <w:lang w:val="x-none"/>
        </w:rPr>
        <w:t xml:space="preserve"> has recorded numerous examples of violence against </w:t>
      </w:r>
      <w:r w:rsidR="009F62A1" w:rsidRPr="00397119">
        <w:rPr>
          <w:rFonts w:ascii="Times New Roman" w:eastAsia="Times New Roman" w:hAnsi="Times New Roman"/>
          <w:color w:val="000000"/>
          <w:sz w:val="24"/>
          <w:szCs w:val="24"/>
          <w:lang w:val="x-none"/>
        </w:rPr>
        <w:t>LGBTQ+</w:t>
      </w:r>
      <w:r w:rsidRPr="00397119">
        <w:rPr>
          <w:rFonts w:ascii="Times New Roman" w:eastAsia="Times New Roman" w:hAnsi="Times New Roman"/>
          <w:color w:val="000000"/>
          <w:sz w:val="24"/>
          <w:szCs w:val="24"/>
          <w:lang w:val="x-none"/>
        </w:rPr>
        <w:t xml:space="preserve"> individuals in India. According </w:t>
      </w:r>
      <w:r w:rsidR="00091201" w:rsidRPr="00397119">
        <w:rPr>
          <w:rFonts w:ascii="Times New Roman" w:eastAsia="Times New Roman" w:hAnsi="Times New Roman"/>
          <w:color w:val="000000"/>
          <w:sz w:val="24"/>
          <w:szCs w:val="24"/>
          <w:lang w:val="x-none"/>
        </w:rPr>
        <w:t>to the</w:t>
      </w:r>
      <w:r w:rsidRPr="00397119">
        <w:rPr>
          <w:rFonts w:ascii="Times New Roman" w:eastAsia="Times New Roman" w:hAnsi="Times New Roman"/>
          <w:color w:val="000000"/>
          <w:sz w:val="24"/>
          <w:szCs w:val="24"/>
          <w:lang w:val="x-none"/>
        </w:rPr>
        <w:t xml:space="preserve"> report, “</w:t>
      </w:r>
      <w:r w:rsidRPr="00397119">
        <w:rPr>
          <w:rFonts w:ascii="Times New Roman" w:eastAsia="Times New Roman" w:hAnsi="Times New Roman"/>
          <w:color w:val="000000"/>
          <w:sz w:val="24"/>
          <w:szCs w:val="24"/>
        </w:rPr>
        <w:t>[</w:t>
      </w:r>
      <w:proofErr w:type="spellStart"/>
      <w:r w:rsidRPr="00397119">
        <w:rPr>
          <w:rFonts w:ascii="Times New Roman" w:eastAsia="Times New Roman" w:hAnsi="Times New Roman"/>
          <w:color w:val="000000"/>
          <w:sz w:val="24"/>
          <w:szCs w:val="24"/>
        </w:rPr>
        <w:t>i</w:t>
      </w:r>
      <w:proofErr w:type="spellEnd"/>
      <w:r w:rsidRPr="00397119">
        <w:rPr>
          <w:rFonts w:ascii="Times New Roman" w:eastAsia="Times New Roman" w:hAnsi="Times New Roman"/>
          <w:color w:val="000000"/>
          <w:sz w:val="24"/>
          <w:szCs w:val="24"/>
        </w:rPr>
        <w:t>]</w:t>
      </w:r>
      <w:proofErr w:type="spellStart"/>
      <w:r w:rsidRPr="00397119">
        <w:rPr>
          <w:rFonts w:ascii="Times New Roman" w:eastAsia="Times New Roman" w:hAnsi="Times New Roman"/>
          <w:color w:val="000000"/>
          <w:sz w:val="24"/>
          <w:szCs w:val="24"/>
        </w:rPr>
        <w:t>nterviewees</w:t>
      </w:r>
      <w:proofErr w:type="spellEnd"/>
      <w:r w:rsidRPr="00397119">
        <w:rPr>
          <w:rFonts w:ascii="Times New Roman" w:eastAsia="Times New Roman" w:hAnsi="Times New Roman"/>
          <w:color w:val="000000"/>
          <w:sz w:val="24"/>
          <w:szCs w:val="24"/>
        </w:rPr>
        <w:t xml:space="preserve"> [have been] subject to many different forms of violence, including: physical violence (often sexual violence including rape); psychological abuse (including verbal and emotional attacks); economic abuses (including extortion and deprivation of basic necessities); forced confinement; participation in “corrective therapies”; and involuntary admission to mental health institutions.”</w:t>
      </w:r>
      <w:r w:rsidRPr="00397119">
        <w:rPr>
          <w:rStyle w:val="FootnoteReference"/>
          <w:rFonts w:ascii="Times New Roman" w:eastAsia="Times New Roman" w:hAnsi="Times New Roman"/>
          <w:color w:val="000000"/>
          <w:sz w:val="24"/>
          <w:szCs w:val="24"/>
        </w:rPr>
        <w:footnoteReference w:id="55"/>
      </w:r>
    </w:p>
    <w:p w14:paraId="12392904" w14:textId="4788D2AB" w:rsidR="009E508C" w:rsidRPr="00397119" w:rsidRDefault="009E508C" w:rsidP="003A039A">
      <w:pPr>
        <w:pStyle w:val="ListParagraph"/>
        <w:numPr>
          <w:ilvl w:val="0"/>
          <w:numId w:val="15"/>
        </w:numPr>
        <w:spacing w:after="120" w:line="240" w:lineRule="auto"/>
        <w:contextualSpacing w:val="0"/>
        <w:jc w:val="both"/>
        <w:rPr>
          <w:rFonts w:ascii="Times New Roman" w:eastAsia="Times New Roman" w:hAnsi="Times New Roman"/>
          <w:color w:val="000000"/>
          <w:sz w:val="24"/>
          <w:szCs w:val="24"/>
          <w:lang w:val="x-none"/>
        </w:rPr>
      </w:pPr>
      <w:r w:rsidRPr="00397119">
        <w:rPr>
          <w:rFonts w:ascii="Times New Roman" w:eastAsia="Times New Roman" w:hAnsi="Times New Roman"/>
          <w:color w:val="000000"/>
          <w:sz w:val="24"/>
          <w:szCs w:val="24"/>
        </w:rPr>
        <w:t xml:space="preserve">One such interviewee provided the following testimony that exemplifies the familial violence that takes place against </w:t>
      </w:r>
      <w:r w:rsidR="009F62A1" w:rsidRPr="00397119">
        <w:rPr>
          <w:rFonts w:ascii="Times New Roman" w:hAnsi="Times New Roman"/>
          <w:sz w:val="24"/>
          <w:szCs w:val="24"/>
        </w:rPr>
        <w:t>LGBTQ+</w:t>
      </w:r>
      <w:r w:rsidRPr="00397119">
        <w:rPr>
          <w:rFonts w:ascii="Times New Roman" w:eastAsia="Times New Roman" w:hAnsi="Times New Roman"/>
          <w:color w:val="000000"/>
          <w:sz w:val="24"/>
          <w:szCs w:val="24"/>
        </w:rPr>
        <w:t xml:space="preserve"> individuals: “[w]</w:t>
      </w:r>
      <w:proofErr w:type="spellStart"/>
      <w:r w:rsidRPr="00397119">
        <w:rPr>
          <w:rFonts w:ascii="Times New Roman" w:eastAsia="Times New Roman" w:hAnsi="Times New Roman"/>
          <w:color w:val="000000"/>
          <w:sz w:val="24"/>
          <w:szCs w:val="24"/>
        </w:rPr>
        <w:t>hen</w:t>
      </w:r>
      <w:proofErr w:type="spellEnd"/>
      <w:r w:rsidRPr="00397119">
        <w:rPr>
          <w:rFonts w:ascii="Times New Roman" w:eastAsia="Times New Roman" w:hAnsi="Times New Roman"/>
          <w:color w:val="000000"/>
          <w:sz w:val="24"/>
          <w:szCs w:val="24"/>
        </w:rPr>
        <w:t xml:space="preserve"> I was in class nine, my brother told me to grow my hair. I refused and went to my home with short hair. My brother told me that he’d auction me off in public since I didn’t listen to him... He then shaved off my head completely. I locked myself for 2 days in my room and cried.... I was very depressed; I was feeling suicidal. He continued to harass me for years… During my father’s funeral, my family told me to wear the traditional female dress. I refused and told them that I’d only wear the male dress. I said that God has seen my inner feelings, and my father must also have seen, so it shouldn’t matter what I wear. All my family members and </w:t>
      </w:r>
      <w:proofErr w:type="spellStart"/>
      <w:r w:rsidRPr="00397119">
        <w:rPr>
          <w:rFonts w:ascii="Times New Roman" w:eastAsia="Times New Roman" w:hAnsi="Times New Roman"/>
          <w:color w:val="000000"/>
          <w:sz w:val="24"/>
          <w:szCs w:val="24"/>
        </w:rPr>
        <w:t>neighbours</w:t>
      </w:r>
      <w:proofErr w:type="spellEnd"/>
      <w:r w:rsidRPr="00397119">
        <w:rPr>
          <w:rFonts w:ascii="Times New Roman" w:eastAsia="Times New Roman" w:hAnsi="Times New Roman"/>
          <w:color w:val="000000"/>
          <w:sz w:val="24"/>
          <w:szCs w:val="24"/>
        </w:rPr>
        <w:t xml:space="preserve"> started shouting at me.”</w:t>
      </w:r>
      <w:r w:rsidRPr="00397119">
        <w:rPr>
          <w:rStyle w:val="FootnoteReference"/>
          <w:rFonts w:ascii="Times New Roman" w:eastAsia="Times New Roman" w:hAnsi="Times New Roman"/>
          <w:color w:val="000000"/>
          <w:sz w:val="24"/>
          <w:szCs w:val="24"/>
        </w:rPr>
        <w:footnoteReference w:id="56"/>
      </w:r>
    </w:p>
    <w:p w14:paraId="390B79FE" w14:textId="09144BFE" w:rsidR="009E508C" w:rsidRPr="00397119" w:rsidRDefault="009E508C" w:rsidP="003A039A">
      <w:pPr>
        <w:numPr>
          <w:ilvl w:val="0"/>
          <w:numId w:val="15"/>
        </w:numPr>
        <w:spacing w:after="120"/>
        <w:jc w:val="both"/>
      </w:pPr>
      <w:r w:rsidRPr="00397119">
        <w:t xml:space="preserve">Another interview provided the following testimony that exemplifies the types of community violence that takes place against </w:t>
      </w:r>
      <w:r w:rsidR="009F62A1" w:rsidRPr="00397119">
        <w:t>LGBTQ+</w:t>
      </w:r>
      <w:r w:rsidRPr="00397119">
        <w:t xml:space="preserve"> individuals: “R, who eloped with her partner Q, a </w:t>
      </w:r>
      <w:r w:rsidR="00E1378A" w:rsidRPr="00397119">
        <w:t>[</w:t>
      </w:r>
      <w:r w:rsidRPr="00397119">
        <w:t>trans</w:t>
      </w:r>
      <w:r w:rsidR="00E1378A" w:rsidRPr="00397119">
        <w:t xml:space="preserve"> </w:t>
      </w:r>
      <w:r w:rsidRPr="00397119">
        <w:t>man</w:t>
      </w:r>
      <w:r w:rsidR="00E1378A" w:rsidRPr="00397119">
        <w:t>]</w:t>
      </w:r>
      <w:r w:rsidRPr="00397119">
        <w:t xml:space="preserve">, described how they had to keep shifting houses for months while being chased by family members and police. The environment had become very hostile and unsafe, so [R and Q] decided to go far away to a village where it was difficult to track [them]. [R comes] from the caste where honor killings are common, and prestige is a very big thing. [R feels] that if [R’s] parents find [R and Q], they will kill [them]. For </w:t>
      </w:r>
      <w:r w:rsidRPr="00397119">
        <w:lastRenderedPageBreak/>
        <w:t>a very long time, people from [R’s] village, around 150 men, were roaming around with swords looking for [R and Q] at all of the railway stations.”</w:t>
      </w:r>
      <w:r w:rsidRPr="00397119">
        <w:rPr>
          <w:rStyle w:val="FootnoteReference"/>
        </w:rPr>
        <w:footnoteReference w:id="57"/>
      </w:r>
    </w:p>
    <w:p w14:paraId="4AF6AD28" w14:textId="0BAE5606" w:rsidR="009E508C" w:rsidRPr="00397119" w:rsidRDefault="009E508C" w:rsidP="003A039A">
      <w:pPr>
        <w:numPr>
          <w:ilvl w:val="0"/>
          <w:numId w:val="15"/>
        </w:numPr>
        <w:spacing w:after="120"/>
        <w:jc w:val="both"/>
      </w:pPr>
      <w:r w:rsidRPr="00397119">
        <w:t xml:space="preserve">Furthermore, according to the International </w:t>
      </w:r>
      <w:r w:rsidR="00D47F33" w:rsidRPr="00397119">
        <w:t>Commission of Jurists</w:t>
      </w:r>
      <w:r w:rsidRPr="00397119">
        <w:t>, “while legal redress for most forms of violence and harassment is available under the regular provisions of the Indian criminal law, the specific applicability of most of these provisions to [</w:t>
      </w:r>
      <w:r w:rsidR="009F62A1" w:rsidRPr="00397119">
        <w:t>LGBTQ+</w:t>
      </w:r>
      <w:r w:rsidRPr="00397119">
        <w:t xml:space="preserve"> </w:t>
      </w:r>
      <w:r w:rsidR="00610FCD" w:rsidRPr="00397119">
        <w:t>individuals] …</w:t>
      </w:r>
      <w:r w:rsidRPr="00397119">
        <w:t>is sometimes unclear, and often go unenforced.</w:t>
      </w:r>
      <w:r w:rsidR="00D47F33" w:rsidRPr="00397119">
        <w:t>”</w:t>
      </w:r>
      <w:r w:rsidRPr="00397119">
        <w:rPr>
          <w:rStyle w:val="FootnoteReference"/>
        </w:rPr>
        <w:footnoteReference w:id="58"/>
      </w:r>
    </w:p>
    <w:p w14:paraId="11C80180" w14:textId="395F15AB" w:rsidR="009E508C" w:rsidRPr="00397119" w:rsidRDefault="009E508C" w:rsidP="003A039A">
      <w:pPr>
        <w:numPr>
          <w:ilvl w:val="0"/>
          <w:numId w:val="15"/>
        </w:numPr>
        <w:spacing w:after="120"/>
        <w:jc w:val="both"/>
      </w:pPr>
      <w:r w:rsidRPr="00397119">
        <w:t xml:space="preserve">According to </w:t>
      </w:r>
      <w:r w:rsidR="009F62A1" w:rsidRPr="00397119">
        <w:t>LGBTQ+</w:t>
      </w:r>
      <w:r w:rsidRPr="00397119">
        <w:t xml:space="preserve"> </w:t>
      </w:r>
      <w:r w:rsidR="007E0D00" w:rsidRPr="00397119">
        <w:t>human rights defenders</w:t>
      </w:r>
      <w:r w:rsidRPr="00397119">
        <w:t xml:space="preserve">, there in inadequate record of </w:t>
      </w:r>
      <w:r w:rsidR="009F62A1" w:rsidRPr="00397119">
        <w:t>LGBTQ+</w:t>
      </w:r>
      <w:r w:rsidRPr="00397119">
        <w:t xml:space="preserve"> violence in India</w:t>
      </w:r>
      <w:r w:rsidR="007E0D00" w:rsidRPr="00397119">
        <w:t xml:space="preserve">, which makes tracking incidents of </w:t>
      </w:r>
      <w:r w:rsidR="006F1757" w:rsidRPr="00397119">
        <w:t xml:space="preserve">violence against </w:t>
      </w:r>
      <w:r w:rsidR="009F62A1" w:rsidRPr="00397119">
        <w:t>LGBTQ+</w:t>
      </w:r>
      <w:r w:rsidR="006F1757" w:rsidRPr="00397119">
        <w:t xml:space="preserve"> people particularly difficult</w:t>
      </w:r>
      <w:r w:rsidR="0073640B" w:rsidRPr="00397119">
        <w:t>.</w:t>
      </w:r>
      <w:r w:rsidRPr="00397119">
        <w:rPr>
          <w:rStyle w:val="FootnoteReference"/>
        </w:rPr>
        <w:footnoteReference w:id="59"/>
      </w:r>
      <w:r w:rsidRPr="00397119">
        <w:t xml:space="preserve"> </w:t>
      </w:r>
    </w:p>
    <w:p w14:paraId="416DD6A9" w14:textId="3A26CE24" w:rsidR="007141DA" w:rsidRPr="00397119" w:rsidRDefault="009E508C" w:rsidP="003A039A">
      <w:pPr>
        <w:numPr>
          <w:ilvl w:val="0"/>
          <w:numId w:val="15"/>
        </w:numPr>
        <w:spacing w:after="120"/>
        <w:jc w:val="both"/>
      </w:pPr>
      <w:r w:rsidRPr="00397119">
        <w:t xml:space="preserve">As further reported by the U.S. Department of State with respect to violence against </w:t>
      </w:r>
      <w:r w:rsidR="009F62A1" w:rsidRPr="00397119">
        <w:t>LGBTQ+</w:t>
      </w:r>
      <w:r w:rsidRPr="00397119">
        <w:t xml:space="preserve"> individuals in India, “police </w:t>
      </w:r>
      <w:r w:rsidR="00610FCD" w:rsidRPr="00397119">
        <w:t>officers’</w:t>
      </w:r>
      <w:r w:rsidRPr="00397119">
        <w:t xml:space="preserve"> [commit] crimes against </w:t>
      </w:r>
      <w:r w:rsidR="009F62A1" w:rsidRPr="00397119">
        <w:t>LGBTQ+</w:t>
      </w:r>
      <w:r w:rsidRPr="00397119">
        <w:t xml:space="preserve"> persons and used the threat of arrest to coerce victims not to report the incidents.”</w:t>
      </w:r>
      <w:r w:rsidRPr="00397119">
        <w:rPr>
          <w:rStyle w:val="FootnoteReference"/>
        </w:rPr>
        <w:footnoteReference w:id="60"/>
      </w:r>
      <w:r w:rsidRPr="00397119">
        <w:t xml:space="preserve"> The U.S. Department of State also notes that “[e]</w:t>
      </w:r>
      <w:proofErr w:type="spellStart"/>
      <w:r w:rsidRPr="00397119">
        <w:t>xperts</w:t>
      </w:r>
      <w:proofErr w:type="spellEnd"/>
      <w:r w:rsidRPr="00397119">
        <w:t xml:space="preserve"> acknowledged a disconnect between court action and state action to create an enabling environment for queer persons…. some law enforcement officials tended to side with family interests against the queer community.”</w:t>
      </w:r>
      <w:r w:rsidRPr="00397119">
        <w:rPr>
          <w:rStyle w:val="FootnoteReference"/>
        </w:rPr>
        <w:footnoteReference w:id="61"/>
      </w:r>
      <w:r w:rsidRPr="00397119">
        <w:t xml:space="preserve"> </w:t>
      </w:r>
      <w:bookmarkStart w:id="2" w:name="_Hlk165995562"/>
      <w:r w:rsidR="00DC4376" w:rsidRPr="00397119">
        <w:t>NGOs</w:t>
      </w:r>
      <w:r w:rsidR="00A852FA" w:rsidRPr="00397119">
        <w:t xml:space="preserve"> in India also report “discrimination and violence including physical attacks and rape against members of the </w:t>
      </w:r>
      <w:r w:rsidR="009F62A1" w:rsidRPr="00397119">
        <w:t>LGBTQ+</w:t>
      </w:r>
      <w:r w:rsidR="00A852FA" w:rsidRPr="00397119">
        <w:t xml:space="preserve"> community.”</w:t>
      </w:r>
      <w:bookmarkEnd w:id="2"/>
    </w:p>
    <w:p w14:paraId="7C3D28B8" w14:textId="5C6F62EB" w:rsidR="004B7964" w:rsidRPr="00397119" w:rsidRDefault="004B7964" w:rsidP="003A039A">
      <w:pPr>
        <w:pStyle w:val="Subtitle"/>
        <w:keepNext/>
        <w:keepLines/>
        <w:spacing w:before="240" w:after="240"/>
        <w:rPr>
          <w:rFonts w:cs="Times New Roman"/>
          <w:szCs w:val="24"/>
        </w:rPr>
      </w:pPr>
      <w:r w:rsidRPr="00397119">
        <w:rPr>
          <w:rFonts w:cs="Times New Roman"/>
          <w:szCs w:val="24"/>
        </w:rPr>
        <w:lastRenderedPageBreak/>
        <w:t xml:space="preserve">Suggested recommendations for the Government of India </w:t>
      </w:r>
    </w:p>
    <w:p w14:paraId="7E2282EB" w14:textId="6933ABBA" w:rsidR="004C5547" w:rsidRPr="00397119" w:rsidRDefault="004C5547" w:rsidP="003A039A">
      <w:pPr>
        <w:pStyle w:val="ListParagraph"/>
        <w:keepNext/>
        <w:keepLines/>
        <w:numPr>
          <w:ilvl w:val="0"/>
          <w:numId w:val="15"/>
        </w:numPr>
        <w:spacing w:after="120" w:line="240" w:lineRule="auto"/>
        <w:contextualSpacing w:val="0"/>
        <w:jc w:val="both"/>
        <w:rPr>
          <w:rFonts w:ascii="Times New Roman" w:hAnsi="Times New Roman"/>
          <w:sz w:val="24"/>
          <w:szCs w:val="24"/>
        </w:rPr>
      </w:pPr>
      <w:r w:rsidRPr="00397119">
        <w:rPr>
          <w:rFonts w:ascii="Times New Roman" w:hAnsi="Times New Roman"/>
          <w:sz w:val="24"/>
          <w:szCs w:val="24"/>
        </w:rPr>
        <w:t xml:space="preserve">The </w:t>
      </w:r>
      <w:r w:rsidR="00DC4376" w:rsidRPr="00397119">
        <w:rPr>
          <w:rFonts w:ascii="Times New Roman" w:hAnsi="Times New Roman"/>
          <w:sz w:val="24"/>
          <w:szCs w:val="24"/>
        </w:rPr>
        <w:t>co-</w:t>
      </w:r>
      <w:r w:rsidRPr="00397119">
        <w:rPr>
          <w:rFonts w:ascii="Times New Roman" w:hAnsi="Times New Roman"/>
          <w:sz w:val="24"/>
          <w:szCs w:val="24"/>
        </w:rPr>
        <w:t>authors of this report suggest the</w:t>
      </w:r>
      <w:r w:rsidR="00DC4376" w:rsidRPr="00397119">
        <w:rPr>
          <w:rFonts w:ascii="Times New Roman" w:hAnsi="Times New Roman"/>
          <w:sz w:val="24"/>
          <w:szCs w:val="24"/>
        </w:rPr>
        <w:t xml:space="preserve"> Committee make the</w:t>
      </w:r>
      <w:r w:rsidRPr="00397119">
        <w:rPr>
          <w:rFonts w:ascii="Times New Roman" w:hAnsi="Times New Roman"/>
          <w:sz w:val="24"/>
          <w:szCs w:val="24"/>
        </w:rPr>
        <w:t xml:space="preserve"> following recommendations </w:t>
      </w:r>
      <w:r w:rsidR="00DC4376" w:rsidRPr="00397119">
        <w:rPr>
          <w:rFonts w:ascii="Times New Roman" w:hAnsi="Times New Roman"/>
          <w:sz w:val="24"/>
          <w:szCs w:val="24"/>
        </w:rPr>
        <w:t xml:space="preserve">to </w:t>
      </w:r>
      <w:r w:rsidRPr="00397119">
        <w:rPr>
          <w:rFonts w:ascii="Times New Roman" w:hAnsi="Times New Roman"/>
          <w:sz w:val="24"/>
          <w:szCs w:val="24"/>
        </w:rPr>
        <w:t xml:space="preserve">the Government of India: </w:t>
      </w:r>
    </w:p>
    <w:p w14:paraId="0D4DA8E7" w14:textId="2253E924" w:rsidR="006B7D67" w:rsidRPr="009154E5" w:rsidRDefault="0019364D" w:rsidP="009154E5">
      <w:pPr>
        <w:pStyle w:val="ListParagraph"/>
        <w:keepNext/>
        <w:keepLines/>
        <w:numPr>
          <w:ilvl w:val="0"/>
          <w:numId w:val="26"/>
        </w:numPr>
        <w:spacing w:after="120" w:line="240" w:lineRule="auto"/>
        <w:ind w:left="1440"/>
        <w:contextualSpacing w:val="0"/>
        <w:jc w:val="both"/>
        <w:rPr>
          <w:rFonts w:ascii="Times New Roman" w:hAnsi="Times New Roman"/>
          <w:sz w:val="24"/>
          <w:szCs w:val="24"/>
        </w:rPr>
      </w:pPr>
      <w:r w:rsidRPr="00397119">
        <w:rPr>
          <w:rFonts w:ascii="Times New Roman" w:hAnsi="Times New Roman"/>
          <w:sz w:val="24"/>
          <w:szCs w:val="24"/>
        </w:rPr>
        <w:t xml:space="preserve">Adopt comprehensive anti-discrimination legislation that prohibits discrimination by State and non-State actors </w:t>
      </w:r>
      <w:proofErr w:type="gramStart"/>
      <w:r w:rsidR="00A44F69" w:rsidRPr="00397119">
        <w:rPr>
          <w:rFonts w:ascii="Times New Roman" w:hAnsi="Times New Roman"/>
          <w:sz w:val="24"/>
          <w:szCs w:val="24"/>
        </w:rPr>
        <w:t>on the basis of</w:t>
      </w:r>
      <w:proofErr w:type="gramEnd"/>
      <w:r w:rsidR="00A44F69" w:rsidRPr="00397119">
        <w:rPr>
          <w:rFonts w:ascii="Times New Roman" w:hAnsi="Times New Roman"/>
          <w:sz w:val="24"/>
          <w:szCs w:val="24"/>
        </w:rPr>
        <w:t xml:space="preserve"> sexual orientation, gender identity, and gender expression</w:t>
      </w:r>
      <w:r w:rsidR="00035E6B" w:rsidRPr="00397119">
        <w:rPr>
          <w:rFonts w:ascii="Times New Roman" w:hAnsi="Times New Roman"/>
          <w:sz w:val="24"/>
          <w:szCs w:val="24"/>
        </w:rPr>
        <w:t xml:space="preserve"> (SOGIE)</w:t>
      </w:r>
      <w:r w:rsidR="009154E5">
        <w:rPr>
          <w:rFonts w:ascii="Times New Roman" w:hAnsi="Times New Roman"/>
          <w:sz w:val="24"/>
          <w:szCs w:val="24"/>
        </w:rPr>
        <w:t>, including</w:t>
      </w:r>
      <w:r w:rsidR="00C40A0E">
        <w:rPr>
          <w:rFonts w:ascii="Times New Roman" w:hAnsi="Times New Roman"/>
          <w:sz w:val="24"/>
          <w:szCs w:val="24"/>
        </w:rPr>
        <w:t xml:space="preserve">, but not limited to, </w:t>
      </w:r>
      <w:r w:rsidR="009154E5">
        <w:rPr>
          <w:rFonts w:ascii="Times New Roman" w:hAnsi="Times New Roman"/>
          <w:sz w:val="24"/>
          <w:szCs w:val="24"/>
        </w:rPr>
        <w:t>in education, housing, employment</w:t>
      </w:r>
      <w:r w:rsidR="00C40A0E">
        <w:rPr>
          <w:rFonts w:ascii="Times New Roman" w:hAnsi="Times New Roman"/>
          <w:sz w:val="24"/>
          <w:szCs w:val="24"/>
        </w:rPr>
        <w:t>, and access to services</w:t>
      </w:r>
      <w:r w:rsidR="00A44F69" w:rsidRPr="00397119">
        <w:rPr>
          <w:rFonts w:ascii="Times New Roman" w:hAnsi="Times New Roman"/>
          <w:sz w:val="24"/>
          <w:szCs w:val="24"/>
        </w:rPr>
        <w:t>.</w:t>
      </w:r>
      <w:r w:rsidR="003D457B" w:rsidRPr="00397119">
        <w:rPr>
          <w:rFonts w:ascii="Times New Roman" w:hAnsi="Times New Roman"/>
          <w:sz w:val="24"/>
          <w:szCs w:val="24"/>
        </w:rPr>
        <w:t xml:space="preserve"> Include clear p</w:t>
      </w:r>
      <w:r w:rsidR="00AC23FD" w:rsidRPr="00397119">
        <w:rPr>
          <w:rFonts w:ascii="Times New Roman" w:hAnsi="Times New Roman"/>
          <w:sz w:val="24"/>
          <w:szCs w:val="24"/>
        </w:rPr>
        <w:t xml:space="preserve">enalties for violations of discrimination </w:t>
      </w:r>
      <w:proofErr w:type="gramStart"/>
      <w:r w:rsidR="00AC23FD" w:rsidRPr="00397119">
        <w:rPr>
          <w:rFonts w:ascii="Times New Roman" w:hAnsi="Times New Roman"/>
          <w:sz w:val="24"/>
          <w:szCs w:val="24"/>
        </w:rPr>
        <w:t>on the basis of</w:t>
      </w:r>
      <w:proofErr w:type="gramEnd"/>
      <w:r w:rsidR="00AC23FD" w:rsidRPr="00397119">
        <w:rPr>
          <w:rFonts w:ascii="Times New Roman" w:hAnsi="Times New Roman"/>
          <w:sz w:val="24"/>
          <w:szCs w:val="24"/>
        </w:rPr>
        <w:t xml:space="preserve"> SOGIE and provide redress for individuals experiencing discrimination on the basis of SOGIE.</w:t>
      </w:r>
    </w:p>
    <w:p w14:paraId="1A93E664" w14:textId="76026678" w:rsidR="00A44F69" w:rsidRPr="00397119" w:rsidRDefault="003843DA" w:rsidP="003A039A">
      <w:pPr>
        <w:pStyle w:val="ListParagraph"/>
        <w:keepNext/>
        <w:keepLines/>
        <w:numPr>
          <w:ilvl w:val="0"/>
          <w:numId w:val="26"/>
        </w:numPr>
        <w:spacing w:after="120" w:line="240" w:lineRule="auto"/>
        <w:ind w:left="1440"/>
        <w:contextualSpacing w:val="0"/>
        <w:jc w:val="both"/>
        <w:rPr>
          <w:rFonts w:ascii="Times New Roman" w:hAnsi="Times New Roman"/>
          <w:sz w:val="24"/>
          <w:szCs w:val="24"/>
        </w:rPr>
      </w:pPr>
      <w:r w:rsidRPr="00397119">
        <w:rPr>
          <w:rFonts w:ascii="Times New Roman" w:hAnsi="Times New Roman"/>
          <w:sz w:val="24"/>
          <w:szCs w:val="24"/>
        </w:rPr>
        <w:t>Create pathways for legal recognition of same-sex partnerships</w:t>
      </w:r>
      <w:r w:rsidR="000B7CB2" w:rsidRPr="00397119">
        <w:rPr>
          <w:rFonts w:ascii="Times New Roman" w:hAnsi="Times New Roman"/>
          <w:sz w:val="24"/>
          <w:szCs w:val="24"/>
        </w:rPr>
        <w:t>, ensuring access to all the benefits of married, different-sex couples.</w:t>
      </w:r>
    </w:p>
    <w:p w14:paraId="3A3DBFD3" w14:textId="16D56679" w:rsidR="002758A5" w:rsidRPr="00397119" w:rsidRDefault="000814CC" w:rsidP="003A039A">
      <w:pPr>
        <w:pStyle w:val="ListParagraph"/>
        <w:keepNext/>
        <w:keepLines/>
        <w:numPr>
          <w:ilvl w:val="0"/>
          <w:numId w:val="26"/>
        </w:numPr>
        <w:spacing w:after="120" w:line="240" w:lineRule="auto"/>
        <w:ind w:left="1440"/>
        <w:contextualSpacing w:val="0"/>
        <w:jc w:val="both"/>
        <w:rPr>
          <w:rFonts w:ascii="Times New Roman" w:hAnsi="Times New Roman"/>
          <w:sz w:val="24"/>
          <w:szCs w:val="24"/>
        </w:rPr>
      </w:pPr>
      <w:r w:rsidRPr="00397119">
        <w:rPr>
          <w:rFonts w:ascii="Times New Roman" w:hAnsi="Times New Roman"/>
          <w:sz w:val="24"/>
          <w:szCs w:val="24"/>
        </w:rPr>
        <w:t xml:space="preserve">Ensure that transgender men are equally recognized and protected under laws </w:t>
      </w:r>
      <w:r w:rsidR="000C7F63" w:rsidRPr="00397119">
        <w:rPr>
          <w:rFonts w:ascii="Times New Roman" w:hAnsi="Times New Roman"/>
          <w:sz w:val="24"/>
          <w:szCs w:val="24"/>
        </w:rPr>
        <w:t>for transgender and third sex people.</w:t>
      </w:r>
    </w:p>
    <w:p w14:paraId="6CCF6C2B" w14:textId="3CB2FB59" w:rsidR="000C7F63" w:rsidRPr="00397119" w:rsidRDefault="000C7F63" w:rsidP="003A039A">
      <w:pPr>
        <w:pStyle w:val="ListParagraph"/>
        <w:keepNext/>
        <w:keepLines/>
        <w:numPr>
          <w:ilvl w:val="0"/>
          <w:numId w:val="26"/>
        </w:numPr>
        <w:spacing w:after="120" w:line="240" w:lineRule="auto"/>
        <w:ind w:left="1440"/>
        <w:contextualSpacing w:val="0"/>
        <w:jc w:val="both"/>
        <w:rPr>
          <w:rFonts w:ascii="Times New Roman" w:hAnsi="Times New Roman"/>
          <w:sz w:val="24"/>
          <w:szCs w:val="24"/>
        </w:rPr>
      </w:pPr>
      <w:r w:rsidRPr="00397119">
        <w:rPr>
          <w:rFonts w:ascii="Times New Roman" w:hAnsi="Times New Roman"/>
          <w:sz w:val="24"/>
          <w:szCs w:val="24"/>
        </w:rPr>
        <w:t xml:space="preserve">Remove </w:t>
      </w:r>
      <w:r w:rsidR="0044326E" w:rsidRPr="00397119">
        <w:rPr>
          <w:rFonts w:ascii="Times New Roman" w:hAnsi="Times New Roman"/>
          <w:sz w:val="24"/>
          <w:szCs w:val="24"/>
        </w:rPr>
        <w:t xml:space="preserve">all requirements for </w:t>
      </w:r>
      <w:r w:rsidR="00DE1FC1" w:rsidRPr="00397119">
        <w:rPr>
          <w:rFonts w:ascii="Times New Roman" w:hAnsi="Times New Roman"/>
          <w:sz w:val="24"/>
          <w:szCs w:val="24"/>
        </w:rPr>
        <w:t xml:space="preserve">medical, hormonal, or surgical interventions as a condition for transgender or third sex individuals from </w:t>
      </w:r>
      <w:r w:rsidR="00F503D9" w:rsidRPr="00397119">
        <w:rPr>
          <w:rFonts w:ascii="Times New Roman" w:hAnsi="Times New Roman"/>
          <w:sz w:val="24"/>
          <w:szCs w:val="24"/>
        </w:rPr>
        <w:t>achieving legal gender recognition.</w:t>
      </w:r>
    </w:p>
    <w:p w14:paraId="6B183AB9" w14:textId="1881D35B" w:rsidR="007F462E" w:rsidRPr="00397119" w:rsidRDefault="00075002" w:rsidP="003A039A">
      <w:pPr>
        <w:pStyle w:val="ListParagraph"/>
        <w:keepNext/>
        <w:keepLines/>
        <w:numPr>
          <w:ilvl w:val="0"/>
          <w:numId w:val="26"/>
        </w:numPr>
        <w:spacing w:after="120" w:line="240" w:lineRule="auto"/>
        <w:ind w:left="1440"/>
        <w:contextualSpacing w:val="0"/>
        <w:jc w:val="both"/>
        <w:rPr>
          <w:rFonts w:ascii="Times New Roman" w:hAnsi="Times New Roman"/>
          <w:sz w:val="24"/>
          <w:szCs w:val="24"/>
        </w:rPr>
      </w:pPr>
      <w:r w:rsidRPr="00397119">
        <w:rPr>
          <w:rFonts w:ascii="Times New Roman" w:hAnsi="Times New Roman"/>
          <w:sz w:val="24"/>
          <w:szCs w:val="24"/>
        </w:rPr>
        <w:t>In co</w:t>
      </w:r>
      <w:r w:rsidR="002013DA" w:rsidRPr="00397119">
        <w:rPr>
          <w:rFonts w:ascii="Times New Roman" w:hAnsi="Times New Roman"/>
          <w:sz w:val="24"/>
          <w:szCs w:val="24"/>
        </w:rPr>
        <w:t xml:space="preserve">llaboration with civil society organizations that work on LGBTQ+ issues, </w:t>
      </w:r>
      <w:r w:rsidR="00872DD8" w:rsidRPr="00397119">
        <w:rPr>
          <w:rFonts w:ascii="Times New Roman" w:hAnsi="Times New Roman"/>
          <w:sz w:val="24"/>
          <w:szCs w:val="24"/>
        </w:rPr>
        <w:t>a</w:t>
      </w:r>
      <w:r w:rsidR="004C5547" w:rsidRPr="00397119">
        <w:rPr>
          <w:rFonts w:ascii="Times New Roman" w:hAnsi="Times New Roman"/>
          <w:sz w:val="24"/>
          <w:szCs w:val="24"/>
        </w:rPr>
        <w:t xml:space="preserve">dopt measures to combat public misinformation about and stigmatization towards the </w:t>
      </w:r>
      <w:r w:rsidR="009F62A1" w:rsidRPr="00397119">
        <w:rPr>
          <w:rFonts w:ascii="Times New Roman" w:hAnsi="Times New Roman"/>
          <w:sz w:val="24"/>
          <w:szCs w:val="24"/>
        </w:rPr>
        <w:t>LGBTQ+</w:t>
      </w:r>
      <w:r w:rsidR="004C5547" w:rsidRPr="00397119">
        <w:rPr>
          <w:rFonts w:ascii="Times New Roman" w:hAnsi="Times New Roman"/>
          <w:sz w:val="24"/>
          <w:szCs w:val="24"/>
        </w:rPr>
        <w:t xml:space="preserve"> community</w:t>
      </w:r>
      <w:r w:rsidR="007F462E" w:rsidRPr="00397119">
        <w:rPr>
          <w:rFonts w:ascii="Times New Roman" w:hAnsi="Times New Roman"/>
          <w:sz w:val="24"/>
          <w:szCs w:val="24"/>
        </w:rPr>
        <w:t>.</w:t>
      </w:r>
      <w:r w:rsidR="004C5547" w:rsidRPr="00397119">
        <w:rPr>
          <w:rFonts w:ascii="Times New Roman" w:hAnsi="Times New Roman"/>
          <w:sz w:val="24"/>
          <w:szCs w:val="24"/>
        </w:rPr>
        <w:t xml:space="preserve"> </w:t>
      </w:r>
    </w:p>
    <w:p w14:paraId="3EB88F56" w14:textId="77777777" w:rsidR="00D65DEC" w:rsidRPr="00397119" w:rsidRDefault="00D65DEC" w:rsidP="003A039A">
      <w:pPr>
        <w:pStyle w:val="ListParagraph"/>
        <w:numPr>
          <w:ilvl w:val="0"/>
          <w:numId w:val="26"/>
        </w:numPr>
        <w:spacing w:after="120" w:line="240" w:lineRule="auto"/>
        <w:ind w:left="1440"/>
        <w:contextualSpacing w:val="0"/>
        <w:jc w:val="both"/>
        <w:rPr>
          <w:rFonts w:ascii="Times New Roman" w:hAnsi="Times New Roman"/>
          <w:sz w:val="24"/>
          <w:szCs w:val="24"/>
        </w:rPr>
      </w:pPr>
      <w:r w:rsidRPr="00397119">
        <w:rPr>
          <w:rFonts w:ascii="Times New Roman" w:hAnsi="Times New Roman"/>
          <w:sz w:val="24"/>
          <w:szCs w:val="24"/>
        </w:rPr>
        <w:t>Support LGBTQ+ public events and conduct public education campaigns in collaboration with civil society organizations that work on LGBTQ+ human rights.</w:t>
      </w:r>
    </w:p>
    <w:p w14:paraId="495FA9DD" w14:textId="77777777" w:rsidR="00D65DEC" w:rsidRPr="00397119" w:rsidRDefault="00D65DEC" w:rsidP="003A039A">
      <w:pPr>
        <w:pStyle w:val="ListParagraph"/>
        <w:numPr>
          <w:ilvl w:val="0"/>
          <w:numId w:val="26"/>
        </w:numPr>
        <w:spacing w:after="120" w:line="240" w:lineRule="auto"/>
        <w:ind w:left="1440"/>
        <w:contextualSpacing w:val="0"/>
        <w:jc w:val="both"/>
        <w:rPr>
          <w:rFonts w:ascii="Times New Roman" w:hAnsi="Times New Roman"/>
          <w:sz w:val="24"/>
          <w:szCs w:val="24"/>
        </w:rPr>
      </w:pPr>
      <w:r w:rsidRPr="00397119">
        <w:rPr>
          <w:rFonts w:ascii="Times New Roman" w:hAnsi="Times New Roman"/>
          <w:sz w:val="24"/>
          <w:szCs w:val="24"/>
        </w:rPr>
        <w:t>Include units on gender and sexuality in university and medical school curriculum, specifically on LGBTQ+ social, legal, political, and medical concerns.</w:t>
      </w:r>
    </w:p>
    <w:p w14:paraId="76045208" w14:textId="77777777" w:rsidR="00D65DEC" w:rsidRPr="00397119" w:rsidRDefault="00D65DEC" w:rsidP="003A039A">
      <w:pPr>
        <w:pStyle w:val="ListParagraph"/>
        <w:numPr>
          <w:ilvl w:val="0"/>
          <w:numId w:val="26"/>
        </w:numPr>
        <w:spacing w:after="120" w:line="240" w:lineRule="auto"/>
        <w:ind w:left="1440"/>
        <w:contextualSpacing w:val="0"/>
        <w:jc w:val="both"/>
        <w:rPr>
          <w:rFonts w:ascii="Times New Roman" w:hAnsi="Times New Roman"/>
          <w:sz w:val="24"/>
          <w:szCs w:val="24"/>
        </w:rPr>
      </w:pPr>
      <w:r w:rsidRPr="00397119">
        <w:rPr>
          <w:rFonts w:ascii="Times New Roman" w:hAnsi="Times New Roman"/>
          <w:sz w:val="24"/>
          <w:szCs w:val="24"/>
        </w:rPr>
        <w:t>Provide schools with guidance counsellors trained in working with LGBTQ+ youth and create capacity training programs for school guidance counsellors where required to provide counselling and support to LGBTQ+ youth across India.</w:t>
      </w:r>
    </w:p>
    <w:p w14:paraId="1ECBF970" w14:textId="77777777" w:rsidR="00D65DEC" w:rsidRPr="00397119" w:rsidRDefault="00D65DEC" w:rsidP="003A039A">
      <w:pPr>
        <w:pStyle w:val="ListParagraph"/>
        <w:numPr>
          <w:ilvl w:val="0"/>
          <w:numId w:val="26"/>
        </w:numPr>
        <w:spacing w:after="120" w:line="240" w:lineRule="auto"/>
        <w:ind w:left="1440"/>
        <w:contextualSpacing w:val="0"/>
        <w:jc w:val="both"/>
        <w:rPr>
          <w:rFonts w:ascii="Times New Roman" w:hAnsi="Times New Roman"/>
          <w:sz w:val="24"/>
          <w:szCs w:val="24"/>
        </w:rPr>
      </w:pPr>
      <w:r w:rsidRPr="00397119">
        <w:rPr>
          <w:rFonts w:ascii="Times New Roman" w:hAnsi="Times New Roman"/>
          <w:sz w:val="24"/>
          <w:szCs w:val="24"/>
        </w:rPr>
        <w:t>Implement rigorous monitoring and evaluation of reserved seats for transgender students, including tracking enrollment and completion rates.</w:t>
      </w:r>
    </w:p>
    <w:p w14:paraId="122D1355" w14:textId="77777777" w:rsidR="00D65DEC" w:rsidRPr="00397119" w:rsidRDefault="00D65DEC" w:rsidP="003A039A">
      <w:pPr>
        <w:pStyle w:val="ListParagraph"/>
        <w:numPr>
          <w:ilvl w:val="0"/>
          <w:numId w:val="26"/>
        </w:numPr>
        <w:spacing w:after="120" w:line="240" w:lineRule="auto"/>
        <w:ind w:left="1440"/>
        <w:contextualSpacing w:val="0"/>
        <w:jc w:val="both"/>
        <w:rPr>
          <w:rFonts w:ascii="Times New Roman" w:hAnsi="Times New Roman"/>
          <w:sz w:val="24"/>
          <w:szCs w:val="24"/>
        </w:rPr>
      </w:pPr>
      <w:r w:rsidRPr="00397119">
        <w:rPr>
          <w:rFonts w:ascii="Times New Roman" w:hAnsi="Times New Roman"/>
          <w:sz w:val="24"/>
          <w:szCs w:val="24"/>
        </w:rPr>
        <w:t>Develop and mandate training comprehensive anti-discrimination training for educators to foster an inclusive educational environment.</w:t>
      </w:r>
    </w:p>
    <w:p w14:paraId="664B6EF4" w14:textId="77777777" w:rsidR="00D65DEC" w:rsidRPr="00397119" w:rsidRDefault="00D65DEC" w:rsidP="003A039A">
      <w:pPr>
        <w:pStyle w:val="ListParagraph"/>
        <w:numPr>
          <w:ilvl w:val="0"/>
          <w:numId w:val="26"/>
        </w:numPr>
        <w:spacing w:after="120" w:line="240" w:lineRule="auto"/>
        <w:ind w:left="1440"/>
        <w:contextualSpacing w:val="0"/>
        <w:jc w:val="both"/>
        <w:rPr>
          <w:rFonts w:ascii="Times New Roman" w:hAnsi="Times New Roman"/>
          <w:sz w:val="24"/>
          <w:szCs w:val="24"/>
        </w:rPr>
      </w:pPr>
      <w:r w:rsidRPr="00397119">
        <w:rPr>
          <w:rFonts w:ascii="Times New Roman" w:hAnsi="Times New Roman"/>
          <w:sz w:val="24"/>
          <w:szCs w:val="24"/>
        </w:rPr>
        <w:t>Develop and mandate training for government officials and healthcare providers with respect to LGBTQ+ issues.</w:t>
      </w:r>
    </w:p>
    <w:p w14:paraId="70C4F89E" w14:textId="76D89B86" w:rsidR="00BC3532" w:rsidRPr="00397119" w:rsidRDefault="003E635A" w:rsidP="003A039A">
      <w:pPr>
        <w:pStyle w:val="ListParagraph"/>
        <w:keepNext/>
        <w:keepLines/>
        <w:numPr>
          <w:ilvl w:val="0"/>
          <w:numId w:val="26"/>
        </w:numPr>
        <w:spacing w:after="120" w:line="240" w:lineRule="auto"/>
        <w:ind w:left="1440"/>
        <w:contextualSpacing w:val="0"/>
        <w:jc w:val="both"/>
        <w:rPr>
          <w:rFonts w:ascii="Times New Roman" w:hAnsi="Times New Roman"/>
          <w:sz w:val="24"/>
          <w:szCs w:val="24"/>
        </w:rPr>
      </w:pPr>
      <w:r w:rsidRPr="00397119">
        <w:rPr>
          <w:rFonts w:ascii="Times New Roman" w:hAnsi="Times New Roman"/>
          <w:sz w:val="24"/>
          <w:szCs w:val="24"/>
        </w:rPr>
        <w:t xml:space="preserve">Ensure that there are sufficient and accessible healthcare facilities in </w:t>
      </w:r>
      <w:r w:rsidR="00B4768C" w:rsidRPr="00397119">
        <w:rPr>
          <w:rFonts w:ascii="Times New Roman" w:hAnsi="Times New Roman"/>
          <w:sz w:val="24"/>
          <w:szCs w:val="24"/>
        </w:rPr>
        <w:t xml:space="preserve">rural areas to provide sufficient </w:t>
      </w:r>
      <w:r w:rsidR="00957EDE" w:rsidRPr="00397119">
        <w:rPr>
          <w:rFonts w:ascii="Times New Roman" w:hAnsi="Times New Roman"/>
          <w:sz w:val="24"/>
          <w:szCs w:val="24"/>
        </w:rPr>
        <w:t>health</w:t>
      </w:r>
      <w:r w:rsidR="007426DC" w:rsidRPr="00397119">
        <w:rPr>
          <w:rFonts w:ascii="Times New Roman" w:hAnsi="Times New Roman"/>
          <w:sz w:val="24"/>
          <w:szCs w:val="24"/>
        </w:rPr>
        <w:t>care to LGBTQ+ people</w:t>
      </w:r>
      <w:r w:rsidR="003F1A8D" w:rsidRPr="00397119">
        <w:rPr>
          <w:rFonts w:ascii="Times New Roman" w:hAnsi="Times New Roman"/>
          <w:sz w:val="24"/>
          <w:szCs w:val="24"/>
        </w:rPr>
        <w:t xml:space="preserve"> outside of urban areas.</w:t>
      </w:r>
    </w:p>
    <w:p w14:paraId="04B3CA50" w14:textId="77777777" w:rsidR="00A834FA" w:rsidRPr="00397119" w:rsidRDefault="00A834FA" w:rsidP="003A039A">
      <w:pPr>
        <w:pStyle w:val="ListParagraph"/>
        <w:numPr>
          <w:ilvl w:val="0"/>
          <w:numId w:val="26"/>
        </w:numPr>
        <w:spacing w:after="120" w:line="240" w:lineRule="auto"/>
        <w:ind w:left="1440"/>
        <w:contextualSpacing w:val="0"/>
        <w:jc w:val="both"/>
        <w:rPr>
          <w:rFonts w:ascii="Times New Roman" w:hAnsi="Times New Roman"/>
          <w:sz w:val="24"/>
          <w:szCs w:val="24"/>
        </w:rPr>
      </w:pPr>
      <w:r w:rsidRPr="00397119">
        <w:rPr>
          <w:rFonts w:ascii="Times New Roman" w:hAnsi="Times New Roman"/>
          <w:sz w:val="24"/>
          <w:szCs w:val="24"/>
        </w:rPr>
        <w:t>Modify the current rules regarding gender self-determination to reduce bureaucratic red tape.</w:t>
      </w:r>
    </w:p>
    <w:p w14:paraId="763F40D7" w14:textId="1B361315" w:rsidR="00852469" w:rsidRPr="00397119" w:rsidRDefault="00A834FA" w:rsidP="003A039A">
      <w:pPr>
        <w:pStyle w:val="ListParagraph"/>
        <w:keepNext/>
        <w:keepLines/>
        <w:numPr>
          <w:ilvl w:val="0"/>
          <w:numId w:val="26"/>
        </w:numPr>
        <w:spacing w:after="120" w:line="240" w:lineRule="auto"/>
        <w:ind w:left="1440"/>
        <w:contextualSpacing w:val="0"/>
        <w:jc w:val="both"/>
        <w:rPr>
          <w:rFonts w:ascii="Times New Roman" w:hAnsi="Times New Roman"/>
          <w:sz w:val="24"/>
          <w:szCs w:val="24"/>
        </w:rPr>
      </w:pPr>
      <w:r w:rsidRPr="00397119">
        <w:rPr>
          <w:rFonts w:ascii="Times New Roman" w:hAnsi="Times New Roman"/>
          <w:sz w:val="24"/>
          <w:szCs w:val="24"/>
        </w:rPr>
        <w:lastRenderedPageBreak/>
        <w:t>Increase funding to reduce inequality gaps and improve access to and use of gender-affirming medical care. The inclusion of hormonal medications (e.g., pills, injections, patches) under “National Essential Medicines List” will help improving access to these medications in governmental hospitals.</w:t>
      </w:r>
    </w:p>
    <w:p w14:paraId="5BF66AFE" w14:textId="77777777" w:rsidR="00A834FA" w:rsidRPr="00397119" w:rsidRDefault="00A834FA" w:rsidP="003A039A">
      <w:pPr>
        <w:pStyle w:val="ListParagraph"/>
        <w:numPr>
          <w:ilvl w:val="0"/>
          <w:numId w:val="26"/>
        </w:numPr>
        <w:spacing w:after="120" w:line="240" w:lineRule="auto"/>
        <w:ind w:left="1440"/>
        <w:contextualSpacing w:val="0"/>
        <w:jc w:val="both"/>
        <w:rPr>
          <w:rFonts w:ascii="Times New Roman" w:hAnsi="Times New Roman"/>
          <w:sz w:val="24"/>
          <w:szCs w:val="24"/>
        </w:rPr>
      </w:pPr>
      <w:r w:rsidRPr="00397119">
        <w:rPr>
          <w:rFonts w:ascii="Times New Roman" w:hAnsi="Times New Roman"/>
          <w:sz w:val="24"/>
          <w:szCs w:val="24"/>
        </w:rPr>
        <w:t>Accelerate the process of standard setting for the health management of transgender individuals using the World Professional Association for Transgender Health Standards of Care Version 7 as a reference.</w:t>
      </w:r>
    </w:p>
    <w:p w14:paraId="0963FD3B" w14:textId="7DBF0A20" w:rsidR="00A834FA" w:rsidRPr="00397119" w:rsidRDefault="00A834FA" w:rsidP="003A039A">
      <w:pPr>
        <w:pStyle w:val="ListParagraph"/>
        <w:numPr>
          <w:ilvl w:val="0"/>
          <w:numId w:val="26"/>
        </w:numPr>
        <w:spacing w:after="120" w:line="240" w:lineRule="auto"/>
        <w:ind w:left="1440"/>
        <w:contextualSpacing w:val="0"/>
        <w:jc w:val="both"/>
        <w:rPr>
          <w:rFonts w:ascii="Times New Roman" w:hAnsi="Times New Roman"/>
          <w:sz w:val="24"/>
          <w:szCs w:val="24"/>
        </w:rPr>
      </w:pPr>
      <w:r w:rsidRPr="00397119">
        <w:rPr>
          <w:rFonts w:ascii="Times New Roman" w:hAnsi="Times New Roman"/>
          <w:sz w:val="24"/>
          <w:szCs w:val="24"/>
        </w:rPr>
        <w:t xml:space="preserve">Construct </w:t>
      </w:r>
      <w:r w:rsidR="00AA42C3">
        <w:rPr>
          <w:rFonts w:ascii="Times New Roman" w:hAnsi="Times New Roman"/>
          <w:sz w:val="24"/>
          <w:szCs w:val="24"/>
        </w:rPr>
        <w:t>and implement</w:t>
      </w:r>
      <w:r w:rsidRPr="00397119">
        <w:rPr>
          <w:rFonts w:ascii="Times New Roman" w:hAnsi="Times New Roman"/>
          <w:sz w:val="24"/>
          <w:szCs w:val="24"/>
        </w:rPr>
        <w:t xml:space="preserve"> “</w:t>
      </w:r>
      <w:r w:rsidRPr="00287F86">
        <w:rPr>
          <w:rFonts w:ascii="Times New Roman" w:hAnsi="Times New Roman"/>
          <w:i/>
          <w:iCs/>
          <w:sz w:val="24"/>
          <w:szCs w:val="24"/>
        </w:rPr>
        <w:t xml:space="preserve">Garima </w:t>
      </w:r>
      <w:proofErr w:type="spellStart"/>
      <w:r w:rsidRPr="00287F86">
        <w:rPr>
          <w:rFonts w:ascii="Times New Roman" w:hAnsi="Times New Roman"/>
          <w:i/>
          <w:iCs/>
          <w:sz w:val="24"/>
          <w:szCs w:val="24"/>
        </w:rPr>
        <w:t>Greh</w:t>
      </w:r>
      <w:proofErr w:type="spellEnd"/>
      <w:r w:rsidRPr="00287F86">
        <w:rPr>
          <w:rFonts w:ascii="Times New Roman" w:hAnsi="Times New Roman"/>
          <w:i/>
          <w:iCs/>
          <w:sz w:val="24"/>
          <w:szCs w:val="24"/>
        </w:rPr>
        <w:t>”</w:t>
      </w:r>
      <w:r w:rsidRPr="00397119">
        <w:rPr>
          <w:rFonts w:ascii="Times New Roman" w:hAnsi="Times New Roman"/>
          <w:sz w:val="24"/>
          <w:szCs w:val="24"/>
        </w:rPr>
        <w:t xml:space="preserve"> shelters with greater resources for effective security</w:t>
      </w:r>
      <w:r w:rsidR="00AA42C3">
        <w:rPr>
          <w:rFonts w:ascii="Times New Roman" w:hAnsi="Times New Roman"/>
          <w:sz w:val="24"/>
          <w:szCs w:val="24"/>
        </w:rPr>
        <w:t xml:space="preserve"> in all states across India</w:t>
      </w:r>
      <w:r w:rsidRPr="00397119">
        <w:rPr>
          <w:rFonts w:ascii="Times New Roman" w:hAnsi="Times New Roman"/>
          <w:sz w:val="24"/>
          <w:szCs w:val="24"/>
        </w:rPr>
        <w:t>.</w:t>
      </w:r>
    </w:p>
    <w:p w14:paraId="18E824FF" w14:textId="2650EB6A" w:rsidR="00D07A5F" w:rsidRPr="00397119" w:rsidRDefault="00330250" w:rsidP="003A039A">
      <w:pPr>
        <w:pStyle w:val="ListParagraph"/>
        <w:keepNext/>
        <w:keepLines/>
        <w:numPr>
          <w:ilvl w:val="0"/>
          <w:numId w:val="26"/>
        </w:numPr>
        <w:spacing w:after="120" w:line="240" w:lineRule="auto"/>
        <w:ind w:left="1440"/>
        <w:contextualSpacing w:val="0"/>
        <w:jc w:val="both"/>
        <w:rPr>
          <w:rFonts w:ascii="Times New Roman" w:hAnsi="Times New Roman"/>
          <w:sz w:val="24"/>
          <w:szCs w:val="24"/>
        </w:rPr>
      </w:pPr>
      <w:r w:rsidRPr="00397119">
        <w:rPr>
          <w:rFonts w:ascii="Times New Roman" w:hAnsi="Times New Roman"/>
          <w:sz w:val="24"/>
          <w:szCs w:val="24"/>
        </w:rPr>
        <w:t xml:space="preserve">Make clear that </w:t>
      </w:r>
      <w:r w:rsidR="0095409A" w:rsidRPr="00397119">
        <w:rPr>
          <w:rFonts w:ascii="Times New Roman" w:hAnsi="Times New Roman"/>
          <w:sz w:val="24"/>
          <w:szCs w:val="24"/>
        </w:rPr>
        <w:t>laws pr</w:t>
      </w:r>
      <w:r w:rsidR="00015A4E" w:rsidRPr="00397119">
        <w:rPr>
          <w:rFonts w:ascii="Times New Roman" w:hAnsi="Times New Roman"/>
          <w:sz w:val="24"/>
          <w:szCs w:val="24"/>
        </w:rPr>
        <w:t>eventing</w:t>
      </w:r>
      <w:r w:rsidR="00B138B0" w:rsidRPr="00397119">
        <w:rPr>
          <w:rFonts w:ascii="Times New Roman" w:hAnsi="Times New Roman"/>
          <w:sz w:val="24"/>
          <w:szCs w:val="24"/>
        </w:rPr>
        <w:t xml:space="preserve"> and providing redress for violence include protections for LGBTQ+ people.</w:t>
      </w:r>
    </w:p>
    <w:p w14:paraId="3086D2F9" w14:textId="45F56BA3" w:rsidR="00AC7FA4" w:rsidRPr="00397119" w:rsidRDefault="002D292E" w:rsidP="003A039A">
      <w:pPr>
        <w:pStyle w:val="ListParagraph"/>
        <w:keepNext/>
        <w:keepLines/>
        <w:numPr>
          <w:ilvl w:val="0"/>
          <w:numId w:val="26"/>
        </w:numPr>
        <w:spacing w:after="120" w:line="240" w:lineRule="auto"/>
        <w:ind w:left="1440"/>
        <w:contextualSpacing w:val="0"/>
        <w:jc w:val="both"/>
        <w:rPr>
          <w:rFonts w:ascii="Times New Roman" w:hAnsi="Times New Roman"/>
          <w:sz w:val="24"/>
          <w:szCs w:val="24"/>
        </w:rPr>
      </w:pPr>
      <w:r w:rsidRPr="00397119">
        <w:rPr>
          <w:rFonts w:ascii="Times New Roman" w:hAnsi="Times New Roman"/>
          <w:sz w:val="24"/>
          <w:szCs w:val="24"/>
        </w:rPr>
        <w:t xml:space="preserve">Impartially and thoroughly investigate all reports of violence perpetrated against an </w:t>
      </w:r>
      <w:r w:rsidR="007E31D2" w:rsidRPr="00397119">
        <w:rPr>
          <w:rFonts w:ascii="Times New Roman" w:hAnsi="Times New Roman"/>
          <w:sz w:val="24"/>
          <w:szCs w:val="24"/>
        </w:rPr>
        <w:t>individual because of their real or perceived SOGIE status</w:t>
      </w:r>
      <w:r w:rsidR="00DF2AD2" w:rsidRPr="00397119">
        <w:rPr>
          <w:rFonts w:ascii="Times New Roman" w:hAnsi="Times New Roman"/>
          <w:sz w:val="24"/>
          <w:szCs w:val="24"/>
        </w:rPr>
        <w:t xml:space="preserve">, </w:t>
      </w:r>
      <w:r w:rsidR="00376E32" w:rsidRPr="00397119">
        <w:rPr>
          <w:rFonts w:ascii="Times New Roman" w:hAnsi="Times New Roman"/>
          <w:sz w:val="24"/>
          <w:szCs w:val="24"/>
        </w:rPr>
        <w:t xml:space="preserve">including violence perpetrated by State and non-State actors. </w:t>
      </w:r>
    </w:p>
    <w:p w14:paraId="23683A01" w14:textId="0A45ECD8" w:rsidR="00C9095E" w:rsidRDefault="00C9095E" w:rsidP="003A039A">
      <w:pPr>
        <w:pStyle w:val="ListParagraph"/>
        <w:numPr>
          <w:ilvl w:val="0"/>
          <w:numId w:val="26"/>
        </w:numPr>
        <w:spacing w:after="120" w:line="240" w:lineRule="auto"/>
        <w:ind w:left="1440"/>
        <w:contextualSpacing w:val="0"/>
        <w:jc w:val="both"/>
        <w:rPr>
          <w:rFonts w:ascii="Times New Roman" w:hAnsi="Times New Roman"/>
          <w:sz w:val="24"/>
          <w:szCs w:val="24"/>
        </w:rPr>
      </w:pPr>
      <w:r w:rsidRPr="00397119">
        <w:rPr>
          <w:rFonts w:ascii="Times New Roman" w:hAnsi="Times New Roman"/>
          <w:sz w:val="24"/>
          <w:szCs w:val="24"/>
        </w:rPr>
        <w:t xml:space="preserve">In collaboration with civil society organizations that work on LGBTQ+ issues, </w:t>
      </w:r>
      <w:r w:rsidR="000337AA">
        <w:rPr>
          <w:rFonts w:ascii="Times New Roman" w:hAnsi="Times New Roman"/>
          <w:sz w:val="24"/>
          <w:szCs w:val="24"/>
        </w:rPr>
        <w:t xml:space="preserve">collect and publish at least annually disaggregated data on violence experienced by LGBTIQ+ individuals, including </w:t>
      </w:r>
      <w:r w:rsidR="00453420">
        <w:rPr>
          <w:rFonts w:ascii="Times New Roman" w:hAnsi="Times New Roman"/>
          <w:sz w:val="24"/>
          <w:szCs w:val="24"/>
        </w:rPr>
        <w:t>location of incident</w:t>
      </w:r>
      <w:r w:rsidR="0019150A">
        <w:rPr>
          <w:rFonts w:ascii="Times New Roman" w:hAnsi="Times New Roman"/>
          <w:sz w:val="24"/>
          <w:szCs w:val="24"/>
        </w:rPr>
        <w:t>;</w:t>
      </w:r>
      <w:r w:rsidR="00453420">
        <w:rPr>
          <w:rFonts w:ascii="Times New Roman" w:hAnsi="Times New Roman"/>
          <w:sz w:val="24"/>
          <w:szCs w:val="24"/>
        </w:rPr>
        <w:t xml:space="preserve"> legal and self-reported gender of victim</w:t>
      </w:r>
      <w:r w:rsidR="0019150A">
        <w:rPr>
          <w:rFonts w:ascii="Times New Roman" w:hAnsi="Times New Roman"/>
          <w:sz w:val="24"/>
          <w:szCs w:val="24"/>
        </w:rPr>
        <w:t>;</w:t>
      </w:r>
      <w:r w:rsidR="00453420">
        <w:rPr>
          <w:rFonts w:ascii="Times New Roman" w:hAnsi="Times New Roman"/>
          <w:sz w:val="24"/>
          <w:szCs w:val="24"/>
        </w:rPr>
        <w:t xml:space="preserve"> legal and self-reported </w:t>
      </w:r>
      <w:r w:rsidR="00324F84">
        <w:rPr>
          <w:rFonts w:ascii="Times New Roman" w:hAnsi="Times New Roman"/>
          <w:sz w:val="24"/>
          <w:szCs w:val="24"/>
        </w:rPr>
        <w:t>gender of perpetrator</w:t>
      </w:r>
      <w:r w:rsidR="0019150A">
        <w:rPr>
          <w:rFonts w:ascii="Times New Roman" w:hAnsi="Times New Roman"/>
          <w:sz w:val="24"/>
          <w:szCs w:val="24"/>
        </w:rPr>
        <w:t>;</w:t>
      </w:r>
      <w:r w:rsidR="00324F84">
        <w:rPr>
          <w:rFonts w:ascii="Times New Roman" w:hAnsi="Times New Roman"/>
          <w:sz w:val="24"/>
          <w:szCs w:val="24"/>
        </w:rPr>
        <w:t xml:space="preserve"> self-reported sexual orientation of victim</w:t>
      </w:r>
      <w:r w:rsidR="0019150A">
        <w:rPr>
          <w:rFonts w:ascii="Times New Roman" w:hAnsi="Times New Roman"/>
          <w:sz w:val="24"/>
          <w:szCs w:val="24"/>
        </w:rPr>
        <w:t>;</w:t>
      </w:r>
      <w:r w:rsidR="00324F84">
        <w:rPr>
          <w:rFonts w:ascii="Times New Roman" w:hAnsi="Times New Roman"/>
          <w:sz w:val="24"/>
          <w:szCs w:val="24"/>
        </w:rPr>
        <w:t xml:space="preserve"> self-reported sexual orientation of perpetrator</w:t>
      </w:r>
      <w:r w:rsidR="0019150A">
        <w:rPr>
          <w:rFonts w:ascii="Times New Roman" w:hAnsi="Times New Roman"/>
          <w:sz w:val="24"/>
          <w:szCs w:val="24"/>
        </w:rPr>
        <w:t>;</w:t>
      </w:r>
      <w:r w:rsidR="00324F84">
        <w:rPr>
          <w:rFonts w:ascii="Times New Roman" w:hAnsi="Times New Roman"/>
          <w:sz w:val="24"/>
          <w:szCs w:val="24"/>
        </w:rPr>
        <w:t xml:space="preserve"> case of victim</w:t>
      </w:r>
      <w:r w:rsidR="0019150A">
        <w:rPr>
          <w:rFonts w:ascii="Times New Roman" w:hAnsi="Times New Roman"/>
          <w:sz w:val="24"/>
          <w:szCs w:val="24"/>
        </w:rPr>
        <w:t>;</w:t>
      </w:r>
      <w:r w:rsidR="00324F84">
        <w:rPr>
          <w:rFonts w:ascii="Times New Roman" w:hAnsi="Times New Roman"/>
          <w:sz w:val="24"/>
          <w:szCs w:val="24"/>
        </w:rPr>
        <w:t xml:space="preserve"> caste of perpetrator</w:t>
      </w:r>
      <w:r w:rsidR="0019150A">
        <w:rPr>
          <w:rFonts w:ascii="Times New Roman" w:hAnsi="Times New Roman"/>
          <w:sz w:val="24"/>
          <w:szCs w:val="24"/>
        </w:rPr>
        <w:t>; relationship, if any, between perpetrator and victim</w:t>
      </w:r>
      <w:r w:rsidR="00941BBE">
        <w:rPr>
          <w:rFonts w:ascii="Times New Roman" w:hAnsi="Times New Roman"/>
          <w:sz w:val="24"/>
          <w:szCs w:val="24"/>
        </w:rPr>
        <w:t>; and whether the incident was reported to police, and, if so, the outcome of the report.</w:t>
      </w:r>
    </w:p>
    <w:p w14:paraId="15434AC4" w14:textId="52084C69" w:rsidR="00030781" w:rsidRPr="00397119" w:rsidRDefault="00030781" w:rsidP="003A039A">
      <w:pPr>
        <w:pStyle w:val="ListParagraph"/>
        <w:numPr>
          <w:ilvl w:val="0"/>
          <w:numId w:val="26"/>
        </w:numPr>
        <w:spacing w:after="120" w:line="240" w:lineRule="auto"/>
        <w:ind w:left="1440"/>
        <w:contextualSpacing w:val="0"/>
        <w:jc w:val="both"/>
        <w:rPr>
          <w:rFonts w:ascii="Times New Roman" w:hAnsi="Times New Roman"/>
          <w:sz w:val="24"/>
          <w:szCs w:val="24"/>
        </w:rPr>
      </w:pPr>
      <w:r w:rsidRPr="00397119">
        <w:rPr>
          <w:rFonts w:ascii="Times New Roman" w:hAnsi="Times New Roman"/>
          <w:sz w:val="24"/>
          <w:szCs w:val="24"/>
        </w:rPr>
        <w:t>Develop and mandate police training and procedures for responding to claims of discrimination and violence against LGTBIQ+ people in a manner consistent with India’s obligations under the International Covenant on Civil and Political Rights.</w:t>
      </w:r>
    </w:p>
    <w:p w14:paraId="5197F7E6" w14:textId="485B5F40" w:rsidR="00030781" w:rsidRPr="00397119" w:rsidRDefault="00030781" w:rsidP="003A039A">
      <w:pPr>
        <w:pStyle w:val="ListParagraph"/>
        <w:numPr>
          <w:ilvl w:val="0"/>
          <w:numId w:val="26"/>
        </w:numPr>
        <w:spacing w:after="120" w:line="240" w:lineRule="auto"/>
        <w:ind w:left="1440"/>
        <w:contextualSpacing w:val="0"/>
        <w:jc w:val="both"/>
        <w:rPr>
          <w:rFonts w:ascii="Times New Roman" w:hAnsi="Times New Roman"/>
          <w:sz w:val="24"/>
          <w:szCs w:val="24"/>
        </w:rPr>
      </w:pPr>
      <w:r w:rsidRPr="00397119">
        <w:rPr>
          <w:rFonts w:ascii="Times New Roman" w:hAnsi="Times New Roman"/>
          <w:sz w:val="24"/>
          <w:szCs w:val="24"/>
        </w:rPr>
        <w:t xml:space="preserve">Hold members of law enforcement and </w:t>
      </w:r>
      <w:r w:rsidR="002537C9" w:rsidRPr="00397119">
        <w:rPr>
          <w:rFonts w:ascii="Times New Roman" w:hAnsi="Times New Roman"/>
          <w:sz w:val="24"/>
          <w:szCs w:val="24"/>
        </w:rPr>
        <w:t>other State and non-State actors</w:t>
      </w:r>
      <w:r w:rsidRPr="00397119">
        <w:rPr>
          <w:rFonts w:ascii="Times New Roman" w:hAnsi="Times New Roman"/>
          <w:sz w:val="24"/>
          <w:szCs w:val="24"/>
        </w:rPr>
        <w:t xml:space="preserve"> accountable for human rights violations against LGBTQ+ individuals.</w:t>
      </w:r>
    </w:p>
    <w:p w14:paraId="4E0E2352" w14:textId="36AEBAF3" w:rsidR="00030781" w:rsidRPr="00397119" w:rsidRDefault="00030781" w:rsidP="003A039A">
      <w:pPr>
        <w:pStyle w:val="ListParagraph"/>
        <w:numPr>
          <w:ilvl w:val="0"/>
          <w:numId w:val="26"/>
        </w:numPr>
        <w:spacing w:after="120" w:line="240" w:lineRule="auto"/>
        <w:ind w:left="1440"/>
        <w:contextualSpacing w:val="0"/>
        <w:jc w:val="both"/>
        <w:rPr>
          <w:rFonts w:ascii="Times New Roman" w:hAnsi="Times New Roman"/>
          <w:sz w:val="24"/>
          <w:szCs w:val="24"/>
        </w:rPr>
      </w:pPr>
      <w:r w:rsidRPr="00397119">
        <w:rPr>
          <w:rFonts w:ascii="Times New Roman" w:hAnsi="Times New Roman"/>
          <w:sz w:val="24"/>
          <w:szCs w:val="24"/>
        </w:rPr>
        <w:t xml:space="preserve">Enact specific hate crime legislation that protects individuals on the basis of real or perceived sexual orientation, gender identity, </w:t>
      </w:r>
      <w:r w:rsidR="002537C9" w:rsidRPr="00397119">
        <w:rPr>
          <w:rFonts w:ascii="Times New Roman" w:hAnsi="Times New Roman"/>
          <w:sz w:val="24"/>
          <w:szCs w:val="24"/>
        </w:rPr>
        <w:t>and</w:t>
      </w:r>
      <w:r w:rsidR="00C670EB" w:rsidRPr="00397119">
        <w:rPr>
          <w:rFonts w:ascii="Times New Roman" w:hAnsi="Times New Roman"/>
          <w:sz w:val="24"/>
          <w:szCs w:val="24"/>
        </w:rPr>
        <w:t>/or</w:t>
      </w:r>
      <w:r w:rsidR="002537C9" w:rsidRPr="00397119">
        <w:rPr>
          <w:rFonts w:ascii="Times New Roman" w:hAnsi="Times New Roman"/>
          <w:sz w:val="24"/>
          <w:szCs w:val="24"/>
        </w:rPr>
        <w:t xml:space="preserve"> </w:t>
      </w:r>
      <w:r w:rsidRPr="00397119">
        <w:rPr>
          <w:rFonts w:ascii="Times New Roman" w:hAnsi="Times New Roman"/>
          <w:sz w:val="24"/>
          <w:szCs w:val="24"/>
        </w:rPr>
        <w:t>gender expression.</w:t>
      </w:r>
    </w:p>
    <w:p w14:paraId="1FEECAE7" w14:textId="24916878" w:rsidR="00F34C3B" w:rsidRPr="00397119" w:rsidRDefault="00030781" w:rsidP="003A039A">
      <w:pPr>
        <w:pStyle w:val="ListParagraph"/>
        <w:keepNext/>
        <w:keepLines/>
        <w:numPr>
          <w:ilvl w:val="0"/>
          <w:numId w:val="26"/>
        </w:numPr>
        <w:spacing w:after="120" w:line="240" w:lineRule="auto"/>
        <w:ind w:left="1440"/>
        <w:contextualSpacing w:val="0"/>
        <w:jc w:val="both"/>
        <w:rPr>
          <w:rFonts w:ascii="Times New Roman" w:hAnsi="Times New Roman"/>
          <w:sz w:val="24"/>
          <w:szCs w:val="24"/>
        </w:rPr>
      </w:pPr>
      <w:r w:rsidRPr="00397119">
        <w:rPr>
          <w:rFonts w:ascii="Times New Roman" w:hAnsi="Times New Roman"/>
          <w:sz w:val="24"/>
          <w:szCs w:val="24"/>
        </w:rPr>
        <w:t>Establish an independent body tasked with overseeing LG</w:t>
      </w:r>
      <w:r w:rsidR="00C670EB" w:rsidRPr="00397119">
        <w:rPr>
          <w:rFonts w:ascii="Times New Roman" w:hAnsi="Times New Roman"/>
          <w:sz w:val="24"/>
          <w:szCs w:val="24"/>
        </w:rPr>
        <w:t>BT</w:t>
      </w:r>
      <w:r w:rsidRPr="00397119">
        <w:rPr>
          <w:rFonts w:ascii="Times New Roman" w:hAnsi="Times New Roman"/>
          <w:sz w:val="24"/>
          <w:szCs w:val="24"/>
        </w:rPr>
        <w:t>Q+ protection. Ensure that this body has resources for proper functioning and sufficient sub-offices in various regions to be able to provide refuge, support, and redress to LG</w:t>
      </w:r>
      <w:r w:rsidR="00C670EB" w:rsidRPr="00397119">
        <w:rPr>
          <w:rFonts w:ascii="Times New Roman" w:hAnsi="Times New Roman"/>
          <w:sz w:val="24"/>
          <w:szCs w:val="24"/>
        </w:rPr>
        <w:t>BT</w:t>
      </w:r>
      <w:r w:rsidRPr="00397119">
        <w:rPr>
          <w:rFonts w:ascii="Times New Roman" w:hAnsi="Times New Roman"/>
          <w:sz w:val="24"/>
          <w:szCs w:val="24"/>
        </w:rPr>
        <w:t>Q+ individuals.</w:t>
      </w:r>
    </w:p>
    <w:p w14:paraId="5EB7E1A1" w14:textId="4E06E848" w:rsidR="004B7964" w:rsidRPr="00397119" w:rsidRDefault="009F3D7E" w:rsidP="003A039A">
      <w:pPr>
        <w:pStyle w:val="ListParagraph"/>
        <w:numPr>
          <w:ilvl w:val="0"/>
          <w:numId w:val="26"/>
        </w:numPr>
        <w:spacing w:after="120" w:line="240" w:lineRule="auto"/>
        <w:ind w:left="1440"/>
        <w:contextualSpacing w:val="0"/>
        <w:jc w:val="both"/>
        <w:rPr>
          <w:rFonts w:ascii="Times New Roman" w:hAnsi="Times New Roman"/>
          <w:sz w:val="24"/>
          <w:szCs w:val="24"/>
        </w:rPr>
      </w:pPr>
      <w:r w:rsidRPr="00397119">
        <w:rPr>
          <w:rFonts w:ascii="Times New Roman" w:hAnsi="Times New Roman"/>
          <w:sz w:val="24"/>
          <w:szCs w:val="24"/>
        </w:rPr>
        <w:t xml:space="preserve">Ensure transparency in funding and outcomes for </w:t>
      </w:r>
      <w:r w:rsidR="009F62A1" w:rsidRPr="00397119">
        <w:rPr>
          <w:rFonts w:ascii="Times New Roman" w:hAnsi="Times New Roman"/>
          <w:sz w:val="24"/>
          <w:szCs w:val="24"/>
        </w:rPr>
        <w:t>LGBTQ+</w:t>
      </w:r>
      <w:r w:rsidRPr="00397119">
        <w:rPr>
          <w:rFonts w:ascii="Times New Roman" w:hAnsi="Times New Roman"/>
          <w:sz w:val="24"/>
          <w:szCs w:val="24"/>
        </w:rPr>
        <w:t xml:space="preserve"> support </w:t>
      </w:r>
      <w:r w:rsidR="00AA42C3" w:rsidRPr="00397119">
        <w:rPr>
          <w:rFonts w:ascii="Times New Roman" w:hAnsi="Times New Roman"/>
          <w:sz w:val="24"/>
          <w:szCs w:val="24"/>
        </w:rPr>
        <w:t>programs and</w:t>
      </w:r>
      <w:r w:rsidR="004A4C4F" w:rsidRPr="00397119">
        <w:rPr>
          <w:rFonts w:ascii="Times New Roman" w:hAnsi="Times New Roman"/>
          <w:sz w:val="24"/>
          <w:szCs w:val="24"/>
        </w:rPr>
        <w:t xml:space="preserve"> implement robust monitoring and evaluation to refine support measures based on impact assessments. </w:t>
      </w:r>
    </w:p>
    <w:sectPr w:rsidR="004B7964" w:rsidRPr="00397119" w:rsidSect="00350ABD">
      <w:headerReference w:type="default" r:id="rId13"/>
      <w:footerReference w:type="default" r:id="rId14"/>
      <w:headerReference w:type="first" r:id="rId15"/>
      <w:footerReference w:type="first" r:id="rId16"/>
      <w:endnotePr>
        <w:numFmt w:val="decimal"/>
      </w:endnotePr>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7AFD09" w14:textId="77777777" w:rsidR="00350ABD" w:rsidRDefault="00350ABD">
      <w:r>
        <w:separator/>
      </w:r>
    </w:p>
  </w:endnote>
  <w:endnote w:type="continuationSeparator" w:id="0">
    <w:p w14:paraId="1936F19A" w14:textId="77777777" w:rsidR="00350ABD" w:rsidRDefault="00350ABD">
      <w:r>
        <w:continuationSeparator/>
      </w:r>
    </w:p>
  </w:endnote>
  <w:endnote w:type="continuationNotice" w:id="1">
    <w:p w14:paraId="71DBE339" w14:textId="77777777" w:rsidR="00350ABD" w:rsidRDefault="00350AB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Calisto MT">
    <w:panose1 w:val="02040603050505030304"/>
    <w:charset w:val="4D"/>
    <w:family w:val="roman"/>
    <w:pitch w:val="variable"/>
    <w:sig w:usb0="00000003" w:usb1="00000000" w:usb2="00000000" w:usb3="00000000" w:csb0="00000001" w:csb1="00000000"/>
  </w:font>
  <w:font w:name="Gill Sans MT">
    <w:panose1 w:val="020B0502020104020203"/>
    <w:charset w:val="4D"/>
    <w:family w:val="swiss"/>
    <w:pitch w:val="variable"/>
    <w:sig w:usb0="00000003" w:usb1="00000000" w:usb2="00000000" w:usb3="00000000" w:csb0="00000003" w:csb1="00000000"/>
  </w:font>
  <w:font w:name="Adobe Jenson Pro">
    <w:altName w:val="Times New Roman"/>
    <w:panose1 w:val="020B0604020202020204"/>
    <w:charset w:val="00"/>
    <w:family w:val="roman"/>
    <w:notTrueType/>
    <w:pitch w:val="variable"/>
    <w:sig w:usb0="00000007" w:usb1="00000000" w:usb2="00000000" w:usb3="00000000" w:csb0="00000093"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4F9EF6" w14:textId="77777777" w:rsidR="003A0A00" w:rsidRDefault="00804604">
    <w:pPr>
      <w:pStyle w:val="Footer"/>
      <w:jc w:val="center"/>
      <w:rPr>
        <w:noProof/>
      </w:rPr>
    </w:pPr>
    <w:r>
      <w:fldChar w:fldCharType="begin"/>
    </w:r>
    <w:r>
      <w:instrText xml:space="preserve"> PAGE   \* MERGEFORMAT </w:instrText>
    </w:r>
    <w:r>
      <w:fldChar w:fldCharType="separate"/>
    </w:r>
    <w:r w:rsidR="00DD3996">
      <w:rPr>
        <w:noProof/>
      </w:rPr>
      <w:t>2</w:t>
    </w:r>
    <w:r>
      <w:rPr>
        <w:noProof/>
      </w:rPr>
      <w:fldChar w:fldCharType="end"/>
    </w:r>
  </w:p>
  <w:p w14:paraId="5EEA8685" w14:textId="4E59710F" w:rsidR="003A0A00" w:rsidRDefault="003A0A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6B8E91" w14:textId="2146F7AB" w:rsidR="00804604" w:rsidRDefault="002F7A11" w:rsidP="00C26130">
    <w:pPr>
      <w:widowControl w:val="0"/>
      <w:jc w:val="center"/>
      <w:rPr>
        <w:rFonts w:ascii="Gill Sans MT" w:hAnsi="Gill Sans MT"/>
        <w:color w:val="333333"/>
        <w:lang w:val="en"/>
      </w:rPr>
    </w:pPr>
    <w:r>
      <w:rPr>
        <w:rFonts w:ascii="Calisto MT" w:hAnsi="Calisto MT"/>
        <w:noProof/>
        <w:color w:val="800080"/>
        <w:sz w:val="26"/>
        <w:szCs w:val="26"/>
      </w:rPr>
      <mc:AlternateContent>
        <mc:Choice Requires="wps">
          <w:drawing>
            <wp:anchor distT="0" distB="0" distL="114300" distR="114300" simplePos="0" relativeHeight="251658241" behindDoc="0" locked="0" layoutInCell="1" allowOverlap="1" wp14:anchorId="13FDBD67" wp14:editId="2E5F8390">
              <wp:simplePos x="0" y="0"/>
              <wp:positionH relativeFrom="column">
                <wp:posOffset>-356235</wp:posOffset>
              </wp:positionH>
              <wp:positionV relativeFrom="paragraph">
                <wp:posOffset>132715</wp:posOffset>
              </wp:positionV>
              <wp:extent cx="6649720" cy="0"/>
              <wp:effectExtent l="5715" t="8890" r="12065" b="1016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arto="http://schemas.microsoft.com/office/word/2006/arto" xmlns:w16du="http://schemas.microsoft.com/office/word/2023/wordml/word16du">
          <w:pict>
            <v:line id="Straight Connector 1" style="position:absolute;flip:y;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strokecolor="#333" from="-28.05pt,10.45pt" to="495.55pt,10.45pt" w14:anchorId="1D9064D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"/>
          </w:pict>
        </mc:Fallback>
      </mc:AlternateContent>
    </w:r>
  </w:p>
  <w:p w14:paraId="38491264" w14:textId="712FBBD7" w:rsidR="00804604" w:rsidRPr="00345B90" w:rsidRDefault="00804604" w:rsidP="00C26130">
    <w:pPr>
      <w:widowControl w:val="0"/>
      <w:jc w:val="center"/>
      <w:rPr>
        <w:rFonts w:ascii="Adobe Jenson Pro" w:hAnsi="Adobe Jenson Pro"/>
        <w:i/>
        <w:iCs/>
        <w:color w:val="542344"/>
        <w:sz w:val="23"/>
        <w:szCs w:val="23"/>
        <w:lang w:val="en"/>
      </w:rPr>
    </w:pPr>
    <w:r>
      <w:rPr>
        <w:rFonts w:ascii="Gill Sans MT" w:hAnsi="Gill Sans MT"/>
        <w:color w:val="333333"/>
        <w:sz w:val="18"/>
        <w:szCs w:val="18"/>
        <w:lang w:val="en"/>
      </w:rPr>
      <w:t>330</w:t>
    </w:r>
    <w:r w:rsidRPr="008856D7">
      <w:rPr>
        <w:rFonts w:ascii="Gill Sans MT" w:hAnsi="Gill Sans MT"/>
        <w:color w:val="333333"/>
        <w:sz w:val="18"/>
        <w:szCs w:val="18"/>
        <w:lang w:val="en"/>
      </w:rPr>
      <w:t xml:space="preserve"> </w:t>
    </w:r>
    <w:r>
      <w:rPr>
        <w:rFonts w:ascii="Gill Sans MT" w:hAnsi="Gill Sans MT"/>
        <w:color w:val="333333"/>
        <w:sz w:val="18"/>
        <w:szCs w:val="18"/>
        <w:lang w:val="en"/>
      </w:rPr>
      <w:t>Second</w:t>
    </w:r>
    <w:r w:rsidRPr="008856D7">
      <w:rPr>
        <w:rFonts w:ascii="Gill Sans MT" w:hAnsi="Gill Sans MT"/>
        <w:color w:val="333333"/>
        <w:sz w:val="18"/>
        <w:szCs w:val="18"/>
        <w:lang w:val="en"/>
      </w:rPr>
      <w:t xml:space="preserve"> Avenue South </w:t>
    </w:r>
    <w:r w:rsidRPr="008856D7">
      <w:rPr>
        <w:rFonts w:ascii="Verdana" w:hAnsi="Verdana"/>
        <w:color w:val="333333"/>
        <w:sz w:val="18"/>
        <w:szCs w:val="18"/>
        <w:lang w:val="en"/>
      </w:rPr>
      <w:t>•</w:t>
    </w:r>
    <w:r w:rsidRPr="008856D7">
      <w:rPr>
        <w:rFonts w:ascii="Gill Sans MT" w:hAnsi="Gill Sans MT"/>
        <w:color w:val="333333"/>
        <w:sz w:val="18"/>
        <w:szCs w:val="18"/>
        <w:lang w:val="en"/>
      </w:rPr>
      <w:t xml:space="preserve"> Suite </w:t>
    </w:r>
    <w:r>
      <w:rPr>
        <w:rFonts w:ascii="Gill Sans MT" w:hAnsi="Gill Sans MT"/>
        <w:color w:val="333333"/>
        <w:sz w:val="18"/>
        <w:szCs w:val="18"/>
        <w:lang w:val="en"/>
      </w:rPr>
      <w:t>800</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Pr="008856D7">
      <w:rPr>
        <w:rFonts w:ascii="Gill Sans MT" w:hAnsi="Gill Sans MT"/>
        <w:color w:val="333333"/>
        <w:sz w:val="18"/>
        <w:szCs w:val="18"/>
        <w:lang w:val="en"/>
      </w:rPr>
      <w:t xml:space="preserve"> Minneapolis, MN</w:t>
    </w:r>
    <w:r w:rsidR="00EE1E70">
      <w:rPr>
        <w:rFonts w:ascii="Gill Sans MT" w:hAnsi="Gill Sans MT"/>
        <w:color w:val="333333"/>
        <w:sz w:val="18"/>
        <w:szCs w:val="18"/>
        <w:lang w:val="en"/>
      </w:rPr>
      <w:t xml:space="preserve"> </w:t>
    </w:r>
    <w:r w:rsidRPr="008856D7">
      <w:rPr>
        <w:rFonts w:ascii="Gill Sans MT" w:hAnsi="Gill Sans MT"/>
        <w:color w:val="333333"/>
        <w:sz w:val="18"/>
        <w:szCs w:val="18"/>
        <w:lang w:val="en"/>
      </w:rPr>
      <w:t>5540</w:t>
    </w:r>
    <w:r>
      <w:rPr>
        <w:rFonts w:ascii="Gill Sans MT" w:hAnsi="Gill Sans MT"/>
        <w:color w:val="333333"/>
        <w:sz w:val="18"/>
        <w:szCs w:val="18"/>
        <w:lang w:val="en"/>
      </w:rPr>
      <w:t>1</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Pr="008856D7">
      <w:rPr>
        <w:rFonts w:ascii="Gill Sans MT" w:hAnsi="Gill Sans MT"/>
        <w:color w:val="333333"/>
        <w:sz w:val="18"/>
        <w:szCs w:val="18"/>
        <w:lang w:val="en"/>
      </w:rPr>
      <w:t xml:space="preserve"> USA </w:t>
    </w:r>
  </w:p>
  <w:p w14:paraId="244AEA2B" w14:textId="523389E0" w:rsidR="003A0A00" w:rsidRDefault="00804604" w:rsidP="00E114C5">
    <w:pPr>
      <w:widowControl w:val="0"/>
      <w:jc w:val="center"/>
      <w:rPr>
        <w:rFonts w:ascii="Gill Sans MT" w:hAnsi="Gill Sans MT"/>
        <w:color w:val="333333"/>
        <w:sz w:val="18"/>
        <w:szCs w:val="18"/>
        <w:lang w:val="en"/>
      </w:rPr>
    </w:pPr>
    <w:r w:rsidRPr="008856D7">
      <w:rPr>
        <w:rFonts w:ascii="Gill Sans MT" w:hAnsi="Gill Sans MT"/>
        <w:color w:val="333333"/>
        <w:sz w:val="18"/>
        <w:szCs w:val="18"/>
        <w:lang w:val="en"/>
      </w:rPr>
      <w:t>Tel</w:t>
    </w:r>
    <w:r w:rsidR="0009644E">
      <w:rPr>
        <w:rFonts w:ascii="Gill Sans MT" w:hAnsi="Gill Sans MT"/>
        <w:color w:val="333333"/>
        <w:sz w:val="18"/>
        <w:szCs w:val="18"/>
        <w:lang w:val="en"/>
      </w:rPr>
      <w:t>:</w:t>
    </w:r>
    <w:r w:rsidR="00EE1E70">
      <w:rPr>
        <w:rFonts w:ascii="Gill Sans MT" w:hAnsi="Gill Sans MT"/>
        <w:color w:val="333333"/>
        <w:sz w:val="18"/>
        <w:szCs w:val="18"/>
        <w:lang w:val="en"/>
      </w:rPr>
      <w:t xml:space="preserve"> </w:t>
    </w:r>
    <w:r w:rsidR="0009644E">
      <w:rPr>
        <w:rFonts w:ascii="Gill Sans MT" w:hAnsi="Gill Sans MT"/>
        <w:color w:val="333333"/>
        <w:sz w:val="18"/>
        <w:szCs w:val="18"/>
        <w:lang w:val="en"/>
      </w:rPr>
      <w:t>612-341-</w:t>
    </w:r>
    <w:r w:rsidR="00AD0AA1">
      <w:rPr>
        <w:rFonts w:ascii="Gill Sans MT" w:hAnsi="Gill Sans MT"/>
        <w:color w:val="333333"/>
        <w:sz w:val="18"/>
        <w:szCs w:val="18"/>
        <w:lang w:val="en"/>
      </w:rPr>
      <w:t>3302</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09644E">
      <w:rPr>
        <w:rFonts w:ascii="Gill Sans MT" w:hAnsi="Gill Sans MT"/>
        <w:color w:val="333333"/>
        <w:sz w:val="18"/>
        <w:szCs w:val="18"/>
        <w:lang w:val="en"/>
      </w:rPr>
      <w:t xml:space="preserve"> Fax:</w:t>
    </w:r>
    <w:r w:rsidR="00EE1E70">
      <w:rPr>
        <w:rFonts w:ascii="Gill Sans MT" w:hAnsi="Gill Sans MT"/>
        <w:color w:val="333333"/>
        <w:sz w:val="18"/>
        <w:szCs w:val="18"/>
        <w:lang w:val="en"/>
      </w:rPr>
      <w:t xml:space="preserve"> </w:t>
    </w:r>
    <w:r w:rsidR="0009644E">
      <w:rPr>
        <w:rFonts w:ascii="Gill Sans MT" w:hAnsi="Gill Sans MT"/>
        <w:color w:val="333333"/>
        <w:sz w:val="18"/>
        <w:szCs w:val="18"/>
        <w:lang w:val="en"/>
      </w:rPr>
      <w:t>612-341-</w:t>
    </w:r>
    <w:r w:rsidRPr="008856D7">
      <w:rPr>
        <w:rFonts w:ascii="Gill Sans MT" w:hAnsi="Gill Sans MT"/>
        <w:color w:val="333333"/>
        <w:sz w:val="18"/>
        <w:szCs w:val="18"/>
        <w:lang w:val="en"/>
      </w:rPr>
      <w:t xml:space="preserve">2971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Email: hrights@advrights.org</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w:t>
    </w:r>
    <w:r w:rsidR="0009644E">
      <w:rPr>
        <w:rFonts w:ascii="Gill Sans MT" w:hAnsi="Gill Sans MT"/>
        <w:color w:val="333333"/>
        <w:sz w:val="18"/>
        <w:szCs w:val="18"/>
        <w:lang w:val="en"/>
      </w:rPr>
      <w:t>www.TheAdvocatesForHumanR</w:t>
    </w:r>
    <w:r w:rsidRPr="008856D7">
      <w:rPr>
        <w:rFonts w:ascii="Gill Sans MT" w:hAnsi="Gill Sans MT"/>
        <w:color w:val="333333"/>
        <w:sz w:val="18"/>
        <w:szCs w:val="18"/>
        <w:lang w:val="en"/>
      </w:rPr>
      <w:t xml:space="preserve">ights.org </w:t>
    </w:r>
  </w:p>
  <w:p w14:paraId="50E765F8" w14:textId="19365E4E" w:rsidR="003A0A00" w:rsidRDefault="003A0A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3C31D7" w14:textId="77777777" w:rsidR="00350ABD" w:rsidRDefault="00350ABD">
      <w:r>
        <w:separator/>
      </w:r>
    </w:p>
  </w:footnote>
  <w:footnote w:type="continuationSeparator" w:id="0">
    <w:p w14:paraId="1A7DF587" w14:textId="77777777" w:rsidR="00350ABD" w:rsidRDefault="00350ABD">
      <w:r>
        <w:continuationSeparator/>
      </w:r>
    </w:p>
  </w:footnote>
  <w:footnote w:type="continuationNotice" w:id="1">
    <w:p w14:paraId="6FD84B7C" w14:textId="77777777" w:rsidR="00350ABD" w:rsidRDefault="00350ABD"/>
  </w:footnote>
  <w:footnote w:id="2">
    <w:p w14:paraId="7916FEFE" w14:textId="3D339175" w:rsidR="009E508C" w:rsidRPr="00F30CBF" w:rsidRDefault="009E508C" w:rsidP="00C332AD">
      <w:pPr>
        <w:autoSpaceDE w:val="0"/>
        <w:autoSpaceDN w:val="0"/>
        <w:adjustRightInd w:val="0"/>
        <w:snapToGrid w:val="0"/>
        <w:rPr>
          <w:rFonts w:eastAsia="Times New Roman"/>
          <w:i/>
          <w:kern w:val="0"/>
          <w:sz w:val="20"/>
          <w:szCs w:val="20"/>
          <w:lang w:val="x-none"/>
        </w:rPr>
      </w:pPr>
      <w:r w:rsidRPr="00F30CBF">
        <w:rPr>
          <w:rStyle w:val="FootnoteReference"/>
          <w:sz w:val="20"/>
          <w:szCs w:val="20"/>
        </w:rPr>
        <w:footnoteRef/>
      </w:r>
      <w:r w:rsidRPr="00F30CBF">
        <w:rPr>
          <w:sz w:val="20"/>
          <w:szCs w:val="20"/>
        </w:rPr>
        <w:t xml:space="preserve"> </w:t>
      </w:r>
      <w:r w:rsidRPr="00F30CBF">
        <w:rPr>
          <w:rFonts w:eastAsia="Times New Roman"/>
          <w:kern w:val="0"/>
          <w:sz w:val="20"/>
          <w:szCs w:val="20"/>
          <w:lang w:val="x-none"/>
        </w:rPr>
        <w:t xml:space="preserve">Human Rights Committee, </w:t>
      </w:r>
      <w:r w:rsidRPr="00F30CBF">
        <w:rPr>
          <w:rFonts w:eastAsia="Times New Roman"/>
          <w:bCs/>
          <w:i/>
          <w:kern w:val="0"/>
          <w:sz w:val="20"/>
          <w:szCs w:val="20"/>
          <w:lang w:val="x-none"/>
        </w:rPr>
        <w:t>List of issues prior to submission of the fourth periodic report of India</w:t>
      </w:r>
      <w:r w:rsidRPr="00F30CBF">
        <w:rPr>
          <w:rFonts w:eastAsia="Times New Roman"/>
          <w:i/>
          <w:kern w:val="0"/>
          <w:sz w:val="20"/>
          <w:szCs w:val="20"/>
          <w:lang w:val="x-none"/>
        </w:rPr>
        <w:t>,</w:t>
      </w:r>
    </w:p>
    <w:p w14:paraId="6B9E06BC" w14:textId="5A625799" w:rsidR="009E508C" w:rsidRPr="00F30CBF" w:rsidRDefault="009E508C" w:rsidP="00C332AD">
      <w:pPr>
        <w:pStyle w:val="FootnoteText"/>
        <w:rPr>
          <w:sz w:val="20"/>
          <w:szCs w:val="20"/>
        </w:rPr>
      </w:pPr>
      <w:r w:rsidRPr="00F30CBF">
        <w:rPr>
          <w:rFonts w:eastAsia="Times New Roman"/>
          <w:kern w:val="0"/>
          <w:sz w:val="20"/>
          <w:szCs w:val="20"/>
          <w:lang w:val="x-none"/>
        </w:rPr>
        <w:t>(Aug. 22, 2019), U.N. Doc. CCPR/C/IND/QPR/4, ¶ 9.</w:t>
      </w:r>
    </w:p>
  </w:footnote>
  <w:footnote w:id="3">
    <w:p w14:paraId="2D1C5F09" w14:textId="21694247" w:rsidR="009E508C" w:rsidRPr="00F30CBF" w:rsidRDefault="009E508C" w:rsidP="00044A50">
      <w:pPr>
        <w:autoSpaceDE w:val="0"/>
        <w:autoSpaceDN w:val="0"/>
        <w:adjustRightInd w:val="0"/>
        <w:snapToGrid w:val="0"/>
        <w:rPr>
          <w:rFonts w:eastAsia="Times New Roman"/>
          <w:i/>
          <w:kern w:val="0"/>
          <w:sz w:val="20"/>
          <w:szCs w:val="20"/>
          <w:lang w:val="x-none"/>
        </w:rPr>
      </w:pPr>
      <w:r w:rsidRPr="00F30CBF">
        <w:rPr>
          <w:rStyle w:val="FootnoteReference"/>
          <w:sz w:val="20"/>
          <w:szCs w:val="20"/>
        </w:rPr>
        <w:footnoteRef/>
      </w:r>
      <w:r w:rsidRPr="00F30CBF">
        <w:rPr>
          <w:sz w:val="20"/>
          <w:szCs w:val="20"/>
        </w:rPr>
        <w:t xml:space="preserve"> </w:t>
      </w:r>
      <w:r w:rsidRPr="00F30CBF">
        <w:rPr>
          <w:rFonts w:eastAsia="Times New Roman"/>
          <w:kern w:val="0"/>
          <w:sz w:val="20"/>
          <w:szCs w:val="20"/>
          <w:lang w:val="x-none"/>
        </w:rPr>
        <w:t xml:space="preserve">Human Rights Committee, </w:t>
      </w:r>
      <w:r w:rsidRPr="00F30CBF">
        <w:rPr>
          <w:rFonts w:eastAsia="Times New Roman"/>
          <w:bCs/>
          <w:i/>
          <w:kern w:val="0"/>
          <w:sz w:val="20"/>
          <w:szCs w:val="20"/>
          <w:lang w:val="x-none"/>
        </w:rPr>
        <w:t>List of issues prior to submission of the fourth periodic report of India</w:t>
      </w:r>
      <w:r w:rsidRPr="00F30CBF">
        <w:rPr>
          <w:rFonts w:eastAsia="Times New Roman"/>
          <w:i/>
          <w:kern w:val="0"/>
          <w:sz w:val="20"/>
          <w:szCs w:val="20"/>
          <w:lang w:val="x-none"/>
        </w:rPr>
        <w:t>,</w:t>
      </w:r>
    </w:p>
    <w:p w14:paraId="0F7EC2B8" w14:textId="34769C69" w:rsidR="009E508C" w:rsidRPr="00F30CBF" w:rsidRDefault="009E508C" w:rsidP="00044A50">
      <w:pPr>
        <w:pStyle w:val="FootnoteText"/>
        <w:rPr>
          <w:sz w:val="20"/>
          <w:szCs w:val="20"/>
        </w:rPr>
      </w:pPr>
      <w:r w:rsidRPr="00F30CBF">
        <w:rPr>
          <w:rFonts w:eastAsia="Times New Roman"/>
          <w:kern w:val="0"/>
          <w:sz w:val="20"/>
          <w:szCs w:val="20"/>
          <w:lang w:val="x-none"/>
        </w:rPr>
        <w:t>(Aug. 22, 2019), U.N. Doc. CCPR/C/IND/QPR/4, ¶ 9.</w:t>
      </w:r>
    </w:p>
  </w:footnote>
  <w:footnote w:id="4">
    <w:p w14:paraId="7633C64C" w14:textId="6423DFC4" w:rsidR="009E508C" w:rsidRPr="00F30CBF" w:rsidRDefault="009E508C" w:rsidP="008E0175">
      <w:pPr>
        <w:autoSpaceDE w:val="0"/>
        <w:autoSpaceDN w:val="0"/>
        <w:adjustRightInd w:val="0"/>
        <w:snapToGrid w:val="0"/>
        <w:rPr>
          <w:rFonts w:eastAsia="Times New Roman"/>
          <w:kern w:val="0"/>
          <w:sz w:val="20"/>
          <w:szCs w:val="20"/>
          <w:lang w:val="x-none"/>
        </w:rPr>
      </w:pPr>
      <w:r w:rsidRPr="00F30CBF">
        <w:rPr>
          <w:rStyle w:val="FootnoteReference"/>
          <w:sz w:val="20"/>
          <w:szCs w:val="20"/>
        </w:rPr>
        <w:footnoteRef/>
      </w:r>
      <w:r w:rsidRPr="00F30CBF">
        <w:rPr>
          <w:sz w:val="20"/>
          <w:szCs w:val="20"/>
        </w:rPr>
        <w:t xml:space="preserve"> </w:t>
      </w:r>
      <w:r w:rsidRPr="00F30CBF">
        <w:rPr>
          <w:rFonts w:eastAsia="Times New Roman"/>
          <w:kern w:val="0"/>
          <w:sz w:val="20"/>
          <w:szCs w:val="20"/>
          <w:lang w:val="x-none"/>
        </w:rPr>
        <w:t xml:space="preserve">Human Rights Committee, </w:t>
      </w:r>
      <w:r w:rsidRPr="00F30CBF">
        <w:rPr>
          <w:rFonts w:eastAsia="Times New Roman"/>
          <w:bCs/>
          <w:i/>
          <w:kern w:val="0"/>
          <w:sz w:val="20"/>
          <w:szCs w:val="20"/>
          <w:lang w:val="x-none"/>
        </w:rPr>
        <w:t>Fourth periodic report submitted by India under article 40 of the Covenant pursuant to the optional reporting procedure, due in 2020</w:t>
      </w:r>
      <w:r w:rsidRPr="00F30CBF">
        <w:rPr>
          <w:rFonts w:eastAsia="Times New Roman"/>
          <w:i/>
          <w:kern w:val="0"/>
          <w:sz w:val="20"/>
          <w:szCs w:val="20"/>
          <w:lang w:val="x-none"/>
        </w:rPr>
        <w:t xml:space="preserve">, </w:t>
      </w:r>
      <w:r w:rsidRPr="00F30CBF">
        <w:rPr>
          <w:rFonts w:eastAsia="Times New Roman"/>
          <w:kern w:val="0"/>
          <w:sz w:val="20"/>
          <w:szCs w:val="20"/>
          <w:lang w:val="x-none"/>
        </w:rPr>
        <w:t>(May 31, 2022), U.N. Doc. CCPR/C/IND/4, ¶ 28.</w:t>
      </w:r>
    </w:p>
  </w:footnote>
  <w:footnote w:id="5">
    <w:p w14:paraId="28D2EE1E" w14:textId="65B0DBF4" w:rsidR="009E508C" w:rsidRPr="00F30CBF" w:rsidRDefault="009E508C">
      <w:pPr>
        <w:pStyle w:val="FootnoteText"/>
        <w:rPr>
          <w:sz w:val="20"/>
          <w:szCs w:val="20"/>
        </w:rPr>
      </w:pPr>
      <w:r w:rsidRPr="00F30CBF">
        <w:rPr>
          <w:rStyle w:val="FootnoteReference"/>
          <w:sz w:val="20"/>
          <w:szCs w:val="20"/>
        </w:rPr>
        <w:footnoteRef/>
      </w:r>
      <w:r w:rsidRPr="00F30CBF">
        <w:rPr>
          <w:sz w:val="20"/>
          <w:szCs w:val="20"/>
        </w:rPr>
        <w:t xml:space="preserve"> </w:t>
      </w:r>
      <w:r w:rsidRPr="00F30CBF">
        <w:rPr>
          <w:rFonts w:eastAsia="Times New Roman"/>
          <w:kern w:val="0"/>
          <w:sz w:val="20"/>
          <w:szCs w:val="20"/>
          <w:lang w:val="x-none"/>
        </w:rPr>
        <w:t xml:space="preserve">Human Rights Committee, </w:t>
      </w:r>
      <w:r w:rsidRPr="00F30CBF">
        <w:rPr>
          <w:rFonts w:eastAsia="Times New Roman"/>
          <w:bCs/>
          <w:i/>
          <w:kern w:val="0"/>
          <w:sz w:val="20"/>
          <w:szCs w:val="20"/>
          <w:lang w:val="x-none"/>
        </w:rPr>
        <w:t>Fourth periodic report submitted by India under article 40 of the Covenant pursuant to the optional reporting procedure, due in 2020</w:t>
      </w:r>
      <w:r w:rsidRPr="00F30CBF">
        <w:rPr>
          <w:rFonts w:eastAsia="Times New Roman"/>
          <w:i/>
          <w:kern w:val="0"/>
          <w:sz w:val="20"/>
          <w:szCs w:val="20"/>
          <w:lang w:val="x-none"/>
        </w:rPr>
        <w:t xml:space="preserve">, </w:t>
      </w:r>
      <w:r w:rsidRPr="00F30CBF">
        <w:rPr>
          <w:rFonts w:eastAsia="Times New Roman"/>
          <w:kern w:val="0"/>
          <w:sz w:val="20"/>
          <w:szCs w:val="20"/>
          <w:lang w:val="x-none"/>
        </w:rPr>
        <w:t>(May 31, 2022), U.N. Doc. CCPR/C/IND/4, ¶ 28.</w:t>
      </w:r>
    </w:p>
  </w:footnote>
  <w:footnote w:id="6">
    <w:p w14:paraId="1B8ED42E" w14:textId="1E3D38AF" w:rsidR="009E508C" w:rsidRPr="00F30CBF" w:rsidRDefault="009E508C">
      <w:pPr>
        <w:pStyle w:val="FootnoteText"/>
        <w:rPr>
          <w:sz w:val="20"/>
          <w:szCs w:val="20"/>
        </w:rPr>
      </w:pPr>
      <w:r w:rsidRPr="00F30CBF">
        <w:rPr>
          <w:rStyle w:val="FootnoteReference"/>
          <w:sz w:val="20"/>
          <w:szCs w:val="20"/>
        </w:rPr>
        <w:footnoteRef/>
      </w:r>
      <w:r w:rsidRPr="00F30CBF">
        <w:rPr>
          <w:sz w:val="20"/>
          <w:szCs w:val="20"/>
        </w:rPr>
        <w:t xml:space="preserve"> Constitution of India, (Part 3: Fundamental Rights), 1950.</w:t>
      </w:r>
      <w:r w:rsidR="00EE1E70" w:rsidRPr="00F30CBF">
        <w:rPr>
          <w:sz w:val="20"/>
          <w:szCs w:val="20"/>
        </w:rPr>
        <w:t xml:space="preserve"> </w:t>
      </w:r>
      <w:r w:rsidRPr="00F30CBF">
        <w:rPr>
          <w:kern w:val="0"/>
          <w:sz w:val="20"/>
          <w:szCs w:val="20"/>
          <w:lang w:val="x-none"/>
        </w:rPr>
        <w:t xml:space="preserve">Also available online at </w:t>
      </w:r>
      <w:hyperlink r:id="rId1" w:history="1">
        <w:r w:rsidRPr="00F30CBF">
          <w:rPr>
            <w:rStyle w:val="Hyperlink"/>
            <w:color w:val="auto"/>
            <w:kern w:val="0"/>
            <w:sz w:val="20"/>
            <w:szCs w:val="20"/>
            <w:u w:val="none"/>
            <w:lang w:val="x-none"/>
          </w:rPr>
          <w:t>https://www.constitutionofindia.net/read/#parts</w:t>
        </w:r>
      </w:hyperlink>
      <w:r w:rsidRPr="00F30CBF">
        <w:rPr>
          <w:kern w:val="0"/>
          <w:sz w:val="20"/>
          <w:szCs w:val="20"/>
          <w:lang w:val="x-none"/>
        </w:rPr>
        <w:t xml:space="preserve">. </w:t>
      </w:r>
    </w:p>
  </w:footnote>
  <w:footnote w:id="7">
    <w:p w14:paraId="78CE4E6C" w14:textId="2DB4510A" w:rsidR="009E508C" w:rsidRPr="00F30CBF" w:rsidRDefault="009E508C">
      <w:pPr>
        <w:pStyle w:val="FootnoteText"/>
        <w:rPr>
          <w:sz w:val="20"/>
          <w:szCs w:val="20"/>
        </w:rPr>
      </w:pPr>
      <w:r w:rsidRPr="00F30CBF">
        <w:rPr>
          <w:rStyle w:val="FootnoteReference"/>
          <w:sz w:val="20"/>
          <w:szCs w:val="20"/>
        </w:rPr>
        <w:footnoteRef/>
      </w:r>
      <w:r w:rsidRPr="00F30CBF">
        <w:rPr>
          <w:sz w:val="20"/>
          <w:szCs w:val="20"/>
        </w:rPr>
        <w:t xml:space="preserve"> Constitution of India, (Part 3: Fundamental Rights), 1950.</w:t>
      </w:r>
      <w:r w:rsidR="00EE1E70" w:rsidRPr="00F30CBF">
        <w:rPr>
          <w:sz w:val="20"/>
          <w:szCs w:val="20"/>
        </w:rPr>
        <w:t xml:space="preserve"> </w:t>
      </w:r>
      <w:r w:rsidRPr="00F30CBF">
        <w:rPr>
          <w:kern w:val="0"/>
          <w:sz w:val="20"/>
          <w:szCs w:val="20"/>
          <w:lang w:val="x-none"/>
        </w:rPr>
        <w:t xml:space="preserve">Also available online at </w:t>
      </w:r>
      <w:hyperlink r:id="rId2" w:history="1">
        <w:r w:rsidRPr="00F30CBF">
          <w:rPr>
            <w:rStyle w:val="Hyperlink"/>
            <w:color w:val="auto"/>
            <w:kern w:val="0"/>
            <w:sz w:val="20"/>
            <w:szCs w:val="20"/>
            <w:u w:val="none"/>
            <w:lang w:val="x-none"/>
          </w:rPr>
          <w:t>https://www.constitutionofindia.net/read/#parts</w:t>
        </w:r>
      </w:hyperlink>
      <w:r w:rsidRPr="00F30CBF">
        <w:rPr>
          <w:kern w:val="0"/>
          <w:sz w:val="20"/>
          <w:szCs w:val="20"/>
          <w:lang w:val="x-none"/>
        </w:rPr>
        <w:t xml:space="preserve">. </w:t>
      </w:r>
    </w:p>
  </w:footnote>
  <w:footnote w:id="8">
    <w:p w14:paraId="321B6988" w14:textId="78C1CE2A" w:rsidR="009E508C" w:rsidRPr="00F30CBF" w:rsidRDefault="009E508C" w:rsidP="00A9326D">
      <w:pPr>
        <w:pStyle w:val="FootnoteText"/>
        <w:rPr>
          <w:sz w:val="20"/>
          <w:szCs w:val="20"/>
        </w:rPr>
      </w:pPr>
      <w:r w:rsidRPr="00F30CBF">
        <w:rPr>
          <w:rStyle w:val="FootnoteReference"/>
          <w:sz w:val="20"/>
          <w:szCs w:val="20"/>
        </w:rPr>
        <w:footnoteRef/>
      </w:r>
      <w:r w:rsidRPr="00F30CBF">
        <w:rPr>
          <w:sz w:val="20"/>
          <w:szCs w:val="20"/>
        </w:rPr>
        <w:t xml:space="preserve"> </w:t>
      </w:r>
      <w:proofErr w:type="spellStart"/>
      <w:r w:rsidRPr="00F30CBF">
        <w:rPr>
          <w:sz w:val="20"/>
          <w:szCs w:val="20"/>
        </w:rPr>
        <w:t>Zeenat</w:t>
      </w:r>
      <w:proofErr w:type="spellEnd"/>
      <w:r w:rsidRPr="00F30CBF">
        <w:rPr>
          <w:sz w:val="20"/>
          <w:szCs w:val="20"/>
        </w:rPr>
        <w:t xml:space="preserve"> </w:t>
      </w:r>
      <w:proofErr w:type="spellStart"/>
      <w:r w:rsidRPr="00F30CBF">
        <w:rPr>
          <w:sz w:val="20"/>
          <w:szCs w:val="20"/>
        </w:rPr>
        <w:t>Saberin</w:t>
      </w:r>
      <w:proofErr w:type="spellEnd"/>
      <w:proofErr w:type="gramStart"/>
      <w:r w:rsidRPr="00F30CBF">
        <w:rPr>
          <w:sz w:val="20"/>
          <w:szCs w:val="20"/>
        </w:rPr>
        <w:t>, .</w:t>
      </w:r>
      <w:proofErr w:type="gramEnd"/>
      <w:r w:rsidRPr="00F30CBF">
        <w:rPr>
          <w:sz w:val="20"/>
          <w:szCs w:val="20"/>
        </w:rPr>
        <w:t xml:space="preserve"> “</w:t>
      </w:r>
      <w:r w:rsidRPr="00F30CBF">
        <w:rPr>
          <w:i/>
          <w:iCs/>
          <w:sz w:val="20"/>
          <w:szCs w:val="20"/>
        </w:rPr>
        <w:t xml:space="preserve">India </w:t>
      </w:r>
      <w:proofErr w:type="spellStart"/>
      <w:r w:rsidRPr="00F30CBF">
        <w:rPr>
          <w:i/>
          <w:iCs/>
          <w:sz w:val="20"/>
          <w:szCs w:val="20"/>
        </w:rPr>
        <w:t>decriminalises</w:t>
      </w:r>
      <w:proofErr w:type="spellEnd"/>
      <w:r w:rsidRPr="00F30CBF">
        <w:rPr>
          <w:i/>
          <w:iCs/>
          <w:sz w:val="20"/>
          <w:szCs w:val="20"/>
        </w:rPr>
        <w:t xml:space="preserve"> gay sex in landmark verdict,”</w:t>
      </w:r>
      <w:r w:rsidRPr="00F30CBF">
        <w:rPr>
          <w:sz w:val="20"/>
          <w:szCs w:val="20"/>
        </w:rPr>
        <w:t xml:space="preserve"> Al Jazeera, Sept. 6, 2018, </w:t>
      </w:r>
      <w:hyperlink r:id="rId3" w:history="1">
        <w:r w:rsidRPr="00F30CBF">
          <w:rPr>
            <w:rStyle w:val="Hyperlink"/>
            <w:color w:val="auto"/>
            <w:sz w:val="20"/>
            <w:szCs w:val="20"/>
            <w:u w:val="none"/>
          </w:rPr>
          <w:t>https://www.aljazeera.com/news/2018/09/india-decriminalises-gay-sex-landmark-verdict-180906051219637.html</w:t>
        </w:r>
      </w:hyperlink>
      <w:r w:rsidRPr="00F30CBF">
        <w:rPr>
          <w:sz w:val="20"/>
          <w:szCs w:val="20"/>
        </w:rPr>
        <w:t>.</w:t>
      </w:r>
    </w:p>
  </w:footnote>
  <w:footnote w:id="9">
    <w:p w14:paraId="7A0CAF1F" w14:textId="3D250B38" w:rsidR="00AD0DD3" w:rsidRPr="00F30CBF" w:rsidRDefault="00AD0DD3">
      <w:pPr>
        <w:pStyle w:val="FootnoteText"/>
        <w:rPr>
          <w:sz w:val="20"/>
          <w:szCs w:val="20"/>
        </w:rPr>
      </w:pPr>
      <w:r w:rsidRPr="00F30CBF">
        <w:rPr>
          <w:rStyle w:val="FootnoteReference"/>
          <w:sz w:val="20"/>
          <w:szCs w:val="20"/>
        </w:rPr>
        <w:footnoteRef/>
      </w:r>
      <w:r w:rsidRPr="00F30CBF">
        <w:rPr>
          <w:sz w:val="20"/>
          <w:szCs w:val="20"/>
        </w:rPr>
        <w:t xml:space="preserve"> </w:t>
      </w:r>
      <w:r w:rsidR="004B545D" w:rsidRPr="00F30CBF">
        <w:rPr>
          <w:sz w:val="20"/>
          <w:szCs w:val="20"/>
        </w:rPr>
        <w:t xml:space="preserve">Karishma Mehrotra and Anant Gupta, </w:t>
      </w:r>
      <w:r w:rsidR="003B77D4" w:rsidRPr="00F30CBF">
        <w:rPr>
          <w:i/>
          <w:iCs/>
          <w:sz w:val="20"/>
          <w:szCs w:val="20"/>
        </w:rPr>
        <w:t>India’s government objects to openly gay judge candidate</w:t>
      </w:r>
      <w:r w:rsidR="00670384" w:rsidRPr="00F30CBF">
        <w:rPr>
          <w:i/>
          <w:iCs/>
          <w:sz w:val="20"/>
          <w:szCs w:val="20"/>
        </w:rPr>
        <w:t>, says court</w:t>
      </w:r>
      <w:r w:rsidR="002C72D3" w:rsidRPr="00F30CBF">
        <w:rPr>
          <w:sz w:val="20"/>
          <w:szCs w:val="20"/>
        </w:rPr>
        <w:t>, The Washington Post, Jan. 20, 2023, https://www.washingtonpost.com/world/2023/01/20/india-saurabh-kipal-bjp-gay-judge/.</w:t>
      </w:r>
    </w:p>
  </w:footnote>
  <w:footnote w:id="10">
    <w:p w14:paraId="7926DC3D" w14:textId="7995C0B3" w:rsidR="009E508C" w:rsidRPr="00F30CBF" w:rsidRDefault="009E508C" w:rsidP="00445B39">
      <w:pPr>
        <w:pStyle w:val="FootnoteText"/>
        <w:rPr>
          <w:sz w:val="20"/>
          <w:szCs w:val="20"/>
        </w:rPr>
      </w:pPr>
      <w:r w:rsidRPr="00F30CBF">
        <w:rPr>
          <w:rStyle w:val="FootnoteReference"/>
          <w:sz w:val="20"/>
          <w:szCs w:val="20"/>
        </w:rPr>
        <w:footnoteRef/>
      </w:r>
      <w:r w:rsidRPr="00F30CBF">
        <w:rPr>
          <w:sz w:val="20"/>
          <w:szCs w:val="20"/>
        </w:rPr>
        <w:t xml:space="preserve"> </w:t>
      </w:r>
      <w:r w:rsidRPr="00F30CBF">
        <w:rPr>
          <w:rFonts w:eastAsia="Calibri"/>
          <w:sz w:val="20"/>
          <w:szCs w:val="20"/>
        </w:rPr>
        <w:t xml:space="preserve">United Kingdom Visas and Immigration, </w:t>
      </w:r>
      <w:r w:rsidRPr="00F30CBF">
        <w:rPr>
          <w:rFonts w:eastAsia="Calibri"/>
          <w:i/>
          <w:iCs/>
          <w:sz w:val="20"/>
          <w:szCs w:val="20"/>
        </w:rPr>
        <w:t>Country Policy and Information Note: India – Sexual orientation and gender identity and/or expression</w:t>
      </w:r>
      <w:r w:rsidRPr="00F30CBF">
        <w:rPr>
          <w:rFonts w:eastAsia="Calibri"/>
          <w:sz w:val="20"/>
          <w:szCs w:val="20"/>
        </w:rPr>
        <w:t>, August 2023, accessed May 9, 2024.</w:t>
      </w:r>
      <w:r w:rsidR="00EE1E70" w:rsidRPr="00F30CBF">
        <w:rPr>
          <w:rFonts w:eastAsia="Calibri"/>
          <w:sz w:val="20"/>
          <w:szCs w:val="20"/>
        </w:rPr>
        <w:t xml:space="preserve"> </w:t>
      </w:r>
      <w:r w:rsidRPr="00F30CBF">
        <w:rPr>
          <w:rFonts w:eastAsia="Calibri"/>
          <w:sz w:val="20"/>
          <w:szCs w:val="20"/>
        </w:rPr>
        <w:t xml:space="preserve">Also available online at: </w:t>
      </w:r>
      <w:hyperlink r:id="rId4" w:history="1">
        <w:r w:rsidRPr="00F30CBF">
          <w:rPr>
            <w:rStyle w:val="Hyperlink"/>
            <w:rFonts w:eastAsia="Calibri"/>
            <w:color w:val="auto"/>
            <w:sz w:val="20"/>
            <w:szCs w:val="20"/>
            <w:u w:val="none"/>
          </w:rPr>
          <w:t>https://assets.publishing.service.gov.uk/media/64dba4a760d123001332c5c7/IND_CPIN_Sexual_orientation_and_gender_identity_and_expression.pdf</w:t>
        </w:r>
      </w:hyperlink>
      <w:r w:rsidRPr="00F30CBF">
        <w:rPr>
          <w:rFonts w:eastAsia="Calibri"/>
          <w:sz w:val="20"/>
          <w:szCs w:val="20"/>
        </w:rPr>
        <w:t xml:space="preserve"> .</w:t>
      </w:r>
    </w:p>
  </w:footnote>
  <w:footnote w:id="11">
    <w:p w14:paraId="4619DE77" w14:textId="3E0F17CB" w:rsidR="009E508C" w:rsidRPr="00F30CBF" w:rsidRDefault="009E508C" w:rsidP="00A4121A">
      <w:pPr>
        <w:pStyle w:val="FootnoteText"/>
        <w:rPr>
          <w:sz w:val="20"/>
          <w:szCs w:val="20"/>
        </w:rPr>
      </w:pPr>
      <w:r w:rsidRPr="00F30CBF">
        <w:rPr>
          <w:rStyle w:val="FootnoteReference"/>
          <w:sz w:val="20"/>
          <w:szCs w:val="20"/>
        </w:rPr>
        <w:footnoteRef/>
      </w:r>
      <w:r w:rsidRPr="00F30CBF">
        <w:rPr>
          <w:sz w:val="20"/>
          <w:szCs w:val="20"/>
        </w:rPr>
        <w:t xml:space="preserve"> PBS: News Hour, </w:t>
      </w:r>
      <w:r w:rsidRPr="00F30CBF">
        <w:rPr>
          <w:i/>
          <w:iCs/>
          <w:sz w:val="20"/>
          <w:szCs w:val="20"/>
        </w:rPr>
        <w:t>“India’s Supreme Court declines to legalize same-sex marriage, saying it’s up to Parliament,”</w:t>
      </w:r>
      <w:r w:rsidRPr="00F30CBF">
        <w:rPr>
          <w:sz w:val="20"/>
          <w:szCs w:val="20"/>
        </w:rPr>
        <w:t xml:space="preserve"> Oct. 17, 2023, assessed May 9, 2024, </w:t>
      </w:r>
      <w:hyperlink r:id="rId5" w:history="1">
        <w:r w:rsidRPr="00F30CBF">
          <w:rPr>
            <w:rStyle w:val="Hyperlink"/>
            <w:color w:val="auto"/>
            <w:sz w:val="20"/>
            <w:szCs w:val="20"/>
            <w:u w:val="none"/>
          </w:rPr>
          <w:t>https://www.pbs.org/newshour/world/indias-supreme-court-declines-to-legalize-same-sex-marriage-saying-its-up-to-parliament</w:t>
        </w:r>
      </w:hyperlink>
      <w:r w:rsidRPr="00F30CBF">
        <w:rPr>
          <w:sz w:val="20"/>
          <w:szCs w:val="20"/>
        </w:rPr>
        <w:t>.</w:t>
      </w:r>
    </w:p>
  </w:footnote>
  <w:footnote w:id="12">
    <w:p w14:paraId="4040F3CF" w14:textId="77777777" w:rsidR="009E508C" w:rsidRPr="00F30CBF" w:rsidRDefault="009E508C" w:rsidP="001615BF">
      <w:pPr>
        <w:pStyle w:val="FootnoteText"/>
        <w:rPr>
          <w:sz w:val="20"/>
          <w:szCs w:val="20"/>
        </w:rPr>
      </w:pPr>
      <w:r w:rsidRPr="00F30CBF">
        <w:rPr>
          <w:rStyle w:val="FootnoteReference"/>
          <w:sz w:val="20"/>
          <w:szCs w:val="20"/>
        </w:rPr>
        <w:footnoteRef/>
      </w:r>
      <w:r w:rsidRPr="00F30CBF">
        <w:rPr>
          <w:sz w:val="20"/>
          <w:szCs w:val="20"/>
        </w:rPr>
        <w:t xml:space="preserve"> </w:t>
      </w:r>
      <w:hyperlink r:id="rId6" w:history="1">
        <w:r w:rsidRPr="00F30CBF">
          <w:rPr>
            <w:rStyle w:val="Hyperlink"/>
            <w:color w:val="auto"/>
            <w:sz w:val="20"/>
            <w:szCs w:val="20"/>
            <w:u w:val="none"/>
          </w:rPr>
          <w:t xml:space="preserve">Supriya Chakraborty &amp; </w:t>
        </w:r>
        <w:proofErr w:type="spellStart"/>
        <w:r w:rsidRPr="00F30CBF">
          <w:rPr>
            <w:rStyle w:val="Hyperlink"/>
            <w:color w:val="auto"/>
            <w:sz w:val="20"/>
            <w:szCs w:val="20"/>
            <w:u w:val="none"/>
          </w:rPr>
          <w:t>Anr</w:t>
        </w:r>
        <w:proofErr w:type="spellEnd"/>
        <w:r w:rsidRPr="00F30CBF">
          <w:rPr>
            <w:rStyle w:val="Hyperlink"/>
            <w:color w:val="auto"/>
            <w:sz w:val="20"/>
            <w:szCs w:val="20"/>
            <w:u w:val="none"/>
          </w:rPr>
          <w:t>. V. Union of India</w:t>
        </w:r>
      </w:hyperlink>
      <w:r w:rsidRPr="00F30CBF">
        <w:rPr>
          <w:sz w:val="20"/>
          <w:szCs w:val="20"/>
        </w:rPr>
        <w:t xml:space="preserve"> (2023).</w:t>
      </w:r>
    </w:p>
  </w:footnote>
  <w:footnote w:id="13">
    <w:p w14:paraId="62DC16BB" w14:textId="77777777" w:rsidR="009E508C" w:rsidRPr="00F30CBF" w:rsidRDefault="009E508C" w:rsidP="00445B39">
      <w:pPr>
        <w:pStyle w:val="FootnoteText"/>
        <w:rPr>
          <w:sz w:val="20"/>
          <w:szCs w:val="20"/>
        </w:rPr>
      </w:pPr>
      <w:r w:rsidRPr="00F30CBF">
        <w:rPr>
          <w:rStyle w:val="FootnoteReference"/>
          <w:sz w:val="20"/>
          <w:szCs w:val="20"/>
        </w:rPr>
        <w:footnoteRef/>
      </w:r>
      <w:r w:rsidRPr="00F30CBF">
        <w:rPr>
          <w:sz w:val="20"/>
          <w:szCs w:val="20"/>
        </w:rPr>
        <w:t xml:space="preserve"> </w:t>
      </w:r>
      <w:hyperlink r:id="rId7" w:history="1">
        <w:r w:rsidRPr="00F30CBF">
          <w:rPr>
            <w:rStyle w:val="Hyperlink"/>
            <w:color w:val="auto"/>
            <w:sz w:val="20"/>
            <w:szCs w:val="20"/>
            <w:u w:val="none"/>
          </w:rPr>
          <w:t xml:space="preserve">Supriya Chakraborty &amp; </w:t>
        </w:r>
        <w:proofErr w:type="spellStart"/>
        <w:r w:rsidRPr="00F30CBF">
          <w:rPr>
            <w:rStyle w:val="Hyperlink"/>
            <w:color w:val="auto"/>
            <w:sz w:val="20"/>
            <w:szCs w:val="20"/>
            <w:u w:val="none"/>
          </w:rPr>
          <w:t>Anr</w:t>
        </w:r>
        <w:proofErr w:type="spellEnd"/>
        <w:r w:rsidRPr="00F30CBF">
          <w:rPr>
            <w:rStyle w:val="Hyperlink"/>
            <w:color w:val="auto"/>
            <w:sz w:val="20"/>
            <w:szCs w:val="20"/>
            <w:u w:val="none"/>
          </w:rPr>
          <w:t>. V. Union of India</w:t>
        </w:r>
      </w:hyperlink>
      <w:r w:rsidRPr="00F30CBF">
        <w:rPr>
          <w:sz w:val="20"/>
          <w:szCs w:val="20"/>
        </w:rPr>
        <w:t xml:space="preserve"> (2023).</w:t>
      </w:r>
    </w:p>
  </w:footnote>
  <w:footnote w:id="14">
    <w:p w14:paraId="7B0B09F7" w14:textId="071C171D" w:rsidR="009E508C" w:rsidRPr="00F30CBF" w:rsidRDefault="009E508C" w:rsidP="00C97137">
      <w:pPr>
        <w:pStyle w:val="FootnoteText"/>
        <w:rPr>
          <w:sz w:val="20"/>
          <w:szCs w:val="20"/>
        </w:rPr>
      </w:pPr>
      <w:r w:rsidRPr="00F30CBF">
        <w:rPr>
          <w:rStyle w:val="FootnoteReference"/>
          <w:sz w:val="20"/>
          <w:szCs w:val="20"/>
        </w:rPr>
        <w:footnoteRef/>
      </w:r>
      <w:r w:rsidRPr="00F30CBF">
        <w:rPr>
          <w:sz w:val="20"/>
          <w:szCs w:val="20"/>
        </w:rPr>
        <w:t xml:space="preserve"> Michael Safi and Aarti Singh</w:t>
      </w:r>
      <w:r w:rsidRPr="00F30CBF">
        <w:rPr>
          <w:i/>
          <w:iCs/>
          <w:sz w:val="20"/>
          <w:szCs w:val="20"/>
        </w:rPr>
        <w:t>, “There are few gay people in India’: stigma lingers despite legal victory</w:t>
      </w:r>
      <w:hyperlink r:id="rId8" w:history="1">
        <w:r w:rsidRPr="00F30CBF">
          <w:rPr>
            <w:rStyle w:val="Hyperlink"/>
            <w:i/>
            <w:iCs/>
            <w:color w:val="auto"/>
            <w:sz w:val="20"/>
            <w:szCs w:val="20"/>
            <w:u w:val="none"/>
          </w:rPr>
          <w:t xml:space="preserve">,” </w:t>
        </w:r>
        <w:r w:rsidRPr="00F30CBF">
          <w:rPr>
            <w:rStyle w:val="Hyperlink"/>
            <w:color w:val="auto"/>
            <w:sz w:val="20"/>
            <w:szCs w:val="20"/>
            <w:u w:val="none"/>
          </w:rPr>
          <w:t xml:space="preserve">The Guardian, March 13, 2019, </w:t>
        </w:r>
      </w:hyperlink>
      <w:hyperlink r:id="rId9" w:history="1">
        <w:r w:rsidRPr="00F30CBF">
          <w:rPr>
            <w:rStyle w:val="Hyperlink"/>
            <w:color w:val="auto"/>
            <w:sz w:val="20"/>
            <w:szCs w:val="20"/>
            <w:u w:val="none"/>
          </w:rPr>
          <w:t>https://www.theguardian.com/global-development/2019/mar/13/gay-people-india-stigma-lingers-despite-legal-victory</w:t>
        </w:r>
      </w:hyperlink>
      <w:r w:rsidRPr="00F30CBF">
        <w:rPr>
          <w:sz w:val="20"/>
          <w:szCs w:val="20"/>
        </w:rPr>
        <w:t xml:space="preserve">. </w:t>
      </w:r>
    </w:p>
  </w:footnote>
  <w:footnote w:id="15">
    <w:p w14:paraId="2FCE89F7" w14:textId="010E8B97" w:rsidR="009E508C" w:rsidRPr="00F30CBF" w:rsidRDefault="009E508C" w:rsidP="00704CB4">
      <w:pPr>
        <w:pStyle w:val="FootnoteText"/>
        <w:rPr>
          <w:sz w:val="20"/>
          <w:szCs w:val="20"/>
        </w:rPr>
      </w:pPr>
      <w:r w:rsidRPr="00F30CBF">
        <w:rPr>
          <w:rStyle w:val="FootnoteReference"/>
          <w:sz w:val="20"/>
          <w:szCs w:val="20"/>
        </w:rPr>
        <w:footnoteRef/>
      </w:r>
      <w:r w:rsidR="00EE1E70" w:rsidRPr="00F30CBF">
        <w:rPr>
          <w:sz w:val="20"/>
          <w:szCs w:val="20"/>
        </w:rPr>
        <w:t xml:space="preserve"> </w:t>
      </w:r>
      <w:r w:rsidRPr="00F30CBF">
        <w:rPr>
          <w:sz w:val="20"/>
          <w:szCs w:val="20"/>
        </w:rPr>
        <w:t xml:space="preserve">Human Rights Council, </w:t>
      </w:r>
      <w:r w:rsidRPr="00F30CBF">
        <w:rPr>
          <w:i/>
          <w:iCs/>
          <w:sz w:val="20"/>
          <w:szCs w:val="20"/>
        </w:rPr>
        <w:t>Summary of Stakeholders’ submissions on India</w:t>
      </w:r>
      <w:r w:rsidRPr="00F30CBF">
        <w:rPr>
          <w:sz w:val="20"/>
          <w:szCs w:val="20"/>
        </w:rPr>
        <w:t xml:space="preserve">, (July 22, 2022), </w:t>
      </w:r>
      <w:r w:rsidRPr="00F30CBF">
        <w:rPr>
          <w:rFonts w:eastAsia="Times New Roman"/>
          <w:kern w:val="0"/>
          <w:sz w:val="20"/>
          <w:szCs w:val="20"/>
          <w:lang w:val="x-none"/>
        </w:rPr>
        <w:t>U.N. Doc. A/HRC/WG.6/41/IND/3, ¶ 161.</w:t>
      </w:r>
    </w:p>
  </w:footnote>
  <w:footnote w:id="16">
    <w:p w14:paraId="2C71B349" w14:textId="260DDD60" w:rsidR="009E508C" w:rsidRPr="00F30CBF" w:rsidRDefault="009E508C">
      <w:pPr>
        <w:pStyle w:val="FootnoteText"/>
        <w:rPr>
          <w:sz w:val="20"/>
          <w:szCs w:val="20"/>
        </w:rPr>
      </w:pPr>
      <w:r w:rsidRPr="00F30CBF">
        <w:rPr>
          <w:rStyle w:val="FootnoteReference"/>
          <w:sz w:val="20"/>
          <w:szCs w:val="20"/>
        </w:rPr>
        <w:footnoteRef/>
      </w:r>
      <w:r w:rsidRPr="00F30CBF">
        <w:rPr>
          <w:sz w:val="20"/>
          <w:szCs w:val="20"/>
        </w:rPr>
        <w:t xml:space="preserve"> International Commission of Jurists, </w:t>
      </w:r>
      <w:r w:rsidRPr="00F30CBF">
        <w:rPr>
          <w:i/>
          <w:iCs/>
          <w:sz w:val="20"/>
          <w:szCs w:val="20"/>
        </w:rPr>
        <w:t xml:space="preserve">Living with Dignity Sexual Orientation and Gender Identity-Based Human Rights Violations in Housing, Work, and Public Spaces in India, </w:t>
      </w:r>
      <w:r w:rsidRPr="00F30CBF">
        <w:rPr>
          <w:sz w:val="20"/>
          <w:szCs w:val="20"/>
        </w:rPr>
        <w:t>(June 2019), 37.</w:t>
      </w:r>
      <w:r w:rsidR="00EE1E70" w:rsidRPr="00F30CBF">
        <w:rPr>
          <w:sz w:val="20"/>
          <w:szCs w:val="20"/>
        </w:rPr>
        <w:t xml:space="preserve"> </w:t>
      </w:r>
      <w:r w:rsidRPr="00F30CBF">
        <w:rPr>
          <w:sz w:val="20"/>
          <w:szCs w:val="20"/>
        </w:rPr>
        <w:t xml:space="preserve">Also available online at </w:t>
      </w:r>
      <w:hyperlink r:id="rId10" w:history="1">
        <w:r w:rsidRPr="00F30CBF">
          <w:rPr>
            <w:rStyle w:val="Hyperlink"/>
            <w:color w:val="auto"/>
            <w:sz w:val="20"/>
            <w:szCs w:val="20"/>
            <w:u w:val="none"/>
          </w:rPr>
          <w:t>https://www.icj.org/wp-content/uploads/2019/06/India-Living-with-dignity-Publications-Reports-thematic-report-2019-ENG.pdf</w:t>
        </w:r>
      </w:hyperlink>
      <w:r w:rsidRPr="00F30CBF">
        <w:rPr>
          <w:sz w:val="20"/>
          <w:szCs w:val="20"/>
        </w:rPr>
        <w:t>.</w:t>
      </w:r>
    </w:p>
  </w:footnote>
  <w:footnote w:id="17">
    <w:p w14:paraId="74C0A74D" w14:textId="33E16EED" w:rsidR="009E508C" w:rsidRPr="00F30CBF" w:rsidRDefault="009E508C" w:rsidP="0025729C">
      <w:pPr>
        <w:pStyle w:val="FootnoteText"/>
        <w:rPr>
          <w:sz w:val="20"/>
          <w:szCs w:val="20"/>
        </w:rPr>
      </w:pPr>
      <w:r w:rsidRPr="00F30CBF">
        <w:rPr>
          <w:rStyle w:val="FootnoteReference"/>
          <w:sz w:val="20"/>
          <w:szCs w:val="20"/>
        </w:rPr>
        <w:footnoteRef/>
      </w:r>
      <w:r w:rsidRPr="00F30CBF">
        <w:rPr>
          <w:sz w:val="20"/>
          <w:szCs w:val="20"/>
        </w:rPr>
        <w:t xml:space="preserve"> Ambika Pandit, </w:t>
      </w:r>
      <w:r w:rsidRPr="00F30CBF">
        <w:rPr>
          <w:i/>
          <w:iCs/>
          <w:sz w:val="20"/>
          <w:szCs w:val="20"/>
        </w:rPr>
        <w:t>“LGBTQI+ community face bias across nations due to sexual orientation, gender identity: UNDP Report,”</w:t>
      </w:r>
      <w:r w:rsidRPr="00F30CBF">
        <w:rPr>
          <w:sz w:val="20"/>
          <w:szCs w:val="20"/>
        </w:rPr>
        <w:t xml:space="preserve"> The Times of India, updated Apr. 20, 2023, </w:t>
      </w:r>
      <w:hyperlink r:id="rId11" w:history="1">
        <w:r w:rsidRPr="00F30CBF">
          <w:rPr>
            <w:rStyle w:val="Hyperlink"/>
            <w:color w:val="auto"/>
            <w:sz w:val="20"/>
            <w:szCs w:val="20"/>
            <w:u w:val="none"/>
          </w:rPr>
          <w:t>https://timesofindia.indiatimes.com/india/lgbtqi-community-face-bias-across-nations-due-to-sexual-orientation-gender-identity-undp-report/articleshow/99633821.cms</w:t>
        </w:r>
      </w:hyperlink>
      <w:r w:rsidRPr="00F30CBF">
        <w:rPr>
          <w:sz w:val="20"/>
          <w:szCs w:val="20"/>
        </w:rPr>
        <w:t>.</w:t>
      </w:r>
    </w:p>
  </w:footnote>
  <w:footnote w:id="18">
    <w:p w14:paraId="41202214" w14:textId="17359FEB" w:rsidR="003A5DAF" w:rsidRPr="00F30CBF" w:rsidRDefault="003A5DAF">
      <w:pPr>
        <w:pStyle w:val="FootnoteText"/>
        <w:rPr>
          <w:sz w:val="20"/>
          <w:szCs w:val="20"/>
        </w:rPr>
      </w:pPr>
      <w:r w:rsidRPr="00F30CBF">
        <w:rPr>
          <w:rStyle w:val="FootnoteReference"/>
          <w:sz w:val="20"/>
          <w:szCs w:val="20"/>
        </w:rPr>
        <w:footnoteRef/>
      </w:r>
      <w:r w:rsidRPr="00F30CBF">
        <w:rPr>
          <w:sz w:val="20"/>
          <w:szCs w:val="20"/>
        </w:rPr>
        <w:t xml:space="preserve"> </w:t>
      </w:r>
      <w:r w:rsidR="0043529F" w:rsidRPr="00F30CBF">
        <w:rPr>
          <w:i/>
          <w:iCs/>
          <w:sz w:val="20"/>
          <w:szCs w:val="20"/>
        </w:rPr>
        <w:t xml:space="preserve">Marathi actor Pranit </w:t>
      </w:r>
      <w:proofErr w:type="spellStart"/>
      <w:r w:rsidR="0043529F" w:rsidRPr="00F30CBF">
        <w:rPr>
          <w:i/>
          <w:iCs/>
          <w:sz w:val="20"/>
          <w:szCs w:val="20"/>
        </w:rPr>
        <w:t>Hatte</w:t>
      </w:r>
      <w:proofErr w:type="spellEnd"/>
      <w:r w:rsidR="0043529F" w:rsidRPr="00F30CBF">
        <w:rPr>
          <w:i/>
          <w:iCs/>
          <w:sz w:val="20"/>
          <w:szCs w:val="20"/>
        </w:rPr>
        <w:t xml:space="preserve"> denied accommodation in hotel for being transgender</w:t>
      </w:r>
      <w:r w:rsidR="0043529F" w:rsidRPr="00F30CBF">
        <w:rPr>
          <w:sz w:val="20"/>
          <w:szCs w:val="20"/>
        </w:rPr>
        <w:t>, Hindustan Times, May 10, 2024</w:t>
      </w:r>
      <w:r w:rsidR="000F0CC7" w:rsidRPr="00F30CBF">
        <w:rPr>
          <w:sz w:val="20"/>
          <w:szCs w:val="20"/>
        </w:rPr>
        <w:t xml:space="preserve">, </w:t>
      </w:r>
      <w:r w:rsidR="006B539B" w:rsidRPr="00F30CBF">
        <w:rPr>
          <w:sz w:val="20"/>
          <w:szCs w:val="20"/>
        </w:rPr>
        <w:t>https://www.hindustantimes.com/entertainment/others/marathi-actor-pranit-hatte-denied-accommodation-in-hotel-for-being-transgender-101715334340830.html.</w:t>
      </w:r>
    </w:p>
  </w:footnote>
  <w:footnote w:id="19">
    <w:p w14:paraId="2CF84848" w14:textId="2A90A596" w:rsidR="00F8511E" w:rsidRPr="00F30CBF" w:rsidRDefault="00F8511E">
      <w:pPr>
        <w:pStyle w:val="FootnoteText"/>
        <w:rPr>
          <w:sz w:val="20"/>
          <w:szCs w:val="20"/>
        </w:rPr>
      </w:pPr>
      <w:r w:rsidRPr="00F30CBF">
        <w:rPr>
          <w:rStyle w:val="FootnoteReference"/>
          <w:sz w:val="20"/>
          <w:szCs w:val="20"/>
        </w:rPr>
        <w:footnoteRef/>
      </w:r>
      <w:r w:rsidRPr="00F30CBF">
        <w:rPr>
          <w:sz w:val="20"/>
          <w:szCs w:val="20"/>
        </w:rPr>
        <w:t xml:space="preserve"> Lakshmi Priya, </w:t>
      </w:r>
      <w:r w:rsidR="004D2E7B" w:rsidRPr="00F30CBF">
        <w:rPr>
          <w:i/>
          <w:iCs/>
          <w:sz w:val="20"/>
          <w:szCs w:val="20"/>
        </w:rPr>
        <w:t xml:space="preserve">‘Begging racket crackdown’ sheds light on </w:t>
      </w:r>
      <w:proofErr w:type="spellStart"/>
      <w:r w:rsidR="004D2E7B" w:rsidRPr="00F30CBF">
        <w:rPr>
          <w:i/>
          <w:iCs/>
          <w:sz w:val="20"/>
          <w:szCs w:val="20"/>
        </w:rPr>
        <w:t>Hyd</w:t>
      </w:r>
      <w:proofErr w:type="spellEnd"/>
      <w:r w:rsidR="004D2E7B" w:rsidRPr="00F30CBF">
        <w:rPr>
          <w:i/>
          <w:iCs/>
          <w:sz w:val="20"/>
          <w:szCs w:val="20"/>
        </w:rPr>
        <w:t xml:space="preserve"> police’s ignorance about trans persons</w:t>
      </w:r>
      <w:r w:rsidR="004D2E7B" w:rsidRPr="00F30CBF">
        <w:rPr>
          <w:sz w:val="20"/>
          <w:szCs w:val="20"/>
        </w:rPr>
        <w:t xml:space="preserve">, The News Minute, </w:t>
      </w:r>
      <w:proofErr w:type="gramStart"/>
      <w:r w:rsidR="00090751" w:rsidRPr="00F30CBF">
        <w:rPr>
          <w:sz w:val="20"/>
          <w:szCs w:val="20"/>
        </w:rPr>
        <w:t>Aug.,</w:t>
      </w:r>
      <w:proofErr w:type="gramEnd"/>
      <w:r w:rsidR="00090751" w:rsidRPr="00F30CBF">
        <w:rPr>
          <w:sz w:val="20"/>
          <w:szCs w:val="20"/>
        </w:rPr>
        <w:t xml:space="preserve"> 26, 2023, https://www.thenewsminute.com/telangana/begging-racket-crackdown-sheds-light-hyd-police-s-ignorance-about-trans-persons-181583.</w:t>
      </w:r>
    </w:p>
  </w:footnote>
  <w:footnote w:id="20">
    <w:p w14:paraId="472613FB" w14:textId="7CF26438" w:rsidR="009E508C" w:rsidRPr="00F30CBF" w:rsidRDefault="009E508C" w:rsidP="003A33A1">
      <w:pPr>
        <w:pStyle w:val="FootnoteText"/>
        <w:rPr>
          <w:sz w:val="20"/>
          <w:szCs w:val="20"/>
        </w:rPr>
      </w:pPr>
      <w:r w:rsidRPr="00F30CBF">
        <w:rPr>
          <w:rStyle w:val="FootnoteReference"/>
          <w:sz w:val="20"/>
          <w:szCs w:val="20"/>
        </w:rPr>
        <w:footnoteRef/>
      </w:r>
      <w:r w:rsidRPr="00F30CBF">
        <w:rPr>
          <w:sz w:val="20"/>
          <w:szCs w:val="20"/>
        </w:rPr>
        <w:t xml:space="preserve"> </w:t>
      </w:r>
      <w:hyperlink r:id="rId12" w:history="1">
        <w:r w:rsidRPr="00F30CBF">
          <w:rPr>
            <w:rStyle w:val="Hyperlink"/>
            <w:color w:val="auto"/>
            <w:kern w:val="0"/>
            <w:sz w:val="20"/>
            <w:szCs w:val="20"/>
            <w:u w:val="none"/>
            <w:lang w:val="x-none"/>
          </w:rPr>
          <w:t>Constitution of India</w:t>
        </w:r>
      </w:hyperlink>
      <w:r w:rsidRPr="00F30CBF">
        <w:rPr>
          <w:kern w:val="0"/>
          <w:sz w:val="20"/>
          <w:szCs w:val="20"/>
          <w:lang w:val="x-none"/>
        </w:rPr>
        <w:t>, (Part 3: Fundamental Rights), 1950.</w:t>
      </w:r>
      <w:r w:rsidR="00EE1E70" w:rsidRPr="00F30CBF">
        <w:rPr>
          <w:kern w:val="0"/>
          <w:sz w:val="20"/>
          <w:szCs w:val="20"/>
          <w:lang w:val="x-none"/>
        </w:rPr>
        <w:t xml:space="preserve"> </w:t>
      </w:r>
      <w:r w:rsidRPr="00F30CBF">
        <w:rPr>
          <w:kern w:val="0"/>
          <w:sz w:val="20"/>
          <w:szCs w:val="20"/>
          <w:lang w:val="x-none"/>
        </w:rPr>
        <w:t xml:space="preserve">Also available online at </w:t>
      </w:r>
      <w:hyperlink r:id="rId13" w:anchor="parts" w:history="1">
        <w:r w:rsidRPr="00F30CBF">
          <w:rPr>
            <w:rStyle w:val="Hyperlink"/>
            <w:color w:val="auto"/>
            <w:kern w:val="0"/>
            <w:sz w:val="20"/>
            <w:szCs w:val="20"/>
            <w:u w:val="none"/>
            <w:lang w:val="x-none"/>
          </w:rPr>
          <w:t>https://www.constitutionofindia.net/read/#parts</w:t>
        </w:r>
      </w:hyperlink>
      <w:r w:rsidRPr="00F30CBF">
        <w:rPr>
          <w:kern w:val="0"/>
          <w:sz w:val="20"/>
          <w:szCs w:val="20"/>
          <w:lang w:val="x-none"/>
        </w:rPr>
        <w:t>.</w:t>
      </w:r>
    </w:p>
  </w:footnote>
  <w:footnote w:id="21">
    <w:p w14:paraId="3E31B0AB" w14:textId="6E13D894" w:rsidR="00C4033E" w:rsidRPr="00F30CBF" w:rsidRDefault="00C4033E">
      <w:pPr>
        <w:pStyle w:val="FootnoteText"/>
        <w:rPr>
          <w:sz w:val="20"/>
          <w:szCs w:val="20"/>
        </w:rPr>
      </w:pPr>
      <w:r w:rsidRPr="00F30CBF">
        <w:rPr>
          <w:rStyle w:val="FootnoteReference"/>
          <w:sz w:val="20"/>
          <w:szCs w:val="20"/>
        </w:rPr>
        <w:footnoteRef/>
      </w:r>
      <w:r w:rsidRPr="00F30CBF">
        <w:rPr>
          <w:sz w:val="20"/>
          <w:szCs w:val="20"/>
        </w:rPr>
        <w:t xml:space="preserve"> </w:t>
      </w:r>
      <w:r w:rsidR="00143553" w:rsidRPr="00F30CBF">
        <w:rPr>
          <w:sz w:val="20"/>
          <w:szCs w:val="20"/>
        </w:rPr>
        <w:t>India has several third genders, or individuals who do not necessarily identify as either men or women</w:t>
      </w:r>
      <w:r w:rsidR="00DF52B9" w:rsidRPr="00F30CBF">
        <w:rPr>
          <w:sz w:val="20"/>
          <w:szCs w:val="20"/>
        </w:rPr>
        <w:t xml:space="preserve">. These third genders </w:t>
      </w:r>
      <w:r w:rsidR="00372196" w:rsidRPr="00F30CBF">
        <w:rPr>
          <w:sz w:val="20"/>
          <w:szCs w:val="20"/>
        </w:rPr>
        <w:t xml:space="preserve">have a long history in different regions of India and </w:t>
      </w:r>
      <w:r w:rsidR="004338CF" w:rsidRPr="00F30CBF">
        <w:rPr>
          <w:sz w:val="20"/>
          <w:szCs w:val="20"/>
        </w:rPr>
        <w:t xml:space="preserve">existed before </w:t>
      </w:r>
      <w:r w:rsidR="00E80D02" w:rsidRPr="00F30CBF">
        <w:rPr>
          <w:sz w:val="20"/>
          <w:szCs w:val="20"/>
        </w:rPr>
        <w:t>colonization by the British. Third gender individuals may or may not identify as transgender</w:t>
      </w:r>
      <w:r w:rsidR="00F667C6" w:rsidRPr="00F30CBF">
        <w:rPr>
          <w:sz w:val="20"/>
          <w:szCs w:val="20"/>
        </w:rPr>
        <w:t>; these terms and concepts are not interchangeable.</w:t>
      </w:r>
    </w:p>
  </w:footnote>
  <w:footnote w:id="22">
    <w:p w14:paraId="5062D134" w14:textId="64110384" w:rsidR="009E508C" w:rsidRPr="00F30CBF" w:rsidRDefault="009E508C">
      <w:pPr>
        <w:pStyle w:val="FootnoteText"/>
        <w:rPr>
          <w:sz w:val="20"/>
          <w:szCs w:val="20"/>
        </w:rPr>
      </w:pPr>
      <w:r w:rsidRPr="00F30CBF">
        <w:rPr>
          <w:rStyle w:val="FootnoteReference"/>
          <w:sz w:val="20"/>
          <w:szCs w:val="20"/>
        </w:rPr>
        <w:footnoteRef/>
      </w:r>
      <w:r w:rsidRPr="00F30CBF">
        <w:rPr>
          <w:sz w:val="20"/>
          <w:szCs w:val="20"/>
        </w:rPr>
        <w:t xml:space="preserve"> </w:t>
      </w:r>
      <w:r w:rsidRPr="00F30CBF">
        <w:rPr>
          <w:kern w:val="0"/>
          <w:sz w:val="20"/>
          <w:szCs w:val="20"/>
          <w:lang w:val="x-none"/>
        </w:rPr>
        <w:t>Supreme Court India, ‘</w:t>
      </w:r>
      <w:hyperlink r:id="rId14" w:history="1">
        <w:r w:rsidRPr="00F30CBF">
          <w:rPr>
            <w:rStyle w:val="Hyperlink"/>
            <w:color w:val="auto"/>
            <w:kern w:val="0"/>
            <w:sz w:val="20"/>
            <w:szCs w:val="20"/>
            <w:u w:val="none"/>
            <w:lang w:val="x-none"/>
          </w:rPr>
          <w:t>Writ Petition (Civil) no 400 of 2012’</w:t>
        </w:r>
      </w:hyperlink>
      <w:r w:rsidRPr="00F30CBF">
        <w:rPr>
          <w:kern w:val="0"/>
          <w:sz w:val="20"/>
          <w:szCs w:val="20"/>
          <w:lang w:val="x-none"/>
        </w:rPr>
        <w:t>, (paragraph 59), Apr. 15, 2014.</w:t>
      </w:r>
    </w:p>
  </w:footnote>
  <w:footnote w:id="23">
    <w:p w14:paraId="5D52229C" w14:textId="3AEB306A" w:rsidR="009E508C" w:rsidRPr="00F30CBF" w:rsidRDefault="009E508C" w:rsidP="00930AF8">
      <w:pPr>
        <w:pStyle w:val="FootnoteText"/>
        <w:rPr>
          <w:sz w:val="20"/>
          <w:szCs w:val="20"/>
        </w:rPr>
      </w:pPr>
      <w:r w:rsidRPr="00F30CBF">
        <w:rPr>
          <w:rStyle w:val="FootnoteReference"/>
          <w:sz w:val="20"/>
          <w:szCs w:val="20"/>
        </w:rPr>
        <w:footnoteRef/>
      </w:r>
      <w:r w:rsidRPr="00F30CBF">
        <w:rPr>
          <w:sz w:val="20"/>
          <w:szCs w:val="20"/>
        </w:rPr>
        <w:t xml:space="preserve"> Priti Salian, “</w:t>
      </w:r>
      <w:r w:rsidRPr="00F30CBF">
        <w:rPr>
          <w:i/>
          <w:iCs/>
          <w:sz w:val="20"/>
          <w:szCs w:val="20"/>
        </w:rPr>
        <w:t>Protecting Trans Lives Goes Deeper than Laws and Representation,”</w:t>
      </w:r>
      <w:r w:rsidRPr="00F30CBF">
        <w:rPr>
          <w:sz w:val="20"/>
          <w:szCs w:val="20"/>
        </w:rPr>
        <w:t xml:space="preserve"> New Internationalist, March 8, 2023, </w:t>
      </w:r>
      <w:hyperlink r:id="rId15" w:history="1">
        <w:r w:rsidRPr="00F30CBF">
          <w:rPr>
            <w:rStyle w:val="Hyperlink"/>
            <w:color w:val="auto"/>
            <w:sz w:val="20"/>
            <w:szCs w:val="20"/>
            <w:u w:val="none"/>
          </w:rPr>
          <w:t>https://newint.org/features/2023/03/08/india-trans-rights-decolonize-how</w:t>
        </w:r>
      </w:hyperlink>
      <w:r w:rsidRPr="00F30CBF">
        <w:rPr>
          <w:sz w:val="20"/>
          <w:szCs w:val="20"/>
        </w:rPr>
        <w:t xml:space="preserve">. </w:t>
      </w:r>
    </w:p>
  </w:footnote>
  <w:footnote w:id="24">
    <w:p w14:paraId="0F0E9B18" w14:textId="00629D19" w:rsidR="009E508C" w:rsidRPr="00F30CBF" w:rsidRDefault="009E508C" w:rsidP="00930AF8">
      <w:pPr>
        <w:pStyle w:val="FootnoteText"/>
        <w:rPr>
          <w:sz w:val="20"/>
          <w:szCs w:val="20"/>
        </w:rPr>
      </w:pPr>
      <w:r w:rsidRPr="00F30CBF">
        <w:rPr>
          <w:rStyle w:val="FootnoteReference"/>
          <w:sz w:val="20"/>
          <w:szCs w:val="20"/>
        </w:rPr>
        <w:footnoteRef/>
      </w:r>
      <w:r w:rsidRPr="00F30CBF">
        <w:rPr>
          <w:sz w:val="20"/>
          <w:szCs w:val="20"/>
        </w:rPr>
        <w:t xml:space="preserve"> Priti Salian, “</w:t>
      </w:r>
      <w:r w:rsidRPr="00F30CBF">
        <w:rPr>
          <w:i/>
          <w:iCs/>
          <w:sz w:val="20"/>
          <w:szCs w:val="20"/>
        </w:rPr>
        <w:t>Protecting Trans Lives Goes Deeper than Laws and Representation,”</w:t>
      </w:r>
      <w:r w:rsidRPr="00F30CBF">
        <w:rPr>
          <w:sz w:val="20"/>
          <w:szCs w:val="20"/>
        </w:rPr>
        <w:t xml:space="preserve"> New Internationalist, March 8, 2023, </w:t>
      </w:r>
      <w:hyperlink r:id="rId16" w:history="1">
        <w:r w:rsidRPr="00F30CBF">
          <w:rPr>
            <w:rStyle w:val="Hyperlink"/>
            <w:color w:val="auto"/>
            <w:sz w:val="20"/>
            <w:szCs w:val="20"/>
            <w:u w:val="none"/>
          </w:rPr>
          <w:t>https://newint.org/features/2023/03/08/india-trans-rights-decolonize-how</w:t>
        </w:r>
      </w:hyperlink>
      <w:r w:rsidRPr="00F30CBF">
        <w:rPr>
          <w:sz w:val="20"/>
          <w:szCs w:val="20"/>
        </w:rPr>
        <w:t xml:space="preserve">. </w:t>
      </w:r>
    </w:p>
  </w:footnote>
  <w:footnote w:id="25">
    <w:p w14:paraId="25385D8C" w14:textId="2695905F" w:rsidR="009E508C" w:rsidRPr="00F30CBF" w:rsidRDefault="009E508C" w:rsidP="005733AF">
      <w:pPr>
        <w:pStyle w:val="FootnoteText"/>
        <w:rPr>
          <w:sz w:val="20"/>
          <w:szCs w:val="20"/>
        </w:rPr>
      </w:pPr>
      <w:r w:rsidRPr="00F30CBF">
        <w:rPr>
          <w:rStyle w:val="FootnoteReference"/>
          <w:sz w:val="20"/>
          <w:szCs w:val="20"/>
        </w:rPr>
        <w:footnoteRef/>
      </w:r>
      <w:r w:rsidRPr="00F30CBF">
        <w:rPr>
          <w:sz w:val="20"/>
          <w:szCs w:val="20"/>
        </w:rPr>
        <w:t xml:space="preserve"> </w:t>
      </w:r>
      <w:hyperlink r:id="rId17" w:history="1">
        <w:r w:rsidRPr="00F30CBF">
          <w:rPr>
            <w:rStyle w:val="Hyperlink"/>
            <w:color w:val="auto"/>
            <w:kern w:val="0"/>
            <w:sz w:val="20"/>
            <w:szCs w:val="20"/>
            <w:u w:val="none"/>
            <w:lang w:val="x-none"/>
          </w:rPr>
          <w:t>Transgender Persons (Protection of Rights) Rules 2020</w:t>
        </w:r>
      </w:hyperlink>
      <w:r w:rsidRPr="00F30CBF">
        <w:rPr>
          <w:rStyle w:val="Hyperlink"/>
          <w:color w:val="auto"/>
          <w:kern w:val="0"/>
          <w:sz w:val="20"/>
          <w:szCs w:val="20"/>
          <w:u w:val="none"/>
          <w:lang w:val="x-none"/>
        </w:rPr>
        <w:t xml:space="preserve"> (India)</w:t>
      </w:r>
      <w:r w:rsidRPr="00F30CBF">
        <w:rPr>
          <w:kern w:val="0"/>
          <w:sz w:val="20"/>
          <w:szCs w:val="20"/>
          <w:lang w:val="x-none"/>
        </w:rPr>
        <w:t>,</w:t>
      </w:r>
      <w:r w:rsidRPr="00F30CBF">
        <w:rPr>
          <w:rFonts w:eastAsia="Calibri"/>
          <w:sz w:val="20"/>
          <w:szCs w:val="20"/>
        </w:rPr>
        <w:t xml:space="preserve"> accessed May 9, 2024.</w:t>
      </w:r>
    </w:p>
  </w:footnote>
  <w:footnote w:id="26">
    <w:p w14:paraId="200914EB" w14:textId="42AF776B" w:rsidR="009E508C" w:rsidRPr="00F30CBF" w:rsidRDefault="009E508C" w:rsidP="005733AF">
      <w:pPr>
        <w:pStyle w:val="FootnoteText"/>
        <w:rPr>
          <w:sz w:val="20"/>
          <w:szCs w:val="20"/>
        </w:rPr>
      </w:pPr>
      <w:r w:rsidRPr="00F30CBF">
        <w:rPr>
          <w:rStyle w:val="FootnoteReference"/>
          <w:sz w:val="20"/>
          <w:szCs w:val="20"/>
        </w:rPr>
        <w:footnoteRef/>
      </w:r>
      <w:r w:rsidRPr="00F30CBF">
        <w:rPr>
          <w:sz w:val="20"/>
          <w:szCs w:val="20"/>
        </w:rPr>
        <w:t xml:space="preserve"> </w:t>
      </w:r>
      <w:hyperlink r:id="rId18" w:history="1">
        <w:r w:rsidRPr="00F30CBF">
          <w:rPr>
            <w:rStyle w:val="Hyperlink"/>
            <w:color w:val="auto"/>
            <w:kern w:val="0"/>
            <w:sz w:val="20"/>
            <w:szCs w:val="20"/>
            <w:u w:val="none"/>
            <w:lang w:val="x-none"/>
          </w:rPr>
          <w:t>Transgender Persons (Protection of Rights) Rules 2020</w:t>
        </w:r>
      </w:hyperlink>
      <w:r w:rsidRPr="00F30CBF">
        <w:rPr>
          <w:rStyle w:val="Hyperlink"/>
          <w:color w:val="auto"/>
          <w:kern w:val="0"/>
          <w:sz w:val="20"/>
          <w:szCs w:val="20"/>
          <w:u w:val="none"/>
          <w:lang w:val="x-none"/>
        </w:rPr>
        <w:t xml:space="preserve"> (India)</w:t>
      </w:r>
      <w:r w:rsidRPr="00F30CBF">
        <w:rPr>
          <w:kern w:val="0"/>
          <w:sz w:val="20"/>
          <w:szCs w:val="20"/>
          <w:lang w:val="x-none"/>
        </w:rPr>
        <w:t xml:space="preserve">, </w:t>
      </w:r>
      <w:r w:rsidRPr="00F30CBF">
        <w:rPr>
          <w:rFonts w:eastAsia="Calibri"/>
          <w:sz w:val="20"/>
          <w:szCs w:val="20"/>
        </w:rPr>
        <w:t>accessed May 9, 2024.</w:t>
      </w:r>
    </w:p>
  </w:footnote>
  <w:footnote w:id="27">
    <w:p w14:paraId="42643288" w14:textId="7F579AD3" w:rsidR="009E508C" w:rsidRPr="00F30CBF" w:rsidRDefault="009E508C" w:rsidP="00CB21FF">
      <w:pPr>
        <w:pStyle w:val="FootnoteText"/>
        <w:rPr>
          <w:sz w:val="20"/>
          <w:szCs w:val="20"/>
          <w:lang w:eastAsia="zh-CN"/>
        </w:rPr>
      </w:pPr>
      <w:r w:rsidRPr="00F30CBF">
        <w:rPr>
          <w:rStyle w:val="FootnoteReference"/>
          <w:sz w:val="20"/>
          <w:szCs w:val="20"/>
        </w:rPr>
        <w:footnoteRef/>
      </w:r>
      <w:r w:rsidRPr="00F30CBF">
        <w:rPr>
          <w:sz w:val="20"/>
          <w:szCs w:val="20"/>
        </w:rPr>
        <w:t xml:space="preserve"> </w:t>
      </w:r>
      <w:r w:rsidRPr="00F30CBF">
        <w:rPr>
          <w:sz w:val="20"/>
          <w:szCs w:val="20"/>
          <w:lang w:eastAsia="zh-CN"/>
        </w:rPr>
        <w:t>Transgender Persons (Protection of Rights) Act, 2019, art. 6 &amp; 7.</w:t>
      </w:r>
    </w:p>
  </w:footnote>
  <w:footnote w:id="28">
    <w:p w14:paraId="5EFFCFB4" w14:textId="5EDB841E" w:rsidR="009E508C" w:rsidRPr="00F30CBF" w:rsidRDefault="009E508C" w:rsidP="00C37C48">
      <w:pPr>
        <w:pStyle w:val="FootnoteText"/>
        <w:rPr>
          <w:sz w:val="20"/>
          <w:szCs w:val="20"/>
          <w:lang w:eastAsia="zh-CN"/>
        </w:rPr>
      </w:pPr>
      <w:r w:rsidRPr="00F30CBF">
        <w:rPr>
          <w:rStyle w:val="FootnoteReference"/>
          <w:sz w:val="20"/>
          <w:szCs w:val="20"/>
        </w:rPr>
        <w:footnoteRef/>
      </w:r>
      <w:r w:rsidRPr="00F30CBF">
        <w:rPr>
          <w:sz w:val="20"/>
          <w:szCs w:val="20"/>
        </w:rPr>
        <w:t xml:space="preserve"> </w:t>
      </w:r>
      <w:r w:rsidRPr="00F30CBF">
        <w:rPr>
          <w:sz w:val="20"/>
          <w:szCs w:val="20"/>
          <w:lang w:eastAsia="zh-CN"/>
        </w:rPr>
        <w:t>Transgender Persons (Protection of Rights) Act, 2019, art. 6 &amp; 7.</w:t>
      </w:r>
    </w:p>
  </w:footnote>
  <w:footnote w:id="29">
    <w:p w14:paraId="4783AB5F" w14:textId="0C782140" w:rsidR="009E508C" w:rsidRPr="00F30CBF" w:rsidRDefault="009E508C" w:rsidP="0047190F">
      <w:pPr>
        <w:pStyle w:val="FootnoteText"/>
        <w:rPr>
          <w:sz w:val="20"/>
          <w:szCs w:val="20"/>
          <w:lang w:eastAsia="zh-CN"/>
        </w:rPr>
      </w:pPr>
      <w:r w:rsidRPr="00F30CBF">
        <w:rPr>
          <w:rStyle w:val="FootnoteReference"/>
          <w:sz w:val="20"/>
          <w:szCs w:val="20"/>
        </w:rPr>
        <w:footnoteRef/>
      </w:r>
      <w:r w:rsidRPr="00F30CBF">
        <w:rPr>
          <w:sz w:val="20"/>
          <w:szCs w:val="20"/>
          <w:lang w:eastAsia="zh-CN"/>
        </w:rPr>
        <w:t xml:space="preserve"> </w:t>
      </w:r>
      <w:r w:rsidRPr="00F30CBF">
        <w:rPr>
          <w:sz w:val="20"/>
          <w:szCs w:val="20"/>
        </w:rPr>
        <w:t>Ministry of Social Justice and Empowerment - Government of India</w:t>
      </w:r>
      <w:r w:rsidRPr="00F30CBF">
        <w:rPr>
          <w:sz w:val="20"/>
          <w:szCs w:val="20"/>
          <w:lang w:eastAsia="zh-CN"/>
        </w:rPr>
        <w:t xml:space="preserve">, “National Portal For Transgender Persons”, accessed May 9, 2024, </w:t>
      </w:r>
      <w:hyperlink r:id="rId19" w:history="1">
        <w:r w:rsidRPr="00F30CBF">
          <w:rPr>
            <w:rStyle w:val="Hyperlink"/>
            <w:color w:val="auto"/>
            <w:sz w:val="20"/>
            <w:szCs w:val="20"/>
            <w:u w:val="none"/>
            <w:lang w:eastAsia="zh-CN"/>
          </w:rPr>
          <w:t>https://transgender.dosje.gov.in/Applicant/Registration/DisplayForm1</w:t>
        </w:r>
      </w:hyperlink>
      <w:r w:rsidRPr="00F30CBF">
        <w:rPr>
          <w:rStyle w:val="Hyperlink"/>
          <w:color w:val="auto"/>
          <w:sz w:val="20"/>
          <w:szCs w:val="20"/>
          <w:u w:val="none"/>
          <w:lang w:eastAsia="zh-CN"/>
        </w:rPr>
        <w:t>.</w:t>
      </w:r>
      <w:r w:rsidRPr="00F30CBF">
        <w:rPr>
          <w:sz w:val="20"/>
          <w:szCs w:val="20"/>
          <w:lang w:eastAsia="zh-CN"/>
        </w:rPr>
        <w:t xml:space="preserve"> </w:t>
      </w:r>
    </w:p>
  </w:footnote>
  <w:footnote w:id="30">
    <w:p w14:paraId="69C73003" w14:textId="4C347D3E" w:rsidR="009E508C" w:rsidRPr="00F30CBF" w:rsidRDefault="009E508C" w:rsidP="0047190F">
      <w:pPr>
        <w:pStyle w:val="FootnoteText"/>
        <w:rPr>
          <w:sz w:val="20"/>
          <w:szCs w:val="20"/>
          <w:lang w:eastAsia="zh-CN"/>
        </w:rPr>
      </w:pPr>
      <w:r w:rsidRPr="00F30CBF">
        <w:rPr>
          <w:rStyle w:val="FootnoteReference"/>
          <w:sz w:val="20"/>
          <w:szCs w:val="20"/>
        </w:rPr>
        <w:footnoteRef/>
      </w:r>
      <w:r w:rsidRPr="00F30CBF">
        <w:rPr>
          <w:sz w:val="20"/>
          <w:szCs w:val="20"/>
          <w:lang w:eastAsia="zh-CN"/>
        </w:rPr>
        <w:t xml:space="preserve"> </w:t>
      </w:r>
      <w:r w:rsidRPr="00F30CBF">
        <w:rPr>
          <w:sz w:val="20"/>
          <w:szCs w:val="20"/>
        </w:rPr>
        <w:t>Ministry of Social Justice and Empowerment - Government of India</w:t>
      </w:r>
      <w:r w:rsidRPr="00F30CBF">
        <w:rPr>
          <w:sz w:val="20"/>
          <w:szCs w:val="20"/>
          <w:lang w:eastAsia="zh-CN"/>
        </w:rPr>
        <w:t xml:space="preserve">, “National Portal For Transgender Persons”, accessed May 9, 2024, </w:t>
      </w:r>
      <w:hyperlink r:id="rId20" w:history="1">
        <w:r w:rsidRPr="00F30CBF">
          <w:rPr>
            <w:rStyle w:val="Hyperlink"/>
            <w:color w:val="auto"/>
            <w:sz w:val="20"/>
            <w:szCs w:val="20"/>
            <w:u w:val="none"/>
            <w:lang w:eastAsia="zh-CN"/>
          </w:rPr>
          <w:t>https://transgender.dosje.gov.in/Applicant/Registration/DisplayForm1</w:t>
        </w:r>
      </w:hyperlink>
      <w:r w:rsidRPr="00F30CBF">
        <w:rPr>
          <w:rStyle w:val="Hyperlink"/>
          <w:color w:val="auto"/>
          <w:sz w:val="20"/>
          <w:szCs w:val="20"/>
          <w:u w:val="none"/>
          <w:lang w:eastAsia="zh-CN"/>
        </w:rPr>
        <w:t>.</w:t>
      </w:r>
      <w:r w:rsidRPr="00F30CBF">
        <w:rPr>
          <w:sz w:val="20"/>
          <w:szCs w:val="20"/>
          <w:lang w:eastAsia="zh-CN"/>
        </w:rPr>
        <w:t xml:space="preserve"> </w:t>
      </w:r>
    </w:p>
  </w:footnote>
  <w:footnote w:id="31">
    <w:p w14:paraId="06120D2E" w14:textId="5E48A046" w:rsidR="009E508C" w:rsidRPr="00F30CBF" w:rsidRDefault="009E508C" w:rsidP="00D837CC">
      <w:pPr>
        <w:pStyle w:val="FootnoteText"/>
        <w:rPr>
          <w:sz w:val="20"/>
          <w:szCs w:val="20"/>
          <w:lang w:eastAsia="zh-CN"/>
        </w:rPr>
      </w:pPr>
      <w:r w:rsidRPr="00F30CBF">
        <w:rPr>
          <w:rStyle w:val="FootnoteReference"/>
          <w:sz w:val="20"/>
          <w:szCs w:val="20"/>
        </w:rPr>
        <w:footnoteRef/>
      </w:r>
      <w:r w:rsidRPr="00F30CBF">
        <w:rPr>
          <w:sz w:val="20"/>
          <w:szCs w:val="20"/>
          <w:lang w:eastAsia="zh-CN"/>
        </w:rPr>
        <w:t xml:space="preserve"> </w:t>
      </w:r>
      <w:r w:rsidRPr="00F30CBF">
        <w:rPr>
          <w:sz w:val="20"/>
          <w:szCs w:val="20"/>
        </w:rPr>
        <w:t>Ministry of Social Justice and Empowerment - Government of India</w:t>
      </w:r>
      <w:r w:rsidRPr="00F30CBF">
        <w:rPr>
          <w:sz w:val="20"/>
          <w:szCs w:val="20"/>
          <w:lang w:eastAsia="zh-CN"/>
        </w:rPr>
        <w:t xml:space="preserve">, “National Portal For Transgender Persons”, accessed May 9, 2024, </w:t>
      </w:r>
      <w:hyperlink r:id="rId21" w:history="1">
        <w:r w:rsidRPr="00F30CBF">
          <w:rPr>
            <w:rStyle w:val="Hyperlink"/>
            <w:color w:val="auto"/>
            <w:sz w:val="20"/>
            <w:szCs w:val="20"/>
            <w:u w:val="none"/>
            <w:lang w:eastAsia="zh-CN"/>
          </w:rPr>
          <w:t>https://transgender.dosje.gov.in/Applicant/Registration/DisplayForm1</w:t>
        </w:r>
      </w:hyperlink>
      <w:r w:rsidRPr="00F30CBF">
        <w:rPr>
          <w:rStyle w:val="Hyperlink"/>
          <w:color w:val="auto"/>
          <w:sz w:val="20"/>
          <w:szCs w:val="20"/>
          <w:u w:val="none"/>
          <w:lang w:eastAsia="zh-CN"/>
        </w:rPr>
        <w:t>.</w:t>
      </w:r>
      <w:r w:rsidRPr="00F30CBF">
        <w:rPr>
          <w:sz w:val="20"/>
          <w:szCs w:val="20"/>
          <w:lang w:eastAsia="zh-CN"/>
        </w:rPr>
        <w:t xml:space="preserve"> </w:t>
      </w:r>
    </w:p>
  </w:footnote>
  <w:footnote w:id="32">
    <w:p w14:paraId="5CDB1B5E" w14:textId="32770164" w:rsidR="009E508C" w:rsidRPr="00F30CBF" w:rsidRDefault="009E508C" w:rsidP="004F37D7">
      <w:pPr>
        <w:pStyle w:val="FootnoteText"/>
        <w:rPr>
          <w:sz w:val="20"/>
          <w:szCs w:val="20"/>
        </w:rPr>
      </w:pPr>
      <w:r w:rsidRPr="00F30CBF">
        <w:rPr>
          <w:rStyle w:val="FootnoteReference"/>
          <w:sz w:val="20"/>
          <w:szCs w:val="20"/>
        </w:rPr>
        <w:footnoteRef/>
      </w:r>
      <w:r w:rsidRPr="00F30CBF">
        <w:rPr>
          <w:sz w:val="20"/>
          <w:szCs w:val="20"/>
        </w:rPr>
        <w:t xml:space="preserve"> </w:t>
      </w:r>
      <w:r w:rsidRPr="00F30CBF">
        <w:rPr>
          <w:sz w:val="20"/>
          <w:szCs w:val="20"/>
          <w:lang w:eastAsia="zh-CN"/>
        </w:rPr>
        <w:t xml:space="preserve">World Population Review, “Transgender Population by Country 2024”, accessed May 9, 2024, </w:t>
      </w:r>
      <w:hyperlink r:id="rId22" w:history="1">
        <w:r w:rsidRPr="00F30CBF">
          <w:rPr>
            <w:rStyle w:val="Hyperlink"/>
            <w:color w:val="auto"/>
            <w:sz w:val="20"/>
            <w:szCs w:val="20"/>
            <w:u w:val="none"/>
            <w:lang w:eastAsia="zh-CN"/>
          </w:rPr>
          <w:t>https://worldpopulationreview.com/country-rankings/trans-population-by-country</w:t>
        </w:r>
      </w:hyperlink>
      <w:r w:rsidRPr="00F30CBF">
        <w:rPr>
          <w:rStyle w:val="Hyperlink"/>
          <w:color w:val="auto"/>
          <w:sz w:val="20"/>
          <w:szCs w:val="20"/>
          <w:u w:val="none"/>
          <w:lang w:eastAsia="zh-CN"/>
        </w:rPr>
        <w:t>.</w:t>
      </w:r>
      <w:r w:rsidRPr="00F30CBF">
        <w:rPr>
          <w:sz w:val="20"/>
          <w:szCs w:val="20"/>
          <w:lang w:eastAsia="zh-CN"/>
        </w:rPr>
        <w:t xml:space="preserve"> </w:t>
      </w:r>
    </w:p>
  </w:footnote>
  <w:footnote w:id="33">
    <w:p w14:paraId="152540E3" w14:textId="60F59110" w:rsidR="009E508C" w:rsidRPr="00F30CBF" w:rsidRDefault="009E508C" w:rsidP="0047190F">
      <w:pPr>
        <w:pStyle w:val="FootnoteText"/>
        <w:rPr>
          <w:sz w:val="20"/>
          <w:szCs w:val="20"/>
          <w:lang w:eastAsia="zh-CN"/>
        </w:rPr>
      </w:pPr>
      <w:r w:rsidRPr="00F30CBF">
        <w:rPr>
          <w:rStyle w:val="FootnoteReference"/>
          <w:sz w:val="20"/>
          <w:szCs w:val="20"/>
        </w:rPr>
        <w:footnoteRef/>
      </w:r>
      <w:r w:rsidRPr="00F30CBF">
        <w:rPr>
          <w:sz w:val="20"/>
          <w:szCs w:val="20"/>
        </w:rPr>
        <w:t xml:space="preserve"> </w:t>
      </w:r>
      <w:r w:rsidRPr="00F30CBF">
        <w:rPr>
          <w:sz w:val="20"/>
          <w:szCs w:val="20"/>
          <w:lang w:eastAsia="zh-CN"/>
        </w:rPr>
        <w:t xml:space="preserve">World Population Review, “Transgender Population by Country 2024”, accessed May 9, 2024, </w:t>
      </w:r>
      <w:hyperlink r:id="rId23" w:history="1">
        <w:r w:rsidRPr="00F30CBF">
          <w:rPr>
            <w:rStyle w:val="Hyperlink"/>
            <w:color w:val="auto"/>
            <w:sz w:val="20"/>
            <w:szCs w:val="20"/>
            <w:u w:val="none"/>
            <w:lang w:eastAsia="zh-CN"/>
          </w:rPr>
          <w:t>https://worldpopulationreview.com/country-rankings/trans-population-by-country</w:t>
        </w:r>
      </w:hyperlink>
      <w:r w:rsidRPr="00F30CBF">
        <w:rPr>
          <w:rStyle w:val="Hyperlink"/>
          <w:color w:val="auto"/>
          <w:sz w:val="20"/>
          <w:szCs w:val="20"/>
          <w:u w:val="none"/>
          <w:lang w:eastAsia="zh-CN"/>
        </w:rPr>
        <w:t>.</w:t>
      </w:r>
      <w:r w:rsidRPr="00F30CBF">
        <w:rPr>
          <w:sz w:val="20"/>
          <w:szCs w:val="20"/>
          <w:lang w:eastAsia="zh-CN"/>
        </w:rPr>
        <w:t xml:space="preserve"> </w:t>
      </w:r>
    </w:p>
  </w:footnote>
  <w:footnote w:id="34">
    <w:p w14:paraId="46E5BD5B" w14:textId="36AB31DA" w:rsidR="009E508C" w:rsidRPr="00F30CBF" w:rsidRDefault="009E508C">
      <w:pPr>
        <w:pStyle w:val="FootnoteText"/>
        <w:rPr>
          <w:sz w:val="20"/>
          <w:szCs w:val="20"/>
        </w:rPr>
      </w:pPr>
      <w:r w:rsidRPr="00F30CBF">
        <w:rPr>
          <w:rStyle w:val="FootnoteReference"/>
          <w:sz w:val="20"/>
          <w:szCs w:val="20"/>
        </w:rPr>
        <w:footnoteRef/>
      </w:r>
      <w:r w:rsidRPr="00F30CBF">
        <w:rPr>
          <w:sz w:val="20"/>
          <w:szCs w:val="20"/>
        </w:rPr>
        <w:t xml:space="preserve"> Human Rights Committee, </w:t>
      </w:r>
      <w:proofErr w:type="gramStart"/>
      <w:r w:rsidRPr="00F30CBF">
        <w:rPr>
          <w:i/>
          <w:iCs/>
          <w:sz w:val="20"/>
          <w:szCs w:val="20"/>
        </w:rPr>
        <w:t>Fourth</w:t>
      </w:r>
      <w:proofErr w:type="gramEnd"/>
      <w:r w:rsidRPr="00F30CBF">
        <w:rPr>
          <w:i/>
          <w:iCs/>
          <w:sz w:val="20"/>
          <w:szCs w:val="20"/>
        </w:rPr>
        <w:t xml:space="preserve"> periodic report submitted by India under article 40 of the Covenant pursuant to the optional reporting procedure</w:t>
      </w:r>
      <w:r w:rsidRPr="00F30CBF">
        <w:rPr>
          <w:sz w:val="20"/>
          <w:szCs w:val="20"/>
        </w:rPr>
        <w:t>, due in 2020, (May 31, 2022), U.N. Doc. CCPR/C/IND/4, ¶ 29.</w:t>
      </w:r>
    </w:p>
  </w:footnote>
  <w:footnote w:id="35">
    <w:p w14:paraId="60CBAB86" w14:textId="51B258A3" w:rsidR="009E508C" w:rsidRPr="00F30CBF" w:rsidRDefault="009E508C">
      <w:pPr>
        <w:pStyle w:val="FootnoteText"/>
        <w:rPr>
          <w:sz w:val="20"/>
          <w:szCs w:val="20"/>
        </w:rPr>
      </w:pPr>
      <w:r w:rsidRPr="00F30CBF">
        <w:rPr>
          <w:rStyle w:val="FootnoteReference"/>
          <w:sz w:val="20"/>
          <w:szCs w:val="20"/>
        </w:rPr>
        <w:footnoteRef/>
      </w:r>
      <w:r w:rsidRPr="00F30CBF">
        <w:rPr>
          <w:sz w:val="20"/>
          <w:szCs w:val="20"/>
        </w:rPr>
        <w:t xml:space="preserve"> Human Rights Committee, </w:t>
      </w:r>
      <w:proofErr w:type="gramStart"/>
      <w:r w:rsidRPr="00F30CBF">
        <w:rPr>
          <w:i/>
          <w:iCs/>
          <w:sz w:val="20"/>
          <w:szCs w:val="20"/>
        </w:rPr>
        <w:t>Fourth</w:t>
      </w:r>
      <w:proofErr w:type="gramEnd"/>
      <w:r w:rsidRPr="00F30CBF">
        <w:rPr>
          <w:i/>
          <w:iCs/>
          <w:sz w:val="20"/>
          <w:szCs w:val="20"/>
        </w:rPr>
        <w:t xml:space="preserve"> periodic report submitted by India under article 40 of the Covenant pursuant to the optional reporting procedure</w:t>
      </w:r>
      <w:r w:rsidRPr="00F30CBF">
        <w:rPr>
          <w:sz w:val="20"/>
          <w:szCs w:val="20"/>
        </w:rPr>
        <w:t>, due in 2020, (May 31, 2022), U.N. Doc. CCPR/C/IND/4, ¶ 29.</w:t>
      </w:r>
    </w:p>
  </w:footnote>
  <w:footnote w:id="36">
    <w:p w14:paraId="0E37CCEC" w14:textId="1BA1F611" w:rsidR="009E508C" w:rsidRPr="00F30CBF" w:rsidRDefault="009E508C">
      <w:pPr>
        <w:pStyle w:val="FootnoteText"/>
        <w:rPr>
          <w:sz w:val="20"/>
          <w:szCs w:val="20"/>
        </w:rPr>
      </w:pPr>
      <w:r w:rsidRPr="00F30CBF">
        <w:rPr>
          <w:rStyle w:val="FootnoteReference"/>
          <w:sz w:val="20"/>
          <w:szCs w:val="20"/>
        </w:rPr>
        <w:footnoteRef/>
      </w:r>
      <w:r w:rsidRPr="00F30CBF">
        <w:rPr>
          <w:sz w:val="20"/>
          <w:szCs w:val="20"/>
        </w:rPr>
        <w:t xml:space="preserve"> Human Rights Committee, </w:t>
      </w:r>
      <w:proofErr w:type="gramStart"/>
      <w:r w:rsidRPr="00F30CBF">
        <w:rPr>
          <w:i/>
          <w:iCs/>
          <w:sz w:val="20"/>
          <w:szCs w:val="20"/>
        </w:rPr>
        <w:t>Fourth</w:t>
      </w:r>
      <w:proofErr w:type="gramEnd"/>
      <w:r w:rsidRPr="00F30CBF">
        <w:rPr>
          <w:i/>
          <w:iCs/>
          <w:sz w:val="20"/>
          <w:szCs w:val="20"/>
        </w:rPr>
        <w:t xml:space="preserve"> periodic report submitted by India under article 40 of the Covenant pursuant to the optional reporting procedure</w:t>
      </w:r>
      <w:r w:rsidRPr="00F30CBF">
        <w:rPr>
          <w:sz w:val="20"/>
          <w:szCs w:val="20"/>
        </w:rPr>
        <w:t>, due in 2020, (May 31, 2022), U.N. Doc. CCPR/C/IND/4, ¶ 30.</w:t>
      </w:r>
    </w:p>
  </w:footnote>
  <w:footnote w:id="37">
    <w:p w14:paraId="521FD494" w14:textId="77777777" w:rsidR="009E508C" w:rsidRPr="00F30CBF" w:rsidRDefault="009E508C" w:rsidP="00D52F2F">
      <w:pPr>
        <w:pStyle w:val="FootnoteText"/>
        <w:rPr>
          <w:sz w:val="20"/>
          <w:szCs w:val="20"/>
        </w:rPr>
      </w:pPr>
      <w:r w:rsidRPr="00F30CBF">
        <w:rPr>
          <w:rStyle w:val="FootnoteReference"/>
          <w:sz w:val="20"/>
          <w:szCs w:val="20"/>
        </w:rPr>
        <w:footnoteRef/>
      </w:r>
      <w:r w:rsidRPr="00F30CBF">
        <w:rPr>
          <w:sz w:val="20"/>
          <w:szCs w:val="20"/>
        </w:rPr>
        <w:t xml:space="preserve"> Human Rights Committee, </w:t>
      </w:r>
      <w:proofErr w:type="gramStart"/>
      <w:r w:rsidRPr="00F30CBF">
        <w:rPr>
          <w:i/>
          <w:iCs/>
          <w:sz w:val="20"/>
          <w:szCs w:val="20"/>
        </w:rPr>
        <w:t>Fourth</w:t>
      </w:r>
      <w:proofErr w:type="gramEnd"/>
      <w:r w:rsidRPr="00F30CBF">
        <w:rPr>
          <w:i/>
          <w:iCs/>
          <w:sz w:val="20"/>
          <w:szCs w:val="20"/>
        </w:rPr>
        <w:t xml:space="preserve"> periodic report submitted by India under article 40 of the Covenant pursuant to the optional reporting procedure</w:t>
      </w:r>
      <w:r w:rsidRPr="00F30CBF">
        <w:rPr>
          <w:sz w:val="20"/>
          <w:szCs w:val="20"/>
        </w:rPr>
        <w:t>, due in 2020, (May 31, 2022), U.N. Doc. CCPR/C/IND/4, ¶ 30.</w:t>
      </w:r>
    </w:p>
  </w:footnote>
  <w:footnote w:id="38">
    <w:p w14:paraId="1CF65FCF" w14:textId="5C44498C" w:rsidR="009E508C" w:rsidRPr="00F30CBF" w:rsidRDefault="009E508C">
      <w:pPr>
        <w:pStyle w:val="FootnoteText"/>
        <w:rPr>
          <w:sz w:val="20"/>
          <w:szCs w:val="20"/>
        </w:rPr>
      </w:pPr>
      <w:r w:rsidRPr="00F30CBF">
        <w:rPr>
          <w:rStyle w:val="FootnoteReference"/>
          <w:sz w:val="20"/>
          <w:szCs w:val="20"/>
        </w:rPr>
        <w:footnoteRef/>
      </w:r>
      <w:r w:rsidRPr="00F30CBF">
        <w:rPr>
          <w:sz w:val="20"/>
          <w:szCs w:val="20"/>
        </w:rPr>
        <w:t xml:space="preserve"> Human Rights Committee, </w:t>
      </w:r>
      <w:proofErr w:type="gramStart"/>
      <w:r w:rsidRPr="00F30CBF">
        <w:rPr>
          <w:i/>
          <w:iCs/>
          <w:sz w:val="20"/>
          <w:szCs w:val="20"/>
        </w:rPr>
        <w:t>Fourth</w:t>
      </w:r>
      <w:proofErr w:type="gramEnd"/>
      <w:r w:rsidRPr="00F30CBF">
        <w:rPr>
          <w:i/>
          <w:iCs/>
          <w:sz w:val="20"/>
          <w:szCs w:val="20"/>
        </w:rPr>
        <w:t xml:space="preserve"> periodic report submitted by India under article 40 of the Covenant pursuant to the optional reporting procedure</w:t>
      </w:r>
      <w:r w:rsidRPr="00F30CBF">
        <w:rPr>
          <w:sz w:val="20"/>
          <w:szCs w:val="20"/>
        </w:rPr>
        <w:t>, due in 2020, (May 31, 2022), U.N. Doc. CCPR/C/IND/4, ¶ 30.</w:t>
      </w:r>
    </w:p>
  </w:footnote>
  <w:footnote w:id="39">
    <w:p w14:paraId="340CB69E" w14:textId="623168AD" w:rsidR="009E508C" w:rsidRPr="00F30CBF" w:rsidRDefault="009E508C" w:rsidP="00445327">
      <w:pPr>
        <w:pStyle w:val="FootnoteText"/>
        <w:rPr>
          <w:sz w:val="20"/>
          <w:szCs w:val="20"/>
          <w:lang w:eastAsia="zh-CN"/>
        </w:rPr>
      </w:pPr>
      <w:r w:rsidRPr="00F30CBF">
        <w:rPr>
          <w:rStyle w:val="FootnoteReference"/>
          <w:sz w:val="20"/>
          <w:szCs w:val="20"/>
        </w:rPr>
        <w:footnoteRef/>
      </w:r>
      <w:r w:rsidRPr="00F30CBF">
        <w:rPr>
          <w:sz w:val="20"/>
          <w:szCs w:val="20"/>
        </w:rPr>
        <w:t xml:space="preserve"> India's flagship public health insurance/assurance scheme implemented by National Health Authority, </w:t>
      </w:r>
      <w:hyperlink r:id="rId24" w:anchor=":~:text=National%20Health%20Authority%20(NHA)%20is,technological%20infrastructure%20and%20implementation%20of%20%22" w:history="1">
        <w:r w:rsidRPr="00F30CBF">
          <w:rPr>
            <w:rStyle w:val="Hyperlink"/>
            <w:color w:val="auto"/>
            <w:sz w:val="20"/>
            <w:szCs w:val="20"/>
            <w:u w:val="none"/>
          </w:rPr>
          <w:t>https://stglms.pmjay.gov.in/local/staticpage/view.php?page=aboutnha#:~:text=National%20Health%20Authority%20(NHA)%20is,technological%20infrastructure%20and%20implementation%20of%20%22</w:t>
        </w:r>
      </w:hyperlink>
      <w:r w:rsidRPr="00F30CBF">
        <w:rPr>
          <w:sz w:val="20"/>
          <w:szCs w:val="20"/>
        </w:rPr>
        <w:t>, accessed on May 9, 2024.</w:t>
      </w:r>
    </w:p>
  </w:footnote>
  <w:footnote w:id="40">
    <w:p w14:paraId="73DD6D72" w14:textId="1C898F37" w:rsidR="009E508C" w:rsidRPr="00F30CBF" w:rsidRDefault="009E508C" w:rsidP="00656AF4">
      <w:pPr>
        <w:pStyle w:val="FootnoteText"/>
        <w:rPr>
          <w:sz w:val="20"/>
          <w:szCs w:val="20"/>
          <w:lang w:eastAsia="zh-CN"/>
        </w:rPr>
      </w:pPr>
      <w:r w:rsidRPr="00F30CBF">
        <w:rPr>
          <w:rStyle w:val="FootnoteReference"/>
          <w:sz w:val="20"/>
          <w:szCs w:val="20"/>
        </w:rPr>
        <w:footnoteRef/>
      </w:r>
      <w:r w:rsidRPr="00F30CBF">
        <w:rPr>
          <w:sz w:val="20"/>
          <w:szCs w:val="20"/>
        </w:rPr>
        <w:t xml:space="preserve"> India's flagship public health insurance/assurance scheme implemented by National Health Authority, </w:t>
      </w:r>
      <w:hyperlink r:id="rId25" w:anchor=":~:text=National%20Health%20Authority%20(NHA)%20is,technological%20infrastructure%20and%20implementation%20of%20%22" w:history="1">
        <w:r w:rsidRPr="00F30CBF">
          <w:rPr>
            <w:rStyle w:val="Hyperlink"/>
            <w:color w:val="auto"/>
            <w:sz w:val="20"/>
            <w:szCs w:val="20"/>
            <w:u w:val="none"/>
          </w:rPr>
          <w:t>https://stglms.pmjay.gov.in/local/staticpage/view.php?page=aboutnha#:~:text=National%20Health%20Authority%20(NHA)%20is,technological%20infrastructure%20and%20implementation%20of%20%22</w:t>
        </w:r>
      </w:hyperlink>
      <w:r w:rsidRPr="00F30CBF">
        <w:rPr>
          <w:sz w:val="20"/>
          <w:szCs w:val="20"/>
        </w:rPr>
        <w:t>, accessed on May 9, 2024.</w:t>
      </w:r>
    </w:p>
  </w:footnote>
  <w:footnote w:id="41">
    <w:p w14:paraId="2E2DFBA2" w14:textId="6447F517" w:rsidR="009E508C" w:rsidRPr="00F30CBF" w:rsidRDefault="009E508C" w:rsidP="00656AF4">
      <w:pPr>
        <w:pStyle w:val="FootnoteText"/>
        <w:rPr>
          <w:sz w:val="20"/>
          <w:szCs w:val="20"/>
          <w:lang w:eastAsia="zh-CN"/>
        </w:rPr>
      </w:pPr>
      <w:r w:rsidRPr="00F30CBF">
        <w:rPr>
          <w:rStyle w:val="FootnoteReference"/>
          <w:sz w:val="20"/>
          <w:szCs w:val="20"/>
        </w:rPr>
        <w:footnoteRef/>
      </w:r>
      <w:r w:rsidRPr="00F30CBF">
        <w:rPr>
          <w:sz w:val="20"/>
          <w:szCs w:val="20"/>
        </w:rPr>
        <w:t xml:space="preserve"> India's flagship public health insurance/assurance scheme implemented by National Health Authority, </w:t>
      </w:r>
      <w:hyperlink r:id="rId26" w:anchor=":~:text=National%20Health%20Authority%20(NHA)%20is,technological%20infrastructure%20and%20implementation%20of%20%22" w:history="1">
        <w:r w:rsidRPr="00F30CBF">
          <w:rPr>
            <w:rStyle w:val="Hyperlink"/>
            <w:color w:val="auto"/>
            <w:sz w:val="20"/>
            <w:szCs w:val="20"/>
            <w:u w:val="none"/>
          </w:rPr>
          <w:t>https://stglms.pmjay.gov.in/local/staticpage/view.php?page=aboutnha#:~:text=National%20Health%20Authority%20(NHA)%20is,technological%20infrastructure%20and%20implementation%20of%20%22</w:t>
        </w:r>
      </w:hyperlink>
      <w:r w:rsidRPr="00F30CBF">
        <w:rPr>
          <w:sz w:val="20"/>
          <w:szCs w:val="20"/>
        </w:rPr>
        <w:t>, accessed on May 9, 2024.</w:t>
      </w:r>
    </w:p>
  </w:footnote>
  <w:footnote w:id="42">
    <w:p w14:paraId="22617BF9" w14:textId="37925177" w:rsidR="009E508C" w:rsidRPr="00F30CBF" w:rsidRDefault="009E508C" w:rsidP="00B866B7">
      <w:pPr>
        <w:pStyle w:val="FootnoteText"/>
        <w:rPr>
          <w:sz w:val="20"/>
          <w:szCs w:val="20"/>
          <w:lang w:eastAsia="zh-CN"/>
        </w:rPr>
      </w:pPr>
      <w:r w:rsidRPr="00F30CBF">
        <w:rPr>
          <w:rStyle w:val="FootnoteReference"/>
          <w:sz w:val="20"/>
          <w:szCs w:val="20"/>
        </w:rPr>
        <w:footnoteRef/>
      </w:r>
      <w:r w:rsidRPr="00F30CBF">
        <w:rPr>
          <w:sz w:val="20"/>
          <w:szCs w:val="20"/>
        </w:rPr>
        <w:t xml:space="preserve"> </w:t>
      </w:r>
      <w:proofErr w:type="spellStart"/>
      <w:r w:rsidRPr="00F30CBF">
        <w:rPr>
          <w:sz w:val="20"/>
          <w:szCs w:val="20"/>
          <w:lang w:eastAsia="zh-CN"/>
        </w:rPr>
        <w:t>Somitra</w:t>
      </w:r>
      <w:proofErr w:type="spellEnd"/>
      <w:r w:rsidRPr="00F30CBF">
        <w:rPr>
          <w:sz w:val="20"/>
          <w:szCs w:val="20"/>
        </w:rPr>
        <w:t xml:space="preserve"> Ghosh</w:t>
      </w:r>
      <w:r w:rsidRPr="00F30CBF">
        <w:rPr>
          <w:sz w:val="20"/>
          <w:szCs w:val="20"/>
          <w:lang w:eastAsia="zh-CN"/>
        </w:rPr>
        <w:t xml:space="preserve">, </w:t>
      </w:r>
      <w:r w:rsidRPr="00F30CBF">
        <w:rPr>
          <w:i/>
          <w:iCs/>
          <w:sz w:val="20"/>
          <w:szCs w:val="20"/>
        </w:rPr>
        <w:t>Battle for right body: the reality of sex reassignment surgeries in India</w:t>
      </w:r>
      <w:r w:rsidRPr="00F30CBF">
        <w:rPr>
          <w:sz w:val="20"/>
          <w:szCs w:val="20"/>
          <w:lang w:eastAsia="zh-CN"/>
        </w:rPr>
        <w:t>,</w:t>
      </w:r>
      <w:r w:rsidRPr="00F30CBF">
        <w:rPr>
          <w:sz w:val="20"/>
          <w:szCs w:val="20"/>
        </w:rPr>
        <w:t xml:space="preserve"> The New Indian Express</w:t>
      </w:r>
      <w:r w:rsidRPr="00F30CBF">
        <w:rPr>
          <w:sz w:val="20"/>
          <w:szCs w:val="20"/>
          <w:lang w:eastAsia="zh-CN"/>
        </w:rPr>
        <w:t>, Feb</w:t>
      </w:r>
      <w:r w:rsidRPr="00F30CBF">
        <w:rPr>
          <w:sz w:val="20"/>
          <w:szCs w:val="20"/>
        </w:rPr>
        <w:t>ruary</w:t>
      </w:r>
      <w:r w:rsidRPr="00F30CBF">
        <w:rPr>
          <w:sz w:val="20"/>
          <w:szCs w:val="20"/>
          <w:lang w:eastAsia="zh-CN"/>
        </w:rPr>
        <w:t xml:space="preserve"> 24, 2020, </w:t>
      </w:r>
      <w:hyperlink r:id="rId27" w:history="1">
        <w:r w:rsidRPr="00F30CBF">
          <w:rPr>
            <w:rStyle w:val="Hyperlink"/>
            <w:color w:val="auto"/>
            <w:sz w:val="20"/>
            <w:szCs w:val="20"/>
            <w:u w:val="none"/>
          </w:rPr>
          <w:t>www.newindianexpress.com/cities/delhi/2020/feb/24/battle-for-right-body-the-reality-of-sex-reassignment-surgeries-in-india-2107686.html</w:t>
        </w:r>
      </w:hyperlink>
      <w:r w:rsidRPr="00F30CBF">
        <w:rPr>
          <w:rStyle w:val="Hyperlink"/>
          <w:color w:val="auto"/>
          <w:sz w:val="20"/>
          <w:szCs w:val="20"/>
          <w:u w:val="none"/>
        </w:rPr>
        <w:t>.</w:t>
      </w:r>
      <w:r w:rsidRPr="00F30CBF">
        <w:rPr>
          <w:sz w:val="20"/>
          <w:szCs w:val="20"/>
          <w:lang w:eastAsia="zh-CN"/>
        </w:rPr>
        <w:t xml:space="preserve"> </w:t>
      </w:r>
    </w:p>
  </w:footnote>
  <w:footnote w:id="43">
    <w:p w14:paraId="0EA29C1B" w14:textId="0CB18256" w:rsidR="009E508C" w:rsidRPr="00F30CBF" w:rsidRDefault="009E508C" w:rsidP="00A0536F">
      <w:pPr>
        <w:pStyle w:val="FootnoteText"/>
        <w:rPr>
          <w:sz w:val="20"/>
          <w:szCs w:val="20"/>
          <w:lang w:eastAsia="zh-CN"/>
        </w:rPr>
      </w:pPr>
      <w:r w:rsidRPr="00F30CBF">
        <w:rPr>
          <w:rStyle w:val="FootnoteReference"/>
          <w:sz w:val="20"/>
          <w:szCs w:val="20"/>
        </w:rPr>
        <w:footnoteRef/>
      </w:r>
      <w:r w:rsidRPr="00F30CBF">
        <w:rPr>
          <w:sz w:val="20"/>
          <w:szCs w:val="20"/>
        </w:rPr>
        <w:t xml:space="preserve"> Prashant Padmanabhan, </w:t>
      </w:r>
      <w:r w:rsidRPr="00F30CBF">
        <w:rPr>
          <w:sz w:val="20"/>
          <w:szCs w:val="20"/>
          <w:lang w:eastAsia="zh-CN"/>
        </w:rPr>
        <w:t>“</w:t>
      </w:r>
      <w:r w:rsidRPr="00F30CBF">
        <w:rPr>
          <w:i/>
          <w:iCs/>
          <w:sz w:val="20"/>
          <w:szCs w:val="20"/>
        </w:rPr>
        <w:t>Transgender Woman's Death, and the Need for Urgent Revamp of Sex Reassignment Surgery,</w:t>
      </w:r>
      <w:r w:rsidRPr="00F30CBF">
        <w:rPr>
          <w:i/>
          <w:iCs/>
          <w:sz w:val="20"/>
          <w:szCs w:val="20"/>
          <w:lang w:eastAsia="zh-CN"/>
        </w:rPr>
        <w:t>”</w:t>
      </w:r>
      <w:r w:rsidRPr="00F30CBF">
        <w:rPr>
          <w:sz w:val="20"/>
          <w:szCs w:val="20"/>
          <w:lang w:eastAsia="zh-CN"/>
        </w:rPr>
        <w:t xml:space="preserve"> The Leaflet, July 30, 2021, </w:t>
      </w:r>
      <w:hyperlink r:id="rId28" w:history="1">
        <w:r w:rsidRPr="00F30CBF">
          <w:rPr>
            <w:rStyle w:val="Hyperlink"/>
            <w:color w:val="auto"/>
            <w:sz w:val="20"/>
            <w:szCs w:val="20"/>
            <w:u w:val="none"/>
            <w:lang w:eastAsia="zh-CN"/>
          </w:rPr>
          <w:t>h</w:t>
        </w:r>
        <w:r w:rsidRPr="00F30CBF">
          <w:rPr>
            <w:rStyle w:val="Hyperlink"/>
            <w:color w:val="auto"/>
            <w:sz w:val="20"/>
            <w:szCs w:val="20"/>
            <w:u w:val="none"/>
          </w:rPr>
          <w:t>ttps://theleaflet.in/a-transgender-womans-death-and-the-need-for-urgent-revamp-of-sex-reassignment-surgery/</w:t>
        </w:r>
      </w:hyperlink>
      <w:r w:rsidRPr="00F30CBF">
        <w:rPr>
          <w:rStyle w:val="Hyperlink"/>
          <w:color w:val="auto"/>
          <w:sz w:val="20"/>
          <w:szCs w:val="20"/>
          <w:u w:val="none"/>
        </w:rPr>
        <w:t>.</w:t>
      </w:r>
      <w:r w:rsidRPr="00F30CBF">
        <w:rPr>
          <w:sz w:val="20"/>
          <w:szCs w:val="20"/>
          <w:lang w:eastAsia="zh-CN"/>
        </w:rPr>
        <w:t xml:space="preserve"> </w:t>
      </w:r>
    </w:p>
  </w:footnote>
  <w:footnote w:id="44">
    <w:p w14:paraId="0F4B7BC6" w14:textId="10E1D73D" w:rsidR="009E508C" w:rsidRPr="00F30CBF" w:rsidRDefault="009E508C" w:rsidP="00A0536F">
      <w:pPr>
        <w:pStyle w:val="FootnoteText"/>
        <w:rPr>
          <w:sz w:val="20"/>
          <w:szCs w:val="20"/>
          <w:lang w:eastAsia="zh-CN"/>
        </w:rPr>
      </w:pPr>
      <w:r w:rsidRPr="00F30CBF">
        <w:rPr>
          <w:rStyle w:val="FootnoteReference"/>
          <w:sz w:val="20"/>
          <w:szCs w:val="20"/>
        </w:rPr>
        <w:footnoteRef/>
      </w:r>
      <w:r w:rsidRPr="00F30CBF">
        <w:rPr>
          <w:sz w:val="20"/>
          <w:szCs w:val="20"/>
        </w:rPr>
        <w:t xml:space="preserve"> Cris, Neethu Joseph</w:t>
      </w:r>
      <w:r w:rsidRPr="00F30CBF">
        <w:rPr>
          <w:sz w:val="20"/>
          <w:szCs w:val="20"/>
          <w:lang w:eastAsia="zh-CN"/>
        </w:rPr>
        <w:t>, “</w:t>
      </w:r>
      <w:proofErr w:type="spellStart"/>
      <w:r w:rsidRPr="00F30CBF">
        <w:rPr>
          <w:i/>
          <w:iCs/>
          <w:sz w:val="20"/>
          <w:szCs w:val="20"/>
        </w:rPr>
        <w:t>Anannyah's</w:t>
      </w:r>
      <w:proofErr w:type="spellEnd"/>
      <w:r w:rsidRPr="00F30CBF">
        <w:rPr>
          <w:i/>
          <w:iCs/>
          <w:sz w:val="20"/>
          <w:szCs w:val="20"/>
        </w:rPr>
        <w:t xml:space="preserve"> story isn't new: Kerala lacks support for trans persons undergoing surgery</w:t>
      </w:r>
      <w:r w:rsidRPr="00F30CBF">
        <w:rPr>
          <w:sz w:val="20"/>
          <w:szCs w:val="20"/>
          <w:lang w:eastAsia="zh-CN"/>
        </w:rPr>
        <w:t>,”</w:t>
      </w:r>
      <w:r w:rsidRPr="00F30CBF">
        <w:rPr>
          <w:sz w:val="20"/>
          <w:szCs w:val="20"/>
        </w:rPr>
        <w:t xml:space="preserve"> The News Minutes</w:t>
      </w:r>
      <w:r w:rsidRPr="00F30CBF">
        <w:rPr>
          <w:sz w:val="20"/>
          <w:szCs w:val="20"/>
          <w:lang w:eastAsia="zh-CN"/>
        </w:rPr>
        <w:t xml:space="preserve">, Aug. 7, 2021, </w:t>
      </w:r>
      <w:hyperlink r:id="rId29" w:history="1">
        <w:r w:rsidRPr="00F30CBF">
          <w:rPr>
            <w:rStyle w:val="Hyperlink"/>
            <w:color w:val="auto"/>
            <w:sz w:val="20"/>
            <w:szCs w:val="20"/>
            <w:u w:val="none"/>
          </w:rPr>
          <w:t>www.thenewsminute.com/article/anannyah-s-story-isn-t-new-kerala-lacks-support-trans-persons-undergoing-surgery-153592</w:t>
        </w:r>
      </w:hyperlink>
      <w:r w:rsidRPr="00F30CBF">
        <w:rPr>
          <w:rStyle w:val="Hyperlink"/>
          <w:color w:val="auto"/>
          <w:sz w:val="20"/>
          <w:szCs w:val="20"/>
          <w:u w:val="none"/>
        </w:rPr>
        <w:t>.</w:t>
      </w:r>
      <w:r w:rsidRPr="00F30CBF">
        <w:rPr>
          <w:sz w:val="20"/>
          <w:szCs w:val="20"/>
          <w:lang w:eastAsia="zh-CN"/>
        </w:rPr>
        <w:t xml:space="preserve"> </w:t>
      </w:r>
    </w:p>
  </w:footnote>
  <w:footnote w:id="45">
    <w:p w14:paraId="345C2E80" w14:textId="4232D8CF" w:rsidR="009E508C" w:rsidRPr="00F30CBF" w:rsidRDefault="009E508C" w:rsidP="00CF079C">
      <w:pPr>
        <w:pStyle w:val="FootnoteText"/>
        <w:rPr>
          <w:sz w:val="20"/>
          <w:szCs w:val="20"/>
          <w:highlight w:val="yellow"/>
          <w:lang w:eastAsia="zh-CN"/>
        </w:rPr>
      </w:pPr>
      <w:r w:rsidRPr="00F30CBF">
        <w:rPr>
          <w:rStyle w:val="FootnoteReference"/>
          <w:sz w:val="20"/>
          <w:szCs w:val="20"/>
        </w:rPr>
        <w:footnoteRef/>
      </w:r>
      <w:r w:rsidRPr="00F30CBF">
        <w:rPr>
          <w:sz w:val="20"/>
          <w:szCs w:val="20"/>
        </w:rPr>
        <w:t xml:space="preserve"> Government of India, Ministry of Education, National Education Policy, 2020 provides for setting up a Gender Inclusion Fund (GIF) especially for girls and transgender students to provide them equitable quality education, July 31, 2023, accessed May 9, 2024, </w:t>
      </w:r>
      <w:hyperlink r:id="rId30" w:history="1">
        <w:r w:rsidRPr="00F30CBF">
          <w:rPr>
            <w:rStyle w:val="Hyperlink"/>
            <w:color w:val="auto"/>
            <w:sz w:val="20"/>
            <w:szCs w:val="20"/>
            <w:u w:val="none"/>
          </w:rPr>
          <w:t>https://www.education.gov.in/sites/upload_files/mhrd/files/PIB1944287.pdf</w:t>
        </w:r>
      </w:hyperlink>
      <w:r w:rsidRPr="00F30CBF">
        <w:rPr>
          <w:sz w:val="20"/>
          <w:szCs w:val="20"/>
          <w:lang w:eastAsia="zh-CN"/>
        </w:rPr>
        <w:t>.</w:t>
      </w:r>
    </w:p>
  </w:footnote>
  <w:footnote w:id="46">
    <w:p w14:paraId="3C15D439" w14:textId="2123A807" w:rsidR="009E508C" w:rsidRPr="00F30CBF" w:rsidRDefault="009E508C" w:rsidP="00FA6E16">
      <w:pPr>
        <w:pStyle w:val="FootnoteText"/>
        <w:rPr>
          <w:sz w:val="20"/>
          <w:szCs w:val="20"/>
          <w:highlight w:val="yellow"/>
        </w:rPr>
      </w:pPr>
      <w:r w:rsidRPr="00F30CBF">
        <w:rPr>
          <w:rStyle w:val="FootnoteReference"/>
          <w:sz w:val="20"/>
          <w:szCs w:val="20"/>
        </w:rPr>
        <w:footnoteRef/>
      </w:r>
      <w:r w:rsidRPr="00F30CBF">
        <w:rPr>
          <w:sz w:val="20"/>
          <w:szCs w:val="20"/>
        </w:rPr>
        <w:t xml:space="preserve"> Government of India, Ministry of Social Justice and Empowerment, Department of Social Justice and Empowerment, “Support for Marginalized Individuals for Livelihood &amp; Enterprise, National Portal for Transgender Persons,” accessed May 9, 2024, </w:t>
      </w:r>
      <w:hyperlink r:id="rId31" w:history="1">
        <w:r w:rsidRPr="00F30CBF">
          <w:rPr>
            <w:rStyle w:val="Hyperlink"/>
            <w:color w:val="auto"/>
            <w:sz w:val="20"/>
            <w:szCs w:val="20"/>
            <w:u w:val="none"/>
          </w:rPr>
          <w:t>https://transgender.dosje.gov.in/</w:t>
        </w:r>
      </w:hyperlink>
      <w:r w:rsidRPr="00F30CBF">
        <w:rPr>
          <w:sz w:val="20"/>
          <w:szCs w:val="20"/>
        </w:rPr>
        <w:t>.</w:t>
      </w:r>
      <w:r w:rsidR="00EA088C" w:rsidRPr="00F30CBF">
        <w:rPr>
          <w:sz w:val="20"/>
          <w:szCs w:val="20"/>
        </w:rPr>
        <w:t xml:space="preserve"> Ankush Kumar, “</w:t>
      </w:r>
      <w:r w:rsidR="00EA088C" w:rsidRPr="00F30CBF">
        <w:rPr>
          <w:i/>
          <w:iCs/>
          <w:sz w:val="20"/>
          <w:szCs w:val="20"/>
        </w:rPr>
        <w:t>Indian government announces equal opportunity policy for transgender people</w:t>
      </w:r>
      <w:r w:rsidR="00EA088C" w:rsidRPr="00F30CBF">
        <w:rPr>
          <w:sz w:val="20"/>
          <w:szCs w:val="20"/>
        </w:rPr>
        <w:t xml:space="preserve">,” Washington Blade, Feb. 29, 2024, </w:t>
      </w:r>
      <w:hyperlink r:id="rId32" w:anchor=":~:text=The%20Indian%20government%20has%20announced,of%20Rights)%20Rules%202020%20requires" w:history="1">
        <w:r w:rsidR="00EA088C" w:rsidRPr="00F30CBF">
          <w:rPr>
            <w:rStyle w:val="Hyperlink"/>
            <w:color w:val="auto"/>
            <w:sz w:val="20"/>
            <w:szCs w:val="20"/>
            <w:u w:val="none"/>
          </w:rPr>
          <w:t>https://www.washingtonblade.com/2024/02/29/indian-government-announces-equal-opportunity-policy-for-transgender-people/#:~:text=The%20Indian%20government%20has%20announced,of%20Rights)%20Rules%202020%20requires</w:t>
        </w:r>
      </w:hyperlink>
      <w:r w:rsidR="00EA088C" w:rsidRPr="00F30CBF">
        <w:rPr>
          <w:sz w:val="20"/>
          <w:szCs w:val="20"/>
        </w:rPr>
        <w:t>.</w:t>
      </w:r>
    </w:p>
  </w:footnote>
  <w:footnote w:id="47">
    <w:p w14:paraId="0E5E9FE9" w14:textId="37E7C5B9" w:rsidR="009E508C" w:rsidRPr="00F30CBF" w:rsidRDefault="009E508C" w:rsidP="00A4645D">
      <w:pPr>
        <w:pStyle w:val="FootnoteText"/>
        <w:rPr>
          <w:sz w:val="20"/>
          <w:szCs w:val="20"/>
          <w:lang w:eastAsia="zh-CN"/>
        </w:rPr>
      </w:pPr>
      <w:r w:rsidRPr="00F30CBF">
        <w:rPr>
          <w:rStyle w:val="FootnoteReference"/>
          <w:sz w:val="20"/>
          <w:szCs w:val="20"/>
        </w:rPr>
        <w:footnoteRef/>
      </w:r>
      <w:r w:rsidRPr="00F30CBF">
        <w:rPr>
          <w:sz w:val="20"/>
          <w:szCs w:val="20"/>
        </w:rPr>
        <w:t xml:space="preserve"> Anamika Biswas and Nandini </w:t>
      </w:r>
      <w:proofErr w:type="spellStart"/>
      <w:r w:rsidRPr="00F30CBF">
        <w:rPr>
          <w:sz w:val="20"/>
          <w:szCs w:val="20"/>
        </w:rPr>
        <w:t>Soora</w:t>
      </w:r>
      <w:proofErr w:type="spellEnd"/>
      <w:r w:rsidRPr="00F30CBF">
        <w:rPr>
          <w:sz w:val="20"/>
          <w:szCs w:val="20"/>
        </w:rPr>
        <w:t xml:space="preserve">, </w:t>
      </w:r>
      <w:r w:rsidRPr="00F30CBF">
        <w:rPr>
          <w:i/>
          <w:iCs/>
          <w:sz w:val="20"/>
          <w:szCs w:val="20"/>
        </w:rPr>
        <w:t>Education of Transgenders in India: Status &amp; Challenges</w:t>
      </w:r>
      <w:r w:rsidRPr="00F30CBF">
        <w:rPr>
          <w:sz w:val="20"/>
          <w:szCs w:val="20"/>
        </w:rPr>
        <w:t xml:space="preserve">, 4 International Journal of Law Management &amp; Humanities 415, 418-420 (2021). </w:t>
      </w:r>
      <w:r w:rsidR="00EA088C" w:rsidRPr="00F30CBF">
        <w:rPr>
          <w:sz w:val="20"/>
          <w:szCs w:val="20"/>
        </w:rPr>
        <w:t xml:space="preserve">Ankita Mohapatra and Prasanta Kumar Mohapatra, </w:t>
      </w:r>
      <w:proofErr w:type="gramStart"/>
      <w:r w:rsidR="00EA088C" w:rsidRPr="00F30CBF">
        <w:rPr>
          <w:i/>
          <w:iCs/>
          <w:sz w:val="20"/>
          <w:szCs w:val="20"/>
        </w:rPr>
        <w:t>Choosing</w:t>
      </w:r>
      <w:proofErr w:type="gramEnd"/>
      <w:r w:rsidR="00EA088C" w:rsidRPr="00F30CBF">
        <w:rPr>
          <w:i/>
          <w:iCs/>
          <w:sz w:val="20"/>
          <w:szCs w:val="20"/>
        </w:rPr>
        <w:t xml:space="preserve"> my gender: Challenges faced by transgender persons in India</w:t>
      </w:r>
      <w:r w:rsidR="00EA088C" w:rsidRPr="00F30CBF">
        <w:rPr>
          <w:sz w:val="20"/>
          <w:szCs w:val="20"/>
        </w:rPr>
        <w:t>, 18 Odisha Journal of Psychiatry 21, 22-24 (2022).</w:t>
      </w:r>
    </w:p>
  </w:footnote>
  <w:footnote w:id="48">
    <w:p w14:paraId="09A368B1" w14:textId="2A75F21D" w:rsidR="009E508C" w:rsidRPr="00F30CBF" w:rsidRDefault="009E508C" w:rsidP="00FA6E16">
      <w:pPr>
        <w:pStyle w:val="FootnoteText"/>
        <w:rPr>
          <w:sz w:val="20"/>
          <w:szCs w:val="20"/>
          <w:lang w:eastAsia="zh-CN"/>
        </w:rPr>
      </w:pPr>
      <w:r w:rsidRPr="00F30CBF">
        <w:rPr>
          <w:rStyle w:val="FootnoteReference"/>
          <w:sz w:val="20"/>
          <w:szCs w:val="20"/>
        </w:rPr>
        <w:footnoteRef/>
      </w:r>
      <w:r w:rsidRPr="00F30CBF">
        <w:rPr>
          <w:sz w:val="20"/>
          <w:szCs w:val="20"/>
        </w:rPr>
        <w:t xml:space="preserve"> M. Gnana </w:t>
      </w:r>
      <w:proofErr w:type="spellStart"/>
      <w:r w:rsidRPr="00F30CBF">
        <w:rPr>
          <w:sz w:val="20"/>
          <w:szCs w:val="20"/>
        </w:rPr>
        <w:t>Kamalia</w:t>
      </w:r>
      <w:proofErr w:type="spellEnd"/>
      <w:r w:rsidRPr="00F30CBF">
        <w:rPr>
          <w:sz w:val="20"/>
          <w:szCs w:val="20"/>
        </w:rPr>
        <w:t xml:space="preserve">, Dr. J. Antony </w:t>
      </w:r>
      <w:proofErr w:type="spellStart"/>
      <w:r w:rsidRPr="00F30CBF">
        <w:rPr>
          <w:sz w:val="20"/>
          <w:szCs w:val="20"/>
        </w:rPr>
        <w:t>Rajamb</w:t>
      </w:r>
      <w:proofErr w:type="spellEnd"/>
      <w:r w:rsidRPr="00F30CBF">
        <w:rPr>
          <w:sz w:val="20"/>
          <w:szCs w:val="20"/>
        </w:rPr>
        <w:t xml:space="preserve">, Dr. K.C. </w:t>
      </w:r>
      <w:proofErr w:type="spellStart"/>
      <w:r w:rsidRPr="00F30CBF">
        <w:rPr>
          <w:sz w:val="20"/>
          <w:szCs w:val="20"/>
        </w:rPr>
        <w:t>Bindhuc</w:t>
      </w:r>
      <w:proofErr w:type="spellEnd"/>
      <w:r w:rsidRPr="00F30CBF">
        <w:rPr>
          <w:sz w:val="20"/>
          <w:szCs w:val="20"/>
        </w:rPr>
        <w:t xml:space="preserve">, and Dr. J. Maria Prema, </w:t>
      </w:r>
      <w:r w:rsidRPr="00F30CBF">
        <w:rPr>
          <w:i/>
          <w:iCs/>
          <w:sz w:val="20"/>
          <w:szCs w:val="20"/>
        </w:rPr>
        <w:t>Educational Challenges of Transgender</w:t>
      </w:r>
      <w:r w:rsidRPr="00F30CBF">
        <w:rPr>
          <w:sz w:val="20"/>
          <w:szCs w:val="20"/>
        </w:rPr>
        <w:t>, Turkish Journal of Computer and Mathematics Education</w:t>
      </w:r>
      <w:r w:rsidRPr="00F30CBF">
        <w:rPr>
          <w:sz w:val="20"/>
          <w:szCs w:val="20"/>
          <w:lang w:eastAsia="zh-CN"/>
        </w:rPr>
        <w:t>, Vol.12, No.10 (2021), 7004-7007.</w:t>
      </w:r>
    </w:p>
  </w:footnote>
  <w:footnote w:id="49">
    <w:p w14:paraId="7A174CFC" w14:textId="702558B2" w:rsidR="009E508C" w:rsidRPr="00F30CBF" w:rsidRDefault="009E508C" w:rsidP="003A1F57">
      <w:pPr>
        <w:pStyle w:val="FootnoteText"/>
        <w:rPr>
          <w:sz w:val="20"/>
          <w:szCs w:val="20"/>
          <w:lang w:eastAsia="zh-CN"/>
        </w:rPr>
      </w:pPr>
      <w:r w:rsidRPr="00F30CBF">
        <w:rPr>
          <w:rStyle w:val="FootnoteReference"/>
          <w:sz w:val="20"/>
          <w:szCs w:val="20"/>
        </w:rPr>
        <w:footnoteRef/>
      </w:r>
      <w:r w:rsidRPr="00F30CBF">
        <w:rPr>
          <w:sz w:val="20"/>
          <w:szCs w:val="20"/>
        </w:rPr>
        <w:t xml:space="preserve"> UAB Institute for Human Rights, “The Economic Status of Transgender People in India,” accessed May 9, 2024, </w:t>
      </w:r>
      <w:hyperlink r:id="rId33" w:history="1">
        <w:r w:rsidRPr="00F30CBF">
          <w:rPr>
            <w:rStyle w:val="Hyperlink"/>
            <w:color w:val="auto"/>
            <w:sz w:val="20"/>
            <w:szCs w:val="20"/>
            <w:u w:val="none"/>
          </w:rPr>
          <w:t>https://sites.uab.edu/humanrights/2022/10/12/the-economic-status-of-transgender-people-in-india/</w:t>
        </w:r>
      </w:hyperlink>
      <w:r w:rsidRPr="00F30CBF">
        <w:rPr>
          <w:sz w:val="20"/>
          <w:szCs w:val="20"/>
        </w:rPr>
        <w:t xml:space="preserve"> .</w:t>
      </w:r>
    </w:p>
  </w:footnote>
  <w:footnote w:id="50">
    <w:p w14:paraId="7E1CB53C" w14:textId="63C89DAC" w:rsidR="009E508C" w:rsidRPr="00F30CBF" w:rsidRDefault="009E508C" w:rsidP="00B655B5">
      <w:pPr>
        <w:pStyle w:val="FootnoteText"/>
        <w:rPr>
          <w:sz w:val="20"/>
          <w:szCs w:val="20"/>
          <w:lang w:eastAsia="zh-CN"/>
        </w:rPr>
      </w:pPr>
      <w:r w:rsidRPr="00F30CBF">
        <w:rPr>
          <w:rStyle w:val="FootnoteReference"/>
          <w:sz w:val="20"/>
          <w:szCs w:val="20"/>
        </w:rPr>
        <w:footnoteRef/>
      </w:r>
      <w:r w:rsidRPr="00F30CBF">
        <w:rPr>
          <w:sz w:val="20"/>
          <w:szCs w:val="20"/>
        </w:rPr>
        <w:t xml:space="preserve"> UAB Institute for Human Rights, “The Economic Status of Transgender People in India,” accessed May 9, 2024, </w:t>
      </w:r>
      <w:hyperlink r:id="rId34" w:history="1">
        <w:r w:rsidRPr="00F30CBF">
          <w:rPr>
            <w:rStyle w:val="Hyperlink"/>
            <w:color w:val="auto"/>
            <w:sz w:val="20"/>
            <w:szCs w:val="20"/>
            <w:u w:val="none"/>
          </w:rPr>
          <w:t>https://sites.uab.edu/humanrights/2022/10/12/the-economic-status-of-transgender-people-in-india/</w:t>
        </w:r>
      </w:hyperlink>
      <w:r w:rsidRPr="00F30CBF">
        <w:rPr>
          <w:sz w:val="20"/>
          <w:szCs w:val="20"/>
        </w:rPr>
        <w:t xml:space="preserve"> .</w:t>
      </w:r>
    </w:p>
  </w:footnote>
  <w:footnote w:id="51">
    <w:p w14:paraId="750C0A36" w14:textId="2255B6D0" w:rsidR="009E508C" w:rsidRPr="00F30CBF" w:rsidRDefault="009E508C" w:rsidP="00B655B5">
      <w:pPr>
        <w:pStyle w:val="FootnoteText"/>
        <w:rPr>
          <w:sz w:val="20"/>
          <w:szCs w:val="20"/>
          <w:lang w:eastAsia="zh-CN"/>
        </w:rPr>
      </w:pPr>
      <w:r w:rsidRPr="00F30CBF">
        <w:rPr>
          <w:rStyle w:val="FootnoteReference"/>
          <w:sz w:val="20"/>
          <w:szCs w:val="20"/>
        </w:rPr>
        <w:footnoteRef/>
      </w:r>
      <w:r w:rsidRPr="00F30CBF">
        <w:rPr>
          <w:sz w:val="20"/>
          <w:szCs w:val="20"/>
        </w:rPr>
        <w:t xml:space="preserve"> UAB Institute for Human Rights, “The Economic Status of Transgender People in India,” accessed May 9, 2024, </w:t>
      </w:r>
      <w:hyperlink r:id="rId35" w:history="1">
        <w:r w:rsidRPr="00F30CBF">
          <w:rPr>
            <w:rStyle w:val="Hyperlink"/>
            <w:color w:val="auto"/>
            <w:sz w:val="20"/>
            <w:szCs w:val="20"/>
            <w:u w:val="none"/>
          </w:rPr>
          <w:t>https://sites.uab.edu/humanrights/2022/10/12/the-economic-status-of-transgender-people-in-india/</w:t>
        </w:r>
      </w:hyperlink>
      <w:r w:rsidRPr="00F30CBF">
        <w:rPr>
          <w:sz w:val="20"/>
          <w:szCs w:val="20"/>
        </w:rPr>
        <w:t xml:space="preserve"> .</w:t>
      </w:r>
    </w:p>
  </w:footnote>
  <w:footnote w:id="52">
    <w:p w14:paraId="53185ED5" w14:textId="4D530F8C" w:rsidR="009E508C" w:rsidRPr="00F30CBF" w:rsidRDefault="009E508C" w:rsidP="00B655B5">
      <w:pPr>
        <w:pStyle w:val="FootnoteText"/>
        <w:rPr>
          <w:sz w:val="20"/>
          <w:szCs w:val="20"/>
          <w:lang w:eastAsia="zh-CN"/>
        </w:rPr>
      </w:pPr>
      <w:r w:rsidRPr="00F30CBF">
        <w:rPr>
          <w:rStyle w:val="FootnoteReference"/>
          <w:sz w:val="20"/>
          <w:szCs w:val="20"/>
        </w:rPr>
        <w:footnoteRef/>
      </w:r>
      <w:r w:rsidRPr="00F30CBF">
        <w:rPr>
          <w:sz w:val="20"/>
          <w:szCs w:val="20"/>
        </w:rPr>
        <w:t xml:space="preserve"> UAB Institute for Human Rights, “The Economic Status of Transgender People in India,” accessed May 9, 2024, </w:t>
      </w:r>
      <w:hyperlink r:id="rId36" w:history="1">
        <w:r w:rsidRPr="00F30CBF">
          <w:rPr>
            <w:rStyle w:val="Hyperlink"/>
            <w:color w:val="auto"/>
            <w:sz w:val="20"/>
            <w:szCs w:val="20"/>
            <w:u w:val="none"/>
          </w:rPr>
          <w:t>https://sites.uab.edu/humanrights/2022/10/12/the-economic-status-of-transgender-people-in-india/</w:t>
        </w:r>
      </w:hyperlink>
      <w:r w:rsidRPr="00F30CBF">
        <w:rPr>
          <w:sz w:val="20"/>
          <w:szCs w:val="20"/>
        </w:rPr>
        <w:t xml:space="preserve"> .</w:t>
      </w:r>
    </w:p>
  </w:footnote>
  <w:footnote w:id="53">
    <w:p w14:paraId="6AF14A51" w14:textId="3A8782EA" w:rsidR="009E508C" w:rsidRPr="00F30CBF" w:rsidRDefault="009E508C" w:rsidP="003A1F57">
      <w:pPr>
        <w:pStyle w:val="FootnoteText"/>
        <w:rPr>
          <w:sz w:val="20"/>
          <w:szCs w:val="20"/>
          <w:highlight w:val="yellow"/>
          <w:lang w:eastAsia="zh-CN"/>
        </w:rPr>
      </w:pPr>
      <w:r w:rsidRPr="00F30CBF">
        <w:rPr>
          <w:rStyle w:val="FootnoteReference"/>
          <w:sz w:val="20"/>
          <w:szCs w:val="20"/>
        </w:rPr>
        <w:footnoteRef/>
      </w:r>
      <w:r w:rsidRPr="00F30CBF">
        <w:rPr>
          <w:sz w:val="20"/>
          <w:szCs w:val="20"/>
        </w:rPr>
        <w:t xml:space="preserve"> United Nations Development </w:t>
      </w:r>
      <w:proofErr w:type="spellStart"/>
      <w:r w:rsidRPr="00F30CBF">
        <w:rPr>
          <w:sz w:val="20"/>
          <w:szCs w:val="20"/>
        </w:rPr>
        <w:t>Programme</w:t>
      </w:r>
      <w:proofErr w:type="spellEnd"/>
      <w:r w:rsidRPr="00F30CBF">
        <w:rPr>
          <w:sz w:val="20"/>
          <w:szCs w:val="20"/>
        </w:rPr>
        <w:t>, India</w:t>
      </w:r>
      <w:r w:rsidRPr="00F30CBF">
        <w:rPr>
          <w:sz w:val="20"/>
          <w:szCs w:val="20"/>
          <w:lang w:eastAsia="zh-CN"/>
        </w:rPr>
        <w:t xml:space="preserve">, </w:t>
      </w:r>
      <w:r w:rsidRPr="00F30CBF">
        <w:rPr>
          <w:i/>
          <w:iCs/>
          <w:sz w:val="20"/>
          <w:szCs w:val="20"/>
          <w:lang w:eastAsia="zh-CN"/>
        </w:rPr>
        <w:t>A framework for Transgender-Inclusive India</w:t>
      </w:r>
      <w:r w:rsidRPr="00F30CBF">
        <w:rPr>
          <w:sz w:val="20"/>
          <w:szCs w:val="20"/>
          <w:lang w:eastAsia="zh-CN"/>
        </w:rPr>
        <w:t xml:space="preserve">, Apr. 15, 2021, 66-76, available for download at </w:t>
      </w:r>
      <w:hyperlink r:id="rId37" w:history="1">
        <w:r w:rsidRPr="00F30CBF">
          <w:rPr>
            <w:rStyle w:val="Hyperlink"/>
            <w:color w:val="auto"/>
            <w:sz w:val="20"/>
            <w:szCs w:val="20"/>
            <w:u w:val="none"/>
            <w:lang w:eastAsia="zh-CN"/>
          </w:rPr>
          <w:t>https://www.undp.org/india/publications/framework-transgender-inclusive-india</w:t>
        </w:r>
      </w:hyperlink>
      <w:r w:rsidRPr="00F30CBF">
        <w:rPr>
          <w:sz w:val="20"/>
          <w:szCs w:val="20"/>
          <w:lang w:eastAsia="zh-CN"/>
        </w:rPr>
        <w:t>.</w:t>
      </w:r>
    </w:p>
  </w:footnote>
  <w:footnote w:id="54">
    <w:p w14:paraId="346C230A" w14:textId="79FBB476" w:rsidR="009E508C" w:rsidRPr="00F30CBF" w:rsidRDefault="009E508C" w:rsidP="00064C30">
      <w:pPr>
        <w:rPr>
          <w:rFonts w:eastAsia="Calibri"/>
          <w:i/>
          <w:iCs/>
          <w:sz w:val="20"/>
          <w:szCs w:val="20"/>
        </w:rPr>
      </w:pPr>
      <w:r w:rsidRPr="00F30CBF">
        <w:rPr>
          <w:rStyle w:val="FootnoteReference"/>
          <w:sz w:val="20"/>
          <w:szCs w:val="20"/>
        </w:rPr>
        <w:footnoteRef/>
      </w:r>
      <w:r w:rsidRPr="00F30CBF">
        <w:rPr>
          <w:sz w:val="20"/>
          <w:szCs w:val="20"/>
        </w:rPr>
        <w:t xml:space="preserve"> </w:t>
      </w:r>
      <w:r w:rsidRPr="00F30CBF">
        <w:rPr>
          <w:rFonts w:eastAsia="Calibri"/>
          <w:sz w:val="20"/>
          <w:szCs w:val="20"/>
        </w:rPr>
        <w:t xml:space="preserve">United Kingdom Visas and Immigration, </w:t>
      </w:r>
      <w:r w:rsidRPr="00F30CBF">
        <w:rPr>
          <w:rFonts w:eastAsia="Calibri"/>
          <w:i/>
          <w:iCs/>
          <w:sz w:val="20"/>
          <w:szCs w:val="20"/>
        </w:rPr>
        <w:t>Country Policy and Information Note: India – Sexual orientation and gender identity and/or expression</w:t>
      </w:r>
      <w:r w:rsidRPr="00F30CBF">
        <w:rPr>
          <w:rFonts w:eastAsia="Calibri"/>
          <w:sz w:val="20"/>
          <w:szCs w:val="20"/>
        </w:rPr>
        <w:t xml:space="preserve">, (August 2023), accessed Apr. 24, 2024, </w:t>
      </w:r>
      <w:hyperlink r:id="rId38" w:history="1">
        <w:r w:rsidRPr="00F30CBF">
          <w:rPr>
            <w:rStyle w:val="Hyperlink"/>
            <w:rFonts w:eastAsia="Calibri"/>
            <w:color w:val="auto"/>
            <w:sz w:val="20"/>
            <w:szCs w:val="20"/>
            <w:u w:val="none"/>
          </w:rPr>
          <w:t>https://assets.publishing.service.gov.uk/media/64dba4a760d123001332c5c7/IND_CPIN_Sexual_orientation_and_gender_identity_and_expression.pdf</w:t>
        </w:r>
      </w:hyperlink>
      <w:r w:rsidR="001620B8" w:rsidRPr="00F30CBF">
        <w:rPr>
          <w:rFonts w:eastAsia="Calibri"/>
          <w:sz w:val="20"/>
          <w:szCs w:val="20"/>
        </w:rPr>
        <w:t xml:space="preserve">. </w:t>
      </w:r>
      <w:r w:rsidR="001620B8" w:rsidRPr="00F30CBF">
        <w:rPr>
          <w:sz w:val="20"/>
          <w:szCs w:val="20"/>
        </w:rPr>
        <w:t>United States Department of State</w:t>
      </w:r>
      <w:r w:rsidR="001620B8" w:rsidRPr="00F30CBF">
        <w:rPr>
          <w:smallCaps/>
          <w:sz w:val="20"/>
          <w:szCs w:val="20"/>
        </w:rPr>
        <w:t xml:space="preserve">, 2022 </w:t>
      </w:r>
      <w:r w:rsidR="001620B8" w:rsidRPr="00F30CBF">
        <w:rPr>
          <w:sz w:val="20"/>
          <w:szCs w:val="20"/>
        </w:rPr>
        <w:t>Country Reports on Human Rights Practices: India</w:t>
      </w:r>
      <w:r w:rsidR="001620B8" w:rsidRPr="00F30CBF">
        <w:rPr>
          <w:smallCaps/>
          <w:sz w:val="20"/>
          <w:szCs w:val="20"/>
        </w:rPr>
        <w:t xml:space="preserve">, </w:t>
      </w:r>
      <w:r w:rsidR="001620B8" w:rsidRPr="00F30CBF">
        <w:rPr>
          <w:sz w:val="20"/>
          <w:szCs w:val="20"/>
        </w:rPr>
        <w:t xml:space="preserve">accessed May 9, 2024, </w:t>
      </w:r>
      <w:hyperlink r:id="rId39" w:history="1">
        <w:r w:rsidR="001620B8" w:rsidRPr="00F30CBF">
          <w:rPr>
            <w:rStyle w:val="Hyperlink"/>
            <w:color w:val="auto"/>
            <w:sz w:val="20"/>
            <w:szCs w:val="20"/>
            <w:u w:val="none"/>
          </w:rPr>
          <w:t>https://www.state.gov/reports/2022-country-reports-on-human-rights-practices/india</w:t>
        </w:r>
      </w:hyperlink>
      <w:r w:rsidR="001620B8" w:rsidRPr="00F30CBF">
        <w:rPr>
          <w:sz w:val="20"/>
          <w:szCs w:val="20"/>
        </w:rPr>
        <w:t xml:space="preserve">. </w:t>
      </w:r>
    </w:p>
  </w:footnote>
  <w:footnote w:id="55">
    <w:p w14:paraId="35E73527" w14:textId="77777777" w:rsidR="009E508C" w:rsidRPr="00F30CBF" w:rsidRDefault="009E508C" w:rsidP="00767F3E">
      <w:pPr>
        <w:pStyle w:val="FootnoteText"/>
        <w:rPr>
          <w:sz w:val="20"/>
          <w:szCs w:val="20"/>
        </w:rPr>
      </w:pPr>
      <w:r w:rsidRPr="00F30CBF">
        <w:rPr>
          <w:rStyle w:val="FootnoteReference"/>
          <w:sz w:val="20"/>
          <w:szCs w:val="20"/>
        </w:rPr>
        <w:footnoteRef/>
      </w:r>
      <w:r w:rsidRPr="00F30CBF">
        <w:rPr>
          <w:sz w:val="20"/>
          <w:szCs w:val="20"/>
        </w:rPr>
        <w:t xml:space="preserve"> </w:t>
      </w:r>
      <w:hyperlink r:id="rId40" w:history="1">
        <w:r w:rsidRPr="00F30CBF">
          <w:rPr>
            <w:rStyle w:val="Hyperlink"/>
            <w:color w:val="auto"/>
            <w:sz w:val="20"/>
            <w:szCs w:val="20"/>
            <w:u w:val="none"/>
          </w:rPr>
          <w:t>https://www.icj.org/wp-content/uploads/2019/06/India-Living-with-dignity-Publications-Reports-thematic-report-2019-ENG.pdf</w:t>
        </w:r>
      </w:hyperlink>
      <w:r w:rsidRPr="00F30CBF">
        <w:rPr>
          <w:sz w:val="20"/>
          <w:szCs w:val="20"/>
        </w:rPr>
        <w:t xml:space="preserve">, 38. </w:t>
      </w:r>
    </w:p>
  </w:footnote>
  <w:footnote w:id="56">
    <w:p w14:paraId="01EEE393" w14:textId="4B4CDAC3" w:rsidR="009E508C" w:rsidRPr="00F30CBF" w:rsidRDefault="009E508C" w:rsidP="00191D04">
      <w:pPr>
        <w:pStyle w:val="FootnoteText"/>
        <w:rPr>
          <w:sz w:val="20"/>
          <w:szCs w:val="20"/>
        </w:rPr>
      </w:pPr>
      <w:r w:rsidRPr="00F30CBF">
        <w:rPr>
          <w:rStyle w:val="FootnoteReference"/>
          <w:sz w:val="20"/>
          <w:szCs w:val="20"/>
        </w:rPr>
        <w:footnoteRef/>
      </w:r>
      <w:r w:rsidRPr="00F30CBF">
        <w:rPr>
          <w:sz w:val="20"/>
          <w:szCs w:val="20"/>
        </w:rPr>
        <w:t xml:space="preserve"> International Commission of Jurists, </w:t>
      </w:r>
      <w:r w:rsidRPr="00F30CBF">
        <w:rPr>
          <w:i/>
          <w:iCs/>
          <w:sz w:val="20"/>
          <w:szCs w:val="20"/>
        </w:rPr>
        <w:t>Living with Dignity Sexual Orientation and Gender Identity-Based Human Rights Violations in Housing, Work, and Public Spaces in India</w:t>
      </w:r>
      <w:r w:rsidRPr="00F30CBF">
        <w:rPr>
          <w:sz w:val="20"/>
          <w:szCs w:val="20"/>
        </w:rPr>
        <w:t xml:space="preserve">, June 2019, </w:t>
      </w:r>
      <w:hyperlink r:id="rId41" w:history="1">
        <w:r w:rsidRPr="00F30CBF">
          <w:rPr>
            <w:rStyle w:val="Hyperlink"/>
            <w:color w:val="auto"/>
            <w:sz w:val="20"/>
            <w:szCs w:val="20"/>
            <w:u w:val="none"/>
          </w:rPr>
          <w:t>https://www.icj.org/wp-content/uploads/2019/06/India-Living-with-dignity-Publications-Reports-thematic-report-2019-ENG.pdf</w:t>
        </w:r>
      </w:hyperlink>
      <w:r w:rsidRPr="00F30CBF">
        <w:rPr>
          <w:sz w:val="20"/>
          <w:szCs w:val="20"/>
        </w:rPr>
        <w:t xml:space="preserve">, 39. </w:t>
      </w:r>
    </w:p>
  </w:footnote>
  <w:footnote w:id="57">
    <w:p w14:paraId="59F00823" w14:textId="5A93DEF1" w:rsidR="009E508C" w:rsidRPr="00F30CBF" w:rsidRDefault="009E508C">
      <w:pPr>
        <w:pStyle w:val="FootnoteText"/>
        <w:rPr>
          <w:sz w:val="20"/>
          <w:szCs w:val="20"/>
        </w:rPr>
      </w:pPr>
      <w:r w:rsidRPr="00F30CBF">
        <w:rPr>
          <w:rStyle w:val="FootnoteReference"/>
          <w:sz w:val="20"/>
          <w:szCs w:val="20"/>
        </w:rPr>
        <w:footnoteRef/>
      </w:r>
      <w:r w:rsidRPr="00F30CBF">
        <w:rPr>
          <w:sz w:val="20"/>
          <w:szCs w:val="20"/>
        </w:rPr>
        <w:t xml:space="preserve"> International Commission of Jurists, </w:t>
      </w:r>
      <w:r w:rsidRPr="00F30CBF">
        <w:rPr>
          <w:i/>
          <w:iCs/>
          <w:sz w:val="20"/>
          <w:szCs w:val="20"/>
        </w:rPr>
        <w:t>Living with Dignity Sexual Orientation and Gender Identity-Based Human Rights Violations in Housing, Work, and Public Spaces in India</w:t>
      </w:r>
      <w:r w:rsidRPr="00F30CBF">
        <w:rPr>
          <w:sz w:val="20"/>
          <w:szCs w:val="20"/>
        </w:rPr>
        <w:t xml:space="preserve">, June 2019, </w:t>
      </w:r>
      <w:hyperlink r:id="rId42" w:history="1">
        <w:r w:rsidRPr="00F30CBF">
          <w:rPr>
            <w:rStyle w:val="Hyperlink"/>
            <w:color w:val="auto"/>
            <w:sz w:val="20"/>
            <w:szCs w:val="20"/>
            <w:u w:val="none"/>
          </w:rPr>
          <w:t>https://www.icj.org/wp-content/uploads/2019/06/India-Living-with-dignity-Publications-Reports-thematic-report-2019-ENG.pdf</w:t>
        </w:r>
      </w:hyperlink>
      <w:r w:rsidRPr="00F30CBF">
        <w:rPr>
          <w:sz w:val="20"/>
          <w:szCs w:val="20"/>
        </w:rPr>
        <w:t xml:space="preserve">, 39. </w:t>
      </w:r>
    </w:p>
  </w:footnote>
  <w:footnote w:id="58">
    <w:p w14:paraId="0AD896B8" w14:textId="630BF472" w:rsidR="009E508C" w:rsidRPr="00F30CBF" w:rsidRDefault="009E508C" w:rsidP="00A54467">
      <w:pPr>
        <w:pStyle w:val="FootnoteText"/>
        <w:rPr>
          <w:sz w:val="20"/>
          <w:szCs w:val="20"/>
        </w:rPr>
      </w:pPr>
      <w:r w:rsidRPr="00F30CBF">
        <w:rPr>
          <w:rStyle w:val="FootnoteReference"/>
          <w:sz w:val="20"/>
          <w:szCs w:val="20"/>
        </w:rPr>
        <w:footnoteRef/>
      </w:r>
      <w:r w:rsidRPr="00F30CBF">
        <w:rPr>
          <w:sz w:val="20"/>
          <w:szCs w:val="20"/>
        </w:rPr>
        <w:t xml:space="preserve"> International Commission of Jurists, </w:t>
      </w:r>
      <w:r w:rsidRPr="00F30CBF">
        <w:rPr>
          <w:i/>
          <w:iCs/>
          <w:sz w:val="20"/>
          <w:szCs w:val="20"/>
        </w:rPr>
        <w:t>Living with Dignity Sexual Orientation and Gender Identity-Based Human Rights Violations in Housing, Work, and Public Spaces in India</w:t>
      </w:r>
      <w:r w:rsidRPr="00F30CBF">
        <w:rPr>
          <w:sz w:val="20"/>
          <w:szCs w:val="20"/>
        </w:rPr>
        <w:t xml:space="preserve">, June 2019, </w:t>
      </w:r>
      <w:hyperlink r:id="rId43" w:history="1">
        <w:r w:rsidRPr="00F30CBF">
          <w:rPr>
            <w:rStyle w:val="Hyperlink"/>
            <w:color w:val="auto"/>
            <w:sz w:val="20"/>
            <w:szCs w:val="20"/>
            <w:u w:val="none"/>
          </w:rPr>
          <w:t>https://www.icj.org/wp-content/uploads/2019/06/India-Living-with-dignity-Publications-Reports-thematic-report-2019-ENG.pdf</w:t>
        </w:r>
      </w:hyperlink>
      <w:r w:rsidRPr="00F30CBF">
        <w:rPr>
          <w:sz w:val="20"/>
          <w:szCs w:val="20"/>
        </w:rPr>
        <w:t xml:space="preserve">, 50. </w:t>
      </w:r>
    </w:p>
  </w:footnote>
  <w:footnote w:id="59">
    <w:p w14:paraId="1A6E9D6C" w14:textId="30F7D32C" w:rsidR="009E508C" w:rsidRPr="00F30CBF" w:rsidRDefault="009E508C">
      <w:pPr>
        <w:pStyle w:val="FootnoteText"/>
        <w:rPr>
          <w:sz w:val="20"/>
          <w:szCs w:val="20"/>
        </w:rPr>
      </w:pPr>
      <w:r w:rsidRPr="00F30CBF">
        <w:rPr>
          <w:rStyle w:val="FootnoteReference"/>
          <w:sz w:val="20"/>
          <w:szCs w:val="20"/>
        </w:rPr>
        <w:footnoteRef/>
      </w:r>
      <w:r w:rsidRPr="00F30CBF">
        <w:rPr>
          <w:sz w:val="20"/>
          <w:szCs w:val="20"/>
        </w:rPr>
        <w:t xml:space="preserve"> </w:t>
      </w:r>
      <w:proofErr w:type="spellStart"/>
      <w:r w:rsidRPr="00F30CBF">
        <w:rPr>
          <w:sz w:val="20"/>
          <w:szCs w:val="20"/>
        </w:rPr>
        <w:t>Sumedha</w:t>
      </w:r>
      <w:proofErr w:type="spellEnd"/>
      <w:r w:rsidRPr="00F30CBF">
        <w:rPr>
          <w:sz w:val="20"/>
          <w:szCs w:val="20"/>
        </w:rPr>
        <w:t xml:space="preserve"> Pal, “</w:t>
      </w:r>
      <w:r w:rsidRPr="00F30CBF">
        <w:rPr>
          <w:i/>
          <w:iCs/>
          <w:sz w:val="20"/>
          <w:szCs w:val="20"/>
        </w:rPr>
        <w:t>Why Lives and Deaths of Trans Persons Remain Underreported, Undocumented</w:t>
      </w:r>
      <w:r w:rsidRPr="00F30CBF">
        <w:rPr>
          <w:sz w:val="20"/>
          <w:szCs w:val="20"/>
        </w:rPr>
        <w:t xml:space="preserve">,” </w:t>
      </w:r>
      <w:proofErr w:type="spellStart"/>
      <w:r w:rsidRPr="00F30CBF">
        <w:rPr>
          <w:sz w:val="20"/>
          <w:szCs w:val="20"/>
        </w:rPr>
        <w:t>Behanbox</w:t>
      </w:r>
      <w:proofErr w:type="spellEnd"/>
      <w:r w:rsidRPr="00F30CBF">
        <w:rPr>
          <w:sz w:val="20"/>
          <w:szCs w:val="20"/>
        </w:rPr>
        <w:t xml:space="preserve">, Nov. 20, 2023, </w:t>
      </w:r>
      <w:hyperlink r:id="rId44" w:history="1">
        <w:r w:rsidRPr="00F30CBF">
          <w:rPr>
            <w:rStyle w:val="Hyperlink"/>
            <w:color w:val="auto"/>
            <w:sz w:val="20"/>
            <w:szCs w:val="20"/>
            <w:u w:val="none"/>
          </w:rPr>
          <w:t>https://behanbox.com/2023/11/20/why-lives-and-deaths-of-trans-persons-remain-underreported-undocumented/</w:t>
        </w:r>
      </w:hyperlink>
      <w:r w:rsidRPr="00F30CBF">
        <w:rPr>
          <w:sz w:val="20"/>
          <w:szCs w:val="20"/>
        </w:rPr>
        <w:t xml:space="preserve">. </w:t>
      </w:r>
    </w:p>
  </w:footnote>
  <w:footnote w:id="60">
    <w:p w14:paraId="60B17B14" w14:textId="6B39BBF4" w:rsidR="009E508C" w:rsidRPr="00F30CBF" w:rsidRDefault="009E508C">
      <w:pPr>
        <w:pStyle w:val="FootnoteText"/>
        <w:rPr>
          <w:sz w:val="20"/>
          <w:szCs w:val="20"/>
        </w:rPr>
      </w:pPr>
      <w:r w:rsidRPr="00F30CBF">
        <w:rPr>
          <w:rStyle w:val="FootnoteReference"/>
          <w:sz w:val="20"/>
          <w:szCs w:val="20"/>
        </w:rPr>
        <w:footnoteRef/>
      </w:r>
      <w:r w:rsidRPr="00F30CBF">
        <w:rPr>
          <w:sz w:val="20"/>
          <w:szCs w:val="20"/>
        </w:rPr>
        <w:t xml:space="preserve"> United States Department of State,</w:t>
      </w:r>
      <w:r w:rsidRPr="00F30CBF">
        <w:rPr>
          <w:smallCaps/>
          <w:sz w:val="20"/>
          <w:szCs w:val="20"/>
        </w:rPr>
        <w:t xml:space="preserve"> 2022 </w:t>
      </w:r>
      <w:r w:rsidRPr="00F30CBF">
        <w:rPr>
          <w:sz w:val="20"/>
          <w:szCs w:val="20"/>
        </w:rPr>
        <w:t>Country Reports on Human Rights Practices: India</w:t>
      </w:r>
      <w:r w:rsidRPr="00F30CBF">
        <w:rPr>
          <w:smallCaps/>
          <w:sz w:val="20"/>
          <w:szCs w:val="20"/>
        </w:rPr>
        <w:t xml:space="preserve">, </w:t>
      </w:r>
      <w:r w:rsidRPr="00F30CBF">
        <w:rPr>
          <w:sz w:val="20"/>
          <w:szCs w:val="20"/>
        </w:rPr>
        <w:t xml:space="preserve">accessed May 9, 2024, </w:t>
      </w:r>
      <w:hyperlink r:id="rId45" w:history="1">
        <w:r w:rsidRPr="00F30CBF">
          <w:rPr>
            <w:rStyle w:val="Hyperlink"/>
            <w:color w:val="auto"/>
            <w:sz w:val="20"/>
            <w:szCs w:val="20"/>
            <w:u w:val="none"/>
          </w:rPr>
          <w:t>https://www.state.gov/reports/2022-country-reports-on-human-rights-practices/india</w:t>
        </w:r>
      </w:hyperlink>
      <w:r w:rsidRPr="00F30CBF">
        <w:rPr>
          <w:sz w:val="20"/>
          <w:szCs w:val="20"/>
        </w:rPr>
        <w:t xml:space="preserve">. </w:t>
      </w:r>
    </w:p>
  </w:footnote>
  <w:footnote w:id="61">
    <w:p w14:paraId="5F19DA7E" w14:textId="0960322C" w:rsidR="009E508C" w:rsidRPr="00F30CBF" w:rsidRDefault="009E508C">
      <w:pPr>
        <w:pStyle w:val="FootnoteText"/>
        <w:rPr>
          <w:sz w:val="20"/>
          <w:szCs w:val="20"/>
        </w:rPr>
      </w:pPr>
      <w:r w:rsidRPr="00F30CBF">
        <w:rPr>
          <w:rStyle w:val="FootnoteReference"/>
          <w:sz w:val="20"/>
          <w:szCs w:val="20"/>
        </w:rPr>
        <w:footnoteRef/>
      </w:r>
      <w:r w:rsidRPr="00F30CBF">
        <w:rPr>
          <w:sz w:val="20"/>
          <w:szCs w:val="20"/>
        </w:rPr>
        <w:t xml:space="preserve"> United States Department of State</w:t>
      </w:r>
      <w:r w:rsidRPr="00F30CBF">
        <w:rPr>
          <w:smallCaps/>
          <w:sz w:val="20"/>
          <w:szCs w:val="20"/>
        </w:rPr>
        <w:t xml:space="preserve">, 2022 </w:t>
      </w:r>
      <w:r w:rsidRPr="00F30CBF">
        <w:rPr>
          <w:sz w:val="20"/>
          <w:szCs w:val="20"/>
        </w:rPr>
        <w:t>Country Reports on Human Rights Practices: India</w:t>
      </w:r>
      <w:r w:rsidRPr="00F30CBF">
        <w:rPr>
          <w:smallCaps/>
          <w:sz w:val="20"/>
          <w:szCs w:val="20"/>
        </w:rPr>
        <w:t xml:space="preserve">, </w:t>
      </w:r>
      <w:r w:rsidRPr="00F30CBF">
        <w:rPr>
          <w:sz w:val="20"/>
          <w:szCs w:val="20"/>
        </w:rPr>
        <w:t xml:space="preserve">accessed May 9, 2024, </w:t>
      </w:r>
      <w:hyperlink r:id="rId46" w:history="1">
        <w:r w:rsidRPr="00F30CBF">
          <w:rPr>
            <w:rStyle w:val="Hyperlink"/>
            <w:color w:val="auto"/>
            <w:sz w:val="20"/>
            <w:szCs w:val="20"/>
            <w:u w:val="none"/>
          </w:rPr>
          <w:t>https://www.state.gov/reports/2022-country-reports-on-human-rights-practices/india</w:t>
        </w:r>
      </w:hyperlink>
      <w:r w:rsidRPr="00F30CBF">
        <w:rPr>
          <w:sz w:val="20"/>
          <w:szCs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8008FD" w14:textId="77777777" w:rsidR="00804604" w:rsidRDefault="00804604" w:rsidP="00C26130">
    <w:pPr>
      <w:pStyle w:val="Header"/>
      <w:tabs>
        <w:tab w:val="left" w:pos="2700"/>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7B087" w14:textId="537F52F3" w:rsidR="00804604" w:rsidRDefault="002F7A11">
    <w:pPr>
      <w:pStyle w:val="Header"/>
    </w:pPr>
    <w:r>
      <w:rPr>
        <w:noProof/>
      </w:rPr>
      <w:drawing>
        <wp:anchor distT="0" distB="0" distL="114300" distR="114300" simplePos="0" relativeHeight="251658240" behindDoc="1" locked="0" layoutInCell="1" allowOverlap="1" wp14:anchorId="0D691956" wp14:editId="15AAC61F">
          <wp:simplePos x="0" y="0"/>
          <wp:positionH relativeFrom="column">
            <wp:posOffset>1829435</wp:posOffset>
          </wp:positionH>
          <wp:positionV relativeFrom="paragraph">
            <wp:posOffset>-84455</wp:posOffset>
          </wp:positionV>
          <wp:extent cx="2308225" cy="884555"/>
          <wp:effectExtent l="0" t="0" r="0" b="0"/>
          <wp:wrapTight wrapText="bothSides">
            <wp:wrapPolygon edited="0">
              <wp:start x="0" y="0"/>
              <wp:lineTo x="0" y="20933"/>
              <wp:lineTo x="21392" y="20933"/>
              <wp:lineTo x="21392"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8225" cy="88455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522892"/>
    <w:multiLevelType w:val="hybridMultilevel"/>
    <w:tmpl w:val="3C9A600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34E5838"/>
    <w:multiLevelType w:val="hybridMultilevel"/>
    <w:tmpl w:val="11FAF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4" w15:restartNumberingAfterBreak="0">
    <w:nsid w:val="1D5153BE"/>
    <w:multiLevelType w:val="hybridMultilevel"/>
    <w:tmpl w:val="20885664"/>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6861E7B"/>
    <w:multiLevelType w:val="hybridMultilevel"/>
    <w:tmpl w:val="FC6425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96E131E"/>
    <w:multiLevelType w:val="hybridMultilevel"/>
    <w:tmpl w:val="54024A38"/>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8" w15:restartNumberingAfterBreak="0">
    <w:nsid w:val="2CFDA08C"/>
    <w:multiLevelType w:val="hybridMultilevel"/>
    <w:tmpl w:val="A3103688"/>
    <w:lvl w:ilvl="0" w:tplc="71B84056">
      <w:start w:val="1"/>
      <w:numFmt w:val="upperRoman"/>
      <w:lvlText w:val="%1."/>
      <w:lvlJc w:val="left"/>
      <w:pPr>
        <w:ind w:left="1080" w:hanging="720"/>
      </w:pPr>
      <w:rPr>
        <w:b/>
        <w:bCs/>
        <w:i w:val="0"/>
        <w:iCs w:val="0"/>
      </w:rPr>
    </w:lvl>
    <w:lvl w:ilvl="1" w:tplc="0409000F">
      <w:start w:val="1"/>
      <w:numFmt w:val="decimal"/>
      <w:lvlText w:val="%2."/>
      <w:lvlJc w:val="left"/>
      <w:pPr>
        <w:ind w:left="1440" w:hanging="360"/>
      </w:pPr>
    </w:lvl>
    <w:lvl w:ilvl="2" w:tplc="89D2DEF0">
      <w:start w:val="1"/>
      <w:numFmt w:val="lowerRoman"/>
      <w:lvlText w:val="%3."/>
      <w:lvlJc w:val="right"/>
      <w:pPr>
        <w:ind w:left="2160" w:hanging="180"/>
      </w:pPr>
    </w:lvl>
    <w:lvl w:ilvl="3" w:tplc="26CE3412">
      <w:start w:val="1"/>
      <w:numFmt w:val="decimal"/>
      <w:lvlText w:val="%4."/>
      <w:lvlJc w:val="left"/>
      <w:pPr>
        <w:ind w:left="2880" w:hanging="360"/>
      </w:pPr>
    </w:lvl>
    <w:lvl w:ilvl="4" w:tplc="EB2C9D70">
      <w:start w:val="1"/>
      <w:numFmt w:val="lowerLetter"/>
      <w:lvlText w:val="%5."/>
      <w:lvlJc w:val="left"/>
      <w:pPr>
        <w:ind w:left="3600" w:hanging="360"/>
      </w:pPr>
    </w:lvl>
    <w:lvl w:ilvl="5" w:tplc="7C72B396">
      <w:start w:val="1"/>
      <w:numFmt w:val="lowerRoman"/>
      <w:lvlText w:val="%6."/>
      <w:lvlJc w:val="right"/>
      <w:pPr>
        <w:ind w:left="4320" w:hanging="180"/>
      </w:pPr>
    </w:lvl>
    <w:lvl w:ilvl="6" w:tplc="15EC5C0A">
      <w:start w:val="1"/>
      <w:numFmt w:val="decimal"/>
      <w:lvlText w:val="%7."/>
      <w:lvlJc w:val="left"/>
      <w:pPr>
        <w:ind w:left="5040" w:hanging="360"/>
      </w:pPr>
    </w:lvl>
    <w:lvl w:ilvl="7" w:tplc="7350625A">
      <w:start w:val="1"/>
      <w:numFmt w:val="lowerLetter"/>
      <w:lvlText w:val="%8."/>
      <w:lvlJc w:val="left"/>
      <w:pPr>
        <w:ind w:left="5760" w:hanging="360"/>
      </w:pPr>
    </w:lvl>
    <w:lvl w:ilvl="8" w:tplc="A702810E">
      <w:start w:val="1"/>
      <w:numFmt w:val="lowerRoman"/>
      <w:lvlText w:val="%9."/>
      <w:lvlJc w:val="right"/>
      <w:pPr>
        <w:ind w:left="6480" w:hanging="180"/>
      </w:pPr>
    </w:lvl>
  </w:abstractNum>
  <w:abstractNum w:abstractNumId="9"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2FF2375E"/>
    <w:multiLevelType w:val="hybridMultilevel"/>
    <w:tmpl w:val="761EF46A"/>
    <w:lvl w:ilvl="0" w:tplc="D91C94E4">
      <w:start w:val="1"/>
      <w:numFmt w:val="decimal"/>
      <w:lvlText w:val="%1."/>
      <w:lvlJc w:val="left"/>
      <w:pPr>
        <w:ind w:left="450" w:hanging="360"/>
      </w:pPr>
    </w:lvl>
    <w:lvl w:ilvl="1" w:tplc="88106186">
      <w:start w:val="1"/>
      <w:numFmt w:val="bullet"/>
      <w:lvlText w:val=""/>
      <w:lvlJc w:val="left"/>
      <w:pPr>
        <w:ind w:left="1440" w:hanging="360"/>
      </w:pPr>
      <w:rPr>
        <w:rFonts w:ascii="Symbol" w:hAnsi="Symbol" w:hint="default"/>
      </w:rPr>
    </w:lvl>
    <w:lvl w:ilvl="2" w:tplc="EF88B95E">
      <w:start w:val="1"/>
      <w:numFmt w:val="lowerRoman"/>
      <w:lvlText w:val="%3."/>
      <w:lvlJc w:val="right"/>
      <w:pPr>
        <w:ind w:left="2160" w:hanging="180"/>
      </w:pPr>
    </w:lvl>
    <w:lvl w:ilvl="3" w:tplc="EA6CD4AA">
      <w:start w:val="1"/>
      <w:numFmt w:val="decimal"/>
      <w:lvlText w:val="%4."/>
      <w:lvlJc w:val="left"/>
      <w:pPr>
        <w:ind w:left="2880" w:hanging="360"/>
      </w:pPr>
    </w:lvl>
    <w:lvl w:ilvl="4" w:tplc="17EE8148">
      <w:start w:val="1"/>
      <w:numFmt w:val="lowerLetter"/>
      <w:lvlText w:val="%5."/>
      <w:lvlJc w:val="left"/>
      <w:pPr>
        <w:ind w:left="3600" w:hanging="360"/>
      </w:pPr>
    </w:lvl>
    <w:lvl w:ilvl="5" w:tplc="185E0DEA">
      <w:start w:val="1"/>
      <w:numFmt w:val="lowerRoman"/>
      <w:lvlText w:val="%6."/>
      <w:lvlJc w:val="right"/>
      <w:pPr>
        <w:ind w:left="4320" w:hanging="180"/>
      </w:pPr>
    </w:lvl>
    <w:lvl w:ilvl="6" w:tplc="146E1A76">
      <w:start w:val="1"/>
      <w:numFmt w:val="decimal"/>
      <w:lvlText w:val="%7."/>
      <w:lvlJc w:val="left"/>
      <w:pPr>
        <w:ind w:left="5040" w:hanging="360"/>
      </w:pPr>
    </w:lvl>
    <w:lvl w:ilvl="7" w:tplc="A22A8C00">
      <w:start w:val="1"/>
      <w:numFmt w:val="lowerLetter"/>
      <w:lvlText w:val="%8."/>
      <w:lvlJc w:val="left"/>
      <w:pPr>
        <w:ind w:left="5760" w:hanging="360"/>
      </w:pPr>
    </w:lvl>
    <w:lvl w:ilvl="8" w:tplc="63B454EE">
      <w:start w:val="1"/>
      <w:numFmt w:val="lowerRoman"/>
      <w:lvlText w:val="%9."/>
      <w:lvlJc w:val="right"/>
      <w:pPr>
        <w:ind w:left="6480" w:hanging="180"/>
      </w:pPr>
    </w:lvl>
  </w:abstractNum>
  <w:abstractNum w:abstractNumId="11" w15:restartNumberingAfterBreak="0">
    <w:nsid w:val="331433D9"/>
    <w:multiLevelType w:val="hybridMultilevel"/>
    <w:tmpl w:val="80FE36A8"/>
    <w:lvl w:ilvl="0" w:tplc="04090013">
      <w:start w:val="1"/>
      <w:numFmt w:val="upp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F1974DC"/>
    <w:multiLevelType w:val="hybridMultilevel"/>
    <w:tmpl w:val="F3F0E18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4FC758A9"/>
    <w:multiLevelType w:val="hybridMultilevel"/>
    <w:tmpl w:val="761EF46A"/>
    <w:lvl w:ilvl="0" w:tplc="FFFFFFFF">
      <w:start w:val="1"/>
      <w:numFmt w:val="decimal"/>
      <w:lvlText w:val="%1."/>
      <w:lvlJc w:val="left"/>
      <w:pPr>
        <w:ind w:left="450" w:hanging="360"/>
      </w:pPr>
    </w:lvl>
    <w:lvl w:ilvl="1" w:tplc="FFFFFFFF">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5"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6325586E"/>
    <w:multiLevelType w:val="hybridMultilevel"/>
    <w:tmpl w:val="7D6293C4"/>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7" w15:restartNumberingAfterBreak="0">
    <w:nsid w:val="6582663B"/>
    <w:multiLevelType w:val="hybridMultilevel"/>
    <w:tmpl w:val="9B4ADF38"/>
    <w:lvl w:ilvl="0" w:tplc="ED06A136">
      <w:start w:val="1"/>
      <w:numFmt w:val="upperRoman"/>
      <w:pStyle w:val="Subtitle"/>
      <w:lvlText w:val="%1."/>
      <w:lvlJc w:val="right"/>
      <w:pPr>
        <w:ind w:left="720" w:hanging="360"/>
      </w:pPr>
      <w:rPr>
        <w:b/>
        <w:bCs/>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67D1B3D"/>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C6E7502"/>
    <w:multiLevelType w:val="hybridMultilevel"/>
    <w:tmpl w:val="4DF41DE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915969075">
    <w:abstractNumId w:val="9"/>
  </w:num>
  <w:num w:numId="2" w16cid:durableId="2029719975">
    <w:abstractNumId w:val="6"/>
  </w:num>
  <w:num w:numId="3" w16cid:durableId="1539776804">
    <w:abstractNumId w:val="15"/>
  </w:num>
  <w:num w:numId="4" w16cid:durableId="36367969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55686896">
    <w:abstractNumId w:val="12"/>
  </w:num>
  <w:num w:numId="6" w16cid:durableId="594171688">
    <w:abstractNumId w:val="1"/>
  </w:num>
  <w:num w:numId="7" w16cid:durableId="1938251912">
    <w:abstractNumId w:val="4"/>
  </w:num>
  <w:num w:numId="8" w16cid:durableId="1784962959">
    <w:abstractNumId w:val="18"/>
  </w:num>
  <w:num w:numId="9" w16cid:durableId="1023946614">
    <w:abstractNumId w:val="2"/>
  </w:num>
  <w:num w:numId="10" w16cid:durableId="191308430">
    <w:abstractNumId w:val="17"/>
  </w:num>
  <w:num w:numId="11" w16cid:durableId="507134447">
    <w:abstractNumId w:val="17"/>
    <w:lvlOverride w:ilvl="0">
      <w:startOverride w:val="1"/>
    </w:lvlOverride>
  </w:num>
  <w:num w:numId="12" w16cid:durableId="1273436670">
    <w:abstractNumId w:val="17"/>
    <w:lvlOverride w:ilvl="0">
      <w:startOverride w:val="1"/>
    </w:lvlOverride>
  </w:num>
  <w:num w:numId="13" w16cid:durableId="1660844674">
    <w:abstractNumId w:val="17"/>
  </w:num>
  <w:num w:numId="14" w16cid:durableId="1527251717">
    <w:abstractNumId w:val="17"/>
    <w:lvlOverride w:ilvl="0">
      <w:startOverride w:val="1"/>
    </w:lvlOverride>
  </w:num>
  <w:num w:numId="15" w16cid:durableId="1991788222">
    <w:abstractNumId w:val="5"/>
  </w:num>
  <w:num w:numId="16" w16cid:durableId="1823933568">
    <w:abstractNumId w:val="10"/>
  </w:num>
  <w:num w:numId="17" w16cid:durableId="76565230">
    <w:abstractNumId w:val="8"/>
  </w:num>
  <w:num w:numId="18" w16cid:durableId="1994292214">
    <w:abstractNumId w:val="16"/>
  </w:num>
  <w:num w:numId="19" w16cid:durableId="287710100">
    <w:abstractNumId w:val="13"/>
  </w:num>
  <w:num w:numId="20" w16cid:durableId="342319303">
    <w:abstractNumId w:val="0"/>
  </w:num>
  <w:num w:numId="21" w16cid:durableId="714886326">
    <w:abstractNumId w:val="7"/>
  </w:num>
  <w:num w:numId="22" w16cid:durableId="1057163838">
    <w:abstractNumId w:val="17"/>
  </w:num>
  <w:num w:numId="23" w16cid:durableId="2093504368">
    <w:abstractNumId w:val="11"/>
  </w:num>
  <w:num w:numId="24" w16cid:durableId="573857262">
    <w:abstractNumId w:val="17"/>
  </w:num>
  <w:num w:numId="25" w16cid:durableId="41173714">
    <w:abstractNumId w:val="14"/>
  </w:num>
  <w:num w:numId="26" w16cid:durableId="156795487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87"/>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MS_Work10" w:val="0~ADMINISTRATION||1~7162703||2~2||3~India_Spiro Draft||5~RSPIRO||6~RSPIRO||7~WORDX||8~DOC||10~4/25/2024 12:31:49 AM||11~4/24/2024 1:35:15 AM||13~756315||14~False||17~public||18~RSPIRO||19~RSPIRO||21~True||22~True||23~False||25~380780||26~208414||53~58||54~9999||60~Advocates for Human Rights (The)||61~Report on LGBTQ+ Rights in India for UN Human Rights Committ||72~Pro Bono||73~Non-Earning||74~Spiro, Robert||75~Spiro, Robert||76~WORD 2007||77~Documents||82~docx||85~4/25/2024 12:31:49 AM||99~1/1/0001 12:00:00 AM||106~C:\Users\RSpiro\AppData\Roaming\iManage\Work\Recent\NA 208414 - Report on LGBTQ+ Rights in India for UN Human Rights Committ\India_Spiro Draft(7162703.2).docx||107~1/1/0001 12:00:00 AM||109~4/25/2024 4:42:48 PM||113~4/24/2024 1:35:13 AM||114~4/24/2024 11:29:50 PM||124~False||"/>
    <w:docVar w:name="ForteTempFile" w:val="C:\Users\vswad\AppData\Local\Temp\d8d3c99d-5ecf-457d-9798-18faf3097e6b.docx"/>
    <w:docVar w:name="zzmp10LastTrailerInserted" w:val="^`~#mp!@⌘⌗P#⌈┖┬38@|zśm}Ù⌌“H⌒G÷§p®G lX½⌎)⌆hX!Ò½í⌘“⌠hD⌇áÝ@·vbè§Ì‡gnïŕC;Tµ©⌄/¼”QüŒiZY⌙2SUë²‹tv⌑ß=èGæR«\!ÖÞ()2=P³•%×®―Õ2ìXÿ«⌌ÂP:9q=£Î/kóN»Æ0⌋¶‮*)⌠ŕ»ƒ¿©⌑p·]~†S!ſv“XWeÆçI&gt;⌝ó⌂⌐_IÈáÓkÏ⌞;⌃⌘Çï_EÕ⌗⌕⌍ÍºO98à^ZJ⁁EPJ8011"/>
    <w:docVar w:name="zzmp10LastTrailerInserted_1078" w:val="^`~#mp!@⌘⌗P#⌈┖┬38@|zśm}Ù⌌“H⌒G÷§p®G lX½⌎)⌆hX!Ò½í⌘“⌠hD⌇áÝ@·vbè§Ì‡gnïŕC;Tµ©⌄/¼”QüŒiZY⌙2SUë²‹tv⌑ß=èGæR«\!ÖÞ()2=P³•%×®―Õ2ìXÿ«⌌ÂP:9q=£Î/kóN»Æ0⌋¶‮*)⌠ŕ»ƒ¿©⌑p·]~†S!ſv“XWeÆçI&gt;⌝ó⌂⌐_IÈáÓkÏ⌞;⌃⌘Çï_EÕ⌗⌕⌍ÍºO98à^ZJ⁁EPJ8011"/>
    <w:docVar w:name="zzmp10mSEGsValidated" w:val="1"/>
    <w:docVar w:name="zzmpCompatibilityMode" w:val="15"/>
  </w:docVars>
  <w:rsids>
    <w:rsidRoot w:val="00DC41C9"/>
    <w:rsid w:val="00006FF3"/>
    <w:rsid w:val="000140FB"/>
    <w:rsid w:val="00015A4E"/>
    <w:rsid w:val="00022006"/>
    <w:rsid w:val="00022700"/>
    <w:rsid w:val="00022B81"/>
    <w:rsid w:val="00025419"/>
    <w:rsid w:val="00030781"/>
    <w:rsid w:val="00030F59"/>
    <w:rsid w:val="000337AA"/>
    <w:rsid w:val="000342B6"/>
    <w:rsid w:val="00035E6B"/>
    <w:rsid w:val="000366F7"/>
    <w:rsid w:val="00037730"/>
    <w:rsid w:val="0004190D"/>
    <w:rsid w:val="000420DE"/>
    <w:rsid w:val="00044055"/>
    <w:rsid w:val="00044729"/>
    <w:rsid w:val="00044A50"/>
    <w:rsid w:val="00046377"/>
    <w:rsid w:val="00046ABC"/>
    <w:rsid w:val="00046BF6"/>
    <w:rsid w:val="000553E2"/>
    <w:rsid w:val="00055F5F"/>
    <w:rsid w:val="00056CF5"/>
    <w:rsid w:val="00061221"/>
    <w:rsid w:val="00063194"/>
    <w:rsid w:val="000633DC"/>
    <w:rsid w:val="00064C30"/>
    <w:rsid w:val="000675B1"/>
    <w:rsid w:val="000718ED"/>
    <w:rsid w:val="000734A4"/>
    <w:rsid w:val="00075002"/>
    <w:rsid w:val="00077823"/>
    <w:rsid w:val="000814CC"/>
    <w:rsid w:val="0008238F"/>
    <w:rsid w:val="00083A7E"/>
    <w:rsid w:val="00085935"/>
    <w:rsid w:val="000878C2"/>
    <w:rsid w:val="00090339"/>
    <w:rsid w:val="00090751"/>
    <w:rsid w:val="000907F8"/>
    <w:rsid w:val="000910FC"/>
    <w:rsid w:val="00091201"/>
    <w:rsid w:val="0009644E"/>
    <w:rsid w:val="000973D3"/>
    <w:rsid w:val="00097CF8"/>
    <w:rsid w:val="000A1F17"/>
    <w:rsid w:val="000A6380"/>
    <w:rsid w:val="000A66B8"/>
    <w:rsid w:val="000A684D"/>
    <w:rsid w:val="000B042D"/>
    <w:rsid w:val="000B3C67"/>
    <w:rsid w:val="000B4DB3"/>
    <w:rsid w:val="000B7CB2"/>
    <w:rsid w:val="000C088D"/>
    <w:rsid w:val="000C3749"/>
    <w:rsid w:val="000C6340"/>
    <w:rsid w:val="000C6E9E"/>
    <w:rsid w:val="000C7F63"/>
    <w:rsid w:val="000D0680"/>
    <w:rsid w:val="000D11CB"/>
    <w:rsid w:val="000D15B9"/>
    <w:rsid w:val="000E0DDA"/>
    <w:rsid w:val="000E1DDC"/>
    <w:rsid w:val="000F0CC7"/>
    <w:rsid w:val="000F1E67"/>
    <w:rsid w:val="000F56E0"/>
    <w:rsid w:val="000F7344"/>
    <w:rsid w:val="001008D1"/>
    <w:rsid w:val="00105E4A"/>
    <w:rsid w:val="00111994"/>
    <w:rsid w:val="00112919"/>
    <w:rsid w:val="0011732F"/>
    <w:rsid w:val="001215B4"/>
    <w:rsid w:val="00135CFD"/>
    <w:rsid w:val="00136178"/>
    <w:rsid w:val="00136514"/>
    <w:rsid w:val="00137229"/>
    <w:rsid w:val="00143423"/>
    <w:rsid w:val="00143553"/>
    <w:rsid w:val="00143C63"/>
    <w:rsid w:val="00147C19"/>
    <w:rsid w:val="00147EA4"/>
    <w:rsid w:val="001510A3"/>
    <w:rsid w:val="00155FA2"/>
    <w:rsid w:val="001565F9"/>
    <w:rsid w:val="00160BDA"/>
    <w:rsid w:val="00161151"/>
    <w:rsid w:val="0016154E"/>
    <w:rsid w:val="001615BF"/>
    <w:rsid w:val="001616CC"/>
    <w:rsid w:val="001620B8"/>
    <w:rsid w:val="00163B22"/>
    <w:rsid w:val="001703CD"/>
    <w:rsid w:val="00181B2A"/>
    <w:rsid w:val="00181EF5"/>
    <w:rsid w:val="0018642B"/>
    <w:rsid w:val="0019150A"/>
    <w:rsid w:val="00191D04"/>
    <w:rsid w:val="001934E8"/>
    <w:rsid w:val="0019364D"/>
    <w:rsid w:val="001A3656"/>
    <w:rsid w:val="001A59C1"/>
    <w:rsid w:val="001A5ED5"/>
    <w:rsid w:val="001A7AF4"/>
    <w:rsid w:val="001B1AC4"/>
    <w:rsid w:val="001B27D7"/>
    <w:rsid w:val="001B46C2"/>
    <w:rsid w:val="001B7458"/>
    <w:rsid w:val="001B799A"/>
    <w:rsid w:val="001C42EB"/>
    <w:rsid w:val="001C7800"/>
    <w:rsid w:val="001D0A01"/>
    <w:rsid w:val="001D1653"/>
    <w:rsid w:val="001D27B7"/>
    <w:rsid w:val="001D627A"/>
    <w:rsid w:val="001E1028"/>
    <w:rsid w:val="001E2320"/>
    <w:rsid w:val="001E3750"/>
    <w:rsid w:val="001E707C"/>
    <w:rsid w:val="001F0F4C"/>
    <w:rsid w:val="001F17A7"/>
    <w:rsid w:val="001F4358"/>
    <w:rsid w:val="001F4EEC"/>
    <w:rsid w:val="002013DA"/>
    <w:rsid w:val="002054E6"/>
    <w:rsid w:val="0020792C"/>
    <w:rsid w:val="00211D66"/>
    <w:rsid w:val="00212F50"/>
    <w:rsid w:val="0021617C"/>
    <w:rsid w:val="0021688E"/>
    <w:rsid w:val="00220D48"/>
    <w:rsid w:val="0022601D"/>
    <w:rsid w:val="00233587"/>
    <w:rsid w:val="00236F66"/>
    <w:rsid w:val="00237C8C"/>
    <w:rsid w:val="00241540"/>
    <w:rsid w:val="00242F64"/>
    <w:rsid w:val="002439A3"/>
    <w:rsid w:val="00243B8E"/>
    <w:rsid w:val="00243E14"/>
    <w:rsid w:val="00243FD1"/>
    <w:rsid w:val="00251562"/>
    <w:rsid w:val="002537C9"/>
    <w:rsid w:val="00253985"/>
    <w:rsid w:val="00255789"/>
    <w:rsid w:val="0025729C"/>
    <w:rsid w:val="00257F28"/>
    <w:rsid w:val="00272519"/>
    <w:rsid w:val="002734D9"/>
    <w:rsid w:val="00273933"/>
    <w:rsid w:val="002758A5"/>
    <w:rsid w:val="00282223"/>
    <w:rsid w:val="00286379"/>
    <w:rsid w:val="00287F86"/>
    <w:rsid w:val="00291BE8"/>
    <w:rsid w:val="00292652"/>
    <w:rsid w:val="00296736"/>
    <w:rsid w:val="002A0797"/>
    <w:rsid w:val="002A3466"/>
    <w:rsid w:val="002A3E59"/>
    <w:rsid w:val="002A4838"/>
    <w:rsid w:val="002A6574"/>
    <w:rsid w:val="002A7BB9"/>
    <w:rsid w:val="002B0690"/>
    <w:rsid w:val="002B3B2B"/>
    <w:rsid w:val="002C577B"/>
    <w:rsid w:val="002C57BC"/>
    <w:rsid w:val="002C72D3"/>
    <w:rsid w:val="002D292E"/>
    <w:rsid w:val="002D2C64"/>
    <w:rsid w:val="002D36C6"/>
    <w:rsid w:val="002E34EA"/>
    <w:rsid w:val="002E46A1"/>
    <w:rsid w:val="002F4B6F"/>
    <w:rsid w:val="002F4E3A"/>
    <w:rsid w:val="002F7A11"/>
    <w:rsid w:val="003000AA"/>
    <w:rsid w:val="00300921"/>
    <w:rsid w:val="003012A2"/>
    <w:rsid w:val="003027E7"/>
    <w:rsid w:val="0030787B"/>
    <w:rsid w:val="00307D2F"/>
    <w:rsid w:val="00312CDA"/>
    <w:rsid w:val="00315C53"/>
    <w:rsid w:val="00316548"/>
    <w:rsid w:val="00317648"/>
    <w:rsid w:val="00321F5A"/>
    <w:rsid w:val="00322CB1"/>
    <w:rsid w:val="00324F84"/>
    <w:rsid w:val="00326EE7"/>
    <w:rsid w:val="00330250"/>
    <w:rsid w:val="003331B2"/>
    <w:rsid w:val="003346A0"/>
    <w:rsid w:val="003355BB"/>
    <w:rsid w:val="003369A6"/>
    <w:rsid w:val="00340484"/>
    <w:rsid w:val="00344140"/>
    <w:rsid w:val="00344556"/>
    <w:rsid w:val="003452ED"/>
    <w:rsid w:val="003458E6"/>
    <w:rsid w:val="00345B90"/>
    <w:rsid w:val="00345DB0"/>
    <w:rsid w:val="00347AA9"/>
    <w:rsid w:val="00350108"/>
    <w:rsid w:val="00350ABD"/>
    <w:rsid w:val="003511EC"/>
    <w:rsid w:val="0035146A"/>
    <w:rsid w:val="00351A02"/>
    <w:rsid w:val="00351B1C"/>
    <w:rsid w:val="0035378E"/>
    <w:rsid w:val="0035424D"/>
    <w:rsid w:val="00362FE4"/>
    <w:rsid w:val="00363230"/>
    <w:rsid w:val="0037027C"/>
    <w:rsid w:val="00370C43"/>
    <w:rsid w:val="00370C9C"/>
    <w:rsid w:val="00372196"/>
    <w:rsid w:val="00373EAC"/>
    <w:rsid w:val="00374FD8"/>
    <w:rsid w:val="00376E32"/>
    <w:rsid w:val="00383143"/>
    <w:rsid w:val="003843DA"/>
    <w:rsid w:val="00390AC3"/>
    <w:rsid w:val="003937C6"/>
    <w:rsid w:val="00394C74"/>
    <w:rsid w:val="00395406"/>
    <w:rsid w:val="00397119"/>
    <w:rsid w:val="003A039A"/>
    <w:rsid w:val="003A0A00"/>
    <w:rsid w:val="003A0BC2"/>
    <w:rsid w:val="003A1229"/>
    <w:rsid w:val="003A1D3E"/>
    <w:rsid w:val="003A1F18"/>
    <w:rsid w:val="003A1F57"/>
    <w:rsid w:val="003A2A96"/>
    <w:rsid w:val="003A33A1"/>
    <w:rsid w:val="003A4ED2"/>
    <w:rsid w:val="003A5DAF"/>
    <w:rsid w:val="003A6F6D"/>
    <w:rsid w:val="003A76A4"/>
    <w:rsid w:val="003B132D"/>
    <w:rsid w:val="003B4B41"/>
    <w:rsid w:val="003B4E7A"/>
    <w:rsid w:val="003B77D4"/>
    <w:rsid w:val="003C1E49"/>
    <w:rsid w:val="003C60FE"/>
    <w:rsid w:val="003C629F"/>
    <w:rsid w:val="003C6505"/>
    <w:rsid w:val="003D0DD3"/>
    <w:rsid w:val="003D2021"/>
    <w:rsid w:val="003D457B"/>
    <w:rsid w:val="003D608F"/>
    <w:rsid w:val="003D6CBB"/>
    <w:rsid w:val="003D7D9F"/>
    <w:rsid w:val="003E216A"/>
    <w:rsid w:val="003E635A"/>
    <w:rsid w:val="003E6A6D"/>
    <w:rsid w:val="003F069B"/>
    <w:rsid w:val="003F1A8D"/>
    <w:rsid w:val="003F296E"/>
    <w:rsid w:val="003F3B4B"/>
    <w:rsid w:val="00401C21"/>
    <w:rsid w:val="00402559"/>
    <w:rsid w:val="004026E5"/>
    <w:rsid w:val="00403E9E"/>
    <w:rsid w:val="00403FF5"/>
    <w:rsid w:val="0040477D"/>
    <w:rsid w:val="004076CD"/>
    <w:rsid w:val="00407F4C"/>
    <w:rsid w:val="004131A9"/>
    <w:rsid w:val="004169BD"/>
    <w:rsid w:val="00417CE5"/>
    <w:rsid w:val="004262BB"/>
    <w:rsid w:val="00430A63"/>
    <w:rsid w:val="00431D1D"/>
    <w:rsid w:val="00432135"/>
    <w:rsid w:val="004338CF"/>
    <w:rsid w:val="0043529F"/>
    <w:rsid w:val="0044326E"/>
    <w:rsid w:val="00445327"/>
    <w:rsid w:val="00445B39"/>
    <w:rsid w:val="004474B2"/>
    <w:rsid w:val="0044791D"/>
    <w:rsid w:val="00450118"/>
    <w:rsid w:val="0045027A"/>
    <w:rsid w:val="00450405"/>
    <w:rsid w:val="00453314"/>
    <w:rsid w:val="00453420"/>
    <w:rsid w:val="00455980"/>
    <w:rsid w:val="004560A0"/>
    <w:rsid w:val="004613F6"/>
    <w:rsid w:val="0047190F"/>
    <w:rsid w:val="004719DB"/>
    <w:rsid w:val="00473282"/>
    <w:rsid w:val="00476CC4"/>
    <w:rsid w:val="0048405F"/>
    <w:rsid w:val="004866AE"/>
    <w:rsid w:val="0048729E"/>
    <w:rsid w:val="00490217"/>
    <w:rsid w:val="00491803"/>
    <w:rsid w:val="0049322C"/>
    <w:rsid w:val="004967ED"/>
    <w:rsid w:val="00496BA8"/>
    <w:rsid w:val="004A17D9"/>
    <w:rsid w:val="004A284F"/>
    <w:rsid w:val="004A4C4F"/>
    <w:rsid w:val="004A5048"/>
    <w:rsid w:val="004A5B01"/>
    <w:rsid w:val="004A5EFE"/>
    <w:rsid w:val="004A70FE"/>
    <w:rsid w:val="004A7D93"/>
    <w:rsid w:val="004A7FF9"/>
    <w:rsid w:val="004B1E4E"/>
    <w:rsid w:val="004B4046"/>
    <w:rsid w:val="004B4CAF"/>
    <w:rsid w:val="004B545D"/>
    <w:rsid w:val="004B73AF"/>
    <w:rsid w:val="004B7964"/>
    <w:rsid w:val="004C0094"/>
    <w:rsid w:val="004C3DD1"/>
    <w:rsid w:val="004C4046"/>
    <w:rsid w:val="004C5547"/>
    <w:rsid w:val="004D1874"/>
    <w:rsid w:val="004D2568"/>
    <w:rsid w:val="004D2E7B"/>
    <w:rsid w:val="004D2F44"/>
    <w:rsid w:val="004D3EE9"/>
    <w:rsid w:val="004D51DD"/>
    <w:rsid w:val="004D6FE0"/>
    <w:rsid w:val="004E07E5"/>
    <w:rsid w:val="004E150B"/>
    <w:rsid w:val="004E2BF8"/>
    <w:rsid w:val="004E2EBC"/>
    <w:rsid w:val="004E3ADB"/>
    <w:rsid w:val="004E4686"/>
    <w:rsid w:val="004E7176"/>
    <w:rsid w:val="004E783D"/>
    <w:rsid w:val="004F063C"/>
    <w:rsid w:val="004F2465"/>
    <w:rsid w:val="004F334D"/>
    <w:rsid w:val="004F34E5"/>
    <w:rsid w:val="004F37D7"/>
    <w:rsid w:val="004F71FB"/>
    <w:rsid w:val="00502F59"/>
    <w:rsid w:val="005052C7"/>
    <w:rsid w:val="00512A03"/>
    <w:rsid w:val="005132BB"/>
    <w:rsid w:val="00513EFD"/>
    <w:rsid w:val="00514814"/>
    <w:rsid w:val="0051494C"/>
    <w:rsid w:val="00515E1E"/>
    <w:rsid w:val="00516227"/>
    <w:rsid w:val="00520B4E"/>
    <w:rsid w:val="00524166"/>
    <w:rsid w:val="00524C18"/>
    <w:rsid w:val="005276E6"/>
    <w:rsid w:val="005336C2"/>
    <w:rsid w:val="00536867"/>
    <w:rsid w:val="005403E3"/>
    <w:rsid w:val="0055314C"/>
    <w:rsid w:val="005539D1"/>
    <w:rsid w:val="0055461C"/>
    <w:rsid w:val="005572AF"/>
    <w:rsid w:val="00560D1C"/>
    <w:rsid w:val="00562F03"/>
    <w:rsid w:val="00565EAA"/>
    <w:rsid w:val="00567513"/>
    <w:rsid w:val="00567887"/>
    <w:rsid w:val="00567FD1"/>
    <w:rsid w:val="00571EF6"/>
    <w:rsid w:val="005720E7"/>
    <w:rsid w:val="00572203"/>
    <w:rsid w:val="005722CB"/>
    <w:rsid w:val="005733AF"/>
    <w:rsid w:val="00581883"/>
    <w:rsid w:val="0059179C"/>
    <w:rsid w:val="0059239D"/>
    <w:rsid w:val="00592764"/>
    <w:rsid w:val="0059339A"/>
    <w:rsid w:val="0059605A"/>
    <w:rsid w:val="0059754B"/>
    <w:rsid w:val="005A2BB9"/>
    <w:rsid w:val="005B0C1B"/>
    <w:rsid w:val="005B2442"/>
    <w:rsid w:val="005C183B"/>
    <w:rsid w:val="005C58B6"/>
    <w:rsid w:val="005C5A25"/>
    <w:rsid w:val="005C5BF7"/>
    <w:rsid w:val="005D08BA"/>
    <w:rsid w:val="005D2C29"/>
    <w:rsid w:val="005D31A8"/>
    <w:rsid w:val="005D4EE6"/>
    <w:rsid w:val="005D5F82"/>
    <w:rsid w:val="005D6E6E"/>
    <w:rsid w:val="005E0B7F"/>
    <w:rsid w:val="005E645E"/>
    <w:rsid w:val="005F2A19"/>
    <w:rsid w:val="005F4D66"/>
    <w:rsid w:val="0060568A"/>
    <w:rsid w:val="00605B20"/>
    <w:rsid w:val="0060622C"/>
    <w:rsid w:val="00610BA6"/>
    <w:rsid w:val="00610FCD"/>
    <w:rsid w:val="006164F5"/>
    <w:rsid w:val="00617014"/>
    <w:rsid w:val="0061778F"/>
    <w:rsid w:val="00617C43"/>
    <w:rsid w:val="0062199F"/>
    <w:rsid w:val="00621DA2"/>
    <w:rsid w:val="00623178"/>
    <w:rsid w:val="00624A10"/>
    <w:rsid w:val="00625A86"/>
    <w:rsid w:val="00626C39"/>
    <w:rsid w:val="006270B0"/>
    <w:rsid w:val="00631DBD"/>
    <w:rsid w:val="00634A81"/>
    <w:rsid w:val="00640CC7"/>
    <w:rsid w:val="00641FED"/>
    <w:rsid w:val="00643D7A"/>
    <w:rsid w:val="0064537B"/>
    <w:rsid w:val="00646D29"/>
    <w:rsid w:val="00647D1D"/>
    <w:rsid w:val="0065080D"/>
    <w:rsid w:val="00652711"/>
    <w:rsid w:val="00656AF4"/>
    <w:rsid w:val="006624F1"/>
    <w:rsid w:val="00663112"/>
    <w:rsid w:val="0066318F"/>
    <w:rsid w:val="006640B5"/>
    <w:rsid w:val="00665313"/>
    <w:rsid w:val="00665CA1"/>
    <w:rsid w:val="00670384"/>
    <w:rsid w:val="00687840"/>
    <w:rsid w:val="006927DD"/>
    <w:rsid w:val="0069584D"/>
    <w:rsid w:val="006A3392"/>
    <w:rsid w:val="006A6127"/>
    <w:rsid w:val="006B426D"/>
    <w:rsid w:val="006B539B"/>
    <w:rsid w:val="006B6EAB"/>
    <w:rsid w:val="006B7B89"/>
    <w:rsid w:val="006B7D67"/>
    <w:rsid w:val="006C278E"/>
    <w:rsid w:val="006C542D"/>
    <w:rsid w:val="006C5B58"/>
    <w:rsid w:val="006C773E"/>
    <w:rsid w:val="006D39C4"/>
    <w:rsid w:val="006D4589"/>
    <w:rsid w:val="006E059D"/>
    <w:rsid w:val="006E07B1"/>
    <w:rsid w:val="006E7D5B"/>
    <w:rsid w:val="006F1519"/>
    <w:rsid w:val="006F1757"/>
    <w:rsid w:val="006F3812"/>
    <w:rsid w:val="006F3DB0"/>
    <w:rsid w:val="006F582F"/>
    <w:rsid w:val="007006D2"/>
    <w:rsid w:val="00701AEA"/>
    <w:rsid w:val="007048D2"/>
    <w:rsid w:val="00704CB4"/>
    <w:rsid w:val="00704F63"/>
    <w:rsid w:val="00705431"/>
    <w:rsid w:val="007064C2"/>
    <w:rsid w:val="00707B00"/>
    <w:rsid w:val="007100ED"/>
    <w:rsid w:val="007141DA"/>
    <w:rsid w:val="007143B8"/>
    <w:rsid w:val="007145D9"/>
    <w:rsid w:val="00715CB6"/>
    <w:rsid w:val="00716809"/>
    <w:rsid w:val="00716CDC"/>
    <w:rsid w:val="007170F0"/>
    <w:rsid w:val="00720F5F"/>
    <w:rsid w:val="00721D5D"/>
    <w:rsid w:val="007240E6"/>
    <w:rsid w:val="0072559D"/>
    <w:rsid w:val="00726CDA"/>
    <w:rsid w:val="007301A2"/>
    <w:rsid w:val="007316AA"/>
    <w:rsid w:val="0073640B"/>
    <w:rsid w:val="007416E9"/>
    <w:rsid w:val="00741B9C"/>
    <w:rsid w:val="007426DC"/>
    <w:rsid w:val="00744EBC"/>
    <w:rsid w:val="007523EB"/>
    <w:rsid w:val="00757A1C"/>
    <w:rsid w:val="007637D8"/>
    <w:rsid w:val="00765EBC"/>
    <w:rsid w:val="007667C1"/>
    <w:rsid w:val="00767973"/>
    <w:rsid w:val="00767F3E"/>
    <w:rsid w:val="00771BD4"/>
    <w:rsid w:val="0077231B"/>
    <w:rsid w:val="00774643"/>
    <w:rsid w:val="00783855"/>
    <w:rsid w:val="007838DE"/>
    <w:rsid w:val="007918DB"/>
    <w:rsid w:val="00795A07"/>
    <w:rsid w:val="007A2C43"/>
    <w:rsid w:val="007A4632"/>
    <w:rsid w:val="007B15B3"/>
    <w:rsid w:val="007B1962"/>
    <w:rsid w:val="007B1CD2"/>
    <w:rsid w:val="007B46CD"/>
    <w:rsid w:val="007B4DEF"/>
    <w:rsid w:val="007B5FB6"/>
    <w:rsid w:val="007B7764"/>
    <w:rsid w:val="007C4387"/>
    <w:rsid w:val="007C7CCE"/>
    <w:rsid w:val="007D0B36"/>
    <w:rsid w:val="007D1589"/>
    <w:rsid w:val="007D285A"/>
    <w:rsid w:val="007D2FB7"/>
    <w:rsid w:val="007D4BF7"/>
    <w:rsid w:val="007E0D00"/>
    <w:rsid w:val="007E31D2"/>
    <w:rsid w:val="007E40E3"/>
    <w:rsid w:val="007E46B1"/>
    <w:rsid w:val="007E79C4"/>
    <w:rsid w:val="007F1618"/>
    <w:rsid w:val="007F23A8"/>
    <w:rsid w:val="007F462E"/>
    <w:rsid w:val="007F4D01"/>
    <w:rsid w:val="007F62F2"/>
    <w:rsid w:val="008034D5"/>
    <w:rsid w:val="00803EE3"/>
    <w:rsid w:val="00804604"/>
    <w:rsid w:val="008055E8"/>
    <w:rsid w:val="00805FE7"/>
    <w:rsid w:val="0081221D"/>
    <w:rsid w:val="00817E0E"/>
    <w:rsid w:val="008215F6"/>
    <w:rsid w:val="008219F6"/>
    <w:rsid w:val="0082384A"/>
    <w:rsid w:val="00826961"/>
    <w:rsid w:val="008323DA"/>
    <w:rsid w:val="00832799"/>
    <w:rsid w:val="00833600"/>
    <w:rsid w:val="00836428"/>
    <w:rsid w:val="00836D92"/>
    <w:rsid w:val="0083798E"/>
    <w:rsid w:val="00847C78"/>
    <w:rsid w:val="00847D00"/>
    <w:rsid w:val="00852469"/>
    <w:rsid w:val="00852B97"/>
    <w:rsid w:val="00852BA7"/>
    <w:rsid w:val="0085435B"/>
    <w:rsid w:val="008640DE"/>
    <w:rsid w:val="00864C5B"/>
    <w:rsid w:val="0087013B"/>
    <w:rsid w:val="00870521"/>
    <w:rsid w:val="00872DD8"/>
    <w:rsid w:val="0087642D"/>
    <w:rsid w:val="0087768D"/>
    <w:rsid w:val="00877B1A"/>
    <w:rsid w:val="008806CE"/>
    <w:rsid w:val="008856D7"/>
    <w:rsid w:val="008878B6"/>
    <w:rsid w:val="00887DC9"/>
    <w:rsid w:val="00890056"/>
    <w:rsid w:val="0089523C"/>
    <w:rsid w:val="008961AD"/>
    <w:rsid w:val="008A296E"/>
    <w:rsid w:val="008A4E12"/>
    <w:rsid w:val="008A5D9E"/>
    <w:rsid w:val="008B22E1"/>
    <w:rsid w:val="008B4407"/>
    <w:rsid w:val="008B7A91"/>
    <w:rsid w:val="008C1923"/>
    <w:rsid w:val="008C3B9B"/>
    <w:rsid w:val="008C7B1F"/>
    <w:rsid w:val="008C7B63"/>
    <w:rsid w:val="008D1E45"/>
    <w:rsid w:val="008D7679"/>
    <w:rsid w:val="008D7D91"/>
    <w:rsid w:val="008E0175"/>
    <w:rsid w:val="008E0859"/>
    <w:rsid w:val="008E61F6"/>
    <w:rsid w:val="008E7450"/>
    <w:rsid w:val="008E748B"/>
    <w:rsid w:val="008F0B1C"/>
    <w:rsid w:val="008F0BDD"/>
    <w:rsid w:val="008F1138"/>
    <w:rsid w:val="008F1142"/>
    <w:rsid w:val="008F2F99"/>
    <w:rsid w:val="008F6084"/>
    <w:rsid w:val="009057C8"/>
    <w:rsid w:val="00905845"/>
    <w:rsid w:val="009154E5"/>
    <w:rsid w:val="0091586A"/>
    <w:rsid w:val="00917F2B"/>
    <w:rsid w:val="0092139C"/>
    <w:rsid w:val="00922AAF"/>
    <w:rsid w:val="00930AF8"/>
    <w:rsid w:val="00930CDB"/>
    <w:rsid w:val="0093193B"/>
    <w:rsid w:val="00932864"/>
    <w:rsid w:val="0093606E"/>
    <w:rsid w:val="00941BBE"/>
    <w:rsid w:val="00944368"/>
    <w:rsid w:val="00947170"/>
    <w:rsid w:val="00947281"/>
    <w:rsid w:val="00947B3D"/>
    <w:rsid w:val="00951CCB"/>
    <w:rsid w:val="0095409A"/>
    <w:rsid w:val="00956E94"/>
    <w:rsid w:val="009573B1"/>
    <w:rsid w:val="00957EDE"/>
    <w:rsid w:val="00962312"/>
    <w:rsid w:val="009627A1"/>
    <w:rsid w:val="00963412"/>
    <w:rsid w:val="00964E6E"/>
    <w:rsid w:val="0096646E"/>
    <w:rsid w:val="009678E8"/>
    <w:rsid w:val="009712FE"/>
    <w:rsid w:val="00980682"/>
    <w:rsid w:val="0098751F"/>
    <w:rsid w:val="009875AD"/>
    <w:rsid w:val="0099007D"/>
    <w:rsid w:val="00990F47"/>
    <w:rsid w:val="009924AF"/>
    <w:rsid w:val="00995E8D"/>
    <w:rsid w:val="009A0D4E"/>
    <w:rsid w:val="009A2FDB"/>
    <w:rsid w:val="009A7F71"/>
    <w:rsid w:val="009B51D7"/>
    <w:rsid w:val="009C0493"/>
    <w:rsid w:val="009C7E78"/>
    <w:rsid w:val="009D02D7"/>
    <w:rsid w:val="009D3BEA"/>
    <w:rsid w:val="009D5161"/>
    <w:rsid w:val="009E2832"/>
    <w:rsid w:val="009E47E2"/>
    <w:rsid w:val="009E4D16"/>
    <w:rsid w:val="009E508C"/>
    <w:rsid w:val="009F12E2"/>
    <w:rsid w:val="009F1E55"/>
    <w:rsid w:val="009F3358"/>
    <w:rsid w:val="009F3D7E"/>
    <w:rsid w:val="009F478B"/>
    <w:rsid w:val="009F5293"/>
    <w:rsid w:val="009F62A1"/>
    <w:rsid w:val="009F69C1"/>
    <w:rsid w:val="00A02DBA"/>
    <w:rsid w:val="00A04073"/>
    <w:rsid w:val="00A042CF"/>
    <w:rsid w:val="00A04B2B"/>
    <w:rsid w:val="00A0536F"/>
    <w:rsid w:val="00A05A54"/>
    <w:rsid w:val="00A066C1"/>
    <w:rsid w:val="00A0682C"/>
    <w:rsid w:val="00A105EA"/>
    <w:rsid w:val="00A12E68"/>
    <w:rsid w:val="00A163D0"/>
    <w:rsid w:val="00A16638"/>
    <w:rsid w:val="00A204D9"/>
    <w:rsid w:val="00A21628"/>
    <w:rsid w:val="00A30587"/>
    <w:rsid w:val="00A36A56"/>
    <w:rsid w:val="00A37DFA"/>
    <w:rsid w:val="00A4093B"/>
    <w:rsid w:val="00A40EE1"/>
    <w:rsid w:val="00A4121A"/>
    <w:rsid w:val="00A417F1"/>
    <w:rsid w:val="00A423ED"/>
    <w:rsid w:val="00A443F2"/>
    <w:rsid w:val="00A44F69"/>
    <w:rsid w:val="00A4645D"/>
    <w:rsid w:val="00A504E2"/>
    <w:rsid w:val="00A51160"/>
    <w:rsid w:val="00A536F3"/>
    <w:rsid w:val="00A54467"/>
    <w:rsid w:val="00A55FB5"/>
    <w:rsid w:val="00A55FCD"/>
    <w:rsid w:val="00A56038"/>
    <w:rsid w:val="00A579C1"/>
    <w:rsid w:val="00A57E66"/>
    <w:rsid w:val="00A60C58"/>
    <w:rsid w:val="00A61E8C"/>
    <w:rsid w:val="00A63176"/>
    <w:rsid w:val="00A63FBE"/>
    <w:rsid w:val="00A704D9"/>
    <w:rsid w:val="00A70C31"/>
    <w:rsid w:val="00A72103"/>
    <w:rsid w:val="00A7485D"/>
    <w:rsid w:val="00A75C67"/>
    <w:rsid w:val="00A80671"/>
    <w:rsid w:val="00A834FA"/>
    <w:rsid w:val="00A852FA"/>
    <w:rsid w:val="00A91D08"/>
    <w:rsid w:val="00A92087"/>
    <w:rsid w:val="00A9326D"/>
    <w:rsid w:val="00A93318"/>
    <w:rsid w:val="00A9624F"/>
    <w:rsid w:val="00AA3BA9"/>
    <w:rsid w:val="00AA42C3"/>
    <w:rsid w:val="00AA6318"/>
    <w:rsid w:val="00AA648D"/>
    <w:rsid w:val="00AA6F67"/>
    <w:rsid w:val="00AA7FCB"/>
    <w:rsid w:val="00AB2D66"/>
    <w:rsid w:val="00AB54F8"/>
    <w:rsid w:val="00AB59AE"/>
    <w:rsid w:val="00AB5BD9"/>
    <w:rsid w:val="00AB6E22"/>
    <w:rsid w:val="00AC040C"/>
    <w:rsid w:val="00AC1300"/>
    <w:rsid w:val="00AC23FD"/>
    <w:rsid w:val="00AC78F8"/>
    <w:rsid w:val="00AC7FA4"/>
    <w:rsid w:val="00AD033E"/>
    <w:rsid w:val="00AD03E2"/>
    <w:rsid w:val="00AD0AA1"/>
    <w:rsid w:val="00AD0DD3"/>
    <w:rsid w:val="00AD2A97"/>
    <w:rsid w:val="00AD67F9"/>
    <w:rsid w:val="00AE07A3"/>
    <w:rsid w:val="00AE372A"/>
    <w:rsid w:val="00AF2D47"/>
    <w:rsid w:val="00AF468F"/>
    <w:rsid w:val="00AF6A52"/>
    <w:rsid w:val="00B015EA"/>
    <w:rsid w:val="00B03AFC"/>
    <w:rsid w:val="00B04F78"/>
    <w:rsid w:val="00B06A08"/>
    <w:rsid w:val="00B1185A"/>
    <w:rsid w:val="00B118EF"/>
    <w:rsid w:val="00B1193A"/>
    <w:rsid w:val="00B138B0"/>
    <w:rsid w:val="00B13EEC"/>
    <w:rsid w:val="00B172B6"/>
    <w:rsid w:val="00B218EC"/>
    <w:rsid w:val="00B220BF"/>
    <w:rsid w:val="00B270E1"/>
    <w:rsid w:val="00B275A9"/>
    <w:rsid w:val="00B27605"/>
    <w:rsid w:val="00B31AE3"/>
    <w:rsid w:val="00B40DBF"/>
    <w:rsid w:val="00B40FE6"/>
    <w:rsid w:val="00B44223"/>
    <w:rsid w:val="00B44231"/>
    <w:rsid w:val="00B457C4"/>
    <w:rsid w:val="00B4757D"/>
    <w:rsid w:val="00B4768C"/>
    <w:rsid w:val="00B54060"/>
    <w:rsid w:val="00B54A3E"/>
    <w:rsid w:val="00B54CE8"/>
    <w:rsid w:val="00B61835"/>
    <w:rsid w:val="00B655B5"/>
    <w:rsid w:val="00B6688F"/>
    <w:rsid w:val="00B66EF2"/>
    <w:rsid w:val="00B71178"/>
    <w:rsid w:val="00B71EE1"/>
    <w:rsid w:val="00B73516"/>
    <w:rsid w:val="00B866B7"/>
    <w:rsid w:val="00B87DE4"/>
    <w:rsid w:val="00B914A2"/>
    <w:rsid w:val="00B9265A"/>
    <w:rsid w:val="00B92D9A"/>
    <w:rsid w:val="00B93040"/>
    <w:rsid w:val="00B9541E"/>
    <w:rsid w:val="00B95D48"/>
    <w:rsid w:val="00BA23B4"/>
    <w:rsid w:val="00BA33BC"/>
    <w:rsid w:val="00BA4CDE"/>
    <w:rsid w:val="00BA7002"/>
    <w:rsid w:val="00BB0488"/>
    <w:rsid w:val="00BB3ED5"/>
    <w:rsid w:val="00BB4AB9"/>
    <w:rsid w:val="00BC07C0"/>
    <w:rsid w:val="00BC11EE"/>
    <w:rsid w:val="00BC2262"/>
    <w:rsid w:val="00BC3532"/>
    <w:rsid w:val="00BC3DAF"/>
    <w:rsid w:val="00BC5474"/>
    <w:rsid w:val="00BD03C6"/>
    <w:rsid w:val="00BD157C"/>
    <w:rsid w:val="00BD2129"/>
    <w:rsid w:val="00BD3CFF"/>
    <w:rsid w:val="00BD52FF"/>
    <w:rsid w:val="00BD604B"/>
    <w:rsid w:val="00BE1293"/>
    <w:rsid w:val="00BE3411"/>
    <w:rsid w:val="00BE4FF0"/>
    <w:rsid w:val="00BE59BD"/>
    <w:rsid w:val="00BF3679"/>
    <w:rsid w:val="00BF58C0"/>
    <w:rsid w:val="00C0174A"/>
    <w:rsid w:val="00C05D9B"/>
    <w:rsid w:val="00C123F5"/>
    <w:rsid w:val="00C214BA"/>
    <w:rsid w:val="00C21B13"/>
    <w:rsid w:val="00C26130"/>
    <w:rsid w:val="00C315B6"/>
    <w:rsid w:val="00C31B81"/>
    <w:rsid w:val="00C332AD"/>
    <w:rsid w:val="00C376F3"/>
    <w:rsid w:val="00C37C48"/>
    <w:rsid w:val="00C4033E"/>
    <w:rsid w:val="00C40A0E"/>
    <w:rsid w:val="00C4132F"/>
    <w:rsid w:val="00C42198"/>
    <w:rsid w:val="00C4334D"/>
    <w:rsid w:val="00C463D2"/>
    <w:rsid w:val="00C506C5"/>
    <w:rsid w:val="00C51614"/>
    <w:rsid w:val="00C5454B"/>
    <w:rsid w:val="00C558C5"/>
    <w:rsid w:val="00C571F9"/>
    <w:rsid w:val="00C62A44"/>
    <w:rsid w:val="00C63D6F"/>
    <w:rsid w:val="00C670EB"/>
    <w:rsid w:val="00C74143"/>
    <w:rsid w:val="00C80A39"/>
    <w:rsid w:val="00C81936"/>
    <w:rsid w:val="00C84C4C"/>
    <w:rsid w:val="00C87697"/>
    <w:rsid w:val="00C87F60"/>
    <w:rsid w:val="00C9095E"/>
    <w:rsid w:val="00C915A3"/>
    <w:rsid w:val="00C92D19"/>
    <w:rsid w:val="00C936EA"/>
    <w:rsid w:val="00C97137"/>
    <w:rsid w:val="00CA0B94"/>
    <w:rsid w:val="00CA1702"/>
    <w:rsid w:val="00CA2395"/>
    <w:rsid w:val="00CA5B42"/>
    <w:rsid w:val="00CA5CC2"/>
    <w:rsid w:val="00CA7900"/>
    <w:rsid w:val="00CA7D78"/>
    <w:rsid w:val="00CB21FF"/>
    <w:rsid w:val="00CB59D6"/>
    <w:rsid w:val="00CB631F"/>
    <w:rsid w:val="00CB7EF6"/>
    <w:rsid w:val="00CC5314"/>
    <w:rsid w:val="00CC584A"/>
    <w:rsid w:val="00CD01AF"/>
    <w:rsid w:val="00CE21A2"/>
    <w:rsid w:val="00CE33F4"/>
    <w:rsid w:val="00CE4EE4"/>
    <w:rsid w:val="00CE5F0B"/>
    <w:rsid w:val="00CE6024"/>
    <w:rsid w:val="00CF079C"/>
    <w:rsid w:val="00CF0B4E"/>
    <w:rsid w:val="00CF2937"/>
    <w:rsid w:val="00CF293A"/>
    <w:rsid w:val="00CF5003"/>
    <w:rsid w:val="00CF59F0"/>
    <w:rsid w:val="00D0019C"/>
    <w:rsid w:val="00D01295"/>
    <w:rsid w:val="00D07A5F"/>
    <w:rsid w:val="00D16128"/>
    <w:rsid w:val="00D17F80"/>
    <w:rsid w:val="00D20DC2"/>
    <w:rsid w:val="00D21875"/>
    <w:rsid w:val="00D3182B"/>
    <w:rsid w:val="00D35225"/>
    <w:rsid w:val="00D4112D"/>
    <w:rsid w:val="00D44B69"/>
    <w:rsid w:val="00D47F33"/>
    <w:rsid w:val="00D52AD6"/>
    <w:rsid w:val="00D52F2F"/>
    <w:rsid w:val="00D53800"/>
    <w:rsid w:val="00D55818"/>
    <w:rsid w:val="00D64612"/>
    <w:rsid w:val="00D65DEC"/>
    <w:rsid w:val="00D70096"/>
    <w:rsid w:val="00D82EAA"/>
    <w:rsid w:val="00D83101"/>
    <w:rsid w:val="00D837CC"/>
    <w:rsid w:val="00D861C1"/>
    <w:rsid w:val="00D86901"/>
    <w:rsid w:val="00D920F8"/>
    <w:rsid w:val="00D92835"/>
    <w:rsid w:val="00D94424"/>
    <w:rsid w:val="00D973BF"/>
    <w:rsid w:val="00DA1CE7"/>
    <w:rsid w:val="00DA6DB6"/>
    <w:rsid w:val="00DB0697"/>
    <w:rsid w:val="00DB0931"/>
    <w:rsid w:val="00DC3C37"/>
    <w:rsid w:val="00DC41C9"/>
    <w:rsid w:val="00DC4376"/>
    <w:rsid w:val="00DC5473"/>
    <w:rsid w:val="00DC6A3F"/>
    <w:rsid w:val="00DD072A"/>
    <w:rsid w:val="00DD1664"/>
    <w:rsid w:val="00DD2F76"/>
    <w:rsid w:val="00DD3996"/>
    <w:rsid w:val="00DD4BF0"/>
    <w:rsid w:val="00DD5403"/>
    <w:rsid w:val="00DE053D"/>
    <w:rsid w:val="00DE0D28"/>
    <w:rsid w:val="00DE1FC1"/>
    <w:rsid w:val="00DE674A"/>
    <w:rsid w:val="00DE6FE8"/>
    <w:rsid w:val="00DF0DC9"/>
    <w:rsid w:val="00DF2AD2"/>
    <w:rsid w:val="00DF2CE5"/>
    <w:rsid w:val="00DF30C0"/>
    <w:rsid w:val="00DF52B9"/>
    <w:rsid w:val="00DF6485"/>
    <w:rsid w:val="00E03E3B"/>
    <w:rsid w:val="00E0492D"/>
    <w:rsid w:val="00E0700F"/>
    <w:rsid w:val="00E07FD3"/>
    <w:rsid w:val="00E114C5"/>
    <w:rsid w:val="00E1378A"/>
    <w:rsid w:val="00E13D93"/>
    <w:rsid w:val="00E13FD9"/>
    <w:rsid w:val="00E162F5"/>
    <w:rsid w:val="00E17A51"/>
    <w:rsid w:val="00E307F3"/>
    <w:rsid w:val="00E31DAF"/>
    <w:rsid w:val="00E3230E"/>
    <w:rsid w:val="00E34209"/>
    <w:rsid w:val="00E35775"/>
    <w:rsid w:val="00E361E5"/>
    <w:rsid w:val="00E43BD8"/>
    <w:rsid w:val="00E53885"/>
    <w:rsid w:val="00E55E06"/>
    <w:rsid w:val="00E561B4"/>
    <w:rsid w:val="00E60B88"/>
    <w:rsid w:val="00E67B9C"/>
    <w:rsid w:val="00E67E5C"/>
    <w:rsid w:val="00E7324E"/>
    <w:rsid w:val="00E77C40"/>
    <w:rsid w:val="00E80387"/>
    <w:rsid w:val="00E80D02"/>
    <w:rsid w:val="00E818F2"/>
    <w:rsid w:val="00E8241D"/>
    <w:rsid w:val="00E826D1"/>
    <w:rsid w:val="00E913BF"/>
    <w:rsid w:val="00E95CF7"/>
    <w:rsid w:val="00EA088C"/>
    <w:rsid w:val="00EA0EEB"/>
    <w:rsid w:val="00EA109B"/>
    <w:rsid w:val="00EA34D1"/>
    <w:rsid w:val="00EA3E2E"/>
    <w:rsid w:val="00EB1EF8"/>
    <w:rsid w:val="00EB713B"/>
    <w:rsid w:val="00EB71FF"/>
    <w:rsid w:val="00EC25B5"/>
    <w:rsid w:val="00EC2FD7"/>
    <w:rsid w:val="00EC4C9B"/>
    <w:rsid w:val="00ED2912"/>
    <w:rsid w:val="00ED2DCC"/>
    <w:rsid w:val="00ED3523"/>
    <w:rsid w:val="00ED4DD3"/>
    <w:rsid w:val="00EE1E70"/>
    <w:rsid w:val="00EE588D"/>
    <w:rsid w:val="00EE75AA"/>
    <w:rsid w:val="00EF2BE5"/>
    <w:rsid w:val="00EF2F4F"/>
    <w:rsid w:val="00F042FA"/>
    <w:rsid w:val="00F04E00"/>
    <w:rsid w:val="00F07E3B"/>
    <w:rsid w:val="00F10D8B"/>
    <w:rsid w:val="00F1623D"/>
    <w:rsid w:val="00F16374"/>
    <w:rsid w:val="00F20858"/>
    <w:rsid w:val="00F21E9F"/>
    <w:rsid w:val="00F22813"/>
    <w:rsid w:val="00F22910"/>
    <w:rsid w:val="00F23CD7"/>
    <w:rsid w:val="00F2442A"/>
    <w:rsid w:val="00F30CBF"/>
    <w:rsid w:val="00F33959"/>
    <w:rsid w:val="00F33A55"/>
    <w:rsid w:val="00F34C3B"/>
    <w:rsid w:val="00F4107A"/>
    <w:rsid w:val="00F41D1E"/>
    <w:rsid w:val="00F44EC2"/>
    <w:rsid w:val="00F503D9"/>
    <w:rsid w:val="00F5121E"/>
    <w:rsid w:val="00F51AFD"/>
    <w:rsid w:val="00F5347D"/>
    <w:rsid w:val="00F6027E"/>
    <w:rsid w:val="00F612FF"/>
    <w:rsid w:val="00F6493F"/>
    <w:rsid w:val="00F65E64"/>
    <w:rsid w:val="00F667C6"/>
    <w:rsid w:val="00F67FDC"/>
    <w:rsid w:val="00F702DE"/>
    <w:rsid w:val="00F735AE"/>
    <w:rsid w:val="00F75158"/>
    <w:rsid w:val="00F75663"/>
    <w:rsid w:val="00F811E7"/>
    <w:rsid w:val="00F81358"/>
    <w:rsid w:val="00F81C8C"/>
    <w:rsid w:val="00F841AC"/>
    <w:rsid w:val="00F8511E"/>
    <w:rsid w:val="00F9056C"/>
    <w:rsid w:val="00F90C02"/>
    <w:rsid w:val="00F92EF4"/>
    <w:rsid w:val="00FA36E0"/>
    <w:rsid w:val="00FA5A3B"/>
    <w:rsid w:val="00FA6E16"/>
    <w:rsid w:val="00FB4891"/>
    <w:rsid w:val="00FB6770"/>
    <w:rsid w:val="00FC09A9"/>
    <w:rsid w:val="00FC2DAF"/>
    <w:rsid w:val="00FC46B0"/>
    <w:rsid w:val="00FC686F"/>
    <w:rsid w:val="00FC7FBE"/>
    <w:rsid w:val="00FD3119"/>
    <w:rsid w:val="00FD3542"/>
    <w:rsid w:val="00FD4081"/>
    <w:rsid w:val="00FD7DF2"/>
    <w:rsid w:val="00FE0378"/>
    <w:rsid w:val="00FE2347"/>
    <w:rsid w:val="00FE409F"/>
    <w:rsid w:val="00FE51B5"/>
    <w:rsid w:val="00FE5D16"/>
    <w:rsid w:val="00FE6364"/>
    <w:rsid w:val="00FE6EED"/>
    <w:rsid w:val="00FE791F"/>
    <w:rsid w:val="00FF0566"/>
    <w:rsid w:val="00FF0BC1"/>
    <w:rsid w:val="00FF4B22"/>
    <w:rsid w:val="00FF5BBC"/>
    <w:rsid w:val="06517A3D"/>
    <w:rsid w:val="0BF991A9"/>
    <w:rsid w:val="20EBB8F7"/>
    <w:rsid w:val="251A0374"/>
    <w:rsid w:val="27553789"/>
    <w:rsid w:val="27CEA6F6"/>
    <w:rsid w:val="2B2E4D0C"/>
    <w:rsid w:val="2E9BCC92"/>
    <w:rsid w:val="315FD7F9"/>
    <w:rsid w:val="33A7E4E3"/>
    <w:rsid w:val="46D2B364"/>
    <w:rsid w:val="5771BD6B"/>
    <w:rsid w:val="5DF6CAA1"/>
    <w:rsid w:val="611CCBE5"/>
    <w:rsid w:val="64ED9D1E"/>
    <w:rsid w:val="6D61B9CF"/>
    <w:rsid w:val="7DF1281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A4BC44"/>
  <w15:chartTrackingRefBased/>
  <w15:docId w15:val="{CEDDB6DF-D83A-4E88-B250-D24A7EC96A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kern w:val="28"/>
        <w:sz w:val="24"/>
        <w:szCs w:val="24"/>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footer" w:uiPriority="99"/>
    <w:lsdException w:name="caption" w:semiHidden="1" w:unhideWhenUsed="1" w:qFormat="1"/>
    <w:lsdException w:name="footnote reference" w:uiPriority="99"/>
    <w:lsdException w:name="annotation reference" w:uiPriority="99"/>
    <w:lsdException w:name="Title" w:qFormat="1"/>
    <w:lsdException w:name="Subtitle" w:qFormat="1"/>
    <w:lsdException w:name="Hyperlink" w:uiPriority="99"/>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C41C9"/>
  </w:style>
  <w:style w:type="paragraph" w:styleId="Heading1">
    <w:name w:val="heading 1"/>
    <w:basedOn w:val="Normal"/>
    <w:next w:val="Normal"/>
    <w:link w:val="Heading1Char"/>
    <w:qFormat/>
    <w:rsid w:val="001F17A7"/>
    <w:pPr>
      <w:keepNext/>
      <w:keepLines/>
      <w:spacing w:before="240"/>
      <w:jc w:val="center"/>
      <w:outlineLvl w:val="0"/>
    </w:pPr>
    <w:rPr>
      <w:rFonts w:eastAsiaTheme="majorEastAsia" w:cstheme="majorBidi"/>
      <w:b/>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rPr>
      <w:kern w:val="0"/>
    </w:rPr>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rsid w:val="002C57BC"/>
    <w:pPr>
      <w:spacing w:before="100" w:beforeAutospacing="1" w:after="100" w:afterAutospacing="1"/>
    </w:pPr>
    <w:rPr>
      <w:kern w:val="0"/>
    </w:rPr>
  </w:style>
  <w:style w:type="character" w:customStyle="1" w:styleId="apple-converted-space">
    <w:name w:val="apple-converted-space"/>
    <w:basedOn w:val="DefaultParagraphFont"/>
    <w:rsid w:val="002C57BC"/>
  </w:style>
  <w:style w:type="character" w:styleId="Strong">
    <w:name w:val="Strong"/>
    <w:qFormat/>
    <w:rsid w:val="002C57BC"/>
    <w:rPr>
      <w:b/>
      <w:bCs/>
    </w:rPr>
  </w:style>
  <w:style w:type="character" w:styleId="Emphasis">
    <w:name w:val="Emphasis"/>
    <w:uiPriority w:val="20"/>
    <w:qFormat/>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34"/>
    <w:qFormat/>
    <w:rsid w:val="004D3EE9"/>
    <w:pPr>
      <w:spacing w:after="200" w:line="276" w:lineRule="auto"/>
      <w:ind w:left="720"/>
      <w:contextualSpacing/>
    </w:pPr>
    <w:rPr>
      <w:rFonts w:ascii="Calibri" w:eastAsia="Calibri" w:hAnsi="Calibri"/>
      <w:kern w:val="0"/>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uiPriority w:val="99"/>
    <w:rsid w:val="00D17F80"/>
  </w:style>
  <w:style w:type="character" w:customStyle="1" w:styleId="FootnoteTextChar">
    <w:name w:val="Footnote Text Char"/>
    <w:link w:val="FootnoteText"/>
    <w:uiPriority w:val="99"/>
    <w:rsid w:val="00D17F80"/>
    <w:rPr>
      <w:color w:val="000000"/>
      <w:kern w:val="28"/>
    </w:rPr>
  </w:style>
  <w:style w:type="character" w:styleId="FootnoteReference">
    <w:name w:val="footnote reference"/>
    <w:uiPriority w:val="99"/>
    <w:rsid w:val="00D17F80"/>
    <w:rPr>
      <w:vertAlign w:val="superscript"/>
    </w:rPr>
  </w:style>
  <w:style w:type="character" w:styleId="CommentReference">
    <w:name w:val="annotation reference"/>
    <w:uiPriority w:val="99"/>
    <w:rsid w:val="00DD3996"/>
    <w:rPr>
      <w:sz w:val="16"/>
      <w:szCs w:val="16"/>
    </w:rPr>
  </w:style>
  <w:style w:type="paragraph" w:styleId="CommentText">
    <w:name w:val="annotation text"/>
    <w:basedOn w:val="Normal"/>
    <w:link w:val="CommentTextChar"/>
    <w:uiPriority w:val="99"/>
    <w:rsid w:val="00DD3996"/>
  </w:style>
  <w:style w:type="character" w:customStyle="1" w:styleId="CommentTextChar">
    <w:name w:val="Comment Text Char"/>
    <w:link w:val="CommentText"/>
    <w:uiPriority w:val="99"/>
    <w:rsid w:val="00DD3996"/>
    <w:rPr>
      <w:color w:val="000000"/>
      <w:kern w:val="28"/>
    </w:rPr>
  </w:style>
  <w:style w:type="paragraph" w:styleId="CommentSubject">
    <w:name w:val="annotation subject"/>
    <w:basedOn w:val="CommentText"/>
    <w:next w:val="CommentText"/>
    <w:link w:val="CommentSubjectChar"/>
    <w:rsid w:val="00DD3996"/>
    <w:rPr>
      <w:b/>
      <w:bCs/>
    </w:rPr>
  </w:style>
  <w:style w:type="character" w:customStyle="1" w:styleId="CommentSubjectChar">
    <w:name w:val="Comment Subject Char"/>
    <w:link w:val="CommentSubject"/>
    <w:rsid w:val="00DD3996"/>
    <w:rPr>
      <w:b/>
      <w:bCs/>
      <w:color w:val="000000"/>
      <w:kern w:val="28"/>
    </w:rPr>
  </w:style>
  <w:style w:type="character" w:customStyle="1" w:styleId="Heading1Char">
    <w:name w:val="Heading 1 Char"/>
    <w:basedOn w:val="DefaultParagraphFont"/>
    <w:link w:val="Heading1"/>
    <w:rsid w:val="001F17A7"/>
    <w:rPr>
      <w:rFonts w:eastAsiaTheme="majorEastAsia" w:cstheme="majorBidi"/>
      <w:b/>
      <w:szCs w:val="32"/>
    </w:rPr>
  </w:style>
  <w:style w:type="paragraph" w:styleId="Subtitle">
    <w:name w:val="Subtitle"/>
    <w:basedOn w:val="Normal"/>
    <w:next w:val="Normal"/>
    <w:link w:val="SubtitleChar"/>
    <w:qFormat/>
    <w:rsid w:val="00097CF8"/>
    <w:pPr>
      <w:numPr>
        <w:numId w:val="10"/>
      </w:numPr>
      <w:spacing w:after="160"/>
    </w:pPr>
    <w:rPr>
      <w:rFonts w:eastAsiaTheme="minorEastAsia" w:cstheme="minorBidi"/>
      <w:b/>
      <w:spacing w:val="15"/>
      <w:szCs w:val="22"/>
    </w:rPr>
  </w:style>
  <w:style w:type="character" w:customStyle="1" w:styleId="SubtitleChar">
    <w:name w:val="Subtitle Char"/>
    <w:basedOn w:val="DefaultParagraphFont"/>
    <w:link w:val="Subtitle"/>
    <w:rsid w:val="00097CF8"/>
    <w:rPr>
      <w:rFonts w:eastAsiaTheme="minorEastAsia" w:cstheme="minorBidi"/>
      <w:b/>
      <w:spacing w:val="15"/>
      <w:szCs w:val="22"/>
    </w:rPr>
  </w:style>
  <w:style w:type="paragraph" w:customStyle="1" w:styleId="MacPacTrailer">
    <w:name w:val="MacPac Trailer"/>
    <w:rsid w:val="003A0A00"/>
    <w:pPr>
      <w:widowControl w:val="0"/>
      <w:spacing w:line="200" w:lineRule="exact"/>
    </w:pPr>
    <w:rPr>
      <w:kern w:val="0"/>
      <w:sz w:val="16"/>
      <w:szCs w:val="22"/>
      <w:lang w:eastAsia="en-US"/>
    </w:rPr>
  </w:style>
  <w:style w:type="character" w:styleId="PlaceholderText">
    <w:name w:val="Placeholder Text"/>
    <w:basedOn w:val="DefaultParagraphFont"/>
    <w:uiPriority w:val="99"/>
    <w:semiHidden/>
    <w:rsid w:val="00E60B88"/>
    <w:rPr>
      <w:color w:val="666666"/>
    </w:rPr>
  </w:style>
  <w:style w:type="character" w:styleId="FollowedHyperlink">
    <w:name w:val="FollowedHyperlink"/>
    <w:basedOn w:val="DefaultParagraphFont"/>
    <w:rsid w:val="00D973BF"/>
    <w:rPr>
      <w:color w:val="954F72" w:themeColor="followedHyperlink"/>
      <w:u w:val="single"/>
    </w:rPr>
  </w:style>
  <w:style w:type="character" w:styleId="UnresolvedMention">
    <w:name w:val="Unresolved Mention"/>
    <w:basedOn w:val="DefaultParagraphFont"/>
    <w:uiPriority w:val="99"/>
    <w:semiHidden/>
    <w:unhideWhenUsed/>
    <w:rsid w:val="00E80387"/>
    <w:rPr>
      <w:color w:val="605E5C"/>
      <w:shd w:val="clear" w:color="auto" w:fill="E1DFDD"/>
    </w:rPr>
  </w:style>
  <w:style w:type="paragraph" w:styleId="Revision">
    <w:name w:val="Revision"/>
    <w:hidden/>
    <w:uiPriority w:val="99"/>
    <w:semiHidden/>
    <w:rsid w:val="00DF6485"/>
  </w:style>
  <w:style w:type="paragraph" w:styleId="EndnoteText">
    <w:name w:val="endnote text"/>
    <w:basedOn w:val="Normal"/>
    <w:link w:val="EndnoteTextChar"/>
    <w:rsid w:val="003B4B41"/>
    <w:rPr>
      <w:sz w:val="20"/>
      <w:szCs w:val="20"/>
    </w:rPr>
  </w:style>
  <w:style w:type="character" w:customStyle="1" w:styleId="EndnoteTextChar">
    <w:name w:val="Endnote Text Char"/>
    <w:basedOn w:val="DefaultParagraphFont"/>
    <w:link w:val="EndnoteText"/>
    <w:rsid w:val="003B4B41"/>
    <w:rPr>
      <w:sz w:val="20"/>
      <w:szCs w:val="20"/>
    </w:rPr>
  </w:style>
  <w:style w:type="character" w:styleId="EndnoteReference">
    <w:name w:val="endnote reference"/>
    <w:basedOn w:val="DefaultParagraphFont"/>
    <w:rsid w:val="003B4B4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500043423">
      <w:bodyDiv w:val="1"/>
      <w:marLeft w:val="0"/>
      <w:marRight w:val="0"/>
      <w:marTop w:val="0"/>
      <w:marBottom w:val="0"/>
      <w:divBdr>
        <w:top w:val="none" w:sz="0" w:space="0" w:color="auto"/>
        <w:left w:val="none" w:sz="0" w:space="0" w:color="auto"/>
        <w:bottom w:val="none" w:sz="0" w:space="0" w:color="auto"/>
        <w:right w:val="none" w:sz="0" w:space="0" w:color="auto"/>
      </w:divBdr>
    </w:div>
    <w:div w:id="801649992">
      <w:bodyDiv w:val="1"/>
      <w:marLeft w:val="0"/>
      <w:marRight w:val="0"/>
      <w:marTop w:val="0"/>
      <w:marBottom w:val="0"/>
      <w:divBdr>
        <w:top w:val="none" w:sz="0" w:space="0" w:color="auto"/>
        <w:left w:val="none" w:sz="0" w:space="0" w:color="auto"/>
        <w:bottom w:val="none" w:sz="0" w:space="0" w:color="auto"/>
        <w:right w:val="none" w:sz="0" w:space="0" w:color="auto"/>
      </w:divBdr>
      <w:divsChild>
        <w:div w:id="1252741023">
          <w:marLeft w:val="0"/>
          <w:marRight w:val="0"/>
          <w:marTop w:val="0"/>
          <w:marBottom w:val="0"/>
          <w:divBdr>
            <w:top w:val="none" w:sz="0" w:space="0" w:color="auto"/>
            <w:left w:val="none" w:sz="0" w:space="0" w:color="auto"/>
            <w:bottom w:val="none" w:sz="0" w:space="0" w:color="auto"/>
            <w:right w:val="none" w:sz="0" w:space="0" w:color="auto"/>
          </w:divBdr>
        </w:div>
      </w:divsChild>
    </w:div>
    <w:div w:id="1248148893">
      <w:bodyDiv w:val="1"/>
      <w:marLeft w:val="0"/>
      <w:marRight w:val="0"/>
      <w:marTop w:val="0"/>
      <w:marBottom w:val="0"/>
      <w:divBdr>
        <w:top w:val="none" w:sz="0" w:space="0" w:color="auto"/>
        <w:left w:val="none" w:sz="0" w:space="0" w:color="auto"/>
        <w:bottom w:val="none" w:sz="0" w:space="0" w:color="auto"/>
        <w:right w:val="none" w:sz="0" w:space="0" w:color="auto"/>
      </w:divBdr>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332678203">
      <w:bodyDiv w:val="1"/>
      <w:marLeft w:val="0"/>
      <w:marRight w:val="0"/>
      <w:marTop w:val="0"/>
      <w:marBottom w:val="0"/>
      <w:divBdr>
        <w:top w:val="none" w:sz="0" w:space="0" w:color="auto"/>
        <w:left w:val="none" w:sz="0" w:space="0" w:color="auto"/>
        <w:bottom w:val="none" w:sz="0" w:space="0" w:color="auto"/>
        <w:right w:val="none" w:sz="0" w:space="0" w:color="auto"/>
      </w:divBdr>
    </w:div>
    <w:div w:id="1619799002">
      <w:bodyDiv w:val="1"/>
      <w:marLeft w:val="0"/>
      <w:marRight w:val="0"/>
      <w:marTop w:val="0"/>
      <w:marBottom w:val="0"/>
      <w:divBdr>
        <w:top w:val="none" w:sz="0" w:space="0" w:color="auto"/>
        <w:left w:val="none" w:sz="0" w:space="0" w:color="auto"/>
        <w:bottom w:val="none" w:sz="0" w:space="0" w:color="auto"/>
        <w:right w:val="none" w:sz="0" w:space="0" w:color="auto"/>
      </w:divBdr>
      <w:divsChild>
        <w:div w:id="1097405851">
          <w:marLeft w:val="0"/>
          <w:marRight w:val="0"/>
          <w:marTop w:val="0"/>
          <w:marBottom w:val="0"/>
          <w:divBdr>
            <w:top w:val="none" w:sz="0" w:space="0" w:color="auto"/>
            <w:left w:val="none" w:sz="0" w:space="0" w:color="auto"/>
            <w:bottom w:val="none" w:sz="0" w:space="0" w:color="auto"/>
            <w:right w:val="none" w:sz="0" w:space="0" w:color="auto"/>
          </w:divBdr>
        </w:div>
      </w:divsChild>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919511115">
      <w:bodyDiv w:val="1"/>
      <w:marLeft w:val="0"/>
      <w:marRight w:val="0"/>
      <w:marTop w:val="0"/>
      <w:marBottom w:val="0"/>
      <w:divBdr>
        <w:top w:val="none" w:sz="0" w:space="0" w:color="auto"/>
        <w:left w:val="none" w:sz="0" w:space="0" w:color="auto"/>
        <w:bottom w:val="none" w:sz="0" w:space="0" w:color="auto"/>
        <w:right w:val="none" w:sz="0" w:space="0" w:color="auto"/>
      </w:divBdr>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 w:id="2070181460">
      <w:bodyDiv w:val="1"/>
      <w:marLeft w:val="0"/>
      <w:marRight w:val="0"/>
      <w:marTop w:val="0"/>
      <w:marBottom w:val="0"/>
      <w:divBdr>
        <w:top w:val="none" w:sz="0" w:space="0" w:color="auto"/>
        <w:left w:val="none" w:sz="0" w:space="0" w:color="auto"/>
        <w:bottom w:val="none" w:sz="0" w:space="0" w:color="auto"/>
        <w:right w:val="none" w:sz="0" w:space="0" w:color="auto"/>
      </w:divBdr>
      <w:divsChild>
        <w:div w:id="20554943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3" Type="http://schemas.openxmlformats.org/officeDocument/2006/relationships/hyperlink" Target="https://www.constitutionofindia.net/read/" TargetMode="External"/><Relationship Id="rId18" Type="http://schemas.openxmlformats.org/officeDocument/2006/relationships/hyperlink" Target="https://translaw.clpr.org.in/legislation/transgender-persons-protection-of-rights-rules-2020/" TargetMode="External"/><Relationship Id="rId26" Type="http://schemas.openxmlformats.org/officeDocument/2006/relationships/hyperlink" Target="https://stglms.pmjay.gov.in/local/staticpage/view.php?page=aboutnha" TargetMode="External"/><Relationship Id="rId39" Type="http://schemas.openxmlformats.org/officeDocument/2006/relationships/hyperlink" Target="https://www.state.gov/reports/2022-country-reports-on-human-rights-practices/india" TargetMode="External"/><Relationship Id="rId21" Type="http://schemas.openxmlformats.org/officeDocument/2006/relationships/hyperlink" Target="https://transgender.dosje.gov.in/Applicant/Registration/DisplayForm1" TargetMode="External"/><Relationship Id="rId34" Type="http://schemas.openxmlformats.org/officeDocument/2006/relationships/hyperlink" Target="https://sites.uab.edu/humanrights/2022/10/12/the-economic-status-of-transgender-people-in-india/" TargetMode="External"/><Relationship Id="rId42" Type="http://schemas.openxmlformats.org/officeDocument/2006/relationships/hyperlink" Target="https://www.icj.org/wp-content/uploads/2019/06/India-Living-with-dignity-Publications-Reports-thematic-report-2019-ENG.pdf" TargetMode="External"/><Relationship Id="rId7" Type="http://schemas.openxmlformats.org/officeDocument/2006/relationships/hyperlink" Target="https://www.scobserver.in/cases/plea-for-marriage-equality/" TargetMode="External"/><Relationship Id="rId2" Type="http://schemas.openxmlformats.org/officeDocument/2006/relationships/hyperlink" Target="https://www.constitutionofindia.net/read/%23parts" TargetMode="External"/><Relationship Id="rId16" Type="http://schemas.openxmlformats.org/officeDocument/2006/relationships/hyperlink" Target="https://newint.org/features/2023/03/08/india-trans-rights-decolonize-how" TargetMode="External"/><Relationship Id="rId29" Type="http://schemas.openxmlformats.org/officeDocument/2006/relationships/hyperlink" Target="http://www.thenewsminute.com/article/anannyah-s-story-isn-t-new-kerala-lacks-support-trans-persons-undergoing-surgery-153592" TargetMode="External"/><Relationship Id="rId1" Type="http://schemas.openxmlformats.org/officeDocument/2006/relationships/hyperlink" Target="https://www.constitutionofindia.net/read/%23parts" TargetMode="External"/><Relationship Id="rId6" Type="http://schemas.openxmlformats.org/officeDocument/2006/relationships/hyperlink" Target="https://www.scobserver.in/cases/plea-for-marriage-equality/" TargetMode="External"/><Relationship Id="rId11" Type="http://schemas.openxmlformats.org/officeDocument/2006/relationships/hyperlink" Target="https://timesofindia.indiatimes.com/india/lgbtqi-community-face-bias-across-nations-due-to-sexual-orientation-gender-identity-undp-report/articleshow/99633821.cms" TargetMode="External"/><Relationship Id="rId24" Type="http://schemas.openxmlformats.org/officeDocument/2006/relationships/hyperlink" Target="https://stglms.pmjay.gov.in/local/staticpage/view.php?page=aboutnha" TargetMode="External"/><Relationship Id="rId32" Type="http://schemas.openxmlformats.org/officeDocument/2006/relationships/hyperlink" Target="https://www.washingtonblade.com/2024/02/29/indian-government-announces-equal-opportunity-policy-for-transgender-people/" TargetMode="External"/><Relationship Id="rId37" Type="http://schemas.openxmlformats.org/officeDocument/2006/relationships/hyperlink" Target="https://www.undp.org/india/publications/framework-transgender-inclusive-india" TargetMode="External"/><Relationship Id="rId40" Type="http://schemas.openxmlformats.org/officeDocument/2006/relationships/hyperlink" Target="https://www.icj.org/wp-content/uploads/2019/06/India-Living-with-dignity-Publications-Reports-thematic-report-2019-ENG.pdf" TargetMode="External"/><Relationship Id="rId45" Type="http://schemas.openxmlformats.org/officeDocument/2006/relationships/hyperlink" Target="https://www.state.gov/reports/2022-country-reports-on-human-rights-practices/india" TargetMode="External"/><Relationship Id="rId5" Type="http://schemas.openxmlformats.org/officeDocument/2006/relationships/hyperlink" Target="https://www.pbs.org/newshour/world/indias-supreme-court-declines-to-legalize-same-sex-marriage-saying-its-up-to-parliament" TargetMode="External"/><Relationship Id="rId15" Type="http://schemas.openxmlformats.org/officeDocument/2006/relationships/hyperlink" Target="https://newint.org/features/2023/03/08/india-trans-rights-decolonize-how" TargetMode="External"/><Relationship Id="rId23" Type="http://schemas.openxmlformats.org/officeDocument/2006/relationships/hyperlink" Target="https://worldpopulationreview.com/country-rankings/trans-population-by-country" TargetMode="External"/><Relationship Id="rId28" Type="http://schemas.openxmlformats.org/officeDocument/2006/relationships/hyperlink" Target="https://theleaflet.in/a-transgender-womans-death-and-the-need-for-urgent-revamp-of-sex-reassignment-surgery/" TargetMode="External"/><Relationship Id="rId36" Type="http://schemas.openxmlformats.org/officeDocument/2006/relationships/hyperlink" Target="https://sites.uab.edu/humanrights/2022/10/12/the-economic-status-of-transgender-people-in-india/" TargetMode="External"/><Relationship Id="rId10" Type="http://schemas.openxmlformats.org/officeDocument/2006/relationships/hyperlink" Target="https://www.icj.org/wp-content/uploads/2019/06/India-Living-with-dignity-Publications-Reports-thematic-report-2019-ENG.pdf" TargetMode="External"/><Relationship Id="rId19" Type="http://schemas.openxmlformats.org/officeDocument/2006/relationships/hyperlink" Target="https://transgender.dosje.gov.in/Applicant/Registration/DisplayForm1" TargetMode="External"/><Relationship Id="rId31" Type="http://schemas.openxmlformats.org/officeDocument/2006/relationships/hyperlink" Target="https://transgender.dosje.gov.in/" TargetMode="External"/><Relationship Id="rId44" Type="http://schemas.openxmlformats.org/officeDocument/2006/relationships/hyperlink" Target="https://behanbox.com/2023/11/20/why-lives-and-deaths-of-trans-persons-remain-underreported-undocumented/" TargetMode="External"/><Relationship Id="rId4" Type="http://schemas.openxmlformats.org/officeDocument/2006/relationships/hyperlink" Target="https://assets.publishing.service.gov.uk/media/64dba4a760d123001332c5c7/IND_CPIN_Sexual_orientation_and_gender_identity_and_expression.pdf" TargetMode="External"/><Relationship Id="rId9" Type="http://schemas.openxmlformats.org/officeDocument/2006/relationships/hyperlink" Target="https://www.theguardian.com/global-development/2019/mar/13/gay-people-india-stigma-lingers-despite-legal-victory" TargetMode="External"/><Relationship Id="rId14" Type="http://schemas.openxmlformats.org/officeDocument/2006/relationships/hyperlink" Target="https://www.refworld.org/jurisprudence/caselaw/indsc/2014/en/98865" TargetMode="External"/><Relationship Id="rId22" Type="http://schemas.openxmlformats.org/officeDocument/2006/relationships/hyperlink" Target="https://worldpopulationreview.com/country-rankings/trans-population-by-country" TargetMode="External"/><Relationship Id="rId27" Type="http://schemas.openxmlformats.org/officeDocument/2006/relationships/hyperlink" Target="http://www.newindianexpress.com/cities/delhi/2020/feb/24/battle-for-right-body-the-reality-of-sex-reassignment-surgeries-in-india-2107686.html" TargetMode="External"/><Relationship Id="rId30" Type="http://schemas.openxmlformats.org/officeDocument/2006/relationships/hyperlink" Target="https://www.education.gov.in/sites/upload_files/mhrd/files/PIB1944287.pdf" TargetMode="External"/><Relationship Id="rId35" Type="http://schemas.openxmlformats.org/officeDocument/2006/relationships/hyperlink" Target="https://sites.uab.edu/humanrights/2022/10/12/the-economic-status-of-transgender-people-in-india/" TargetMode="External"/><Relationship Id="rId43" Type="http://schemas.openxmlformats.org/officeDocument/2006/relationships/hyperlink" Target="https://www.icj.org/wp-content/uploads/2019/06/India-Living-with-dignity-Publications-Reports-thematic-report-2019-ENG.pdf" TargetMode="External"/><Relationship Id="rId8" Type="http://schemas.openxmlformats.org/officeDocument/2006/relationships/hyperlink" Target="file:///C:\Users\local_BroMoore\INetCache\Content.Outlook\KH2KUKGY\," TargetMode="External"/><Relationship Id="rId3" Type="http://schemas.openxmlformats.org/officeDocument/2006/relationships/hyperlink" Target="https://www.aljazeera.com/news/2018/09/india-decriminalises-gay-sex-landmark-verdict-180906051219637.html" TargetMode="External"/><Relationship Id="rId12" Type="http://schemas.openxmlformats.org/officeDocument/2006/relationships/hyperlink" Target="https://www.constitutionofindia.net/" TargetMode="External"/><Relationship Id="rId17" Type="http://schemas.openxmlformats.org/officeDocument/2006/relationships/hyperlink" Target="https://translaw.clpr.org.in/legislation/transgender-persons-protection-of-rights-rules-2020/" TargetMode="External"/><Relationship Id="rId25" Type="http://schemas.openxmlformats.org/officeDocument/2006/relationships/hyperlink" Target="https://stglms.pmjay.gov.in/local/staticpage/view.php?page=aboutnha" TargetMode="External"/><Relationship Id="rId33" Type="http://schemas.openxmlformats.org/officeDocument/2006/relationships/hyperlink" Target="https://sites.uab.edu/humanrights/2022/10/12/the-economic-status-of-transgender-people-in-india/" TargetMode="External"/><Relationship Id="rId38" Type="http://schemas.openxmlformats.org/officeDocument/2006/relationships/hyperlink" Target="https://assets.publishing.service.gov.uk/media/64dba4a760d123001332c5c7/IND_CPIN_Sexual_orientation_and_gender_identity_and_expression.pdf" TargetMode="External"/><Relationship Id="rId46" Type="http://schemas.openxmlformats.org/officeDocument/2006/relationships/hyperlink" Target="https://www.state.gov/reports/2022-country-reports-on-human-rights-practices/india" TargetMode="External"/><Relationship Id="rId20" Type="http://schemas.openxmlformats.org/officeDocument/2006/relationships/hyperlink" Target="https://transgender.dosje.gov.in/Applicant/Registration/DisplayForm1" TargetMode="External"/><Relationship Id="rId41" Type="http://schemas.openxmlformats.org/officeDocument/2006/relationships/hyperlink" Target="https://www.icj.org/wp-content/uploads/2019/06/India-Living-with-dignity-Publications-Reports-thematic-report-2019-ENG.pdf"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e968d4b9-9f0d-4b6f-81c6-222446f6098e">
      <UserInfo>
        <DisplayName>Amy Bergquist</DisplayName>
        <AccountId>51</AccountId>
        <AccountType/>
      </UserInfo>
      <UserInfo>
        <DisplayName>Verónica Cadavid González</DisplayName>
        <AccountId>1048</AccountId>
        <AccountType/>
      </UserInfo>
      <UserInfo>
        <DisplayName>Katia Galambos</DisplayName>
        <AccountId>695</AccountId>
        <AccountType/>
      </UserInfo>
    </SharedWithUsers>
    <TaxCatchAll xmlns="e968d4b9-9f0d-4b6f-81c6-222446f6098e" xsi:nil="true"/>
    <lcf76f155ced4ddcb4097134ff3c332f xmlns="42df7cb3-2fea-4ba3-b9bf-21660104d6d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b:Sources xmlns:b="http://schemas.openxmlformats.org/officeDocument/2006/bibliography" xmlns="http://schemas.openxmlformats.org/officeDocument/2006/bibliography" SelectedStyle="\APA.XSL" StyleName="APA"/>
</file>

<file path=customXml/item5.xml>�� 
</file>

<file path=customXml/item6.xml><?xml version="1.0" encoding="utf-8"?>
<ct:contentTypeSchema xmlns:ct="http://schemas.microsoft.com/office/2006/metadata/contentType" xmlns:ma="http://schemas.microsoft.com/office/2006/metadata/properties/metaAttributes" ct:_="" ma:_="" ma:contentTypeName="Document" ma:contentTypeID="0x010100452BDADA77824941B327CDF72849C9BE" ma:contentTypeVersion="17" ma:contentTypeDescription="Create a new document." ma:contentTypeScope="" ma:versionID="e5bfdad799ac2ebe9c9a0548114daf60">
  <xsd:schema xmlns:xsd="http://www.w3.org/2001/XMLSchema" xmlns:xs="http://www.w3.org/2001/XMLSchema" xmlns:p="http://schemas.microsoft.com/office/2006/metadata/properties" xmlns:ns2="42df7cb3-2fea-4ba3-b9bf-21660104d6dd" xmlns:ns3="e968d4b9-9f0d-4b6f-81c6-222446f6098e" targetNamespace="http://schemas.microsoft.com/office/2006/metadata/properties" ma:root="true" ma:fieldsID="4e031778c0cf5895f9f1379390bd731b" ns2:_="" ns3:_="">
    <xsd:import namespace="42df7cb3-2fea-4ba3-b9bf-21660104d6dd"/>
    <xsd:import namespace="e968d4b9-9f0d-4b6f-81c6-222446f6098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DateTake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df7cb3-2fea-4ba3-b9bf-21660104d6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97b734d-34eb-4ef9-910f-f2033b6cb80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968d4b9-9f0d-4b6f-81c6-222446f6098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422a2bb1-00c5-4e7e-bd93-0efc0e1fbe92}" ma:internalName="TaxCatchAll" ma:showField="CatchAllData" ma:web="e968d4b9-9f0d-4b6f-81c6-222446f609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BDE3E44-F393-47EA-8149-AE595556AE50}">
  <ds:schemaRefs>
    <ds:schemaRef ds:uri="http://schemas.microsoft.com/office/2006/metadata/properties"/>
    <ds:schemaRef ds:uri="http://schemas.microsoft.com/office/infopath/2007/PartnerControls"/>
    <ds:schemaRef ds:uri="e968d4b9-9f0d-4b6f-81c6-222446f6098e"/>
    <ds:schemaRef ds:uri="42df7cb3-2fea-4ba3-b9bf-21660104d6dd"/>
  </ds:schemaRefs>
</ds:datastoreItem>
</file>

<file path=customXml/itemProps2.xml><?xml version="1.0" encoding="utf-8"?>
<ds:datastoreItem xmlns:ds="http://schemas.openxmlformats.org/officeDocument/2006/customXml" ds:itemID="{A55CEA42-45A5-4DA1-8159-46BE07E12372}">
  <ds:schemaRefs>
    <ds:schemaRef ds:uri="http://schemas.microsoft.com/sharepoint/v3/contenttype/forms"/>
  </ds:schemaRefs>
</ds:datastoreItem>
</file>

<file path=customXml/itemProps3.xml><?xml version="1.0" encoding="utf-8"?>
<ds:datastoreItem xmlns:ds="http://schemas.openxmlformats.org/officeDocument/2006/customXml" ds:itemID="{E5666974-8AB2-419D-892B-A5759F61C585}">
  <ds:schemaRefs>
    <ds:schemaRef ds:uri="http://schemas.microsoft.com/office/2006/metadata/longProperties"/>
  </ds:schemaRefs>
</ds:datastoreItem>
</file>

<file path=customXml/itemProps4.xml><?xml version="1.0" encoding="utf-8"?>
<ds:datastoreItem xmlns:ds="http://schemas.openxmlformats.org/officeDocument/2006/customXml" ds:itemID="{2C3540FA-63B9-4F6A-B043-62B4C63AC5ED}">
  <ds:schemaRefs>
    <ds:schemaRef ds:uri="http://schemas.openxmlformats.org/officeDocument/2006/bibliography"/>
  </ds:schemaRefs>
</ds:datastoreItem>
</file>

<file path=customXml/itemProps5.xml><?xml version="1.0" encoding="utf-8"?>
<ds:datastoreItem xmlns:ds="http://schemas.openxmlformats.org/officeDocument/2006/customXml" ds:itemID="{05899AD3-B92E-44C4-B07C-7F8D1046540D}">
  <ds:schemaRefs>
    <ds:schemaRef ds:uri="http://www.imanage.com/work/xmlschema"/>
  </ds:schemaRefs>
</ds:datastoreItem>
</file>

<file path=customXml/itemProps6.xml><?xml version="1.0" encoding="utf-8"?>
<ds:datastoreItem xmlns:ds="http://schemas.openxmlformats.org/officeDocument/2006/customXml" ds:itemID="{5BE859B8-9C4E-4B6B-91F5-38DB9CE78E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df7cb3-2fea-4ba3-b9bf-21660104d6dd"/>
    <ds:schemaRef ds:uri="e968d4b9-9f0d-4b6f-81c6-222446f609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13</Pages>
  <Words>4003</Words>
  <Characters>23262</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Minnesota Advocates for Human Rights</Company>
  <LinksUpToDate>false</LinksUpToDate>
  <CharactersWithSpaces>27211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Herder</dc:creator>
  <cp:keywords/>
  <cp:lastModifiedBy>Nathan Madson</cp:lastModifiedBy>
  <cp:revision>34</cp:revision>
  <cp:lastPrinted>2011-09-16T18:52:00Z</cp:lastPrinted>
  <dcterms:created xsi:type="dcterms:W3CDTF">2024-06-07T16:29:00Z</dcterms:created>
  <dcterms:modified xsi:type="dcterms:W3CDTF">2024-06-07T18:38:00Z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188600.000000000</vt:lpwstr>
  </property>
  <property fmtid="{D5CDD505-2E9C-101B-9397-08002B2CF9AE}" pid="4" name="display_urn:schemas-microsoft-com:office:office#Author">
    <vt:lpwstr>BUILTIN\Administrators</vt:lpwstr>
  </property>
  <property fmtid="{D5CDD505-2E9C-101B-9397-08002B2CF9AE}" pid="5" name="display_urn:schemas-microsoft-com:office:office#SharedWithUsers">
    <vt:lpwstr>Amy Bergquist</vt:lpwstr>
  </property>
  <property fmtid="{D5CDD505-2E9C-101B-9397-08002B2CF9AE}" pid="6" name="SharedWithUsers">
    <vt:lpwstr>51;#Amy Bergquist</vt:lpwstr>
  </property>
  <property fmtid="{D5CDD505-2E9C-101B-9397-08002B2CF9AE}" pid="7" name="ContentTypeId">
    <vt:lpwstr>0x010100452BDADA77824941B327CDF72849C9BE</vt:lpwstr>
  </property>
  <property fmtid="{D5CDD505-2E9C-101B-9397-08002B2CF9AE}" pid="8" name="MediaServiceImageTags">
    <vt:lpwstr/>
  </property>
</Properties>
</file>