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4E1BD" w14:textId="26757B37" w:rsidR="00B33D6B" w:rsidRPr="00743B22" w:rsidRDefault="00D3199A" w:rsidP="00D94E6C">
      <w:pPr>
        <w:jc w:val="both"/>
        <w:rPr>
          <w:lang w:val="en-US"/>
        </w:rPr>
      </w:pPr>
      <w:r w:rsidRPr="00743B22">
        <w:rPr>
          <w:lang w:val="en-US"/>
        </w:rPr>
        <w:t>2025-08-</w:t>
      </w:r>
      <w:r w:rsidR="000230B3" w:rsidRPr="00743B22">
        <w:rPr>
          <w:lang w:val="en-US"/>
        </w:rPr>
        <w:t>14</w:t>
      </w:r>
    </w:p>
    <w:p w14:paraId="60E88301" w14:textId="77777777" w:rsidR="002377D3" w:rsidRPr="000F1C98" w:rsidRDefault="002377D3" w:rsidP="00D94E6C">
      <w:pPr>
        <w:jc w:val="both"/>
        <w:rPr>
          <w:b/>
          <w:bCs/>
        </w:rPr>
      </w:pPr>
      <w:r w:rsidRPr="000F1C98">
        <w:rPr>
          <w:b/>
          <w:bCs/>
        </w:rPr>
        <w:t>Presentation to the Committee on the Rights of Persons with Disabilities</w:t>
      </w:r>
    </w:p>
    <w:p w14:paraId="48F5A509" w14:textId="73670B25" w:rsidR="002246F8" w:rsidRPr="00743B22" w:rsidRDefault="002377D3" w:rsidP="00D94E6C">
      <w:pPr>
        <w:pBdr>
          <w:bottom w:val="single" w:sz="4" w:space="1" w:color="auto"/>
        </w:pBdr>
        <w:jc w:val="both"/>
      </w:pPr>
      <w:r w:rsidRPr="002377D3">
        <w:rPr>
          <w:i/>
          <w:iCs/>
        </w:rPr>
        <w:t xml:space="preserve">Insights from </w:t>
      </w:r>
      <w:r w:rsidR="000230B3" w:rsidRPr="00743B22">
        <w:rPr>
          <w:i/>
          <w:iCs/>
        </w:rPr>
        <w:t xml:space="preserve">the High Commissioner’s 2025 report to the Human Rights Council on “the rights of the child and the human rights violations of children in armed conflict”, </w:t>
      </w:r>
      <w:r w:rsidR="00F76126" w:rsidRPr="00743B22">
        <w:rPr>
          <w:i/>
          <w:iCs/>
        </w:rPr>
        <w:t xml:space="preserve">drawing on </w:t>
      </w:r>
      <w:r w:rsidRPr="002377D3">
        <w:rPr>
          <w:i/>
          <w:iCs/>
        </w:rPr>
        <w:t xml:space="preserve">Article 38 of the Convention on the Rights of the Child </w:t>
      </w:r>
      <w:r w:rsidR="00F76126" w:rsidRPr="00743B22">
        <w:rPr>
          <w:i/>
          <w:iCs/>
        </w:rPr>
        <w:t>and as r</w:t>
      </w:r>
      <w:r w:rsidRPr="002377D3">
        <w:rPr>
          <w:i/>
          <w:iCs/>
        </w:rPr>
        <w:t xml:space="preserve">elevant to the </w:t>
      </w:r>
      <w:r w:rsidR="00F76126" w:rsidRPr="00743B22">
        <w:rPr>
          <w:i/>
          <w:iCs/>
        </w:rPr>
        <w:t>e</w:t>
      </w:r>
      <w:r w:rsidRPr="002377D3">
        <w:rPr>
          <w:i/>
          <w:iCs/>
        </w:rPr>
        <w:t>laboration of</w:t>
      </w:r>
      <w:r w:rsidR="00F76126" w:rsidRPr="00743B22">
        <w:rPr>
          <w:i/>
          <w:iCs/>
        </w:rPr>
        <w:t xml:space="preserve"> the CRPD Committee’s forthcoming</w:t>
      </w:r>
      <w:r w:rsidRPr="002377D3">
        <w:rPr>
          <w:i/>
          <w:iCs/>
        </w:rPr>
        <w:t xml:space="preserve"> General Comment on Article 11 of the CRPD</w:t>
      </w:r>
    </w:p>
    <w:p w14:paraId="7852567F" w14:textId="7FEFC0CF" w:rsidR="002246F8" w:rsidRPr="002246F8" w:rsidRDefault="002246F8" w:rsidP="00D94E6C">
      <w:pPr>
        <w:jc w:val="both"/>
      </w:pPr>
      <w:r w:rsidRPr="002246F8">
        <w:t>Chairperson, Distinguished Committee Members</w:t>
      </w:r>
      <w:r w:rsidR="00465894">
        <w:t>,</w:t>
      </w:r>
    </w:p>
    <w:p w14:paraId="09CD4AFD" w14:textId="0EF2B2B9" w:rsidR="002246F8" w:rsidRPr="002246F8" w:rsidRDefault="002246F8" w:rsidP="00D94E6C">
      <w:pPr>
        <w:jc w:val="both"/>
      </w:pPr>
      <w:r w:rsidRPr="002246F8">
        <w:t xml:space="preserve">It is an honour to address you during the opening </w:t>
      </w:r>
      <w:r w:rsidR="00145BCE" w:rsidRPr="00743B22">
        <w:t xml:space="preserve">of </w:t>
      </w:r>
      <w:r w:rsidRPr="002246F8">
        <w:t xml:space="preserve">your </w:t>
      </w:r>
      <w:r w:rsidR="00145BCE" w:rsidRPr="00743B22">
        <w:t xml:space="preserve">33rd session. </w:t>
      </w:r>
    </w:p>
    <w:p w14:paraId="5E054480" w14:textId="22ED0ED7" w:rsidR="00507201" w:rsidRPr="00743B22" w:rsidRDefault="00507201" w:rsidP="00D94E6C">
      <w:pPr>
        <w:jc w:val="both"/>
      </w:pPr>
      <w:r w:rsidRPr="00743B22">
        <w:t xml:space="preserve">I speak on behalf of </w:t>
      </w:r>
      <w:r w:rsidR="00B25040">
        <w:t>OHCHR</w:t>
      </w:r>
      <w:r w:rsidRPr="00743B22">
        <w:t xml:space="preserve"> in connection with the High Commissioner’s 2025 thematic </w:t>
      </w:r>
      <w:r w:rsidR="001D41E2">
        <w:t xml:space="preserve">report </w:t>
      </w:r>
      <w:r w:rsidRPr="00743B22">
        <w:t xml:space="preserve">on </w:t>
      </w:r>
      <w:r w:rsidRPr="003175CC">
        <w:rPr>
          <w:i/>
          <w:iCs/>
        </w:rPr>
        <w:t xml:space="preserve">the rights of the child and violations of </w:t>
      </w:r>
      <w:r w:rsidR="001F0229" w:rsidRPr="003175CC">
        <w:rPr>
          <w:i/>
          <w:iCs/>
        </w:rPr>
        <w:t xml:space="preserve">the </w:t>
      </w:r>
      <w:r w:rsidRPr="003175CC">
        <w:rPr>
          <w:i/>
          <w:iCs/>
        </w:rPr>
        <w:t>human rights</w:t>
      </w:r>
      <w:r w:rsidR="001F0229" w:rsidRPr="003175CC">
        <w:rPr>
          <w:i/>
          <w:iCs/>
        </w:rPr>
        <w:t xml:space="preserve"> of children</w:t>
      </w:r>
      <w:r w:rsidRPr="003175CC">
        <w:rPr>
          <w:i/>
          <w:iCs/>
        </w:rPr>
        <w:t xml:space="preserve"> in armed conflict</w:t>
      </w:r>
      <w:r w:rsidR="00D94E6C">
        <w:t xml:space="preserve">, </w:t>
      </w:r>
      <w:r w:rsidR="00881B90">
        <w:t>which will</w:t>
      </w:r>
      <w:r w:rsidR="00D94E6C">
        <w:t xml:space="preserve"> be presented to the Human Rights Council at its 60th session.</w:t>
      </w:r>
    </w:p>
    <w:p w14:paraId="2180DCF4" w14:textId="77777777" w:rsidR="00743B22" w:rsidRPr="00743B22" w:rsidRDefault="00743B22" w:rsidP="00D94E6C">
      <w:pPr>
        <w:jc w:val="both"/>
      </w:pPr>
      <w:r w:rsidRPr="00743B22">
        <w:t>I have been invited to share how the Office approached the interpretation of Article 38 of the Convention on the Rights of the Child, and to offer reflections that may be relevant to your elaboration of a general comment on Article 11 of the CRPD.</w:t>
      </w:r>
    </w:p>
    <w:p w14:paraId="67A93596" w14:textId="19089B5C" w:rsidR="00743B22" w:rsidRPr="00743B22" w:rsidRDefault="005025D0" w:rsidP="00D94E6C">
      <w:pPr>
        <w:jc w:val="both"/>
      </w:pPr>
      <w:r>
        <w:t>As you know, w</w:t>
      </w:r>
      <w:r w:rsidR="00743B22" w:rsidRPr="00743B22">
        <w:t>hat unites Article 11 of the CRPD and Article 38 of the CRC is their unique position in international human rights treaty law</w:t>
      </w:r>
      <w:r w:rsidR="003175CC">
        <w:t>,</w:t>
      </w:r>
      <w:r w:rsidR="00743B22" w:rsidRPr="00743B22">
        <w:t xml:space="preserve"> </w:t>
      </w:r>
      <w:r w:rsidR="003175CC">
        <w:t>being</w:t>
      </w:r>
      <w:r w:rsidR="00743B22" w:rsidRPr="00743B22">
        <w:t xml:space="preserve"> the only provisions explicitly bind</w:t>
      </w:r>
      <w:r w:rsidR="003175CC">
        <w:t>ing</w:t>
      </w:r>
      <w:r w:rsidR="00743B22" w:rsidRPr="00743B22">
        <w:t xml:space="preserve"> States parties to act in accordance with both international humanitarian law and international human rights law in armed conflict.</w:t>
      </w:r>
    </w:p>
    <w:p w14:paraId="1188F5D1" w14:textId="46EECDA5" w:rsidR="0076027F" w:rsidRDefault="00743B22" w:rsidP="00D94E6C">
      <w:pPr>
        <w:jc w:val="both"/>
      </w:pPr>
      <w:r w:rsidRPr="00743B22">
        <w:t xml:space="preserve">The complementary and mutually reinforcing </w:t>
      </w:r>
      <w:r w:rsidR="007B6729">
        <w:t xml:space="preserve">application </w:t>
      </w:r>
      <w:r w:rsidR="009A549F">
        <w:t xml:space="preserve">of </w:t>
      </w:r>
      <w:r w:rsidR="00881B90">
        <w:t>these frameworks</w:t>
      </w:r>
      <w:r w:rsidR="007B6729">
        <w:t xml:space="preserve"> has been confirmed by the </w:t>
      </w:r>
      <w:r w:rsidR="007B6729" w:rsidRPr="00743B22">
        <w:t>International Court of Justice</w:t>
      </w:r>
      <w:r w:rsidR="007B6729">
        <w:t>.</w:t>
      </w:r>
    </w:p>
    <w:p w14:paraId="67120A96" w14:textId="77777777" w:rsidR="005565D8" w:rsidRDefault="005565D8" w:rsidP="005565D8">
      <w:pPr>
        <w:jc w:val="both"/>
      </w:pPr>
      <w:r>
        <w:t>The High Commissioner’s report provided an opportunity to unpack the many parallels concerning this complementarity.</w:t>
      </w:r>
    </w:p>
    <w:p w14:paraId="48662EE9" w14:textId="77777777" w:rsidR="008864D7" w:rsidRDefault="005E15D5" w:rsidP="00D7279B">
      <w:pPr>
        <w:jc w:val="both"/>
      </w:pPr>
      <w:r>
        <w:t>Notably,</w:t>
      </w:r>
      <w:r w:rsidR="003A742E">
        <w:t xml:space="preserve"> the Geneva Conventions and Additional Protocols </w:t>
      </w:r>
      <w:r w:rsidR="004310AF">
        <w:t>provisions for s</w:t>
      </w:r>
      <w:r w:rsidR="003A742E">
        <w:t xml:space="preserve">pecial respect </w:t>
      </w:r>
      <w:r w:rsidR="003A742E" w:rsidRPr="006236DD">
        <w:t>and care for children</w:t>
      </w:r>
      <w:r w:rsidRPr="006236DD">
        <w:t xml:space="preserve"> reflect</w:t>
      </w:r>
      <w:r w:rsidR="009D5C24" w:rsidRPr="006236DD">
        <w:t xml:space="preserve"> the CRC’s principle of the best interests of the child</w:t>
      </w:r>
      <w:r w:rsidR="00881B90">
        <w:t xml:space="preserve">. </w:t>
      </w:r>
    </w:p>
    <w:p w14:paraId="359DDD51" w14:textId="68FD7467" w:rsidR="00071369" w:rsidRDefault="008864D7" w:rsidP="00D7279B">
      <w:pPr>
        <w:jc w:val="both"/>
      </w:pPr>
      <w:r>
        <w:t>States parties</w:t>
      </w:r>
      <w:r w:rsidR="00153C72">
        <w:t xml:space="preserve">’ </w:t>
      </w:r>
      <w:r>
        <w:t>obligation</w:t>
      </w:r>
      <w:r w:rsidR="00153C72">
        <w:t>s</w:t>
      </w:r>
      <w:r>
        <w:t xml:space="preserve"> to conduct a best interests assessment</w:t>
      </w:r>
      <w:r w:rsidR="009D5C24" w:rsidRPr="006236DD">
        <w:t xml:space="preserve"> includ</w:t>
      </w:r>
      <w:r w:rsidR="00153C72">
        <w:t>e</w:t>
      </w:r>
      <w:r w:rsidR="009D5C24" w:rsidRPr="006236DD">
        <w:t xml:space="preserve"> </w:t>
      </w:r>
      <w:r w:rsidR="00071369">
        <w:t>in t</w:t>
      </w:r>
      <w:r w:rsidR="00A23849">
        <w:t>h</w:t>
      </w:r>
      <w:r w:rsidR="00071369">
        <w:t>e governance of its</w:t>
      </w:r>
      <w:r w:rsidR="009D5C24" w:rsidRPr="006236DD">
        <w:t xml:space="preserve"> military operations.</w:t>
      </w:r>
    </w:p>
    <w:p w14:paraId="4C4933EF" w14:textId="7460159F" w:rsidR="001E2BBB" w:rsidRPr="00F05123" w:rsidRDefault="00C237F2" w:rsidP="00D7279B">
      <w:pPr>
        <w:jc w:val="both"/>
        <w:rPr>
          <w:i/>
          <w:iCs/>
        </w:rPr>
      </w:pPr>
      <w:r w:rsidRPr="00F05123">
        <w:rPr>
          <w:i/>
          <w:iCs/>
        </w:rPr>
        <w:t>Ensuring c</w:t>
      </w:r>
      <w:r w:rsidR="009D5C24" w:rsidRPr="00F05123">
        <w:rPr>
          <w:i/>
          <w:iCs/>
        </w:rPr>
        <w:t>hildren</w:t>
      </w:r>
      <w:r w:rsidR="00D7279B">
        <w:rPr>
          <w:i/>
          <w:iCs/>
        </w:rPr>
        <w:t xml:space="preserve">’s views are considered </w:t>
      </w:r>
      <w:r w:rsidR="00AD4D49">
        <w:rPr>
          <w:i/>
          <w:iCs/>
        </w:rPr>
        <w:t xml:space="preserve">in </w:t>
      </w:r>
      <w:r w:rsidR="00A5620F">
        <w:rPr>
          <w:i/>
          <w:iCs/>
        </w:rPr>
        <w:t>such</w:t>
      </w:r>
      <w:r w:rsidR="009D5C24" w:rsidRPr="00F05123">
        <w:rPr>
          <w:i/>
          <w:iCs/>
        </w:rPr>
        <w:t xml:space="preserve"> assessments</w:t>
      </w:r>
      <w:r w:rsidR="00D7279B">
        <w:rPr>
          <w:i/>
          <w:iCs/>
        </w:rPr>
        <w:t xml:space="preserve"> is critical.</w:t>
      </w:r>
    </w:p>
    <w:p w14:paraId="2EF6DE89" w14:textId="5A14A5E3" w:rsidR="00743B22" w:rsidRDefault="002D0608" w:rsidP="001E2BBB">
      <w:pPr>
        <w:jc w:val="both"/>
      </w:pPr>
      <w:r>
        <w:t xml:space="preserve">Complementarity in the </w:t>
      </w:r>
      <w:r w:rsidR="00A5620F">
        <w:t xml:space="preserve">humanitarian and human rights </w:t>
      </w:r>
      <w:r>
        <w:t xml:space="preserve">legal frameworks is </w:t>
      </w:r>
      <w:r w:rsidR="00D34A8D">
        <w:t>evident</w:t>
      </w:r>
      <w:r w:rsidR="00890BFA">
        <w:t xml:space="preserve"> </w:t>
      </w:r>
      <w:r w:rsidR="00D34A8D">
        <w:t xml:space="preserve">in </w:t>
      </w:r>
      <w:r w:rsidR="00AD4D49">
        <w:t>several</w:t>
      </w:r>
      <w:r w:rsidR="00D34A8D">
        <w:t xml:space="preserve"> </w:t>
      </w:r>
      <w:r w:rsidR="00890BFA">
        <w:t>shared</w:t>
      </w:r>
      <w:r w:rsidR="00FA2C5B" w:rsidRPr="00743B22">
        <w:t xml:space="preserve"> </w:t>
      </w:r>
      <w:r w:rsidR="00743B22" w:rsidRPr="00743B22">
        <w:t>prohibit</w:t>
      </w:r>
      <w:r w:rsidR="00890BFA">
        <w:t xml:space="preserve">ions </w:t>
      </w:r>
      <w:r w:rsidR="007D6E22">
        <w:t>including on</w:t>
      </w:r>
      <w:r w:rsidR="00D34A8D">
        <w:t>:</w:t>
      </w:r>
      <w:r w:rsidR="00743B22" w:rsidRPr="00743B22">
        <w:t xml:space="preserve"> child recruitment</w:t>
      </w:r>
      <w:r w:rsidR="00890BFA">
        <w:t xml:space="preserve"> </w:t>
      </w:r>
      <w:r w:rsidR="00B730D2">
        <w:t>and use in hostilities</w:t>
      </w:r>
      <w:r w:rsidR="00D34A8D">
        <w:t>;</w:t>
      </w:r>
      <w:r w:rsidR="00743B22" w:rsidRPr="00743B22">
        <w:t xml:space="preserve"> </w:t>
      </w:r>
      <w:r w:rsidR="00890BFA">
        <w:t>guarantees of continued</w:t>
      </w:r>
      <w:r w:rsidR="00743B22" w:rsidRPr="00743B22">
        <w:t xml:space="preserve"> access to education, healthcare, food, and humanitarian aid</w:t>
      </w:r>
      <w:r w:rsidR="00D34A8D">
        <w:t>;</w:t>
      </w:r>
      <w:r w:rsidR="00743B22" w:rsidRPr="00743B22">
        <w:t xml:space="preserve"> </w:t>
      </w:r>
      <w:r w:rsidR="00082D66">
        <w:t>preservation of family life and guarantees of</w:t>
      </w:r>
      <w:r w:rsidR="00743B22" w:rsidRPr="00743B22">
        <w:t xml:space="preserve"> family reunification</w:t>
      </w:r>
      <w:r w:rsidR="00B730D2">
        <w:t>;</w:t>
      </w:r>
      <w:r w:rsidR="00082D66">
        <w:t xml:space="preserve"> protections from violence including </w:t>
      </w:r>
      <w:r w:rsidR="00082D66" w:rsidRPr="00743B22">
        <w:t>evacuation from combat zones</w:t>
      </w:r>
      <w:r w:rsidR="00B730D2">
        <w:t>;</w:t>
      </w:r>
      <w:r w:rsidR="00082D66" w:rsidRPr="00743B22">
        <w:t xml:space="preserve"> </w:t>
      </w:r>
      <w:r w:rsidR="0062354A" w:rsidRPr="00743B22">
        <w:t xml:space="preserve">protections for </w:t>
      </w:r>
      <w:r w:rsidR="0062354A">
        <w:t xml:space="preserve">displaced </w:t>
      </w:r>
      <w:r w:rsidR="00B730D2">
        <w:t>children;</w:t>
      </w:r>
      <w:r w:rsidR="0062354A">
        <w:t xml:space="preserve"> </w:t>
      </w:r>
      <w:r w:rsidR="00082D66">
        <w:t>special consideration for</w:t>
      </w:r>
      <w:r w:rsidR="00743B22" w:rsidRPr="00743B22">
        <w:t xml:space="preserve"> </w:t>
      </w:r>
      <w:r w:rsidR="00082D66">
        <w:t>detained</w:t>
      </w:r>
      <w:r w:rsidR="00890BFA">
        <w:t xml:space="preserve"> ch</w:t>
      </w:r>
      <w:r w:rsidR="00890BFA" w:rsidRPr="00743B22">
        <w:t>ildren</w:t>
      </w:r>
      <w:r w:rsidR="00B730D2">
        <w:t>;</w:t>
      </w:r>
      <w:r w:rsidR="00890BFA" w:rsidRPr="00743B22">
        <w:t xml:space="preserve"> </w:t>
      </w:r>
      <w:r w:rsidR="00FB0B92">
        <w:t xml:space="preserve">and general </w:t>
      </w:r>
      <w:r w:rsidR="00743B22" w:rsidRPr="00743B22">
        <w:t>prohibit</w:t>
      </w:r>
      <w:r w:rsidR="00082D66">
        <w:t>ions of</w:t>
      </w:r>
      <w:r w:rsidR="00743B22" w:rsidRPr="00743B22">
        <w:t xml:space="preserve"> discrimination, torture, cruel or inhuman treatment, and sexual violence.</w:t>
      </w:r>
    </w:p>
    <w:p w14:paraId="7754EEBC" w14:textId="77777777" w:rsidR="0064761F" w:rsidRDefault="0064761F" w:rsidP="00C02604">
      <w:pPr>
        <w:jc w:val="both"/>
      </w:pPr>
      <w:r w:rsidRPr="0064761F">
        <w:lastRenderedPageBreak/>
        <w:t xml:space="preserve">By obligating States parties to respect and ensure respect for IHL, Article 38 recalls the principles of distinction, proportionality, and precaution. These translate into State obligations to prevent harm to children in hostilities, including by prohibiting indiscriminate attacks, refraining from the use of explosive weapons in populated areas, and investigating unlawful killings. </w:t>
      </w:r>
    </w:p>
    <w:p w14:paraId="75034677" w14:textId="61421CDE" w:rsidR="00C02604" w:rsidRDefault="00C02604" w:rsidP="00C02604">
      <w:pPr>
        <w:jc w:val="both"/>
      </w:pPr>
      <w:r w:rsidRPr="00743B22">
        <w:t xml:space="preserve">Denial of humanitarian access </w:t>
      </w:r>
      <w:r w:rsidR="003A742E">
        <w:t>is</w:t>
      </w:r>
      <w:r w:rsidR="00870E0F">
        <w:t xml:space="preserve"> another </w:t>
      </w:r>
      <w:r w:rsidR="00E244AF">
        <w:t>example</w:t>
      </w:r>
      <w:r w:rsidR="00870E0F">
        <w:t xml:space="preserve"> of </w:t>
      </w:r>
      <w:r w:rsidR="00E244AF">
        <w:t>conduct that</w:t>
      </w:r>
      <w:r w:rsidRPr="00743B22">
        <w:t xml:space="preserve"> violat</w:t>
      </w:r>
      <w:r w:rsidR="00870E0F">
        <w:t>es</w:t>
      </w:r>
      <w:r w:rsidR="00E244AF">
        <w:t xml:space="preserve"> both</w:t>
      </w:r>
      <w:r w:rsidR="00870E0F">
        <w:t xml:space="preserve"> the CRC</w:t>
      </w:r>
      <w:r w:rsidR="0073674A">
        <w:t xml:space="preserve">’s provisions on </w:t>
      </w:r>
      <w:r w:rsidR="00E244AF">
        <w:t xml:space="preserve">the </w:t>
      </w:r>
      <w:r w:rsidRPr="00743B22">
        <w:t>right</w:t>
      </w:r>
      <w:r w:rsidR="00A60C6D">
        <w:t>s</w:t>
      </w:r>
      <w:r w:rsidRPr="00743B22">
        <w:t xml:space="preserve"> to life and health, </w:t>
      </w:r>
      <w:r w:rsidR="0073674A">
        <w:t xml:space="preserve">and </w:t>
      </w:r>
      <w:r w:rsidR="00A60C6D">
        <w:t xml:space="preserve">IHL </w:t>
      </w:r>
      <w:r w:rsidRPr="00743B22">
        <w:t>prohibit</w:t>
      </w:r>
      <w:r w:rsidR="00A60C6D">
        <w:t>ions of</w:t>
      </w:r>
      <w:r w:rsidRPr="00743B22">
        <w:t xml:space="preserve"> </w:t>
      </w:r>
      <w:r w:rsidR="009C5B6C">
        <w:t xml:space="preserve">collective punishment and </w:t>
      </w:r>
      <w:r w:rsidRPr="00743B22">
        <w:t>the starvation of civilians as a method of warfare.</w:t>
      </w:r>
    </w:p>
    <w:p w14:paraId="250306D3" w14:textId="2A6601A7" w:rsidR="00D86F21" w:rsidRDefault="00D86F21" w:rsidP="00C02604">
      <w:pPr>
        <w:jc w:val="both"/>
      </w:pPr>
      <w:r w:rsidRPr="00D86F21">
        <w:t xml:space="preserve">Applying both </w:t>
      </w:r>
      <w:r w:rsidR="005D2958">
        <w:t>international human rights law</w:t>
      </w:r>
      <w:r w:rsidRPr="00D86F21">
        <w:t xml:space="preserve"> and </w:t>
      </w:r>
      <w:r w:rsidR="005D2958">
        <w:t xml:space="preserve">humanitarian law </w:t>
      </w:r>
      <w:r w:rsidRPr="00D86F21">
        <w:t xml:space="preserve">in a complementary manner requires States to adopt a non-discriminatory, rights-based approach that </w:t>
      </w:r>
      <w:proofErr w:type="gramStart"/>
      <w:r w:rsidRPr="00D86F21">
        <w:t>takes into account</w:t>
      </w:r>
      <w:proofErr w:type="gramEnd"/>
      <w:r w:rsidRPr="00D86F21">
        <w:t xml:space="preserve"> intersecting factors such as age, gender, disability, ethnicity, and migration status. </w:t>
      </w:r>
    </w:p>
    <w:p w14:paraId="19B33EF1" w14:textId="56BBBFF0" w:rsidR="00C02604" w:rsidRPr="00743B22" w:rsidRDefault="003B2A19" w:rsidP="00C90563">
      <w:pPr>
        <w:jc w:val="both"/>
      </w:pPr>
      <w:r>
        <w:t xml:space="preserve">For example, </w:t>
      </w:r>
      <w:r w:rsidR="007C4D69">
        <w:t xml:space="preserve">States </w:t>
      </w:r>
      <w:r>
        <w:t xml:space="preserve">parties to the CRC </w:t>
      </w:r>
      <w:r w:rsidR="004517A0">
        <w:t xml:space="preserve">are required </w:t>
      </w:r>
      <w:r w:rsidR="007C4D69">
        <w:t>to apply a</w:t>
      </w:r>
      <w:r w:rsidR="007C4D69" w:rsidRPr="007C4D69">
        <w:t xml:space="preserve"> disability rights framework</w:t>
      </w:r>
      <w:r w:rsidR="007C4D69">
        <w:t xml:space="preserve"> </w:t>
      </w:r>
      <w:r w:rsidR="007C4D69" w:rsidRPr="007C4D69">
        <w:t>to address the heightened risks children with disabilities face</w:t>
      </w:r>
      <w:r w:rsidR="004517A0">
        <w:t xml:space="preserve"> in armed conflict</w:t>
      </w:r>
      <w:r w:rsidR="00C90563">
        <w:t>.</w:t>
      </w:r>
    </w:p>
    <w:p w14:paraId="3DF82091" w14:textId="2A545BFF" w:rsidR="000D5EBA" w:rsidRDefault="009D5C24" w:rsidP="0071287C">
      <w:pPr>
        <w:jc w:val="both"/>
      </w:pPr>
      <w:r w:rsidRPr="00743B22">
        <w:t xml:space="preserve">The Committee on the Rights of the Child has affirmed that </w:t>
      </w:r>
      <w:r>
        <w:t xml:space="preserve">the Convention applies to all </w:t>
      </w:r>
      <w:r w:rsidRPr="00743B22">
        <w:t>children</w:t>
      </w:r>
      <w:r>
        <w:t xml:space="preserve">, </w:t>
      </w:r>
      <w:proofErr w:type="gramStart"/>
      <w:r>
        <w:t>at all times</w:t>
      </w:r>
      <w:proofErr w:type="gramEnd"/>
      <w:r>
        <w:t xml:space="preserve">, </w:t>
      </w:r>
      <w:r w:rsidRPr="00743B22">
        <w:t>with no derogation permitted during armed conflict</w:t>
      </w:r>
      <w:r w:rsidR="008D7815">
        <w:t xml:space="preserve">. Its protections apply to both </w:t>
      </w:r>
      <w:r w:rsidR="002E0461" w:rsidRPr="00D068B2">
        <w:t xml:space="preserve">international </w:t>
      </w:r>
      <w:r w:rsidR="008D7815">
        <w:t>and domestic armed conflict</w:t>
      </w:r>
      <w:r w:rsidR="00D37443">
        <w:t>, including</w:t>
      </w:r>
      <w:r w:rsidR="00675C10">
        <w:t xml:space="preserve"> </w:t>
      </w:r>
      <w:r w:rsidR="005165D5">
        <w:t xml:space="preserve">warfare-like </w:t>
      </w:r>
      <w:r w:rsidR="00675C10">
        <w:t xml:space="preserve">situations </w:t>
      </w:r>
      <w:r w:rsidR="005165D5">
        <w:t>involving</w:t>
      </w:r>
      <w:r w:rsidR="00675C10">
        <w:t xml:space="preserve"> organized criminal gangs</w:t>
      </w:r>
      <w:r w:rsidR="002E0461">
        <w:t>.</w:t>
      </w:r>
      <w:r w:rsidRPr="00743B22">
        <w:t xml:space="preserve"> </w:t>
      </w:r>
    </w:p>
    <w:p w14:paraId="56ACD122" w14:textId="36ACA191" w:rsidR="004B3931" w:rsidRPr="00743B22" w:rsidRDefault="008F2525" w:rsidP="0071287C">
      <w:pPr>
        <w:jc w:val="both"/>
      </w:pPr>
      <w:r>
        <w:t>Convention</w:t>
      </w:r>
      <w:r w:rsidR="005165D5">
        <w:t xml:space="preserve"> obligations </w:t>
      </w:r>
      <w:r w:rsidR="00D37443">
        <w:t>extend beyon</w:t>
      </w:r>
      <w:r>
        <w:t>d</w:t>
      </w:r>
      <w:r w:rsidR="004B3931" w:rsidRPr="00743B22">
        <w:t xml:space="preserve"> States directly engaged in </w:t>
      </w:r>
      <w:r w:rsidR="0071287C" w:rsidRPr="0071287C">
        <w:t xml:space="preserve">hostilities to those whose actions impact conflict-affected children </w:t>
      </w:r>
      <w:r w:rsidR="00822456">
        <w:t>including</w:t>
      </w:r>
      <w:r w:rsidR="0071287C" w:rsidRPr="0071287C">
        <w:t xml:space="preserve"> in asylum processes,</w:t>
      </w:r>
      <w:r w:rsidR="00822456">
        <w:t xml:space="preserve"> through</w:t>
      </w:r>
      <w:r w:rsidR="0071287C" w:rsidRPr="0071287C">
        <w:t xml:space="preserve"> </w:t>
      </w:r>
      <w:r w:rsidR="00161220">
        <w:t xml:space="preserve">arms </w:t>
      </w:r>
      <w:r w:rsidR="00ED7389">
        <w:t>export</w:t>
      </w:r>
      <w:r w:rsidR="00161220">
        <w:t>s</w:t>
      </w:r>
      <w:r w:rsidR="0071287C" w:rsidRPr="0071287C">
        <w:t xml:space="preserve"> and </w:t>
      </w:r>
      <w:r w:rsidR="001276A9">
        <w:t xml:space="preserve">the </w:t>
      </w:r>
      <w:r w:rsidR="0071287C" w:rsidRPr="0071287C">
        <w:t>delivery of humanitarian aid.</w:t>
      </w:r>
    </w:p>
    <w:p w14:paraId="16B088B1" w14:textId="77777777" w:rsidR="00822456" w:rsidRDefault="004F5D72" w:rsidP="0092347F">
      <w:pPr>
        <w:jc w:val="both"/>
      </w:pPr>
      <w:r w:rsidRPr="00743B22">
        <w:t xml:space="preserve">Our </w:t>
      </w:r>
      <w:r w:rsidR="005E7717">
        <w:t xml:space="preserve">report </w:t>
      </w:r>
      <w:r w:rsidRPr="00743B22">
        <w:t>conclu</w:t>
      </w:r>
      <w:r w:rsidR="005E7717">
        <w:t>des</w:t>
      </w:r>
      <w:r w:rsidRPr="00743B22">
        <w:t xml:space="preserve"> that the rights of the child in situations of armed conflict are comprehensively protected under international </w:t>
      </w:r>
      <w:r>
        <w:t>law</w:t>
      </w:r>
      <w:r w:rsidR="005E7717">
        <w:t>. Both</w:t>
      </w:r>
      <w:r>
        <w:t xml:space="preserve"> </w:t>
      </w:r>
      <w:r w:rsidRPr="00743B22">
        <w:t>human rights</w:t>
      </w:r>
      <w:r>
        <w:t xml:space="preserve"> and</w:t>
      </w:r>
      <w:r w:rsidRPr="00743B22">
        <w:t xml:space="preserve"> humanitarian</w:t>
      </w:r>
      <w:r>
        <w:t xml:space="preserve"> law</w:t>
      </w:r>
      <w:r w:rsidR="005E7717">
        <w:t xml:space="preserve"> </w:t>
      </w:r>
      <w:r w:rsidRPr="00743B22">
        <w:t>frameworks, when applied in a complementary manner, provide a coherent legal basis for preventing violations, ensuring protection, and securing remedies.</w:t>
      </w:r>
      <w:r w:rsidR="0092347F">
        <w:t xml:space="preserve"> </w:t>
      </w:r>
    </w:p>
    <w:p w14:paraId="6AAD073F" w14:textId="34C83EB9" w:rsidR="00743B22" w:rsidRPr="00743B22" w:rsidRDefault="0092347F" w:rsidP="0058451F">
      <w:pPr>
        <w:jc w:val="both"/>
      </w:pPr>
      <w:r w:rsidRPr="00743B22">
        <w:t xml:space="preserve">The challenge </w:t>
      </w:r>
      <w:r w:rsidR="00A01E25">
        <w:t>remains</w:t>
      </w:r>
      <w:r w:rsidRPr="00743B22">
        <w:t xml:space="preserve"> one of implementation and accountability</w:t>
      </w:r>
      <w:r w:rsidR="00C56F84">
        <w:t>.</w:t>
      </w:r>
      <w:r w:rsidR="0058451F">
        <w:t xml:space="preserve"> </w:t>
      </w:r>
      <w:r w:rsidR="00A01E25">
        <w:t>P</w:t>
      </w:r>
      <w:r w:rsidR="00743B22" w:rsidRPr="00743B22">
        <w:t>romising State practices</w:t>
      </w:r>
      <w:r w:rsidR="00A01E25">
        <w:t xml:space="preserve"> exist</w:t>
      </w:r>
      <w:r w:rsidR="0058451F">
        <w:t xml:space="preserve"> </w:t>
      </w:r>
      <w:r w:rsidR="00C56F84">
        <w:t>in</w:t>
      </w:r>
      <w:r w:rsidR="0058451F">
        <w:t xml:space="preserve"> this </w:t>
      </w:r>
      <w:r w:rsidR="00C56F84">
        <w:t>regard</w:t>
      </w:r>
      <w:r w:rsidR="001276A9">
        <w:t>,</w:t>
      </w:r>
      <w:r w:rsidR="005A5E41" w:rsidRPr="005A5E41">
        <w:t xml:space="preserve"> </w:t>
      </w:r>
      <w:proofErr w:type="gramStart"/>
      <w:r w:rsidR="005A5E41" w:rsidRPr="005A5E41">
        <w:t>includ</w:t>
      </w:r>
      <w:r w:rsidR="001276A9">
        <w:t>ing:</w:t>
      </w:r>
      <w:proofErr w:type="gramEnd"/>
      <w:r w:rsidR="005A5E41" w:rsidRPr="005A5E41">
        <w:t xml:space="preserve"> </w:t>
      </w:r>
      <w:r w:rsidR="005A5E41" w:rsidRPr="00976579">
        <w:t>legal guarantees of access to emergency services, shelter, education, and healthcare for all children affected by conflict</w:t>
      </w:r>
      <w:r w:rsidR="001276A9">
        <w:t>;</w:t>
      </w:r>
      <w:r w:rsidR="00976579" w:rsidRPr="00976579">
        <w:t xml:space="preserve"> legal reforms which criminalize grave violations against children</w:t>
      </w:r>
      <w:r w:rsidR="001276A9">
        <w:t>;</w:t>
      </w:r>
      <w:r w:rsidR="00976579" w:rsidRPr="00976579">
        <w:t xml:space="preserve"> and </w:t>
      </w:r>
      <w:r w:rsidR="001276A9">
        <w:t xml:space="preserve">legal </w:t>
      </w:r>
      <w:r w:rsidR="00976579" w:rsidRPr="00976579">
        <w:t>restrict</w:t>
      </w:r>
      <w:r w:rsidR="001276A9">
        <w:t>ions on</w:t>
      </w:r>
      <w:r w:rsidR="00976579" w:rsidRPr="00976579">
        <w:t xml:space="preserve"> arms exports to countries that recruit and use children in hostilities</w:t>
      </w:r>
      <w:r w:rsidR="001276A9">
        <w:t>.</w:t>
      </w:r>
    </w:p>
    <w:p w14:paraId="26973C26" w14:textId="77777777" w:rsidR="00FF4364" w:rsidRDefault="001D7739" w:rsidP="001276A9">
      <w:pPr>
        <w:jc w:val="both"/>
      </w:pPr>
      <w:r w:rsidRPr="00743B22">
        <w:t>Thank you</w:t>
      </w:r>
      <w:r>
        <w:t xml:space="preserve"> for this opportunity to share </w:t>
      </w:r>
      <w:r w:rsidR="00AD0F6B">
        <w:t xml:space="preserve">our analysis of CRC </w:t>
      </w:r>
      <w:r w:rsidR="00743B22" w:rsidRPr="00743B22">
        <w:t>Article 38</w:t>
      </w:r>
      <w:r w:rsidR="009C0B55">
        <w:t>.</w:t>
      </w:r>
      <w:r w:rsidR="00743B22" w:rsidRPr="00743B22">
        <w:t xml:space="preserve"> </w:t>
      </w:r>
      <w:r w:rsidR="00667E33">
        <w:t>W</w:t>
      </w:r>
      <w:r w:rsidR="009C0B55">
        <w:t xml:space="preserve">e hope it serves </w:t>
      </w:r>
      <w:r w:rsidR="000A3885">
        <w:t>as</w:t>
      </w:r>
      <w:r w:rsidR="00743B22" w:rsidRPr="00743B22">
        <w:t xml:space="preserve"> a model of how treaty provisions linking </w:t>
      </w:r>
      <w:r w:rsidR="009C0B55">
        <w:t xml:space="preserve">legal </w:t>
      </w:r>
      <w:r w:rsidR="001B7A0F">
        <w:t>frameworks</w:t>
      </w:r>
      <w:r w:rsidR="00FA2C5B" w:rsidRPr="00743B22">
        <w:t xml:space="preserve"> </w:t>
      </w:r>
      <w:r w:rsidR="001F220F">
        <w:t xml:space="preserve">provide </w:t>
      </w:r>
      <w:r w:rsidR="00A65992">
        <w:t>comprehensive</w:t>
      </w:r>
      <w:r w:rsidR="001F220F">
        <w:t xml:space="preserve"> protections</w:t>
      </w:r>
      <w:r w:rsidR="000135D2">
        <w:t xml:space="preserve"> in armed conflict</w:t>
      </w:r>
      <w:r w:rsidR="001E0669">
        <w:t>.</w:t>
      </w:r>
      <w:r w:rsidR="002134E3">
        <w:t xml:space="preserve"> </w:t>
      </w:r>
      <w:r w:rsidR="001276A9">
        <w:t xml:space="preserve"> </w:t>
      </w:r>
      <w:r w:rsidR="001276A9">
        <w:tab/>
      </w:r>
    </w:p>
    <w:p w14:paraId="0B191D8D" w14:textId="40AF77E4" w:rsidR="002246F8" w:rsidRPr="002246F8" w:rsidRDefault="002134E3" w:rsidP="001276A9">
      <w:pPr>
        <w:jc w:val="both"/>
      </w:pPr>
      <w:r>
        <w:t>END</w:t>
      </w:r>
    </w:p>
    <w:sectPr w:rsidR="002246F8" w:rsidRPr="002246F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B239F" w14:textId="77777777" w:rsidR="00E54409" w:rsidRDefault="00E54409" w:rsidP="00E54409">
      <w:pPr>
        <w:spacing w:after="0" w:line="240" w:lineRule="auto"/>
      </w:pPr>
      <w:r>
        <w:separator/>
      </w:r>
    </w:p>
  </w:endnote>
  <w:endnote w:type="continuationSeparator" w:id="0">
    <w:p w14:paraId="18A22D81" w14:textId="77777777" w:rsidR="00E54409" w:rsidRDefault="00E54409" w:rsidP="00E54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BA32D" w14:textId="06031283" w:rsidR="00E54409" w:rsidRDefault="00E54409">
    <w:pPr>
      <w:pStyle w:val="Footer"/>
      <w:jc w:val="right"/>
    </w:pPr>
    <w:r>
      <w:t>2025-08-0</w:t>
    </w:r>
    <w:r w:rsidR="00AA543D">
      <w:t>9</w:t>
    </w:r>
    <w:r>
      <w:t xml:space="preserve">/ </w:t>
    </w:r>
    <w:r w:rsidR="009F1E06">
      <w:t>OHCHR-</w:t>
    </w:r>
    <w:r>
      <w:t>CYRU/ S</w:t>
    </w:r>
    <w:r w:rsidR="009F1E06">
      <w:t>ulini</w:t>
    </w:r>
    <w:r>
      <w:tab/>
    </w:r>
    <w:r>
      <w:tab/>
    </w:r>
    <w:sdt>
      <w:sdtPr>
        <w:id w:val="27691587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6224A8C" w14:textId="77777777" w:rsidR="00E54409" w:rsidRDefault="00E54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157C1" w14:textId="77777777" w:rsidR="00E54409" w:rsidRDefault="00E54409" w:rsidP="00E54409">
      <w:pPr>
        <w:spacing w:after="0" w:line="240" w:lineRule="auto"/>
      </w:pPr>
      <w:r>
        <w:separator/>
      </w:r>
    </w:p>
  </w:footnote>
  <w:footnote w:type="continuationSeparator" w:id="0">
    <w:p w14:paraId="6E887F8D" w14:textId="77777777" w:rsidR="00E54409" w:rsidRDefault="00E54409" w:rsidP="00E54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9571D" w14:textId="7C434952" w:rsidR="00E54409" w:rsidRPr="00E54409" w:rsidRDefault="00E54409">
    <w:pPr>
      <w:pStyle w:val="Header"/>
      <w:rPr>
        <w:lang w:val="en-US"/>
      </w:rPr>
    </w:pPr>
    <w:r>
      <w:rPr>
        <w:lang w:val="en-US"/>
      </w:rPr>
      <w:t>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921EE"/>
    <w:multiLevelType w:val="multilevel"/>
    <w:tmpl w:val="C9E0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64046E"/>
    <w:multiLevelType w:val="multilevel"/>
    <w:tmpl w:val="3FE6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B232D4"/>
    <w:multiLevelType w:val="multilevel"/>
    <w:tmpl w:val="559C9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7D65E3"/>
    <w:multiLevelType w:val="multilevel"/>
    <w:tmpl w:val="001A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19000">
    <w:abstractNumId w:val="0"/>
  </w:num>
  <w:num w:numId="2" w16cid:durableId="407532318">
    <w:abstractNumId w:val="1"/>
  </w:num>
  <w:num w:numId="3" w16cid:durableId="635451995">
    <w:abstractNumId w:val="3"/>
  </w:num>
  <w:num w:numId="4" w16cid:durableId="19782170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99A"/>
    <w:rsid w:val="00007E03"/>
    <w:rsid w:val="000135D2"/>
    <w:rsid w:val="00015139"/>
    <w:rsid w:val="00021405"/>
    <w:rsid w:val="000230B3"/>
    <w:rsid w:val="00040C34"/>
    <w:rsid w:val="000540AE"/>
    <w:rsid w:val="000712FE"/>
    <w:rsid w:val="00071369"/>
    <w:rsid w:val="00074055"/>
    <w:rsid w:val="00080D4F"/>
    <w:rsid w:val="00082D66"/>
    <w:rsid w:val="00095CB8"/>
    <w:rsid w:val="00096DA4"/>
    <w:rsid w:val="000A3885"/>
    <w:rsid w:val="000A4D57"/>
    <w:rsid w:val="000A7E44"/>
    <w:rsid w:val="000C1727"/>
    <w:rsid w:val="000C4D53"/>
    <w:rsid w:val="000D5EBA"/>
    <w:rsid w:val="000E0EBC"/>
    <w:rsid w:val="000F1C98"/>
    <w:rsid w:val="000F6150"/>
    <w:rsid w:val="00105917"/>
    <w:rsid w:val="00107B62"/>
    <w:rsid w:val="001163B0"/>
    <w:rsid w:val="0011778B"/>
    <w:rsid w:val="0012156F"/>
    <w:rsid w:val="001276A9"/>
    <w:rsid w:val="00145BCE"/>
    <w:rsid w:val="00152E17"/>
    <w:rsid w:val="00153C72"/>
    <w:rsid w:val="00161220"/>
    <w:rsid w:val="001820D7"/>
    <w:rsid w:val="001973A6"/>
    <w:rsid w:val="001A1ABD"/>
    <w:rsid w:val="001B7A0F"/>
    <w:rsid w:val="001C51C8"/>
    <w:rsid w:val="001C7799"/>
    <w:rsid w:val="001D41E2"/>
    <w:rsid w:val="001D747F"/>
    <w:rsid w:val="001D7739"/>
    <w:rsid w:val="001E0669"/>
    <w:rsid w:val="001E2BBB"/>
    <w:rsid w:val="001E6D04"/>
    <w:rsid w:val="001E6FD2"/>
    <w:rsid w:val="001F0229"/>
    <w:rsid w:val="001F220F"/>
    <w:rsid w:val="001F2D0C"/>
    <w:rsid w:val="002134E3"/>
    <w:rsid w:val="002246F8"/>
    <w:rsid w:val="00233522"/>
    <w:rsid w:val="002377D3"/>
    <w:rsid w:val="00240EF2"/>
    <w:rsid w:val="00246685"/>
    <w:rsid w:val="002610F3"/>
    <w:rsid w:val="00271AF9"/>
    <w:rsid w:val="0028222B"/>
    <w:rsid w:val="002D0608"/>
    <w:rsid w:val="002E0461"/>
    <w:rsid w:val="002F1696"/>
    <w:rsid w:val="0031019B"/>
    <w:rsid w:val="003126EE"/>
    <w:rsid w:val="003175CC"/>
    <w:rsid w:val="00317F28"/>
    <w:rsid w:val="00343555"/>
    <w:rsid w:val="003546ED"/>
    <w:rsid w:val="00363719"/>
    <w:rsid w:val="003834A4"/>
    <w:rsid w:val="003A742E"/>
    <w:rsid w:val="003B2A19"/>
    <w:rsid w:val="003C4919"/>
    <w:rsid w:val="003E38C6"/>
    <w:rsid w:val="003E73FF"/>
    <w:rsid w:val="003E76D6"/>
    <w:rsid w:val="003F7531"/>
    <w:rsid w:val="00410CB3"/>
    <w:rsid w:val="004200BB"/>
    <w:rsid w:val="00426C82"/>
    <w:rsid w:val="004310AF"/>
    <w:rsid w:val="00443222"/>
    <w:rsid w:val="004517A0"/>
    <w:rsid w:val="00456F53"/>
    <w:rsid w:val="00462B41"/>
    <w:rsid w:val="00465894"/>
    <w:rsid w:val="00472DE9"/>
    <w:rsid w:val="00490ECB"/>
    <w:rsid w:val="00494807"/>
    <w:rsid w:val="004B3931"/>
    <w:rsid w:val="004F5D72"/>
    <w:rsid w:val="005025D0"/>
    <w:rsid w:val="00506014"/>
    <w:rsid w:val="00507201"/>
    <w:rsid w:val="0051324A"/>
    <w:rsid w:val="005165D5"/>
    <w:rsid w:val="0052172E"/>
    <w:rsid w:val="00522A20"/>
    <w:rsid w:val="0052622C"/>
    <w:rsid w:val="005355B5"/>
    <w:rsid w:val="005565D8"/>
    <w:rsid w:val="00571391"/>
    <w:rsid w:val="00575530"/>
    <w:rsid w:val="0058451F"/>
    <w:rsid w:val="0058676D"/>
    <w:rsid w:val="005938B3"/>
    <w:rsid w:val="005A135F"/>
    <w:rsid w:val="005A15C1"/>
    <w:rsid w:val="005A5E41"/>
    <w:rsid w:val="005A7954"/>
    <w:rsid w:val="005B2F39"/>
    <w:rsid w:val="005C3ACE"/>
    <w:rsid w:val="005C3B2E"/>
    <w:rsid w:val="005C5DA2"/>
    <w:rsid w:val="005C6684"/>
    <w:rsid w:val="005D0AB3"/>
    <w:rsid w:val="005D2958"/>
    <w:rsid w:val="005D369E"/>
    <w:rsid w:val="005D7104"/>
    <w:rsid w:val="005E15D5"/>
    <w:rsid w:val="005E7717"/>
    <w:rsid w:val="00604EC2"/>
    <w:rsid w:val="0060760F"/>
    <w:rsid w:val="00610756"/>
    <w:rsid w:val="0062354A"/>
    <w:rsid w:val="006236DD"/>
    <w:rsid w:val="0062391D"/>
    <w:rsid w:val="00633FD6"/>
    <w:rsid w:val="0064761F"/>
    <w:rsid w:val="00667E33"/>
    <w:rsid w:val="00675C10"/>
    <w:rsid w:val="006B36B4"/>
    <w:rsid w:val="006B5631"/>
    <w:rsid w:val="006C0152"/>
    <w:rsid w:val="006C0F93"/>
    <w:rsid w:val="006C3D78"/>
    <w:rsid w:val="006D726E"/>
    <w:rsid w:val="00711903"/>
    <w:rsid w:val="0071287C"/>
    <w:rsid w:val="0071492F"/>
    <w:rsid w:val="00714FA7"/>
    <w:rsid w:val="0073674A"/>
    <w:rsid w:val="00743B22"/>
    <w:rsid w:val="00753B90"/>
    <w:rsid w:val="0076027F"/>
    <w:rsid w:val="007B3CAE"/>
    <w:rsid w:val="007B4633"/>
    <w:rsid w:val="007B6729"/>
    <w:rsid w:val="007C4D69"/>
    <w:rsid w:val="007D6E22"/>
    <w:rsid w:val="007F5833"/>
    <w:rsid w:val="008006F6"/>
    <w:rsid w:val="00810C2E"/>
    <w:rsid w:val="00820016"/>
    <w:rsid w:val="00822456"/>
    <w:rsid w:val="00827905"/>
    <w:rsid w:val="008442FF"/>
    <w:rsid w:val="0085731B"/>
    <w:rsid w:val="00870E0F"/>
    <w:rsid w:val="00881B90"/>
    <w:rsid w:val="008864D7"/>
    <w:rsid w:val="00886C0D"/>
    <w:rsid w:val="008905E1"/>
    <w:rsid w:val="00890BFA"/>
    <w:rsid w:val="00890EFD"/>
    <w:rsid w:val="008D7815"/>
    <w:rsid w:val="008E33C6"/>
    <w:rsid w:val="008F2525"/>
    <w:rsid w:val="0090492A"/>
    <w:rsid w:val="00917376"/>
    <w:rsid w:val="0092347F"/>
    <w:rsid w:val="0095499B"/>
    <w:rsid w:val="00957F9D"/>
    <w:rsid w:val="00966E0B"/>
    <w:rsid w:val="00976579"/>
    <w:rsid w:val="009A5352"/>
    <w:rsid w:val="009A549F"/>
    <w:rsid w:val="009C0B55"/>
    <w:rsid w:val="009C37B0"/>
    <w:rsid w:val="009C5B6C"/>
    <w:rsid w:val="009D5C24"/>
    <w:rsid w:val="009E6A28"/>
    <w:rsid w:val="009F1E06"/>
    <w:rsid w:val="00A01E25"/>
    <w:rsid w:val="00A23849"/>
    <w:rsid w:val="00A5620F"/>
    <w:rsid w:val="00A60C6D"/>
    <w:rsid w:val="00A61370"/>
    <w:rsid w:val="00A65992"/>
    <w:rsid w:val="00AA4C6B"/>
    <w:rsid w:val="00AA543D"/>
    <w:rsid w:val="00AD0736"/>
    <w:rsid w:val="00AD0F6B"/>
    <w:rsid w:val="00AD4D49"/>
    <w:rsid w:val="00AD70EE"/>
    <w:rsid w:val="00AF0600"/>
    <w:rsid w:val="00AF2295"/>
    <w:rsid w:val="00B01033"/>
    <w:rsid w:val="00B07A4B"/>
    <w:rsid w:val="00B14103"/>
    <w:rsid w:val="00B24922"/>
    <w:rsid w:val="00B25040"/>
    <w:rsid w:val="00B27953"/>
    <w:rsid w:val="00B33D6B"/>
    <w:rsid w:val="00B52321"/>
    <w:rsid w:val="00B604F6"/>
    <w:rsid w:val="00B730D2"/>
    <w:rsid w:val="00BA5D82"/>
    <w:rsid w:val="00BC17FD"/>
    <w:rsid w:val="00BD1F0D"/>
    <w:rsid w:val="00BF729F"/>
    <w:rsid w:val="00C02604"/>
    <w:rsid w:val="00C237F2"/>
    <w:rsid w:val="00C3754D"/>
    <w:rsid w:val="00C5623B"/>
    <w:rsid w:val="00C56F84"/>
    <w:rsid w:val="00C64E08"/>
    <w:rsid w:val="00C67E69"/>
    <w:rsid w:val="00C81EEF"/>
    <w:rsid w:val="00C8515B"/>
    <w:rsid w:val="00C8721F"/>
    <w:rsid w:val="00C90563"/>
    <w:rsid w:val="00CA0D2B"/>
    <w:rsid w:val="00CA15D0"/>
    <w:rsid w:val="00CC3C3C"/>
    <w:rsid w:val="00CD0099"/>
    <w:rsid w:val="00CD147F"/>
    <w:rsid w:val="00CD24FE"/>
    <w:rsid w:val="00CE59DC"/>
    <w:rsid w:val="00CF3402"/>
    <w:rsid w:val="00CF66DC"/>
    <w:rsid w:val="00D043C2"/>
    <w:rsid w:val="00D05354"/>
    <w:rsid w:val="00D068B2"/>
    <w:rsid w:val="00D235D8"/>
    <w:rsid w:val="00D3199A"/>
    <w:rsid w:val="00D34A8D"/>
    <w:rsid w:val="00D37443"/>
    <w:rsid w:val="00D42044"/>
    <w:rsid w:val="00D52578"/>
    <w:rsid w:val="00D6437C"/>
    <w:rsid w:val="00D7279B"/>
    <w:rsid w:val="00D835D1"/>
    <w:rsid w:val="00D85097"/>
    <w:rsid w:val="00D86F21"/>
    <w:rsid w:val="00D926E7"/>
    <w:rsid w:val="00D94E6C"/>
    <w:rsid w:val="00DE7E72"/>
    <w:rsid w:val="00E244AF"/>
    <w:rsid w:val="00E2560D"/>
    <w:rsid w:val="00E36508"/>
    <w:rsid w:val="00E3722E"/>
    <w:rsid w:val="00E46F5C"/>
    <w:rsid w:val="00E52581"/>
    <w:rsid w:val="00E54409"/>
    <w:rsid w:val="00E5753C"/>
    <w:rsid w:val="00E9307E"/>
    <w:rsid w:val="00EC6B3E"/>
    <w:rsid w:val="00ED18C0"/>
    <w:rsid w:val="00ED6A74"/>
    <w:rsid w:val="00ED7389"/>
    <w:rsid w:val="00EE66C0"/>
    <w:rsid w:val="00F019E7"/>
    <w:rsid w:val="00F05123"/>
    <w:rsid w:val="00F13A09"/>
    <w:rsid w:val="00F41D48"/>
    <w:rsid w:val="00F54C87"/>
    <w:rsid w:val="00F62557"/>
    <w:rsid w:val="00F76126"/>
    <w:rsid w:val="00FA2C5B"/>
    <w:rsid w:val="00FB0B92"/>
    <w:rsid w:val="00FD2894"/>
    <w:rsid w:val="00FF4364"/>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94F1CC6"/>
  <w15:chartTrackingRefBased/>
  <w15:docId w15:val="{59D42EFE-C42D-433F-A67E-FE923F22B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H"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C6B"/>
  </w:style>
  <w:style w:type="paragraph" w:styleId="Heading1">
    <w:name w:val="heading 1"/>
    <w:basedOn w:val="Normal"/>
    <w:next w:val="Normal"/>
    <w:link w:val="Heading1Char"/>
    <w:uiPriority w:val="9"/>
    <w:qFormat/>
    <w:rsid w:val="00D31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1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1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99A"/>
    <w:rPr>
      <w:rFonts w:eastAsiaTheme="majorEastAsia" w:cstheme="majorBidi"/>
      <w:color w:val="272727" w:themeColor="text1" w:themeTint="D8"/>
    </w:rPr>
  </w:style>
  <w:style w:type="paragraph" w:styleId="Title">
    <w:name w:val="Title"/>
    <w:basedOn w:val="Normal"/>
    <w:next w:val="Normal"/>
    <w:link w:val="TitleChar"/>
    <w:uiPriority w:val="10"/>
    <w:qFormat/>
    <w:rsid w:val="00D31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99A"/>
    <w:pPr>
      <w:spacing w:before="160"/>
      <w:jc w:val="center"/>
    </w:pPr>
    <w:rPr>
      <w:i/>
      <w:iCs/>
      <w:color w:val="404040" w:themeColor="text1" w:themeTint="BF"/>
    </w:rPr>
  </w:style>
  <w:style w:type="character" w:customStyle="1" w:styleId="QuoteChar">
    <w:name w:val="Quote Char"/>
    <w:basedOn w:val="DefaultParagraphFont"/>
    <w:link w:val="Quote"/>
    <w:uiPriority w:val="29"/>
    <w:rsid w:val="00D3199A"/>
    <w:rPr>
      <w:i/>
      <w:iCs/>
      <w:color w:val="404040" w:themeColor="text1" w:themeTint="BF"/>
    </w:rPr>
  </w:style>
  <w:style w:type="paragraph" w:styleId="ListParagraph">
    <w:name w:val="List Paragraph"/>
    <w:basedOn w:val="Normal"/>
    <w:uiPriority w:val="34"/>
    <w:qFormat/>
    <w:rsid w:val="00D3199A"/>
    <w:pPr>
      <w:ind w:left="720"/>
      <w:contextualSpacing/>
    </w:pPr>
  </w:style>
  <w:style w:type="character" w:styleId="IntenseEmphasis">
    <w:name w:val="Intense Emphasis"/>
    <w:basedOn w:val="DefaultParagraphFont"/>
    <w:uiPriority w:val="21"/>
    <w:qFormat/>
    <w:rsid w:val="00D3199A"/>
    <w:rPr>
      <w:i/>
      <w:iCs/>
      <w:color w:val="0F4761" w:themeColor="accent1" w:themeShade="BF"/>
    </w:rPr>
  </w:style>
  <w:style w:type="paragraph" w:styleId="IntenseQuote">
    <w:name w:val="Intense Quote"/>
    <w:basedOn w:val="Normal"/>
    <w:next w:val="Normal"/>
    <w:link w:val="IntenseQuoteChar"/>
    <w:uiPriority w:val="30"/>
    <w:qFormat/>
    <w:rsid w:val="00D31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99A"/>
    <w:rPr>
      <w:i/>
      <w:iCs/>
      <w:color w:val="0F4761" w:themeColor="accent1" w:themeShade="BF"/>
    </w:rPr>
  </w:style>
  <w:style w:type="character" w:styleId="IntenseReference">
    <w:name w:val="Intense Reference"/>
    <w:basedOn w:val="DefaultParagraphFont"/>
    <w:uiPriority w:val="32"/>
    <w:qFormat/>
    <w:rsid w:val="00D3199A"/>
    <w:rPr>
      <w:b/>
      <w:bCs/>
      <w:smallCaps/>
      <w:color w:val="0F4761" w:themeColor="accent1" w:themeShade="BF"/>
      <w:spacing w:val="5"/>
    </w:rPr>
  </w:style>
  <w:style w:type="paragraph" w:styleId="Header">
    <w:name w:val="header"/>
    <w:basedOn w:val="Normal"/>
    <w:link w:val="HeaderChar"/>
    <w:uiPriority w:val="99"/>
    <w:unhideWhenUsed/>
    <w:rsid w:val="00E54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409"/>
  </w:style>
  <w:style w:type="paragraph" w:styleId="Footer">
    <w:name w:val="footer"/>
    <w:basedOn w:val="Normal"/>
    <w:link w:val="FooterChar"/>
    <w:uiPriority w:val="99"/>
    <w:unhideWhenUsed/>
    <w:rsid w:val="00E54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409"/>
  </w:style>
  <w:style w:type="character" w:styleId="FootnoteReference">
    <w:name w:val="footnote reference"/>
    <w:aliases w:val="4_G"/>
    <w:basedOn w:val="DefaultParagraphFont"/>
    <w:uiPriority w:val="99"/>
    <w:qFormat/>
    <w:rsid w:val="00ED6A74"/>
    <w:rPr>
      <w:rFonts w:ascii="Times New Roman" w:hAnsi="Times New Roman"/>
      <w:sz w:val="18"/>
      <w:vertAlign w:val="superscript"/>
    </w:rPr>
  </w:style>
  <w:style w:type="character" w:styleId="Hyperlink">
    <w:name w:val="Hyperlink"/>
    <w:basedOn w:val="DefaultParagraphFont"/>
    <w:uiPriority w:val="99"/>
    <w:unhideWhenUsed/>
    <w:rsid w:val="00ED6A74"/>
    <w:rPr>
      <w:color w:val="0000FF"/>
      <w:u w:val="none"/>
    </w:rPr>
  </w:style>
  <w:style w:type="paragraph" w:styleId="FootnoteText">
    <w:name w:val="footnote text"/>
    <w:aliases w:val="5_G"/>
    <w:basedOn w:val="Normal"/>
    <w:link w:val="FootnoteTextChar"/>
    <w:uiPriority w:val="99"/>
    <w:qFormat/>
    <w:rsid w:val="00ED6A74"/>
    <w:pPr>
      <w:tabs>
        <w:tab w:val="right" w:pos="1021"/>
      </w:tabs>
      <w:suppressAutoHyphens/>
      <w:spacing w:after="0" w:line="220" w:lineRule="exact"/>
      <w:ind w:left="1134" w:right="1134" w:hanging="1134"/>
    </w:pPr>
    <w:rPr>
      <w:rFonts w:ascii="Times New Roman" w:eastAsia="Times New Roman" w:hAnsi="Times New Roman" w:cs="Times New Roman"/>
      <w:kern w:val="0"/>
      <w:sz w:val="18"/>
      <w:szCs w:val="20"/>
      <w:lang w:val="en-GB" w:eastAsia="en-US"/>
      <w14:ligatures w14:val="none"/>
    </w:rPr>
  </w:style>
  <w:style w:type="character" w:customStyle="1" w:styleId="FootnoteTextChar">
    <w:name w:val="Footnote Text Char"/>
    <w:aliases w:val="5_G Char"/>
    <w:basedOn w:val="DefaultParagraphFont"/>
    <w:link w:val="FootnoteText"/>
    <w:uiPriority w:val="99"/>
    <w:rsid w:val="00ED6A74"/>
    <w:rPr>
      <w:rFonts w:ascii="Times New Roman" w:eastAsia="Times New Roman" w:hAnsi="Times New Roman" w:cs="Times New Roman"/>
      <w:kern w:val="0"/>
      <w:sz w:val="18"/>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418648">
      <w:bodyDiv w:val="1"/>
      <w:marLeft w:val="0"/>
      <w:marRight w:val="0"/>
      <w:marTop w:val="0"/>
      <w:marBottom w:val="0"/>
      <w:divBdr>
        <w:top w:val="none" w:sz="0" w:space="0" w:color="auto"/>
        <w:left w:val="none" w:sz="0" w:space="0" w:color="auto"/>
        <w:bottom w:val="none" w:sz="0" w:space="0" w:color="auto"/>
        <w:right w:val="none" w:sz="0" w:space="0" w:color="auto"/>
      </w:divBdr>
    </w:div>
    <w:div w:id="852500966">
      <w:bodyDiv w:val="1"/>
      <w:marLeft w:val="0"/>
      <w:marRight w:val="0"/>
      <w:marTop w:val="0"/>
      <w:marBottom w:val="0"/>
      <w:divBdr>
        <w:top w:val="none" w:sz="0" w:space="0" w:color="auto"/>
        <w:left w:val="none" w:sz="0" w:space="0" w:color="auto"/>
        <w:bottom w:val="none" w:sz="0" w:space="0" w:color="auto"/>
        <w:right w:val="none" w:sz="0" w:space="0" w:color="auto"/>
      </w:divBdr>
    </w:div>
    <w:div w:id="1315063449">
      <w:bodyDiv w:val="1"/>
      <w:marLeft w:val="0"/>
      <w:marRight w:val="0"/>
      <w:marTop w:val="0"/>
      <w:marBottom w:val="0"/>
      <w:divBdr>
        <w:top w:val="none" w:sz="0" w:space="0" w:color="auto"/>
        <w:left w:val="none" w:sz="0" w:space="0" w:color="auto"/>
        <w:bottom w:val="none" w:sz="0" w:space="0" w:color="auto"/>
        <w:right w:val="none" w:sz="0" w:space="0" w:color="auto"/>
      </w:divBdr>
    </w:div>
    <w:div w:id="1489125898">
      <w:bodyDiv w:val="1"/>
      <w:marLeft w:val="0"/>
      <w:marRight w:val="0"/>
      <w:marTop w:val="0"/>
      <w:marBottom w:val="0"/>
      <w:divBdr>
        <w:top w:val="none" w:sz="0" w:space="0" w:color="auto"/>
        <w:left w:val="none" w:sz="0" w:space="0" w:color="auto"/>
        <w:bottom w:val="none" w:sz="0" w:space="0" w:color="auto"/>
        <w:right w:val="none" w:sz="0" w:space="0" w:color="auto"/>
      </w:divBdr>
    </w:div>
    <w:div w:id="1527018362">
      <w:bodyDiv w:val="1"/>
      <w:marLeft w:val="0"/>
      <w:marRight w:val="0"/>
      <w:marTop w:val="0"/>
      <w:marBottom w:val="0"/>
      <w:divBdr>
        <w:top w:val="none" w:sz="0" w:space="0" w:color="auto"/>
        <w:left w:val="none" w:sz="0" w:space="0" w:color="auto"/>
        <w:bottom w:val="none" w:sz="0" w:space="0" w:color="auto"/>
        <w:right w:val="none" w:sz="0" w:space="0" w:color="auto"/>
      </w:divBdr>
    </w:div>
    <w:div w:id="2062942563">
      <w:bodyDiv w:val="1"/>
      <w:marLeft w:val="0"/>
      <w:marRight w:val="0"/>
      <w:marTop w:val="0"/>
      <w:marBottom w:val="0"/>
      <w:divBdr>
        <w:top w:val="none" w:sz="0" w:space="0" w:color="auto"/>
        <w:left w:val="none" w:sz="0" w:space="0" w:color="auto"/>
        <w:bottom w:val="none" w:sz="0" w:space="0" w:color="auto"/>
        <w:right w:val="none" w:sz="0" w:space="0" w:color="auto"/>
      </w:divBdr>
    </w:div>
    <w:div w:id="211543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2025-08-11T07:56:43+00:00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1DF6CF-C8B9-4D44-A2EC-AE35A9463FFE}"/>
</file>

<file path=customXml/itemProps2.xml><?xml version="1.0" encoding="utf-8"?>
<ds:datastoreItem xmlns:ds="http://schemas.openxmlformats.org/officeDocument/2006/customXml" ds:itemID="{A159B82F-8288-4B8E-BA9B-E7C482836803}"/>
</file>

<file path=customXml/itemProps3.xml><?xml version="1.0" encoding="utf-8"?>
<ds:datastoreItem xmlns:ds="http://schemas.openxmlformats.org/officeDocument/2006/customXml" ds:itemID="{50B28FFF-2DF7-4022-B1C2-E78F5B61AAD3}"/>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4356</Characters>
  <Application>Microsoft Office Word</Application>
  <DocSecurity>4</DocSecurity>
  <Lines>36</Lines>
  <Paragraphs>10</Paragraphs>
  <ScaleCrop>false</ScaleCrop>
  <Company/>
  <LinksUpToDate>false</LinksUpToDate>
  <CharactersWithSpaces>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Sulini Sarugaser</dc:creator>
  <cp:keywords/>
  <dc:description/>
  <cp:lastModifiedBy>Jorge Araya</cp:lastModifiedBy>
  <cp:revision>2</cp:revision>
  <dcterms:created xsi:type="dcterms:W3CDTF">2025-08-11T07:56:00Z</dcterms:created>
  <dcterms:modified xsi:type="dcterms:W3CDTF">2025-08-11T07:56:00Z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