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2977E" w14:textId="4215AD80" w:rsidR="0060480B" w:rsidRPr="00CA52B7" w:rsidRDefault="0060480B" w:rsidP="00CA52B7">
      <w:pPr>
        <w:jc w:val="center"/>
        <w:rPr>
          <w:rFonts w:ascii="Times New Roman" w:hAnsi="Times New Roman" w:cs="Times New Roman"/>
          <w:color w:val="000000" w:themeColor="text1"/>
          <w:sz w:val="24"/>
          <w:szCs w:val="24"/>
        </w:rPr>
      </w:pPr>
      <w:r w:rsidRPr="00CA52B7">
        <w:rPr>
          <w:rFonts w:ascii="Times New Roman" w:hAnsi="Times New Roman" w:cs="Times New Roman"/>
          <w:color w:val="000000" w:themeColor="text1"/>
          <w:sz w:val="24"/>
          <w:szCs w:val="24"/>
        </w:rPr>
        <w:t>Grupo Guatemalteco de Mujeres-GGM, Comité de Latinoamérica y el Caribe para la Defensa de los Derechos de la Mujer-CLADEM Guatemala, Red de la No Violencia contra las Mujeres, Red Nacional de CAIMUS,</w:t>
      </w:r>
      <w:r w:rsidRPr="00CA52B7">
        <w:rPr>
          <w:rStyle w:val="Refdenotaalfinal"/>
          <w:rFonts w:ascii="Times New Roman" w:hAnsi="Times New Roman" w:cs="Times New Roman"/>
          <w:color w:val="000000" w:themeColor="text1"/>
          <w:sz w:val="24"/>
          <w:szCs w:val="24"/>
        </w:rPr>
        <w:endnoteReference w:id="1"/>
      </w:r>
      <w:r w:rsidRPr="00CA52B7">
        <w:rPr>
          <w:rFonts w:ascii="Times New Roman" w:hAnsi="Times New Roman" w:cs="Times New Roman"/>
          <w:color w:val="000000" w:themeColor="text1"/>
          <w:sz w:val="24"/>
          <w:szCs w:val="24"/>
        </w:rPr>
        <w:t xml:space="preserve"> Cyrus R. Vance Center </w:t>
      </w:r>
      <w:r w:rsidR="00C91D77" w:rsidRPr="00CA52B7">
        <w:rPr>
          <w:rFonts w:ascii="Times New Roman" w:hAnsi="Times New Roman" w:cs="Times New Roman"/>
          <w:color w:val="000000" w:themeColor="text1"/>
          <w:sz w:val="24"/>
          <w:szCs w:val="24"/>
        </w:rPr>
        <w:t>f</w:t>
      </w:r>
      <w:r w:rsidRPr="00CA52B7">
        <w:rPr>
          <w:rFonts w:ascii="Times New Roman" w:hAnsi="Times New Roman" w:cs="Times New Roman"/>
          <w:color w:val="000000" w:themeColor="text1"/>
          <w:sz w:val="24"/>
          <w:szCs w:val="24"/>
        </w:rPr>
        <w:t>or International Justice, Familiares de Víctimas del caso Diario Militar y Asociación de Familiares de Detenidos Desaparecidos de Guatemala-FAMDEGUA</w:t>
      </w:r>
    </w:p>
    <w:p w14:paraId="413E06E1" w14:textId="77777777" w:rsidR="00871E6D" w:rsidRPr="008C77C2" w:rsidRDefault="00871E6D" w:rsidP="00CA52B7">
      <w:pPr>
        <w:spacing w:after="0"/>
        <w:jc w:val="center"/>
        <w:rPr>
          <w:rFonts w:ascii="Times New Roman" w:hAnsi="Times New Roman" w:cs="Times New Roman"/>
          <w:b/>
          <w:bCs/>
          <w:sz w:val="24"/>
          <w:szCs w:val="24"/>
          <w:lang w:val="es-ES"/>
        </w:rPr>
      </w:pPr>
    </w:p>
    <w:p w14:paraId="57EB8938" w14:textId="039AABA7" w:rsidR="0060480B" w:rsidRPr="00CA52B7" w:rsidRDefault="0060480B" w:rsidP="00CA52B7">
      <w:pPr>
        <w:spacing w:after="0"/>
        <w:jc w:val="center"/>
        <w:rPr>
          <w:rFonts w:ascii="Times New Roman" w:hAnsi="Times New Roman" w:cs="Times New Roman"/>
          <w:b/>
          <w:bCs/>
          <w:sz w:val="24"/>
          <w:szCs w:val="24"/>
          <w:lang w:val="en-US"/>
        </w:rPr>
      </w:pPr>
      <w:r w:rsidRPr="00CA52B7">
        <w:rPr>
          <w:rFonts w:ascii="Times New Roman" w:hAnsi="Times New Roman" w:cs="Times New Roman"/>
          <w:b/>
          <w:bCs/>
          <w:sz w:val="24"/>
          <w:szCs w:val="24"/>
          <w:lang w:val="en-US"/>
        </w:rPr>
        <w:t>Shadow Report to the CEDAW Committee</w:t>
      </w:r>
    </w:p>
    <w:p w14:paraId="19AA4A8A" w14:textId="4F95B2C3" w:rsidR="0060480B" w:rsidRDefault="008C77C2" w:rsidP="008C77C2">
      <w:pPr>
        <w:spacing w:after="0"/>
        <w:jc w:val="center"/>
        <w:rPr>
          <w:rFonts w:ascii="Times New Roman" w:hAnsi="Times New Roman" w:cs="Times New Roman"/>
          <w:b/>
          <w:bCs/>
          <w:sz w:val="24"/>
          <w:szCs w:val="24"/>
          <w:lang w:val="en-US"/>
        </w:rPr>
      </w:pPr>
      <w:r>
        <w:rPr>
          <w:rFonts w:ascii="Times New Roman" w:hAnsi="Times New Roman" w:cs="Times New Roman"/>
          <w:b/>
          <w:bCs/>
          <w:noProof/>
          <w:sz w:val="24"/>
          <w:szCs w:val="24"/>
          <w:lang w:val="en-US"/>
        </w:rPr>
        <mc:AlternateContent>
          <mc:Choice Requires="wps">
            <w:drawing>
              <wp:anchor distT="0" distB="0" distL="114300" distR="114300" simplePos="0" relativeHeight="251659264" behindDoc="1" locked="0" layoutInCell="1" allowOverlap="1" wp14:anchorId="2096BFA4" wp14:editId="2FEF3E28">
                <wp:simplePos x="0" y="0"/>
                <wp:positionH relativeFrom="margin">
                  <wp:align>center</wp:align>
                </wp:positionH>
                <wp:positionV relativeFrom="paragraph">
                  <wp:posOffset>266813</wp:posOffset>
                </wp:positionV>
                <wp:extent cx="4189730" cy="0"/>
                <wp:effectExtent l="0" t="0" r="0" b="0"/>
                <wp:wrapTight wrapText="bothSides">
                  <wp:wrapPolygon edited="0">
                    <wp:start x="0" y="0"/>
                    <wp:lineTo x="0" y="21600"/>
                    <wp:lineTo x="21600" y="21600"/>
                    <wp:lineTo x="21600" y="0"/>
                  </wp:wrapPolygon>
                </wp:wrapTight>
                <wp:docPr id="1113447379" name="Straight Connector 1"/>
                <wp:cNvGraphicFramePr/>
                <a:graphic xmlns:a="http://schemas.openxmlformats.org/drawingml/2006/main">
                  <a:graphicData uri="http://schemas.microsoft.com/office/word/2010/wordprocessingShape">
                    <wps:wsp>
                      <wps:cNvCnPr/>
                      <wps:spPr>
                        <a:xfrm>
                          <a:off x="0" y="0"/>
                          <a:ext cx="418973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00A60C" id="Straight Connector 1" o:spid="_x0000_s1026" style="position:absolute;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1pt" to="329.9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8bcsQEAANQDAAAOAAAAZHJzL2Uyb0RvYy54bWysU8GO1DAMvSPxD1HuTNoFwVJNZw+7Wi4I&#10;VrB8QDZ1ppGSOErCtPP3OJmZdgVICMTFjR2/Z/vF3d7MzrIDxGTQ97zdNJyBVzgYv+/5t8f7V9ec&#10;pSz9IC166PkREr/ZvXyxnUIHVziiHSAyIvGpm0LPx5xDJ0RSIziZNhjA06XG6GQmN+7FEOVE7M6K&#10;q6Z5KyaMQ4ioICWK3p0u+a7yaw0qf9Y6QWa259RbrjZW+1Ss2G1lt48yjEad25D/0IWTxlPRhepO&#10;Zsm+R/MLlTMqYkKdNwqdQK2NgjoDTdM2P03zdZQB6iwkTgqLTOn/0apPh1v/EEmGKaQuhYdYpph1&#10;dOVL/bG5inVcxII5M0XBN+31+3evSVN1uRMrMMSUPwA6Vg49t8aXOWQnDx9TpmKUekkpYeuLTWjN&#10;cG+srU7ZALi1kR0kvV2e2/JWhHuWRV5BirX1espHCyfWL6CZGajZtlavW7VySqXA5wuv9ZRdYJo6&#10;WIDNn4Hn/AKFunF/A14QtTL6vICd8Rh/V32VQp/yLwqc5i4SPOFwrI9apaHVqcqd17zs5nO/wtef&#10;cfcDAAD//wMAUEsDBBQABgAIAAAAIQBtVQt+3QAAAAYBAAAPAAAAZHJzL2Rvd25yZXYueG1sTI9B&#10;S8NAEIXvQv/DMoIXsZu2NmjMpkiglx4EGyket9lpNpidDdltk/57RzzoaZh5jzffyzeT68QFh9B6&#10;UrCYJyCQam9aahR8VNuHJxAhajK684QKrhhgU8xucp0ZP9I7XvaxERxCIdMKbIx9JmWoLTod5r5H&#10;Yu3kB6cjr0MjzaBHDnedXCZJKp1uiT9Y3WNpsf7an52Cz+Z+tT1UVI1lfDuldroedutSqbvb6fUF&#10;RMQp/pnhB5/RoWCmoz+TCaJTwEWigsclT1bT9TMXOf4eZJHL//jFNwAAAP//AwBQSwECLQAUAAYA&#10;CAAAACEAtoM4kv4AAADhAQAAEwAAAAAAAAAAAAAAAAAAAAAAW0NvbnRlbnRfVHlwZXNdLnhtbFBL&#10;AQItABQABgAIAAAAIQA4/SH/1gAAAJQBAAALAAAAAAAAAAAAAAAAAC8BAABfcmVscy8ucmVsc1BL&#10;AQItABQABgAIAAAAIQCcz8bcsQEAANQDAAAOAAAAAAAAAAAAAAAAAC4CAABkcnMvZTJvRG9jLnht&#10;bFBLAQItABQABgAIAAAAIQBtVQt+3QAAAAYBAAAPAAAAAAAAAAAAAAAAAAsEAABkcnMvZG93bnJl&#10;di54bWxQSwUGAAAAAAQABADzAAAAFQUAAAAA&#10;" strokecolor="black [3213]" strokeweight=".5pt">
                <v:stroke joinstyle="miter"/>
                <w10:wrap type="tight" anchorx="margin"/>
              </v:line>
            </w:pict>
          </mc:Fallback>
        </mc:AlternateContent>
      </w:r>
      <w:r w:rsidR="0060480B" w:rsidRPr="00CA52B7">
        <w:rPr>
          <w:rFonts w:ascii="Times New Roman" w:hAnsi="Times New Roman" w:cs="Times New Roman"/>
          <w:b/>
          <w:bCs/>
          <w:sz w:val="24"/>
          <w:szCs w:val="24"/>
          <w:lang w:val="en-US"/>
        </w:rPr>
        <w:t>Review of the Tenth Periodic Report o</w:t>
      </w:r>
      <w:r w:rsidR="00A745FF">
        <w:rPr>
          <w:rFonts w:ascii="Times New Roman" w:hAnsi="Times New Roman" w:cs="Times New Roman"/>
          <w:b/>
          <w:bCs/>
          <w:sz w:val="24"/>
          <w:szCs w:val="24"/>
          <w:lang w:val="en-US"/>
        </w:rPr>
        <w:t>f</w:t>
      </w:r>
      <w:r w:rsidR="0060480B" w:rsidRPr="00CA52B7">
        <w:rPr>
          <w:rFonts w:ascii="Times New Roman" w:hAnsi="Times New Roman" w:cs="Times New Roman"/>
          <w:b/>
          <w:bCs/>
          <w:sz w:val="24"/>
          <w:szCs w:val="24"/>
          <w:lang w:val="en-US"/>
        </w:rPr>
        <w:t xml:space="preserve"> </w:t>
      </w:r>
      <w:r w:rsidR="00871E6D" w:rsidRPr="00CA52B7">
        <w:rPr>
          <w:rFonts w:ascii="Times New Roman" w:hAnsi="Times New Roman" w:cs="Times New Roman"/>
          <w:b/>
          <w:bCs/>
          <w:sz w:val="24"/>
          <w:szCs w:val="24"/>
          <w:lang w:val="en-US"/>
        </w:rPr>
        <w:t>Guatemala</w:t>
      </w:r>
    </w:p>
    <w:p w14:paraId="4175FBB2" w14:textId="77777777" w:rsidR="008C77C2" w:rsidRDefault="008C77C2" w:rsidP="008C77C2">
      <w:pPr>
        <w:spacing w:after="0"/>
        <w:jc w:val="center"/>
        <w:rPr>
          <w:rFonts w:ascii="Times New Roman" w:hAnsi="Times New Roman" w:cs="Times New Roman"/>
          <w:b/>
          <w:bCs/>
          <w:sz w:val="24"/>
          <w:szCs w:val="24"/>
          <w:lang w:val="en-US"/>
        </w:rPr>
      </w:pPr>
    </w:p>
    <w:p w14:paraId="1D64AF9D" w14:textId="77777777" w:rsidR="008C77C2" w:rsidRPr="00CA52B7" w:rsidRDefault="008C77C2" w:rsidP="008C77C2">
      <w:pPr>
        <w:spacing w:after="0"/>
        <w:jc w:val="center"/>
        <w:rPr>
          <w:rFonts w:ascii="Times New Roman" w:hAnsi="Times New Roman" w:cs="Times New Roman"/>
          <w:b/>
          <w:bCs/>
          <w:sz w:val="24"/>
          <w:szCs w:val="24"/>
          <w:lang w:val="en-US"/>
        </w:rPr>
      </w:pPr>
    </w:p>
    <w:p w14:paraId="34FA5B36" w14:textId="408CD206" w:rsidR="0060480B" w:rsidRPr="00CA52B7" w:rsidRDefault="0060480B" w:rsidP="008C77C2">
      <w:pPr>
        <w:pStyle w:val="Prrafodelista"/>
        <w:numPr>
          <w:ilvl w:val="0"/>
          <w:numId w:val="2"/>
        </w:numPr>
        <w:spacing w:afterLines="240" w:after="576"/>
        <w:jc w:val="both"/>
        <w:rPr>
          <w:rFonts w:ascii="Times New Roman" w:hAnsi="Times New Roman" w:cs="Times New Roman"/>
          <w:b/>
          <w:bCs/>
          <w:sz w:val="24"/>
          <w:szCs w:val="24"/>
        </w:rPr>
      </w:pPr>
      <w:r w:rsidRPr="00CA52B7">
        <w:rPr>
          <w:rFonts w:ascii="Times New Roman" w:hAnsi="Times New Roman" w:cs="Times New Roman"/>
          <w:b/>
          <w:bCs/>
          <w:sz w:val="24"/>
          <w:szCs w:val="24"/>
        </w:rPr>
        <w:t>Introduction</w:t>
      </w:r>
    </w:p>
    <w:p w14:paraId="038A009C" w14:textId="77777777" w:rsidR="0060480B" w:rsidRPr="00CA52B7" w:rsidRDefault="0060480B" w:rsidP="00CA52B7">
      <w:pPr>
        <w:pStyle w:val="Prrafodelista"/>
        <w:spacing w:beforeLines="240" w:before="576" w:afterLines="240" w:after="576"/>
        <w:ind w:left="1080"/>
        <w:jc w:val="both"/>
        <w:rPr>
          <w:rFonts w:ascii="Times New Roman" w:hAnsi="Times New Roman" w:cs="Times New Roman"/>
          <w:b/>
          <w:bCs/>
          <w:sz w:val="24"/>
          <w:szCs w:val="24"/>
        </w:rPr>
      </w:pPr>
    </w:p>
    <w:p w14:paraId="1C097734" w14:textId="4AD68C37" w:rsidR="0060480B" w:rsidRPr="00CA52B7" w:rsidRDefault="0060480B" w:rsidP="00CA52B7">
      <w:pPr>
        <w:pStyle w:val="Prrafodelista"/>
        <w:numPr>
          <w:ilvl w:val="0"/>
          <w:numId w:val="1"/>
        </w:numPr>
        <w:spacing w:beforeLines="240" w:before="576" w:afterLines="240" w:after="576"/>
        <w:jc w:val="both"/>
        <w:rPr>
          <w:rFonts w:ascii="Times New Roman" w:hAnsi="Times New Roman" w:cs="Times New Roman"/>
          <w:sz w:val="24"/>
          <w:szCs w:val="24"/>
          <w:lang w:val="en-US"/>
        </w:rPr>
      </w:pPr>
      <w:r w:rsidRPr="00CA52B7">
        <w:rPr>
          <w:rFonts w:ascii="Times New Roman" w:hAnsi="Times New Roman" w:cs="Times New Roman"/>
          <w:sz w:val="24"/>
          <w:szCs w:val="24"/>
          <w:lang w:val="en-US"/>
        </w:rPr>
        <w:t>Guatemala is home to the Maya, Garifuna, Xinca, Afro-descendant, and mestizo peoples. According to projections by the INE (2018), in 2023 there are a total of 17,602,431 inhabitants, 51% of whom are women; of these, 53.9% are of childbearing age, 21.7% are illiterate women, those with formal education have an average of 5.3 years of study, and 41.7% of the total population is Mayan.</w:t>
      </w:r>
      <w:r w:rsidRPr="00CA52B7">
        <w:rPr>
          <w:rStyle w:val="Refdenotaalfinal"/>
          <w:rFonts w:ascii="Times New Roman" w:hAnsi="Times New Roman" w:cs="Times New Roman"/>
          <w:sz w:val="24"/>
          <w:szCs w:val="24"/>
          <w:lang w:val="en-US"/>
        </w:rPr>
        <w:endnoteReference w:id="2"/>
      </w:r>
      <w:r w:rsidRPr="00CA52B7">
        <w:rPr>
          <w:rFonts w:ascii="Times New Roman" w:hAnsi="Times New Roman" w:cs="Times New Roman"/>
          <w:sz w:val="24"/>
          <w:szCs w:val="24"/>
          <w:lang w:val="en-US"/>
        </w:rPr>
        <w:t xml:space="preserve"> According to the IPM-GT (2018), 61.6% of the population lives in conditions of multidimensional poverty.</w:t>
      </w:r>
      <w:r w:rsidRPr="00CA52B7">
        <w:rPr>
          <w:rStyle w:val="Refdenotaalfinal"/>
          <w:rFonts w:ascii="Times New Roman" w:hAnsi="Times New Roman" w:cs="Times New Roman"/>
          <w:sz w:val="24"/>
          <w:szCs w:val="24"/>
          <w:lang w:val="en-US"/>
        </w:rPr>
        <w:endnoteReference w:id="3"/>
      </w:r>
    </w:p>
    <w:p w14:paraId="559AEC2C" w14:textId="77777777" w:rsidR="0060480B" w:rsidRPr="00CA52B7" w:rsidRDefault="0060480B" w:rsidP="00CA52B7">
      <w:pPr>
        <w:pStyle w:val="Prrafodelista"/>
        <w:spacing w:beforeLines="240" w:before="576" w:afterLines="240" w:after="576"/>
        <w:ind w:left="360"/>
        <w:jc w:val="both"/>
        <w:rPr>
          <w:rFonts w:ascii="Times New Roman" w:hAnsi="Times New Roman" w:cs="Times New Roman"/>
          <w:sz w:val="24"/>
          <w:szCs w:val="24"/>
          <w:lang w:val="en-US"/>
        </w:rPr>
      </w:pPr>
    </w:p>
    <w:p w14:paraId="24C82807" w14:textId="3CF8F426" w:rsidR="0060480B" w:rsidRPr="00CA52B7" w:rsidRDefault="0060480B" w:rsidP="00CA52B7">
      <w:pPr>
        <w:pStyle w:val="Prrafodelista"/>
        <w:numPr>
          <w:ilvl w:val="0"/>
          <w:numId w:val="1"/>
        </w:numPr>
        <w:spacing w:beforeLines="240" w:before="576" w:afterLines="240" w:after="576"/>
        <w:jc w:val="both"/>
        <w:rPr>
          <w:rFonts w:ascii="Times New Roman" w:hAnsi="Times New Roman" w:cs="Times New Roman"/>
          <w:sz w:val="24"/>
          <w:szCs w:val="24"/>
          <w:lang w:val="en-US"/>
        </w:rPr>
      </w:pPr>
      <w:r w:rsidRPr="00CA52B7">
        <w:rPr>
          <w:rFonts w:ascii="Times New Roman" w:hAnsi="Times New Roman" w:cs="Times New Roman"/>
          <w:sz w:val="24"/>
          <w:szCs w:val="24"/>
          <w:lang w:val="en-US"/>
        </w:rPr>
        <w:t xml:space="preserve">The COVID-19 pandemic had a negative impact on women, as it led to the deepening of inequalities, </w:t>
      </w:r>
      <w:r w:rsidR="001A4C66">
        <w:rPr>
          <w:rFonts w:ascii="Times New Roman" w:hAnsi="Times New Roman" w:cs="Times New Roman"/>
          <w:sz w:val="24"/>
          <w:szCs w:val="24"/>
          <w:lang w:val="en-US"/>
        </w:rPr>
        <w:t>an</w:t>
      </w:r>
      <w:r w:rsidRPr="00CA52B7">
        <w:rPr>
          <w:rFonts w:ascii="Times New Roman" w:hAnsi="Times New Roman" w:cs="Times New Roman"/>
          <w:sz w:val="24"/>
          <w:szCs w:val="24"/>
          <w:lang w:val="en-US"/>
        </w:rPr>
        <w:t xml:space="preserve"> increase in the burden of care</w:t>
      </w:r>
      <w:r w:rsidR="001A4C66">
        <w:rPr>
          <w:rFonts w:ascii="Times New Roman" w:hAnsi="Times New Roman" w:cs="Times New Roman"/>
          <w:sz w:val="24"/>
          <w:szCs w:val="24"/>
          <w:lang w:val="en-US"/>
        </w:rPr>
        <w:t>taking</w:t>
      </w:r>
      <w:r w:rsidRPr="00CA52B7">
        <w:rPr>
          <w:rFonts w:ascii="Times New Roman" w:hAnsi="Times New Roman" w:cs="Times New Roman"/>
          <w:sz w:val="24"/>
          <w:szCs w:val="24"/>
          <w:lang w:val="en-US"/>
        </w:rPr>
        <w:t xml:space="preserve"> work, violence against women, migration, and serious difficulties in accessing sexual and reproductive health services and access to justice. According to information from the UN in Guatemala (2021), a total of 64,000 hearings were suspended from March to September 2020 in the criminal branch.</w:t>
      </w:r>
      <w:r w:rsidR="00531BBC" w:rsidRPr="00CA52B7">
        <w:rPr>
          <w:rStyle w:val="Refdenotaalfinal"/>
          <w:rFonts w:ascii="Times New Roman" w:hAnsi="Times New Roman" w:cs="Times New Roman"/>
          <w:sz w:val="24"/>
          <w:szCs w:val="24"/>
          <w:lang w:val="en-US"/>
        </w:rPr>
        <w:endnoteReference w:id="4"/>
      </w:r>
    </w:p>
    <w:p w14:paraId="114525CF" w14:textId="77777777" w:rsidR="0060480B" w:rsidRPr="00CA52B7" w:rsidRDefault="0060480B" w:rsidP="00CA52B7">
      <w:pPr>
        <w:pStyle w:val="Prrafodelista"/>
        <w:spacing w:beforeLines="240" w:before="576" w:afterLines="240" w:after="576"/>
        <w:ind w:left="360"/>
        <w:jc w:val="both"/>
        <w:rPr>
          <w:rFonts w:ascii="Times New Roman" w:hAnsi="Times New Roman" w:cs="Times New Roman"/>
          <w:sz w:val="24"/>
          <w:szCs w:val="24"/>
          <w:lang w:val="en-US"/>
        </w:rPr>
      </w:pPr>
    </w:p>
    <w:p w14:paraId="18FA54F5" w14:textId="59A38602" w:rsidR="00871E6D" w:rsidRPr="00CA52B7" w:rsidRDefault="0060480B" w:rsidP="00CA52B7">
      <w:pPr>
        <w:pStyle w:val="Prrafodelista"/>
        <w:numPr>
          <w:ilvl w:val="0"/>
          <w:numId w:val="1"/>
        </w:numPr>
        <w:spacing w:beforeLines="240" w:before="576" w:afterLines="240" w:after="576"/>
        <w:jc w:val="both"/>
        <w:rPr>
          <w:rFonts w:ascii="Times New Roman" w:hAnsi="Times New Roman" w:cs="Times New Roman"/>
          <w:sz w:val="24"/>
          <w:szCs w:val="24"/>
          <w:lang w:val="en-US"/>
        </w:rPr>
      </w:pPr>
      <w:r w:rsidRPr="00CA52B7">
        <w:rPr>
          <w:rFonts w:ascii="Times New Roman" w:hAnsi="Times New Roman" w:cs="Times New Roman"/>
          <w:sz w:val="24"/>
          <w:szCs w:val="24"/>
          <w:lang w:val="en-US"/>
        </w:rPr>
        <w:t xml:space="preserve">In recent years, there has been a growing and intentional proliferation of neoconservative social </w:t>
      </w:r>
      <w:r w:rsidR="001A4C66">
        <w:rPr>
          <w:rFonts w:ascii="Times New Roman" w:hAnsi="Times New Roman" w:cs="Times New Roman"/>
          <w:sz w:val="24"/>
          <w:szCs w:val="24"/>
          <w:lang w:val="en-US"/>
        </w:rPr>
        <w:t>fictions</w:t>
      </w:r>
      <w:r w:rsidRPr="00CA52B7">
        <w:rPr>
          <w:rFonts w:ascii="Times New Roman" w:hAnsi="Times New Roman" w:cs="Times New Roman"/>
          <w:sz w:val="24"/>
          <w:szCs w:val="24"/>
          <w:lang w:val="en-US"/>
        </w:rPr>
        <w:t xml:space="preserve"> of a religious and political nature, produced and reproduced by the economic and political power elites in the country. These </w:t>
      </w:r>
      <w:r w:rsidR="001A4C66">
        <w:rPr>
          <w:rFonts w:ascii="Times New Roman" w:hAnsi="Times New Roman" w:cs="Times New Roman"/>
          <w:sz w:val="24"/>
          <w:szCs w:val="24"/>
          <w:lang w:val="en-US"/>
        </w:rPr>
        <w:t>fictions stem from</w:t>
      </w:r>
      <w:r w:rsidRPr="00CA52B7">
        <w:rPr>
          <w:rFonts w:ascii="Times New Roman" w:hAnsi="Times New Roman" w:cs="Times New Roman"/>
          <w:sz w:val="24"/>
          <w:szCs w:val="24"/>
          <w:lang w:val="en-US"/>
        </w:rPr>
        <w:t xml:space="preserve"> a virulent and visceral reaction from the most </w:t>
      </w:r>
      <w:r w:rsidR="001A4C66" w:rsidRPr="00CA52B7">
        <w:rPr>
          <w:rFonts w:ascii="Times New Roman" w:hAnsi="Times New Roman" w:cs="Times New Roman"/>
          <w:sz w:val="24"/>
          <w:szCs w:val="24"/>
          <w:lang w:val="en-US"/>
        </w:rPr>
        <w:t>regressive</w:t>
      </w:r>
      <w:r w:rsidRPr="00CA52B7">
        <w:rPr>
          <w:rFonts w:ascii="Times New Roman" w:hAnsi="Times New Roman" w:cs="Times New Roman"/>
          <w:sz w:val="24"/>
          <w:szCs w:val="24"/>
          <w:lang w:val="en-US"/>
        </w:rPr>
        <w:t xml:space="preserve"> groups in Guatemalan society, against </w:t>
      </w:r>
      <w:r w:rsidR="001A4C66">
        <w:rPr>
          <w:rFonts w:ascii="Times New Roman" w:hAnsi="Times New Roman" w:cs="Times New Roman"/>
          <w:sz w:val="24"/>
          <w:szCs w:val="24"/>
          <w:lang w:val="en-US"/>
        </w:rPr>
        <w:t xml:space="preserve">the </w:t>
      </w:r>
      <w:r w:rsidRPr="00CA52B7">
        <w:rPr>
          <w:rFonts w:ascii="Times New Roman" w:hAnsi="Times New Roman" w:cs="Times New Roman"/>
          <w:sz w:val="24"/>
          <w:szCs w:val="24"/>
          <w:lang w:val="en-US"/>
        </w:rPr>
        <w:t xml:space="preserve">advances in </w:t>
      </w:r>
      <w:r w:rsidR="001A4C66">
        <w:rPr>
          <w:rFonts w:ascii="Times New Roman" w:hAnsi="Times New Roman" w:cs="Times New Roman"/>
          <w:sz w:val="24"/>
          <w:szCs w:val="24"/>
          <w:lang w:val="en-US"/>
        </w:rPr>
        <w:t>women’s and LBT rights</w:t>
      </w:r>
      <w:r w:rsidRPr="00CA52B7">
        <w:rPr>
          <w:rFonts w:ascii="Times New Roman" w:hAnsi="Times New Roman" w:cs="Times New Roman"/>
          <w:sz w:val="24"/>
          <w:szCs w:val="24"/>
          <w:lang w:val="en-US"/>
        </w:rPr>
        <w:t xml:space="preserve">, which has led to a setback in the women's human rights agenda, </w:t>
      </w:r>
      <w:r w:rsidR="001A4C66">
        <w:rPr>
          <w:rFonts w:ascii="Times New Roman" w:hAnsi="Times New Roman" w:cs="Times New Roman"/>
          <w:sz w:val="24"/>
          <w:szCs w:val="24"/>
          <w:lang w:val="en-US"/>
        </w:rPr>
        <w:t xml:space="preserve">resulting from </w:t>
      </w:r>
      <w:r w:rsidRPr="00CA52B7">
        <w:rPr>
          <w:rFonts w:ascii="Times New Roman" w:hAnsi="Times New Roman" w:cs="Times New Roman"/>
          <w:sz w:val="24"/>
          <w:szCs w:val="24"/>
          <w:lang w:val="en-US"/>
        </w:rPr>
        <w:t>the patriarchal kleptocratic state that promotes discrimination against women and</w:t>
      </w:r>
      <w:r w:rsidR="001A4C66">
        <w:rPr>
          <w:rFonts w:ascii="Times New Roman" w:hAnsi="Times New Roman" w:cs="Times New Roman"/>
          <w:sz w:val="24"/>
          <w:szCs w:val="24"/>
          <w:lang w:val="en-US"/>
        </w:rPr>
        <w:t>,</w:t>
      </w:r>
      <w:r w:rsidRPr="00CA52B7">
        <w:rPr>
          <w:rFonts w:ascii="Times New Roman" w:hAnsi="Times New Roman" w:cs="Times New Roman"/>
          <w:sz w:val="24"/>
          <w:szCs w:val="24"/>
          <w:lang w:val="en-US"/>
        </w:rPr>
        <w:t xml:space="preserve"> with it</w:t>
      </w:r>
      <w:r w:rsidR="001A4C66">
        <w:rPr>
          <w:rFonts w:ascii="Times New Roman" w:hAnsi="Times New Roman" w:cs="Times New Roman"/>
          <w:sz w:val="24"/>
          <w:szCs w:val="24"/>
          <w:lang w:val="en-US"/>
        </w:rPr>
        <w:t xml:space="preserve">, </w:t>
      </w:r>
      <w:r w:rsidRPr="00CA52B7">
        <w:rPr>
          <w:rFonts w:ascii="Times New Roman" w:hAnsi="Times New Roman" w:cs="Times New Roman"/>
          <w:sz w:val="24"/>
          <w:szCs w:val="24"/>
          <w:lang w:val="en-US"/>
        </w:rPr>
        <w:t xml:space="preserve">noncompliance </w:t>
      </w:r>
      <w:r w:rsidR="00C92746">
        <w:rPr>
          <w:rFonts w:ascii="Times New Roman" w:hAnsi="Times New Roman" w:cs="Times New Roman"/>
          <w:sz w:val="24"/>
          <w:szCs w:val="24"/>
          <w:lang w:val="en-US"/>
        </w:rPr>
        <w:t>of</w:t>
      </w:r>
      <w:r w:rsidRPr="00CA52B7">
        <w:rPr>
          <w:rFonts w:ascii="Times New Roman" w:hAnsi="Times New Roman" w:cs="Times New Roman"/>
          <w:sz w:val="24"/>
          <w:szCs w:val="24"/>
          <w:lang w:val="en-US"/>
        </w:rPr>
        <w:t xml:space="preserve"> the Convention.</w:t>
      </w:r>
    </w:p>
    <w:p w14:paraId="7B2D6EA3" w14:textId="77777777" w:rsidR="00871E6D" w:rsidRPr="00CA52B7" w:rsidRDefault="00871E6D" w:rsidP="00CA52B7">
      <w:pPr>
        <w:pStyle w:val="Prrafodelista"/>
        <w:spacing w:beforeLines="240" w:before="576" w:afterLines="240" w:after="576"/>
        <w:ind w:left="360"/>
        <w:jc w:val="both"/>
        <w:rPr>
          <w:rFonts w:ascii="Times New Roman" w:hAnsi="Times New Roman" w:cs="Times New Roman"/>
          <w:sz w:val="24"/>
          <w:szCs w:val="24"/>
          <w:lang w:val="en-US"/>
        </w:rPr>
      </w:pPr>
    </w:p>
    <w:p w14:paraId="5E3A5D29" w14:textId="32797A5B" w:rsidR="00C91D77" w:rsidRPr="00CA52B7" w:rsidRDefault="00C91D77" w:rsidP="00CA52B7">
      <w:pPr>
        <w:pStyle w:val="Prrafodelista"/>
        <w:numPr>
          <w:ilvl w:val="0"/>
          <w:numId w:val="1"/>
        </w:numPr>
        <w:spacing w:beforeLines="240" w:before="576" w:afterLines="240" w:after="576"/>
        <w:jc w:val="both"/>
        <w:rPr>
          <w:rFonts w:ascii="Times New Roman" w:hAnsi="Times New Roman" w:cs="Times New Roman"/>
          <w:sz w:val="24"/>
          <w:szCs w:val="24"/>
          <w:lang w:val="en-US"/>
        </w:rPr>
      </w:pPr>
      <w:r w:rsidRPr="00CA52B7">
        <w:rPr>
          <w:rFonts w:ascii="Times New Roman" w:hAnsi="Times New Roman" w:cs="Times New Roman"/>
          <w:sz w:val="24"/>
          <w:szCs w:val="24"/>
          <w:lang w:val="en-US"/>
        </w:rPr>
        <w:t xml:space="preserve">A narrative has been generated that is fed by the political power groups, staunch defenders of the neoconservative establishment, which obstructs the advancement of women's rights. These narratives create </w:t>
      </w:r>
      <w:r w:rsidR="001A4C66">
        <w:rPr>
          <w:rFonts w:ascii="Times New Roman" w:hAnsi="Times New Roman" w:cs="Times New Roman"/>
          <w:sz w:val="24"/>
          <w:szCs w:val="24"/>
          <w:lang w:val="en-US"/>
        </w:rPr>
        <w:t>falsehoods</w:t>
      </w:r>
      <w:r w:rsidRPr="00CA52B7">
        <w:rPr>
          <w:rFonts w:ascii="Times New Roman" w:hAnsi="Times New Roman" w:cs="Times New Roman"/>
          <w:sz w:val="24"/>
          <w:szCs w:val="24"/>
          <w:lang w:val="en-US"/>
        </w:rPr>
        <w:t xml:space="preserve"> driven by public institutions, Pentecostal and neo-Pentecostal churches, and anti-rights organizations, which see themselves as bastions of the status quo and defenders of the "traditional family," the "pro-life" movement, "private property," and owners of the bodies, land, and territory of women.</w:t>
      </w:r>
    </w:p>
    <w:p w14:paraId="4A808ACE" w14:textId="77777777" w:rsidR="00C91D77" w:rsidRPr="00CA52B7" w:rsidRDefault="00C91D77" w:rsidP="00CA52B7">
      <w:pPr>
        <w:spacing w:beforeLines="240" w:before="576" w:afterLines="240" w:after="576"/>
        <w:jc w:val="both"/>
        <w:rPr>
          <w:rFonts w:ascii="Times New Roman" w:hAnsi="Times New Roman" w:cs="Times New Roman"/>
          <w:sz w:val="24"/>
          <w:szCs w:val="24"/>
          <w:lang w:val="en-US"/>
        </w:rPr>
      </w:pPr>
    </w:p>
    <w:p w14:paraId="121E777D" w14:textId="384DACC9" w:rsidR="00C91D77" w:rsidRPr="00CA52B7" w:rsidRDefault="00C91D77" w:rsidP="00CA52B7">
      <w:pPr>
        <w:pStyle w:val="Prrafodelista"/>
        <w:numPr>
          <w:ilvl w:val="0"/>
          <w:numId w:val="1"/>
        </w:numPr>
        <w:spacing w:beforeLines="240" w:before="576" w:afterLines="240" w:after="576"/>
        <w:jc w:val="both"/>
        <w:rPr>
          <w:rFonts w:ascii="Times New Roman" w:hAnsi="Times New Roman" w:cs="Times New Roman"/>
          <w:b/>
          <w:bCs/>
          <w:sz w:val="24"/>
          <w:szCs w:val="24"/>
          <w:lang w:val="en-US"/>
        </w:rPr>
      </w:pPr>
      <w:r w:rsidRPr="00CA52B7">
        <w:rPr>
          <w:rFonts w:ascii="Times New Roman" w:hAnsi="Times New Roman" w:cs="Times New Roman"/>
          <w:sz w:val="24"/>
          <w:szCs w:val="24"/>
          <w:lang w:val="en-US"/>
        </w:rPr>
        <w:lastRenderedPageBreak/>
        <w:t>For its part, the Guatemala</w:t>
      </w:r>
      <w:r w:rsidR="001A4C66">
        <w:rPr>
          <w:rFonts w:ascii="Times New Roman" w:hAnsi="Times New Roman" w:cs="Times New Roman"/>
          <w:sz w:val="24"/>
          <w:szCs w:val="24"/>
          <w:lang w:val="en-US"/>
        </w:rPr>
        <w:t>n State</w:t>
      </w:r>
      <w:r w:rsidRPr="00CA52B7">
        <w:rPr>
          <w:rFonts w:ascii="Times New Roman" w:hAnsi="Times New Roman" w:cs="Times New Roman"/>
          <w:sz w:val="24"/>
          <w:szCs w:val="24"/>
          <w:lang w:val="en-US"/>
        </w:rPr>
        <w:t xml:space="preserve"> has </w:t>
      </w:r>
      <w:r w:rsidR="001A4C66">
        <w:rPr>
          <w:rFonts w:ascii="Times New Roman" w:hAnsi="Times New Roman" w:cs="Times New Roman"/>
          <w:sz w:val="24"/>
          <w:szCs w:val="24"/>
          <w:lang w:val="en-US"/>
        </w:rPr>
        <w:t>claimed</w:t>
      </w:r>
      <w:r w:rsidRPr="00CA52B7">
        <w:rPr>
          <w:rFonts w:ascii="Times New Roman" w:hAnsi="Times New Roman" w:cs="Times New Roman"/>
          <w:sz w:val="24"/>
          <w:szCs w:val="24"/>
          <w:lang w:val="en-US"/>
        </w:rPr>
        <w:t xml:space="preserve"> to advance its obligations under CEDAW. In 2018, the Inter-institutional Mechanism for</w:t>
      </w:r>
      <w:r w:rsidR="001A4C66">
        <w:rPr>
          <w:rFonts w:ascii="Times New Roman" w:hAnsi="Times New Roman" w:cs="Times New Roman"/>
          <w:sz w:val="24"/>
          <w:szCs w:val="24"/>
          <w:lang w:val="en-US"/>
        </w:rPr>
        <w:t xml:space="preserve"> Follow-up</w:t>
      </w:r>
      <w:r w:rsidRPr="00CA52B7">
        <w:rPr>
          <w:rFonts w:ascii="Times New Roman" w:hAnsi="Times New Roman" w:cs="Times New Roman"/>
          <w:sz w:val="24"/>
          <w:szCs w:val="24"/>
          <w:lang w:val="en-US"/>
        </w:rPr>
        <w:t xml:space="preserve"> of CEDAW was created, in which women's organizations participate, the latter elected through their own procedures; in 2019, the SEPREM created the CEDAW Follow-up Strategy. However, it is</w:t>
      </w:r>
      <w:r w:rsidR="001A4C66">
        <w:rPr>
          <w:rFonts w:ascii="Times New Roman" w:hAnsi="Times New Roman" w:cs="Times New Roman"/>
          <w:sz w:val="24"/>
          <w:szCs w:val="24"/>
          <w:lang w:val="en-US"/>
        </w:rPr>
        <w:t xml:space="preserve"> necessary</w:t>
      </w:r>
      <w:r w:rsidRPr="00CA52B7">
        <w:rPr>
          <w:rFonts w:ascii="Times New Roman" w:hAnsi="Times New Roman" w:cs="Times New Roman"/>
          <w:sz w:val="24"/>
          <w:szCs w:val="24"/>
          <w:lang w:val="en-US"/>
        </w:rPr>
        <w:t xml:space="preserve"> that </w:t>
      </w:r>
      <w:r w:rsidRPr="00CA52B7">
        <w:rPr>
          <w:rFonts w:ascii="Times New Roman" w:hAnsi="Times New Roman" w:cs="Times New Roman"/>
          <w:b/>
          <w:bCs/>
          <w:sz w:val="24"/>
          <w:szCs w:val="24"/>
          <w:lang w:val="en-US"/>
        </w:rPr>
        <w:t>the State as a whole be committed to the implementation of the Convention, and that with the change of government, the continuity of the follow-up mechanism be guaranteed.</w:t>
      </w:r>
    </w:p>
    <w:p w14:paraId="528D68C6" w14:textId="77777777" w:rsidR="00960A1B" w:rsidRPr="00CA52B7" w:rsidRDefault="00960A1B" w:rsidP="00CA52B7">
      <w:pPr>
        <w:pStyle w:val="Prrafodelista"/>
        <w:spacing w:beforeLines="240" w:before="576" w:afterLines="240" w:after="576"/>
        <w:jc w:val="both"/>
        <w:rPr>
          <w:rFonts w:ascii="Times New Roman" w:hAnsi="Times New Roman" w:cs="Times New Roman"/>
          <w:sz w:val="24"/>
          <w:szCs w:val="24"/>
          <w:lang w:val="en-US"/>
        </w:rPr>
      </w:pPr>
    </w:p>
    <w:p w14:paraId="1E58DFC6" w14:textId="320C3A8E" w:rsidR="00960A1B" w:rsidRPr="00CA52B7" w:rsidRDefault="00960A1B" w:rsidP="00CA52B7">
      <w:pPr>
        <w:pStyle w:val="Prrafodelista"/>
        <w:numPr>
          <w:ilvl w:val="0"/>
          <w:numId w:val="2"/>
        </w:numPr>
        <w:spacing w:beforeLines="240" w:before="576" w:afterLines="240" w:after="576"/>
        <w:jc w:val="both"/>
        <w:rPr>
          <w:rFonts w:ascii="Times New Roman" w:hAnsi="Times New Roman" w:cs="Times New Roman"/>
          <w:sz w:val="24"/>
          <w:szCs w:val="24"/>
          <w:lang w:val="en-US"/>
        </w:rPr>
      </w:pPr>
      <w:bookmarkStart w:id="0" w:name="_Hlk145197551"/>
      <w:r w:rsidRPr="00CA52B7">
        <w:rPr>
          <w:rFonts w:ascii="Times New Roman" w:hAnsi="Times New Roman" w:cs="Times New Roman"/>
          <w:b/>
          <w:bCs/>
          <w:sz w:val="24"/>
          <w:szCs w:val="24"/>
          <w:lang w:val="en-US"/>
        </w:rPr>
        <w:t>Legislation and Regressive Public Policies on Women, Peace and Security</w:t>
      </w:r>
    </w:p>
    <w:p w14:paraId="1D288D0D" w14:textId="77777777" w:rsidR="00960A1B" w:rsidRPr="00CA52B7" w:rsidRDefault="00960A1B" w:rsidP="00CA52B7">
      <w:pPr>
        <w:pStyle w:val="Prrafodelista"/>
        <w:spacing w:beforeLines="240" w:before="576" w:afterLines="240" w:after="576"/>
        <w:ind w:left="1080"/>
        <w:jc w:val="both"/>
        <w:rPr>
          <w:rFonts w:ascii="Times New Roman" w:hAnsi="Times New Roman" w:cs="Times New Roman"/>
          <w:sz w:val="24"/>
          <w:szCs w:val="24"/>
          <w:lang w:val="en-US"/>
        </w:rPr>
      </w:pPr>
    </w:p>
    <w:p w14:paraId="5F49FA54" w14:textId="460FEB25" w:rsidR="0060480B" w:rsidRPr="00CA52B7" w:rsidRDefault="00960A1B" w:rsidP="00CA52B7">
      <w:pPr>
        <w:pStyle w:val="Prrafodelista"/>
        <w:numPr>
          <w:ilvl w:val="0"/>
          <w:numId w:val="1"/>
        </w:numPr>
        <w:spacing w:beforeLines="240" w:before="576" w:afterLines="240" w:after="576"/>
        <w:jc w:val="both"/>
        <w:rPr>
          <w:rFonts w:ascii="Times New Roman" w:hAnsi="Times New Roman" w:cs="Times New Roman"/>
          <w:sz w:val="24"/>
          <w:szCs w:val="24"/>
          <w:lang w:val="en-US"/>
        </w:rPr>
      </w:pPr>
      <w:r w:rsidRPr="00CA52B7">
        <w:rPr>
          <w:rFonts w:ascii="Times New Roman" w:hAnsi="Times New Roman" w:cs="Times New Roman"/>
          <w:sz w:val="24"/>
          <w:szCs w:val="24"/>
          <w:lang w:val="en-US"/>
        </w:rPr>
        <w:t>For more than a decade, there have been setbacks in terms of women's rights and</w:t>
      </w:r>
      <w:r w:rsidR="00C92746">
        <w:rPr>
          <w:rFonts w:ascii="Times New Roman" w:hAnsi="Times New Roman" w:cs="Times New Roman"/>
          <w:sz w:val="24"/>
          <w:szCs w:val="24"/>
          <w:lang w:val="en-US"/>
        </w:rPr>
        <w:t xml:space="preserve"> </w:t>
      </w:r>
      <w:r w:rsidRPr="00CA52B7">
        <w:rPr>
          <w:rFonts w:ascii="Times New Roman" w:hAnsi="Times New Roman" w:cs="Times New Roman"/>
          <w:sz w:val="24"/>
          <w:szCs w:val="24"/>
          <w:lang w:val="en-US"/>
        </w:rPr>
        <w:t>non</w:t>
      </w:r>
      <w:bookmarkEnd w:id="0"/>
      <w:r w:rsidRPr="00CA52B7">
        <w:rPr>
          <w:rFonts w:ascii="Times New Roman" w:hAnsi="Times New Roman" w:cs="Times New Roman"/>
          <w:sz w:val="24"/>
          <w:szCs w:val="24"/>
          <w:lang w:val="en-US"/>
        </w:rPr>
        <w:t xml:space="preserve">compliance of the Peace Agreements, concretized in the </w:t>
      </w:r>
      <w:r w:rsidR="00C92746">
        <w:rPr>
          <w:rFonts w:ascii="Times New Roman" w:hAnsi="Times New Roman" w:cs="Times New Roman"/>
          <w:sz w:val="24"/>
          <w:szCs w:val="24"/>
          <w:lang w:val="en-US"/>
        </w:rPr>
        <w:t>introduction</w:t>
      </w:r>
      <w:r w:rsidRPr="00CA52B7">
        <w:rPr>
          <w:rFonts w:ascii="Times New Roman" w:hAnsi="Times New Roman" w:cs="Times New Roman"/>
          <w:sz w:val="24"/>
          <w:szCs w:val="24"/>
          <w:lang w:val="en-US"/>
        </w:rPr>
        <w:t xml:space="preserve"> of reforms or new bills. From 2017 to 2022, three bills have been </w:t>
      </w:r>
      <w:r w:rsidR="00C92746">
        <w:rPr>
          <w:rFonts w:ascii="Times New Roman" w:hAnsi="Times New Roman" w:cs="Times New Roman"/>
          <w:sz w:val="24"/>
          <w:szCs w:val="24"/>
          <w:lang w:val="en-US"/>
        </w:rPr>
        <w:t>introduced</w:t>
      </w:r>
      <w:r w:rsidRPr="00CA52B7">
        <w:rPr>
          <w:rFonts w:ascii="Times New Roman" w:hAnsi="Times New Roman" w:cs="Times New Roman"/>
          <w:sz w:val="24"/>
          <w:szCs w:val="24"/>
          <w:lang w:val="en-US"/>
        </w:rPr>
        <w:t xml:space="preserve"> to seek amnesty for events that occurred </w:t>
      </w:r>
      <w:r w:rsidR="00C92746">
        <w:rPr>
          <w:rFonts w:ascii="Times New Roman" w:hAnsi="Times New Roman" w:cs="Times New Roman"/>
          <w:sz w:val="24"/>
          <w:szCs w:val="24"/>
          <w:lang w:val="en-US"/>
        </w:rPr>
        <w:t>during the</w:t>
      </w:r>
      <w:r w:rsidRPr="00CA52B7">
        <w:rPr>
          <w:rFonts w:ascii="Times New Roman" w:hAnsi="Times New Roman" w:cs="Times New Roman"/>
          <w:sz w:val="24"/>
          <w:szCs w:val="24"/>
          <w:lang w:val="en-US"/>
        </w:rPr>
        <w:t xml:space="preserve"> CAI; </w:t>
      </w:r>
      <w:r w:rsidR="00C92746">
        <w:rPr>
          <w:rFonts w:ascii="Times New Roman" w:hAnsi="Times New Roman" w:cs="Times New Roman"/>
          <w:sz w:val="24"/>
          <w:szCs w:val="24"/>
          <w:lang w:val="en-US"/>
        </w:rPr>
        <w:t>one</w:t>
      </w:r>
      <w:r w:rsidRPr="00CA52B7">
        <w:rPr>
          <w:rFonts w:ascii="Times New Roman" w:hAnsi="Times New Roman" w:cs="Times New Roman"/>
          <w:sz w:val="24"/>
          <w:szCs w:val="24"/>
          <w:lang w:val="en-US"/>
        </w:rPr>
        <w:t xml:space="preserve"> law is in force and </w:t>
      </w:r>
      <w:r w:rsidR="00C92746">
        <w:rPr>
          <w:rFonts w:ascii="Times New Roman" w:hAnsi="Times New Roman" w:cs="Times New Roman"/>
          <w:sz w:val="24"/>
          <w:szCs w:val="24"/>
          <w:lang w:val="en-US"/>
        </w:rPr>
        <w:t>five</w:t>
      </w:r>
      <w:r w:rsidRPr="00CA52B7">
        <w:rPr>
          <w:rFonts w:ascii="Times New Roman" w:hAnsi="Times New Roman" w:cs="Times New Roman"/>
          <w:sz w:val="24"/>
          <w:szCs w:val="24"/>
          <w:lang w:val="en-US"/>
        </w:rPr>
        <w:t xml:space="preserve"> bills have been </w:t>
      </w:r>
      <w:r w:rsidR="00C92746">
        <w:rPr>
          <w:rFonts w:ascii="Times New Roman" w:hAnsi="Times New Roman" w:cs="Times New Roman"/>
          <w:sz w:val="24"/>
          <w:szCs w:val="24"/>
          <w:lang w:val="en-US"/>
        </w:rPr>
        <w:t>introduced</w:t>
      </w:r>
      <w:r w:rsidRPr="00CA52B7">
        <w:rPr>
          <w:rFonts w:ascii="Times New Roman" w:hAnsi="Times New Roman" w:cs="Times New Roman"/>
          <w:sz w:val="24"/>
          <w:szCs w:val="24"/>
          <w:lang w:val="en-US"/>
        </w:rPr>
        <w:t xml:space="preserve"> to criminalize protest, freedom of association and demonstration; one law reform</w:t>
      </w:r>
      <w:r w:rsidR="00C92746">
        <w:rPr>
          <w:rFonts w:ascii="Times New Roman" w:hAnsi="Times New Roman" w:cs="Times New Roman"/>
          <w:sz w:val="24"/>
          <w:szCs w:val="24"/>
          <w:lang w:val="en-US"/>
        </w:rPr>
        <w:t xml:space="preserve"> was</w:t>
      </w:r>
      <w:r w:rsidRPr="00CA52B7">
        <w:rPr>
          <w:rFonts w:ascii="Times New Roman" w:hAnsi="Times New Roman" w:cs="Times New Roman"/>
          <w:sz w:val="24"/>
          <w:szCs w:val="24"/>
          <w:lang w:val="en-US"/>
        </w:rPr>
        <w:t xml:space="preserve"> approved, one law vetoed, and two bills presented that hinder women's rights and access to justice (Annex No. 1).</w:t>
      </w:r>
    </w:p>
    <w:p w14:paraId="12293E79" w14:textId="77777777" w:rsidR="00960A1B" w:rsidRPr="00CA52B7" w:rsidRDefault="00960A1B" w:rsidP="00CA52B7">
      <w:pPr>
        <w:pStyle w:val="Prrafodelista"/>
        <w:spacing w:beforeLines="240" w:before="576" w:afterLines="240" w:after="576"/>
        <w:ind w:left="360"/>
        <w:jc w:val="both"/>
        <w:rPr>
          <w:rFonts w:ascii="Times New Roman" w:hAnsi="Times New Roman" w:cs="Times New Roman"/>
          <w:sz w:val="24"/>
          <w:szCs w:val="24"/>
          <w:lang w:val="en-US"/>
        </w:rPr>
      </w:pPr>
    </w:p>
    <w:p w14:paraId="07EB2690" w14:textId="0A658E4D" w:rsidR="00960A1B" w:rsidRPr="00CA52B7" w:rsidRDefault="00960A1B" w:rsidP="00CA52B7">
      <w:pPr>
        <w:pStyle w:val="Prrafodelista"/>
        <w:numPr>
          <w:ilvl w:val="0"/>
          <w:numId w:val="1"/>
        </w:numPr>
        <w:spacing w:beforeLines="240" w:before="576" w:afterLines="240" w:after="576"/>
        <w:jc w:val="both"/>
        <w:rPr>
          <w:rFonts w:ascii="Times New Roman" w:hAnsi="Times New Roman" w:cs="Times New Roman"/>
          <w:sz w:val="24"/>
          <w:szCs w:val="24"/>
          <w:lang w:val="en-US"/>
        </w:rPr>
      </w:pPr>
      <w:r w:rsidRPr="00CA52B7">
        <w:rPr>
          <w:rFonts w:ascii="Times New Roman" w:hAnsi="Times New Roman" w:cs="Times New Roman"/>
          <w:sz w:val="24"/>
          <w:szCs w:val="24"/>
          <w:lang w:val="en-US"/>
        </w:rPr>
        <w:t>In 2020, President Giammattei closed SEPAZ, SAA, and COPREDEH,</w:t>
      </w:r>
      <w:r w:rsidRPr="00CA52B7">
        <w:rPr>
          <w:rStyle w:val="Refdenotaalfinal"/>
          <w:rFonts w:ascii="Times New Roman" w:hAnsi="Times New Roman" w:cs="Times New Roman"/>
          <w:sz w:val="24"/>
          <w:szCs w:val="24"/>
          <w:lang w:val="en-US"/>
        </w:rPr>
        <w:endnoteReference w:id="5"/>
      </w:r>
      <w:r w:rsidRPr="00CA52B7">
        <w:rPr>
          <w:rFonts w:ascii="Times New Roman" w:hAnsi="Times New Roman" w:cs="Times New Roman"/>
          <w:sz w:val="24"/>
          <w:szCs w:val="24"/>
          <w:lang w:val="en-US"/>
        </w:rPr>
        <w:t xml:space="preserve"> and tried to close SEPREM,</w:t>
      </w:r>
      <w:r w:rsidRPr="00CA52B7">
        <w:rPr>
          <w:rStyle w:val="Refdenotaalfinal"/>
          <w:rFonts w:ascii="Times New Roman" w:hAnsi="Times New Roman" w:cs="Times New Roman"/>
          <w:sz w:val="24"/>
          <w:szCs w:val="24"/>
          <w:lang w:val="en-US"/>
        </w:rPr>
        <w:endnoteReference w:id="6"/>
      </w:r>
      <w:r w:rsidRPr="00CA52B7">
        <w:rPr>
          <w:rFonts w:ascii="Times New Roman" w:hAnsi="Times New Roman" w:cs="Times New Roman"/>
          <w:sz w:val="24"/>
          <w:szCs w:val="24"/>
          <w:lang w:val="en-US"/>
        </w:rPr>
        <w:t xml:space="preserve"> </w:t>
      </w:r>
      <w:r w:rsidR="00C92746">
        <w:rPr>
          <w:rFonts w:ascii="Times New Roman" w:hAnsi="Times New Roman" w:cs="Times New Roman"/>
          <w:sz w:val="24"/>
          <w:szCs w:val="24"/>
          <w:lang w:val="en-US"/>
        </w:rPr>
        <w:t>entities</w:t>
      </w:r>
      <w:r w:rsidRPr="00CA52B7">
        <w:rPr>
          <w:rFonts w:ascii="Times New Roman" w:hAnsi="Times New Roman" w:cs="Times New Roman"/>
          <w:sz w:val="24"/>
          <w:szCs w:val="24"/>
          <w:lang w:val="en-US"/>
        </w:rPr>
        <w:t xml:space="preserve"> created within the framework of the Peace Agreements. As a mockery of women, on March 8, 2022, Decree 18-2022</w:t>
      </w:r>
      <w:r w:rsidR="00E82390">
        <w:rPr>
          <w:rFonts w:ascii="Times New Roman" w:hAnsi="Times New Roman" w:cs="Times New Roman"/>
          <w:sz w:val="24"/>
          <w:szCs w:val="24"/>
          <w:lang w:val="en-US"/>
        </w:rPr>
        <w:t xml:space="preserve"> (</w:t>
      </w:r>
      <w:r w:rsidRPr="00CA52B7">
        <w:rPr>
          <w:rFonts w:ascii="Times New Roman" w:hAnsi="Times New Roman" w:cs="Times New Roman"/>
          <w:sz w:val="24"/>
          <w:szCs w:val="24"/>
          <w:lang w:val="en-US"/>
        </w:rPr>
        <w:t>Law for the Protection of Life and the Family</w:t>
      </w:r>
      <w:r w:rsidR="00E82390">
        <w:rPr>
          <w:rFonts w:ascii="Times New Roman" w:hAnsi="Times New Roman" w:cs="Times New Roman"/>
          <w:sz w:val="24"/>
          <w:szCs w:val="24"/>
          <w:lang w:val="en-US"/>
        </w:rPr>
        <w:t>) was issued</w:t>
      </w:r>
      <w:r w:rsidRPr="00CA52B7">
        <w:rPr>
          <w:rFonts w:ascii="Times New Roman" w:hAnsi="Times New Roman" w:cs="Times New Roman"/>
          <w:sz w:val="24"/>
          <w:szCs w:val="24"/>
          <w:lang w:val="en-US"/>
        </w:rPr>
        <w:t>,</w:t>
      </w:r>
      <w:r w:rsidR="00186979" w:rsidRPr="00CA52B7">
        <w:rPr>
          <w:rStyle w:val="Refdenotaalfinal"/>
          <w:rFonts w:ascii="Times New Roman" w:hAnsi="Times New Roman" w:cs="Times New Roman"/>
          <w:sz w:val="24"/>
          <w:szCs w:val="24"/>
          <w:lang w:val="en-US"/>
        </w:rPr>
        <w:endnoteReference w:id="7"/>
      </w:r>
      <w:r w:rsidRPr="00CA52B7">
        <w:rPr>
          <w:rFonts w:ascii="Times New Roman" w:hAnsi="Times New Roman" w:cs="Times New Roman"/>
          <w:sz w:val="24"/>
          <w:szCs w:val="24"/>
          <w:lang w:val="en-US"/>
        </w:rPr>
        <w:t xml:space="preserve"> which violated mainly sexual and reproductive rights</w:t>
      </w:r>
      <w:r w:rsidR="00E82390">
        <w:rPr>
          <w:rFonts w:ascii="Times New Roman" w:hAnsi="Times New Roman" w:cs="Times New Roman"/>
          <w:sz w:val="24"/>
          <w:szCs w:val="24"/>
          <w:lang w:val="en-US"/>
        </w:rPr>
        <w:t xml:space="preserve"> and</w:t>
      </w:r>
      <w:r w:rsidRPr="00CA52B7">
        <w:rPr>
          <w:rFonts w:ascii="Times New Roman" w:hAnsi="Times New Roman" w:cs="Times New Roman"/>
          <w:sz w:val="24"/>
          <w:szCs w:val="24"/>
          <w:lang w:val="en-US"/>
        </w:rPr>
        <w:t xml:space="preserve"> sexual identity</w:t>
      </w:r>
      <w:r w:rsidR="00E82390">
        <w:rPr>
          <w:rFonts w:ascii="Times New Roman" w:hAnsi="Times New Roman" w:cs="Times New Roman"/>
          <w:sz w:val="24"/>
          <w:szCs w:val="24"/>
          <w:lang w:val="en-US"/>
        </w:rPr>
        <w:t>; since it would be unconstitutional, the law</w:t>
      </w:r>
      <w:r w:rsidRPr="00CA52B7">
        <w:rPr>
          <w:rFonts w:ascii="Times New Roman" w:hAnsi="Times New Roman" w:cs="Times New Roman"/>
          <w:sz w:val="24"/>
          <w:szCs w:val="24"/>
          <w:lang w:val="en-US"/>
        </w:rPr>
        <w:t xml:space="preserve"> </w:t>
      </w:r>
      <w:r w:rsidR="00E82390">
        <w:rPr>
          <w:rFonts w:ascii="Times New Roman" w:hAnsi="Times New Roman" w:cs="Times New Roman"/>
          <w:sz w:val="24"/>
          <w:szCs w:val="24"/>
          <w:lang w:val="en-US"/>
        </w:rPr>
        <w:t>was</w:t>
      </w:r>
      <w:r w:rsidRPr="00CA52B7">
        <w:rPr>
          <w:rFonts w:ascii="Times New Roman" w:hAnsi="Times New Roman" w:cs="Times New Roman"/>
          <w:sz w:val="24"/>
          <w:szCs w:val="24"/>
          <w:lang w:val="en-US"/>
        </w:rPr>
        <w:t xml:space="preserve"> vetoed. On March 9, </w:t>
      </w:r>
      <w:r w:rsidR="00E82390">
        <w:rPr>
          <w:rFonts w:ascii="Times New Roman" w:hAnsi="Times New Roman" w:cs="Times New Roman"/>
          <w:sz w:val="24"/>
          <w:szCs w:val="24"/>
          <w:lang w:val="en-US"/>
        </w:rPr>
        <w:t>D</w:t>
      </w:r>
      <w:r w:rsidRPr="00CA52B7">
        <w:rPr>
          <w:rFonts w:ascii="Times New Roman" w:hAnsi="Times New Roman" w:cs="Times New Roman"/>
          <w:sz w:val="24"/>
          <w:szCs w:val="24"/>
          <w:lang w:val="en-US"/>
        </w:rPr>
        <w:t>ecree 9-2022 was approved, which declared March 9 as the day for life and the family,</w:t>
      </w:r>
      <w:r w:rsidR="00186979" w:rsidRPr="00CA52B7">
        <w:rPr>
          <w:rStyle w:val="Refdenotaalfinal"/>
          <w:rFonts w:ascii="Times New Roman" w:hAnsi="Times New Roman" w:cs="Times New Roman"/>
          <w:sz w:val="24"/>
          <w:szCs w:val="24"/>
          <w:lang w:val="en-US"/>
        </w:rPr>
        <w:endnoteReference w:id="8"/>
      </w:r>
      <w:r w:rsidRPr="00CA52B7">
        <w:rPr>
          <w:rFonts w:ascii="Times New Roman" w:hAnsi="Times New Roman" w:cs="Times New Roman"/>
          <w:sz w:val="24"/>
          <w:szCs w:val="24"/>
          <w:lang w:val="en-US"/>
        </w:rPr>
        <w:t xml:space="preserve"> in addition, Guatemala was declared the Ibero-American pro-life capital, and on the same day the president </w:t>
      </w:r>
      <w:r w:rsidR="00E82390">
        <w:rPr>
          <w:rFonts w:ascii="Times New Roman" w:hAnsi="Times New Roman" w:cs="Times New Roman"/>
          <w:sz w:val="24"/>
          <w:szCs w:val="24"/>
          <w:lang w:val="en-US"/>
        </w:rPr>
        <w:t xml:space="preserve">renamed the </w:t>
      </w:r>
      <w:r w:rsidRPr="00CA52B7">
        <w:rPr>
          <w:rFonts w:ascii="Times New Roman" w:hAnsi="Times New Roman" w:cs="Times New Roman"/>
          <w:sz w:val="24"/>
          <w:szCs w:val="24"/>
          <w:lang w:val="en-US"/>
        </w:rPr>
        <w:t>National Palace</w:t>
      </w:r>
      <w:r w:rsidR="00E82390">
        <w:rPr>
          <w:rFonts w:ascii="Times New Roman" w:hAnsi="Times New Roman" w:cs="Times New Roman"/>
          <w:sz w:val="24"/>
          <w:szCs w:val="24"/>
          <w:lang w:val="en-US"/>
        </w:rPr>
        <w:t xml:space="preserve">’s Patio of Peace </w:t>
      </w:r>
      <w:r w:rsidRPr="00CA52B7">
        <w:rPr>
          <w:rFonts w:ascii="Times New Roman" w:hAnsi="Times New Roman" w:cs="Times New Roman"/>
          <w:sz w:val="24"/>
          <w:szCs w:val="24"/>
          <w:lang w:val="en-US"/>
        </w:rPr>
        <w:t xml:space="preserve">to the </w:t>
      </w:r>
      <w:r w:rsidR="00E82390">
        <w:rPr>
          <w:rFonts w:ascii="Times New Roman" w:hAnsi="Times New Roman" w:cs="Times New Roman"/>
          <w:sz w:val="24"/>
          <w:szCs w:val="24"/>
          <w:lang w:val="en-US"/>
        </w:rPr>
        <w:t>P</w:t>
      </w:r>
      <w:r w:rsidRPr="00CA52B7">
        <w:rPr>
          <w:rFonts w:ascii="Times New Roman" w:hAnsi="Times New Roman" w:cs="Times New Roman"/>
          <w:sz w:val="24"/>
          <w:szCs w:val="24"/>
          <w:lang w:val="en-US"/>
        </w:rPr>
        <w:t xml:space="preserve">atio of </w:t>
      </w:r>
      <w:r w:rsidR="00E82390">
        <w:rPr>
          <w:rFonts w:ascii="Times New Roman" w:hAnsi="Times New Roman" w:cs="Times New Roman"/>
          <w:sz w:val="24"/>
          <w:szCs w:val="24"/>
          <w:lang w:val="en-US"/>
        </w:rPr>
        <w:t>L</w:t>
      </w:r>
      <w:r w:rsidRPr="00CA52B7">
        <w:rPr>
          <w:rFonts w:ascii="Times New Roman" w:hAnsi="Times New Roman" w:cs="Times New Roman"/>
          <w:sz w:val="24"/>
          <w:szCs w:val="24"/>
          <w:lang w:val="en-US"/>
        </w:rPr>
        <w:t>ife.</w:t>
      </w:r>
      <w:r w:rsidR="00186979" w:rsidRPr="00CA52B7">
        <w:rPr>
          <w:rStyle w:val="Refdenotaalfinal"/>
          <w:rFonts w:ascii="Times New Roman" w:hAnsi="Times New Roman" w:cs="Times New Roman"/>
          <w:sz w:val="24"/>
          <w:szCs w:val="24"/>
          <w:lang w:val="en-US"/>
        </w:rPr>
        <w:endnoteReference w:id="9"/>
      </w:r>
    </w:p>
    <w:p w14:paraId="03B1397D" w14:textId="77777777" w:rsidR="00960A1B" w:rsidRPr="00CA52B7" w:rsidRDefault="00960A1B" w:rsidP="00CA52B7">
      <w:pPr>
        <w:pStyle w:val="Prrafodelista"/>
        <w:spacing w:beforeLines="240" w:before="576" w:afterLines="240" w:after="576"/>
        <w:ind w:left="360"/>
        <w:jc w:val="both"/>
        <w:rPr>
          <w:rFonts w:ascii="Times New Roman" w:hAnsi="Times New Roman" w:cs="Times New Roman"/>
          <w:sz w:val="24"/>
          <w:szCs w:val="24"/>
          <w:lang w:val="en-US"/>
        </w:rPr>
      </w:pPr>
    </w:p>
    <w:p w14:paraId="3C7028DC" w14:textId="168DF941" w:rsidR="00871E6D" w:rsidRPr="00CA52B7" w:rsidRDefault="00960A1B" w:rsidP="00CA52B7">
      <w:pPr>
        <w:pStyle w:val="Prrafodelista"/>
        <w:numPr>
          <w:ilvl w:val="0"/>
          <w:numId w:val="1"/>
        </w:numPr>
        <w:spacing w:beforeLines="240" w:before="576" w:afterLines="240" w:after="576"/>
        <w:jc w:val="both"/>
        <w:rPr>
          <w:rFonts w:ascii="Times New Roman" w:hAnsi="Times New Roman" w:cs="Times New Roman"/>
          <w:sz w:val="24"/>
          <w:szCs w:val="24"/>
          <w:lang w:val="en-US"/>
        </w:rPr>
      </w:pPr>
      <w:r w:rsidRPr="00CA52B7">
        <w:rPr>
          <w:rFonts w:ascii="Times New Roman" w:hAnsi="Times New Roman" w:cs="Times New Roman"/>
          <w:color w:val="1F1F1F"/>
          <w:sz w:val="24"/>
          <w:szCs w:val="24"/>
          <w:shd w:val="clear" w:color="auto" w:fill="FFFFFF"/>
          <w:lang w:val="en-US"/>
        </w:rPr>
        <w:t xml:space="preserve">In December 2017, the CSJ ruled to protect an anti-rights association from </w:t>
      </w:r>
      <w:r w:rsidR="00E82390">
        <w:rPr>
          <w:rFonts w:ascii="Times New Roman" w:hAnsi="Times New Roman" w:cs="Times New Roman"/>
          <w:color w:val="1F1F1F"/>
          <w:sz w:val="24"/>
          <w:szCs w:val="24"/>
          <w:shd w:val="clear" w:color="auto" w:fill="FFFFFF"/>
          <w:lang w:val="en-US"/>
        </w:rPr>
        <w:t xml:space="preserve">the </w:t>
      </w:r>
      <w:r w:rsidR="00345E63">
        <w:rPr>
          <w:rFonts w:ascii="Times New Roman" w:hAnsi="Times New Roman" w:cs="Times New Roman"/>
          <w:color w:val="1F1F1F"/>
          <w:sz w:val="24"/>
          <w:szCs w:val="24"/>
          <w:shd w:val="clear" w:color="auto" w:fill="FFFFFF"/>
          <w:lang w:val="en-US"/>
        </w:rPr>
        <w:t>PDH</w:t>
      </w:r>
      <w:r w:rsidR="00186979" w:rsidRPr="00CA52B7">
        <w:rPr>
          <w:rFonts w:ascii="Times New Roman" w:hAnsi="Times New Roman" w:cs="Times New Roman"/>
          <w:color w:val="1F1F1F"/>
          <w:sz w:val="24"/>
          <w:szCs w:val="24"/>
          <w:shd w:val="clear" w:color="auto" w:fill="FFFFFF"/>
          <w:lang w:val="en-US"/>
        </w:rPr>
        <w:t xml:space="preserve"> and</w:t>
      </w:r>
      <w:r w:rsidRPr="00CA52B7">
        <w:rPr>
          <w:rFonts w:ascii="Times New Roman" w:hAnsi="Times New Roman" w:cs="Times New Roman"/>
          <w:color w:val="1F1F1F"/>
          <w:sz w:val="24"/>
          <w:szCs w:val="24"/>
          <w:shd w:val="clear" w:color="auto" w:fill="FFFFFF"/>
          <w:lang w:val="en-US"/>
        </w:rPr>
        <w:t xml:space="preserve"> suspended the presentation and distribution of a manual on </w:t>
      </w:r>
      <w:r w:rsidR="00345E63">
        <w:rPr>
          <w:rFonts w:ascii="Times New Roman" w:hAnsi="Times New Roman" w:cs="Times New Roman"/>
          <w:color w:val="1F1F1F"/>
          <w:sz w:val="24"/>
          <w:szCs w:val="24"/>
          <w:shd w:val="clear" w:color="auto" w:fill="FFFFFF"/>
          <w:lang w:val="en-US"/>
        </w:rPr>
        <w:t>h</w:t>
      </w:r>
      <w:r w:rsidRPr="00CA52B7">
        <w:rPr>
          <w:rFonts w:ascii="Times New Roman" w:hAnsi="Times New Roman" w:cs="Times New Roman"/>
          <w:color w:val="1F1F1F"/>
          <w:sz w:val="24"/>
          <w:szCs w:val="24"/>
          <w:shd w:val="clear" w:color="auto" w:fill="FFFFFF"/>
          <w:lang w:val="en-US"/>
        </w:rPr>
        <w:t xml:space="preserve">uman </w:t>
      </w:r>
      <w:r w:rsidR="00345E63">
        <w:rPr>
          <w:rFonts w:ascii="Times New Roman" w:hAnsi="Times New Roman" w:cs="Times New Roman"/>
          <w:color w:val="1F1F1F"/>
          <w:sz w:val="24"/>
          <w:szCs w:val="24"/>
          <w:shd w:val="clear" w:color="auto" w:fill="FFFFFF"/>
          <w:lang w:val="en-US"/>
        </w:rPr>
        <w:t>r</w:t>
      </w:r>
      <w:r w:rsidRPr="00CA52B7">
        <w:rPr>
          <w:rFonts w:ascii="Times New Roman" w:hAnsi="Times New Roman" w:cs="Times New Roman"/>
          <w:color w:val="1F1F1F"/>
          <w:sz w:val="24"/>
          <w:szCs w:val="24"/>
          <w:shd w:val="clear" w:color="auto" w:fill="FFFFFF"/>
          <w:lang w:val="en-US"/>
        </w:rPr>
        <w:t>ights, sexual and reproductive rights.</w:t>
      </w:r>
      <w:r w:rsidR="00186979" w:rsidRPr="00CA52B7">
        <w:rPr>
          <w:rStyle w:val="Refdenotaalfinal"/>
          <w:rFonts w:ascii="Times New Roman" w:hAnsi="Times New Roman" w:cs="Times New Roman"/>
          <w:color w:val="1F1F1F"/>
          <w:sz w:val="24"/>
          <w:szCs w:val="24"/>
          <w:shd w:val="clear" w:color="auto" w:fill="FFFFFF"/>
          <w:lang w:val="en-US"/>
        </w:rPr>
        <w:endnoteReference w:id="10"/>
      </w:r>
      <w:r w:rsidRPr="00CA52B7">
        <w:rPr>
          <w:rFonts w:ascii="Times New Roman" w:hAnsi="Times New Roman" w:cs="Times New Roman"/>
          <w:color w:val="1F1F1F"/>
          <w:sz w:val="24"/>
          <w:szCs w:val="24"/>
          <w:shd w:val="clear" w:color="auto" w:fill="FFFFFF"/>
          <w:lang w:val="en-US"/>
        </w:rPr>
        <w:t xml:space="preserve"> In 2021, the Public Policy on the Protection of Life and the Institutionality of the Family 2021-2032, AG149-2021, was approved.</w:t>
      </w:r>
      <w:r w:rsidR="00186979" w:rsidRPr="00CA52B7">
        <w:rPr>
          <w:rStyle w:val="Refdenotaalfinal"/>
          <w:rFonts w:ascii="Times New Roman" w:hAnsi="Times New Roman" w:cs="Times New Roman"/>
          <w:color w:val="1F1F1F"/>
          <w:sz w:val="24"/>
          <w:szCs w:val="24"/>
          <w:shd w:val="clear" w:color="auto" w:fill="FFFFFF"/>
          <w:lang w:val="en-US"/>
        </w:rPr>
        <w:endnoteReference w:id="11"/>
      </w:r>
    </w:p>
    <w:p w14:paraId="1D22003F" w14:textId="77777777" w:rsidR="00871E6D" w:rsidRPr="00CA52B7" w:rsidRDefault="00871E6D" w:rsidP="00CA52B7">
      <w:pPr>
        <w:pStyle w:val="Prrafodelista"/>
        <w:spacing w:beforeLines="240" w:before="576" w:afterLines="240" w:after="576"/>
        <w:ind w:left="360"/>
        <w:jc w:val="both"/>
        <w:rPr>
          <w:rFonts w:ascii="Times New Roman" w:hAnsi="Times New Roman" w:cs="Times New Roman"/>
          <w:sz w:val="24"/>
          <w:szCs w:val="24"/>
          <w:lang w:val="en-US"/>
        </w:rPr>
      </w:pPr>
    </w:p>
    <w:p w14:paraId="0C1AD4D0" w14:textId="66EE548A" w:rsidR="00606B27" w:rsidRPr="00606B27" w:rsidRDefault="00606B27" w:rsidP="00CA52B7">
      <w:pPr>
        <w:pStyle w:val="Prrafodelista"/>
        <w:numPr>
          <w:ilvl w:val="0"/>
          <w:numId w:val="2"/>
        </w:numPr>
        <w:spacing w:beforeLines="240" w:before="576" w:afterLines="240" w:after="576"/>
        <w:jc w:val="both"/>
        <w:rPr>
          <w:rFonts w:ascii="Times New Roman" w:hAnsi="Times New Roman" w:cs="Times New Roman"/>
          <w:b/>
          <w:bCs/>
          <w:sz w:val="24"/>
          <w:szCs w:val="24"/>
          <w:lang w:val="en-US"/>
        </w:rPr>
      </w:pPr>
      <w:r w:rsidRPr="00606B27">
        <w:rPr>
          <w:rFonts w:ascii="Times New Roman" w:hAnsi="Times New Roman" w:cs="Times New Roman"/>
          <w:b/>
          <w:bCs/>
          <w:sz w:val="24"/>
          <w:szCs w:val="24"/>
          <w:lang w:val="en-US"/>
        </w:rPr>
        <w:t>Access to Justice</w:t>
      </w:r>
    </w:p>
    <w:p w14:paraId="64A1BDB1" w14:textId="77777777" w:rsidR="00606B27" w:rsidRDefault="00606B27" w:rsidP="00606B27">
      <w:pPr>
        <w:pStyle w:val="Prrafodelista"/>
        <w:spacing w:beforeLines="240" w:before="576" w:afterLines="240" w:after="576"/>
        <w:ind w:left="1080"/>
        <w:jc w:val="both"/>
        <w:rPr>
          <w:rFonts w:ascii="Times New Roman" w:hAnsi="Times New Roman" w:cs="Times New Roman"/>
          <w:sz w:val="24"/>
          <w:szCs w:val="24"/>
          <w:lang w:val="en-US"/>
        </w:rPr>
      </w:pPr>
    </w:p>
    <w:p w14:paraId="18CA32FC" w14:textId="5EFF5809" w:rsidR="00606B27" w:rsidRPr="00606B27" w:rsidRDefault="0044718D" w:rsidP="00606B27">
      <w:pPr>
        <w:pStyle w:val="Prrafodelista"/>
        <w:numPr>
          <w:ilvl w:val="0"/>
          <w:numId w:val="1"/>
        </w:numPr>
        <w:spacing w:beforeLines="240" w:before="576" w:afterLines="240" w:after="576"/>
        <w:jc w:val="both"/>
        <w:rPr>
          <w:rFonts w:ascii="Times New Roman" w:hAnsi="Times New Roman" w:cs="Times New Roman"/>
          <w:sz w:val="24"/>
          <w:szCs w:val="24"/>
          <w:lang w:val="en-US"/>
        </w:rPr>
      </w:pPr>
      <w:r w:rsidRPr="0044718D">
        <w:rPr>
          <w:rFonts w:ascii="Times New Roman" w:hAnsi="Times New Roman" w:cs="Times New Roman"/>
          <w:sz w:val="24"/>
          <w:szCs w:val="24"/>
          <w:lang w:val="en-US"/>
        </w:rPr>
        <w:t xml:space="preserve">After 12 years of operation, the CICIG was </w:t>
      </w:r>
      <w:r w:rsidR="00E31E60">
        <w:rPr>
          <w:rFonts w:ascii="Times New Roman" w:hAnsi="Times New Roman" w:cs="Times New Roman"/>
          <w:sz w:val="24"/>
          <w:szCs w:val="24"/>
          <w:lang w:val="en-US"/>
        </w:rPr>
        <w:t>dismantled</w:t>
      </w:r>
      <w:r w:rsidRPr="0044718D">
        <w:rPr>
          <w:rFonts w:ascii="Times New Roman" w:hAnsi="Times New Roman" w:cs="Times New Roman"/>
          <w:sz w:val="24"/>
          <w:szCs w:val="24"/>
          <w:lang w:val="en-US"/>
        </w:rPr>
        <w:t xml:space="preserve"> in September 2019,</w:t>
      </w:r>
      <w:r>
        <w:rPr>
          <w:rStyle w:val="Refdenotaalfinal"/>
          <w:rFonts w:ascii="Times New Roman" w:hAnsi="Times New Roman" w:cs="Times New Roman"/>
          <w:sz w:val="24"/>
          <w:szCs w:val="24"/>
          <w:lang w:val="en-US"/>
        </w:rPr>
        <w:endnoteReference w:id="12"/>
      </w:r>
      <w:r w:rsidRPr="0044718D">
        <w:rPr>
          <w:rFonts w:ascii="Times New Roman" w:hAnsi="Times New Roman" w:cs="Times New Roman"/>
          <w:sz w:val="24"/>
          <w:szCs w:val="24"/>
          <w:lang w:val="en-US"/>
        </w:rPr>
        <w:t xml:space="preserve"> at the request of former President Jimmy Morales and the impunity </w:t>
      </w:r>
      <w:r w:rsidR="00E31E60">
        <w:rPr>
          <w:rFonts w:ascii="Times New Roman" w:hAnsi="Times New Roman" w:cs="Times New Roman"/>
          <w:sz w:val="24"/>
          <w:szCs w:val="24"/>
          <w:lang w:val="en-US"/>
        </w:rPr>
        <w:t xml:space="preserve">alliance </w:t>
      </w:r>
      <w:r w:rsidRPr="0044718D">
        <w:rPr>
          <w:rFonts w:ascii="Times New Roman" w:hAnsi="Times New Roman" w:cs="Times New Roman"/>
          <w:sz w:val="24"/>
          <w:szCs w:val="24"/>
          <w:lang w:val="en-US"/>
        </w:rPr>
        <w:t>co</w:t>
      </w:r>
      <w:r w:rsidR="00E31E60">
        <w:rPr>
          <w:rFonts w:ascii="Times New Roman" w:hAnsi="Times New Roman" w:cs="Times New Roman"/>
          <w:sz w:val="24"/>
          <w:szCs w:val="24"/>
          <w:lang w:val="en-US"/>
        </w:rPr>
        <w:t>mprised</w:t>
      </w:r>
      <w:r w:rsidRPr="0044718D">
        <w:rPr>
          <w:rFonts w:ascii="Times New Roman" w:hAnsi="Times New Roman" w:cs="Times New Roman"/>
          <w:sz w:val="24"/>
          <w:szCs w:val="24"/>
          <w:lang w:val="en-US"/>
        </w:rPr>
        <w:t xml:space="preserve"> of public officials, neo-Pentecostal churches, organized crime, and military personnel operating outside the law, leaving more than 120 open cases that were being investigated. </w:t>
      </w:r>
      <w:r w:rsidR="00E31E60">
        <w:rPr>
          <w:rFonts w:ascii="Times New Roman" w:hAnsi="Times New Roman" w:cs="Times New Roman"/>
          <w:sz w:val="24"/>
          <w:szCs w:val="24"/>
          <w:lang w:val="en-US"/>
        </w:rPr>
        <w:t>As of</w:t>
      </w:r>
      <w:r w:rsidRPr="0044718D">
        <w:rPr>
          <w:rFonts w:ascii="Times New Roman" w:hAnsi="Times New Roman" w:cs="Times New Roman"/>
          <w:sz w:val="24"/>
          <w:szCs w:val="24"/>
          <w:lang w:val="en-US"/>
        </w:rPr>
        <w:t xml:space="preserve"> 2023, a large number of people who were linked to corruption cases have been released from prison through the use of the charge acceptance procedure</w:t>
      </w:r>
      <w:r w:rsidR="00066299">
        <w:rPr>
          <w:rFonts w:ascii="Times New Roman" w:hAnsi="Times New Roman" w:cs="Times New Roman"/>
          <w:sz w:val="24"/>
          <w:szCs w:val="24"/>
          <w:lang w:val="en-US"/>
        </w:rPr>
        <w:t xml:space="preserve"> (Annex No. 1)</w:t>
      </w:r>
      <w:r w:rsidRPr="0044718D">
        <w:rPr>
          <w:rFonts w:ascii="Times New Roman" w:hAnsi="Times New Roman" w:cs="Times New Roman"/>
          <w:sz w:val="24"/>
          <w:szCs w:val="24"/>
          <w:lang w:val="en-US"/>
        </w:rPr>
        <w:t xml:space="preserve">, manipulation, and distortion of criminal and administrative procedures. </w:t>
      </w:r>
      <w:r w:rsidR="00066299">
        <w:rPr>
          <w:rFonts w:ascii="Times New Roman" w:hAnsi="Times New Roman" w:cs="Times New Roman"/>
          <w:sz w:val="24"/>
          <w:szCs w:val="24"/>
          <w:lang w:val="en-US"/>
        </w:rPr>
        <w:t>T</w:t>
      </w:r>
      <w:r w:rsidRPr="0044718D">
        <w:rPr>
          <w:rFonts w:ascii="Times New Roman" w:hAnsi="Times New Roman" w:cs="Times New Roman"/>
          <w:sz w:val="24"/>
          <w:szCs w:val="24"/>
          <w:lang w:val="en-US"/>
        </w:rPr>
        <w:t xml:space="preserve">he </w:t>
      </w:r>
      <w:r w:rsidR="00066299">
        <w:rPr>
          <w:rFonts w:ascii="Times New Roman" w:hAnsi="Times New Roman" w:cs="Times New Roman"/>
          <w:sz w:val="24"/>
          <w:szCs w:val="24"/>
          <w:lang w:val="en-US"/>
        </w:rPr>
        <w:t xml:space="preserve">appointment of the </w:t>
      </w:r>
      <w:r w:rsidRPr="0044718D">
        <w:rPr>
          <w:rFonts w:ascii="Times New Roman" w:hAnsi="Times New Roman" w:cs="Times New Roman"/>
          <w:sz w:val="24"/>
          <w:szCs w:val="24"/>
          <w:lang w:val="en-US"/>
        </w:rPr>
        <w:t xml:space="preserve">new Supreme Court of Justice and the magistracies of the appellate chambers </w:t>
      </w:r>
      <w:r w:rsidR="00066299">
        <w:rPr>
          <w:rFonts w:ascii="Times New Roman" w:hAnsi="Times New Roman" w:cs="Times New Roman"/>
          <w:sz w:val="24"/>
          <w:szCs w:val="24"/>
          <w:lang w:val="en-US"/>
        </w:rPr>
        <w:t xml:space="preserve">has been overdue since October 2019, </w:t>
      </w:r>
      <w:r w:rsidRPr="0044718D">
        <w:rPr>
          <w:rFonts w:ascii="Times New Roman" w:hAnsi="Times New Roman" w:cs="Times New Roman"/>
          <w:sz w:val="24"/>
          <w:szCs w:val="24"/>
          <w:lang w:val="en-US"/>
        </w:rPr>
        <w:t>despite an order from the Constitutional Court.</w:t>
      </w:r>
      <w:r w:rsidR="001F7AE4">
        <w:rPr>
          <w:rStyle w:val="Refdenotaalfinal"/>
          <w:rFonts w:ascii="Times New Roman" w:hAnsi="Times New Roman" w:cs="Times New Roman"/>
          <w:sz w:val="24"/>
          <w:szCs w:val="24"/>
          <w:lang w:val="en-US"/>
        </w:rPr>
        <w:endnoteReference w:id="13"/>
      </w:r>
      <w:r w:rsidRPr="0044718D">
        <w:rPr>
          <w:rFonts w:ascii="Times New Roman" w:hAnsi="Times New Roman" w:cs="Times New Roman"/>
          <w:sz w:val="24"/>
          <w:szCs w:val="24"/>
          <w:lang w:val="en-US"/>
        </w:rPr>
        <w:t xml:space="preserve"> This directly impacts women because they are the ones who </w:t>
      </w:r>
      <w:r w:rsidR="00066299">
        <w:rPr>
          <w:rFonts w:ascii="Times New Roman" w:hAnsi="Times New Roman" w:cs="Times New Roman"/>
          <w:sz w:val="24"/>
          <w:szCs w:val="24"/>
          <w:lang w:val="en-US"/>
        </w:rPr>
        <w:t>most use the</w:t>
      </w:r>
      <w:r w:rsidRPr="0044718D">
        <w:rPr>
          <w:rFonts w:ascii="Times New Roman" w:hAnsi="Times New Roman" w:cs="Times New Roman"/>
          <w:sz w:val="24"/>
          <w:szCs w:val="24"/>
          <w:lang w:val="en-US"/>
        </w:rPr>
        <w:t xml:space="preserve"> justice system</w:t>
      </w:r>
      <w:r w:rsidR="00066299">
        <w:rPr>
          <w:rFonts w:ascii="Times New Roman" w:hAnsi="Times New Roman" w:cs="Times New Roman"/>
          <w:sz w:val="24"/>
          <w:szCs w:val="24"/>
          <w:lang w:val="en-US"/>
        </w:rPr>
        <w:t>; this</w:t>
      </w:r>
      <w:r w:rsidRPr="0044718D">
        <w:rPr>
          <w:rFonts w:ascii="Times New Roman" w:hAnsi="Times New Roman" w:cs="Times New Roman"/>
          <w:sz w:val="24"/>
          <w:szCs w:val="24"/>
          <w:lang w:val="en-US"/>
        </w:rPr>
        <w:t xml:space="preserve"> situation has violated </w:t>
      </w:r>
      <w:r w:rsidR="00066299">
        <w:rPr>
          <w:rFonts w:ascii="Times New Roman" w:hAnsi="Times New Roman" w:cs="Times New Roman"/>
          <w:sz w:val="24"/>
          <w:szCs w:val="24"/>
          <w:lang w:val="en-US"/>
        </w:rPr>
        <w:t xml:space="preserve">women’s </w:t>
      </w:r>
      <w:r w:rsidRPr="0044718D">
        <w:rPr>
          <w:rFonts w:ascii="Times New Roman" w:hAnsi="Times New Roman" w:cs="Times New Roman"/>
          <w:sz w:val="24"/>
          <w:szCs w:val="24"/>
          <w:lang w:val="en-US"/>
        </w:rPr>
        <w:t xml:space="preserve">access to justice, due </w:t>
      </w:r>
      <w:r w:rsidR="00066299">
        <w:rPr>
          <w:rFonts w:ascii="Times New Roman" w:hAnsi="Times New Roman" w:cs="Times New Roman"/>
          <w:sz w:val="24"/>
          <w:szCs w:val="24"/>
          <w:lang w:val="en-US"/>
        </w:rPr>
        <w:t>process</w:t>
      </w:r>
      <w:r w:rsidRPr="0044718D">
        <w:rPr>
          <w:rFonts w:ascii="Times New Roman" w:hAnsi="Times New Roman" w:cs="Times New Roman"/>
          <w:sz w:val="24"/>
          <w:szCs w:val="24"/>
          <w:lang w:val="en-US"/>
        </w:rPr>
        <w:t xml:space="preserve">, </w:t>
      </w:r>
      <w:r w:rsidRPr="0044718D">
        <w:rPr>
          <w:rFonts w:ascii="Times New Roman" w:hAnsi="Times New Roman" w:cs="Times New Roman"/>
          <w:sz w:val="24"/>
          <w:szCs w:val="24"/>
          <w:lang w:val="en-US"/>
        </w:rPr>
        <w:lastRenderedPageBreak/>
        <w:t xml:space="preserve">and </w:t>
      </w:r>
      <w:r w:rsidR="00066299">
        <w:rPr>
          <w:rFonts w:ascii="Times New Roman" w:hAnsi="Times New Roman" w:cs="Times New Roman"/>
          <w:sz w:val="24"/>
          <w:szCs w:val="24"/>
          <w:lang w:val="en-US"/>
        </w:rPr>
        <w:t xml:space="preserve">right to an adequate </w:t>
      </w:r>
      <w:r w:rsidRPr="0044718D">
        <w:rPr>
          <w:rFonts w:ascii="Times New Roman" w:hAnsi="Times New Roman" w:cs="Times New Roman"/>
          <w:sz w:val="24"/>
          <w:szCs w:val="24"/>
          <w:lang w:val="en-US"/>
        </w:rPr>
        <w:t>defense</w:t>
      </w:r>
      <w:r w:rsidR="00066299">
        <w:rPr>
          <w:rFonts w:ascii="Times New Roman" w:hAnsi="Times New Roman" w:cs="Times New Roman"/>
          <w:sz w:val="24"/>
          <w:szCs w:val="24"/>
          <w:lang w:val="en-US"/>
        </w:rPr>
        <w:t>,</w:t>
      </w:r>
      <w:r w:rsidRPr="0044718D">
        <w:rPr>
          <w:rFonts w:ascii="Times New Roman" w:hAnsi="Times New Roman" w:cs="Times New Roman"/>
          <w:sz w:val="24"/>
          <w:szCs w:val="24"/>
          <w:lang w:val="en-US"/>
        </w:rPr>
        <w:t xml:space="preserve"> </w:t>
      </w:r>
      <w:r w:rsidR="00066299">
        <w:rPr>
          <w:rFonts w:ascii="Times New Roman" w:hAnsi="Times New Roman" w:cs="Times New Roman"/>
          <w:sz w:val="24"/>
          <w:szCs w:val="24"/>
          <w:lang w:val="en-US"/>
        </w:rPr>
        <w:t>as</w:t>
      </w:r>
      <w:r w:rsidRPr="0044718D">
        <w:rPr>
          <w:rFonts w:ascii="Times New Roman" w:hAnsi="Times New Roman" w:cs="Times New Roman"/>
          <w:sz w:val="24"/>
          <w:szCs w:val="24"/>
          <w:lang w:val="en-US"/>
        </w:rPr>
        <w:t xml:space="preserve"> impunity is promoted in these cases</w:t>
      </w:r>
      <w:r w:rsidR="00066299">
        <w:rPr>
          <w:rFonts w:ascii="Times New Roman" w:hAnsi="Times New Roman" w:cs="Times New Roman"/>
          <w:sz w:val="24"/>
          <w:szCs w:val="24"/>
          <w:lang w:val="en-US"/>
        </w:rPr>
        <w:t xml:space="preserve"> and is at the heart of the justice system</w:t>
      </w:r>
      <w:r w:rsidRPr="0044718D">
        <w:rPr>
          <w:rFonts w:ascii="Times New Roman" w:hAnsi="Times New Roman" w:cs="Times New Roman"/>
          <w:sz w:val="24"/>
          <w:szCs w:val="24"/>
          <w:lang w:val="en-US"/>
        </w:rPr>
        <w:t>.</w:t>
      </w:r>
    </w:p>
    <w:p w14:paraId="4256D706" w14:textId="77777777" w:rsidR="00606B27" w:rsidRPr="00606B27" w:rsidRDefault="00606B27" w:rsidP="00606B27">
      <w:pPr>
        <w:pStyle w:val="Prrafodelista"/>
        <w:spacing w:beforeLines="240" w:before="576" w:afterLines="240" w:after="576"/>
        <w:ind w:left="1080"/>
        <w:jc w:val="both"/>
        <w:rPr>
          <w:rFonts w:ascii="Times New Roman" w:hAnsi="Times New Roman" w:cs="Times New Roman"/>
          <w:sz w:val="24"/>
          <w:szCs w:val="24"/>
          <w:lang w:val="en-US"/>
        </w:rPr>
      </w:pPr>
    </w:p>
    <w:p w14:paraId="2EFA56BF" w14:textId="2BF71E6C" w:rsidR="005240B5" w:rsidRPr="00CA52B7" w:rsidRDefault="008E4031" w:rsidP="00CA52B7">
      <w:pPr>
        <w:pStyle w:val="Prrafodelista"/>
        <w:numPr>
          <w:ilvl w:val="0"/>
          <w:numId w:val="2"/>
        </w:numPr>
        <w:spacing w:beforeLines="240" w:before="576" w:afterLines="240" w:after="576"/>
        <w:jc w:val="both"/>
        <w:rPr>
          <w:rFonts w:ascii="Times New Roman" w:hAnsi="Times New Roman" w:cs="Times New Roman"/>
          <w:sz w:val="24"/>
          <w:szCs w:val="24"/>
          <w:lang w:val="en-US"/>
        </w:rPr>
      </w:pPr>
      <w:r w:rsidRPr="00CA52B7">
        <w:rPr>
          <w:rFonts w:ascii="Times New Roman" w:hAnsi="Times New Roman" w:cs="Times New Roman"/>
          <w:b/>
          <w:bCs/>
          <w:sz w:val="24"/>
          <w:szCs w:val="24"/>
          <w:lang w:val="en-US"/>
        </w:rPr>
        <w:t>Mechanisms for the Advancement of Women</w:t>
      </w:r>
    </w:p>
    <w:p w14:paraId="383461D1" w14:textId="77777777" w:rsidR="005240B5" w:rsidRPr="00CA52B7" w:rsidRDefault="005240B5" w:rsidP="00CA52B7">
      <w:pPr>
        <w:pStyle w:val="Prrafodelista"/>
        <w:spacing w:beforeLines="240" w:before="576" w:afterLines="240" w:after="576"/>
        <w:ind w:left="1080"/>
        <w:jc w:val="both"/>
        <w:rPr>
          <w:rFonts w:ascii="Times New Roman" w:hAnsi="Times New Roman" w:cs="Times New Roman"/>
          <w:sz w:val="24"/>
          <w:szCs w:val="24"/>
          <w:lang w:val="en-US"/>
        </w:rPr>
      </w:pPr>
    </w:p>
    <w:p w14:paraId="08BE17A1" w14:textId="07B43B97" w:rsidR="005240B5" w:rsidRPr="00CA52B7" w:rsidRDefault="008E4031" w:rsidP="00CA52B7">
      <w:pPr>
        <w:pStyle w:val="Prrafodelista"/>
        <w:numPr>
          <w:ilvl w:val="0"/>
          <w:numId w:val="1"/>
        </w:numPr>
        <w:spacing w:beforeLines="240" w:before="576" w:afterLines="240" w:after="576"/>
        <w:jc w:val="both"/>
        <w:rPr>
          <w:rFonts w:ascii="Times New Roman" w:hAnsi="Times New Roman" w:cs="Times New Roman"/>
          <w:sz w:val="24"/>
          <w:szCs w:val="24"/>
          <w:lang w:val="en-US"/>
        </w:rPr>
      </w:pPr>
      <w:r w:rsidRPr="00CA52B7">
        <w:rPr>
          <w:rFonts w:ascii="Times New Roman" w:hAnsi="Times New Roman" w:cs="Times New Roman"/>
          <w:sz w:val="24"/>
          <w:szCs w:val="24"/>
          <w:lang w:val="en-US"/>
        </w:rPr>
        <w:t>The SEPREM is the</w:t>
      </w:r>
      <w:r w:rsidR="002D78FD">
        <w:rPr>
          <w:rFonts w:ascii="Times New Roman" w:hAnsi="Times New Roman" w:cs="Times New Roman"/>
          <w:sz w:val="24"/>
          <w:szCs w:val="24"/>
          <w:lang w:val="en-US"/>
        </w:rPr>
        <w:t xml:space="preserve"> executive</w:t>
      </w:r>
      <w:r w:rsidRPr="00CA52B7">
        <w:rPr>
          <w:rFonts w:ascii="Times New Roman" w:hAnsi="Times New Roman" w:cs="Times New Roman"/>
          <w:sz w:val="24"/>
          <w:szCs w:val="24"/>
          <w:lang w:val="en-US"/>
        </w:rPr>
        <w:t xml:space="preserve"> mechanism created to promote the </w:t>
      </w:r>
      <w:r w:rsidR="002D78FD">
        <w:rPr>
          <w:rFonts w:ascii="Times New Roman" w:hAnsi="Times New Roman" w:cs="Times New Roman"/>
          <w:sz w:val="24"/>
          <w:szCs w:val="24"/>
          <w:lang w:val="en-US"/>
        </w:rPr>
        <w:t>comprehensive advancement</w:t>
      </w:r>
      <w:r w:rsidRPr="00CA52B7">
        <w:rPr>
          <w:rFonts w:ascii="Times New Roman" w:hAnsi="Times New Roman" w:cs="Times New Roman"/>
          <w:sz w:val="24"/>
          <w:szCs w:val="24"/>
          <w:lang w:val="en-US"/>
        </w:rPr>
        <w:t xml:space="preserve"> of women. However, with each change of government, it faces the risk of being closed. In 2020, President Giammattei w</w:t>
      </w:r>
      <w:r w:rsidR="002D78FD">
        <w:rPr>
          <w:rFonts w:ascii="Times New Roman" w:hAnsi="Times New Roman" w:cs="Times New Roman"/>
          <w:sz w:val="24"/>
          <w:szCs w:val="24"/>
          <w:lang w:val="en-US"/>
        </w:rPr>
        <w:t>ished</w:t>
      </w:r>
      <w:r w:rsidRPr="00CA52B7">
        <w:rPr>
          <w:rFonts w:ascii="Times New Roman" w:hAnsi="Times New Roman" w:cs="Times New Roman"/>
          <w:sz w:val="24"/>
          <w:szCs w:val="24"/>
          <w:lang w:val="en-US"/>
        </w:rPr>
        <w:t xml:space="preserve"> to annul it</w:t>
      </w:r>
      <w:r w:rsidR="002D78FD">
        <w:rPr>
          <w:rFonts w:ascii="Times New Roman" w:hAnsi="Times New Roman" w:cs="Times New Roman"/>
          <w:sz w:val="24"/>
          <w:szCs w:val="24"/>
          <w:lang w:val="en-US"/>
        </w:rPr>
        <w:t xml:space="preserve"> and maintained it without leadership</w:t>
      </w:r>
      <w:r w:rsidRPr="00CA52B7">
        <w:rPr>
          <w:rFonts w:ascii="Times New Roman" w:hAnsi="Times New Roman" w:cs="Times New Roman"/>
          <w:sz w:val="24"/>
          <w:szCs w:val="24"/>
          <w:lang w:val="en-US"/>
        </w:rPr>
        <w:t xml:space="preserve"> for a period of 2021. After national and international</w:t>
      </w:r>
      <w:r w:rsidR="002D78FD">
        <w:rPr>
          <w:rFonts w:ascii="Times New Roman" w:hAnsi="Times New Roman" w:cs="Times New Roman"/>
          <w:sz w:val="24"/>
          <w:szCs w:val="24"/>
          <w:lang w:val="en-US"/>
        </w:rPr>
        <w:t xml:space="preserve"> denouncements</w:t>
      </w:r>
      <w:r w:rsidRPr="00CA52B7">
        <w:rPr>
          <w:rFonts w:ascii="Times New Roman" w:hAnsi="Times New Roman" w:cs="Times New Roman"/>
          <w:sz w:val="24"/>
          <w:szCs w:val="24"/>
          <w:lang w:val="en-US"/>
        </w:rPr>
        <w:t xml:space="preserve">, he finally appointed the current </w:t>
      </w:r>
      <w:r w:rsidR="002D78FD">
        <w:rPr>
          <w:rFonts w:ascii="Times New Roman" w:hAnsi="Times New Roman" w:cs="Times New Roman"/>
          <w:sz w:val="24"/>
          <w:szCs w:val="24"/>
          <w:lang w:val="en-US"/>
        </w:rPr>
        <w:t>Secretariat</w:t>
      </w:r>
      <w:r w:rsidRPr="00CA52B7">
        <w:rPr>
          <w:rFonts w:ascii="Times New Roman" w:hAnsi="Times New Roman" w:cs="Times New Roman"/>
          <w:sz w:val="24"/>
          <w:szCs w:val="24"/>
          <w:lang w:val="en-US"/>
        </w:rPr>
        <w:t xml:space="preserve">, Dr. Ana Leticia Aguilar, after a selection process in which </w:t>
      </w:r>
      <w:r w:rsidR="002D78FD">
        <w:rPr>
          <w:rFonts w:ascii="Times New Roman" w:hAnsi="Times New Roman" w:cs="Times New Roman"/>
          <w:sz w:val="24"/>
          <w:szCs w:val="24"/>
          <w:lang w:val="en-US"/>
        </w:rPr>
        <w:t xml:space="preserve">women’s organizations </w:t>
      </w:r>
      <w:r w:rsidRPr="00CA52B7">
        <w:rPr>
          <w:rFonts w:ascii="Times New Roman" w:hAnsi="Times New Roman" w:cs="Times New Roman"/>
          <w:sz w:val="24"/>
          <w:szCs w:val="24"/>
          <w:lang w:val="en-US"/>
        </w:rPr>
        <w:t>participated</w:t>
      </w:r>
      <w:r w:rsidR="002D78FD">
        <w:rPr>
          <w:rFonts w:ascii="Times New Roman" w:hAnsi="Times New Roman" w:cs="Times New Roman"/>
          <w:sz w:val="24"/>
          <w:szCs w:val="24"/>
          <w:lang w:val="en-US"/>
        </w:rPr>
        <w:t>,</w:t>
      </w:r>
      <w:r w:rsidRPr="00CA52B7">
        <w:rPr>
          <w:rFonts w:ascii="Times New Roman" w:hAnsi="Times New Roman" w:cs="Times New Roman"/>
          <w:sz w:val="24"/>
          <w:szCs w:val="24"/>
          <w:lang w:val="en-US"/>
        </w:rPr>
        <w:t xml:space="preserve"> in restitution of their rights violated in 2018. There is </w:t>
      </w:r>
      <w:r w:rsidR="00A157B5">
        <w:rPr>
          <w:rFonts w:ascii="Times New Roman" w:hAnsi="Times New Roman" w:cs="Times New Roman"/>
          <w:sz w:val="24"/>
          <w:szCs w:val="24"/>
          <w:lang w:val="en-US"/>
        </w:rPr>
        <w:t xml:space="preserve">also </w:t>
      </w:r>
      <w:r w:rsidRPr="00CA52B7">
        <w:rPr>
          <w:rFonts w:ascii="Times New Roman" w:hAnsi="Times New Roman" w:cs="Times New Roman"/>
          <w:sz w:val="24"/>
          <w:szCs w:val="24"/>
          <w:lang w:val="en-US"/>
        </w:rPr>
        <w:t xml:space="preserve">an initiative to elevate SEPREM to </w:t>
      </w:r>
      <w:r w:rsidR="00A157B5">
        <w:rPr>
          <w:rFonts w:ascii="Times New Roman" w:hAnsi="Times New Roman" w:cs="Times New Roman"/>
          <w:sz w:val="24"/>
          <w:szCs w:val="24"/>
          <w:lang w:val="en-US"/>
        </w:rPr>
        <w:t>be a</w:t>
      </w:r>
      <w:r w:rsidRPr="00CA52B7">
        <w:rPr>
          <w:rFonts w:ascii="Times New Roman" w:hAnsi="Times New Roman" w:cs="Times New Roman"/>
          <w:sz w:val="24"/>
          <w:szCs w:val="24"/>
          <w:lang w:val="en-US"/>
        </w:rPr>
        <w:t xml:space="preserve"> Ministry of Women, initiative 4977, which remained in </w:t>
      </w:r>
      <w:r w:rsidR="00A157B5">
        <w:rPr>
          <w:rFonts w:ascii="Times New Roman" w:hAnsi="Times New Roman" w:cs="Times New Roman"/>
          <w:sz w:val="24"/>
          <w:szCs w:val="24"/>
          <w:lang w:val="en-US"/>
        </w:rPr>
        <w:t xml:space="preserve">the </w:t>
      </w:r>
      <w:r w:rsidRPr="00CA52B7">
        <w:rPr>
          <w:rFonts w:ascii="Times New Roman" w:hAnsi="Times New Roman" w:cs="Times New Roman"/>
          <w:sz w:val="24"/>
          <w:szCs w:val="24"/>
          <w:lang w:val="en-US"/>
        </w:rPr>
        <w:t xml:space="preserve">second </w:t>
      </w:r>
      <w:r w:rsidR="00A157B5">
        <w:rPr>
          <w:rFonts w:ascii="Times New Roman" w:hAnsi="Times New Roman" w:cs="Times New Roman"/>
          <w:sz w:val="24"/>
          <w:szCs w:val="24"/>
          <w:lang w:val="en-US"/>
        </w:rPr>
        <w:t xml:space="preserve">phase of </w:t>
      </w:r>
      <w:r w:rsidRPr="00CA52B7">
        <w:rPr>
          <w:rFonts w:ascii="Times New Roman" w:hAnsi="Times New Roman" w:cs="Times New Roman"/>
          <w:sz w:val="24"/>
          <w:szCs w:val="24"/>
          <w:lang w:val="en-US"/>
        </w:rPr>
        <w:t>re</w:t>
      </w:r>
      <w:r w:rsidR="00A157B5">
        <w:rPr>
          <w:rFonts w:ascii="Times New Roman" w:hAnsi="Times New Roman" w:cs="Times New Roman"/>
          <w:sz w:val="24"/>
          <w:szCs w:val="24"/>
          <w:lang w:val="en-US"/>
        </w:rPr>
        <w:t>view</w:t>
      </w:r>
      <w:r w:rsidRPr="00CA52B7">
        <w:rPr>
          <w:rFonts w:ascii="Times New Roman" w:hAnsi="Times New Roman" w:cs="Times New Roman"/>
          <w:sz w:val="24"/>
          <w:szCs w:val="24"/>
          <w:lang w:val="en-US"/>
        </w:rPr>
        <w:t>.</w:t>
      </w:r>
      <w:r w:rsidR="00AA57D3" w:rsidRPr="00CA52B7">
        <w:rPr>
          <w:rStyle w:val="Refdenotaalfinal"/>
          <w:rFonts w:ascii="Times New Roman" w:hAnsi="Times New Roman" w:cs="Times New Roman"/>
          <w:sz w:val="24"/>
          <w:szCs w:val="24"/>
          <w:lang w:val="en-US"/>
        </w:rPr>
        <w:endnoteReference w:id="14"/>
      </w:r>
    </w:p>
    <w:p w14:paraId="4C0C438A" w14:textId="77777777" w:rsidR="008E4031" w:rsidRPr="00CA52B7" w:rsidRDefault="008E4031" w:rsidP="00CA52B7">
      <w:pPr>
        <w:pStyle w:val="Prrafodelista"/>
        <w:spacing w:beforeLines="240" w:before="576" w:afterLines="240" w:after="576"/>
        <w:ind w:left="360"/>
        <w:jc w:val="both"/>
        <w:rPr>
          <w:rFonts w:ascii="Times New Roman" w:hAnsi="Times New Roman" w:cs="Times New Roman"/>
          <w:sz w:val="24"/>
          <w:szCs w:val="24"/>
          <w:lang w:val="en-US"/>
        </w:rPr>
      </w:pPr>
    </w:p>
    <w:p w14:paraId="2F71F626" w14:textId="091A9693" w:rsidR="003A3E5A" w:rsidRPr="00CA52B7" w:rsidRDefault="008E4031" w:rsidP="00CA52B7">
      <w:pPr>
        <w:pStyle w:val="Prrafodelista"/>
        <w:numPr>
          <w:ilvl w:val="0"/>
          <w:numId w:val="1"/>
        </w:numPr>
        <w:spacing w:after="0"/>
        <w:jc w:val="both"/>
        <w:rPr>
          <w:rFonts w:ascii="Times New Roman" w:hAnsi="Times New Roman" w:cs="Times New Roman"/>
          <w:sz w:val="24"/>
          <w:szCs w:val="24"/>
          <w:lang w:val="en-US"/>
        </w:rPr>
      </w:pPr>
      <w:r w:rsidRPr="00CA52B7">
        <w:rPr>
          <w:rFonts w:ascii="Times New Roman" w:hAnsi="Times New Roman" w:cs="Times New Roman"/>
          <w:sz w:val="24"/>
          <w:szCs w:val="24"/>
          <w:lang w:val="en-US"/>
        </w:rPr>
        <w:t>SEPREM went from having Q28 million in 2018 to Q25 million in 2023.</w:t>
      </w:r>
      <w:r w:rsidR="00AA57D3" w:rsidRPr="00CA52B7">
        <w:rPr>
          <w:rStyle w:val="Refdenotaalfinal"/>
          <w:rFonts w:ascii="Times New Roman" w:hAnsi="Times New Roman" w:cs="Times New Roman"/>
          <w:sz w:val="24"/>
          <w:szCs w:val="24"/>
          <w:lang w:val="en-US"/>
        </w:rPr>
        <w:endnoteReference w:id="15"/>
      </w:r>
      <w:r w:rsidRPr="00CA52B7">
        <w:rPr>
          <w:rFonts w:ascii="Times New Roman" w:hAnsi="Times New Roman" w:cs="Times New Roman"/>
          <w:sz w:val="24"/>
          <w:szCs w:val="24"/>
          <w:lang w:val="en-US"/>
        </w:rPr>
        <w:t xml:space="preserve"> As of July 2023, it had 109 </w:t>
      </w:r>
      <w:r w:rsidR="00A157B5">
        <w:rPr>
          <w:rFonts w:ascii="Times New Roman" w:hAnsi="Times New Roman" w:cs="Times New Roman"/>
          <w:sz w:val="24"/>
          <w:szCs w:val="24"/>
          <w:lang w:val="en-US"/>
        </w:rPr>
        <w:t>employees</w:t>
      </w:r>
      <w:r w:rsidRPr="00CA52B7">
        <w:rPr>
          <w:rFonts w:ascii="Times New Roman" w:hAnsi="Times New Roman" w:cs="Times New Roman"/>
          <w:sz w:val="24"/>
          <w:szCs w:val="24"/>
          <w:lang w:val="en-US"/>
        </w:rPr>
        <w:t>,</w:t>
      </w:r>
      <w:r w:rsidR="00AA57D3" w:rsidRPr="00CA52B7">
        <w:rPr>
          <w:rStyle w:val="Refdenotaalfinal"/>
          <w:rFonts w:ascii="Times New Roman" w:hAnsi="Times New Roman" w:cs="Times New Roman"/>
          <w:sz w:val="24"/>
          <w:szCs w:val="24"/>
          <w:lang w:val="en-US"/>
        </w:rPr>
        <w:endnoteReference w:id="16"/>
      </w:r>
      <w:r w:rsidRPr="00CA52B7">
        <w:rPr>
          <w:rFonts w:ascii="Times New Roman" w:hAnsi="Times New Roman" w:cs="Times New Roman"/>
          <w:sz w:val="24"/>
          <w:szCs w:val="24"/>
          <w:lang w:val="en-US"/>
        </w:rPr>
        <w:t xml:space="preserve"> but judicially </w:t>
      </w:r>
      <w:r w:rsidR="00A157B5">
        <w:rPr>
          <w:rFonts w:ascii="Times New Roman" w:hAnsi="Times New Roman" w:cs="Times New Roman"/>
          <w:sz w:val="24"/>
          <w:szCs w:val="24"/>
          <w:lang w:val="en-US"/>
        </w:rPr>
        <w:t>appointed</w:t>
      </w:r>
      <w:r w:rsidRPr="00CA52B7">
        <w:rPr>
          <w:rFonts w:ascii="Times New Roman" w:hAnsi="Times New Roman" w:cs="Times New Roman"/>
          <w:sz w:val="24"/>
          <w:szCs w:val="24"/>
          <w:lang w:val="en-US"/>
        </w:rPr>
        <w:t xml:space="preserve">, and from 2021 to date, </w:t>
      </w:r>
      <w:r w:rsidR="00A157B5">
        <w:rPr>
          <w:rFonts w:ascii="Times New Roman" w:hAnsi="Times New Roman" w:cs="Times New Roman"/>
          <w:sz w:val="24"/>
          <w:szCs w:val="24"/>
          <w:lang w:val="en-US"/>
        </w:rPr>
        <w:t>the agency faces complaints</w:t>
      </w:r>
      <w:r w:rsidRPr="00CA52B7">
        <w:rPr>
          <w:rFonts w:ascii="Times New Roman" w:hAnsi="Times New Roman" w:cs="Times New Roman"/>
          <w:sz w:val="24"/>
          <w:szCs w:val="24"/>
          <w:lang w:val="en-US"/>
        </w:rPr>
        <w:t xml:space="preserve"> for the reinstatement of at least 50 people. Many people who work there do not have the </w:t>
      </w:r>
      <w:r w:rsidR="00A157B5" w:rsidRPr="00CA52B7">
        <w:rPr>
          <w:rFonts w:ascii="Times New Roman" w:hAnsi="Times New Roman" w:cs="Times New Roman"/>
          <w:sz w:val="24"/>
          <w:szCs w:val="24"/>
          <w:lang w:val="en-US"/>
        </w:rPr>
        <w:t>cap</w:t>
      </w:r>
      <w:r w:rsidR="00A157B5">
        <w:rPr>
          <w:rFonts w:ascii="Times New Roman" w:hAnsi="Times New Roman" w:cs="Times New Roman"/>
          <w:sz w:val="24"/>
          <w:szCs w:val="24"/>
          <w:lang w:val="en-US"/>
        </w:rPr>
        <w:t>abilities</w:t>
      </w:r>
      <w:r w:rsidRPr="00CA52B7">
        <w:rPr>
          <w:rFonts w:ascii="Times New Roman" w:hAnsi="Times New Roman" w:cs="Times New Roman"/>
          <w:sz w:val="24"/>
          <w:szCs w:val="24"/>
          <w:lang w:val="en-US"/>
        </w:rPr>
        <w:t xml:space="preserve">, skills, and competence for the position </w:t>
      </w:r>
      <w:r w:rsidR="00A157B5">
        <w:rPr>
          <w:rFonts w:ascii="Times New Roman" w:hAnsi="Times New Roman" w:cs="Times New Roman"/>
          <w:sz w:val="24"/>
          <w:szCs w:val="24"/>
          <w:lang w:val="en-US"/>
        </w:rPr>
        <w:t xml:space="preserve">or to comply with the </w:t>
      </w:r>
      <w:r w:rsidRPr="00CA52B7">
        <w:rPr>
          <w:rFonts w:ascii="Times New Roman" w:hAnsi="Times New Roman" w:cs="Times New Roman"/>
          <w:sz w:val="24"/>
          <w:szCs w:val="24"/>
          <w:lang w:val="en-US"/>
        </w:rPr>
        <w:t xml:space="preserve">structure that was approved in 2018. SEPREM still does not have a presence in 22 departments </w:t>
      </w:r>
      <w:r w:rsidR="00A157B5">
        <w:rPr>
          <w:rFonts w:ascii="Times New Roman" w:hAnsi="Times New Roman" w:cs="Times New Roman"/>
          <w:sz w:val="24"/>
          <w:szCs w:val="24"/>
          <w:lang w:val="en-US"/>
        </w:rPr>
        <w:t>in</w:t>
      </w:r>
      <w:r w:rsidRPr="00CA52B7">
        <w:rPr>
          <w:rFonts w:ascii="Times New Roman" w:hAnsi="Times New Roman" w:cs="Times New Roman"/>
          <w:sz w:val="24"/>
          <w:szCs w:val="24"/>
          <w:lang w:val="en-US"/>
        </w:rPr>
        <w:t xml:space="preserve"> the country</w:t>
      </w:r>
      <w:r w:rsidR="00A157B5">
        <w:rPr>
          <w:rFonts w:ascii="Times New Roman" w:hAnsi="Times New Roman" w:cs="Times New Roman"/>
          <w:sz w:val="24"/>
          <w:szCs w:val="24"/>
          <w:lang w:val="en-US"/>
        </w:rPr>
        <w:t>; furthermore,</w:t>
      </w:r>
      <w:r w:rsidRPr="00CA52B7">
        <w:rPr>
          <w:rFonts w:ascii="Times New Roman" w:hAnsi="Times New Roman" w:cs="Times New Roman"/>
          <w:sz w:val="24"/>
          <w:szCs w:val="24"/>
          <w:lang w:val="en-US"/>
        </w:rPr>
        <w:t xml:space="preserve"> some departmental delegates do not meet the profile, or fulfill their function.</w:t>
      </w:r>
    </w:p>
    <w:p w14:paraId="5E705D44" w14:textId="77777777" w:rsidR="00E55D0A" w:rsidRPr="00CA52B7" w:rsidRDefault="00E55D0A" w:rsidP="00CA52B7">
      <w:pPr>
        <w:spacing w:after="0"/>
        <w:jc w:val="both"/>
        <w:rPr>
          <w:rFonts w:ascii="Times New Roman" w:hAnsi="Times New Roman" w:cs="Times New Roman"/>
          <w:sz w:val="24"/>
          <w:szCs w:val="24"/>
          <w:lang w:val="en-US"/>
        </w:rPr>
      </w:pPr>
    </w:p>
    <w:p w14:paraId="208234C1" w14:textId="34F34368" w:rsidR="003A3E5A" w:rsidRPr="009A5527" w:rsidRDefault="003A3E5A" w:rsidP="00CA52B7">
      <w:pPr>
        <w:pStyle w:val="NormalWeb"/>
        <w:numPr>
          <w:ilvl w:val="0"/>
          <w:numId w:val="1"/>
        </w:numPr>
        <w:shd w:val="clear" w:color="auto" w:fill="FFFFFF"/>
        <w:spacing w:before="0" w:beforeAutospacing="0" w:after="0" w:afterAutospacing="0"/>
        <w:jc w:val="both"/>
        <w:rPr>
          <w:rStyle w:val="Textoennegrita"/>
          <w:color w:val="1F1F1F"/>
        </w:rPr>
      </w:pPr>
      <w:r w:rsidRPr="00CA52B7">
        <w:rPr>
          <w:rStyle w:val="Textoennegrita"/>
          <w:b w:val="0"/>
          <w:bCs w:val="0"/>
          <w:color w:val="1F1F1F"/>
        </w:rPr>
        <w:t xml:space="preserve">SEPREM </w:t>
      </w:r>
      <w:r w:rsidR="00A157B5">
        <w:rPr>
          <w:rStyle w:val="Textoennegrita"/>
          <w:b w:val="0"/>
          <w:bCs w:val="0"/>
          <w:color w:val="1F1F1F"/>
        </w:rPr>
        <w:t>must</w:t>
      </w:r>
      <w:r w:rsidRPr="00CA52B7">
        <w:rPr>
          <w:rStyle w:val="Textoennegrita"/>
          <w:b w:val="0"/>
          <w:bCs w:val="0"/>
          <w:color w:val="1F1F1F"/>
        </w:rPr>
        <w:t xml:space="preserve"> transition to a specialized institution, which requires a change in the institutional operating architecture of the State. However, at the moment, </w:t>
      </w:r>
      <w:r w:rsidR="004125D4">
        <w:rPr>
          <w:rStyle w:val="Textoennegrita"/>
          <w:b w:val="0"/>
          <w:bCs w:val="0"/>
          <w:color w:val="1F1F1F"/>
        </w:rPr>
        <w:t>the importance of SEPREM’s function and role is not acknowledged</w:t>
      </w:r>
      <w:r w:rsidR="009A5527">
        <w:rPr>
          <w:rStyle w:val="Textoennegrita"/>
          <w:b w:val="0"/>
          <w:bCs w:val="0"/>
          <w:color w:val="1F1F1F"/>
        </w:rPr>
        <w:t xml:space="preserve">; </w:t>
      </w:r>
      <w:r w:rsidRPr="009A5527">
        <w:rPr>
          <w:rStyle w:val="Textoennegrita"/>
          <w:color w:val="1F1F1F"/>
        </w:rPr>
        <w:t xml:space="preserve">it requires an increase in its budget to at least Q40 million, as there is a debt of almost 20 million </w:t>
      </w:r>
      <w:r w:rsidR="009A5527">
        <w:rPr>
          <w:rStyle w:val="Textoennegrita"/>
          <w:color w:val="1F1F1F"/>
        </w:rPr>
        <w:t>incurred from</w:t>
      </w:r>
      <w:r w:rsidRPr="009A5527">
        <w:rPr>
          <w:rStyle w:val="Textoennegrita"/>
          <w:color w:val="1F1F1F"/>
        </w:rPr>
        <w:t xml:space="preserve"> personnel reinstatement payments</w:t>
      </w:r>
      <w:r w:rsidRPr="00CA52B7">
        <w:rPr>
          <w:rStyle w:val="Textoennegrita"/>
          <w:b w:val="0"/>
          <w:bCs w:val="0"/>
          <w:color w:val="1F1F1F"/>
        </w:rPr>
        <w:t xml:space="preserve">. The period of the PNPDIM and PEO 2008-2023 ends this year, </w:t>
      </w:r>
      <w:r w:rsidR="009A5527">
        <w:rPr>
          <w:rStyle w:val="Textoennegrita"/>
          <w:b w:val="0"/>
          <w:bCs w:val="0"/>
          <w:color w:val="1F1F1F"/>
        </w:rPr>
        <w:t>thus</w:t>
      </w:r>
      <w:r w:rsidRPr="00CA52B7">
        <w:rPr>
          <w:rStyle w:val="Textoennegrita"/>
          <w:b w:val="0"/>
          <w:bCs w:val="0"/>
          <w:color w:val="1F1F1F"/>
        </w:rPr>
        <w:t xml:space="preserve"> </w:t>
      </w:r>
      <w:r w:rsidRPr="009A5527">
        <w:rPr>
          <w:rStyle w:val="Textoennegrita"/>
          <w:color w:val="1F1F1F"/>
        </w:rPr>
        <w:t xml:space="preserve">the government </w:t>
      </w:r>
      <w:r w:rsidR="009A5527" w:rsidRPr="009A5527">
        <w:rPr>
          <w:rStyle w:val="Textoennegrita"/>
          <w:color w:val="1F1F1F"/>
        </w:rPr>
        <w:t>must</w:t>
      </w:r>
      <w:r w:rsidRPr="009A5527">
        <w:rPr>
          <w:rStyle w:val="Textoennegrita"/>
          <w:color w:val="1F1F1F"/>
        </w:rPr>
        <w:t xml:space="preserve"> prioritize the evaluation and formulation of the new PNPDIM and PEO for the next period, elevate SEPREM to a Ministry of the Executive</w:t>
      </w:r>
      <w:r w:rsidR="009A5527">
        <w:rPr>
          <w:rStyle w:val="Textoennegrita"/>
          <w:color w:val="1F1F1F"/>
        </w:rPr>
        <w:t xml:space="preserve"> Branch</w:t>
      </w:r>
      <w:r w:rsidRPr="009A5527">
        <w:rPr>
          <w:rStyle w:val="Textoennegrita"/>
          <w:color w:val="1F1F1F"/>
        </w:rPr>
        <w:t>, and prioritize the institutionality of the processes aimed at achieving real equality for women.</w:t>
      </w:r>
    </w:p>
    <w:p w14:paraId="10883EFE" w14:textId="77777777" w:rsidR="00E55D0A" w:rsidRPr="00CA52B7" w:rsidRDefault="00E55D0A" w:rsidP="00CA52B7">
      <w:pPr>
        <w:pStyle w:val="NormalWeb"/>
        <w:shd w:val="clear" w:color="auto" w:fill="FFFFFF"/>
        <w:spacing w:before="0" w:beforeAutospacing="0" w:after="0" w:afterAutospacing="0"/>
        <w:jc w:val="both"/>
        <w:rPr>
          <w:color w:val="1F1F1F"/>
        </w:rPr>
      </w:pPr>
    </w:p>
    <w:p w14:paraId="0C02DDF9" w14:textId="11FBF135" w:rsidR="00E55D0A" w:rsidRPr="00CA52B7" w:rsidRDefault="003A3E5A"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b w:val="0"/>
          <w:bCs w:val="0"/>
          <w:color w:val="1F1F1F"/>
        </w:rPr>
        <w:t xml:space="preserve">CONAPREVI is the leading </w:t>
      </w:r>
      <w:r w:rsidR="005C6592">
        <w:rPr>
          <w:rStyle w:val="Textoennegrita"/>
          <w:b w:val="0"/>
          <w:bCs w:val="0"/>
          <w:color w:val="1F1F1F"/>
        </w:rPr>
        <w:t>entity</w:t>
      </w:r>
      <w:r w:rsidRPr="00CA52B7">
        <w:rPr>
          <w:rStyle w:val="Textoennegrita"/>
          <w:b w:val="0"/>
          <w:bCs w:val="0"/>
          <w:color w:val="1F1F1F"/>
        </w:rPr>
        <w:t xml:space="preserve"> in matters of VCM. Since 2012, it has been weakened and currently has no budget of its own to function</w:t>
      </w:r>
      <w:r w:rsidR="005C6592">
        <w:rPr>
          <w:rStyle w:val="Textoennegrita"/>
          <w:b w:val="0"/>
          <w:bCs w:val="0"/>
          <w:color w:val="1F1F1F"/>
        </w:rPr>
        <w:t xml:space="preserve">, depending wholly </w:t>
      </w:r>
      <w:r w:rsidRPr="00CA52B7">
        <w:rPr>
          <w:rStyle w:val="Textoennegrita"/>
          <w:b w:val="0"/>
          <w:bCs w:val="0"/>
          <w:color w:val="1F1F1F"/>
        </w:rPr>
        <w:t>on the will of the Third Vice Ministry of the Interior. From 2013 to date, a series of proposals for reforms</w:t>
      </w:r>
      <w:r w:rsidR="00F34F73">
        <w:rPr>
          <w:rStyle w:val="Textoennegrita"/>
          <w:b w:val="0"/>
          <w:bCs w:val="0"/>
          <w:color w:val="1F1F1F"/>
        </w:rPr>
        <w:t xml:space="preserve"> to the original governmental agreement that established its creation have been proposed</w:t>
      </w:r>
      <w:r w:rsidRPr="00CA52B7">
        <w:rPr>
          <w:rStyle w:val="Textoennegrita"/>
          <w:b w:val="0"/>
          <w:bCs w:val="0"/>
          <w:color w:val="1F1F1F"/>
        </w:rPr>
        <w:t xml:space="preserve"> to improve its functioning, </w:t>
      </w:r>
      <w:r w:rsidR="00F34F73">
        <w:rPr>
          <w:rStyle w:val="Textoennegrita"/>
          <w:b w:val="0"/>
          <w:bCs w:val="0"/>
          <w:color w:val="1F1F1F"/>
        </w:rPr>
        <w:t xml:space="preserve">yet </w:t>
      </w:r>
      <w:r w:rsidRPr="00CA52B7">
        <w:rPr>
          <w:rStyle w:val="Textoennegrita"/>
          <w:b w:val="0"/>
          <w:bCs w:val="0"/>
          <w:color w:val="1F1F1F"/>
        </w:rPr>
        <w:t xml:space="preserve">without </w:t>
      </w:r>
      <w:r w:rsidR="00F34F73">
        <w:rPr>
          <w:rStyle w:val="Textoennegrita"/>
          <w:b w:val="0"/>
          <w:bCs w:val="0"/>
          <w:color w:val="1F1F1F"/>
        </w:rPr>
        <w:t>any</w:t>
      </w:r>
      <w:r w:rsidRPr="00CA52B7">
        <w:rPr>
          <w:rStyle w:val="Textoennegrita"/>
          <w:b w:val="0"/>
          <w:bCs w:val="0"/>
          <w:color w:val="1F1F1F"/>
        </w:rPr>
        <w:t xml:space="preserve"> substantive change. Since 2018, there is a proposal for a bill to strengthen it, which has not yet been</w:t>
      </w:r>
      <w:r w:rsidR="00F34F73">
        <w:rPr>
          <w:rStyle w:val="Textoennegrita"/>
          <w:b w:val="0"/>
          <w:bCs w:val="0"/>
          <w:color w:val="1F1F1F"/>
        </w:rPr>
        <w:t xml:space="preserve"> introduced</w:t>
      </w:r>
      <w:r w:rsidRPr="00CA52B7">
        <w:rPr>
          <w:rStyle w:val="Textoennegrita"/>
          <w:b w:val="0"/>
          <w:bCs w:val="0"/>
          <w:color w:val="1F1F1F"/>
        </w:rPr>
        <w:t xml:space="preserve"> </w:t>
      </w:r>
      <w:r w:rsidR="00F34F73">
        <w:rPr>
          <w:rStyle w:val="Textoennegrita"/>
          <w:b w:val="0"/>
          <w:bCs w:val="0"/>
          <w:color w:val="1F1F1F"/>
        </w:rPr>
        <w:t>in</w:t>
      </w:r>
      <w:r w:rsidRPr="00CA52B7">
        <w:rPr>
          <w:rStyle w:val="Textoennegrita"/>
          <w:b w:val="0"/>
          <w:bCs w:val="0"/>
          <w:color w:val="1F1F1F"/>
        </w:rPr>
        <w:t xml:space="preserve"> Congress.</w:t>
      </w:r>
      <w:r w:rsidR="002802CA" w:rsidRPr="00CA52B7">
        <w:rPr>
          <w:rStyle w:val="Refdenotaalfinal"/>
          <w:color w:val="1F1F1F"/>
        </w:rPr>
        <w:endnoteReference w:id="17"/>
      </w:r>
    </w:p>
    <w:p w14:paraId="1E3874A7" w14:textId="77777777" w:rsidR="00E55D0A" w:rsidRPr="00CA52B7" w:rsidRDefault="00E55D0A" w:rsidP="00CA52B7">
      <w:pPr>
        <w:pStyle w:val="NormalWeb"/>
        <w:shd w:val="clear" w:color="auto" w:fill="FFFFFF"/>
        <w:spacing w:before="0" w:beforeAutospacing="0" w:after="0" w:afterAutospacing="0"/>
        <w:jc w:val="both"/>
        <w:rPr>
          <w:color w:val="1F1F1F"/>
        </w:rPr>
      </w:pPr>
    </w:p>
    <w:p w14:paraId="7D1FFC74" w14:textId="73FDEC7A" w:rsidR="00E55D0A" w:rsidRPr="00CA52B7" w:rsidRDefault="003A3E5A"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b w:val="0"/>
          <w:bCs w:val="0"/>
          <w:color w:val="1F1F1F"/>
        </w:rPr>
        <w:t xml:space="preserve">From 2018 to 2022, CONAPREVI meetings </w:t>
      </w:r>
      <w:r w:rsidR="000B0294">
        <w:rPr>
          <w:rStyle w:val="Textoennegrita"/>
          <w:b w:val="0"/>
          <w:bCs w:val="0"/>
          <w:color w:val="1F1F1F"/>
        </w:rPr>
        <w:t>took place</w:t>
      </w:r>
      <w:r w:rsidRPr="00CA52B7">
        <w:rPr>
          <w:rStyle w:val="Textoennegrita"/>
          <w:b w:val="0"/>
          <w:bCs w:val="0"/>
          <w:color w:val="1F1F1F"/>
        </w:rPr>
        <w:t xml:space="preserve"> every two or three months. In 2023, for the first time in 22 years, the president of the executive has been leading them, and they currently meet once a month. However, the only commission that is working is the Advisory and Verification Commission. </w:t>
      </w:r>
      <w:r w:rsidR="000B0294">
        <w:rPr>
          <w:rStyle w:val="Textoennegrita"/>
          <w:b w:val="0"/>
          <w:bCs w:val="0"/>
          <w:color w:val="1F1F1F"/>
        </w:rPr>
        <w:t>Internally</w:t>
      </w:r>
      <w:r w:rsidRPr="00CA52B7">
        <w:rPr>
          <w:rStyle w:val="Textoennegrita"/>
          <w:b w:val="0"/>
          <w:bCs w:val="0"/>
          <w:color w:val="1F1F1F"/>
        </w:rPr>
        <w:t xml:space="preserve">, they have discussed some proposals to </w:t>
      </w:r>
      <w:r w:rsidR="000B0294">
        <w:rPr>
          <w:rStyle w:val="Textoennegrita"/>
          <w:b w:val="0"/>
          <w:bCs w:val="0"/>
          <w:color w:val="1F1F1F"/>
        </w:rPr>
        <w:t>address</w:t>
      </w:r>
      <w:r w:rsidRPr="00CA52B7">
        <w:rPr>
          <w:rStyle w:val="Textoennegrita"/>
          <w:b w:val="0"/>
          <w:bCs w:val="0"/>
          <w:color w:val="1F1F1F"/>
        </w:rPr>
        <w:t xml:space="preserve"> MSV, which have not materialized. While some progress has been made, such as the </w:t>
      </w:r>
      <w:r w:rsidR="000B0294">
        <w:rPr>
          <w:rStyle w:val="Textoennegrita"/>
          <w:b w:val="0"/>
          <w:bCs w:val="0"/>
          <w:color w:val="1F1F1F"/>
        </w:rPr>
        <w:t>release</w:t>
      </w:r>
      <w:r w:rsidRPr="00CA52B7">
        <w:rPr>
          <w:rStyle w:val="Textoennegrita"/>
          <w:b w:val="0"/>
          <w:bCs w:val="0"/>
          <w:color w:val="1F1F1F"/>
        </w:rPr>
        <w:t xml:space="preserve"> of a national survey </w:t>
      </w:r>
      <w:r w:rsidR="000B0294">
        <w:rPr>
          <w:rStyle w:val="Textoennegrita"/>
          <w:b w:val="0"/>
          <w:bCs w:val="0"/>
          <w:color w:val="1F1F1F"/>
        </w:rPr>
        <w:t>focusing on</w:t>
      </w:r>
      <w:r w:rsidRPr="00CA52B7">
        <w:rPr>
          <w:rStyle w:val="Textoennegrita"/>
          <w:b w:val="0"/>
          <w:bCs w:val="0"/>
          <w:color w:val="1F1F1F"/>
        </w:rPr>
        <w:t xml:space="preserve"> VCM, the main demand within the mechanism is the delivery of resources for the CAIMUS, which have not yet been delivered.</w:t>
      </w:r>
    </w:p>
    <w:p w14:paraId="28E26683" w14:textId="77777777" w:rsidR="00E55D0A" w:rsidRPr="00CA52B7" w:rsidRDefault="00E55D0A" w:rsidP="00CA52B7">
      <w:pPr>
        <w:pStyle w:val="NormalWeb"/>
        <w:shd w:val="clear" w:color="auto" w:fill="FFFFFF"/>
        <w:spacing w:before="0" w:beforeAutospacing="0" w:after="0" w:afterAutospacing="0"/>
        <w:jc w:val="both"/>
        <w:rPr>
          <w:color w:val="1F1F1F"/>
        </w:rPr>
      </w:pPr>
    </w:p>
    <w:p w14:paraId="12A42270" w14:textId="7E40B65F" w:rsidR="002802CA" w:rsidRPr="00CA52B7" w:rsidRDefault="004C7B6B"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Pr>
          <w:rStyle w:val="Textoennegrita"/>
          <w:b w:val="0"/>
          <w:bCs w:val="0"/>
          <w:color w:val="1F1F1F"/>
        </w:rPr>
        <w:t>Additionally</w:t>
      </w:r>
      <w:r w:rsidR="003A3E5A" w:rsidRPr="00CA52B7">
        <w:rPr>
          <w:rStyle w:val="Textoennegrita"/>
          <w:b w:val="0"/>
          <w:bCs w:val="0"/>
          <w:color w:val="1F1F1F"/>
        </w:rPr>
        <w:t xml:space="preserve">, </w:t>
      </w:r>
      <w:r>
        <w:rPr>
          <w:rStyle w:val="Textoennegrita"/>
          <w:b w:val="0"/>
          <w:bCs w:val="0"/>
          <w:color w:val="1F1F1F"/>
        </w:rPr>
        <w:t xml:space="preserve">as part of </w:t>
      </w:r>
      <w:r w:rsidR="003A3E5A" w:rsidRPr="00CA52B7">
        <w:rPr>
          <w:rStyle w:val="Textoennegrita"/>
          <w:b w:val="0"/>
          <w:bCs w:val="0"/>
          <w:color w:val="1F1F1F"/>
        </w:rPr>
        <w:t>CONAPREVI, the PLANOVI 2020-2029</w:t>
      </w:r>
      <w:r>
        <w:rPr>
          <w:rStyle w:val="Textoennegrita"/>
          <w:b w:val="0"/>
          <w:bCs w:val="0"/>
          <w:color w:val="1F1F1F"/>
        </w:rPr>
        <w:t xml:space="preserve">, </w:t>
      </w:r>
      <w:r w:rsidRPr="00CA52B7">
        <w:rPr>
          <w:rStyle w:val="Textoennegrita"/>
          <w:b w:val="0"/>
          <w:bCs w:val="0"/>
          <w:color w:val="1F1F1F"/>
        </w:rPr>
        <w:t>an instrument that guides institutional planning and programming for the eradication of VCM</w:t>
      </w:r>
      <w:r>
        <w:rPr>
          <w:rStyle w:val="Textoennegrita"/>
          <w:b w:val="0"/>
          <w:bCs w:val="0"/>
          <w:color w:val="1F1F1F"/>
        </w:rPr>
        <w:t>,</w:t>
      </w:r>
      <w:r w:rsidR="003A3E5A" w:rsidRPr="00CA52B7">
        <w:rPr>
          <w:rStyle w:val="Textoennegrita"/>
          <w:b w:val="0"/>
          <w:bCs w:val="0"/>
          <w:color w:val="1F1F1F"/>
        </w:rPr>
        <w:t xml:space="preserve"> was updated with the participation of women's organizations. To date, there is no evidence of </w:t>
      </w:r>
      <w:r>
        <w:rPr>
          <w:rStyle w:val="Textoennegrita"/>
          <w:b w:val="0"/>
          <w:bCs w:val="0"/>
          <w:color w:val="1F1F1F"/>
        </w:rPr>
        <w:t xml:space="preserve">any </w:t>
      </w:r>
      <w:r w:rsidR="003A3E5A" w:rsidRPr="00CA52B7">
        <w:rPr>
          <w:rStyle w:val="Textoennegrita"/>
          <w:b w:val="0"/>
          <w:bCs w:val="0"/>
          <w:color w:val="1F1F1F"/>
        </w:rPr>
        <w:t xml:space="preserve">resources or advances that have been made for its implementation. Despite </w:t>
      </w:r>
      <w:r>
        <w:rPr>
          <w:rStyle w:val="Textoennegrita"/>
          <w:b w:val="0"/>
          <w:bCs w:val="0"/>
          <w:color w:val="1F1F1F"/>
        </w:rPr>
        <w:t>a few</w:t>
      </w:r>
      <w:r w:rsidR="003A3E5A" w:rsidRPr="00CA52B7">
        <w:rPr>
          <w:rStyle w:val="Textoennegrita"/>
          <w:b w:val="0"/>
          <w:bCs w:val="0"/>
          <w:color w:val="1F1F1F"/>
        </w:rPr>
        <w:t xml:space="preserve"> activities and meetings held in CONAPREVI, this mechanism needs to be restored, have legal strength, </w:t>
      </w:r>
      <w:r>
        <w:rPr>
          <w:rStyle w:val="Textoennegrita"/>
          <w:b w:val="0"/>
          <w:bCs w:val="0"/>
          <w:color w:val="1F1F1F"/>
        </w:rPr>
        <w:t xml:space="preserve">and have the </w:t>
      </w:r>
      <w:r w:rsidR="003A3E5A" w:rsidRPr="00CA52B7">
        <w:rPr>
          <w:rStyle w:val="Textoennegrita"/>
          <w:b w:val="0"/>
          <w:bCs w:val="0"/>
          <w:color w:val="1F1F1F"/>
        </w:rPr>
        <w:t xml:space="preserve">political and institutional capacity to exercise </w:t>
      </w:r>
      <w:r>
        <w:rPr>
          <w:rStyle w:val="Textoennegrita"/>
          <w:b w:val="0"/>
          <w:bCs w:val="0"/>
          <w:color w:val="1F1F1F"/>
        </w:rPr>
        <w:t>its leadership and coordinating role for</w:t>
      </w:r>
      <w:r w:rsidR="003A3E5A" w:rsidRPr="00CA52B7">
        <w:rPr>
          <w:rStyle w:val="Textoennegrita"/>
          <w:b w:val="0"/>
          <w:bCs w:val="0"/>
          <w:color w:val="1F1F1F"/>
        </w:rPr>
        <w:t xml:space="preserve"> public policies to eradicate VCM</w:t>
      </w:r>
      <w:r>
        <w:rPr>
          <w:rStyle w:val="Textoennegrita"/>
          <w:b w:val="0"/>
          <w:bCs w:val="0"/>
          <w:color w:val="1F1F1F"/>
        </w:rPr>
        <w:t>;</w:t>
      </w:r>
      <w:r w:rsidR="003A3E5A" w:rsidRPr="00CA52B7">
        <w:rPr>
          <w:rStyle w:val="Textoennegrita"/>
          <w:b w:val="0"/>
          <w:bCs w:val="0"/>
          <w:color w:val="1F1F1F"/>
        </w:rPr>
        <w:t xml:space="preserve"> in this sense, the process of implementation of the PLANOVI remains delayed while </w:t>
      </w:r>
      <w:r>
        <w:rPr>
          <w:rStyle w:val="Textoennegrita"/>
          <w:b w:val="0"/>
          <w:bCs w:val="0"/>
          <w:color w:val="1F1F1F"/>
        </w:rPr>
        <w:t>CONAPREVI’S</w:t>
      </w:r>
      <w:r w:rsidR="003A3E5A" w:rsidRPr="00CA52B7">
        <w:rPr>
          <w:rStyle w:val="Textoennegrita"/>
          <w:b w:val="0"/>
          <w:bCs w:val="0"/>
          <w:color w:val="1F1F1F"/>
        </w:rPr>
        <w:t xml:space="preserve"> institutionality is not re</w:t>
      </w:r>
      <w:r>
        <w:rPr>
          <w:rStyle w:val="Textoennegrita"/>
          <w:b w:val="0"/>
          <w:bCs w:val="0"/>
          <w:color w:val="1F1F1F"/>
        </w:rPr>
        <w:t>stored</w:t>
      </w:r>
      <w:r w:rsidR="003A3E5A" w:rsidRPr="00CA52B7">
        <w:rPr>
          <w:rStyle w:val="Textoennegrita"/>
          <w:b w:val="0"/>
          <w:bCs w:val="0"/>
          <w:color w:val="1F1F1F"/>
        </w:rPr>
        <w:t>.</w:t>
      </w:r>
    </w:p>
    <w:p w14:paraId="2B863CB5" w14:textId="77777777" w:rsidR="00E55D0A" w:rsidRPr="00CA52B7" w:rsidRDefault="00E55D0A" w:rsidP="00CA52B7">
      <w:pPr>
        <w:pStyle w:val="NormalWeb"/>
        <w:shd w:val="clear" w:color="auto" w:fill="FFFFFF"/>
        <w:spacing w:before="0" w:beforeAutospacing="0" w:after="0" w:afterAutospacing="0"/>
        <w:jc w:val="both"/>
        <w:rPr>
          <w:color w:val="1F1F1F"/>
        </w:rPr>
      </w:pPr>
    </w:p>
    <w:p w14:paraId="3D8037EC" w14:textId="75F71E1D" w:rsidR="00F15283" w:rsidRPr="00CA52B7" w:rsidRDefault="003A3E5A" w:rsidP="00CA52B7">
      <w:pPr>
        <w:pStyle w:val="NormalWeb"/>
        <w:numPr>
          <w:ilvl w:val="0"/>
          <w:numId w:val="1"/>
        </w:numPr>
        <w:shd w:val="clear" w:color="auto" w:fill="FFFFFF"/>
        <w:spacing w:before="0" w:beforeAutospacing="0" w:after="0" w:afterAutospacing="0"/>
        <w:jc w:val="both"/>
        <w:rPr>
          <w:color w:val="1F1F1F"/>
        </w:rPr>
      </w:pPr>
      <w:bookmarkStart w:id="1" w:name="_Hlk145321946"/>
      <w:r w:rsidRPr="00CA52B7">
        <w:rPr>
          <w:rStyle w:val="Textoennegrita"/>
          <w:color w:val="1F1F1F"/>
        </w:rPr>
        <w:t xml:space="preserve">It is urgent that the processes initiated in CONAPREVI, the mechanisms, </w:t>
      </w:r>
      <w:r w:rsidR="006E5F26" w:rsidRPr="00CA52B7">
        <w:rPr>
          <w:rStyle w:val="Textoennegrita"/>
          <w:color w:val="1F1F1F"/>
        </w:rPr>
        <w:t>provisions,</w:t>
      </w:r>
      <w:r w:rsidRPr="00CA52B7">
        <w:rPr>
          <w:rStyle w:val="Textoennegrita"/>
          <w:color w:val="1F1F1F"/>
        </w:rPr>
        <w:t xml:space="preserve"> and methodologies</w:t>
      </w:r>
      <w:r w:rsidR="006E5F26">
        <w:rPr>
          <w:rStyle w:val="Textoennegrita"/>
          <w:color w:val="1F1F1F"/>
        </w:rPr>
        <w:t>,</w:t>
      </w:r>
      <w:r w:rsidRPr="00CA52B7">
        <w:rPr>
          <w:rStyle w:val="Textoennegrita"/>
          <w:color w:val="1F1F1F"/>
        </w:rPr>
        <w:t xml:space="preserve"> are not lost, and that the next government guarantees the continuity of </w:t>
      </w:r>
      <w:r w:rsidR="006E5F26">
        <w:rPr>
          <w:rStyle w:val="Textoennegrita"/>
          <w:color w:val="1F1F1F"/>
        </w:rPr>
        <w:t>its</w:t>
      </w:r>
      <w:r w:rsidRPr="00CA52B7">
        <w:rPr>
          <w:rStyle w:val="Textoennegrita"/>
          <w:color w:val="1F1F1F"/>
        </w:rPr>
        <w:t xml:space="preserve"> </w:t>
      </w:r>
      <w:r w:rsidR="006E5F26">
        <w:rPr>
          <w:rStyle w:val="Textoennegrita"/>
          <w:color w:val="1F1F1F"/>
        </w:rPr>
        <w:t xml:space="preserve">progress </w:t>
      </w:r>
      <w:r w:rsidRPr="00CA52B7">
        <w:rPr>
          <w:rStyle w:val="Textoennegrita"/>
          <w:color w:val="1F1F1F"/>
        </w:rPr>
        <w:t xml:space="preserve">and strengthens it, giving it financial autonomy and restoring its functional administrative structure, and thus fulfill the mandate </w:t>
      </w:r>
      <w:r w:rsidR="006E5F26">
        <w:rPr>
          <w:rStyle w:val="Textoennegrita"/>
          <w:color w:val="1F1F1F"/>
        </w:rPr>
        <w:t>under</w:t>
      </w:r>
      <w:r w:rsidRPr="00CA52B7">
        <w:rPr>
          <w:rStyle w:val="Textoennegrita"/>
          <w:color w:val="1F1F1F"/>
        </w:rPr>
        <w:t xml:space="preserve"> which it was created. A specific law for CONAPREVI is </w:t>
      </w:r>
      <w:r w:rsidR="006E5F26">
        <w:rPr>
          <w:rStyle w:val="Textoennegrita"/>
          <w:color w:val="1F1F1F"/>
        </w:rPr>
        <w:t>imperative.</w:t>
      </w:r>
    </w:p>
    <w:bookmarkEnd w:id="1"/>
    <w:p w14:paraId="2DD5F5C2" w14:textId="77777777" w:rsidR="00E55D0A" w:rsidRPr="00CA52B7" w:rsidRDefault="00E55D0A" w:rsidP="00CA52B7">
      <w:pPr>
        <w:pStyle w:val="NormalWeb"/>
        <w:shd w:val="clear" w:color="auto" w:fill="FFFFFF"/>
        <w:spacing w:before="0" w:beforeAutospacing="0" w:after="0" w:afterAutospacing="0"/>
        <w:jc w:val="both"/>
        <w:rPr>
          <w:color w:val="1F1F1F"/>
        </w:rPr>
      </w:pPr>
    </w:p>
    <w:p w14:paraId="01FA77E1" w14:textId="224098C8" w:rsidR="00F15283" w:rsidRPr="00CA52B7" w:rsidRDefault="00F15283" w:rsidP="00CA52B7">
      <w:pPr>
        <w:pStyle w:val="NormalWeb"/>
        <w:numPr>
          <w:ilvl w:val="0"/>
          <w:numId w:val="2"/>
        </w:numPr>
        <w:shd w:val="clear" w:color="auto" w:fill="FFFFFF"/>
        <w:spacing w:before="0" w:beforeAutospacing="0" w:after="0" w:afterAutospacing="0"/>
        <w:jc w:val="both"/>
        <w:rPr>
          <w:color w:val="1F1F1F"/>
        </w:rPr>
      </w:pPr>
      <w:r w:rsidRPr="00CA52B7">
        <w:rPr>
          <w:b/>
          <w:bCs/>
          <w:color w:val="1F1F1F"/>
        </w:rPr>
        <w:t>Violence against Women</w:t>
      </w:r>
    </w:p>
    <w:p w14:paraId="7070ABA3" w14:textId="77777777" w:rsidR="00E55D0A" w:rsidRPr="00CA52B7" w:rsidRDefault="00E55D0A" w:rsidP="00CA52B7">
      <w:pPr>
        <w:pStyle w:val="NormalWeb"/>
        <w:shd w:val="clear" w:color="auto" w:fill="FFFFFF"/>
        <w:spacing w:before="0" w:beforeAutospacing="0" w:after="0" w:afterAutospacing="0"/>
        <w:ind w:left="1080"/>
        <w:jc w:val="both"/>
        <w:rPr>
          <w:color w:val="1F1F1F"/>
        </w:rPr>
      </w:pPr>
    </w:p>
    <w:p w14:paraId="1D31565C" w14:textId="420DFAD2" w:rsidR="00F15283" w:rsidRPr="00CA52B7" w:rsidRDefault="00626E65"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b w:val="0"/>
          <w:bCs w:val="0"/>
          <w:color w:val="1F1F1F"/>
          <w:shd w:val="clear" w:color="auto" w:fill="FFFFFF"/>
        </w:rPr>
        <w:t>VCM continues to be the most reported crime in Guatemala. From January 2018 to August 2023, the MP registered more than 300,000 cases of VCM</w:t>
      </w:r>
      <w:r w:rsidR="00AC766F">
        <w:rPr>
          <w:rStyle w:val="Textoennegrita"/>
          <w:b w:val="0"/>
          <w:bCs w:val="0"/>
          <w:color w:val="1F1F1F"/>
          <w:shd w:val="clear" w:color="auto" w:fill="FFFFFF"/>
        </w:rPr>
        <w:t xml:space="preserve">, including </w:t>
      </w:r>
      <w:r w:rsidRPr="00CA52B7">
        <w:rPr>
          <w:rStyle w:val="Textoennegrita"/>
          <w:b w:val="0"/>
          <w:bCs w:val="0"/>
          <w:color w:val="1F1F1F"/>
          <w:shd w:val="clear" w:color="auto" w:fill="FFFFFF"/>
        </w:rPr>
        <w:t xml:space="preserve">physical, sexual, psychological, and economic </w:t>
      </w:r>
      <w:r w:rsidR="00AC766F">
        <w:rPr>
          <w:rStyle w:val="Textoennegrita"/>
          <w:b w:val="0"/>
          <w:bCs w:val="0"/>
          <w:color w:val="1F1F1F"/>
          <w:shd w:val="clear" w:color="auto" w:fill="FFFFFF"/>
        </w:rPr>
        <w:t>forms of violence</w:t>
      </w:r>
      <w:r w:rsidR="00546563" w:rsidRPr="00CA52B7">
        <w:rPr>
          <w:rStyle w:val="Textoennegrita"/>
          <w:b w:val="0"/>
          <w:bCs w:val="0"/>
          <w:color w:val="1F1F1F"/>
          <w:shd w:val="clear" w:color="auto" w:fill="FFFFFF"/>
        </w:rPr>
        <w:t>.</w:t>
      </w:r>
      <w:r w:rsidR="00546563" w:rsidRPr="00CA52B7">
        <w:rPr>
          <w:rStyle w:val="Refdenotaalfinal"/>
          <w:color w:val="1F1F1F"/>
          <w:shd w:val="clear" w:color="auto" w:fill="FFFFFF"/>
        </w:rPr>
        <w:endnoteReference w:id="18"/>
      </w:r>
      <w:r w:rsidRPr="00CA52B7">
        <w:rPr>
          <w:rStyle w:val="Textoennegrita"/>
          <w:b w:val="0"/>
          <w:bCs w:val="0"/>
          <w:color w:val="1F1F1F"/>
          <w:shd w:val="clear" w:color="auto" w:fill="FFFFFF"/>
        </w:rPr>
        <w:t xml:space="preserve"> From November 2017 to June 2023, the INACIF reported a total of 65,658 </w:t>
      </w:r>
      <w:r w:rsidR="00AC766F">
        <w:rPr>
          <w:rStyle w:val="Textoennegrita"/>
          <w:b w:val="0"/>
          <w:bCs w:val="0"/>
          <w:color w:val="1F1F1F"/>
          <w:shd w:val="clear" w:color="auto" w:fill="FFFFFF"/>
        </w:rPr>
        <w:t>assessments</w:t>
      </w:r>
      <w:r w:rsidRPr="00CA52B7">
        <w:rPr>
          <w:rStyle w:val="Textoennegrita"/>
          <w:b w:val="0"/>
          <w:bCs w:val="0"/>
          <w:color w:val="1F1F1F"/>
          <w:shd w:val="clear" w:color="auto" w:fill="FFFFFF"/>
        </w:rPr>
        <w:t xml:space="preserve">: 61% for sexual violence, 27% </w:t>
      </w:r>
      <w:r w:rsidR="00AC766F">
        <w:rPr>
          <w:rStyle w:val="Textoennegrita"/>
          <w:b w:val="0"/>
          <w:bCs w:val="0"/>
          <w:color w:val="1F1F1F"/>
          <w:shd w:val="clear" w:color="auto" w:fill="FFFFFF"/>
        </w:rPr>
        <w:t xml:space="preserve">for </w:t>
      </w:r>
      <w:r w:rsidRPr="00CA52B7">
        <w:rPr>
          <w:rStyle w:val="Textoennegrita"/>
          <w:b w:val="0"/>
          <w:bCs w:val="0"/>
          <w:color w:val="1F1F1F"/>
          <w:shd w:val="clear" w:color="auto" w:fill="FFFFFF"/>
        </w:rPr>
        <w:t xml:space="preserve">physical violence, and 12% </w:t>
      </w:r>
      <w:r w:rsidR="00AC766F">
        <w:rPr>
          <w:rStyle w:val="Textoennegrita"/>
          <w:b w:val="0"/>
          <w:bCs w:val="0"/>
          <w:color w:val="1F1F1F"/>
          <w:shd w:val="clear" w:color="auto" w:fill="FFFFFF"/>
        </w:rPr>
        <w:t xml:space="preserve">for </w:t>
      </w:r>
      <w:r w:rsidRPr="00CA52B7">
        <w:rPr>
          <w:rStyle w:val="Textoennegrita"/>
          <w:b w:val="0"/>
          <w:bCs w:val="0"/>
          <w:color w:val="1F1F1F"/>
          <w:shd w:val="clear" w:color="auto" w:fill="FFFFFF"/>
        </w:rPr>
        <w:t xml:space="preserve">psychological violence; 38% of </w:t>
      </w:r>
      <w:r w:rsidR="00AC766F">
        <w:rPr>
          <w:rStyle w:val="Textoennegrita"/>
          <w:b w:val="0"/>
          <w:bCs w:val="0"/>
          <w:color w:val="1F1F1F"/>
          <w:shd w:val="clear" w:color="auto" w:fill="FFFFFF"/>
        </w:rPr>
        <w:t>these assessments were for</w:t>
      </w:r>
      <w:r w:rsidRPr="00CA52B7">
        <w:rPr>
          <w:rStyle w:val="Textoennegrita"/>
          <w:b w:val="0"/>
          <w:bCs w:val="0"/>
          <w:color w:val="1F1F1F"/>
          <w:shd w:val="clear" w:color="auto" w:fill="FFFFFF"/>
        </w:rPr>
        <w:t xml:space="preserve"> sexual violence </w:t>
      </w:r>
      <w:r w:rsidR="00AC766F">
        <w:rPr>
          <w:rStyle w:val="Textoennegrita"/>
          <w:b w:val="0"/>
          <w:bCs w:val="0"/>
          <w:color w:val="1F1F1F"/>
          <w:shd w:val="clear" w:color="auto" w:fill="FFFFFF"/>
        </w:rPr>
        <w:t>suffered by</w:t>
      </w:r>
      <w:r w:rsidRPr="00CA52B7">
        <w:rPr>
          <w:rStyle w:val="Textoennegrita"/>
          <w:b w:val="0"/>
          <w:bCs w:val="0"/>
          <w:color w:val="1F1F1F"/>
          <w:shd w:val="clear" w:color="auto" w:fill="FFFFFF"/>
        </w:rPr>
        <w:t xml:space="preserve"> girls from</w:t>
      </w:r>
      <w:r w:rsidR="00AC766F">
        <w:rPr>
          <w:rStyle w:val="Textoennegrita"/>
          <w:b w:val="0"/>
          <w:bCs w:val="0"/>
          <w:color w:val="1F1F1F"/>
          <w:shd w:val="clear" w:color="auto" w:fill="FFFFFF"/>
        </w:rPr>
        <w:t xml:space="preserve"> ages</w:t>
      </w:r>
      <w:r w:rsidRPr="00CA52B7">
        <w:rPr>
          <w:rStyle w:val="Textoennegrita"/>
          <w:b w:val="0"/>
          <w:bCs w:val="0"/>
          <w:color w:val="1F1F1F"/>
          <w:shd w:val="clear" w:color="auto" w:fill="FFFFFF"/>
        </w:rPr>
        <w:t xml:space="preserve"> 0 to 20.</w:t>
      </w:r>
      <w:r w:rsidR="00F942E0" w:rsidRPr="00CA52B7">
        <w:rPr>
          <w:rStyle w:val="Refdenotaalfinal"/>
          <w:color w:val="1F1F1F"/>
          <w:shd w:val="clear" w:color="auto" w:fill="FFFFFF"/>
        </w:rPr>
        <w:endnoteReference w:id="19"/>
      </w:r>
      <w:r w:rsidRPr="00CA52B7">
        <w:rPr>
          <w:rStyle w:val="Textoennegrita"/>
          <w:b w:val="0"/>
          <w:bCs w:val="0"/>
          <w:color w:val="1F1F1F"/>
          <w:shd w:val="clear" w:color="auto" w:fill="FFFFFF"/>
        </w:rPr>
        <w:t xml:space="preserve"> According to GGM data</w:t>
      </w:r>
      <w:r w:rsidR="00DE5C79">
        <w:rPr>
          <w:rStyle w:val="Textoennegrita"/>
          <w:b w:val="0"/>
          <w:bCs w:val="0"/>
          <w:color w:val="1F1F1F"/>
          <w:shd w:val="clear" w:color="auto" w:fill="FFFFFF"/>
        </w:rPr>
        <w:t xml:space="preserve">, </w:t>
      </w:r>
      <w:r w:rsidRPr="00CA52B7">
        <w:rPr>
          <w:rStyle w:val="Textoennegrita"/>
          <w:b w:val="0"/>
          <w:bCs w:val="0"/>
          <w:color w:val="1F1F1F"/>
          <w:shd w:val="clear" w:color="auto" w:fill="FFFFFF"/>
        </w:rPr>
        <w:t>a total of 3,425 MVM were recorded</w:t>
      </w:r>
      <w:r w:rsidR="00DE5C79">
        <w:rPr>
          <w:rStyle w:val="Textoennegrita"/>
          <w:b w:val="0"/>
          <w:bCs w:val="0"/>
          <w:color w:val="1F1F1F"/>
          <w:shd w:val="clear" w:color="auto" w:fill="FFFFFF"/>
        </w:rPr>
        <w:t xml:space="preserve"> during this period of time</w:t>
      </w:r>
      <w:r w:rsidRPr="00CA52B7">
        <w:rPr>
          <w:rStyle w:val="Textoennegrita"/>
          <w:b w:val="0"/>
          <w:bCs w:val="0"/>
          <w:color w:val="1F1F1F"/>
          <w:shd w:val="clear" w:color="auto" w:fill="FFFFFF"/>
        </w:rPr>
        <w:t>; the analysis established that 52.9% of these MVM constitute</w:t>
      </w:r>
      <w:r w:rsidR="00DE5C79">
        <w:rPr>
          <w:rStyle w:val="Textoennegrita"/>
          <w:b w:val="0"/>
          <w:bCs w:val="0"/>
          <w:color w:val="1F1F1F"/>
          <w:shd w:val="clear" w:color="auto" w:fill="FFFFFF"/>
        </w:rPr>
        <w:t>d</w:t>
      </w:r>
      <w:r w:rsidRPr="00CA52B7">
        <w:rPr>
          <w:rStyle w:val="Textoennegrita"/>
          <w:b w:val="0"/>
          <w:bCs w:val="0"/>
          <w:color w:val="1F1F1F"/>
          <w:shd w:val="clear" w:color="auto" w:fill="FFFFFF"/>
        </w:rPr>
        <w:t xml:space="preserve"> femicides. 42.1% of the victims of MVM were between 16 and 30 years old, </w:t>
      </w:r>
      <w:r w:rsidR="00DE5C79">
        <w:rPr>
          <w:rStyle w:val="Textoennegrita"/>
          <w:b w:val="0"/>
          <w:bCs w:val="0"/>
          <w:color w:val="1F1F1F"/>
          <w:shd w:val="clear" w:color="auto" w:fill="FFFFFF"/>
        </w:rPr>
        <w:t>demonstrating the disproportionate</w:t>
      </w:r>
      <w:r w:rsidRPr="00CA52B7">
        <w:rPr>
          <w:rStyle w:val="Textoennegrita"/>
          <w:b w:val="0"/>
          <w:bCs w:val="0"/>
          <w:color w:val="1F1F1F"/>
          <w:shd w:val="clear" w:color="auto" w:fill="FFFFFF"/>
        </w:rPr>
        <w:t xml:space="preserve"> victimization of adolescent and young women. 68.4% of the MVM were perpetrated with a firearm. However, </w:t>
      </w:r>
      <w:r w:rsidR="00DE5C79">
        <w:rPr>
          <w:rStyle w:val="Textoennegrita"/>
          <w:b w:val="0"/>
          <w:bCs w:val="0"/>
          <w:color w:val="1F1F1F"/>
          <w:shd w:val="clear" w:color="auto" w:fill="FFFFFF"/>
        </w:rPr>
        <w:t xml:space="preserve">asphyxia by strangulation was </w:t>
      </w:r>
      <w:r w:rsidRPr="00CA52B7">
        <w:rPr>
          <w:rStyle w:val="Textoennegrita"/>
          <w:b w:val="0"/>
          <w:bCs w:val="0"/>
          <w:color w:val="1F1F1F"/>
          <w:shd w:val="clear" w:color="auto" w:fill="FFFFFF"/>
        </w:rPr>
        <w:t>the cause of 360 of these deaths</w:t>
      </w:r>
      <w:r w:rsidR="00DE5C79">
        <w:rPr>
          <w:rStyle w:val="Textoennegrita"/>
          <w:b w:val="0"/>
          <w:bCs w:val="0"/>
          <w:color w:val="1F1F1F"/>
          <w:shd w:val="clear" w:color="auto" w:fill="FFFFFF"/>
        </w:rPr>
        <w:t>,</w:t>
      </w:r>
      <w:r w:rsidRPr="00CA52B7">
        <w:rPr>
          <w:rStyle w:val="Textoennegrita"/>
          <w:b w:val="0"/>
          <w:bCs w:val="0"/>
          <w:color w:val="1F1F1F"/>
          <w:shd w:val="clear" w:color="auto" w:fill="FFFFFF"/>
        </w:rPr>
        <w:t xml:space="preserve"> </w:t>
      </w:r>
      <w:r w:rsidR="00DE5C79">
        <w:rPr>
          <w:rStyle w:val="Textoennegrita"/>
          <w:b w:val="0"/>
          <w:bCs w:val="0"/>
          <w:color w:val="1F1F1F"/>
          <w:shd w:val="clear" w:color="auto" w:fill="FFFFFF"/>
        </w:rPr>
        <w:t>and another</w:t>
      </w:r>
      <w:r w:rsidRPr="00CA52B7">
        <w:rPr>
          <w:rStyle w:val="Textoennegrita"/>
          <w:b w:val="0"/>
          <w:bCs w:val="0"/>
          <w:color w:val="1F1F1F"/>
          <w:shd w:val="clear" w:color="auto" w:fill="FFFFFF"/>
        </w:rPr>
        <w:t xml:space="preserve"> 42 </w:t>
      </w:r>
      <w:r w:rsidR="00DE5C79">
        <w:rPr>
          <w:rStyle w:val="Textoennegrita"/>
          <w:b w:val="0"/>
          <w:bCs w:val="0"/>
          <w:color w:val="1F1F1F"/>
          <w:shd w:val="clear" w:color="auto" w:fill="FFFFFF"/>
        </w:rPr>
        <w:t xml:space="preserve">occurred through </w:t>
      </w:r>
      <w:r w:rsidRPr="00CA52B7">
        <w:rPr>
          <w:rStyle w:val="Textoennegrita"/>
          <w:b w:val="0"/>
          <w:bCs w:val="0"/>
          <w:color w:val="1F1F1F"/>
          <w:shd w:val="clear" w:color="auto" w:fill="FFFFFF"/>
        </w:rPr>
        <w:t>decapitation or bodily dismemberment, relevant data to establish the persistence of misogynistic cruelty on women's bodies.</w:t>
      </w:r>
      <w:r w:rsidR="00F942E0" w:rsidRPr="00CA52B7">
        <w:rPr>
          <w:rStyle w:val="Refdenotaalfinal"/>
          <w:color w:val="1F1F1F"/>
          <w:shd w:val="clear" w:color="auto" w:fill="FFFFFF"/>
        </w:rPr>
        <w:endnoteReference w:id="20"/>
      </w:r>
    </w:p>
    <w:p w14:paraId="7D7A5B32" w14:textId="77777777" w:rsidR="009B5FD7" w:rsidRPr="00CA52B7" w:rsidRDefault="009B5FD7" w:rsidP="00CA52B7">
      <w:pPr>
        <w:pStyle w:val="NormalWeb"/>
        <w:shd w:val="clear" w:color="auto" w:fill="FFFFFF"/>
        <w:spacing w:before="0" w:beforeAutospacing="0" w:after="0" w:afterAutospacing="0"/>
        <w:ind w:left="360"/>
        <w:jc w:val="both"/>
        <w:rPr>
          <w:rStyle w:val="Textoennegrita"/>
          <w:b w:val="0"/>
          <w:bCs w:val="0"/>
          <w:color w:val="1F1F1F"/>
        </w:rPr>
      </w:pPr>
    </w:p>
    <w:p w14:paraId="3B14B869" w14:textId="0ACC1076" w:rsidR="00626E65" w:rsidRPr="00CA52B7" w:rsidRDefault="009B5FD7"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b w:val="0"/>
          <w:bCs w:val="0"/>
          <w:color w:val="1F1F1F"/>
          <w:shd w:val="clear" w:color="auto" w:fill="FFFFFF"/>
        </w:rPr>
        <w:t xml:space="preserve">Incestuous sexual violence is established and normalized. The perpetrators are mainly adult </w:t>
      </w:r>
      <w:r w:rsidR="008A3E62" w:rsidRPr="00CA52B7">
        <w:rPr>
          <w:rStyle w:val="Textoennegrita"/>
          <w:b w:val="0"/>
          <w:bCs w:val="0"/>
          <w:color w:val="1F1F1F"/>
          <w:shd w:val="clear" w:color="auto" w:fill="FFFFFF"/>
        </w:rPr>
        <w:t>men,</w:t>
      </w:r>
      <w:r w:rsidRPr="00CA52B7">
        <w:rPr>
          <w:rStyle w:val="Textoennegrita"/>
          <w:b w:val="0"/>
          <w:bCs w:val="0"/>
          <w:color w:val="1F1F1F"/>
          <w:shd w:val="clear" w:color="auto" w:fill="FFFFFF"/>
        </w:rPr>
        <w:t xml:space="preserve"> and the survivors are girls and adolescents who, in addition to experiencing sexual violence, are </w:t>
      </w:r>
      <w:r w:rsidR="009E2A4B">
        <w:rPr>
          <w:rStyle w:val="Textoennegrita"/>
          <w:b w:val="0"/>
          <w:bCs w:val="0"/>
          <w:color w:val="1F1F1F"/>
          <w:shd w:val="clear" w:color="auto" w:fill="FFFFFF"/>
        </w:rPr>
        <w:t xml:space="preserve">obligated </w:t>
      </w:r>
      <w:r w:rsidRPr="00CA52B7">
        <w:rPr>
          <w:rStyle w:val="Textoennegrita"/>
          <w:b w:val="0"/>
          <w:bCs w:val="0"/>
          <w:color w:val="1F1F1F"/>
          <w:shd w:val="clear" w:color="auto" w:fill="FFFFFF"/>
        </w:rPr>
        <w:t xml:space="preserve">by the State to have forced pregnancies and motherhood. This is confirmed by the 18,610 pregnancies in girls aged 10 to 14 registered from 2018 to October 2022, as well as the 11,883 births </w:t>
      </w:r>
      <w:r w:rsidR="009E2A4B">
        <w:rPr>
          <w:rStyle w:val="Textoennegrita"/>
          <w:b w:val="0"/>
          <w:bCs w:val="0"/>
          <w:color w:val="1F1F1F"/>
          <w:shd w:val="clear" w:color="auto" w:fill="FFFFFF"/>
        </w:rPr>
        <w:t>to</w:t>
      </w:r>
      <w:r w:rsidRPr="00CA52B7">
        <w:rPr>
          <w:rStyle w:val="Textoennegrita"/>
          <w:b w:val="0"/>
          <w:bCs w:val="0"/>
          <w:color w:val="1F1F1F"/>
          <w:shd w:val="clear" w:color="auto" w:fill="FFFFFF"/>
        </w:rPr>
        <w:t xml:space="preserve"> mothers</w:t>
      </w:r>
      <w:r w:rsidR="009E2A4B">
        <w:rPr>
          <w:rStyle w:val="Textoennegrita"/>
          <w:b w:val="0"/>
          <w:bCs w:val="0"/>
          <w:color w:val="1F1F1F"/>
          <w:shd w:val="clear" w:color="auto" w:fill="FFFFFF"/>
        </w:rPr>
        <w:t xml:space="preserve"> aged</w:t>
      </w:r>
      <w:r w:rsidRPr="00CA52B7">
        <w:rPr>
          <w:rStyle w:val="Textoennegrita"/>
          <w:b w:val="0"/>
          <w:bCs w:val="0"/>
          <w:color w:val="1F1F1F"/>
          <w:shd w:val="clear" w:color="auto" w:fill="FFFFFF"/>
        </w:rPr>
        <w:t xml:space="preserve"> 10 to 14 years old, registered from 2018 to July 2023, according to OSAR data.</w:t>
      </w:r>
      <w:r w:rsidR="00F942E0" w:rsidRPr="00CA52B7">
        <w:rPr>
          <w:rStyle w:val="Refdenotaalfinal"/>
          <w:color w:val="1F1F1F"/>
          <w:shd w:val="clear" w:color="auto" w:fill="FFFFFF"/>
        </w:rPr>
        <w:endnoteReference w:id="21"/>
      </w:r>
    </w:p>
    <w:p w14:paraId="3D4D0C34" w14:textId="77777777" w:rsidR="009B5FD7" w:rsidRPr="00CA52B7" w:rsidRDefault="009B5FD7" w:rsidP="00CA52B7">
      <w:pPr>
        <w:pStyle w:val="NormalWeb"/>
        <w:shd w:val="clear" w:color="auto" w:fill="FFFFFF"/>
        <w:spacing w:before="0" w:beforeAutospacing="0" w:after="0" w:afterAutospacing="0"/>
        <w:jc w:val="both"/>
        <w:rPr>
          <w:rStyle w:val="Textoennegrita"/>
          <w:b w:val="0"/>
          <w:bCs w:val="0"/>
          <w:color w:val="1F1F1F"/>
        </w:rPr>
      </w:pPr>
    </w:p>
    <w:p w14:paraId="17B3F527" w14:textId="2CE18690" w:rsidR="009B5FD7" w:rsidRPr="00CA52B7" w:rsidRDefault="009B5FD7"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b w:val="0"/>
          <w:bCs w:val="0"/>
          <w:color w:val="1F1F1F"/>
          <w:shd w:val="clear" w:color="auto" w:fill="FFFFFF"/>
        </w:rPr>
        <w:t xml:space="preserve">According to research conducted by IUS Dignitas (2023), from 2020 to 2022, more than 500 active cases of women criminalized for </w:t>
      </w:r>
      <w:r w:rsidR="00135BBC">
        <w:rPr>
          <w:rStyle w:val="Textoennegrita"/>
          <w:b w:val="0"/>
          <w:bCs w:val="0"/>
          <w:color w:val="1F1F1F"/>
          <w:shd w:val="clear" w:color="auto" w:fill="FFFFFF"/>
        </w:rPr>
        <w:t>abortion</w:t>
      </w:r>
      <w:r w:rsidRPr="00CA52B7">
        <w:rPr>
          <w:rStyle w:val="Textoennegrita"/>
          <w:b w:val="0"/>
          <w:bCs w:val="0"/>
          <w:color w:val="1F1F1F"/>
          <w:shd w:val="clear" w:color="auto" w:fill="FFFFFF"/>
        </w:rPr>
        <w:t xml:space="preserve"> were documented</w:t>
      </w:r>
      <w:r w:rsidR="00135BBC">
        <w:rPr>
          <w:rStyle w:val="Textoennegrita"/>
          <w:b w:val="0"/>
          <w:bCs w:val="0"/>
          <w:color w:val="1F1F1F"/>
          <w:shd w:val="clear" w:color="auto" w:fill="FFFFFF"/>
        </w:rPr>
        <w:t xml:space="preserve"> in the justice system</w:t>
      </w:r>
      <w:r w:rsidRPr="00CA52B7">
        <w:rPr>
          <w:rStyle w:val="Textoennegrita"/>
          <w:b w:val="0"/>
          <w:bCs w:val="0"/>
          <w:color w:val="1F1F1F"/>
          <w:shd w:val="clear" w:color="auto" w:fill="FFFFFF"/>
        </w:rPr>
        <w:t xml:space="preserve">. Of the 12 women who sought justice for these cases, at least 30% are survivors of VCM in different </w:t>
      </w:r>
      <w:r w:rsidR="00AA7A83">
        <w:rPr>
          <w:rStyle w:val="Textoennegrita"/>
          <w:b w:val="0"/>
          <w:bCs w:val="0"/>
          <w:color w:val="1F1F1F"/>
          <w:shd w:val="clear" w:color="auto" w:fill="FFFFFF"/>
        </w:rPr>
        <w:t>form</w:t>
      </w:r>
      <w:r w:rsidRPr="00CA52B7">
        <w:rPr>
          <w:rStyle w:val="Textoennegrita"/>
          <w:b w:val="0"/>
          <w:bCs w:val="0"/>
          <w:color w:val="1F1F1F"/>
          <w:shd w:val="clear" w:color="auto" w:fill="FFFFFF"/>
        </w:rPr>
        <w:t>s, including trafficking, domestic</w:t>
      </w:r>
      <w:r w:rsidR="00AA7A83">
        <w:rPr>
          <w:rStyle w:val="Textoennegrita"/>
          <w:b w:val="0"/>
          <w:bCs w:val="0"/>
          <w:color w:val="1F1F1F"/>
          <w:shd w:val="clear" w:color="auto" w:fill="FFFFFF"/>
        </w:rPr>
        <w:t>,</w:t>
      </w:r>
      <w:r w:rsidRPr="00CA52B7">
        <w:rPr>
          <w:rStyle w:val="Textoennegrita"/>
          <w:b w:val="0"/>
          <w:bCs w:val="0"/>
          <w:color w:val="1F1F1F"/>
          <w:shd w:val="clear" w:color="auto" w:fill="FFFFFF"/>
        </w:rPr>
        <w:t xml:space="preserve"> and sexual servitude,</w:t>
      </w:r>
      <w:r w:rsidR="00F942E0" w:rsidRPr="00CA52B7">
        <w:rPr>
          <w:rStyle w:val="Refdenotaalfinal"/>
          <w:color w:val="1F1F1F"/>
          <w:shd w:val="clear" w:color="auto" w:fill="FFFFFF"/>
        </w:rPr>
        <w:endnoteReference w:id="22"/>
      </w:r>
      <w:r w:rsidRPr="00CA52B7">
        <w:rPr>
          <w:rStyle w:val="Textoennegrita"/>
          <w:b w:val="0"/>
          <w:bCs w:val="0"/>
          <w:color w:val="1F1F1F"/>
          <w:shd w:val="clear" w:color="auto" w:fill="FFFFFF"/>
        </w:rPr>
        <w:t xml:space="preserve"> which demonstrates that the State has not only failed to fulfill its duty to prevent, address, punish, and eradicate patriarchal violence, primarily sexual violence against girls and adolescents, but </w:t>
      </w:r>
      <w:r w:rsidR="00AA7A83">
        <w:rPr>
          <w:rStyle w:val="Textoennegrita"/>
          <w:b w:val="0"/>
          <w:bCs w:val="0"/>
          <w:color w:val="1F1F1F"/>
          <w:shd w:val="clear" w:color="auto" w:fill="FFFFFF"/>
        </w:rPr>
        <w:t xml:space="preserve">that girls and adolescents suffer </w:t>
      </w:r>
      <w:r w:rsidR="008C1B1D">
        <w:rPr>
          <w:rStyle w:val="Textoennegrita"/>
          <w:b w:val="0"/>
          <w:bCs w:val="0"/>
          <w:color w:val="1F1F1F"/>
          <w:shd w:val="clear" w:color="auto" w:fill="FFFFFF"/>
        </w:rPr>
        <w:t>further violation</w:t>
      </w:r>
      <w:r w:rsidRPr="00CA52B7">
        <w:rPr>
          <w:rStyle w:val="Textoennegrita"/>
          <w:b w:val="0"/>
          <w:bCs w:val="0"/>
          <w:color w:val="1F1F1F"/>
          <w:shd w:val="clear" w:color="auto" w:fill="FFFFFF"/>
        </w:rPr>
        <w:t xml:space="preserve"> </w:t>
      </w:r>
      <w:r w:rsidR="008C1B1D">
        <w:rPr>
          <w:rStyle w:val="Textoennegrita"/>
          <w:b w:val="0"/>
          <w:bCs w:val="0"/>
          <w:color w:val="1F1F1F"/>
          <w:shd w:val="clear" w:color="auto" w:fill="FFFFFF"/>
        </w:rPr>
        <w:t>at the hands of</w:t>
      </w:r>
      <w:r w:rsidRPr="00CA52B7">
        <w:rPr>
          <w:rStyle w:val="Textoennegrita"/>
          <w:b w:val="0"/>
          <w:bCs w:val="0"/>
          <w:color w:val="1F1F1F"/>
          <w:shd w:val="clear" w:color="auto" w:fill="FFFFFF"/>
        </w:rPr>
        <w:t xml:space="preserve"> the MSPAS and the </w:t>
      </w:r>
      <w:r w:rsidR="008C1B1D">
        <w:rPr>
          <w:rStyle w:val="Textoennegrita"/>
          <w:b w:val="0"/>
          <w:bCs w:val="0"/>
          <w:color w:val="1F1F1F"/>
          <w:shd w:val="clear" w:color="auto" w:fill="FFFFFF"/>
        </w:rPr>
        <w:t xml:space="preserve">MP, which charge them with crimes </w:t>
      </w:r>
      <w:r w:rsidRPr="00CA52B7">
        <w:rPr>
          <w:rStyle w:val="Textoennegrita"/>
          <w:b w:val="0"/>
          <w:bCs w:val="0"/>
          <w:color w:val="1F1F1F"/>
          <w:shd w:val="clear" w:color="auto" w:fill="FFFFFF"/>
        </w:rPr>
        <w:t>such as procured abortion, abortion with or without consent, attempted abortion, among others.</w:t>
      </w:r>
    </w:p>
    <w:p w14:paraId="368BB138" w14:textId="77777777" w:rsidR="009B5FD7" w:rsidRPr="00CA52B7" w:rsidRDefault="009B5FD7" w:rsidP="00CA52B7">
      <w:pPr>
        <w:pStyle w:val="NormalWeb"/>
        <w:shd w:val="clear" w:color="auto" w:fill="FFFFFF"/>
        <w:spacing w:before="0" w:beforeAutospacing="0" w:after="0" w:afterAutospacing="0"/>
        <w:jc w:val="both"/>
        <w:rPr>
          <w:rStyle w:val="Textoennegrita"/>
          <w:b w:val="0"/>
          <w:bCs w:val="0"/>
          <w:color w:val="1F1F1F"/>
        </w:rPr>
      </w:pPr>
    </w:p>
    <w:p w14:paraId="784441E9" w14:textId="0E7058BF" w:rsidR="009B5FD7" w:rsidRPr="00CA52B7" w:rsidRDefault="009B5FD7"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b w:val="0"/>
          <w:bCs w:val="0"/>
          <w:color w:val="1F1F1F"/>
          <w:shd w:val="clear" w:color="auto" w:fill="FFFFFF"/>
        </w:rPr>
        <w:t xml:space="preserve">To this violence are added the intermittent disappearances of young women. </w:t>
      </w:r>
      <w:r w:rsidR="00655D3D">
        <w:rPr>
          <w:rStyle w:val="Textoennegrita"/>
          <w:b w:val="0"/>
          <w:bCs w:val="0"/>
          <w:color w:val="1F1F1F"/>
          <w:shd w:val="clear" w:color="auto" w:fill="FFFFFF"/>
        </w:rPr>
        <w:t>The MP alone</w:t>
      </w:r>
      <w:r w:rsidRPr="00CA52B7">
        <w:rPr>
          <w:rStyle w:val="Textoennegrita"/>
          <w:b w:val="0"/>
          <w:bCs w:val="0"/>
          <w:color w:val="1F1F1F"/>
          <w:shd w:val="clear" w:color="auto" w:fill="FFFFFF"/>
        </w:rPr>
        <w:t xml:space="preserve"> has registered a total of 8,442 women over 18 years of age who disappeared from 2018 to June 2023</w:t>
      </w:r>
      <w:r w:rsidR="00655D3D">
        <w:rPr>
          <w:rStyle w:val="Textoennegrita"/>
          <w:b w:val="0"/>
          <w:bCs w:val="0"/>
          <w:color w:val="1F1F1F"/>
          <w:shd w:val="clear" w:color="auto" w:fill="FFFFFF"/>
        </w:rPr>
        <w:t>;</w:t>
      </w:r>
      <w:r w:rsidRPr="00CA52B7">
        <w:rPr>
          <w:rStyle w:val="Textoennegrita"/>
          <w:b w:val="0"/>
          <w:bCs w:val="0"/>
          <w:color w:val="1F1F1F"/>
          <w:shd w:val="clear" w:color="auto" w:fill="FFFFFF"/>
        </w:rPr>
        <w:t xml:space="preserve"> 68% were between 18 and 30 years old.</w:t>
      </w:r>
      <w:r w:rsidR="00F942E0" w:rsidRPr="00CA52B7">
        <w:rPr>
          <w:rStyle w:val="Refdenotaalfinal"/>
          <w:color w:val="1F1F1F"/>
          <w:shd w:val="clear" w:color="auto" w:fill="FFFFFF"/>
        </w:rPr>
        <w:endnoteReference w:id="23"/>
      </w:r>
      <w:r w:rsidRPr="00CA52B7">
        <w:rPr>
          <w:rStyle w:val="Textoennegrita"/>
          <w:b w:val="0"/>
          <w:bCs w:val="0"/>
          <w:color w:val="1F1F1F"/>
          <w:shd w:val="clear" w:color="auto" w:fill="FFFFFF"/>
        </w:rPr>
        <w:t xml:space="preserve"> VCM is not reported due to lack of </w:t>
      </w:r>
      <w:r w:rsidR="00655D3D">
        <w:rPr>
          <w:rStyle w:val="Textoennegrita"/>
          <w:b w:val="0"/>
          <w:bCs w:val="0"/>
          <w:color w:val="1F1F1F"/>
          <w:shd w:val="clear" w:color="auto" w:fill="FFFFFF"/>
        </w:rPr>
        <w:t>trust</w:t>
      </w:r>
      <w:r w:rsidRPr="00CA52B7">
        <w:rPr>
          <w:rStyle w:val="Textoennegrita"/>
          <w:b w:val="0"/>
          <w:bCs w:val="0"/>
          <w:color w:val="1F1F1F"/>
          <w:shd w:val="clear" w:color="auto" w:fill="FFFFFF"/>
        </w:rPr>
        <w:t xml:space="preserve"> in the system, its inoperability, physical and symbolic distance, institutional centralization, in addition to its ethnocentric, monolingual</w:t>
      </w:r>
      <w:r w:rsidR="00655D3D">
        <w:rPr>
          <w:rStyle w:val="Textoennegrita"/>
          <w:b w:val="0"/>
          <w:bCs w:val="0"/>
          <w:color w:val="1F1F1F"/>
          <w:shd w:val="clear" w:color="auto" w:fill="FFFFFF"/>
        </w:rPr>
        <w:t>,</w:t>
      </w:r>
      <w:r w:rsidRPr="00CA52B7">
        <w:rPr>
          <w:rStyle w:val="Textoennegrita"/>
          <w:b w:val="0"/>
          <w:bCs w:val="0"/>
          <w:color w:val="1F1F1F"/>
          <w:shd w:val="clear" w:color="auto" w:fill="FFFFFF"/>
        </w:rPr>
        <w:t xml:space="preserve"> and culturally </w:t>
      </w:r>
      <w:r w:rsidR="00655D3D">
        <w:rPr>
          <w:rStyle w:val="Textoennegrita"/>
          <w:b w:val="0"/>
          <w:bCs w:val="0"/>
          <w:color w:val="1F1F1F"/>
          <w:shd w:val="clear" w:color="auto" w:fill="FFFFFF"/>
        </w:rPr>
        <w:t>insensitive</w:t>
      </w:r>
      <w:r w:rsidRPr="00CA52B7">
        <w:rPr>
          <w:rStyle w:val="Textoennegrita"/>
          <w:b w:val="0"/>
          <w:bCs w:val="0"/>
          <w:color w:val="1F1F1F"/>
          <w:shd w:val="clear" w:color="auto" w:fill="FFFFFF"/>
        </w:rPr>
        <w:t xml:space="preserve"> character. In 2021,</w:t>
      </w:r>
      <w:r w:rsidR="00655D3D">
        <w:rPr>
          <w:rStyle w:val="Textoennegrita"/>
          <w:b w:val="0"/>
          <w:bCs w:val="0"/>
          <w:color w:val="1F1F1F"/>
          <w:shd w:val="clear" w:color="auto" w:fill="FFFFFF"/>
        </w:rPr>
        <w:t xml:space="preserve"> news of</w:t>
      </w:r>
      <w:r w:rsidRPr="00CA52B7">
        <w:rPr>
          <w:rStyle w:val="Textoennegrita"/>
          <w:b w:val="0"/>
          <w:bCs w:val="0"/>
          <w:color w:val="1F1F1F"/>
          <w:shd w:val="clear" w:color="auto" w:fill="FFFFFF"/>
        </w:rPr>
        <w:t xml:space="preserve"> </w:t>
      </w:r>
      <w:r w:rsidR="00655D3D">
        <w:rPr>
          <w:rStyle w:val="Textoennegrita"/>
          <w:b w:val="0"/>
          <w:bCs w:val="0"/>
          <w:color w:val="1F1F1F"/>
          <w:shd w:val="clear" w:color="auto" w:fill="FFFFFF"/>
        </w:rPr>
        <w:t>the</w:t>
      </w:r>
      <w:r w:rsidRPr="00CA52B7">
        <w:rPr>
          <w:rStyle w:val="Textoennegrita"/>
          <w:b w:val="0"/>
          <w:bCs w:val="0"/>
          <w:color w:val="1F1F1F"/>
          <w:shd w:val="clear" w:color="auto" w:fill="FFFFFF"/>
        </w:rPr>
        <w:t xml:space="preserve"> MP's request to dismiss more than 80% of VCM complaints</w:t>
      </w:r>
      <w:r w:rsidR="00655D3D">
        <w:rPr>
          <w:rStyle w:val="Textoennegrita"/>
          <w:b w:val="0"/>
          <w:bCs w:val="0"/>
          <w:color w:val="1F1F1F"/>
          <w:shd w:val="clear" w:color="auto" w:fill="FFFFFF"/>
        </w:rPr>
        <w:t xml:space="preserve"> became widely known</w:t>
      </w:r>
      <w:r w:rsidRPr="00CA52B7">
        <w:rPr>
          <w:rStyle w:val="Textoennegrita"/>
          <w:b w:val="0"/>
          <w:bCs w:val="0"/>
          <w:color w:val="1F1F1F"/>
          <w:shd w:val="clear" w:color="auto" w:fill="FFFFFF"/>
        </w:rPr>
        <w:t>.</w:t>
      </w:r>
      <w:r w:rsidR="00F942E0" w:rsidRPr="00CA52B7">
        <w:rPr>
          <w:rStyle w:val="Refdenotaalfinal"/>
          <w:color w:val="1F1F1F"/>
          <w:shd w:val="clear" w:color="auto" w:fill="FFFFFF"/>
        </w:rPr>
        <w:endnoteReference w:id="24"/>
      </w:r>
    </w:p>
    <w:p w14:paraId="1DD03672" w14:textId="77777777" w:rsidR="009B5FD7" w:rsidRPr="00CA52B7" w:rsidRDefault="009B5FD7" w:rsidP="00CA52B7">
      <w:pPr>
        <w:pStyle w:val="NormalWeb"/>
        <w:shd w:val="clear" w:color="auto" w:fill="FFFFFF"/>
        <w:spacing w:before="0" w:beforeAutospacing="0" w:after="0" w:afterAutospacing="0"/>
        <w:jc w:val="both"/>
        <w:rPr>
          <w:rStyle w:val="Textoennegrita"/>
          <w:b w:val="0"/>
          <w:bCs w:val="0"/>
          <w:color w:val="1F1F1F"/>
        </w:rPr>
      </w:pPr>
    </w:p>
    <w:p w14:paraId="086C2679" w14:textId="13381C11" w:rsidR="009B5FD7" w:rsidRPr="00CA52B7" w:rsidRDefault="009B5FD7"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b w:val="0"/>
          <w:bCs w:val="0"/>
          <w:color w:val="1F1F1F"/>
          <w:shd w:val="clear" w:color="auto" w:fill="FFFFFF"/>
        </w:rPr>
        <w:t>Fifteen years have passed since the approval of the Law against Femicide and Other Forms of Violence against Women. Although there have been some efforts in the judicial sphere, this has not been the case for</w:t>
      </w:r>
      <w:r w:rsidR="00924EF4">
        <w:rPr>
          <w:rStyle w:val="Textoennegrita"/>
          <w:b w:val="0"/>
          <w:bCs w:val="0"/>
          <w:color w:val="1F1F1F"/>
          <w:shd w:val="clear" w:color="auto" w:fill="FFFFFF"/>
        </w:rPr>
        <w:t xml:space="preserve"> policies targeting</w:t>
      </w:r>
      <w:r w:rsidRPr="00CA52B7">
        <w:rPr>
          <w:rStyle w:val="Textoennegrita"/>
          <w:b w:val="0"/>
          <w:bCs w:val="0"/>
          <w:color w:val="1F1F1F"/>
          <w:shd w:val="clear" w:color="auto" w:fill="FFFFFF"/>
        </w:rPr>
        <w:t xml:space="preserve"> prevention, care, and reparation</w:t>
      </w:r>
      <w:r w:rsidR="00924EF4">
        <w:rPr>
          <w:rStyle w:val="Textoennegrita"/>
          <w:b w:val="0"/>
          <w:bCs w:val="0"/>
          <w:color w:val="1F1F1F"/>
          <w:shd w:val="clear" w:color="auto" w:fill="FFFFFF"/>
        </w:rPr>
        <w:t>s</w:t>
      </w:r>
      <w:r w:rsidRPr="00CA52B7">
        <w:rPr>
          <w:rStyle w:val="Textoennegrita"/>
          <w:b w:val="0"/>
          <w:bCs w:val="0"/>
          <w:color w:val="1F1F1F"/>
          <w:shd w:val="clear" w:color="auto" w:fill="FFFFFF"/>
        </w:rPr>
        <w:t xml:space="preserve">, so the problem has worsened due to the lack of resources and measures to prevent it. It is worth noting that the Law against Femicide is still under constant attack; </w:t>
      </w:r>
      <w:r w:rsidR="00924EF4">
        <w:rPr>
          <w:rStyle w:val="Textoennegrita"/>
          <w:b w:val="0"/>
          <w:bCs w:val="0"/>
          <w:color w:val="1F1F1F"/>
          <w:shd w:val="clear" w:color="auto" w:fill="FFFFFF"/>
        </w:rPr>
        <w:t>there have been attempts to remove its legal standing, to</w:t>
      </w:r>
      <w:r w:rsidRPr="00CA52B7">
        <w:rPr>
          <w:rStyle w:val="Textoennegrita"/>
          <w:b w:val="0"/>
          <w:bCs w:val="0"/>
          <w:color w:val="1F1F1F"/>
          <w:shd w:val="clear" w:color="auto" w:fill="FFFFFF"/>
        </w:rPr>
        <w:t xml:space="preserve"> modify it</w:t>
      </w:r>
      <w:r w:rsidR="00924EF4">
        <w:rPr>
          <w:rStyle w:val="Textoennegrita"/>
          <w:b w:val="0"/>
          <w:bCs w:val="0"/>
          <w:color w:val="1F1F1F"/>
          <w:shd w:val="clear" w:color="auto" w:fill="FFFFFF"/>
        </w:rPr>
        <w:t>s contents</w:t>
      </w:r>
      <w:r w:rsidRPr="00CA52B7">
        <w:rPr>
          <w:rStyle w:val="Textoennegrita"/>
          <w:b w:val="0"/>
          <w:bCs w:val="0"/>
          <w:color w:val="1F1F1F"/>
          <w:shd w:val="clear" w:color="auto" w:fill="FFFFFF"/>
        </w:rPr>
        <w:t xml:space="preserve">, and </w:t>
      </w:r>
      <w:r w:rsidR="00924EF4">
        <w:rPr>
          <w:rStyle w:val="Textoennegrita"/>
          <w:b w:val="0"/>
          <w:bCs w:val="0"/>
          <w:color w:val="1F1F1F"/>
          <w:shd w:val="clear" w:color="auto" w:fill="FFFFFF"/>
        </w:rPr>
        <w:t xml:space="preserve">to modify its scope of action through </w:t>
      </w:r>
      <w:r w:rsidRPr="00CA52B7">
        <w:rPr>
          <w:rStyle w:val="Textoennegrita"/>
          <w:b w:val="0"/>
          <w:bCs w:val="0"/>
          <w:color w:val="1F1F1F"/>
          <w:shd w:val="clear" w:color="auto" w:fill="FFFFFF"/>
        </w:rPr>
        <w:t>resources in the CC.</w:t>
      </w:r>
      <w:r w:rsidR="006E3CAE" w:rsidRPr="00CA52B7">
        <w:rPr>
          <w:rStyle w:val="Refdenotaalfinal"/>
          <w:color w:val="1F1F1F"/>
          <w:shd w:val="clear" w:color="auto" w:fill="FFFFFF"/>
        </w:rPr>
        <w:endnoteReference w:id="25"/>
      </w:r>
      <w:r w:rsidRPr="00CA52B7">
        <w:rPr>
          <w:rStyle w:val="Textoennegrita"/>
          <w:b w:val="0"/>
          <w:bCs w:val="0"/>
          <w:color w:val="1F1F1F"/>
          <w:shd w:val="clear" w:color="auto" w:fill="FFFFFF"/>
        </w:rPr>
        <w:t xml:space="preserve"> Corrupt </w:t>
      </w:r>
      <w:r w:rsidR="00924EF4">
        <w:rPr>
          <w:rStyle w:val="Textoennegrita"/>
          <w:b w:val="0"/>
          <w:bCs w:val="0"/>
          <w:color w:val="1F1F1F"/>
          <w:shd w:val="clear" w:color="auto" w:fill="FFFFFF"/>
        </w:rPr>
        <w:t xml:space="preserve">individuals </w:t>
      </w:r>
      <w:r w:rsidRPr="00CA52B7">
        <w:rPr>
          <w:rStyle w:val="Textoennegrita"/>
          <w:b w:val="0"/>
          <w:bCs w:val="0"/>
          <w:color w:val="1F1F1F"/>
          <w:shd w:val="clear" w:color="auto" w:fill="FFFFFF"/>
        </w:rPr>
        <w:t>continue to misrepresent and misuse the law in search of impunity, and</w:t>
      </w:r>
      <w:r w:rsidR="00924EF4">
        <w:rPr>
          <w:rStyle w:val="Textoennegrita"/>
          <w:b w:val="0"/>
          <w:bCs w:val="0"/>
          <w:color w:val="1F1F1F"/>
          <w:shd w:val="clear" w:color="auto" w:fill="FFFFFF"/>
        </w:rPr>
        <w:t xml:space="preserve"> there have been open calls for the destruction of specialized courts, as the only entities that remain to be destroyed after the extinction of the CICIG</w:t>
      </w:r>
      <w:r w:rsidRPr="00CA52B7">
        <w:rPr>
          <w:rStyle w:val="Textoennegrita"/>
          <w:b w:val="0"/>
          <w:bCs w:val="0"/>
          <w:color w:val="1F1F1F"/>
          <w:shd w:val="clear" w:color="auto" w:fill="FFFFFF"/>
        </w:rPr>
        <w:t>. Women continue to go to the PNC to file their complaints for greater accessibility and availability, but those who re</w:t>
      </w:r>
      <w:r w:rsidR="00924EF4">
        <w:rPr>
          <w:rStyle w:val="Textoennegrita"/>
          <w:b w:val="0"/>
          <w:bCs w:val="0"/>
          <w:color w:val="1F1F1F"/>
          <w:shd w:val="clear" w:color="auto" w:fill="FFFFFF"/>
        </w:rPr>
        <w:t>view the complaints</w:t>
      </w:r>
      <w:r w:rsidRPr="00CA52B7">
        <w:rPr>
          <w:rStyle w:val="Textoennegrita"/>
          <w:b w:val="0"/>
          <w:bCs w:val="0"/>
          <w:color w:val="1F1F1F"/>
          <w:shd w:val="clear" w:color="auto" w:fill="FFFFFF"/>
        </w:rPr>
        <w:t xml:space="preserve"> lack information, awareness, and knowledge of the </w:t>
      </w:r>
      <w:r w:rsidR="00924EF4">
        <w:rPr>
          <w:rStyle w:val="Textoennegrita"/>
          <w:b w:val="0"/>
          <w:bCs w:val="0"/>
          <w:color w:val="1F1F1F"/>
          <w:shd w:val="clear" w:color="auto" w:fill="FFFFFF"/>
        </w:rPr>
        <w:t xml:space="preserve">root </w:t>
      </w:r>
      <w:r w:rsidRPr="00CA52B7">
        <w:rPr>
          <w:rStyle w:val="Textoennegrita"/>
          <w:b w:val="0"/>
          <w:bCs w:val="0"/>
          <w:color w:val="1F1F1F"/>
          <w:shd w:val="clear" w:color="auto" w:fill="FFFFFF"/>
        </w:rPr>
        <w:t>problem.</w:t>
      </w:r>
    </w:p>
    <w:p w14:paraId="01225734" w14:textId="77777777" w:rsidR="009B5FD7" w:rsidRPr="00CA52B7" w:rsidRDefault="009B5FD7" w:rsidP="00CA52B7">
      <w:pPr>
        <w:pStyle w:val="NormalWeb"/>
        <w:shd w:val="clear" w:color="auto" w:fill="FFFFFF"/>
        <w:spacing w:before="0" w:beforeAutospacing="0" w:after="0" w:afterAutospacing="0"/>
        <w:jc w:val="both"/>
        <w:rPr>
          <w:rStyle w:val="Textoennegrita"/>
          <w:b w:val="0"/>
          <w:bCs w:val="0"/>
          <w:color w:val="1F1F1F"/>
        </w:rPr>
      </w:pPr>
    </w:p>
    <w:p w14:paraId="3EE1654C" w14:textId="067FCE64" w:rsidR="009B5FD7" w:rsidRPr="00CA52B7" w:rsidRDefault="009B5FD7"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 xml:space="preserve">The </w:t>
      </w:r>
      <w:r w:rsidR="00EF0450">
        <w:rPr>
          <w:color w:val="1F1F1F"/>
        </w:rPr>
        <w:t>MP</w:t>
      </w:r>
      <w:r w:rsidRPr="00CA52B7">
        <w:rPr>
          <w:color w:val="1F1F1F"/>
        </w:rPr>
        <w:t xml:space="preserve"> has 25 women's prosecutors</w:t>
      </w:r>
      <w:r w:rsidR="00EF0450">
        <w:rPr>
          <w:color w:val="1F1F1F"/>
        </w:rPr>
        <w:t>’</w:t>
      </w:r>
      <w:r w:rsidRPr="00CA52B7">
        <w:rPr>
          <w:color w:val="1F1F1F"/>
        </w:rPr>
        <w:t xml:space="preserve"> offices and two prosecutors' offices that investigate MVM and femicides at the national level. The OJ has a presence in 22 departmental capitals, with specialized courts and tribunals for the crimes of femicide and VCM. As of January 2023, </w:t>
      </w:r>
      <w:r w:rsidR="008A3E62" w:rsidRPr="00CA52B7">
        <w:rPr>
          <w:color w:val="1F1F1F"/>
        </w:rPr>
        <w:t>INACIF</w:t>
      </w:r>
      <w:r w:rsidRPr="00CA52B7">
        <w:rPr>
          <w:color w:val="1F1F1F"/>
        </w:rPr>
        <w:t xml:space="preserve"> has a presence in the 22 departments of the country, but only in 52 municipalities out of 340, clearly insufficient to meet the needs at the national level. Most institutions are present </w:t>
      </w:r>
      <w:r w:rsidR="00EF0450">
        <w:rPr>
          <w:color w:val="1F1F1F"/>
        </w:rPr>
        <w:t xml:space="preserve">only </w:t>
      </w:r>
      <w:r w:rsidRPr="00CA52B7">
        <w:rPr>
          <w:color w:val="1F1F1F"/>
        </w:rPr>
        <w:t>in the departmental capital</w:t>
      </w:r>
      <w:r w:rsidR="00EF0450">
        <w:rPr>
          <w:color w:val="1F1F1F"/>
        </w:rPr>
        <w:t>s</w:t>
      </w:r>
      <w:r w:rsidRPr="00CA52B7">
        <w:rPr>
          <w:color w:val="1F1F1F"/>
        </w:rPr>
        <w:t xml:space="preserve">, have little staff, and </w:t>
      </w:r>
      <w:r w:rsidR="00EF0450">
        <w:rPr>
          <w:color w:val="1F1F1F"/>
        </w:rPr>
        <w:t xml:space="preserve">suffer </w:t>
      </w:r>
      <w:r w:rsidRPr="00CA52B7">
        <w:rPr>
          <w:color w:val="1F1F1F"/>
        </w:rPr>
        <w:t>serious infrastructure limitations, overcrowding</w:t>
      </w:r>
      <w:r w:rsidR="008A3E62" w:rsidRPr="00CA52B7">
        <w:rPr>
          <w:color w:val="1F1F1F"/>
        </w:rPr>
        <w:t>, and lack</w:t>
      </w:r>
      <w:r w:rsidRPr="00CA52B7">
        <w:rPr>
          <w:color w:val="1F1F1F"/>
        </w:rPr>
        <w:t xml:space="preserve"> of furniture and equipment. In the PNC, the constant rotation of personnel and the lack of a gender</w:t>
      </w:r>
      <w:r w:rsidR="008A3E62" w:rsidRPr="00CA52B7">
        <w:rPr>
          <w:color w:val="1F1F1F"/>
        </w:rPr>
        <w:t>-</w:t>
      </w:r>
      <w:r w:rsidRPr="00CA52B7">
        <w:rPr>
          <w:color w:val="1F1F1F"/>
        </w:rPr>
        <w:t>rights and victim</w:t>
      </w:r>
      <w:r w:rsidR="00EF0450">
        <w:rPr>
          <w:color w:val="1F1F1F"/>
        </w:rPr>
        <w:t>-centered</w:t>
      </w:r>
      <w:r w:rsidRPr="00CA52B7">
        <w:rPr>
          <w:color w:val="1F1F1F"/>
        </w:rPr>
        <w:t xml:space="preserve"> approach to attend to the MSV who come to </w:t>
      </w:r>
      <w:r w:rsidR="00EF0450">
        <w:rPr>
          <w:color w:val="1F1F1F"/>
        </w:rPr>
        <w:t>report crimes exacerbates the problem</w:t>
      </w:r>
      <w:r w:rsidRPr="00CA52B7">
        <w:rPr>
          <w:color w:val="1F1F1F"/>
        </w:rPr>
        <w:t xml:space="preserve">. Revictimization persists in the security and justice system, despite protocols, guidelines, strategies, and </w:t>
      </w:r>
      <w:r w:rsidR="00EF0450">
        <w:rPr>
          <w:color w:val="1F1F1F"/>
        </w:rPr>
        <w:t>instruction</w:t>
      </w:r>
      <w:r w:rsidRPr="00CA52B7">
        <w:rPr>
          <w:color w:val="1F1F1F"/>
        </w:rPr>
        <w:t xml:space="preserve">s </w:t>
      </w:r>
      <w:r w:rsidR="00EF0450">
        <w:rPr>
          <w:color w:val="1F1F1F"/>
        </w:rPr>
        <w:t>that exist, yet are</w:t>
      </w:r>
      <w:r w:rsidRPr="00CA52B7">
        <w:rPr>
          <w:color w:val="1F1F1F"/>
        </w:rPr>
        <w:t xml:space="preserve"> not known to staff. In this sense, </w:t>
      </w:r>
      <w:r w:rsidR="00EF0450">
        <w:rPr>
          <w:color w:val="1F1F1F"/>
        </w:rPr>
        <w:t>women and girls suffer a</w:t>
      </w:r>
      <w:r w:rsidRPr="00CA52B7">
        <w:rPr>
          <w:color w:val="1F1F1F"/>
        </w:rPr>
        <w:t xml:space="preserve"> secondary revictimization.</w:t>
      </w:r>
    </w:p>
    <w:p w14:paraId="200F323A" w14:textId="77777777" w:rsidR="009B5FD7" w:rsidRPr="00CA52B7" w:rsidRDefault="009B5FD7" w:rsidP="00CA52B7">
      <w:pPr>
        <w:pStyle w:val="NormalWeb"/>
        <w:shd w:val="clear" w:color="auto" w:fill="FFFFFF"/>
        <w:spacing w:before="0" w:beforeAutospacing="0" w:after="0" w:afterAutospacing="0"/>
        <w:jc w:val="both"/>
        <w:rPr>
          <w:color w:val="1F1F1F"/>
        </w:rPr>
      </w:pPr>
    </w:p>
    <w:p w14:paraId="67F7FC15" w14:textId="26775FF7" w:rsidR="009B5FD7" w:rsidRPr="00CA52B7" w:rsidRDefault="009B5FD7"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To protect women, the legislation allows for at least 16 security measures, of which the OJ (2018) showed that in 93% of cases, the courts granted only two measures,</w:t>
      </w:r>
      <w:r w:rsidR="006E3CAE" w:rsidRPr="00CA52B7">
        <w:rPr>
          <w:rStyle w:val="Refdenotaalfinal"/>
          <w:color w:val="1F1F1F"/>
        </w:rPr>
        <w:endnoteReference w:id="26"/>
      </w:r>
      <w:r w:rsidRPr="00CA52B7">
        <w:rPr>
          <w:color w:val="1F1F1F"/>
        </w:rPr>
        <w:t xml:space="preserve"> because judges and magistrates do not directly hear the women and </w:t>
      </w:r>
      <w:r w:rsidR="000F5079">
        <w:rPr>
          <w:color w:val="1F1F1F"/>
        </w:rPr>
        <w:t>base their decisions on the</w:t>
      </w:r>
      <w:r w:rsidRPr="00CA52B7">
        <w:rPr>
          <w:color w:val="1F1F1F"/>
        </w:rPr>
        <w:t xml:space="preserve"> deficient information </w:t>
      </w:r>
      <w:r w:rsidR="000F5079">
        <w:rPr>
          <w:color w:val="1F1F1F"/>
        </w:rPr>
        <w:t>procured</w:t>
      </w:r>
      <w:r w:rsidRPr="00CA52B7">
        <w:rPr>
          <w:color w:val="1F1F1F"/>
        </w:rPr>
        <w:t xml:space="preserve"> from the PNC or MP, resulting in </w:t>
      </w:r>
      <w:r w:rsidR="000F5079">
        <w:rPr>
          <w:color w:val="1F1F1F"/>
        </w:rPr>
        <w:t xml:space="preserve">less state </w:t>
      </w:r>
      <w:r w:rsidRPr="00CA52B7">
        <w:rPr>
          <w:color w:val="1F1F1F"/>
        </w:rPr>
        <w:t xml:space="preserve">protection, particularly </w:t>
      </w:r>
      <w:r w:rsidR="000F5079">
        <w:rPr>
          <w:color w:val="1F1F1F"/>
        </w:rPr>
        <w:t>for</w:t>
      </w:r>
      <w:r w:rsidRPr="00CA52B7">
        <w:rPr>
          <w:color w:val="1F1F1F"/>
        </w:rPr>
        <w:t xml:space="preserve"> women who have asked for family and community support. Compliance with security measures remains </w:t>
      </w:r>
      <w:r w:rsidR="000F5079">
        <w:rPr>
          <w:color w:val="1F1F1F"/>
        </w:rPr>
        <w:t>unenforced</w:t>
      </w:r>
      <w:r w:rsidRPr="00CA52B7">
        <w:rPr>
          <w:color w:val="1F1F1F"/>
        </w:rPr>
        <w:t xml:space="preserve">, and in addition, women are asked to notify the perpetrators themselves, leaving them completely defenseless and unprotected. In addition to the pressure they receive to drop the charges, the inoperable system encourages perpetrators to violate the security measures, </w:t>
      </w:r>
      <w:r w:rsidR="000F5079">
        <w:rPr>
          <w:color w:val="1F1F1F"/>
        </w:rPr>
        <w:t>leading to grave c</w:t>
      </w:r>
      <w:r w:rsidRPr="00CA52B7">
        <w:rPr>
          <w:color w:val="1F1F1F"/>
        </w:rPr>
        <w:t>onsequences</w:t>
      </w:r>
      <w:r w:rsidR="000F5079">
        <w:rPr>
          <w:color w:val="1F1F1F"/>
        </w:rPr>
        <w:t>,</w:t>
      </w:r>
      <w:r w:rsidRPr="00CA52B7">
        <w:rPr>
          <w:color w:val="1F1F1F"/>
        </w:rPr>
        <w:t xml:space="preserve"> including being victims of femicide.</w:t>
      </w:r>
    </w:p>
    <w:p w14:paraId="114B1A0A" w14:textId="77777777" w:rsidR="00E55D0A" w:rsidRPr="00CA52B7" w:rsidRDefault="00E55D0A" w:rsidP="00CA52B7">
      <w:pPr>
        <w:pStyle w:val="NormalWeb"/>
        <w:shd w:val="clear" w:color="auto" w:fill="FFFFFF"/>
        <w:spacing w:before="0" w:beforeAutospacing="0" w:after="0" w:afterAutospacing="0"/>
        <w:jc w:val="both"/>
        <w:rPr>
          <w:color w:val="1F1F1F"/>
        </w:rPr>
      </w:pPr>
    </w:p>
    <w:p w14:paraId="1E8D5550" w14:textId="3484DB5F" w:rsidR="009B5FD7" w:rsidRPr="00CA52B7" w:rsidRDefault="009B5FD7"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Currently, there are several women who, even with</w:t>
      </w:r>
      <w:r w:rsidR="000F5079">
        <w:rPr>
          <w:color w:val="1F1F1F"/>
        </w:rPr>
        <w:t xml:space="preserve"> these</w:t>
      </w:r>
      <w:r w:rsidRPr="00CA52B7">
        <w:rPr>
          <w:color w:val="1F1F1F"/>
        </w:rPr>
        <w:t xml:space="preserve"> measures, have still been the constant object of violence and</w:t>
      </w:r>
      <w:r w:rsidR="000F5079">
        <w:rPr>
          <w:color w:val="1F1F1F"/>
        </w:rPr>
        <w:t>,</w:t>
      </w:r>
      <w:r w:rsidRPr="00CA52B7">
        <w:rPr>
          <w:color w:val="1F1F1F"/>
        </w:rPr>
        <w:t xml:space="preserve"> in some </w:t>
      </w:r>
      <w:r w:rsidR="008A3E62" w:rsidRPr="00CA52B7">
        <w:rPr>
          <w:color w:val="1F1F1F"/>
        </w:rPr>
        <w:t>cases,</w:t>
      </w:r>
      <w:r w:rsidRPr="00CA52B7">
        <w:rPr>
          <w:color w:val="1F1F1F"/>
        </w:rPr>
        <w:t xml:space="preserve"> it has resulted that women have </w:t>
      </w:r>
      <w:r w:rsidR="000F5079">
        <w:rPr>
          <w:color w:val="1F1F1F"/>
        </w:rPr>
        <w:t>taken their perpetrators’ lives in self-defense</w:t>
      </w:r>
      <w:r w:rsidRPr="00CA52B7">
        <w:rPr>
          <w:color w:val="1F1F1F"/>
        </w:rPr>
        <w:t>.</w:t>
      </w:r>
      <w:r w:rsidR="006E3CAE" w:rsidRPr="00CA52B7">
        <w:rPr>
          <w:rStyle w:val="Refdenotaalfinal"/>
          <w:color w:val="1F1F1F"/>
        </w:rPr>
        <w:endnoteReference w:id="27"/>
      </w:r>
      <w:r w:rsidRPr="00CA52B7">
        <w:rPr>
          <w:color w:val="1F1F1F"/>
        </w:rPr>
        <w:t xml:space="preserve"> In these cases, the disproportionate patriarchal reaction against women, even at the community level, has led to the violent expulsion of women from their </w:t>
      </w:r>
      <w:r w:rsidRPr="00CA52B7">
        <w:rPr>
          <w:color w:val="1F1F1F"/>
        </w:rPr>
        <w:lastRenderedPageBreak/>
        <w:t>communities. Even though self-defense has been proven, the COCODES, guardians of patriarchy, impose serious social sanctions on women.</w:t>
      </w:r>
    </w:p>
    <w:p w14:paraId="20B44818" w14:textId="77777777" w:rsidR="00E55D0A" w:rsidRPr="00CA52B7" w:rsidRDefault="00E55D0A" w:rsidP="00CA52B7">
      <w:pPr>
        <w:pStyle w:val="NormalWeb"/>
        <w:shd w:val="clear" w:color="auto" w:fill="FFFFFF"/>
        <w:spacing w:before="0" w:beforeAutospacing="0" w:after="0" w:afterAutospacing="0"/>
        <w:jc w:val="both"/>
        <w:rPr>
          <w:color w:val="1F1F1F"/>
        </w:rPr>
      </w:pPr>
    </w:p>
    <w:p w14:paraId="24DE6C7F" w14:textId="56B52420" w:rsidR="008A3E62" w:rsidRPr="00CA52B7" w:rsidRDefault="008A3E62" w:rsidP="00CA52B7">
      <w:pPr>
        <w:pStyle w:val="Prrafodelista"/>
        <w:numPr>
          <w:ilvl w:val="0"/>
          <w:numId w:val="2"/>
        </w:numPr>
        <w:spacing w:after="0"/>
        <w:jc w:val="both"/>
        <w:rPr>
          <w:rFonts w:ascii="Times New Roman" w:hAnsi="Times New Roman" w:cs="Times New Roman"/>
          <w:b/>
          <w:bCs/>
          <w:sz w:val="24"/>
          <w:szCs w:val="24"/>
          <w:lang w:val="en-US"/>
        </w:rPr>
      </w:pPr>
      <w:r w:rsidRPr="00CA52B7">
        <w:rPr>
          <w:rFonts w:ascii="Times New Roman" w:hAnsi="Times New Roman" w:cs="Times New Roman"/>
          <w:b/>
          <w:bCs/>
          <w:sz w:val="24"/>
          <w:szCs w:val="24"/>
          <w:lang w:val="en-US"/>
        </w:rPr>
        <w:t xml:space="preserve">Comprehensive Support Centers for Women Survivors of Violence—CAIMUS </w:t>
      </w:r>
    </w:p>
    <w:p w14:paraId="48C27A42" w14:textId="77777777" w:rsidR="00E55D0A" w:rsidRPr="00CA52B7" w:rsidRDefault="00E55D0A" w:rsidP="00CA52B7">
      <w:pPr>
        <w:pStyle w:val="Prrafodelista"/>
        <w:spacing w:after="0"/>
        <w:ind w:left="1080"/>
        <w:jc w:val="both"/>
        <w:rPr>
          <w:rFonts w:ascii="Times New Roman" w:hAnsi="Times New Roman" w:cs="Times New Roman"/>
          <w:b/>
          <w:bCs/>
          <w:sz w:val="24"/>
          <w:szCs w:val="24"/>
          <w:lang w:val="en-US"/>
        </w:rPr>
      </w:pPr>
    </w:p>
    <w:p w14:paraId="53B9A4B5" w14:textId="70B6A124" w:rsidR="008A3E62" w:rsidRPr="00CA52B7" w:rsidRDefault="008A3E62"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 xml:space="preserve">According to the Law Against Femicide, the PLANOVI, the PNPDIM, and PEO recognize that CAIMUS, as the option for comprehensive and specialized care for women who have experienced violence, </w:t>
      </w:r>
      <w:r w:rsidR="00DB2084" w:rsidRPr="00CA52B7">
        <w:rPr>
          <w:color w:val="1F1F1F"/>
        </w:rPr>
        <w:t>oversee</w:t>
      </w:r>
      <w:r w:rsidRPr="00CA52B7">
        <w:rPr>
          <w:color w:val="1F1F1F"/>
        </w:rPr>
        <w:t xml:space="preserve"> women's organizations specialized in VCM, have a comprehensive care model</w:t>
      </w:r>
      <w:r w:rsidR="00DB2084">
        <w:rPr>
          <w:color w:val="1F1F1F"/>
        </w:rPr>
        <w:t>,</w:t>
      </w:r>
      <w:r w:rsidRPr="00CA52B7">
        <w:rPr>
          <w:color w:val="1F1F1F"/>
        </w:rPr>
        <w:t xml:space="preserve"> and are open 24 hours a day. Their actions are aimed at promoting the empowerment, decision-making</w:t>
      </w:r>
      <w:r w:rsidR="00DB2084">
        <w:rPr>
          <w:color w:val="1F1F1F"/>
        </w:rPr>
        <w:t>,</w:t>
      </w:r>
      <w:r w:rsidRPr="00CA52B7">
        <w:rPr>
          <w:color w:val="1F1F1F"/>
        </w:rPr>
        <w:t xml:space="preserve"> and progressive autonomy of women. In the CAIMUS of Guatemala, Escuintla, Rabinal, Suchitepéquez and Quetzaltenango, they </w:t>
      </w:r>
      <w:r w:rsidR="00DB2084">
        <w:rPr>
          <w:color w:val="1F1F1F"/>
        </w:rPr>
        <w:t>seen</w:t>
      </w:r>
      <w:r w:rsidRPr="00CA52B7">
        <w:rPr>
          <w:color w:val="1F1F1F"/>
        </w:rPr>
        <w:t xml:space="preserve"> a total of 15,481 women for </w:t>
      </w:r>
      <w:r w:rsidR="00DB2084">
        <w:rPr>
          <w:color w:val="1F1F1F"/>
        </w:rPr>
        <w:t>first-time visits</w:t>
      </w:r>
      <w:r w:rsidRPr="00CA52B7">
        <w:rPr>
          <w:color w:val="1F1F1F"/>
        </w:rPr>
        <w:t xml:space="preserve"> and</w:t>
      </w:r>
      <w:r w:rsidR="00DB2084">
        <w:rPr>
          <w:color w:val="1F1F1F"/>
        </w:rPr>
        <w:t xml:space="preserve"> tended to</w:t>
      </w:r>
      <w:r w:rsidRPr="00CA52B7">
        <w:rPr>
          <w:color w:val="1F1F1F"/>
        </w:rPr>
        <w:t xml:space="preserve"> 43,812 follow-up</w:t>
      </w:r>
      <w:r w:rsidR="00DB2084">
        <w:rPr>
          <w:color w:val="1F1F1F"/>
        </w:rPr>
        <w:t>s</w:t>
      </w:r>
      <w:r w:rsidRPr="00CA52B7">
        <w:rPr>
          <w:color w:val="1F1F1F"/>
        </w:rPr>
        <w:t xml:space="preserve"> from 2018 to July 2023; in the CAIMUS of Chimaltenango, they have </w:t>
      </w:r>
      <w:r w:rsidR="00DB2084">
        <w:rPr>
          <w:color w:val="1F1F1F"/>
        </w:rPr>
        <w:t>seen</w:t>
      </w:r>
      <w:r w:rsidRPr="00CA52B7">
        <w:rPr>
          <w:color w:val="1F1F1F"/>
        </w:rPr>
        <w:t xml:space="preserve"> 604 women for </w:t>
      </w:r>
      <w:r w:rsidR="00DB2084">
        <w:rPr>
          <w:color w:val="1F1F1F"/>
        </w:rPr>
        <w:t>first-time visits</w:t>
      </w:r>
      <w:r w:rsidRPr="00CA52B7">
        <w:rPr>
          <w:color w:val="1F1F1F"/>
        </w:rPr>
        <w:t xml:space="preserve"> from 2021 to June 2023.</w:t>
      </w:r>
      <w:r w:rsidR="006E3CAE" w:rsidRPr="00CA52B7">
        <w:rPr>
          <w:rStyle w:val="Refdenotaalfinal"/>
          <w:color w:val="1F1F1F"/>
        </w:rPr>
        <w:endnoteReference w:id="28"/>
      </w:r>
    </w:p>
    <w:p w14:paraId="02A5B708" w14:textId="77777777" w:rsidR="008A3E62" w:rsidRPr="00CA52B7" w:rsidRDefault="008A3E62" w:rsidP="00CA52B7">
      <w:pPr>
        <w:pStyle w:val="NormalWeb"/>
        <w:shd w:val="clear" w:color="auto" w:fill="FFFFFF"/>
        <w:spacing w:before="0" w:beforeAutospacing="0" w:after="0" w:afterAutospacing="0"/>
        <w:ind w:left="360"/>
        <w:jc w:val="both"/>
        <w:rPr>
          <w:color w:val="1F1F1F"/>
        </w:rPr>
      </w:pPr>
    </w:p>
    <w:p w14:paraId="13F0A07A" w14:textId="291BC5D1" w:rsidR="008A3E62" w:rsidRPr="00CA52B7" w:rsidRDefault="008A3E62"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 xml:space="preserve">Currently, there is </w:t>
      </w:r>
      <w:r w:rsidR="00DB2084">
        <w:rPr>
          <w:color w:val="1F1F1F"/>
        </w:rPr>
        <w:t>a</w:t>
      </w:r>
      <w:r w:rsidRPr="00CA52B7">
        <w:rPr>
          <w:color w:val="1F1F1F"/>
        </w:rPr>
        <w:t xml:space="preserve"> National Network of CAIMUS, which is made up of 9 women's organizations specialized in VCM and </w:t>
      </w:r>
      <w:r w:rsidR="00DB2084">
        <w:rPr>
          <w:color w:val="1F1F1F"/>
        </w:rPr>
        <w:t>that oversee</w:t>
      </w:r>
      <w:r w:rsidRPr="00CA52B7">
        <w:rPr>
          <w:color w:val="1F1F1F"/>
        </w:rPr>
        <w:t xml:space="preserve"> 12 centers that operate nationwide. Additionally, there are CAIMUS located in the departments of Petén and Chiquimula, and at least 9 new initiatives from other civil society organizations that are working to install other centers.</w:t>
      </w:r>
    </w:p>
    <w:p w14:paraId="7547357B" w14:textId="77777777" w:rsidR="008A3E62" w:rsidRPr="00CA52B7" w:rsidRDefault="008A3E62" w:rsidP="00CA52B7">
      <w:pPr>
        <w:pStyle w:val="NormalWeb"/>
        <w:shd w:val="clear" w:color="auto" w:fill="FFFFFF"/>
        <w:spacing w:before="0" w:beforeAutospacing="0" w:after="0" w:afterAutospacing="0"/>
        <w:jc w:val="both"/>
        <w:rPr>
          <w:color w:val="1F1F1F"/>
        </w:rPr>
      </w:pPr>
    </w:p>
    <w:p w14:paraId="1149314E" w14:textId="21CD2D09" w:rsidR="008A3E62" w:rsidRPr="00CA52B7" w:rsidRDefault="008A3E62"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 xml:space="preserve">GGM has had a budget line of Q9.5 million within the MINGOB budget for 15 consecutive years, for the operation of four CAIMUS, which was removed in 2023. In 2020 and 2022, they received only 53% and 57%, respectively, of the </w:t>
      </w:r>
      <w:r w:rsidR="00991E06">
        <w:rPr>
          <w:color w:val="1F1F1F"/>
        </w:rPr>
        <w:t>designated</w:t>
      </w:r>
      <w:r w:rsidRPr="00CA52B7">
        <w:rPr>
          <w:color w:val="1F1F1F"/>
        </w:rPr>
        <w:t xml:space="preserve"> resources,</w:t>
      </w:r>
      <w:r w:rsidR="006E3CAE" w:rsidRPr="00CA52B7">
        <w:rPr>
          <w:rStyle w:val="Refdenotaalfinal"/>
          <w:color w:val="1F1F1F"/>
        </w:rPr>
        <w:endnoteReference w:id="29"/>
      </w:r>
      <w:r w:rsidRPr="00CA52B7">
        <w:rPr>
          <w:color w:val="1F1F1F"/>
        </w:rPr>
        <w:t xml:space="preserve"> in addition to these funds having been delivered the last week of the year</w:t>
      </w:r>
      <w:r w:rsidR="00991E06">
        <w:rPr>
          <w:color w:val="1F1F1F"/>
        </w:rPr>
        <w:t>, every year for the</w:t>
      </w:r>
      <w:r w:rsidRPr="00CA52B7">
        <w:rPr>
          <w:color w:val="1F1F1F"/>
        </w:rPr>
        <w:t xml:space="preserve"> last four years.</w:t>
      </w:r>
    </w:p>
    <w:p w14:paraId="04976F3C" w14:textId="77777777" w:rsidR="008A3E62" w:rsidRPr="00CA52B7" w:rsidRDefault="008A3E62" w:rsidP="00CA52B7">
      <w:pPr>
        <w:pStyle w:val="NormalWeb"/>
        <w:shd w:val="clear" w:color="auto" w:fill="FFFFFF"/>
        <w:spacing w:before="0" w:beforeAutospacing="0" w:after="0" w:afterAutospacing="0"/>
        <w:jc w:val="both"/>
        <w:rPr>
          <w:color w:val="1F1F1F"/>
        </w:rPr>
      </w:pPr>
    </w:p>
    <w:p w14:paraId="3FF52DAA" w14:textId="2342A74E" w:rsidR="008A3E62" w:rsidRPr="00CA52B7" w:rsidRDefault="008A3E62"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In 2017 and 2018, there was a special allocation of 11 million to support the other CAIMUS.</w:t>
      </w:r>
      <w:r w:rsidR="006E3CAE" w:rsidRPr="00CA52B7">
        <w:rPr>
          <w:rStyle w:val="Refdenotaalfinal"/>
          <w:color w:val="1F1F1F"/>
        </w:rPr>
        <w:endnoteReference w:id="30"/>
      </w:r>
      <w:r w:rsidRPr="00CA52B7">
        <w:rPr>
          <w:color w:val="1F1F1F"/>
        </w:rPr>
        <w:t xml:space="preserve"> Five organizations </w:t>
      </w:r>
      <w:r w:rsidR="00991E06">
        <w:rPr>
          <w:color w:val="1F1F1F"/>
        </w:rPr>
        <w:t>received support</w:t>
      </w:r>
      <w:r w:rsidRPr="00CA52B7">
        <w:rPr>
          <w:color w:val="1F1F1F"/>
        </w:rPr>
        <w:t xml:space="preserve">, and in the end, only staff </w:t>
      </w:r>
      <w:r w:rsidR="00E55D0A" w:rsidRPr="00CA52B7">
        <w:rPr>
          <w:color w:val="1F1F1F"/>
        </w:rPr>
        <w:t>were</w:t>
      </w:r>
      <w:r w:rsidRPr="00CA52B7">
        <w:rPr>
          <w:color w:val="1F1F1F"/>
        </w:rPr>
        <w:t xml:space="preserve"> paid and not the total operation. In 2018, </w:t>
      </w:r>
      <w:r w:rsidR="00991E06">
        <w:rPr>
          <w:color w:val="1F1F1F"/>
        </w:rPr>
        <w:t>the workers did not receive their full salary</w:t>
      </w:r>
      <w:r w:rsidRPr="00CA52B7">
        <w:rPr>
          <w:color w:val="1F1F1F"/>
        </w:rPr>
        <w:t>, and this allocation was re</w:t>
      </w:r>
      <w:r w:rsidR="00991E06">
        <w:rPr>
          <w:color w:val="1F1F1F"/>
        </w:rPr>
        <w:t>scinded altogether</w:t>
      </w:r>
      <w:r w:rsidRPr="00CA52B7">
        <w:rPr>
          <w:color w:val="1F1F1F"/>
        </w:rPr>
        <w:t xml:space="preserve"> for 2019. In 2022, there was another special allocation within the budget of Q17,403,842</w:t>
      </w:r>
      <w:r w:rsidR="006E3CAE" w:rsidRPr="00CA52B7">
        <w:rPr>
          <w:rStyle w:val="Refdenotaalfinal"/>
          <w:color w:val="1F1F1F"/>
        </w:rPr>
        <w:endnoteReference w:id="31"/>
      </w:r>
      <w:r w:rsidRPr="00CA52B7">
        <w:rPr>
          <w:color w:val="1F1F1F"/>
        </w:rPr>
        <w:t xml:space="preserve"> to support 12 organizations, for</w:t>
      </w:r>
      <w:r w:rsidR="00991E06">
        <w:rPr>
          <w:color w:val="1F1F1F"/>
        </w:rPr>
        <w:t xml:space="preserve"> already existing</w:t>
      </w:r>
      <w:r w:rsidRPr="00CA52B7">
        <w:rPr>
          <w:color w:val="1F1F1F"/>
        </w:rPr>
        <w:t xml:space="preserve"> CAIMUS and others t</w:t>
      </w:r>
      <w:r w:rsidR="00991E06">
        <w:rPr>
          <w:color w:val="1F1F1F"/>
        </w:rPr>
        <w:t>hat had yet to launch</w:t>
      </w:r>
      <w:r w:rsidRPr="00CA52B7">
        <w:rPr>
          <w:color w:val="1F1F1F"/>
        </w:rPr>
        <w:t xml:space="preserve">. Of this budget, none </w:t>
      </w:r>
      <w:r w:rsidR="00991E06">
        <w:rPr>
          <w:color w:val="1F1F1F"/>
        </w:rPr>
        <w:t xml:space="preserve">of the centers </w:t>
      </w:r>
      <w:r w:rsidRPr="00CA52B7">
        <w:rPr>
          <w:color w:val="1F1F1F"/>
        </w:rPr>
        <w:t>received resources, because the names of the organizations listed in the budget did not match the</w:t>
      </w:r>
      <w:r w:rsidR="00991E06">
        <w:rPr>
          <w:color w:val="1F1F1F"/>
        </w:rPr>
        <w:t xml:space="preserve"> official documents</w:t>
      </w:r>
      <w:r w:rsidRPr="00CA52B7">
        <w:rPr>
          <w:color w:val="1F1F1F"/>
        </w:rPr>
        <w:t>; the government did not seek alternative measures to remedy the situation.</w:t>
      </w:r>
    </w:p>
    <w:p w14:paraId="1D98937F" w14:textId="77777777" w:rsidR="008A3E62" w:rsidRPr="00CA52B7" w:rsidRDefault="008A3E62" w:rsidP="00CA52B7">
      <w:pPr>
        <w:pStyle w:val="NormalWeb"/>
        <w:shd w:val="clear" w:color="auto" w:fill="FFFFFF"/>
        <w:spacing w:before="0" w:beforeAutospacing="0" w:after="0" w:afterAutospacing="0"/>
        <w:jc w:val="both"/>
        <w:rPr>
          <w:color w:val="1F1F1F"/>
        </w:rPr>
      </w:pPr>
    </w:p>
    <w:p w14:paraId="3BE5B2AB" w14:textId="02E89DB5" w:rsidR="008A3E62" w:rsidRPr="00CA52B7" w:rsidRDefault="00C77A41" w:rsidP="00CA52B7">
      <w:pPr>
        <w:pStyle w:val="NormalWeb"/>
        <w:numPr>
          <w:ilvl w:val="0"/>
          <w:numId w:val="1"/>
        </w:numPr>
        <w:shd w:val="clear" w:color="auto" w:fill="FFFFFF"/>
        <w:spacing w:before="0" w:beforeAutospacing="0" w:after="0" w:afterAutospacing="0"/>
        <w:jc w:val="both"/>
        <w:rPr>
          <w:color w:val="1F1F1F"/>
        </w:rPr>
      </w:pPr>
      <w:r>
        <w:rPr>
          <w:color w:val="1F1F1F"/>
        </w:rPr>
        <w:t>GGM’s resources were removed altogether for 2023</w:t>
      </w:r>
      <w:r w:rsidR="008A3E62" w:rsidRPr="00CA52B7">
        <w:rPr>
          <w:color w:val="1F1F1F"/>
        </w:rPr>
        <w:t>.</w:t>
      </w:r>
      <w:r>
        <w:rPr>
          <w:color w:val="1F1F1F"/>
        </w:rPr>
        <w:t xml:space="preserve"> </w:t>
      </w:r>
      <w:r w:rsidR="008A3E62" w:rsidRPr="00CA52B7">
        <w:rPr>
          <w:color w:val="1F1F1F"/>
        </w:rPr>
        <w:t xml:space="preserve">Congress approved </w:t>
      </w:r>
      <w:r>
        <w:rPr>
          <w:color w:val="1F1F1F"/>
        </w:rPr>
        <w:t>within</w:t>
      </w:r>
      <w:r w:rsidR="008A3E62" w:rsidRPr="00CA52B7">
        <w:rPr>
          <w:color w:val="1F1F1F"/>
        </w:rPr>
        <w:t xml:space="preserve"> Decree 54-2022</w:t>
      </w:r>
      <w:r>
        <w:rPr>
          <w:color w:val="1F1F1F"/>
        </w:rPr>
        <w:t>,</w:t>
      </w:r>
      <w:r w:rsidR="008A3E62" w:rsidRPr="00CA52B7">
        <w:rPr>
          <w:color w:val="1F1F1F"/>
        </w:rPr>
        <w:t xml:space="preserve"> a special allocation of Q25,980,000 in favor of the operation of CAIMUS,</w:t>
      </w:r>
      <w:r w:rsidR="006E3CAE" w:rsidRPr="00CA52B7">
        <w:rPr>
          <w:rStyle w:val="Refdenotaalfinal"/>
          <w:color w:val="1F1F1F"/>
        </w:rPr>
        <w:endnoteReference w:id="32"/>
      </w:r>
      <w:r w:rsidR="008A3E62" w:rsidRPr="00CA52B7">
        <w:rPr>
          <w:color w:val="1F1F1F"/>
        </w:rPr>
        <w:t xml:space="preserve"> establishing that the associations to whom these resources are assigned must be legally constituted and comply with the current regulations. At the end of 2022, there were 18 women's organizations that requested resources for the CAIMUS; as of July 2023, only four had presented the respective documentation and already had the approval of CONAPREVI for receipt of resources. However, as of early September, no agreements ha</w:t>
      </w:r>
      <w:r>
        <w:rPr>
          <w:color w:val="1F1F1F"/>
        </w:rPr>
        <w:t>ve</w:t>
      </w:r>
      <w:r w:rsidR="008A3E62" w:rsidRPr="00CA52B7">
        <w:rPr>
          <w:color w:val="1F1F1F"/>
        </w:rPr>
        <w:t xml:space="preserve"> been signed or resources delivered.</w:t>
      </w:r>
    </w:p>
    <w:p w14:paraId="31597A63" w14:textId="77777777" w:rsidR="008A3E62" w:rsidRPr="00CA52B7" w:rsidRDefault="008A3E62" w:rsidP="00CA52B7">
      <w:pPr>
        <w:pStyle w:val="NormalWeb"/>
        <w:shd w:val="clear" w:color="auto" w:fill="FFFFFF"/>
        <w:spacing w:before="0" w:beforeAutospacing="0" w:after="0" w:afterAutospacing="0"/>
        <w:jc w:val="both"/>
        <w:rPr>
          <w:color w:val="1F1F1F"/>
        </w:rPr>
      </w:pPr>
    </w:p>
    <w:p w14:paraId="760410C7" w14:textId="6EDB4FDF" w:rsidR="008A3E62" w:rsidRPr="00CA52B7" w:rsidRDefault="008A3E62" w:rsidP="00CA52B7">
      <w:pPr>
        <w:pStyle w:val="NormalWeb"/>
        <w:numPr>
          <w:ilvl w:val="0"/>
          <w:numId w:val="1"/>
        </w:numPr>
        <w:shd w:val="clear" w:color="auto" w:fill="FFFFFF"/>
        <w:spacing w:before="0" w:beforeAutospacing="0" w:after="0" w:afterAutospacing="0"/>
        <w:jc w:val="both"/>
        <w:rPr>
          <w:b/>
          <w:bCs/>
          <w:color w:val="1F1F1F"/>
        </w:rPr>
      </w:pPr>
      <w:r w:rsidRPr="00CA52B7">
        <w:rPr>
          <w:b/>
          <w:bCs/>
          <w:color w:val="1F1F1F"/>
        </w:rPr>
        <w:lastRenderedPageBreak/>
        <w:t xml:space="preserve">It is urgently </w:t>
      </w:r>
      <w:r w:rsidR="00C77A41">
        <w:rPr>
          <w:b/>
          <w:bCs/>
          <w:color w:val="1F1F1F"/>
        </w:rPr>
        <w:t>necessary</w:t>
      </w:r>
      <w:r w:rsidRPr="00CA52B7">
        <w:rPr>
          <w:b/>
          <w:bCs/>
          <w:color w:val="1F1F1F"/>
        </w:rPr>
        <w:t xml:space="preserve"> that the State allocate a budget line of at least Q30 million within the MINGOB budget, for the organizations that are in charge of CAIMUS, and that it be delivered in a timely manner.</w:t>
      </w:r>
    </w:p>
    <w:p w14:paraId="51515F6F" w14:textId="77777777" w:rsidR="008A3E62" w:rsidRPr="00CA52B7" w:rsidRDefault="008A3E62" w:rsidP="00CA52B7">
      <w:pPr>
        <w:spacing w:after="0"/>
        <w:jc w:val="both"/>
        <w:rPr>
          <w:rFonts w:ascii="Times New Roman" w:hAnsi="Times New Roman" w:cs="Times New Roman"/>
          <w:sz w:val="24"/>
          <w:szCs w:val="24"/>
          <w:lang w:val="en-US"/>
        </w:rPr>
      </w:pPr>
    </w:p>
    <w:p w14:paraId="46967288" w14:textId="7A5F14CC" w:rsidR="008A3E62" w:rsidRPr="00CA52B7" w:rsidRDefault="008A3E62" w:rsidP="00CA52B7">
      <w:pPr>
        <w:pStyle w:val="Prrafodelista"/>
        <w:numPr>
          <w:ilvl w:val="0"/>
          <w:numId w:val="2"/>
        </w:numPr>
        <w:spacing w:after="0"/>
        <w:jc w:val="both"/>
        <w:rPr>
          <w:rFonts w:ascii="Times New Roman" w:hAnsi="Times New Roman" w:cs="Times New Roman"/>
          <w:b/>
          <w:bCs/>
          <w:sz w:val="24"/>
          <w:szCs w:val="24"/>
          <w:lang w:val="en-US"/>
        </w:rPr>
      </w:pPr>
      <w:r w:rsidRPr="00CA52B7">
        <w:rPr>
          <w:rFonts w:ascii="Times New Roman" w:hAnsi="Times New Roman" w:cs="Times New Roman"/>
          <w:b/>
          <w:bCs/>
          <w:sz w:val="24"/>
          <w:szCs w:val="24"/>
          <w:lang w:val="en-US"/>
        </w:rPr>
        <w:t>Transitional Justice</w:t>
      </w:r>
    </w:p>
    <w:p w14:paraId="2FDDC232" w14:textId="77777777" w:rsidR="001971DD" w:rsidRPr="00CA52B7" w:rsidRDefault="001971DD" w:rsidP="00CA52B7">
      <w:pPr>
        <w:pStyle w:val="Prrafodelista"/>
        <w:spacing w:after="0"/>
        <w:ind w:left="1080"/>
        <w:jc w:val="both"/>
        <w:rPr>
          <w:rFonts w:ascii="Times New Roman" w:hAnsi="Times New Roman" w:cs="Times New Roman"/>
          <w:b/>
          <w:bCs/>
          <w:sz w:val="24"/>
          <w:szCs w:val="24"/>
          <w:lang w:val="en-US"/>
        </w:rPr>
      </w:pPr>
    </w:p>
    <w:p w14:paraId="7E6009FE" w14:textId="1A51AA4E" w:rsidR="001971DD" w:rsidRPr="00CA52B7" w:rsidRDefault="001971DD"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Despite the fact that the CAI occurred more than four decades ago, the State's impunity mechanisms continue to prevent victims from accessing truth, justice, and reparation</w:t>
      </w:r>
      <w:r w:rsidR="002E3E8A">
        <w:rPr>
          <w:color w:val="1F1F1F"/>
        </w:rPr>
        <w:t>s</w:t>
      </w:r>
      <w:r w:rsidRPr="00CA52B7">
        <w:rPr>
          <w:color w:val="1F1F1F"/>
        </w:rPr>
        <w:t xml:space="preserve">, as in the Diario Militar Case, which has been in national courts since May 2021. The State's policy of forced disappearance, the special and disproportionate use of force against women, pregnant women, and girls implemented by the State, had a serious impact on their physical and mental health, and as a result, they </w:t>
      </w:r>
      <w:r w:rsidR="002E3E8A">
        <w:rPr>
          <w:color w:val="1F1F1F"/>
        </w:rPr>
        <w:t>were forced to</w:t>
      </w:r>
      <w:r w:rsidRPr="00CA52B7">
        <w:rPr>
          <w:color w:val="1F1F1F"/>
        </w:rPr>
        <w:t xml:space="preserve"> abandon their life projects. It was women who began to seek justice, to search for the disappeared persons, and to denounce human rights violations. Today, they are part of the</w:t>
      </w:r>
      <w:r w:rsidR="002E3E8A">
        <w:rPr>
          <w:color w:val="1F1F1F"/>
        </w:rPr>
        <w:t>se</w:t>
      </w:r>
      <w:r w:rsidRPr="00CA52B7">
        <w:rPr>
          <w:color w:val="1F1F1F"/>
        </w:rPr>
        <w:t xml:space="preserve"> processes, but they do not have access to basic services such as housing, education, food, work, and sexual and reproductive health; the women who are at the forefront of th</w:t>
      </w:r>
      <w:r w:rsidR="002E3E8A">
        <w:rPr>
          <w:color w:val="1F1F1F"/>
        </w:rPr>
        <w:t>is</w:t>
      </w:r>
      <w:r w:rsidRPr="00CA52B7">
        <w:rPr>
          <w:color w:val="1F1F1F"/>
        </w:rPr>
        <w:t xml:space="preserve"> process</w:t>
      </w:r>
      <w:r w:rsidR="002E3E8A">
        <w:rPr>
          <w:color w:val="1F1F1F"/>
        </w:rPr>
        <w:t xml:space="preserve"> of transitional justice</w:t>
      </w:r>
      <w:r w:rsidRPr="00CA52B7">
        <w:rPr>
          <w:color w:val="1F1F1F"/>
        </w:rPr>
        <w:t xml:space="preserve"> live </w:t>
      </w:r>
      <w:r w:rsidR="002E3E8A">
        <w:rPr>
          <w:color w:val="1F1F1F"/>
        </w:rPr>
        <w:t>under</w:t>
      </w:r>
      <w:r w:rsidRPr="00CA52B7">
        <w:rPr>
          <w:color w:val="1F1F1F"/>
        </w:rPr>
        <w:t xml:space="preserve"> constant siege, surveillance, harassment, and threats, their security is constantly at risk, and they are displaced in order to protect </w:t>
      </w:r>
      <w:r w:rsidR="002E3E8A">
        <w:rPr>
          <w:color w:val="1F1F1F"/>
        </w:rPr>
        <w:t>themselves</w:t>
      </w:r>
      <w:r w:rsidRPr="00CA52B7">
        <w:rPr>
          <w:color w:val="1F1F1F"/>
        </w:rPr>
        <w:t>, due to the fact that perpetrators of the</w:t>
      </w:r>
      <w:r w:rsidR="002E3E8A">
        <w:rPr>
          <w:color w:val="1F1F1F"/>
        </w:rPr>
        <w:t xml:space="preserve">se serious violations </w:t>
      </w:r>
      <w:r w:rsidRPr="00CA52B7">
        <w:rPr>
          <w:color w:val="1F1F1F"/>
        </w:rPr>
        <w:t xml:space="preserve">continue to be part of the criminal structures that operate within and outside </w:t>
      </w:r>
      <w:r w:rsidR="002E3E8A">
        <w:rPr>
          <w:color w:val="1F1F1F"/>
        </w:rPr>
        <w:t>of</w:t>
      </w:r>
      <w:r w:rsidRPr="00CA52B7">
        <w:rPr>
          <w:color w:val="1F1F1F"/>
        </w:rPr>
        <w:t xml:space="preserve"> State institutions.</w:t>
      </w:r>
    </w:p>
    <w:p w14:paraId="0F8DDC17" w14:textId="77777777" w:rsidR="00E55D0A" w:rsidRPr="00CA52B7" w:rsidRDefault="00E55D0A" w:rsidP="00CA52B7">
      <w:pPr>
        <w:pStyle w:val="NormalWeb"/>
        <w:shd w:val="clear" w:color="auto" w:fill="FFFFFF"/>
        <w:spacing w:before="0" w:beforeAutospacing="0" w:after="0" w:afterAutospacing="0"/>
        <w:ind w:left="360"/>
        <w:jc w:val="both"/>
        <w:rPr>
          <w:color w:val="1F1F1F"/>
        </w:rPr>
      </w:pPr>
    </w:p>
    <w:p w14:paraId="24CB0BE5" w14:textId="76598C46" w:rsidR="001971DD" w:rsidRPr="00CA52B7" w:rsidRDefault="001971DD"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 xml:space="preserve">Justice does not reach the victims and families because the defense </w:t>
      </w:r>
      <w:r w:rsidR="002E3E8A">
        <w:rPr>
          <w:color w:val="1F1F1F"/>
        </w:rPr>
        <w:t>strategy for</w:t>
      </w:r>
      <w:r w:rsidRPr="00CA52B7">
        <w:rPr>
          <w:color w:val="1F1F1F"/>
        </w:rPr>
        <w:t xml:space="preserve"> the State agents </w:t>
      </w:r>
      <w:r w:rsidR="002E3E8A">
        <w:rPr>
          <w:color w:val="1F1F1F"/>
        </w:rPr>
        <w:t>responsible for</w:t>
      </w:r>
      <w:r w:rsidRPr="00CA52B7">
        <w:rPr>
          <w:color w:val="1F1F1F"/>
        </w:rPr>
        <w:t xml:space="preserve"> the</w:t>
      </w:r>
      <w:r w:rsidR="002E3E8A">
        <w:rPr>
          <w:color w:val="1F1F1F"/>
        </w:rPr>
        <w:t xml:space="preserve"> massacres </w:t>
      </w:r>
      <w:r w:rsidRPr="00CA52B7">
        <w:rPr>
          <w:color w:val="1F1F1F"/>
        </w:rPr>
        <w:t>has</w:t>
      </w:r>
      <w:r w:rsidR="002E3E8A">
        <w:rPr>
          <w:color w:val="1F1F1F"/>
        </w:rPr>
        <w:t xml:space="preserve"> been to use </w:t>
      </w:r>
      <w:r w:rsidRPr="00CA52B7">
        <w:rPr>
          <w:color w:val="1F1F1F"/>
        </w:rPr>
        <w:t xml:space="preserve">malicious litigation and the entire </w:t>
      </w:r>
      <w:r w:rsidR="002E3E8A">
        <w:rPr>
          <w:color w:val="1F1F1F"/>
        </w:rPr>
        <w:t>institutional structure</w:t>
      </w:r>
      <w:r w:rsidRPr="00CA52B7">
        <w:rPr>
          <w:color w:val="1F1F1F"/>
        </w:rPr>
        <w:t xml:space="preserve"> to</w:t>
      </w:r>
      <w:r w:rsidR="002E3E8A">
        <w:rPr>
          <w:color w:val="1F1F1F"/>
        </w:rPr>
        <w:t xml:space="preserve"> allow those responsible for crimes against humanity to walk away with impunity, </w:t>
      </w:r>
      <w:r w:rsidRPr="00CA52B7">
        <w:rPr>
          <w:color w:val="1F1F1F"/>
        </w:rPr>
        <w:t xml:space="preserve">through the benefit of alternative measures </w:t>
      </w:r>
      <w:r w:rsidR="002E3E8A">
        <w:rPr>
          <w:color w:val="1F1F1F"/>
        </w:rPr>
        <w:t xml:space="preserve">to punishment </w:t>
      </w:r>
      <w:r w:rsidRPr="00CA52B7">
        <w:rPr>
          <w:color w:val="1F1F1F"/>
        </w:rPr>
        <w:t>and even</w:t>
      </w:r>
      <w:r w:rsidR="002E3E8A">
        <w:rPr>
          <w:color w:val="1F1F1F"/>
        </w:rPr>
        <w:t xml:space="preserve"> by</w:t>
      </w:r>
      <w:r w:rsidRPr="00CA52B7">
        <w:rPr>
          <w:color w:val="1F1F1F"/>
        </w:rPr>
        <w:t xml:space="preserve"> end</w:t>
      </w:r>
      <w:r w:rsidR="002E3E8A">
        <w:rPr>
          <w:color w:val="1F1F1F"/>
        </w:rPr>
        <w:t>ing</w:t>
      </w:r>
      <w:r w:rsidRPr="00CA52B7">
        <w:rPr>
          <w:color w:val="1F1F1F"/>
        </w:rPr>
        <w:t xml:space="preserve"> </w:t>
      </w:r>
      <w:r w:rsidR="002E3E8A">
        <w:rPr>
          <w:color w:val="1F1F1F"/>
        </w:rPr>
        <w:t>war crime</w:t>
      </w:r>
      <w:r w:rsidRPr="00CA52B7">
        <w:rPr>
          <w:color w:val="1F1F1F"/>
        </w:rPr>
        <w:t xml:space="preserve"> proceedings with unconstitutional amnesties, promoted by Congress. This situation puts the victims and families at serious risk, especially the survivors of serious crimes against humanity</w:t>
      </w:r>
      <w:r w:rsidR="002E3E8A">
        <w:rPr>
          <w:color w:val="1F1F1F"/>
        </w:rPr>
        <w:t xml:space="preserve">, including survivors of </w:t>
      </w:r>
      <w:r w:rsidRPr="00CA52B7">
        <w:rPr>
          <w:color w:val="1F1F1F"/>
        </w:rPr>
        <w:t>kidnapping, torture, violence, and individual and collective sexual violence</w:t>
      </w:r>
      <w:r w:rsidR="002E3E8A">
        <w:rPr>
          <w:color w:val="1F1F1F"/>
        </w:rPr>
        <w:t>.</w:t>
      </w:r>
    </w:p>
    <w:p w14:paraId="6B250C3F" w14:textId="77777777" w:rsidR="00E55D0A" w:rsidRPr="00CA52B7" w:rsidRDefault="00E55D0A" w:rsidP="00CA52B7">
      <w:pPr>
        <w:pStyle w:val="NormalWeb"/>
        <w:shd w:val="clear" w:color="auto" w:fill="FFFFFF"/>
        <w:spacing w:before="0" w:beforeAutospacing="0" w:after="0" w:afterAutospacing="0"/>
        <w:jc w:val="both"/>
        <w:rPr>
          <w:color w:val="1F1F1F"/>
        </w:rPr>
      </w:pPr>
    </w:p>
    <w:p w14:paraId="1C94253D" w14:textId="1A1BA129" w:rsidR="001971DD" w:rsidRPr="00CA52B7" w:rsidRDefault="001971DD"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 xml:space="preserve">The State has </w:t>
      </w:r>
      <w:r w:rsidR="002E3E8A">
        <w:rPr>
          <w:color w:val="1F1F1F"/>
        </w:rPr>
        <w:t>obviated</w:t>
      </w:r>
      <w:r w:rsidRPr="00CA52B7">
        <w:rPr>
          <w:color w:val="1F1F1F"/>
        </w:rPr>
        <w:t xml:space="preserve"> </w:t>
      </w:r>
      <w:r w:rsidR="002E3E8A">
        <w:rPr>
          <w:color w:val="1F1F1F"/>
        </w:rPr>
        <w:t>compliance</w:t>
      </w:r>
      <w:r w:rsidRPr="00CA52B7">
        <w:rPr>
          <w:color w:val="1F1F1F"/>
        </w:rPr>
        <w:t xml:space="preserve"> with Resolution 1325 of the Security Council</w:t>
      </w:r>
      <w:r w:rsidR="002E3E8A">
        <w:rPr>
          <w:color w:val="1F1F1F"/>
        </w:rPr>
        <w:t>,</w:t>
      </w:r>
      <w:r w:rsidRPr="00CA52B7">
        <w:rPr>
          <w:color w:val="1F1F1F"/>
        </w:rPr>
        <w:t xml:space="preserve"> </w:t>
      </w:r>
      <w:r w:rsidR="002E3E8A">
        <w:rPr>
          <w:color w:val="1F1F1F"/>
        </w:rPr>
        <w:t>with</w:t>
      </w:r>
      <w:r w:rsidRPr="00CA52B7">
        <w:rPr>
          <w:color w:val="1F1F1F"/>
        </w:rPr>
        <w:t xml:space="preserve"> the Gudiel Álvarez (“Diario Militar”) vs. Guatemala</w:t>
      </w:r>
      <w:r w:rsidR="002E3E8A">
        <w:rPr>
          <w:color w:val="1F1F1F"/>
        </w:rPr>
        <w:t xml:space="preserve"> sentence</w:t>
      </w:r>
      <w:r w:rsidRPr="00CA52B7">
        <w:rPr>
          <w:color w:val="1F1F1F"/>
        </w:rPr>
        <w:t xml:space="preserve"> of the Inter-American Court of Human Rights, and</w:t>
      </w:r>
      <w:r w:rsidR="002E3E8A">
        <w:rPr>
          <w:color w:val="1F1F1F"/>
        </w:rPr>
        <w:t xml:space="preserve"> with its obligations under</w:t>
      </w:r>
      <w:r w:rsidRPr="00CA52B7">
        <w:rPr>
          <w:color w:val="1F1F1F"/>
        </w:rPr>
        <w:t xml:space="preserve"> the Belém do Pará Convention. </w:t>
      </w:r>
      <w:r w:rsidR="00B84A61">
        <w:rPr>
          <w:color w:val="1F1F1F"/>
        </w:rPr>
        <w:t>The current Attorney General has further carried out investigations that have led to the removal</w:t>
      </w:r>
      <w:r w:rsidRPr="00CA52B7">
        <w:rPr>
          <w:color w:val="1F1F1F"/>
        </w:rPr>
        <w:t xml:space="preserve"> and/or dis</w:t>
      </w:r>
      <w:r w:rsidR="00B84A61">
        <w:rPr>
          <w:color w:val="1F1F1F"/>
        </w:rPr>
        <w:t xml:space="preserve">missal of numerous </w:t>
      </w:r>
      <w:r w:rsidRPr="00CA52B7">
        <w:rPr>
          <w:color w:val="1F1F1F"/>
        </w:rPr>
        <w:t>prosecutors</w:t>
      </w:r>
      <w:r w:rsidR="00B84A61">
        <w:rPr>
          <w:color w:val="1F1F1F"/>
        </w:rPr>
        <w:t>,</w:t>
      </w:r>
      <w:r w:rsidRPr="00CA52B7">
        <w:rPr>
          <w:color w:val="1F1F1F"/>
        </w:rPr>
        <w:t xml:space="preserve"> judges</w:t>
      </w:r>
      <w:r w:rsidR="00B84A61">
        <w:rPr>
          <w:color w:val="1F1F1F"/>
        </w:rPr>
        <w:t>,</w:t>
      </w:r>
      <w:r w:rsidRPr="00CA52B7">
        <w:rPr>
          <w:color w:val="1F1F1F"/>
        </w:rPr>
        <w:t xml:space="preserve"> and magistrates</w:t>
      </w:r>
      <w:r w:rsidR="00B84A61">
        <w:rPr>
          <w:color w:val="1F1F1F"/>
        </w:rPr>
        <w:t xml:space="preserve">, who find themselves in exile as a result of this persecution spurred by their decisions and investigations related to human rights and the State’s desire that these cases remain unpunished. </w:t>
      </w:r>
    </w:p>
    <w:p w14:paraId="00124353" w14:textId="77777777" w:rsidR="00E55D0A" w:rsidRPr="00CA52B7" w:rsidRDefault="00E55D0A" w:rsidP="00CA52B7">
      <w:pPr>
        <w:pStyle w:val="NormalWeb"/>
        <w:shd w:val="clear" w:color="auto" w:fill="FFFFFF"/>
        <w:spacing w:before="0" w:beforeAutospacing="0" w:after="0" w:afterAutospacing="0"/>
        <w:jc w:val="both"/>
        <w:rPr>
          <w:color w:val="1F1F1F"/>
        </w:rPr>
      </w:pPr>
    </w:p>
    <w:p w14:paraId="4A20FF25" w14:textId="30C118DB" w:rsidR="00BE790A" w:rsidRPr="00CA52B7" w:rsidRDefault="001971DD" w:rsidP="00CA52B7">
      <w:pPr>
        <w:pStyle w:val="NormalWeb"/>
        <w:numPr>
          <w:ilvl w:val="0"/>
          <w:numId w:val="1"/>
        </w:numPr>
        <w:shd w:val="clear" w:color="auto" w:fill="FFFFFF"/>
        <w:spacing w:before="0" w:beforeAutospacing="0" w:after="0" w:afterAutospacing="0"/>
        <w:jc w:val="both"/>
        <w:rPr>
          <w:color w:val="1F1F1F"/>
        </w:rPr>
      </w:pPr>
      <w:r w:rsidRPr="00CA52B7">
        <w:rPr>
          <w:b/>
          <w:bCs/>
          <w:color w:val="1F1F1F"/>
        </w:rPr>
        <w:t xml:space="preserve">It is </w:t>
      </w:r>
      <w:r w:rsidR="00B84A61">
        <w:rPr>
          <w:b/>
          <w:bCs/>
          <w:color w:val="1F1F1F"/>
        </w:rPr>
        <w:t>imperative</w:t>
      </w:r>
      <w:r w:rsidRPr="00CA52B7">
        <w:rPr>
          <w:b/>
          <w:bCs/>
          <w:color w:val="1F1F1F"/>
        </w:rPr>
        <w:t xml:space="preserve"> that the State be </w:t>
      </w:r>
      <w:r w:rsidR="00B84A61">
        <w:rPr>
          <w:b/>
          <w:bCs/>
          <w:color w:val="1F1F1F"/>
        </w:rPr>
        <w:t xml:space="preserve">urged to </w:t>
      </w:r>
      <w:r w:rsidRPr="00CA52B7">
        <w:rPr>
          <w:b/>
          <w:bCs/>
          <w:color w:val="1F1F1F"/>
        </w:rPr>
        <w:t xml:space="preserve">guarantee access to justice for the women victims and their families of the CAI, to remove all obstacles </w:t>
      </w:r>
      <w:r w:rsidR="00B84A61">
        <w:rPr>
          <w:b/>
          <w:bCs/>
          <w:color w:val="1F1F1F"/>
        </w:rPr>
        <w:t>in pursuit</w:t>
      </w:r>
      <w:r w:rsidRPr="00CA52B7">
        <w:rPr>
          <w:b/>
          <w:bCs/>
          <w:color w:val="1F1F1F"/>
        </w:rPr>
        <w:t xml:space="preserve"> of the truth,</w:t>
      </w:r>
      <w:r w:rsidR="00B84A61">
        <w:rPr>
          <w:b/>
          <w:bCs/>
          <w:color w:val="1F1F1F"/>
        </w:rPr>
        <w:t xml:space="preserve"> </w:t>
      </w:r>
      <w:r w:rsidRPr="00CA52B7">
        <w:rPr>
          <w:b/>
          <w:bCs/>
          <w:color w:val="1F1F1F"/>
        </w:rPr>
        <w:t>that there be judicial independence</w:t>
      </w:r>
      <w:r w:rsidR="00B84A61">
        <w:rPr>
          <w:b/>
          <w:bCs/>
          <w:color w:val="1F1F1F"/>
        </w:rPr>
        <w:t>,</w:t>
      </w:r>
      <w:r w:rsidRPr="00CA52B7">
        <w:rPr>
          <w:b/>
          <w:bCs/>
          <w:color w:val="1F1F1F"/>
        </w:rPr>
        <w:t xml:space="preserve"> and </w:t>
      </w:r>
      <w:r w:rsidR="00B84A61">
        <w:rPr>
          <w:b/>
          <w:bCs/>
          <w:color w:val="1F1F1F"/>
        </w:rPr>
        <w:t xml:space="preserve">that there is also </w:t>
      </w:r>
      <w:r w:rsidRPr="00CA52B7">
        <w:rPr>
          <w:b/>
          <w:bCs/>
          <w:color w:val="1F1F1F"/>
        </w:rPr>
        <w:t>comprehensive protection for women who are part</w:t>
      </w:r>
      <w:r w:rsidR="00B84A61">
        <w:rPr>
          <w:b/>
          <w:bCs/>
          <w:color w:val="1F1F1F"/>
        </w:rPr>
        <w:t>icipants and supporters of the transitional justice process.</w:t>
      </w:r>
    </w:p>
    <w:p w14:paraId="0F3CF0D3" w14:textId="77777777" w:rsidR="00E55D0A" w:rsidRPr="00CA52B7" w:rsidRDefault="00E55D0A" w:rsidP="00CA52B7">
      <w:pPr>
        <w:pStyle w:val="NormalWeb"/>
        <w:shd w:val="clear" w:color="auto" w:fill="FFFFFF"/>
        <w:spacing w:before="0" w:beforeAutospacing="0" w:after="0" w:afterAutospacing="0"/>
        <w:jc w:val="both"/>
        <w:rPr>
          <w:color w:val="1F1F1F"/>
        </w:rPr>
      </w:pPr>
    </w:p>
    <w:p w14:paraId="7F4568ED" w14:textId="3DC9BCC2" w:rsidR="00BE790A" w:rsidRPr="00CA52B7" w:rsidRDefault="00BE790A" w:rsidP="00CA52B7">
      <w:pPr>
        <w:pStyle w:val="Prrafodelista"/>
        <w:numPr>
          <w:ilvl w:val="0"/>
          <w:numId w:val="2"/>
        </w:numPr>
        <w:spacing w:after="0"/>
        <w:jc w:val="both"/>
        <w:rPr>
          <w:rFonts w:ascii="Times New Roman" w:hAnsi="Times New Roman" w:cs="Times New Roman"/>
          <w:b/>
          <w:bCs/>
          <w:sz w:val="24"/>
          <w:szCs w:val="24"/>
          <w:lang w:val="en-US"/>
        </w:rPr>
      </w:pPr>
      <w:r w:rsidRPr="00CA52B7">
        <w:rPr>
          <w:rFonts w:ascii="Times New Roman" w:hAnsi="Times New Roman" w:cs="Times New Roman"/>
          <w:b/>
          <w:bCs/>
          <w:sz w:val="24"/>
          <w:szCs w:val="24"/>
          <w:lang w:val="en-US"/>
        </w:rPr>
        <w:t>Participation in Political and Public Life</w:t>
      </w:r>
    </w:p>
    <w:p w14:paraId="5F9E2BA8" w14:textId="77777777" w:rsidR="00871E6D" w:rsidRPr="00CA52B7" w:rsidRDefault="00871E6D" w:rsidP="00CA52B7">
      <w:pPr>
        <w:pStyle w:val="Prrafodelista"/>
        <w:spacing w:after="0"/>
        <w:ind w:left="1080"/>
        <w:jc w:val="both"/>
        <w:rPr>
          <w:rFonts w:ascii="Times New Roman" w:hAnsi="Times New Roman" w:cs="Times New Roman"/>
          <w:b/>
          <w:bCs/>
          <w:sz w:val="24"/>
          <w:szCs w:val="24"/>
          <w:lang w:val="en-US"/>
        </w:rPr>
      </w:pPr>
    </w:p>
    <w:p w14:paraId="1E86FCE5" w14:textId="2A608D0D" w:rsidR="00871E6D" w:rsidRPr="00CA52B7" w:rsidRDefault="00B167BE"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 xml:space="preserve">The political participation of women at various levels has been achieved thanks to the impetus </w:t>
      </w:r>
      <w:r w:rsidR="00D83739">
        <w:rPr>
          <w:color w:val="1F1F1F"/>
        </w:rPr>
        <w:t>of</w:t>
      </w:r>
      <w:r w:rsidRPr="00CA52B7">
        <w:rPr>
          <w:color w:val="1F1F1F"/>
        </w:rPr>
        <w:t xml:space="preserve"> civil society organizations, which has allowed the in</w:t>
      </w:r>
      <w:r w:rsidR="00D83739">
        <w:rPr>
          <w:color w:val="1F1F1F"/>
        </w:rPr>
        <w:t>tegration</w:t>
      </w:r>
      <w:r w:rsidRPr="00CA52B7">
        <w:rPr>
          <w:color w:val="1F1F1F"/>
        </w:rPr>
        <w:t xml:space="preserve"> of more women in decision-</w:t>
      </w:r>
      <w:r w:rsidRPr="00CA52B7">
        <w:rPr>
          <w:color w:val="1F1F1F"/>
        </w:rPr>
        <w:lastRenderedPageBreak/>
        <w:t>making spaces at all levels, from informal to formal spaces such as the SNCDUR, and to elected positions.</w:t>
      </w:r>
    </w:p>
    <w:p w14:paraId="28A50CAB" w14:textId="77777777" w:rsidR="00871E6D" w:rsidRPr="00CA52B7" w:rsidRDefault="00871E6D" w:rsidP="00CA52B7">
      <w:pPr>
        <w:pStyle w:val="NormalWeb"/>
        <w:shd w:val="clear" w:color="auto" w:fill="FFFFFF"/>
        <w:spacing w:before="0" w:beforeAutospacing="0" w:after="0" w:afterAutospacing="0"/>
        <w:ind w:left="360"/>
        <w:jc w:val="both"/>
        <w:rPr>
          <w:color w:val="1F1F1F"/>
        </w:rPr>
      </w:pPr>
    </w:p>
    <w:p w14:paraId="094BEA61" w14:textId="31BED3C2" w:rsidR="00871E6D" w:rsidRPr="00CA52B7" w:rsidRDefault="00B167BE"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According to information from the TSE</w:t>
      </w:r>
      <w:r w:rsidR="00D83739">
        <w:rPr>
          <w:color w:val="1F1F1F"/>
        </w:rPr>
        <w:t xml:space="preserve">, as of </w:t>
      </w:r>
      <w:r w:rsidRPr="00CA52B7">
        <w:rPr>
          <w:color w:val="1F1F1F"/>
        </w:rPr>
        <w:t xml:space="preserve">March 2023 there were a total of 9,372,164 registered </w:t>
      </w:r>
      <w:r w:rsidR="00D83739">
        <w:rPr>
          <w:color w:val="1F1F1F"/>
        </w:rPr>
        <w:t>voters</w:t>
      </w:r>
      <w:r w:rsidRPr="00CA52B7">
        <w:rPr>
          <w:color w:val="1F1F1F"/>
        </w:rPr>
        <w:t>; of these, 54% are women, and 56% of the total population is young people aged 18 to 30,</w:t>
      </w:r>
      <w:r w:rsidR="002C4159" w:rsidRPr="00CA52B7">
        <w:rPr>
          <w:rStyle w:val="Refdenotaalfinal"/>
          <w:color w:val="1F1F1F"/>
        </w:rPr>
        <w:endnoteReference w:id="33"/>
      </w:r>
      <w:r w:rsidRPr="00CA52B7">
        <w:rPr>
          <w:color w:val="1F1F1F"/>
        </w:rPr>
        <w:t xml:space="preserve"> </w:t>
      </w:r>
      <w:r w:rsidR="00D83739">
        <w:rPr>
          <w:color w:val="1F1F1F"/>
        </w:rPr>
        <w:t>signaling</w:t>
      </w:r>
      <w:r w:rsidRPr="00CA52B7">
        <w:rPr>
          <w:color w:val="1F1F1F"/>
        </w:rPr>
        <w:t xml:space="preserve"> that women and </w:t>
      </w:r>
      <w:r w:rsidR="00D83739">
        <w:rPr>
          <w:color w:val="1F1F1F"/>
        </w:rPr>
        <w:t xml:space="preserve">young voters were responsible for the results of the </w:t>
      </w:r>
      <w:r w:rsidRPr="00CA52B7">
        <w:rPr>
          <w:color w:val="1F1F1F"/>
        </w:rPr>
        <w:t xml:space="preserve">2023 elections. This process was plagued by a series of irregularities, </w:t>
      </w:r>
      <w:r w:rsidR="00D83739" w:rsidRPr="00CA52B7">
        <w:rPr>
          <w:color w:val="1F1F1F"/>
        </w:rPr>
        <w:t>defects</w:t>
      </w:r>
      <w:r w:rsidRPr="00CA52B7">
        <w:rPr>
          <w:color w:val="1F1F1F"/>
        </w:rPr>
        <w:t xml:space="preserve">, and political violence. Three political parties were prevented from participating </w:t>
      </w:r>
      <w:r w:rsidR="00D83739">
        <w:rPr>
          <w:color w:val="1F1F1F"/>
        </w:rPr>
        <w:t>on the</w:t>
      </w:r>
      <w:r w:rsidRPr="00CA52B7">
        <w:rPr>
          <w:color w:val="1F1F1F"/>
        </w:rPr>
        <w:t xml:space="preserve"> presidential </w:t>
      </w:r>
      <w:r w:rsidR="00D83739">
        <w:rPr>
          <w:color w:val="1F1F1F"/>
        </w:rPr>
        <w:t>ballot</w:t>
      </w:r>
      <w:r w:rsidRPr="00CA52B7">
        <w:rPr>
          <w:color w:val="1F1F1F"/>
        </w:rPr>
        <w:t>, and two of them were eliminated from the race.</w:t>
      </w:r>
      <w:r w:rsidR="002C4159" w:rsidRPr="00CA52B7">
        <w:rPr>
          <w:rStyle w:val="Refdenotaalfinal"/>
          <w:color w:val="1F1F1F"/>
        </w:rPr>
        <w:endnoteReference w:id="34"/>
      </w:r>
      <w:r w:rsidRPr="00CA52B7">
        <w:rPr>
          <w:color w:val="1F1F1F"/>
        </w:rPr>
        <w:t xml:space="preserve"> 29 political parties were registered,</w:t>
      </w:r>
      <w:r w:rsidR="002C4159" w:rsidRPr="00CA52B7">
        <w:rPr>
          <w:rStyle w:val="Refdenotaalfinal"/>
          <w:color w:val="1F1F1F"/>
        </w:rPr>
        <w:endnoteReference w:id="35"/>
      </w:r>
      <w:r w:rsidRPr="00CA52B7">
        <w:rPr>
          <w:color w:val="1F1F1F"/>
        </w:rPr>
        <w:t xml:space="preserve"> and in addition, a large number of civic committees were added </w:t>
      </w:r>
      <w:r w:rsidR="00D83739">
        <w:rPr>
          <w:color w:val="1F1F1F"/>
        </w:rPr>
        <w:t>on top of the</w:t>
      </w:r>
      <w:r w:rsidRPr="00CA52B7">
        <w:rPr>
          <w:color w:val="1F1F1F"/>
        </w:rPr>
        <w:t xml:space="preserve"> 340 municipalities, which means that the electoral </w:t>
      </w:r>
      <w:r w:rsidR="00D83739">
        <w:rPr>
          <w:color w:val="1F1F1F"/>
        </w:rPr>
        <w:t xml:space="preserve">options </w:t>
      </w:r>
      <w:r w:rsidRPr="00CA52B7">
        <w:rPr>
          <w:color w:val="1F1F1F"/>
        </w:rPr>
        <w:t>w</w:t>
      </w:r>
      <w:r w:rsidR="00D83739">
        <w:rPr>
          <w:color w:val="1F1F1F"/>
        </w:rPr>
        <w:t>ere</w:t>
      </w:r>
      <w:r w:rsidRPr="00CA52B7">
        <w:rPr>
          <w:color w:val="1F1F1F"/>
        </w:rPr>
        <w:t xml:space="preserve"> </w:t>
      </w:r>
      <w:r w:rsidR="00D83739" w:rsidRPr="00CA52B7">
        <w:rPr>
          <w:color w:val="1F1F1F"/>
        </w:rPr>
        <w:t>expanded,</w:t>
      </w:r>
      <w:r w:rsidRPr="00CA52B7">
        <w:rPr>
          <w:color w:val="1F1F1F"/>
        </w:rPr>
        <w:t xml:space="preserve"> and the vote was dispersed. </w:t>
      </w:r>
      <w:r w:rsidR="00D83739">
        <w:rPr>
          <w:color w:val="1F1F1F"/>
        </w:rPr>
        <w:t>Nevertheless, i</w:t>
      </w:r>
      <w:r w:rsidRPr="00CA52B7">
        <w:rPr>
          <w:color w:val="1F1F1F"/>
        </w:rPr>
        <w:t xml:space="preserve">n the process, people </w:t>
      </w:r>
      <w:r w:rsidR="00D83739">
        <w:rPr>
          <w:color w:val="1F1F1F"/>
        </w:rPr>
        <w:t>who were constitutionally prohibited from participating</w:t>
      </w:r>
      <w:r w:rsidRPr="00CA52B7">
        <w:rPr>
          <w:color w:val="1F1F1F"/>
        </w:rPr>
        <w:t xml:space="preserve"> were registered, and in the end, </w:t>
      </w:r>
      <w:r w:rsidR="00D83739">
        <w:rPr>
          <w:color w:val="1F1F1F"/>
        </w:rPr>
        <w:t xml:space="preserve">individuals </w:t>
      </w:r>
      <w:r w:rsidRPr="00CA52B7">
        <w:rPr>
          <w:color w:val="1F1F1F"/>
        </w:rPr>
        <w:t xml:space="preserve">with proven ties to drug trafficking and organized crime were elected at the </w:t>
      </w:r>
      <w:r w:rsidR="00D83739">
        <w:rPr>
          <w:color w:val="1F1F1F"/>
        </w:rPr>
        <w:t>congressional and municipality levels</w:t>
      </w:r>
      <w:r w:rsidRPr="00CA52B7">
        <w:rPr>
          <w:color w:val="1F1F1F"/>
        </w:rPr>
        <w:t>.</w:t>
      </w:r>
      <w:r w:rsidR="002C4159" w:rsidRPr="00CA52B7">
        <w:rPr>
          <w:rStyle w:val="Refdenotaalfinal"/>
          <w:color w:val="1F1F1F"/>
        </w:rPr>
        <w:endnoteReference w:id="36"/>
      </w:r>
      <w:r w:rsidRPr="00CA52B7">
        <w:rPr>
          <w:color w:val="1F1F1F"/>
        </w:rPr>
        <w:t xml:space="preserve"> The CICIG </w:t>
      </w:r>
      <w:r w:rsidR="00D83739">
        <w:rPr>
          <w:color w:val="1F1F1F"/>
        </w:rPr>
        <w:t xml:space="preserve">had </w:t>
      </w:r>
      <w:r w:rsidRPr="00CA52B7">
        <w:rPr>
          <w:color w:val="1F1F1F"/>
        </w:rPr>
        <w:t xml:space="preserve">reported in 2019 that, for that year, 60 mayors </w:t>
      </w:r>
      <w:r w:rsidR="00D83739">
        <w:rPr>
          <w:color w:val="1F1F1F"/>
        </w:rPr>
        <w:t xml:space="preserve">had been </w:t>
      </w:r>
      <w:r w:rsidRPr="00CA52B7">
        <w:rPr>
          <w:color w:val="1F1F1F"/>
        </w:rPr>
        <w:t>linked to drug trafficking.</w:t>
      </w:r>
      <w:r w:rsidR="002C4159" w:rsidRPr="00CA52B7">
        <w:rPr>
          <w:rStyle w:val="Refdenotaalfinal"/>
          <w:color w:val="1F1F1F"/>
        </w:rPr>
        <w:endnoteReference w:id="37"/>
      </w:r>
    </w:p>
    <w:p w14:paraId="0CEA0845" w14:textId="77777777" w:rsidR="00871E6D" w:rsidRPr="00CA52B7" w:rsidRDefault="00871E6D" w:rsidP="00CA52B7">
      <w:pPr>
        <w:pStyle w:val="NormalWeb"/>
        <w:shd w:val="clear" w:color="auto" w:fill="FFFFFF"/>
        <w:spacing w:before="0" w:beforeAutospacing="0" w:after="0" w:afterAutospacing="0"/>
        <w:ind w:left="360"/>
        <w:jc w:val="both"/>
        <w:rPr>
          <w:color w:val="1F1F1F"/>
        </w:rPr>
      </w:pPr>
    </w:p>
    <w:p w14:paraId="0A4CC342" w14:textId="382AA008" w:rsidR="00871E6D" w:rsidRPr="00CA52B7" w:rsidRDefault="00871E6D"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b w:val="0"/>
          <w:bCs w:val="0"/>
          <w:color w:val="1F1F1F"/>
        </w:rPr>
        <w:t>On June 25, the results of the first round of the elections were announced, with the UNE party and Movimiento Semilla winning. As a result, the MP stepped up its criminal prosecution of Semilla. The MP accused TSE personnel, conducted raids, and publicly revealed threats against magistrates of the TSE. In the midst of anxiety, threats, and a climate of terror, the Guatemalan population went out to vote in the second round. There were TSE personnel, polling stations, prosecutors, and more than 8,000 observers from national and international missions who</w:t>
      </w:r>
      <w:r w:rsidR="00D2682D">
        <w:rPr>
          <w:rStyle w:val="Textoennegrita"/>
          <w:b w:val="0"/>
          <w:bCs w:val="0"/>
          <w:color w:val="1F1F1F"/>
        </w:rPr>
        <w:t xml:space="preserve"> safeguarded </w:t>
      </w:r>
      <w:r w:rsidRPr="00CA52B7">
        <w:rPr>
          <w:rStyle w:val="Textoennegrita"/>
          <w:b w:val="0"/>
          <w:bCs w:val="0"/>
          <w:color w:val="1F1F1F"/>
        </w:rPr>
        <w:t>the election process, in which Movimiento Semilla was the winner. As a result, the MP continued</w:t>
      </w:r>
      <w:r w:rsidR="00D2682D">
        <w:rPr>
          <w:rStyle w:val="Textoennegrita"/>
          <w:b w:val="0"/>
          <w:bCs w:val="0"/>
          <w:color w:val="1F1F1F"/>
        </w:rPr>
        <w:t xml:space="preserve"> its</w:t>
      </w:r>
      <w:r w:rsidRPr="00CA52B7">
        <w:rPr>
          <w:rStyle w:val="Textoennegrita"/>
          <w:b w:val="0"/>
          <w:bCs w:val="0"/>
          <w:color w:val="1F1F1F"/>
        </w:rPr>
        <w:t xml:space="preserve"> persecution. The Inter-American Commission on Human Rights even granted precautionary measures in favor of Bernardo Arévalo and Karin Herrera, the elected presidential candidates, due to serious death threats</w:t>
      </w:r>
      <w:r w:rsidR="00D2682D">
        <w:rPr>
          <w:rStyle w:val="Textoennegrita"/>
          <w:b w:val="0"/>
          <w:bCs w:val="0"/>
          <w:color w:val="1F1F1F"/>
        </w:rPr>
        <w:t xml:space="preserve"> that</w:t>
      </w:r>
      <w:r w:rsidRPr="00CA52B7">
        <w:rPr>
          <w:rStyle w:val="Textoennegrita"/>
          <w:b w:val="0"/>
          <w:bCs w:val="0"/>
          <w:color w:val="1F1F1F"/>
        </w:rPr>
        <w:t xml:space="preserve"> members of Movimiento Semilla</w:t>
      </w:r>
      <w:r w:rsidR="00D2682D">
        <w:rPr>
          <w:rStyle w:val="Textoennegrita"/>
          <w:b w:val="0"/>
          <w:bCs w:val="0"/>
          <w:color w:val="1F1F1F"/>
        </w:rPr>
        <w:t xml:space="preserve"> had received</w:t>
      </w:r>
      <w:r w:rsidRPr="00CA52B7">
        <w:rPr>
          <w:rStyle w:val="Textoennegrita"/>
          <w:b w:val="0"/>
          <w:bCs w:val="0"/>
          <w:color w:val="1F1F1F"/>
        </w:rPr>
        <w:t>.</w:t>
      </w:r>
      <w:r w:rsidR="002C4159" w:rsidRPr="00CA52B7">
        <w:rPr>
          <w:rStyle w:val="Refdenotaalfinal"/>
          <w:color w:val="1F1F1F"/>
        </w:rPr>
        <w:endnoteReference w:id="38"/>
      </w:r>
      <w:r w:rsidRPr="00CA52B7">
        <w:rPr>
          <w:rStyle w:val="Textoennegrita"/>
          <w:b w:val="0"/>
          <w:bCs w:val="0"/>
          <w:color w:val="1F1F1F"/>
        </w:rPr>
        <w:t xml:space="preserve"> In addition, it was revealed that the current Attorney General filed complaints against people who </w:t>
      </w:r>
      <w:r w:rsidR="00D2682D">
        <w:rPr>
          <w:rStyle w:val="Textoennegrita"/>
          <w:b w:val="0"/>
          <w:bCs w:val="0"/>
          <w:color w:val="1F1F1F"/>
        </w:rPr>
        <w:t xml:space="preserve">protested </w:t>
      </w:r>
      <w:r w:rsidRPr="00CA52B7">
        <w:rPr>
          <w:rStyle w:val="Textoennegrita"/>
          <w:b w:val="0"/>
          <w:bCs w:val="0"/>
          <w:color w:val="1F1F1F"/>
        </w:rPr>
        <w:t>on social media.</w:t>
      </w:r>
    </w:p>
    <w:p w14:paraId="1743C92A" w14:textId="77777777" w:rsidR="00871E6D" w:rsidRPr="00CA52B7" w:rsidRDefault="00871E6D" w:rsidP="00CA52B7">
      <w:pPr>
        <w:pStyle w:val="NormalWeb"/>
        <w:shd w:val="clear" w:color="auto" w:fill="FFFFFF"/>
        <w:spacing w:before="0" w:beforeAutospacing="0" w:after="0" w:afterAutospacing="0"/>
        <w:jc w:val="both"/>
        <w:rPr>
          <w:color w:val="1F1F1F"/>
        </w:rPr>
      </w:pPr>
    </w:p>
    <w:p w14:paraId="3DEB793E" w14:textId="409BA72C" w:rsidR="00871E6D" w:rsidRPr="00CA52B7" w:rsidRDefault="00871E6D"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color w:val="1F1F1F"/>
        </w:rPr>
        <w:t xml:space="preserve">The State of Guatemala must protect the physical and emotional integrity of the people who participated in the entire electoral process, especially women who participated as part of the TSE, in electoral boards, </w:t>
      </w:r>
      <w:r w:rsidR="00D2682D">
        <w:rPr>
          <w:rStyle w:val="Textoennegrita"/>
          <w:color w:val="1F1F1F"/>
        </w:rPr>
        <w:t xml:space="preserve">at </w:t>
      </w:r>
      <w:r w:rsidRPr="00CA52B7">
        <w:rPr>
          <w:rStyle w:val="Textoennegrita"/>
          <w:color w:val="1F1F1F"/>
        </w:rPr>
        <w:t xml:space="preserve">polling stations, as prosecutors, or </w:t>
      </w:r>
      <w:r w:rsidR="00D2682D">
        <w:rPr>
          <w:rStyle w:val="Textoennegrita"/>
          <w:color w:val="1F1F1F"/>
        </w:rPr>
        <w:t xml:space="preserve">by </w:t>
      </w:r>
      <w:r w:rsidRPr="00CA52B7">
        <w:rPr>
          <w:rStyle w:val="Textoennegrita"/>
          <w:color w:val="1F1F1F"/>
        </w:rPr>
        <w:t>casting their vote, ensuring that they have protection from any threat that may arise from their participation in the 2023 electoral process</w:t>
      </w:r>
      <w:r w:rsidR="00D2682D">
        <w:rPr>
          <w:rStyle w:val="Textoennegrita"/>
          <w:color w:val="1F1F1F"/>
        </w:rPr>
        <w:t>,</w:t>
      </w:r>
      <w:r w:rsidRPr="00CA52B7">
        <w:rPr>
          <w:rStyle w:val="Textoennegrita"/>
          <w:color w:val="1F1F1F"/>
        </w:rPr>
        <w:t xml:space="preserve"> and that there will be no persecution of any kind so that they can continue to participate in future electoral processes without any obstacle.</w:t>
      </w:r>
    </w:p>
    <w:p w14:paraId="650679E9" w14:textId="77777777" w:rsidR="00871E6D" w:rsidRPr="00CA52B7" w:rsidRDefault="00871E6D" w:rsidP="00CA52B7">
      <w:pPr>
        <w:pStyle w:val="NormalWeb"/>
        <w:shd w:val="clear" w:color="auto" w:fill="FFFFFF"/>
        <w:spacing w:before="0" w:beforeAutospacing="0" w:after="0" w:afterAutospacing="0"/>
        <w:jc w:val="both"/>
        <w:rPr>
          <w:color w:val="1F1F1F"/>
        </w:rPr>
      </w:pPr>
    </w:p>
    <w:p w14:paraId="0D971731" w14:textId="45AF5940" w:rsidR="00871E6D" w:rsidRPr="00CA52B7" w:rsidRDefault="00871E6D"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color w:val="1F1F1F"/>
        </w:rPr>
        <w:t xml:space="preserve">It is </w:t>
      </w:r>
      <w:r w:rsidR="00D2682D">
        <w:rPr>
          <w:rStyle w:val="Textoennegrita"/>
          <w:color w:val="1F1F1F"/>
        </w:rPr>
        <w:t>necessary</w:t>
      </w:r>
      <w:r w:rsidRPr="00CA52B7">
        <w:rPr>
          <w:rStyle w:val="Textoennegrita"/>
          <w:color w:val="1F1F1F"/>
        </w:rPr>
        <w:t xml:space="preserve"> that the State of Guatemala guarantee the inauguration and tran</w:t>
      </w:r>
      <w:r w:rsidR="00D2682D">
        <w:rPr>
          <w:rStyle w:val="Textoennegrita"/>
          <w:color w:val="1F1F1F"/>
        </w:rPr>
        <w:t>sition</w:t>
      </w:r>
      <w:r w:rsidRPr="00CA52B7">
        <w:rPr>
          <w:rStyle w:val="Textoennegrita"/>
          <w:color w:val="1F1F1F"/>
        </w:rPr>
        <w:t xml:space="preserve"> of government </w:t>
      </w:r>
      <w:r w:rsidR="00D2682D">
        <w:rPr>
          <w:rStyle w:val="Textoennegrita"/>
          <w:color w:val="1F1F1F"/>
        </w:rPr>
        <w:t xml:space="preserve">in </w:t>
      </w:r>
      <w:r w:rsidRPr="00CA52B7">
        <w:rPr>
          <w:rStyle w:val="Textoennegrita"/>
          <w:color w:val="1F1F1F"/>
        </w:rPr>
        <w:t>the executive b</w:t>
      </w:r>
      <w:r w:rsidR="00D2682D">
        <w:rPr>
          <w:rStyle w:val="Textoennegrita"/>
          <w:color w:val="1F1F1F"/>
        </w:rPr>
        <w:t>ranch</w:t>
      </w:r>
      <w:r w:rsidRPr="00CA52B7">
        <w:rPr>
          <w:rStyle w:val="Textoennegrita"/>
          <w:color w:val="1F1F1F"/>
        </w:rPr>
        <w:t xml:space="preserve">, for the period 2024-2028, </w:t>
      </w:r>
      <w:r w:rsidR="00D2682D">
        <w:rPr>
          <w:rStyle w:val="Textoennegrita"/>
          <w:color w:val="1F1F1F"/>
        </w:rPr>
        <w:t>as a demonstration of respect for the</w:t>
      </w:r>
      <w:r w:rsidRPr="00CA52B7">
        <w:rPr>
          <w:rStyle w:val="Textoennegrita"/>
          <w:color w:val="1F1F1F"/>
        </w:rPr>
        <w:t xml:space="preserve"> decision </w:t>
      </w:r>
      <w:r w:rsidR="00D2682D">
        <w:rPr>
          <w:rStyle w:val="Textoennegrita"/>
          <w:color w:val="1F1F1F"/>
        </w:rPr>
        <w:t>made by the people</w:t>
      </w:r>
      <w:r w:rsidRPr="00CA52B7">
        <w:rPr>
          <w:rStyle w:val="Textoennegrita"/>
          <w:color w:val="1F1F1F"/>
        </w:rPr>
        <w:t>, especially women and youth, to give th</w:t>
      </w:r>
      <w:r w:rsidR="00D2682D">
        <w:rPr>
          <w:rStyle w:val="Textoennegrita"/>
          <w:color w:val="1F1F1F"/>
        </w:rPr>
        <w:t>is</w:t>
      </w:r>
      <w:r w:rsidRPr="00CA52B7">
        <w:rPr>
          <w:rStyle w:val="Textoennegrita"/>
          <w:color w:val="1F1F1F"/>
        </w:rPr>
        <w:t xml:space="preserve"> victory to Movimiento Semilla.</w:t>
      </w:r>
    </w:p>
    <w:p w14:paraId="0D85EE85" w14:textId="77777777" w:rsidR="00871E6D" w:rsidRPr="00CA52B7" w:rsidRDefault="00871E6D" w:rsidP="00CA52B7">
      <w:pPr>
        <w:pStyle w:val="NormalWeb"/>
        <w:shd w:val="clear" w:color="auto" w:fill="FFFFFF"/>
        <w:spacing w:before="0" w:beforeAutospacing="0" w:after="0" w:afterAutospacing="0"/>
        <w:jc w:val="both"/>
        <w:rPr>
          <w:rStyle w:val="Textoennegrita"/>
          <w:color w:val="1F1F1F"/>
        </w:rPr>
      </w:pPr>
    </w:p>
    <w:p w14:paraId="74439361" w14:textId="2DEEE31E" w:rsidR="00E55D0A" w:rsidRPr="00CA52B7" w:rsidRDefault="00871E6D" w:rsidP="00CA52B7">
      <w:pPr>
        <w:pStyle w:val="NormalWeb"/>
        <w:numPr>
          <w:ilvl w:val="0"/>
          <w:numId w:val="2"/>
        </w:numPr>
        <w:shd w:val="clear" w:color="auto" w:fill="FFFFFF"/>
        <w:spacing w:before="0" w:beforeAutospacing="0" w:after="0" w:afterAutospacing="0"/>
        <w:jc w:val="both"/>
        <w:rPr>
          <w:b/>
          <w:bCs/>
          <w:color w:val="1F1F1F"/>
        </w:rPr>
      </w:pPr>
      <w:r w:rsidRPr="00CA52B7">
        <w:rPr>
          <w:b/>
          <w:bCs/>
          <w:color w:val="1F1F1F"/>
        </w:rPr>
        <w:t>Women Human Rights Defenders</w:t>
      </w:r>
    </w:p>
    <w:p w14:paraId="522F70B7" w14:textId="5CEC1BB0" w:rsidR="00C16B35" w:rsidRPr="00CA52B7" w:rsidRDefault="00C16B35" w:rsidP="002F6867">
      <w:pPr>
        <w:pStyle w:val="NormalWeb"/>
        <w:numPr>
          <w:ilvl w:val="0"/>
          <w:numId w:val="1"/>
        </w:numPr>
        <w:shd w:val="clear" w:color="auto" w:fill="FFFFFF"/>
        <w:spacing w:before="360" w:beforeAutospacing="0" w:after="0" w:afterAutospacing="0"/>
        <w:jc w:val="both"/>
        <w:rPr>
          <w:color w:val="1F1F1F"/>
        </w:rPr>
      </w:pPr>
      <w:r w:rsidRPr="00CA52B7">
        <w:rPr>
          <w:rStyle w:val="Textoennegrita"/>
          <w:b w:val="0"/>
          <w:bCs w:val="0"/>
          <w:color w:val="1F1F1F"/>
        </w:rPr>
        <w:t xml:space="preserve">Defending the right to fight for human rights has represented a serious risk for women defenders, who even in situations of poverty and extreme poverty continue to lead social </w:t>
      </w:r>
      <w:r w:rsidR="00624688">
        <w:rPr>
          <w:rStyle w:val="Textoennegrita"/>
          <w:b w:val="0"/>
          <w:bCs w:val="0"/>
          <w:color w:val="1F1F1F"/>
        </w:rPr>
        <w:lastRenderedPageBreak/>
        <w:t>movements</w:t>
      </w:r>
      <w:r w:rsidRPr="00CA52B7">
        <w:rPr>
          <w:rStyle w:val="Textoennegrita"/>
          <w:b w:val="0"/>
          <w:bCs w:val="0"/>
          <w:color w:val="1F1F1F"/>
        </w:rPr>
        <w:t>, defending their bodies as the first territory and defending what little the patriarchal authoritarian state has left</w:t>
      </w:r>
      <w:r w:rsidR="00624688">
        <w:rPr>
          <w:rStyle w:val="Textoennegrita"/>
          <w:b w:val="0"/>
          <w:bCs w:val="0"/>
          <w:color w:val="1F1F1F"/>
        </w:rPr>
        <w:t xml:space="preserve"> over</w:t>
      </w:r>
      <w:r w:rsidRPr="00CA52B7">
        <w:rPr>
          <w:rStyle w:val="Textoennegrita"/>
          <w:b w:val="0"/>
          <w:bCs w:val="0"/>
          <w:color w:val="1F1F1F"/>
        </w:rPr>
        <w:t xml:space="preserve">. According to data from UDEFEGUA, from 2018 to 2022, a total of 2,105 attacks have been registered against women defenders; from 2018 to 2022, six women defenders have died violently, two of </w:t>
      </w:r>
      <w:r w:rsidR="00565680">
        <w:rPr>
          <w:rStyle w:val="Textoennegrita"/>
          <w:b w:val="0"/>
          <w:bCs w:val="0"/>
          <w:color w:val="1F1F1F"/>
        </w:rPr>
        <w:t>whom</w:t>
      </w:r>
      <w:r w:rsidRPr="00CA52B7">
        <w:rPr>
          <w:rStyle w:val="Textoennegrita"/>
          <w:b w:val="0"/>
          <w:bCs w:val="0"/>
          <w:color w:val="1F1F1F"/>
        </w:rPr>
        <w:t xml:space="preserve"> were legal representatives of their organizations (AG and JR). In the same period, there were four illegal raids on the offices of women's organizations and one more in a mixed organization led by a woman, who also had to leave the country as a result of the criminalization.</w:t>
      </w:r>
      <w:r w:rsidR="002C4159" w:rsidRPr="00CA52B7">
        <w:rPr>
          <w:rStyle w:val="Refdenotaalfinal"/>
          <w:color w:val="1F1F1F"/>
        </w:rPr>
        <w:endnoteReference w:id="39"/>
      </w:r>
    </w:p>
    <w:p w14:paraId="18231A65" w14:textId="26A1F62C" w:rsidR="008B3576" w:rsidRDefault="008B3576" w:rsidP="008B3576">
      <w:pPr>
        <w:pStyle w:val="NormalWeb"/>
        <w:numPr>
          <w:ilvl w:val="0"/>
          <w:numId w:val="1"/>
        </w:numPr>
        <w:shd w:val="clear" w:color="auto" w:fill="FFFFFF"/>
        <w:spacing w:before="360" w:beforeAutospacing="0" w:after="0" w:afterAutospacing="0"/>
        <w:jc w:val="both"/>
        <w:rPr>
          <w:rStyle w:val="Textoennegrita"/>
          <w:b w:val="0"/>
          <w:bCs w:val="0"/>
          <w:color w:val="1F1F1F"/>
        </w:rPr>
      </w:pPr>
      <w:r>
        <w:rPr>
          <w:rStyle w:val="Textoennegrita"/>
          <w:b w:val="0"/>
          <w:bCs w:val="0"/>
          <w:color w:val="1F1F1F"/>
        </w:rPr>
        <w:t>A</w:t>
      </w:r>
      <w:r w:rsidR="00C16B35" w:rsidRPr="00CA52B7">
        <w:rPr>
          <w:rStyle w:val="Textoennegrita"/>
          <w:b w:val="0"/>
          <w:bCs w:val="0"/>
          <w:color w:val="1F1F1F"/>
        </w:rPr>
        <w:t xml:space="preserve"> defender of land and territory in Izabal has had a legal process open since January </w:t>
      </w:r>
      <w:r>
        <w:rPr>
          <w:rStyle w:val="Textoennegrita"/>
          <w:b w:val="0"/>
          <w:bCs w:val="0"/>
          <w:color w:val="1F1F1F"/>
        </w:rPr>
        <w:t>2018</w:t>
      </w:r>
      <w:r w:rsidR="00C16B35" w:rsidRPr="00CA52B7">
        <w:rPr>
          <w:rStyle w:val="Textoennegrita"/>
          <w:b w:val="0"/>
          <w:bCs w:val="0"/>
          <w:color w:val="1F1F1F"/>
        </w:rPr>
        <w:t>, and two defenders of DSyR were denounced by an anti-rights group</w:t>
      </w:r>
      <w:r>
        <w:rPr>
          <w:rStyle w:val="Textoennegrita"/>
          <w:b w:val="0"/>
          <w:bCs w:val="0"/>
          <w:color w:val="1F1F1F"/>
        </w:rPr>
        <w:t xml:space="preserve"> that same year</w:t>
      </w:r>
      <w:r w:rsidR="00C16B35" w:rsidRPr="00CA52B7">
        <w:rPr>
          <w:rStyle w:val="Textoennegrita"/>
          <w:b w:val="0"/>
          <w:bCs w:val="0"/>
          <w:color w:val="1F1F1F"/>
        </w:rPr>
        <w:t>. In 2019, a defender was denounced by the presidency of the CSJ. In 2020, a student ha</w:t>
      </w:r>
      <w:r>
        <w:rPr>
          <w:rStyle w:val="Textoennegrita"/>
          <w:b w:val="0"/>
          <w:bCs w:val="0"/>
          <w:color w:val="1F1F1F"/>
        </w:rPr>
        <w:t>d</w:t>
      </w:r>
      <w:r w:rsidR="00C16B35" w:rsidRPr="00CA52B7">
        <w:rPr>
          <w:rStyle w:val="Textoennegrita"/>
          <w:b w:val="0"/>
          <w:bCs w:val="0"/>
          <w:color w:val="1F1F1F"/>
        </w:rPr>
        <w:t xml:space="preserve"> a criminal </w:t>
      </w:r>
      <w:r>
        <w:rPr>
          <w:rStyle w:val="Textoennegrita"/>
          <w:b w:val="0"/>
          <w:bCs w:val="0"/>
          <w:color w:val="1F1F1F"/>
        </w:rPr>
        <w:t>charge lodged against her</w:t>
      </w:r>
      <w:r w:rsidR="00C16B35" w:rsidRPr="00CA52B7">
        <w:rPr>
          <w:rStyle w:val="Textoennegrita"/>
          <w:b w:val="0"/>
          <w:bCs w:val="0"/>
          <w:color w:val="1F1F1F"/>
        </w:rPr>
        <w:t xml:space="preserve"> </w:t>
      </w:r>
      <w:r>
        <w:rPr>
          <w:rStyle w:val="Textoennegrita"/>
          <w:b w:val="0"/>
          <w:bCs w:val="0"/>
          <w:color w:val="1F1F1F"/>
        </w:rPr>
        <w:t>for activities related to</w:t>
      </w:r>
      <w:r w:rsidR="00C16B35" w:rsidRPr="00CA52B7">
        <w:rPr>
          <w:rStyle w:val="Textoennegrita"/>
          <w:b w:val="0"/>
          <w:bCs w:val="0"/>
          <w:color w:val="1F1F1F"/>
        </w:rPr>
        <w:t xml:space="preserve"> 8M,</w:t>
      </w:r>
      <w:r>
        <w:rPr>
          <w:rStyle w:val="Textoennegrita"/>
          <w:b w:val="0"/>
          <w:bCs w:val="0"/>
          <w:color w:val="1F1F1F"/>
        </w:rPr>
        <w:t xml:space="preserve"> and</w:t>
      </w:r>
      <w:r w:rsidR="00C16B35" w:rsidRPr="00CA52B7">
        <w:rPr>
          <w:rStyle w:val="Textoennegrita"/>
          <w:b w:val="0"/>
          <w:bCs w:val="0"/>
          <w:color w:val="1F1F1F"/>
        </w:rPr>
        <w:t xml:space="preserve"> a large number of women defenders, students, journalists, artists, indigenous leaders, women who have fought against corruption, </w:t>
      </w:r>
      <w:r>
        <w:rPr>
          <w:rStyle w:val="Textoennegrita"/>
          <w:b w:val="0"/>
          <w:bCs w:val="0"/>
          <w:color w:val="1F1F1F"/>
        </w:rPr>
        <w:t>were</w:t>
      </w:r>
      <w:r w:rsidR="00C16B35" w:rsidRPr="00CA52B7">
        <w:rPr>
          <w:rStyle w:val="Textoennegrita"/>
          <w:b w:val="0"/>
          <w:bCs w:val="0"/>
          <w:color w:val="1F1F1F"/>
        </w:rPr>
        <w:t xml:space="preserve"> monitored, harassed, and intimidated by the MP for having exercised their right to protest. Some have had to leave the country, former CICIG, MP, OJ officials who fought against impunity have open criminal cases, and at the moment there are three former prosecutors in custody and a former CICIG </w:t>
      </w:r>
      <w:r>
        <w:rPr>
          <w:rStyle w:val="Textoennegrita"/>
          <w:b w:val="0"/>
          <w:bCs w:val="0"/>
          <w:color w:val="1F1F1F"/>
        </w:rPr>
        <w:t>attorney</w:t>
      </w:r>
      <w:r w:rsidR="00C16B35" w:rsidRPr="00CA52B7">
        <w:rPr>
          <w:rStyle w:val="Textoennegrita"/>
          <w:b w:val="0"/>
          <w:bCs w:val="0"/>
          <w:color w:val="1F1F1F"/>
        </w:rPr>
        <w:t xml:space="preserve"> </w:t>
      </w:r>
      <w:r>
        <w:rPr>
          <w:rStyle w:val="Textoennegrita"/>
          <w:b w:val="0"/>
          <w:bCs w:val="0"/>
          <w:color w:val="1F1F1F"/>
        </w:rPr>
        <w:t>who</w:t>
      </w:r>
      <w:r w:rsidR="00C16B35" w:rsidRPr="00CA52B7">
        <w:rPr>
          <w:rStyle w:val="Textoennegrita"/>
          <w:b w:val="0"/>
          <w:bCs w:val="0"/>
          <w:color w:val="1F1F1F"/>
        </w:rPr>
        <w:t xml:space="preserve"> was arrested on August 29, 2023.</w:t>
      </w:r>
      <w:r w:rsidR="002C4159" w:rsidRPr="00CA52B7">
        <w:rPr>
          <w:rStyle w:val="Refdenotaalfinal"/>
          <w:color w:val="1F1F1F"/>
        </w:rPr>
        <w:endnoteReference w:id="40"/>
      </w:r>
    </w:p>
    <w:p w14:paraId="453DE0AA" w14:textId="77777777" w:rsidR="008B3576" w:rsidRPr="008B3576" w:rsidRDefault="008B3576" w:rsidP="008B3576">
      <w:pPr>
        <w:pStyle w:val="NormalWeb"/>
        <w:shd w:val="clear" w:color="auto" w:fill="FFFFFF"/>
        <w:spacing w:before="0" w:beforeAutospacing="0" w:after="0" w:afterAutospacing="0"/>
        <w:jc w:val="both"/>
        <w:rPr>
          <w:color w:val="1F1F1F"/>
        </w:rPr>
      </w:pPr>
    </w:p>
    <w:p w14:paraId="1EC83562" w14:textId="228738F1" w:rsidR="00546563" w:rsidRPr="00CA52B7" w:rsidRDefault="00C16B35" w:rsidP="008B3576">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b w:val="0"/>
          <w:bCs w:val="0"/>
          <w:color w:val="1F1F1F"/>
        </w:rPr>
        <w:t xml:space="preserve">In the MP, there is a protocol for investigating crimes committed against women and men human rights defenders, which is not applied. In addition, the staff of the human rights prosecutor's office was </w:t>
      </w:r>
      <w:r w:rsidR="00747CB5">
        <w:rPr>
          <w:rStyle w:val="Textoennegrita"/>
          <w:b w:val="0"/>
          <w:bCs w:val="0"/>
          <w:color w:val="1F1F1F"/>
        </w:rPr>
        <w:t>diminished a</w:t>
      </w:r>
      <w:r w:rsidRPr="00CA52B7">
        <w:rPr>
          <w:rStyle w:val="Textoennegrita"/>
          <w:b w:val="0"/>
          <w:bCs w:val="0"/>
          <w:color w:val="1F1F1F"/>
        </w:rPr>
        <w:t>nd dismissed. The special</w:t>
      </w:r>
      <w:r w:rsidR="00747CB5">
        <w:rPr>
          <w:rStyle w:val="Textoennegrita"/>
          <w:b w:val="0"/>
          <w:bCs w:val="0"/>
          <w:color w:val="1F1F1F"/>
        </w:rPr>
        <w:t xml:space="preserve"> </w:t>
      </w:r>
      <w:r w:rsidRPr="00CA52B7">
        <w:rPr>
          <w:rStyle w:val="Textoennegrita"/>
          <w:b w:val="0"/>
          <w:bCs w:val="0"/>
          <w:color w:val="1F1F1F"/>
        </w:rPr>
        <w:t xml:space="preserve">prosecutor's office against crimes of usurpation was created, </w:t>
      </w:r>
      <w:r w:rsidR="00747CB5">
        <w:rPr>
          <w:rStyle w:val="Textoennegrita"/>
          <w:b w:val="0"/>
          <w:bCs w:val="0"/>
          <w:color w:val="1F1F1F"/>
        </w:rPr>
        <w:t>an institution that</w:t>
      </w:r>
      <w:r w:rsidRPr="00CA52B7">
        <w:rPr>
          <w:rStyle w:val="Textoennegrita"/>
          <w:b w:val="0"/>
          <w:bCs w:val="0"/>
          <w:color w:val="1F1F1F"/>
        </w:rPr>
        <w:t xml:space="preserve"> is the </w:t>
      </w:r>
      <w:r w:rsidR="00747CB5">
        <w:rPr>
          <w:rStyle w:val="Textoennegrita"/>
          <w:b w:val="0"/>
          <w:bCs w:val="0"/>
          <w:color w:val="1F1F1F"/>
        </w:rPr>
        <w:t>primarily responsible</w:t>
      </w:r>
      <w:r w:rsidRPr="00CA52B7">
        <w:rPr>
          <w:rStyle w:val="Textoennegrita"/>
          <w:b w:val="0"/>
          <w:bCs w:val="0"/>
          <w:color w:val="1F1F1F"/>
        </w:rPr>
        <w:t xml:space="preserve"> for the criminalization, persecution, and exile of dozens of women and men human rights defenders, students, journalists, and public officials who fought against corruption.</w:t>
      </w:r>
    </w:p>
    <w:p w14:paraId="648EB6CC" w14:textId="77777777" w:rsidR="00546563" w:rsidRPr="00CA52B7" w:rsidRDefault="00546563" w:rsidP="00CA52B7">
      <w:pPr>
        <w:pStyle w:val="NormalWeb"/>
        <w:shd w:val="clear" w:color="auto" w:fill="FFFFFF"/>
        <w:spacing w:before="0" w:beforeAutospacing="0" w:after="0" w:afterAutospacing="0"/>
        <w:ind w:left="360"/>
        <w:jc w:val="both"/>
        <w:rPr>
          <w:color w:val="1F1F1F"/>
        </w:rPr>
      </w:pPr>
    </w:p>
    <w:p w14:paraId="2FC09E2C" w14:textId="7BE749C0" w:rsidR="00C16B35" w:rsidRPr="00CA52B7" w:rsidRDefault="00C16B35" w:rsidP="00CA52B7">
      <w:pPr>
        <w:pStyle w:val="NormalWeb"/>
        <w:numPr>
          <w:ilvl w:val="0"/>
          <w:numId w:val="1"/>
        </w:numPr>
        <w:shd w:val="clear" w:color="auto" w:fill="FFFFFF"/>
        <w:spacing w:before="0" w:beforeAutospacing="0" w:after="0" w:afterAutospacing="0"/>
        <w:jc w:val="both"/>
        <w:rPr>
          <w:color w:val="1F1F1F"/>
        </w:rPr>
      </w:pPr>
      <w:r w:rsidRPr="00CA52B7">
        <w:rPr>
          <w:rStyle w:val="Textoennegrita"/>
          <w:b w:val="0"/>
          <w:bCs w:val="0"/>
          <w:color w:val="1F1F1F"/>
        </w:rPr>
        <w:t xml:space="preserve">In March 2018, an anti-rights association filed a complaint against the former Human Rights Ombudsman and two DSyR defenders, for the alleged crime of disturbing religious services. </w:t>
      </w:r>
      <w:r w:rsidR="00747CB5">
        <w:rPr>
          <w:rStyle w:val="Textoennegrita"/>
          <w:b w:val="0"/>
          <w:bCs w:val="0"/>
          <w:color w:val="1F1F1F"/>
        </w:rPr>
        <w:t>On two different occasions</w:t>
      </w:r>
      <w:r w:rsidRPr="00CA52B7">
        <w:rPr>
          <w:rStyle w:val="Textoennegrita"/>
          <w:b w:val="0"/>
          <w:bCs w:val="0"/>
          <w:color w:val="1F1F1F"/>
        </w:rPr>
        <w:t>, the MP indicated that there was no crime to prosecute, but the collusion of the anti-rights groups and public institutions has made it so that this process is still open five years later.</w:t>
      </w:r>
    </w:p>
    <w:p w14:paraId="2DFC5A3B" w14:textId="77777777" w:rsidR="00546563" w:rsidRPr="00CA52B7" w:rsidRDefault="00546563" w:rsidP="00CA52B7">
      <w:pPr>
        <w:pStyle w:val="NormalWeb"/>
        <w:shd w:val="clear" w:color="auto" w:fill="FFFFFF"/>
        <w:spacing w:before="0" w:beforeAutospacing="0" w:after="0" w:afterAutospacing="0"/>
        <w:ind w:left="360"/>
        <w:jc w:val="both"/>
        <w:rPr>
          <w:rStyle w:val="Textoennegrita"/>
          <w:b w:val="0"/>
          <w:bCs w:val="0"/>
          <w:color w:val="1F1F1F"/>
        </w:rPr>
      </w:pPr>
    </w:p>
    <w:p w14:paraId="0B80C4F2" w14:textId="52ACCF16" w:rsidR="00C16B35" w:rsidRPr="00CA52B7" w:rsidRDefault="00C16B35"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b w:val="0"/>
          <w:bCs w:val="0"/>
          <w:color w:val="1F1F1F"/>
        </w:rPr>
        <w:t xml:space="preserve">On November 21, 2020, a protest was held to repudiate the decisions of the Executive and Legislative branches. </w:t>
      </w:r>
      <w:r w:rsidR="00E403E2">
        <w:rPr>
          <w:rStyle w:val="Textoennegrita"/>
          <w:b w:val="0"/>
          <w:bCs w:val="0"/>
          <w:color w:val="1F1F1F"/>
        </w:rPr>
        <w:t>Excessive</w:t>
      </w:r>
      <w:r w:rsidRPr="00CA52B7">
        <w:rPr>
          <w:rStyle w:val="Textoennegrita"/>
          <w:b w:val="0"/>
          <w:bCs w:val="0"/>
          <w:color w:val="1F1F1F"/>
        </w:rPr>
        <w:t xml:space="preserve"> force was used</w:t>
      </w:r>
      <w:r w:rsidR="00E403E2">
        <w:rPr>
          <w:rStyle w:val="Textoennegrita"/>
          <w:b w:val="0"/>
          <w:bCs w:val="0"/>
          <w:color w:val="1F1F1F"/>
        </w:rPr>
        <w:t xml:space="preserve"> during this protest:</w:t>
      </w:r>
      <w:r w:rsidRPr="00CA52B7">
        <w:rPr>
          <w:rStyle w:val="Textoennegrita"/>
          <w:b w:val="0"/>
          <w:bCs w:val="0"/>
          <w:color w:val="1F1F1F"/>
        </w:rPr>
        <w:t xml:space="preserve"> two people lost an eye, more than 40 were arrested, many others needed </w:t>
      </w:r>
      <w:r w:rsidR="00E403E2">
        <w:rPr>
          <w:rStyle w:val="Textoennegrita"/>
          <w:b w:val="0"/>
          <w:bCs w:val="0"/>
          <w:color w:val="1F1F1F"/>
        </w:rPr>
        <w:t>hospitalization</w:t>
      </w:r>
      <w:r w:rsidRPr="00CA52B7">
        <w:rPr>
          <w:rStyle w:val="Textoennegrita"/>
          <w:b w:val="0"/>
          <w:bCs w:val="0"/>
          <w:color w:val="1F1F1F"/>
        </w:rPr>
        <w:t>, and hundreds of people were affected by the effects of tear gas. The riot police had an arsenal to attack the population. This day was marked by the burning of Congress, and as a result, in November 2020 the MP created a "mega prosecutor's office" (in 2022, it was renamed the prosecutor's office against protests), to investigate the protesting population. At the end of 2020 and the first half of 2021, the MP, violat</w:t>
      </w:r>
      <w:r w:rsidR="00E403E2">
        <w:rPr>
          <w:rStyle w:val="Textoennegrita"/>
          <w:b w:val="0"/>
          <w:bCs w:val="0"/>
          <w:color w:val="1F1F1F"/>
        </w:rPr>
        <w:t xml:space="preserve">ing multiple </w:t>
      </w:r>
      <w:r w:rsidRPr="00CA52B7">
        <w:rPr>
          <w:rStyle w:val="Textoennegrita"/>
          <w:b w:val="0"/>
          <w:bCs w:val="0"/>
          <w:color w:val="1F1F1F"/>
        </w:rPr>
        <w:t>rights, began investigations, harassed, monitored, besieged, and intimidated the population, mainly students. Special investigative methods were used, and a torture-like environment was created to force people to give statements without legal procedures.</w:t>
      </w:r>
    </w:p>
    <w:p w14:paraId="4CFB9F0F" w14:textId="77777777" w:rsidR="00546563" w:rsidRPr="00CA52B7" w:rsidRDefault="00546563" w:rsidP="00CA52B7">
      <w:pPr>
        <w:pStyle w:val="NormalWeb"/>
        <w:shd w:val="clear" w:color="auto" w:fill="FFFFFF"/>
        <w:spacing w:before="0" w:beforeAutospacing="0" w:after="0" w:afterAutospacing="0"/>
        <w:jc w:val="both"/>
        <w:rPr>
          <w:color w:val="1F1F1F"/>
        </w:rPr>
      </w:pPr>
    </w:p>
    <w:p w14:paraId="56F99D1E" w14:textId="456393C7" w:rsidR="00D574D1" w:rsidRPr="00CA52B7" w:rsidRDefault="00C16B35" w:rsidP="00CA52B7">
      <w:pPr>
        <w:pStyle w:val="NormalWeb"/>
        <w:numPr>
          <w:ilvl w:val="0"/>
          <w:numId w:val="1"/>
        </w:numPr>
        <w:shd w:val="clear" w:color="auto" w:fill="FFFFFF"/>
        <w:spacing w:before="0" w:beforeAutospacing="0" w:after="0" w:afterAutospacing="0"/>
        <w:jc w:val="both"/>
        <w:rPr>
          <w:rStyle w:val="Textoennegrita"/>
          <w:b w:val="0"/>
          <w:bCs w:val="0"/>
          <w:color w:val="1F1F1F"/>
        </w:rPr>
      </w:pPr>
      <w:r w:rsidRPr="00CA52B7">
        <w:rPr>
          <w:rStyle w:val="Textoennegrita"/>
          <w:b w:val="0"/>
          <w:bCs w:val="0"/>
          <w:color w:val="1F1F1F"/>
        </w:rPr>
        <w:t xml:space="preserve">On November 24, 2021, there were two raids and three people were charged, one of them a young Mayan Kaqchiquel woman (NC), who was charged with the crime of depredation of cultural property, which has a penalty of 6 to 9 years in prison without the possibility of parole, for allegedly </w:t>
      </w:r>
      <w:r w:rsidR="00A450A3">
        <w:rPr>
          <w:rStyle w:val="Textoennegrita"/>
          <w:b w:val="0"/>
          <w:bCs w:val="0"/>
          <w:color w:val="1F1F1F"/>
        </w:rPr>
        <w:t>painting</w:t>
      </w:r>
      <w:r w:rsidRPr="00CA52B7">
        <w:rPr>
          <w:rStyle w:val="Textoennegrita"/>
          <w:b w:val="0"/>
          <w:bCs w:val="0"/>
          <w:color w:val="1F1F1F"/>
        </w:rPr>
        <w:t xml:space="preserve"> graffiti outside </w:t>
      </w:r>
      <w:r w:rsidR="00A450A3">
        <w:rPr>
          <w:rStyle w:val="Textoennegrita"/>
          <w:b w:val="0"/>
          <w:bCs w:val="0"/>
          <w:color w:val="1F1F1F"/>
        </w:rPr>
        <w:t>of the congressional building</w:t>
      </w:r>
      <w:r w:rsidRPr="00CA52B7">
        <w:rPr>
          <w:rStyle w:val="Textoennegrita"/>
          <w:b w:val="0"/>
          <w:bCs w:val="0"/>
          <w:color w:val="1F1F1F"/>
        </w:rPr>
        <w:t xml:space="preserve">. The </w:t>
      </w:r>
      <w:r w:rsidR="00A450A3">
        <w:rPr>
          <w:rStyle w:val="Textoennegrita"/>
          <w:b w:val="0"/>
          <w:bCs w:val="0"/>
          <w:color w:val="1F1F1F"/>
        </w:rPr>
        <w:t>case remains</w:t>
      </w:r>
      <w:r w:rsidRPr="00CA52B7">
        <w:rPr>
          <w:rStyle w:val="Textoennegrita"/>
          <w:b w:val="0"/>
          <w:bCs w:val="0"/>
          <w:color w:val="1F1F1F"/>
        </w:rPr>
        <w:t xml:space="preserve"> open. In </w:t>
      </w:r>
      <w:r w:rsidRPr="00CA52B7">
        <w:rPr>
          <w:rStyle w:val="Textoennegrita"/>
          <w:b w:val="0"/>
          <w:bCs w:val="0"/>
          <w:color w:val="1F1F1F"/>
        </w:rPr>
        <w:lastRenderedPageBreak/>
        <w:t xml:space="preserve">the intermediate stage, the </w:t>
      </w:r>
      <w:r w:rsidR="00A450A3">
        <w:rPr>
          <w:rStyle w:val="Textoennegrita"/>
          <w:b w:val="0"/>
          <w:bCs w:val="0"/>
          <w:color w:val="1F1F1F"/>
        </w:rPr>
        <w:t xml:space="preserve">presiding judge </w:t>
      </w:r>
      <w:r w:rsidRPr="00CA52B7">
        <w:rPr>
          <w:rStyle w:val="Textoennegrita"/>
          <w:b w:val="0"/>
          <w:bCs w:val="0"/>
          <w:color w:val="1F1F1F"/>
        </w:rPr>
        <w:t xml:space="preserve">determined that there was no crime to prosecute, but the MP, Congress, and </w:t>
      </w:r>
      <w:r w:rsidR="00A450A3">
        <w:rPr>
          <w:rStyle w:val="Textoennegrita"/>
          <w:b w:val="0"/>
          <w:bCs w:val="0"/>
          <w:color w:val="1F1F1F"/>
        </w:rPr>
        <w:t xml:space="preserve">PGN </w:t>
      </w:r>
      <w:r w:rsidRPr="00CA52B7">
        <w:rPr>
          <w:rStyle w:val="Textoennegrita"/>
          <w:b w:val="0"/>
          <w:bCs w:val="0"/>
          <w:color w:val="1F1F1F"/>
        </w:rPr>
        <w:t>are determined to convict her. The serious violations committed against the population in the protest are not being investigated. The MP has indicated that there is a "mega investigation" against the protesting population, and for this purpose, it has made hundreds of requests for information to companies that manage personal data.</w:t>
      </w:r>
    </w:p>
    <w:p w14:paraId="625E2542" w14:textId="77777777" w:rsidR="00D574D1" w:rsidRPr="00CA52B7" w:rsidRDefault="00D574D1" w:rsidP="00CA52B7">
      <w:pPr>
        <w:pStyle w:val="NormalWeb"/>
        <w:shd w:val="clear" w:color="auto" w:fill="FFFFFF"/>
        <w:spacing w:before="0" w:beforeAutospacing="0" w:after="0" w:afterAutospacing="0"/>
        <w:jc w:val="both"/>
        <w:rPr>
          <w:rStyle w:val="Textoennegrita"/>
          <w:b w:val="0"/>
          <w:bCs w:val="0"/>
          <w:color w:val="1F1F1F"/>
        </w:rPr>
      </w:pPr>
    </w:p>
    <w:p w14:paraId="55999242" w14:textId="3DAFCC73" w:rsidR="00BE790A" w:rsidRPr="00F570B8" w:rsidRDefault="00D574D1" w:rsidP="00CA52B7">
      <w:pPr>
        <w:pStyle w:val="NormalWeb"/>
        <w:numPr>
          <w:ilvl w:val="0"/>
          <w:numId w:val="1"/>
        </w:numPr>
        <w:shd w:val="clear" w:color="auto" w:fill="FFFFFF"/>
        <w:spacing w:before="0" w:beforeAutospacing="0" w:after="0" w:afterAutospacing="0"/>
        <w:jc w:val="both"/>
        <w:rPr>
          <w:color w:val="1F1F1F"/>
        </w:rPr>
      </w:pPr>
      <w:bookmarkStart w:id="2" w:name="_Hlk145326120"/>
      <w:r w:rsidRPr="00CA52B7">
        <w:rPr>
          <w:b/>
          <w:bCs/>
          <w:color w:val="1F1F1F"/>
        </w:rPr>
        <w:t>The approval and implementation of the protect</w:t>
      </w:r>
      <w:r w:rsidR="00EF7CE3">
        <w:rPr>
          <w:b/>
          <w:bCs/>
          <w:color w:val="1F1F1F"/>
        </w:rPr>
        <w:t>ive</w:t>
      </w:r>
      <w:r w:rsidRPr="00CA52B7">
        <w:rPr>
          <w:b/>
          <w:bCs/>
          <w:color w:val="1F1F1F"/>
        </w:rPr>
        <w:t xml:space="preserve"> policy for women human rights defenders is </w:t>
      </w:r>
      <w:r w:rsidR="00EF7CE3">
        <w:rPr>
          <w:b/>
          <w:bCs/>
          <w:color w:val="1F1F1F"/>
        </w:rPr>
        <w:t>imperative</w:t>
      </w:r>
      <w:r w:rsidRPr="00CA52B7">
        <w:rPr>
          <w:b/>
          <w:bCs/>
          <w:color w:val="1F1F1F"/>
        </w:rPr>
        <w:t>,</w:t>
      </w:r>
      <w:r w:rsidR="00EF7CE3">
        <w:rPr>
          <w:b/>
          <w:bCs/>
          <w:color w:val="1F1F1F"/>
        </w:rPr>
        <w:t xml:space="preserve"> and </w:t>
      </w:r>
      <w:r w:rsidRPr="00CA52B7">
        <w:rPr>
          <w:b/>
          <w:bCs/>
          <w:color w:val="1F1F1F"/>
        </w:rPr>
        <w:t xml:space="preserve">women human rights defenders </w:t>
      </w:r>
      <w:r w:rsidR="00EF7CE3">
        <w:rPr>
          <w:b/>
          <w:bCs/>
          <w:color w:val="1F1F1F"/>
        </w:rPr>
        <w:t xml:space="preserve">must </w:t>
      </w:r>
      <w:r w:rsidRPr="00CA52B7">
        <w:rPr>
          <w:b/>
          <w:bCs/>
          <w:color w:val="1F1F1F"/>
        </w:rPr>
        <w:t xml:space="preserve">participate in its development. The responsible parties for the acts committed against women human rights defenders must be investigated, pursued, and prosecuted. The State must publicly acknowledge the work carried out by women human rights defenders and protect them. It is </w:t>
      </w:r>
      <w:r w:rsidR="00EF7CE3" w:rsidRPr="00CA52B7">
        <w:rPr>
          <w:b/>
          <w:bCs/>
          <w:color w:val="1F1F1F"/>
        </w:rPr>
        <w:t>vital</w:t>
      </w:r>
      <w:r w:rsidRPr="00CA52B7">
        <w:rPr>
          <w:b/>
          <w:bCs/>
          <w:color w:val="1F1F1F"/>
        </w:rPr>
        <w:t xml:space="preserve"> that the criminal persecution </w:t>
      </w:r>
      <w:r w:rsidR="00EF7CE3">
        <w:rPr>
          <w:b/>
          <w:bCs/>
          <w:color w:val="1F1F1F"/>
        </w:rPr>
        <w:t>of</w:t>
      </w:r>
      <w:r w:rsidRPr="00CA52B7">
        <w:rPr>
          <w:b/>
          <w:bCs/>
          <w:color w:val="1F1F1F"/>
        </w:rPr>
        <w:t xml:space="preserve"> former employees of CICIG, MP, and OJ cease, as they are now being criminalized for having defended the State from the clutches of corruption.</w:t>
      </w:r>
    </w:p>
    <w:bookmarkEnd w:id="2"/>
    <w:p w14:paraId="75078138" w14:textId="77777777" w:rsidR="00D574D1" w:rsidRPr="00CA52B7" w:rsidRDefault="00D574D1" w:rsidP="00CA52B7">
      <w:pPr>
        <w:pStyle w:val="NormalWeb"/>
        <w:shd w:val="clear" w:color="auto" w:fill="FFFFFF"/>
        <w:spacing w:before="0" w:beforeAutospacing="0" w:after="0" w:afterAutospacing="0"/>
        <w:jc w:val="both"/>
        <w:rPr>
          <w:color w:val="1F1F1F"/>
        </w:rPr>
      </w:pPr>
    </w:p>
    <w:p w14:paraId="6687D3A8" w14:textId="6FC17BF4" w:rsidR="00546563" w:rsidRPr="00CA52B7" w:rsidRDefault="00546563" w:rsidP="00CA52B7">
      <w:pPr>
        <w:pStyle w:val="NormalWeb"/>
        <w:numPr>
          <w:ilvl w:val="0"/>
          <w:numId w:val="2"/>
        </w:numPr>
        <w:shd w:val="clear" w:color="auto" w:fill="FFFFFF"/>
        <w:spacing w:before="0" w:beforeAutospacing="0" w:after="0" w:afterAutospacing="0"/>
        <w:jc w:val="both"/>
        <w:rPr>
          <w:color w:val="1F1F1F"/>
        </w:rPr>
      </w:pPr>
      <w:r w:rsidRPr="00CA52B7">
        <w:rPr>
          <w:b/>
          <w:bCs/>
          <w:color w:val="1F1F1F"/>
        </w:rPr>
        <w:t>Nationality</w:t>
      </w:r>
    </w:p>
    <w:p w14:paraId="21E17583" w14:textId="77777777" w:rsidR="00D574D1" w:rsidRPr="00CA52B7" w:rsidRDefault="00D574D1" w:rsidP="00CA52B7">
      <w:pPr>
        <w:pStyle w:val="NormalWeb"/>
        <w:shd w:val="clear" w:color="auto" w:fill="FFFFFF"/>
        <w:spacing w:before="0" w:beforeAutospacing="0" w:after="0" w:afterAutospacing="0"/>
        <w:ind w:left="1080"/>
        <w:jc w:val="both"/>
        <w:rPr>
          <w:color w:val="1F1F1F"/>
        </w:rPr>
      </w:pPr>
    </w:p>
    <w:p w14:paraId="50473878" w14:textId="034D470D" w:rsidR="00D574D1" w:rsidRPr="007B7481" w:rsidRDefault="00D574D1" w:rsidP="00CA52B7">
      <w:pPr>
        <w:pStyle w:val="NormalWeb"/>
        <w:numPr>
          <w:ilvl w:val="0"/>
          <w:numId w:val="1"/>
        </w:numPr>
        <w:shd w:val="clear" w:color="auto" w:fill="FFFFFF"/>
        <w:spacing w:before="0" w:beforeAutospacing="0" w:after="360" w:afterAutospacing="0"/>
        <w:jc w:val="both"/>
        <w:rPr>
          <w:b/>
          <w:bCs/>
          <w:color w:val="1F1F1F"/>
        </w:rPr>
      </w:pPr>
      <w:r w:rsidRPr="00CA52B7">
        <w:rPr>
          <w:color w:val="1F1F1F"/>
        </w:rPr>
        <w:t xml:space="preserve">There is evidence that there are children in the communities </w:t>
      </w:r>
      <w:r w:rsidR="00B37EF5">
        <w:rPr>
          <w:color w:val="1F1F1F"/>
        </w:rPr>
        <w:t>whose births have never been registered</w:t>
      </w:r>
      <w:r w:rsidRPr="00CA52B7">
        <w:rPr>
          <w:color w:val="1F1F1F"/>
        </w:rPr>
        <w:t>.</w:t>
      </w:r>
      <w:r w:rsidR="00F570B8">
        <w:rPr>
          <w:rStyle w:val="Refdenotaalfinal"/>
          <w:color w:val="1F1F1F"/>
        </w:rPr>
        <w:endnoteReference w:id="41"/>
      </w:r>
      <w:r w:rsidRPr="00CA52B7">
        <w:rPr>
          <w:color w:val="1F1F1F"/>
        </w:rPr>
        <w:t xml:space="preserve"> Most of them are the result of incestuous sexual violations perpetrated within the family against girls and adolescents, who never reported the sexual violence or approached the registration office to register the children</w:t>
      </w:r>
      <w:r w:rsidR="00B37EF5">
        <w:rPr>
          <w:color w:val="1F1F1F"/>
        </w:rPr>
        <w:t>’s births</w:t>
      </w:r>
      <w:r w:rsidRPr="00CA52B7">
        <w:rPr>
          <w:color w:val="1F1F1F"/>
        </w:rPr>
        <w:t>. As a result, families avoided a criminal investigation. The absence of</w:t>
      </w:r>
      <w:r w:rsidR="00B37EF5">
        <w:rPr>
          <w:color w:val="1F1F1F"/>
        </w:rPr>
        <w:t xml:space="preserve"> these </w:t>
      </w:r>
      <w:r w:rsidRPr="00CA52B7">
        <w:rPr>
          <w:color w:val="1F1F1F"/>
        </w:rPr>
        <w:t>registration</w:t>
      </w:r>
      <w:r w:rsidR="00B37EF5">
        <w:rPr>
          <w:color w:val="1F1F1F"/>
        </w:rPr>
        <w:t>s</w:t>
      </w:r>
      <w:r w:rsidRPr="00CA52B7">
        <w:rPr>
          <w:color w:val="1F1F1F"/>
        </w:rPr>
        <w:t xml:space="preserve"> </w:t>
      </w:r>
      <w:r w:rsidR="00B37EF5">
        <w:rPr>
          <w:color w:val="1F1F1F"/>
        </w:rPr>
        <w:t>becomes clear</w:t>
      </w:r>
      <w:r w:rsidRPr="00CA52B7">
        <w:rPr>
          <w:color w:val="1F1F1F"/>
        </w:rPr>
        <w:t xml:space="preserve"> when these children attempt to enroll in the education system, where the registration process, after many years, tends to be </w:t>
      </w:r>
      <w:r w:rsidR="00B37EF5">
        <w:rPr>
          <w:color w:val="1F1F1F"/>
        </w:rPr>
        <w:t xml:space="preserve">more </w:t>
      </w:r>
      <w:r w:rsidRPr="00CA52B7">
        <w:rPr>
          <w:color w:val="1F1F1F"/>
        </w:rPr>
        <w:t xml:space="preserve">expensive and cumbersome. Therefore, </w:t>
      </w:r>
      <w:r w:rsidRPr="007B7481">
        <w:rPr>
          <w:b/>
          <w:bCs/>
          <w:color w:val="1F1F1F"/>
        </w:rPr>
        <w:t>it is necessary for the State to provide mechanisms and streamlined procedures, free of charge, for the registration of children who do not have</w:t>
      </w:r>
      <w:r w:rsidR="00B37EF5">
        <w:rPr>
          <w:b/>
          <w:bCs/>
          <w:color w:val="1F1F1F"/>
        </w:rPr>
        <w:t xml:space="preserve"> birth certificates</w:t>
      </w:r>
      <w:r w:rsidRPr="007B7481">
        <w:rPr>
          <w:b/>
          <w:bCs/>
          <w:color w:val="1F1F1F"/>
        </w:rPr>
        <w:t xml:space="preserve">. Additionally, comprehensive support should be provided to the mothers of these children in order to repair the damage </w:t>
      </w:r>
      <w:r w:rsidR="00B37EF5">
        <w:rPr>
          <w:b/>
          <w:bCs/>
          <w:color w:val="1F1F1F"/>
        </w:rPr>
        <w:t>suffered</w:t>
      </w:r>
      <w:r w:rsidRPr="007B7481">
        <w:rPr>
          <w:b/>
          <w:bCs/>
          <w:color w:val="1F1F1F"/>
        </w:rPr>
        <w:t>.</w:t>
      </w:r>
    </w:p>
    <w:p w14:paraId="02BE9891" w14:textId="55B154D6" w:rsidR="00D574D1" w:rsidRPr="00CA52B7" w:rsidRDefault="00D574D1" w:rsidP="00CA52B7">
      <w:pPr>
        <w:pStyle w:val="NormalWeb"/>
        <w:numPr>
          <w:ilvl w:val="0"/>
          <w:numId w:val="2"/>
        </w:numPr>
        <w:shd w:val="clear" w:color="auto" w:fill="FFFFFF"/>
        <w:spacing w:before="0" w:beforeAutospacing="0" w:after="0" w:afterAutospacing="0"/>
        <w:jc w:val="both"/>
        <w:rPr>
          <w:b/>
          <w:bCs/>
          <w:color w:val="1F1F1F"/>
        </w:rPr>
      </w:pPr>
      <w:r w:rsidRPr="00CA52B7">
        <w:rPr>
          <w:b/>
          <w:bCs/>
          <w:color w:val="1F1F1F"/>
        </w:rPr>
        <w:t>Women’s Health</w:t>
      </w:r>
    </w:p>
    <w:p w14:paraId="4EC01529" w14:textId="481E06FF" w:rsidR="00D574D1" w:rsidRPr="00CA52B7" w:rsidRDefault="00D574D1" w:rsidP="00CA52B7">
      <w:pPr>
        <w:pStyle w:val="NormalWeb"/>
        <w:numPr>
          <w:ilvl w:val="0"/>
          <w:numId w:val="1"/>
        </w:numPr>
        <w:spacing w:after="0" w:afterAutospacing="0"/>
        <w:jc w:val="both"/>
        <w:rPr>
          <w:color w:val="1F1F1F"/>
        </w:rPr>
      </w:pPr>
      <w:r w:rsidRPr="00D574D1">
        <w:rPr>
          <w:color w:val="1F1F1F"/>
        </w:rPr>
        <w:t>In the midst of the COVID-19 pandemic, the government looted the state by changing procurement and contracting procedures. In 2022, the government presented Initiative 6120, the "COVID Response and Financial Oversight Law,"</w:t>
      </w:r>
      <w:r w:rsidR="007B7481">
        <w:rPr>
          <w:rStyle w:val="Refdenotaalfinal"/>
          <w:color w:val="1F1F1F"/>
        </w:rPr>
        <w:endnoteReference w:id="42"/>
      </w:r>
      <w:r w:rsidRPr="00D574D1">
        <w:rPr>
          <w:color w:val="1F1F1F"/>
        </w:rPr>
        <w:t xml:space="preserve"> which would allow pandemic response programs to go unaudited. According to government data, as of August 25, 2023, there have been 1,275,298 cumulative cases with a mortality rate of 120.1 and a lethality rate of 1.6%.</w:t>
      </w:r>
      <w:r w:rsidR="007B7481">
        <w:rPr>
          <w:rStyle w:val="Refdenotaalfinal"/>
          <w:color w:val="1F1F1F"/>
        </w:rPr>
        <w:endnoteReference w:id="43"/>
      </w:r>
      <w:r w:rsidRPr="00D574D1">
        <w:rPr>
          <w:color w:val="1F1F1F"/>
        </w:rPr>
        <w:t xml:space="preserve"> In 2020, the government purchased expired and overpriced COVID-19 tests. The hospital network collapsed, lacking the necessary staff, equipment, or medications. Medical and nursing staff reported that their salaries were not being paid.</w:t>
      </w:r>
    </w:p>
    <w:p w14:paraId="67BBB219" w14:textId="77777777" w:rsidR="00D574D1" w:rsidRPr="00D574D1" w:rsidRDefault="00D574D1" w:rsidP="00CA52B7">
      <w:pPr>
        <w:pStyle w:val="NormalWeb"/>
        <w:spacing w:before="0" w:beforeAutospacing="0" w:after="0" w:afterAutospacing="0"/>
        <w:ind w:left="360"/>
        <w:jc w:val="both"/>
        <w:rPr>
          <w:color w:val="1F1F1F"/>
        </w:rPr>
      </w:pPr>
    </w:p>
    <w:p w14:paraId="068D3584" w14:textId="72D1A45D" w:rsidR="00D574D1" w:rsidRPr="00CA52B7" w:rsidRDefault="00D574D1" w:rsidP="00CA52B7">
      <w:pPr>
        <w:pStyle w:val="NormalWeb"/>
        <w:numPr>
          <w:ilvl w:val="0"/>
          <w:numId w:val="1"/>
        </w:numPr>
        <w:spacing w:before="0" w:beforeAutospacing="0" w:after="0" w:afterAutospacing="0"/>
        <w:jc w:val="both"/>
        <w:rPr>
          <w:b/>
          <w:bCs/>
          <w:color w:val="1F1F1F"/>
        </w:rPr>
      </w:pPr>
      <w:r w:rsidRPr="00D574D1">
        <w:rPr>
          <w:color w:val="1F1F1F"/>
        </w:rPr>
        <w:t>The government purchased Sputnik V vaccines that did not arrive in full. In addition, in June 2022, it was revealed that Guatemala had lost Q471.4 million in 7,783,144 expired vaccine doses.</w:t>
      </w:r>
      <w:r w:rsidR="007B7481">
        <w:rPr>
          <w:rStyle w:val="Refdenotaalfinal"/>
          <w:color w:val="1F1F1F"/>
        </w:rPr>
        <w:endnoteReference w:id="44"/>
      </w:r>
      <w:r w:rsidRPr="00D574D1">
        <w:rPr>
          <w:color w:val="1F1F1F"/>
        </w:rPr>
        <w:t xml:space="preserve"> </w:t>
      </w:r>
      <w:r w:rsidR="00D82D91">
        <w:rPr>
          <w:color w:val="1F1F1F"/>
        </w:rPr>
        <w:t>Until now</w:t>
      </w:r>
      <w:r w:rsidRPr="00D574D1">
        <w:rPr>
          <w:color w:val="1F1F1F"/>
        </w:rPr>
        <w:t xml:space="preserve">, only 7,130,340 people in Guatemala have completed their vaccination </w:t>
      </w:r>
      <w:r w:rsidR="00D82D91">
        <w:rPr>
          <w:color w:val="1F1F1F"/>
        </w:rPr>
        <w:t>schedule</w:t>
      </w:r>
      <w:r w:rsidRPr="00D574D1">
        <w:rPr>
          <w:color w:val="1F1F1F"/>
        </w:rPr>
        <w:t>.</w:t>
      </w:r>
      <w:r w:rsidR="007B7481">
        <w:rPr>
          <w:rStyle w:val="Refdenotaalfinal"/>
          <w:color w:val="1F1F1F"/>
        </w:rPr>
        <w:endnoteReference w:id="45"/>
      </w:r>
      <w:r w:rsidRPr="00D574D1">
        <w:rPr>
          <w:color w:val="1F1F1F"/>
        </w:rPr>
        <w:t xml:space="preserve"> After the crisis, </w:t>
      </w:r>
      <w:r w:rsidR="00D82D91">
        <w:rPr>
          <w:color w:val="1F1F1F"/>
        </w:rPr>
        <w:t>there have been many who continue to be affected by lasting symptoms or long COVID</w:t>
      </w:r>
      <w:r w:rsidRPr="00D574D1">
        <w:rPr>
          <w:color w:val="1F1F1F"/>
        </w:rPr>
        <w:t>, which are not being addressed. The government is leaving t</w:t>
      </w:r>
      <w:r w:rsidR="00D82D91">
        <w:rPr>
          <w:color w:val="1F1F1F"/>
        </w:rPr>
        <w:t xml:space="preserve">reatment </w:t>
      </w:r>
      <w:r w:rsidRPr="00D574D1">
        <w:rPr>
          <w:color w:val="1F1F1F"/>
        </w:rPr>
        <w:t xml:space="preserve">in the hands of the population. Those who do not have the resources to pay are </w:t>
      </w:r>
      <w:r w:rsidRPr="00D574D1">
        <w:rPr>
          <w:color w:val="1F1F1F"/>
        </w:rPr>
        <w:lastRenderedPageBreak/>
        <w:t>destined to suffer or die.</w:t>
      </w:r>
      <w:r w:rsidRPr="00D574D1">
        <w:rPr>
          <w:b/>
          <w:bCs/>
          <w:color w:val="1F1F1F"/>
        </w:rPr>
        <w:t xml:space="preserve"> </w:t>
      </w:r>
      <w:bookmarkStart w:id="3" w:name="_Hlk145326339"/>
      <w:r w:rsidRPr="00D574D1">
        <w:rPr>
          <w:b/>
          <w:bCs/>
          <w:color w:val="1F1F1F"/>
        </w:rPr>
        <w:t xml:space="preserve">It is </w:t>
      </w:r>
      <w:r w:rsidR="00D82D91">
        <w:rPr>
          <w:b/>
          <w:bCs/>
          <w:color w:val="1F1F1F"/>
        </w:rPr>
        <w:t>critical</w:t>
      </w:r>
      <w:r w:rsidRPr="00D574D1">
        <w:rPr>
          <w:b/>
          <w:bCs/>
          <w:color w:val="1F1F1F"/>
        </w:rPr>
        <w:t xml:space="preserve"> that the state urgently address the effects that COVID-19 has had on women's health and implement specialized programs for their care.</w:t>
      </w:r>
    </w:p>
    <w:bookmarkEnd w:id="3"/>
    <w:p w14:paraId="7D023068" w14:textId="77777777" w:rsidR="00D574D1" w:rsidRPr="00D574D1" w:rsidRDefault="00D574D1" w:rsidP="00CA52B7">
      <w:pPr>
        <w:pStyle w:val="NormalWeb"/>
        <w:spacing w:before="0" w:beforeAutospacing="0" w:after="0" w:afterAutospacing="0"/>
        <w:jc w:val="both"/>
        <w:rPr>
          <w:color w:val="1F1F1F"/>
        </w:rPr>
      </w:pPr>
    </w:p>
    <w:p w14:paraId="6D809191" w14:textId="35738D3E" w:rsidR="005F542C" w:rsidRDefault="007B7481" w:rsidP="002F6867">
      <w:pPr>
        <w:pStyle w:val="NormalWeb"/>
        <w:numPr>
          <w:ilvl w:val="0"/>
          <w:numId w:val="1"/>
        </w:numPr>
        <w:shd w:val="clear" w:color="auto" w:fill="FFFFFF"/>
        <w:spacing w:before="0" w:beforeAutospacing="0" w:after="0" w:afterAutospacing="0"/>
        <w:jc w:val="both"/>
        <w:rPr>
          <w:color w:val="1F1F1F"/>
        </w:rPr>
      </w:pPr>
      <w:r>
        <w:rPr>
          <w:color w:val="1F1F1F"/>
        </w:rPr>
        <w:t>Women’s health</w:t>
      </w:r>
      <w:r w:rsidR="00D574D1" w:rsidRPr="00CA52B7">
        <w:rPr>
          <w:color w:val="1F1F1F"/>
        </w:rPr>
        <w:t xml:space="preserve"> is </w:t>
      </w:r>
      <w:r w:rsidR="00D82D91">
        <w:rPr>
          <w:color w:val="1F1F1F"/>
        </w:rPr>
        <w:t>rendered invisible</w:t>
      </w:r>
      <w:r w:rsidR="00D574D1" w:rsidRPr="00CA52B7">
        <w:rPr>
          <w:color w:val="1F1F1F"/>
        </w:rPr>
        <w:t xml:space="preserve"> because there are no comprehensive programs that cover the entire cycle of their lives. They are only important to the health system when they are pregnant or breastfeeding. The refusal to provide comprehensive sex education</w:t>
      </w:r>
      <w:r w:rsidR="00D82D91">
        <w:rPr>
          <w:color w:val="1F1F1F"/>
        </w:rPr>
        <w:t xml:space="preserve"> and to distribute</w:t>
      </w:r>
      <w:r w:rsidR="00D574D1" w:rsidRPr="00CA52B7">
        <w:rPr>
          <w:color w:val="1F1F1F"/>
        </w:rPr>
        <w:t xml:space="preserve"> family planning methods</w:t>
      </w:r>
      <w:r w:rsidR="00D82D91">
        <w:rPr>
          <w:color w:val="1F1F1F"/>
        </w:rPr>
        <w:t xml:space="preserve"> </w:t>
      </w:r>
      <w:r w:rsidR="00D574D1" w:rsidRPr="00CA52B7">
        <w:rPr>
          <w:color w:val="1F1F1F"/>
        </w:rPr>
        <w:t xml:space="preserve">persists. It is </w:t>
      </w:r>
      <w:r w:rsidR="00D82D91">
        <w:rPr>
          <w:color w:val="1F1F1F"/>
        </w:rPr>
        <w:t xml:space="preserve">necessary </w:t>
      </w:r>
      <w:r w:rsidR="00D574D1" w:rsidRPr="00CA52B7">
        <w:rPr>
          <w:color w:val="1F1F1F"/>
        </w:rPr>
        <w:t xml:space="preserve">to expand sexual and reproductive health programs and cervical cancer prevention programs. According to information from the OSAR (2023), a total of 399,039 births were registered </w:t>
      </w:r>
      <w:r w:rsidR="00D82D91">
        <w:rPr>
          <w:color w:val="1F1F1F"/>
        </w:rPr>
        <w:t>to</w:t>
      </w:r>
      <w:r w:rsidR="00D574D1" w:rsidRPr="00CA52B7">
        <w:rPr>
          <w:color w:val="1F1F1F"/>
        </w:rPr>
        <w:t xml:space="preserve"> mothers aged 10 to 19 years from 2018 to July 2023, and</w:t>
      </w:r>
      <w:r w:rsidR="00D82D91">
        <w:rPr>
          <w:color w:val="1F1F1F"/>
        </w:rPr>
        <w:t xml:space="preserve"> there was</w:t>
      </w:r>
      <w:r w:rsidR="00D574D1" w:rsidRPr="00CA52B7">
        <w:rPr>
          <w:color w:val="1F1F1F"/>
        </w:rPr>
        <w:t xml:space="preserve"> a total of 539,544 </w:t>
      </w:r>
      <w:r w:rsidR="00D82D91">
        <w:rPr>
          <w:color w:val="1F1F1F"/>
        </w:rPr>
        <w:t>recorded pregnancies</w:t>
      </w:r>
      <w:r w:rsidR="00D574D1" w:rsidRPr="00CA52B7">
        <w:rPr>
          <w:color w:val="1F1F1F"/>
        </w:rPr>
        <w:t xml:space="preserve"> in women between 10 and 19 years of age.</w:t>
      </w:r>
      <w:r>
        <w:rPr>
          <w:rStyle w:val="Refdenotaalfinal"/>
          <w:color w:val="1F1F1F"/>
        </w:rPr>
        <w:endnoteReference w:id="46"/>
      </w:r>
      <w:r w:rsidR="00D574D1" w:rsidRPr="00CA52B7">
        <w:rPr>
          <w:color w:val="1F1F1F"/>
        </w:rPr>
        <w:t xml:space="preserve"> In terms of maternal deaths, from 2018 to May 2023, the MSPAS registered a total of 12 maternal deaths of girls aged 10 to 14 and 241 in adolescents and young women aged 15 to 19.</w:t>
      </w:r>
      <w:r>
        <w:rPr>
          <w:rStyle w:val="Refdenotaalfinal"/>
          <w:color w:val="1F1F1F"/>
        </w:rPr>
        <w:endnoteReference w:id="47"/>
      </w:r>
    </w:p>
    <w:p w14:paraId="00E12B81" w14:textId="77777777" w:rsidR="002F6867" w:rsidRPr="005F542C" w:rsidRDefault="002F6867" w:rsidP="002F6867">
      <w:pPr>
        <w:pStyle w:val="NormalWeb"/>
        <w:shd w:val="clear" w:color="auto" w:fill="FFFFFF"/>
        <w:spacing w:before="0" w:beforeAutospacing="0" w:after="0" w:afterAutospacing="0"/>
        <w:jc w:val="both"/>
        <w:rPr>
          <w:color w:val="1F1F1F"/>
        </w:rPr>
      </w:pPr>
    </w:p>
    <w:p w14:paraId="2EB87C33" w14:textId="7EE703F1" w:rsidR="00D574D1" w:rsidRPr="00CA52B7" w:rsidRDefault="00D574D1" w:rsidP="00CA52B7">
      <w:pPr>
        <w:pStyle w:val="NormalWeb"/>
        <w:numPr>
          <w:ilvl w:val="0"/>
          <w:numId w:val="2"/>
        </w:numPr>
        <w:shd w:val="clear" w:color="auto" w:fill="FFFFFF"/>
        <w:spacing w:before="0" w:beforeAutospacing="0" w:after="0" w:afterAutospacing="0"/>
        <w:jc w:val="both"/>
        <w:rPr>
          <w:b/>
          <w:bCs/>
          <w:color w:val="1F1F1F"/>
        </w:rPr>
      </w:pPr>
      <w:r w:rsidRPr="00CA52B7">
        <w:rPr>
          <w:b/>
          <w:bCs/>
          <w:color w:val="1F1F1F"/>
        </w:rPr>
        <w:t>Migrant Women</w:t>
      </w:r>
    </w:p>
    <w:p w14:paraId="338E85CC" w14:textId="77777777" w:rsidR="00E27D27" w:rsidRPr="00CA52B7" w:rsidRDefault="00E27D27" w:rsidP="00CA52B7">
      <w:pPr>
        <w:pStyle w:val="NormalWeb"/>
        <w:shd w:val="clear" w:color="auto" w:fill="FFFFFF"/>
        <w:spacing w:before="0" w:beforeAutospacing="0" w:after="0" w:afterAutospacing="0"/>
        <w:ind w:left="1080"/>
        <w:jc w:val="both"/>
        <w:rPr>
          <w:b/>
          <w:bCs/>
          <w:color w:val="1F1F1F"/>
        </w:rPr>
      </w:pPr>
    </w:p>
    <w:p w14:paraId="0FAFB426" w14:textId="2B52DADF" w:rsidR="00E27D27" w:rsidRPr="00CA52B7" w:rsidRDefault="00E27D27"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Since 2018, there has been an increase in the migration of women and complete families, as well as the formation of migrant caravans. From 2021 to August 2023, according to information from the IGM (2023), there were a total of 37,906 adult women, accompanied and unaccompanied minors who were returned to the IGM's land border centers in Tecún Umán and El Carmen, as well as via air from Mexico and the United States. From January to August 16, 2023, 277 flights arrived from these two countries.</w:t>
      </w:r>
      <w:r w:rsidR="000A1B11">
        <w:rPr>
          <w:color w:val="1F1F1F"/>
        </w:rPr>
        <w:t xml:space="preserve"> 2,052 family units were returned in flights</w:t>
      </w:r>
      <w:r w:rsidR="005F542C">
        <w:rPr>
          <w:color w:val="1F1F1F"/>
        </w:rPr>
        <w:t xml:space="preserve"> from</w:t>
      </w:r>
      <w:r w:rsidRPr="00CA52B7">
        <w:rPr>
          <w:color w:val="1F1F1F"/>
        </w:rPr>
        <w:t xml:space="preserve"> the United States</w:t>
      </w:r>
      <w:r w:rsidR="005F542C">
        <w:rPr>
          <w:color w:val="1F1F1F"/>
        </w:rPr>
        <w:t xml:space="preserve"> alone</w:t>
      </w:r>
      <w:r w:rsidRPr="00CA52B7">
        <w:rPr>
          <w:color w:val="1F1F1F"/>
        </w:rPr>
        <w:t xml:space="preserve">. In 2021, the violent return of 25,088 people, mainly from Honduras and El Salvador, </w:t>
      </w:r>
      <w:r w:rsidR="000A1B11">
        <w:rPr>
          <w:color w:val="1F1F1F"/>
        </w:rPr>
        <w:t>was also widely publicized</w:t>
      </w:r>
      <w:r w:rsidRPr="00CA52B7">
        <w:rPr>
          <w:color w:val="1F1F1F"/>
        </w:rPr>
        <w:t>. They entered through the El Ceibo</w:t>
      </w:r>
      <w:r w:rsidR="000A1B11">
        <w:rPr>
          <w:color w:val="1F1F1F"/>
        </w:rPr>
        <w:t xml:space="preserve"> border</w:t>
      </w:r>
      <w:r w:rsidRPr="00CA52B7">
        <w:rPr>
          <w:color w:val="1F1F1F"/>
        </w:rPr>
        <w:t xml:space="preserve"> on 694 buses. Of these, 42% were adult women and minors.</w:t>
      </w:r>
      <w:r w:rsidR="007B7481">
        <w:rPr>
          <w:rStyle w:val="Refdenotaalfinal"/>
          <w:color w:val="1F1F1F"/>
        </w:rPr>
        <w:endnoteReference w:id="48"/>
      </w:r>
    </w:p>
    <w:p w14:paraId="08CA9E43" w14:textId="77777777" w:rsidR="00E27D27" w:rsidRPr="00CA52B7" w:rsidRDefault="00E27D27" w:rsidP="00CA52B7">
      <w:pPr>
        <w:pStyle w:val="NormalWeb"/>
        <w:shd w:val="clear" w:color="auto" w:fill="FFFFFF"/>
        <w:spacing w:before="0" w:beforeAutospacing="0" w:after="0" w:afterAutospacing="0"/>
        <w:ind w:left="360"/>
        <w:jc w:val="both"/>
        <w:rPr>
          <w:color w:val="1F1F1F"/>
        </w:rPr>
      </w:pPr>
    </w:p>
    <w:p w14:paraId="629ED305" w14:textId="06701697" w:rsidR="00E27D27" w:rsidRPr="00CA52B7" w:rsidRDefault="00E27D27" w:rsidP="00CA52B7">
      <w:pPr>
        <w:pStyle w:val="NormalWeb"/>
        <w:numPr>
          <w:ilvl w:val="0"/>
          <w:numId w:val="1"/>
        </w:numPr>
        <w:shd w:val="clear" w:color="auto" w:fill="FFFFFF"/>
        <w:spacing w:before="0" w:beforeAutospacing="0" w:after="0" w:afterAutospacing="0"/>
        <w:jc w:val="both"/>
        <w:rPr>
          <w:color w:val="1F1F1F"/>
        </w:rPr>
      </w:pPr>
      <w:r w:rsidRPr="00CA52B7">
        <w:rPr>
          <w:color w:val="1F1F1F"/>
        </w:rPr>
        <w:t xml:space="preserve">The systematic violence against women </w:t>
      </w:r>
      <w:r w:rsidR="00743E7F">
        <w:rPr>
          <w:color w:val="1F1F1F"/>
        </w:rPr>
        <w:t xml:space="preserve">has been widely documented along </w:t>
      </w:r>
      <w:r w:rsidRPr="00CA52B7">
        <w:rPr>
          <w:color w:val="1F1F1F"/>
        </w:rPr>
        <w:t xml:space="preserve">the migratory route. Even when they decide to leave, they must use a three-month family planning method </w:t>
      </w:r>
      <w:r w:rsidR="00743E7F">
        <w:rPr>
          <w:color w:val="1F1F1F"/>
        </w:rPr>
        <w:t xml:space="preserve">so as to </w:t>
      </w:r>
      <w:r w:rsidRPr="00CA52B7">
        <w:rPr>
          <w:color w:val="1F1F1F"/>
        </w:rPr>
        <w:t xml:space="preserve">"not get pregnant." </w:t>
      </w:r>
      <w:r w:rsidR="00743E7F">
        <w:rPr>
          <w:color w:val="1F1F1F"/>
        </w:rPr>
        <w:t>Considering</w:t>
      </w:r>
      <w:r w:rsidRPr="00CA52B7">
        <w:rPr>
          <w:color w:val="1F1F1F"/>
        </w:rPr>
        <w:t xml:space="preserve"> that sexual violence is commonplace during migratory transit, women who have decided to migrate face serious risks. However, it is an alternative to the chaotic situation that they already </w:t>
      </w:r>
      <w:r w:rsidR="00743E7F">
        <w:rPr>
          <w:color w:val="1F1F1F"/>
        </w:rPr>
        <w:t>experience</w:t>
      </w:r>
      <w:r w:rsidRPr="00CA52B7">
        <w:rPr>
          <w:color w:val="1F1F1F"/>
        </w:rPr>
        <w:t xml:space="preserve"> in their countries of origin. Many are household providers without income, while others are survivors of violence </w:t>
      </w:r>
      <w:r w:rsidR="00743E7F">
        <w:rPr>
          <w:color w:val="1F1F1F"/>
        </w:rPr>
        <w:t>at the hands of their</w:t>
      </w:r>
      <w:r w:rsidRPr="00CA52B7">
        <w:rPr>
          <w:color w:val="1F1F1F"/>
        </w:rPr>
        <w:t xml:space="preserve"> partners or gangs. For them, saving their lives by migrating is the only solution, in the face of institutional inoperability that does not respond in any way. Organized crime even facilitates "loans" to women through a network of lenders who lend any amount of money without any requirements. However, the interest rates are exorbitant and unregulated. In some cases, those who do not pay can lose their property or even their lives.</w:t>
      </w:r>
    </w:p>
    <w:p w14:paraId="694322F4" w14:textId="77777777" w:rsidR="00E27D27" w:rsidRPr="00CA52B7" w:rsidRDefault="00E27D27" w:rsidP="00CA52B7">
      <w:pPr>
        <w:pStyle w:val="NormalWeb"/>
        <w:shd w:val="clear" w:color="auto" w:fill="FFFFFF"/>
        <w:spacing w:before="0" w:beforeAutospacing="0" w:after="0" w:afterAutospacing="0"/>
        <w:jc w:val="both"/>
        <w:rPr>
          <w:color w:val="1F1F1F"/>
        </w:rPr>
      </w:pPr>
    </w:p>
    <w:p w14:paraId="309654E1" w14:textId="35A6011D" w:rsidR="00CA52B7" w:rsidRPr="00F570B8" w:rsidRDefault="00E27D27" w:rsidP="00F570B8">
      <w:pPr>
        <w:pStyle w:val="NormalWeb"/>
        <w:numPr>
          <w:ilvl w:val="0"/>
          <w:numId w:val="1"/>
        </w:numPr>
        <w:shd w:val="clear" w:color="auto" w:fill="FFFFFF"/>
        <w:spacing w:before="0" w:beforeAutospacing="0" w:after="360" w:afterAutospacing="0"/>
        <w:jc w:val="both"/>
        <w:rPr>
          <w:b/>
          <w:bCs/>
          <w:color w:val="1F1F1F"/>
        </w:rPr>
      </w:pPr>
      <w:r w:rsidRPr="00CA52B7">
        <w:rPr>
          <w:color w:val="1F1F1F"/>
        </w:rPr>
        <w:t xml:space="preserve">In 2022, </w:t>
      </w:r>
      <w:r w:rsidR="00743E7F">
        <w:rPr>
          <w:color w:val="1F1F1F"/>
        </w:rPr>
        <w:t>the</w:t>
      </w:r>
      <w:r w:rsidRPr="00CA52B7">
        <w:rPr>
          <w:color w:val="1F1F1F"/>
        </w:rPr>
        <w:t xml:space="preserve"> government began </w:t>
      </w:r>
      <w:r w:rsidR="00743E7F">
        <w:rPr>
          <w:color w:val="1F1F1F"/>
        </w:rPr>
        <w:t>developing a</w:t>
      </w:r>
      <w:r w:rsidRPr="00CA52B7">
        <w:rPr>
          <w:color w:val="1F1F1F"/>
        </w:rPr>
        <w:t xml:space="preserve"> migration policy. Some women's organizations were invited to participate in the later stages of the process, but their participation was conditioned on a process that was already underway. To date, the final document, the action plan, and specific measures to address the causes of women's migration are unknown. </w:t>
      </w:r>
      <w:bookmarkStart w:id="4" w:name="_Hlk145326491"/>
      <w:r w:rsidRPr="00CA52B7">
        <w:rPr>
          <w:b/>
          <w:bCs/>
          <w:color w:val="1F1F1F"/>
        </w:rPr>
        <w:t xml:space="preserve">It is </w:t>
      </w:r>
      <w:r w:rsidR="00743E7F">
        <w:rPr>
          <w:b/>
          <w:bCs/>
          <w:color w:val="1F1F1F"/>
        </w:rPr>
        <w:t>crucial</w:t>
      </w:r>
      <w:r w:rsidRPr="00CA52B7">
        <w:rPr>
          <w:b/>
          <w:bCs/>
          <w:color w:val="1F1F1F"/>
        </w:rPr>
        <w:t xml:space="preserve"> to address the causes that provoke women's migration, implement a migration policy with a focus on women's rights, and dismantle the criminal structure within the state that benefits from irregular migration.</w:t>
      </w:r>
    </w:p>
    <w:bookmarkEnd w:id="4"/>
    <w:p w14:paraId="2A1C8355" w14:textId="44229569" w:rsidR="00CA52B7" w:rsidRDefault="00CA52B7" w:rsidP="002F6867">
      <w:pPr>
        <w:pStyle w:val="NormalWeb"/>
        <w:numPr>
          <w:ilvl w:val="0"/>
          <w:numId w:val="2"/>
        </w:numPr>
        <w:shd w:val="clear" w:color="auto" w:fill="FFFFFF"/>
        <w:spacing w:before="0" w:beforeAutospacing="0" w:after="0" w:afterAutospacing="0"/>
        <w:jc w:val="both"/>
        <w:rPr>
          <w:b/>
          <w:bCs/>
          <w:color w:val="1F1F1F"/>
        </w:rPr>
      </w:pPr>
      <w:r w:rsidRPr="00F570B8">
        <w:rPr>
          <w:b/>
          <w:bCs/>
          <w:color w:val="1F1F1F"/>
        </w:rPr>
        <w:lastRenderedPageBreak/>
        <w:t>Women Affected by Natural Disasters</w:t>
      </w:r>
    </w:p>
    <w:p w14:paraId="79D4097F" w14:textId="77777777" w:rsidR="002F6867" w:rsidRPr="00F570B8" w:rsidRDefault="002F6867" w:rsidP="002F6867">
      <w:pPr>
        <w:pStyle w:val="NormalWeb"/>
        <w:shd w:val="clear" w:color="auto" w:fill="FFFFFF"/>
        <w:spacing w:before="0" w:beforeAutospacing="0" w:after="0" w:afterAutospacing="0"/>
        <w:ind w:left="1080"/>
        <w:jc w:val="both"/>
        <w:rPr>
          <w:b/>
          <w:bCs/>
          <w:color w:val="1F1F1F"/>
        </w:rPr>
      </w:pPr>
    </w:p>
    <w:p w14:paraId="368A87A6" w14:textId="5553B5AE" w:rsidR="00CA52B7" w:rsidRDefault="00CA52B7" w:rsidP="002F6867">
      <w:pPr>
        <w:pStyle w:val="NormalWeb"/>
        <w:numPr>
          <w:ilvl w:val="0"/>
          <w:numId w:val="1"/>
        </w:numPr>
        <w:shd w:val="clear" w:color="auto" w:fill="FFFFFF"/>
        <w:spacing w:before="0" w:beforeAutospacing="0" w:after="0" w:afterAutospacing="0"/>
        <w:jc w:val="both"/>
        <w:rPr>
          <w:color w:val="1F1F1F"/>
        </w:rPr>
      </w:pPr>
      <w:r w:rsidRPr="00CA52B7">
        <w:rPr>
          <w:color w:val="1F1F1F"/>
        </w:rPr>
        <w:t>The serious effects of climate change are causing se</w:t>
      </w:r>
      <w:r w:rsidR="00C81388">
        <w:rPr>
          <w:color w:val="1F1F1F"/>
        </w:rPr>
        <w:t>vere</w:t>
      </w:r>
      <w:r w:rsidRPr="00CA52B7">
        <w:rPr>
          <w:color w:val="1F1F1F"/>
        </w:rPr>
        <w:t xml:space="preserve"> problems. </w:t>
      </w:r>
      <w:r w:rsidR="00C81388">
        <w:rPr>
          <w:color w:val="1F1F1F"/>
        </w:rPr>
        <w:t>Private</w:t>
      </w:r>
      <w:r w:rsidRPr="00CA52B7">
        <w:rPr>
          <w:color w:val="1F1F1F"/>
        </w:rPr>
        <w:t xml:space="preserve"> and transnational companies are evading responsibility for the damage caused, and in addition to violating labor rights, </w:t>
      </w:r>
      <w:r w:rsidR="00C81388">
        <w:rPr>
          <w:color w:val="1F1F1F"/>
        </w:rPr>
        <w:t>such</w:t>
      </w:r>
      <w:r w:rsidRPr="00CA52B7">
        <w:rPr>
          <w:color w:val="1F1F1F"/>
        </w:rPr>
        <w:t xml:space="preserve"> companies continue to expropriate the territory of the population and leave </w:t>
      </w:r>
      <w:r w:rsidR="00C81388">
        <w:rPr>
          <w:color w:val="1F1F1F"/>
        </w:rPr>
        <w:t>the communities</w:t>
      </w:r>
      <w:r w:rsidR="00E82DEC">
        <w:rPr>
          <w:color w:val="1F1F1F"/>
        </w:rPr>
        <w:t xml:space="preserve"> downtrodden</w:t>
      </w:r>
      <w:r w:rsidRPr="00CA52B7">
        <w:rPr>
          <w:color w:val="1F1F1F"/>
        </w:rPr>
        <w:t xml:space="preserve">. The diversion of rivers, deforestation, and pollution continue. In 2018, the eruption of the Volcano of Fuego swept away everything in its path. CONRED (2018) estimated 165 people killed and more than 260 missing; according to estimates by CEPAL and SEGEPLAN (2018), the economic losses </w:t>
      </w:r>
      <w:r w:rsidR="00E82DEC">
        <w:rPr>
          <w:color w:val="1F1F1F"/>
        </w:rPr>
        <w:t>were</w:t>
      </w:r>
      <w:r w:rsidRPr="00CA52B7">
        <w:rPr>
          <w:color w:val="1F1F1F"/>
        </w:rPr>
        <w:t xml:space="preserve"> Q1,636 million.</w:t>
      </w:r>
      <w:r w:rsidR="007B7481">
        <w:rPr>
          <w:rStyle w:val="Refdenotaalfinal"/>
          <w:color w:val="1F1F1F"/>
        </w:rPr>
        <w:endnoteReference w:id="49"/>
      </w:r>
      <w:r w:rsidRPr="00CA52B7">
        <w:rPr>
          <w:color w:val="1F1F1F"/>
        </w:rPr>
        <w:t xml:space="preserve"> In 2020, Guatemala was hit by the storms ETA and IOTA; according to CONRED (2020), they left 60 people dead, 30 injured, and 100 missing, a</w:t>
      </w:r>
      <w:r w:rsidR="00E82DEC">
        <w:rPr>
          <w:color w:val="1F1F1F"/>
        </w:rPr>
        <w:t>nd a</w:t>
      </w:r>
      <w:r w:rsidRPr="00CA52B7">
        <w:rPr>
          <w:color w:val="1F1F1F"/>
        </w:rPr>
        <w:t>lmost 2,423,000 people affected.</w:t>
      </w:r>
      <w:r w:rsidR="007B7481">
        <w:rPr>
          <w:rStyle w:val="Refdenotaalfinal"/>
          <w:color w:val="1F1F1F"/>
        </w:rPr>
        <w:endnoteReference w:id="50"/>
      </w:r>
      <w:r w:rsidRPr="00CA52B7">
        <w:rPr>
          <w:color w:val="1F1F1F"/>
        </w:rPr>
        <w:t xml:space="preserve"> In 2022, the storm Julia, added to the problems that already existed,</w:t>
      </w:r>
      <w:r w:rsidR="00E82DEC">
        <w:rPr>
          <w:color w:val="1F1F1F"/>
        </w:rPr>
        <w:t xml:space="preserve"> and</w:t>
      </w:r>
      <w:r w:rsidRPr="00CA52B7">
        <w:rPr>
          <w:color w:val="1F1F1F"/>
        </w:rPr>
        <w:t xml:space="preserve"> according to SEGEPLAN (2022) left an estimated Q1,679.7 million in losses.</w:t>
      </w:r>
      <w:r w:rsidR="007B7481">
        <w:rPr>
          <w:rStyle w:val="Refdenotaalfinal"/>
          <w:color w:val="1F1F1F"/>
        </w:rPr>
        <w:endnoteReference w:id="51"/>
      </w:r>
    </w:p>
    <w:p w14:paraId="5D40664C" w14:textId="77777777" w:rsidR="00AA5B0B" w:rsidRPr="00CA52B7" w:rsidRDefault="00AA5B0B" w:rsidP="00AA5B0B">
      <w:pPr>
        <w:pStyle w:val="NormalWeb"/>
        <w:shd w:val="clear" w:color="auto" w:fill="FFFFFF"/>
        <w:spacing w:before="0" w:beforeAutospacing="0" w:after="0" w:afterAutospacing="0"/>
        <w:ind w:left="360"/>
        <w:jc w:val="both"/>
        <w:rPr>
          <w:color w:val="1F1F1F"/>
        </w:rPr>
      </w:pPr>
    </w:p>
    <w:p w14:paraId="605F4A4E" w14:textId="5652AAB9" w:rsidR="00CA52B7" w:rsidRDefault="00CA52B7" w:rsidP="00AA5B0B">
      <w:pPr>
        <w:pStyle w:val="NormalWeb"/>
        <w:numPr>
          <w:ilvl w:val="0"/>
          <w:numId w:val="1"/>
        </w:numPr>
        <w:shd w:val="clear" w:color="auto" w:fill="FFFFFF"/>
        <w:spacing w:before="0" w:beforeAutospacing="0" w:after="0" w:afterAutospacing="0"/>
        <w:jc w:val="both"/>
        <w:rPr>
          <w:color w:val="1F1F1F"/>
        </w:rPr>
      </w:pPr>
      <w:r w:rsidRPr="00CA52B7">
        <w:rPr>
          <w:color w:val="1F1F1F"/>
        </w:rPr>
        <w:t xml:space="preserve">Entire communities have been </w:t>
      </w:r>
      <w:r w:rsidR="00E82DEC" w:rsidRPr="00CA52B7">
        <w:rPr>
          <w:color w:val="1F1F1F"/>
        </w:rPr>
        <w:t>devastated;</w:t>
      </w:r>
      <w:r w:rsidRPr="00CA52B7">
        <w:rPr>
          <w:color w:val="1F1F1F"/>
        </w:rPr>
        <w:t xml:space="preserve"> the population has lost all means of livelihood. In the rainy seasons, there is loss of human life, landslides, floods, </w:t>
      </w:r>
      <w:r w:rsidR="00190858">
        <w:rPr>
          <w:color w:val="1F1F1F"/>
        </w:rPr>
        <w:t>and l</w:t>
      </w:r>
      <w:r w:rsidRPr="00CA52B7">
        <w:rPr>
          <w:color w:val="1F1F1F"/>
        </w:rPr>
        <w:t>oss of the road network. The population</w:t>
      </w:r>
      <w:r w:rsidR="00190858">
        <w:rPr>
          <w:color w:val="1F1F1F"/>
        </w:rPr>
        <w:t xml:space="preserve"> that most </w:t>
      </w:r>
      <w:r w:rsidRPr="00CA52B7">
        <w:rPr>
          <w:color w:val="1F1F1F"/>
        </w:rPr>
        <w:t>live</w:t>
      </w:r>
      <w:r w:rsidR="00190858">
        <w:rPr>
          <w:color w:val="1F1F1F"/>
        </w:rPr>
        <w:t>s</w:t>
      </w:r>
      <w:r w:rsidRPr="00CA52B7">
        <w:rPr>
          <w:color w:val="1F1F1F"/>
        </w:rPr>
        <w:t xml:space="preserve"> in poverty and extreme poverty, women and children</w:t>
      </w:r>
      <w:r w:rsidR="00190858">
        <w:rPr>
          <w:color w:val="1F1F1F"/>
        </w:rPr>
        <w:t>,</w:t>
      </w:r>
      <w:r w:rsidRPr="00CA52B7">
        <w:rPr>
          <w:color w:val="1F1F1F"/>
        </w:rPr>
        <w:t xml:space="preserve"> continue to be the most affected. Currently, there is still no support from the State. </w:t>
      </w:r>
      <w:r w:rsidR="00190858">
        <w:rPr>
          <w:color w:val="1F1F1F"/>
        </w:rPr>
        <w:t>In July 2023, a community in</w:t>
      </w:r>
      <w:r w:rsidRPr="00CA52B7">
        <w:rPr>
          <w:color w:val="1F1F1F"/>
        </w:rPr>
        <w:t xml:space="preserve"> Alta Verapaz s</w:t>
      </w:r>
      <w:r w:rsidR="00190858">
        <w:rPr>
          <w:color w:val="1F1F1F"/>
        </w:rPr>
        <w:t>tated</w:t>
      </w:r>
      <w:r w:rsidRPr="00CA52B7">
        <w:rPr>
          <w:color w:val="1F1F1F"/>
        </w:rPr>
        <w:t>, “</w:t>
      </w:r>
      <w:r w:rsidRPr="00190858">
        <w:rPr>
          <w:i/>
          <w:iCs/>
          <w:color w:val="1F1F1F"/>
        </w:rPr>
        <w:t>We are looking to save our lives</w:t>
      </w:r>
      <w:r w:rsidR="00190858">
        <w:rPr>
          <w:color w:val="1F1F1F"/>
        </w:rPr>
        <w:t>,</w:t>
      </w:r>
      <w:r w:rsidRPr="00CA52B7">
        <w:rPr>
          <w:color w:val="1F1F1F"/>
        </w:rPr>
        <w:t xml:space="preserve">” because, with the loss of their homes in 2020, they </w:t>
      </w:r>
      <w:r w:rsidR="00190858">
        <w:rPr>
          <w:color w:val="1F1F1F"/>
        </w:rPr>
        <w:t xml:space="preserve">had </w:t>
      </w:r>
      <w:r w:rsidRPr="00CA52B7">
        <w:rPr>
          <w:color w:val="1F1F1F"/>
        </w:rPr>
        <w:t xml:space="preserve">occupied a land from which they are </w:t>
      </w:r>
      <w:r w:rsidR="00190858">
        <w:rPr>
          <w:color w:val="1F1F1F"/>
        </w:rPr>
        <w:t xml:space="preserve">now </w:t>
      </w:r>
      <w:r w:rsidRPr="00CA52B7">
        <w:rPr>
          <w:color w:val="1F1F1F"/>
        </w:rPr>
        <w:t>being evicted.</w:t>
      </w:r>
      <w:r w:rsidR="007B7481">
        <w:rPr>
          <w:rStyle w:val="Refdenotaalfinal"/>
          <w:color w:val="1F1F1F"/>
        </w:rPr>
        <w:endnoteReference w:id="52"/>
      </w:r>
      <w:r w:rsidRPr="00CA52B7">
        <w:rPr>
          <w:color w:val="1F1F1F"/>
        </w:rPr>
        <w:t xml:space="preserve"> In the departments of Izabal and Alta Verapaz, the effects of climate change on women's lives have been confirmed. Despite living in violence, they prefer to endure and live with the</w:t>
      </w:r>
      <w:r w:rsidR="00190858">
        <w:rPr>
          <w:color w:val="1F1F1F"/>
        </w:rPr>
        <w:t xml:space="preserve">ir </w:t>
      </w:r>
      <w:r w:rsidRPr="00CA52B7">
        <w:rPr>
          <w:color w:val="1F1F1F"/>
        </w:rPr>
        <w:t>abusers in order to find some sustenance, even if it is minimal. Another option for subsistence has been migration to the United States.</w:t>
      </w:r>
    </w:p>
    <w:p w14:paraId="2C6AEDDC" w14:textId="77777777" w:rsidR="00AA5B0B" w:rsidRPr="00CA52B7" w:rsidRDefault="00AA5B0B" w:rsidP="00AA5B0B">
      <w:pPr>
        <w:pStyle w:val="NormalWeb"/>
        <w:shd w:val="clear" w:color="auto" w:fill="FFFFFF"/>
        <w:spacing w:before="0" w:beforeAutospacing="0" w:after="0" w:afterAutospacing="0"/>
        <w:jc w:val="both"/>
        <w:rPr>
          <w:color w:val="1F1F1F"/>
        </w:rPr>
      </w:pPr>
    </w:p>
    <w:p w14:paraId="42B27BC3" w14:textId="0E6B21DF" w:rsidR="00CA52B7" w:rsidRPr="00F570B8" w:rsidRDefault="00CA52B7" w:rsidP="00AA5B0B">
      <w:pPr>
        <w:pStyle w:val="NormalWeb"/>
        <w:numPr>
          <w:ilvl w:val="0"/>
          <w:numId w:val="1"/>
        </w:numPr>
        <w:shd w:val="clear" w:color="auto" w:fill="FFFFFF"/>
        <w:spacing w:before="0" w:beforeAutospacing="0" w:after="360" w:afterAutospacing="0"/>
        <w:jc w:val="both"/>
        <w:rPr>
          <w:b/>
          <w:bCs/>
          <w:color w:val="1F1F1F"/>
        </w:rPr>
      </w:pPr>
      <w:r w:rsidRPr="00CA52B7">
        <w:rPr>
          <w:color w:val="1F1F1F"/>
        </w:rPr>
        <w:t xml:space="preserve">Communities are </w:t>
      </w:r>
      <w:r w:rsidR="00190858">
        <w:rPr>
          <w:color w:val="1F1F1F"/>
        </w:rPr>
        <w:t>suffering</w:t>
      </w:r>
      <w:r w:rsidRPr="00CA52B7">
        <w:rPr>
          <w:color w:val="1F1F1F"/>
        </w:rPr>
        <w:t xml:space="preserve"> serious problems</w:t>
      </w:r>
      <w:r w:rsidR="00190858">
        <w:rPr>
          <w:color w:val="1F1F1F"/>
        </w:rPr>
        <w:t>;</w:t>
      </w:r>
      <w:r w:rsidRPr="00CA52B7">
        <w:rPr>
          <w:color w:val="1F1F1F"/>
        </w:rPr>
        <w:t xml:space="preserve"> there is no proper attention to their basic needs, there are no emergency services or safe shelters. When an emergency occurs, women are exposed to all kinds of violence. The country does not have adequate infrastructure to address and prevent gender-based violence in emergency contexts. Therefore, </w:t>
      </w:r>
      <w:bookmarkStart w:id="5" w:name="_Hlk145326506"/>
      <w:r w:rsidRPr="00F570B8">
        <w:rPr>
          <w:b/>
          <w:bCs/>
          <w:color w:val="1F1F1F"/>
        </w:rPr>
        <w:t xml:space="preserve">it is </w:t>
      </w:r>
      <w:r w:rsidR="00190858">
        <w:rPr>
          <w:b/>
          <w:bCs/>
          <w:color w:val="1F1F1F"/>
        </w:rPr>
        <w:t>imperative</w:t>
      </w:r>
      <w:r w:rsidRPr="00F570B8">
        <w:rPr>
          <w:b/>
          <w:bCs/>
          <w:color w:val="1F1F1F"/>
        </w:rPr>
        <w:t xml:space="preserve"> that the EHP invest resources and implement the Minimum Inter-Agency Standards for programming on violence against women in </w:t>
      </w:r>
      <w:r w:rsidR="00190858">
        <w:rPr>
          <w:b/>
          <w:bCs/>
          <w:color w:val="1F1F1F"/>
        </w:rPr>
        <w:t>e</w:t>
      </w:r>
      <w:r w:rsidRPr="00F570B8">
        <w:rPr>
          <w:b/>
          <w:bCs/>
          <w:color w:val="1F1F1F"/>
        </w:rPr>
        <w:t>mergenc</w:t>
      </w:r>
      <w:r w:rsidR="00190858">
        <w:rPr>
          <w:b/>
          <w:bCs/>
          <w:color w:val="1F1F1F"/>
        </w:rPr>
        <w:t>y situations</w:t>
      </w:r>
      <w:r w:rsidRPr="00F570B8">
        <w:rPr>
          <w:b/>
          <w:bCs/>
          <w:color w:val="1F1F1F"/>
        </w:rPr>
        <w:t>. Comprehensive care should be provided to women survivors of violence affected by disasters</w:t>
      </w:r>
      <w:r w:rsidR="00190858">
        <w:rPr>
          <w:b/>
          <w:bCs/>
          <w:color w:val="1F1F1F"/>
        </w:rPr>
        <w:t>,</w:t>
      </w:r>
      <w:r w:rsidRPr="00F570B8">
        <w:rPr>
          <w:b/>
          <w:bCs/>
          <w:color w:val="1F1F1F"/>
        </w:rPr>
        <w:t xml:space="preserve"> and resources should be allocated for the preparation, response, and recovery of communities</w:t>
      </w:r>
      <w:bookmarkEnd w:id="5"/>
      <w:r w:rsidRPr="00F570B8">
        <w:rPr>
          <w:b/>
          <w:bCs/>
          <w:color w:val="1F1F1F"/>
        </w:rPr>
        <w:t>.</w:t>
      </w:r>
    </w:p>
    <w:p w14:paraId="105C9A51" w14:textId="0B84A281" w:rsidR="00E27D27" w:rsidRPr="00CA52B7" w:rsidRDefault="00CA52B7" w:rsidP="00CA52B7">
      <w:pPr>
        <w:pStyle w:val="NormalWeb"/>
        <w:numPr>
          <w:ilvl w:val="0"/>
          <w:numId w:val="2"/>
        </w:numPr>
        <w:shd w:val="clear" w:color="auto" w:fill="FFFFFF"/>
        <w:spacing w:before="0" w:beforeAutospacing="0" w:after="0" w:afterAutospacing="0"/>
        <w:jc w:val="both"/>
        <w:rPr>
          <w:b/>
          <w:bCs/>
          <w:color w:val="1F1F1F"/>
        </w:rPr>
      </w:pPr>
      <w:r w:rsidRPr="00CA52B7">
        <w:rPr>
          <w:b/>
          <w:bCs/>
          <w:color w:val="1F1F1F"/>
        </w:rPr>
        <w:t>2030 Agenda for Sustainable Development</w:t>
      </w:r>
    </w:p>
    <w:p w14:paraId="3A0A57C7" w14:textId="77777777" w:rsidR="00CA52B7" w:rsidRPr="00CA52B7" w:rsidRDefault="00CA52B7" w:rsidP="00CA52B7">
      <w:pPr>
        <w:pStyle w:val="NormalWeb"/>
        <w:shd w:val="clear" w:color="auto" w:fill="FFFFFF"/>
        <w:spacing w:before="0" w:beforeAutospacing="0" w:after="0" w:afterAutospacing="0"/>
        <w:ind w:left="1080"/>
        <w:jc w:val="both"/>
        <w:rPr>
          <w:b/>
          <w:bCs/>
          <w:color w:val="1F1F1F"/>
        </w:rPr>
      </w:pPr>
    </w:p>
    <w:p w14:paraId="6B3374E1" w14:textId="204776B5" w:rsidR="009A6768" w:rsidRPr="00066299" w:rsidRDefault="00CA52B7" w:rsidP="008E4048">
      <w:pPr>
        <w:pStyle w:val="NormalWeb"/>
        <w:numPr>
          <w:ilvl w:val="0"/>
          <w:numId w:val="1"/>
        </w:numPr>
        <w:shd w:val="clear" w:color="auto" w:fill="FFFFFF"/>
        <w:spacing w:before="0" w:beforeAutospacing="0" w:after="360" w:afterAutospacing="0"/>
        <w:jc w:val="both"/>
        <w:rPr>
          <w:color w:val="1F1F1F"/>
        </w:rPr>
      </w:pPr>
      <w:r w:rsidRPr="00CA52B7">
        <w:rPr>
          <w:color w:val="1F1F1F"/>
          <w:shd w:val="clear" w:color="auto" w:fill="FFFFFF"/>
        </w:rPr>
        <w:t>In the last electoral contest, recalcitrant right-wing political parties that seek to perpetuate impunity and corruption worked hard to demonize the 2030 Agenda, completely distorting its content, minimizing its importance, and reducing the SDGs exclusively to the defense of same-sex marriage, abortion, and the right to sex education.</w:t>
      </w:r>
      <w:r w:rsidR="00FB053B">
        <w:rPr>
          <w:rStyle w:val="Refdenotaalfinal"/>
          <w:color w:val="1F1F1F"/>
          <w:shd w:val="clear" w:color="auto" w:fill="FFFFFF"/>
        </w:rPr>
        <w:endnoteReference w:id="53"/>
      </w:r>
      <w:r w:rsidRPr="00CA52B7">
        <w:rPr>
          <w:color w:val="1F1F1F"/>
          <w:shd w:val="clear" w:color="auto" w:fill="FFFFFF"/>
        </w:rPr>
        <w:t xml:space="preserve"> This entire narrative is based on the so-called "gender ideology," which is nothing more than another invention of the ultra-right and anti-rights groups in the world, who sow fear because the majority of the population is unaware of the content of the 2030 Agenda. Meanwhile, women continue to be abused in the midst of a society that defends traditional values</w:t>
      </w:r>
      <w:r w:rsidR="00D938F1">
        <w:rPr>
          <w:color w:val="1F1F1F"/>
          <w:shd w:val="clear" w:color="auto" w:fill="FFFFFF"/>
        </w:rPr>
        <w:t xml:space="preserve"> yet</w:t>
      </w:r>
      <w:r w:rsidRPr="00CA52B7">
        <w:rPr>
          <w:color w:val="1F1F1F"/>
          <w:shd w:val="clear" w:color="auto" w:fill="FFFFFF"/>
        </w:rPr>
        <w:t xml:space="preserve"> rejects equality and normalizes asymmetrical power relations between men and women, and thereby perpetuates VCM.</w:t>
      </w:r>
    </w:p>
    <w:p w14:paraId="271F7028" w14:textId="1CE40B45" w:rsidR="00036C99" w:rsidRPr="00036C99" w:rsidRDefault="00036C99" w:rsidP="00036C99">
      <w:pPr>
        <w:pStyle w:val="NormalWeb"/>
        <w:shd w:val="clear" w:color="auto" w:fill="FFFFFF"/>
        <w:spacing w:before="0" w:beforeAutospacing="0" w:after="360" w:afterAutospacing="0"/>
        <w:jc w:val="center"/>
        <w:rPr>
          <w:b/>
          <w:bCs/>
          <w:color w:val="1F1F1F"/>
        </w:rPr>
      </w:pPr>
      <w:r>
        <w:rPr>
          <w:b/>
          <w:bCs/>
          <w:color w:val="1F1F1F"/>
        </w:rPr>
        <w:lastRenderedPageBreak/>
        <w:t>References</w:t>
      </w:r>
    </w:p>
    <w:sectPr w:rsidR="00036C99" w:rsidRPr="00036C9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24E89" w14:textId="77777777" w:rsidR="00E73414" w:rsidRDefault="00E73414" w:rsidP="0060480B">
      <w:pPr>
        <w:spacing w:after="0" w:line="240" w:lineRule="auto"/>
      </w:pPr>
      <w:r>
        <w:separator/>
      </w:r>
    </w:p>
  </w:endnote>
  <w:endnote w:type="continuationSeparator" w:id="0">
    <w:p w14:paraId="20A17981" w14:textId="77777777" w:rsidR="00E73414" w:rsidRDefault="00E73414" w:rsidP="0060480B">
      <w:pPr>
        <w:spacing w:after="0" w:line="240" w:lineRule="auto"/>
      </w:pPr>
      <w:r>
        <w:continuationSeparator/>
      </w:r>
    </w:p>
  </w:endnote>
  <w:endnote w:id="1">
    <w:p w14:paraId="1C9AAB85" w14:textId="001EE1DB" w:rsidR="0060480B" w:rsidRPr="00EF6E71" w:rsidRDefault="0060480B" w:rsidP="0060480B">
      <w:pPr>
        <w:pStyle w:val="Textonotaalfinal"/>
        <w:jc w:val="both"/>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00036C99" w:rsidRPr="00EF6E71">
        <w:rPr>
          <w:rFonts w:ascii="Times New Roman" w:hAnsi="Times New Roman" w:cs="Times New Roman"/>
        </w:rPr>
        <w:t xml:space="preserve">Member organizations of </w:t>
      </w:r>
      <w:r w:rsidRPr="00EF6E71">
        <w:rPr>
          <w:rFonts w:ascii="Times New Roman" w:hAnsi="Times New Roman" w:cs="Times New Roman"/>
          <w:lang w:val="es-ES"/>
        </w:rPr>
        <w:t xml:space="preserve">REDNOVI </w:t>
      </w:r>
      <w:r w:rsidR="00036C99" w:rsidRPr="00EF6E71">
        <w:rPr>
          <w:rFonts w:ascii="Times New Roman" w:hAnsi="Times New Roman" w:cs="Times New Roman"/>
          <w:lang w:val="es-ES"/>
        </w:rPr>
        <w:t>and</w:t>
      </w:r>
      <w:r w:rsidRPr="00EF6E71">
        <w:rPr>
          <w:rFonts w:ascii="Times New Roman" w:hAnsi="Times New Roman" w:cs="Times New Roman"/>
          <w:lang w:val="es-ES"/>
        </w:rPr>
        <w:t xml:space="preserve"> Red Nacional de CAIMUS: Asociación Nuevos Horizontes-ANH, Asociación de Mujeres Empleadas y Desempleadas Unidas contra la Violencia-AMUCV, Asociación de Mujeres en Solidaridad-AMES, Asociación Mujeres por la Justicia, Educación y el Reconocimiento-MuJER, Asociación Generando, Liderazgo, Equidad y Oportunidades-ASOGEN, Asociación de Comadronas Tradicionales de Guatemala, Asociación Trasciende, </w:t>
      </w:r>
      <w:r w:rsidRPr="00EF6E71">
        <w:rPr>
          <w:rFonts w:ascii="Times New Roman" w:hAnsi="Times New Roman" w:cs="Times New Roman"/>
        </w:rPr>
        <w:t xml:space="preserve">Asociación Grupo Integral de Mujeres San Juaneras-AGIMS, Asociación Ixoq Chajib´ Ja-ONG Casa de la Mujer, Asociación de Mujeres Luqueñas para el Desarrollo Integral-AMLUDI, Asociación Pies de Occidente, Asociación de Mujeres de Occidente Amoixquic, Centro Ak´Yu´Am, de ASOJAV, </w:t>
      </w:r>
      <w:r w:rsidRPr="00EF6E71">
        <w:rPr>
          <w:rFonts w:ascii="Times New Roman" w:hAnsi="Times New Roman" w:cs="Times New Roman"/>
          <w:lang w:val="es-ES"/>
        </w:rPr>
        <w:t>Consejo de Mujeres Cristiana-CMC, Grupo Guatemalteco de Mujeres-GGM,  Red Guatemalteca de Mujeres Positivas en Acción-REDMPA.</w:t>
      </w:r>
    </w:p>
  </w:endnote>
  <w:endnote w:id="2">
    <w:p w14:paraId="65CEA635" w14:textId="67C5082F" w:rsidR="0060480B" w:rsidRPr="00EF6E71" w:rsidRDefault="0060480B">
      <w:pPr>
        <w:pStyle w:val="Textonotaalfinal"/>
        <w:rPr>
          <w:rFonts w:ascii="Times New Roman" w:hAnsi="Times New Roman" w:cs="Times New Roman"/>
        </w:rPr>
      </w:pPr>
      <w:r w:rsidRPr="00EF6E71">
        <w:rPr>
          <w:rStyle w:val="Refdenotaalfinal"/>
          <w:rFonts w:ascii="Times New Roman" w:hAnsi="Times New Roman" w:cs="Times New Roman"/>
        </w:rPr>
        <w:endnoteRef/>
      </w:r>
      <w:r w:rsidRPr="00EF6E71">
        <w:rPr>
          <w:rFonts w:ascii="Times New Roman" w:hAnsi="Times New Roman" w:cs="Times New Roman"/>
        </w:rPr>
        <w:t>Instituto Nacional de Estadística-INE</w:t>
      </w:r>
      <w:r w:rsidR="00036C99" w:rsidRPr="00EF6E71">
        <w:rPr>
          <w:rFonts w:ascii="Times New Roman" w:hAnsi="Times New Roman" w:cs="Times New Roman"/>
        </w:rPr>
        <w:t>,</w:t>
      </w:r>
      <w:r w:rsidRPr="00EF6E71">
        <w:rPr>
          <w:rFonts w:ascii="Times New Roman" w:hAnsi="Times New Roman" w:cs="Times New Roman"/>
        </w:rPr>
        <w:t xml:space="preserve"> </w:t>
      </w:r>
      <w:r w:rsidRPr="00EF6E71">
        <w:rPr>
          <w:rFonts w:ascii="Times New Roman" w:hAnsi="Times New Roman" w:cs="Times New Roman"/>
          <w:i/>
          <w:iCs/>
        </w:rPr>
        <w:t>Resultados del Censo 2018</w:t>
      </w:r>
      <w:r w:rsidR="00036C99" w:rsidRPr="00EF6E71">
        <w:rPr>
          <w:rFonts w:ascii="Times New Roman" w:hAnsi="Times New Roman" w:cs="Times New Roman"/>
        </w:rPr>
        <w:t xml:space="preserve">, </w:t>
      </w:r>
      <w:hyperlink r:id="rId1" w:history="1">
        <w:r w:rsidR="00036C99" w:rsidRPr="00EF6E71">
          <w:rPr>
            <w:rStyle w:val="Hipervnculo"/>
            <w:rFonts w:ascii="Times New Roman" w:hAnsi="Times New Roman" w:cs="Times New Roman"/>
          </w:rPr>
          <w:t>https://www.censopoblacion.gt/explorador</w:t>
        </w:r>
      </w:hyperlink>
      <w:r w:rsidR="00036C99" w:rsidRPr="00EF6E71">
        <w:rPr>
          <w:rStyle w:val="Hipervnculo"/>
          <w:rFonts w:ascii="Times New Roman" w:hAnsi="Times New Roman" w:cs="Times New Roman"/>
        </w:rPr>
        <w:t>.</w:t>
      </w:r>
    </w:p>
  </w:endnote>
  <w:endnote w:id="3">
    <w:p w14:paraId="23CDF685" w14:textId="4E27BB51" w:rsidR="0060480B" w:rsidRPr="00EF6E71" w:rsidRDefault="0060480B">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Ministerio de Desarrollo Social-MIDE</w:t>
      </w:r>
      <w:r w:rsidR="00036C99" w:rsidRPr="00EF6E71">
        <w:rPr>
          <w:rFonts w:ascii="Times New Roman" w:hAnsi="Times New Roman" w:cs="Times New Roman"/>
          <w:lang w:val="es-ES"/>
        </w:rPr>
        <w:t>S,</w:t>
      </w:r>
      <w:r w:rsidRPr="00EF6E71">
        <w:rPr>
          <w:rFonts w:ascii="Times New Roman" w:hAnsi="Times New Roman" w:cs="Times New Roman"/>
          <w:lang w:val="es-ES"/>
        </w:rPr>
        <w:t xml:space="preserve"> </w:t>
      </w:r>
      <w:r w:rsidRPr="00EF6E71">
        <w:rPr>
          <w:rFonts w:ascii="Times New Roman" w:hAnsi="Times New Roman" w:cs="Times New Roman"/>
          <w:i/>
          <w:iCs/>
          <w:lang w:val="es-ES"/>
        </w:rPr>
        <w:t>Índice de Pobreza Multidimensional GT</w:t>
      </w:r>
      <w:r w:rsidRPr="00EF6E71">
        <w:rPr>
          <w:rFonts w:ascii="Times New Roman" w:hAnsi="Times New Roman" w:cs="Times New Roman"/>
          <w:lang w:val="es-ES"/>
        </w:rPr>
        <w:t xml:space="preserve">. </w:t>
      </w:r>
    </w:p>
  </w:endnote>
  <w:endnote w:id="4">
    <w:p w14:paraId="3E787F10" w14:textId="18751604" w:rsidR="00531BBC" w:rsidRPr="00EF6E71" w:rsidRDefault="00531BBC">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Naciones Unidas Guatemala</w:t>
      </w:r>
      <w:r w:rsidR="00036C99" w:rsidRPr="00EF6E71">
        <w:rPr>
          <w:rFonts w:ascii="Times New Roman" w:hAnsi="Times New Roman" w:cs="Times New Roman"/>
        </w:rPr>
        <w:t>,</w:t>
      </w:r>
      <w:r w:rsidRPr="00EF6E71">
        <w:rPr>
          <w:rFonts w:ascii="Times New Roman" w:hAnsi="Times New Roman" w:cs="Times New Roman"/>
        </w:rPr>
        <w:t xml:space="preserve"> </w:t>
      </w:r>
      <w:r w:rsidRPr="00EF6E71">
        <w:rPr>
          <w:rFonts w:ascii="Times New Roman" w:hAnsi="Times New Roman" w:cs="Times New Roman"/>
          <w:i/>
          <w:iCs/>
        </w:rPr>
        <w:t>Análisis común de país</w:t>
      </w:r>
      <w:r w:rsidRPr="00EF6E71">
        <w:rPr>
          <w:rFonts w:ascii="Times New Roman" w:hAnsi="Times New Roman" w:cs="Times New Roman"/>
        </w:rPr>
        <w:t xml:space="preserve"> </w:t>
      </w:r>
      <w:r w:rsidR="00036C99" w:rsidRPr="00EF6E71">
        <w:rPr>
          <w:rFonts w:ascii="Times New Roman" w:hAnsi="Times New Roman" w:cs="Times New Roman"/>
        </w:rPr>
        <w:t>(</w:t>
      </w:r>
      <w:r w:rsidRPr="00EF6E71">
        <w:rPr>
          <w:rFonts w:ascii="Times New Roman" w:hAnsi="Times New Roman" w:cs="Times New Roman"/>
        </w:rPr>
        <w:t>2021</w:t>
      </w:r>
      <w:r w:rsidR="00036C99" w:rsidRPr="00EF6E71">
        <w:rPr>
          <w:rFonts w:ascii="Times New Roman" w:hAnsi="Times New Roman" w:cs="Times New Roman"/>
        </w:rPr>
        <w:t xml:space="preserve"> update)</w:t>
      </w:r>
      <w:r w:rsidR="00880286" w:rsidRPr="00EF6E71">
        <w:rPr>
          <w:rFonts w:ascii="Times New Roman" w:hAnsi="Times New Roman" w:cs="Times New Roman"/>
        </w:rPr>
        <w:t xml:space="preserve">, </w:t>
      </w:r>
      <w:hyperlink r:id="rId2" w:anchor=":~:text=El%20An%C3%A1lisis%20Com%C3%BAn%20de%20Pa%C3%ADs%20%28CCA%20en%20ingl%C3%A9s%29,identificadas%20en%20cada%20tema%20y%20sus%20principales%20causas" w:history="1">
        <w:r w:rsidR="00A114BE" w:rsidRPr="00D807B1">
          <w:rPr>
            <w:rStyle w:val="Hipervnculo"/>
            <w:rFonts w:ascii="Times New Roman" w:hAnsi="Times New Roman" w:cs="Times New Roman"/>
          </w:rPr>
          <w:t>https://guatemala.un.org/es/49288-an%C3%A1lisis-com%C3%BAn-de-pa%C3%ADs#:~:text=El%20An%C3%A1lisis%20Com%C3%B</w:t>
        </w:r>
        <w:r w:rsidR="00A114BE" w:rsidRPr="00D807B1">
          <w:rPr>
            <w:rStyle w:val="Hipervnculo"/>
            <w:rFonts w:ascii="Times New Roman" w:hAnsi="Times New Roman" w:cs="Times New Roman"/>
          </w:rPr>
          <w:br/>
          <w:t>An%20de%20Pa%C3%ADs%20%28CCA%20en%20ingl%C3%A9s%29,identificadas%20en%20cada%20tema%20y%20sus%20principales%20causas</w:t>
        </w:r>
      </w:hyperlink>
      <w:r w:rsidRPr="00EF6E71">
        <w:rPr>
          <w:rFonts w:ascii="Times New Roman" w:hAnsi="Times New Roman" w:cs="Times New Roman"/>
        </w:rPr>
        <w:t>.</w:t>
      </w:r>
    </w:p>
  </w:endnote>
  <w:endnote w:id="5">
    <w:p w14:paraId="70D18174" w14:textId="4622E74C" w:rsidR="00960A1B" w:rsidRPr="00EF6E71" w:rsidRDefault="00960A1B">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Prensa Libre</w:t>
      </w:r>
      <w:r w:rsidR="00036C99" w:rsidRPr="00EF6E71">
        <w:rPr>
          <w:rFonts w:ascii="Times New Roman" w:hAnsi="Times New Roman" w:cs="Times New Roman"/>
          <w:lang w:val="es-ES"/>
        </w:rPr>
        <w:t>,</w:t>
      </w:r>
      <w:r w:rsidRPr="00EF6E71">
        <w:rPr>
          <w:rFonts w:ascii="Times New Roman" w:hAnsi="Times New Roman" w:cs="Times New Roman"/>
          <w:lang w:val="es-ES"/>
        </w:rPr>
        <w:t xml:space="preserve"> </w:t>
      </w:r>
      <w:r w:rsidRPr="00EF6E71">
        <w:rPr>
          <w:rFonts w:ascii="Times New Roman" w:hAnsi="Times New Roman" w:cs="Times New Roman"/>
          <w:i/>
          <w:iCs/>
          <w:lang w:val="es-ES"/>
        </w:rPr>
        <w:t>Giammattei cierra tres entidades y crea una nueva comisión para la paz y los derechos humanos</w:t>
      </w:r>
      <w:r w:rsidR="00036C99" w:rsidRPr="00EF6E71">
        <w:rPr>
          <w:rFonts w:ascii="Times New Roman" w:hAnsi="Times New Roman" w:cs="Times New Roman"/>
          <w:lang w:val="es-ES"/>
        </w:rPr>
        <w:t xml:space="preserve"> (</w:t>
      </w:r>
      <w:r w:rsidR="002A23CA" w:rsidRPr="00EF6E71">
        <w:rPr>
          <w:rFonts w:ascii="Times New Roman" w:hAnsi="Times New Roman" w:cs="Times New Roman"/>
          <w:lang w:val="es-ES"/>
        </w:rPr>
        <w:t xml:space="preserve">July 30, </w:t>
      </w:r>
      <w:r w:rsidR="00036C99" w:rsidRPr="00EF6E71">
        <w:rPr>
          <w:rFonts w:ascii="Times New Roman" w:hAnsi="Times New Roman" w:cs="Times New Roman"/>
          <w:lang w:val="es-ES"/>
        </w:rPr>
        <w:t>2020),</w:t>
      </w:r>
      <w:r w:rsidRPr="00EF6E71">
        <w:rPr>
          <w:rFonts w:ascii="Times New Roman" w:hAnsi="Times New Roman" w:cs="Times New Roman"/>
          <w:lang w:val="es-ES"/>
        </w:rPr>
        <w:t xml:space="preserve">  </w:t>
      </w:r>
      <w:hyperlink r:id="rId3" w:history="1">
        <w:r w:rsidRPr="00EF6E71">
          <w:rPr>
            <w:rStyle w:val="Hipervnculo"/>
            <w:rFonts w:ascii="Times New Roman" w:hAnsi="Times New Roman" w:cs="Times New Roman"/>
            <w:lang w:val="es-ES"/>
          </w:rPr>
          <w:t>https://www.prensalibre.com/guatemala/politica/giammattei-cierra-tres-entidades-y-crea-una-nueva-comision-para-la-paz-y-los-derechos-humanos-breaking/</w:t>
        </w:r>
      </w:hyperlink>
      <w:r w:rsidR="00036C99" w:rsidRPr="00EF6E71">
        <w:rPr>
          <w:rFonts w:ascii="Times New Roman" w:hAnsi="Times New Roman" w:cs="Times New Roman"/>
          <w:lang w:val="es-ES"/>
        </w:rPr>
        <w:t>.</w:t>
      </w:r>
    </w:p>
  </w:endnote>
  <w:endnote w:id="6">
    <w:p w14:paraId="6CA47952" w14:textId="648B00C7" w:rsidR="00960A1B" w:rsidRPr="00EF6E71" w:rsidRDefault="00960A1B">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Ocote</w:t>
      </w:r>
      <w:r w:rsidR="00036C99" w:rsidRPr="00EF6E71">
        <w:rPr>
          <w:rFonts w:ascii="Times New Roman" w:hAnsi="Times New Roman" w:cs="Times New Roman"/>
          <w:lang w:val="es-ES"/>
        </w:rPr>
        <w:t>,</w:t>
      </w:r>
      <w:r w:rsidRPr="00EF6E71">
        <w:rPr>
          <w:rFonts w:ascii="Times New Roman" w:hAnsi="Times New Roman" w:cs="Times New Roman"/>
          <w:lang w:val="es-ES"/>
        </w:rPr>
        <w:t xml:space="preserve"> </w:t>
      </w:r>
      <w:r w:rsidRPr="00EF6E71">
        <w:rPr>
          <w:rFonts w:ascii="Times New Roman" w:hAnsi="Times New Roman" w:cs="Times New Roman"/>
          <w:i/>
          <w:iCs/>
          <w:lang w:val="es-ES"/>
        </w:rPr>
        <w:t>Expertas de la ONU muestran su preocupación por el cierre de SEPREM</w:t>
      </w:r>
      <w:r w:rsidR="00036C99" w:rsidRPr="00EF6E71">
        <w:rPr>
          <w:rFonts w:ascii="Times New Roman" w:hAnsi="Times New Roman" w:cs="Times New Roman"/>
          <w:lang w:val="es-ES"/>
        </w:rPr>
        <w:t xml:space="preserve"> (June 24, 2020</w:t>
      </w:r>
      <w:hyperlink r:id="rId4" w:history="1">
        <w:r w:rsidR="00036C99" w:rsidRPr="00EF6E71">
          <w:rPr>
            <w:rStyle w:val="Hipervnculo"/>
            <w:rFonts w:ascii="Times New Roman" w:hAnsi="Times New Roman" w:cs="Times New Roman"/>
            <w:lang w:val="es-ES"/>
          </w:rPr>
          <w:t>),</w:t>
        </w:r>
        <w:r w:rsidRPr="00EF6E71">
          <w:rPr>
            <w:rStyle w:val="Hipervnculo"/>
            <w:rFonts w:ascii="Times New Roman" w:hAnsi="Times New Roman" w:cs="Times New Roman"/>
            <w:lang w:val="es-ES"/>
          </w:rPr>
          <w:t xml:space="preserve"> https://www.agenciaocote.com/blog/2020/06/24/expertas-de-la-onu-muestran-su-preocupacion-por-el-cierre-de-la-seprem/</w:t>
        </w:r>
      </w:hyperlink>
      <w:r w:rsidR="00036C99" w:rsidRPr="00EF6E71">
        <w:rPr>
          <w:rFonts w:ascii="Times New Roman" w:hAnsi="Times New Roman" w:cs="Times New Roman"/>
          <w:lang w:val="es-ES"/>
        </w:rPr>
        <w:t>.</w:t>
      </w:r>
    </w:p>
  </w:endnote>
  <w:endnote w:id="7">
    <w:p w14:paraId="190D6462" w14:textId="5ACF770B" w:rsidR="00186979" w:rsidRPr="00EF6E71" w:rsidRDefault="00186979">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Agencia Guatemalteca de Noticias</w:t>
      </w:r>
      <w:r w:rsidR="00036C99" w:rsidRPr="00EF6E71">
        <w:rPr>
          <w:rFonts w:ascii="Times New Roman" w:hAnsi="Times New Roman" w:cs="Times New Roman"/>
          <w:lang w:val="es-ES"/>
        </w:rPr>
        <w:t xml:space="preserve">, </w:t>
      </w:r>
      <w:r w:rsidRPr="00EF6E71">
        <w:rPr>
          <w:rFonts w:ascii="Times New Roman" w:hAnsi="Times New Roman" w:cs="Times New Roman"/>
          <w:i/>
          <w:iCs/>
          <w:lang w:val="es-ES"/>
        </w:rPr>
        <w:t>Guatemala aprueba Ley de Protección a la Vida y a la Familia</w:t>
      </w:r>
      <w:r w:rsidR="00036C99" w:rsidRPr="00EF6E71">
        <w:rPr>
          <w:rFonts w:ascii="Times New Roman" w:hAnsi="Times New Roman" w:cs="Times New Roman"/>
          <w:lang w:val="es-ES"/>
        </w:rPr>
        <w:t xml:space="preserve"> (</w:t>
      </w:r>
      <w:r w:rsidR="002A23CA" w:rsidRPr="00EF6E71">
        <w:rPr>
          <w:rFonts w:ascii="Times New Roman" w:hAnsi="Times New Roman" w:cs="Times New Roman"/>
          <w:lang w:val="es-ES"/>
        </w:rPr>
        <w:t xml:space="preserve">Mar. 8, </w:t>
      </w:r>
      <w:r w:rsidR="00036C99" w:rsidRPr="00EF6E71">
        <w:rPr>
          <w:rFonts w:ascii="Times New Roman" w:hAnsi="Times New Roman" w:cs="Times New Roman"/>
          <w:lang w:val="es-ES"/>
        </w:rPr>
        <w:t>2022),</w:t>
      </w:r>
      <w:r w:rsidRPr="00EF6E71">
        <w:rPr>
          <w:rFonts w:ascii="Times New Roman" w:hAnsi="Times New Roman" w:cs="Times New Roman"/>
          <w:lang w:val="es-ES"/>
        </w:rPr>
        <w:t xml:space="preserve"> </w:t>
      </w:r>
      <w:hyperlink r:id="rId5" w:anchor=":~:text=%2D%20Bajo%20el%20Decreto%2018%2D2022,un%20hombre%20y%20una%20mujer" w:history="1">
        <w:r w:rsidR="00A114BE" w:rsidRPr="00D807B1">
          <w:rPr>
            <w:rStyle w:val="Hipervnculo"/>
            <w:rFonts w:ascii="Times New Roman" w:hAnsi="Times New Roman" w:cs="Times New Roman"/>
            <w:lang w:val="es-ES"/>
          </w:rPr>
          <w:t>https://agn.gt/guatemala-aprueba-ley-de-proteccion-a-la-vida-y-a-la-familia/#:~:text=%2D%20Bajo%20el%2</w:t>
        </w:r>
        <w:r w:rsidR="00A114BE" w:rsidRPr="00D807B1">
          <w:rPr>
            <w:rStyle w:val="Hipervnculo"/>
            <w:rFonts w:ascii="Times New Roman" w:hAnsi="Times New Roman" w:cs="Times New Roman"/>
            <w:lang w:val="es-ES"/>
          </w:rPr>
          <w:br/>
          <w:t>0Decreto%2018%2D2022,un%20hombre%20y%20una%20mujer</w:t>
        </w:r>
      </w:hyperlink>
      <w:r w:rsidRPr="00EF6E71">
        <w:rPr>
          <w:rFonts w:ascii="Times New Roman" w:hAnsi="Times New Roman" w:cs="Times New Roman"/>
          <w:lang w:val="es-ES"/>
        </w:rPr>
        <w:t>.</w:t>
      </w:r>
    </w:p>
  </w:endnote>
  <w:endnote w:id="8">
    <w:p w14:paraId="5E3F65F8" w14:textId="15022AED" w:rsidR="00186979" w:rsidRPr="00EF6E71" w:rsidRDefault="00186979">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Diario de Centro América</w:t>
      </w:r>
      <w:r w:rsidR="00036C99" w:rsidRPr="00EF6E71">
        <w:rPr>
          <w:rFonts w:ascii="Times New Roman" w:hAnsi="Times New Roman" w:cs="Times New Roman"/>
          <w:lang w:val="es-ES"/>
        </w:rPr>
        <w:t xml:space="preserve">, </w:t>
      </w:r>
      <w:r w:rsidRPr="00EF6E71">
        <w:rPr>
          <w:rFonts w:ascii="Times New Roman" w:hAnsi="Times New Roman" w:cs="Times New Roman"/>
          <w:i/>
          <w:iCs/>
          <w:lang w:val="es-ES"/>
        </w:rPr>
        <w:t>Congreso de la República de Guatemala, Decreto 9-2022</w:t>
      </w:r>
      <w:r w:rsidR="00036C99" w:rsidRPr="00EF6E71">
        <w:rPr>
          <w:rFonts w:ascii="Times New Roman" w:hAnsi="Times New Roman" w:cs="Times New Roman"/>
          <w:i/>
          <w:iCs/>
          <w:lang w:val="es-ES"/>
        </w:rPr>
        <w:t xml:space="preserve"> </w:t>
      </w:r>
      <w:r w:rsidR="00036C99" w:rsidRPr="00EF6E71">
        <w:rPr>
          <w:rFonts w:ascii="Times New Roman" w:hAnsi="Times New Roman" w:cs="Times New Roman"/>
          <w:lang w:val="es-ES"/>
        </w:rPr>
        <w:t>(Feb. 23, 2022),</w:t>
      </w:r>
      <w:r w:rsidRPr="00EF6E71">
        <w:rPr>
          <w:rFonts w:ascii="Times New Roman" w:hAnsi="Times New Roman" w:cs="Times New Roman"/>
        </w:rPr>
        <w:t xml:space="preserve"> </w:t>
      </w:r>
      <w:hyperlink r:id="rId6" w:anchor=":~:text=Diario%20de%20Centro%20enca%20~.%206RGANO%20OFICIAL%20DE,No.%2023%20Torno%20CCCXIX%20Dlrectora%20General%3A%20SIMa%20Lanuza" w:history="1">
        <w:r w:rsidR="00A114BE" w:rsidRPr="00D807B1">
          <w:rPr>
            <w:rStyle w:val="Hipervnculo"/>
            <w:rFonts w:ascii="Times New Roman" w:hAnsi="Times New Roman" w:cs="Times New Roman"/>
            <w:lang w:val="es-ES"/>
          </w:rPr>
          <w:t>https://www.congreso.gob.gt/assets/uploads/info_legislativo/decretos/48ae9-9-2022.pdf#:~:text=Diario%20</w:t>
        </w:r>
        <w:r w:rsidR="00A114BE" w:rsidRPr="00D807B1">
          <w:rPr>
            <w:rStyle w:val="Hipervnculo"/>
            <w:rFonts w:ascii="Times New Roman" w:hAnsi="Times New Roman" w:cs="Times New Roman"/>
            <w:lang w:val="es-ES"/>
          </w:rPr>
          <w:br/>
          <w:t>de%20Centro%20enca%20~.%206RGANO%20OFICIAL%20DE,No.%2023%20Torno%20CCCXIX%20Dlrectora%20General%3A%20SIMa%20Lanuza</w:t>
        </w:r>
      </w:hyperlink>
      <w:r w:rsidRPr="00EF6E71">
        <w:rPr>
          <w:rFonts w:ascii="Times New Roman" w:hAnsi="Times New Roman" w:cs="Times New Roman"/>
          <w:lang w:val="es-ES"/>
        </w:rPr>
        <w:t>.</w:t>
      </w:r>
    </w:p>
  </w:endnote>
  <w:endnote w:id="9">
    <w:p w14:paraId="2E31829C" w14:textId="33C6F958" w:rsidR="00186979" w:rsidRPr="00EF6E71" w:rsidRDefault="00186979">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República</w:t>
      </w:r>
      <w:r w:rsidR="007D7AD8" w:rsidRPr="00EF6E71">
        <w:rPr>
          <w:rFonts w:ascii="Times New Roman" w:hAnsi="Times New Roman" w:cs="Times New Roman"/>
          <w:lang w:val="es-ES"/>
        </w:rPr>
        <w:t>,</w:t>
      </w:r>
      <w:r w:rsidRPr="00EF6E71">
        <w:rPr>
          <w:rFonts w:ascii="Times New Roman" w:hAnsi="Times New Roman" w:cs="Times New Roman"/>
          <w:lang w:val="es-ES"/>
        </w:rPr>
        <w:t xml:space="preserve"> </w:t>
      </w:r>
      <w:r w:rsidRPr="00EF6E71">
        <w:rPr>
          <w:rFonts w:ascii="Times New Roman" w:hAnsi="Times New Roman" w:cs="Times New Roman"/>
          <w:i/>
          <w:iCs/>
          <w:lang w:val="es-ES"/>
        </w:rPr>
        <w:t>Cambian el nombre del patio de la Cultura en Guatemala, ahora será Patio de la Vida</w:t>
      </w:r>
      <w:r w:rsidR="007D7AD8" w:rsidRPr="00EF6E71">
        <w:rPr>
          <w:rFonts w:ascii="Times New Roman" w:hAnsi="Times New Roman" w:cs="Times New Roman"/>
          <w:lang w:val="es-ES"/>
        </w:rPr>
        <w:t xml:space="preserve"> (Mar. 9, 2022), </w:t>
      </w:r>
      <w:hyperlink r:id="rId7" w:history="1">
        <w:r w:rsidRPr="00EF6E71">
          <w:rPr>
            <w:rStyle w:val="Hipervnculo"/>
            <w:rFonts w:ascii="Times New Roman" w:hAnsi="Times New Roman" w:cs="Times New Roman"/>
            <w:lang w:val="es-ES"/>
          </w:rPr>
          <w:t>https://republica.gt/politica/cambian-nombre-a-patio-de-la-cultura-en-guatemala-ahora-sera-patio-de-la-vida-20223912300</w:t>
        </w:r>
      </w:hyperlink>
      <w:r w:rsidR="007D7AD8" w:rsidRPr="00EF6E71">
        <w:rPr>
          <w:rFonts w:ascii="Times New Roman" w:hAnsi="Times New Roman" w:cs="Times New Roman"/>
          <w:lang w:val="es-ES"/>
        </w:rPr>
        <w:t>.</w:t>
      </w:r>
    </w:p>
  </w:endnote>
  <w:endnote w:id="10">
    <w:p w14:paraId="6054E620" w14:textId="27FB450B" w:rsidR="00186979" w:rsidRPr="00EF6E71" w:rsidRDefault="00186979">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La Hora.gt</w:t>
      </w:r>
      <w:r w:rsidR="00880286" w:rsidRPr="00EF6E71">
        <w:rPr>
          <w:rFonts w:ascii="Times New Roman" w:hAnsi="Times New Roman" w:cs="Times New Roman"/>
          <w:lang w:val="es-ES"/>
        </w:rPr>
        <w:t xml:space="preserve">, </w:t>
      </w:r>
      <w:r w:rsidRPr="00EF6E71">
        <w:rPr>
          <w:rFonts w:ascii="Times New Roman" w:hAnsi="Times New Roman" w:cs="Times New Roman"/>
          <w:i/>
          <w:iCs/>
          <w:lang w:val="es-ES"/>
        </w:rPr>
        <w:t>CSJ prohíbe difusión del manual sobre educación sexual</w:t>
      </w:r>
      <w:r w:rsidR="002A23CA" w:rsidRPr="00EF6E71">
        <w:rPr>
          <w:rFonts w:ascii="Times New Roman" w:hAnsi="Times New Roman" w:cs="Times New Roman"/>
          <w:lang w:val="es-ES"/>
        </w:rPr>
        <w:t xml:space="preserve"> </w:t>
      </w:r>
      <w:r w:rsidR="00880286" w:rsidRPr="00EF6E71">
        <w:rPr>
          <w:rFonts w:ascii="Times New Roman" w:hAnsi="Times New Roman" w:cs="Times New Roman"/>
          <w:lang w:val="es-ES"/>
        </w:rPr>
        <w:t xml:space="preserve">(Dec. 13, 2017), </w:t>
      </w:r>
      <w:hyperlink r:id="rId8" w:history="1">
        <w:r w:rsidRPr="00EF6E71">
          <w:rPr>
            <w:rStyle w:val="Hipervnculo"/>
            <w:rFonts w:ascii="Times New Roman" w:hAnsi="Times New Roman" w:cs="Times New Roman"/>
            <w:lang w:val="es-ES"/>
          </w:rPr>
          <w:t>https://lahora.gt/nacionales/wpcomvip/2017/12/13/csj-prohibe-difusion-manual-educacion-sexual/</w:t>
        </w:r>
      </w:hyperlink>
      <w:r w:rsidR="00880286" w:rsidRPr="00EF6E71">
        <w:rPr>
          <w:rFonts w:ascii="Times New Roman" w:hAnsi="Times New Roman" w:cs="Times New Roman"/>
          <w:lang w:val="es-ES"/>
        </w:rPr>
        <w:t>.</w:t>
      </w:r>
    </w:p>
  </w:endnote>
  <w:endnote w:id="11">
    <w:p w14:paraId="5231CF2F" w14:textId="078B40C4" w:rsidR="00186979" w:rsidRPr="00EF6E71" w:rsidRDefault="00186979">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Agencia Guatemalteca de Notici</w:t>
      </w:r>
      <w:r w:rsidR="002A23CA" w:rsidRPr="00EF6E71">
        <w:rPr>
          <w:rFonts w:ascii="Times New Roman" w:hAnsi="Times New Roman" w:cs="Times New Roman"/>
        </w:rPr>
        <w:t xml:space="preserve">as, </w:t>
      </w:r>
      <w:r w:rsidRPr="00EF6E71">
        <w:rPr>
          <w:rFonts w:ascii="Times New Roman" w:hAnsi="Times New Roman" w:cs="Times New Roman"/>
          <w:i/>
          <w:iCs/>
        </w:rPr>
        <w:t>Aprueban Política Pública de Protección de la Vida y la Institucionalidad de la Familia</w:t>
      </w:r>
      <w:r w:rsidR="002A23CA" w:rsidRPr="00EF6E71">
        <w:rPr>
          <w:rFonts w:ascii="Times New Roman" w:hAnsi="Times New Roman" w:cs="Times New Roman"/>
        </w:rPr>
        <w:t xml:space="preserve"> (July 23, 2021),</w:t>
      </w:r>
      <w:r w:rsidRPr="00EF6E71">
        <w:rPr>
          <w:rFonts w:ascii="Times New Roman" w:hAnsi="Times New Roman" w:cs="Times New Roman"/>
        </w:rPr>
        <w:t xml:space="preserve"> </w:t>
      </w:r>
      <w:hyperlink r:id="rId9" w:anchor=":~:text=%2D%20La%20Pol%C3%ADtica%20P%C3%BAblica%20de%20Protecci%C3%B3n,Acuerdo%20Gubernativo%20N%C3%BAmero%20149%2D2021" w:history="1">
        <w:r w:rsidR="00D900A1" w:rsidRPr="00D807B1">
          <w:rPr>
            <w:rStyle w:val="Hipervnculo"/>
            <w:rFonts w:ascii="Times New Roman" w:hAnsi="Times New Roman" w:cs="Times New Roman"/>
          </w:rPr>
          <w:t>https://agn.gt/aprueban-politica-publica-de-proteccion-a-la-vida-y-la-institucionalidad-de-la- familia/#:~:text=%2D%20La%20Pol%C3%ADtica%20P%C3%BAblica%20de%20Protecci%C3%</w:t>
        </w:r>
        <w:r w:rsidR="00D900A1" w:rsidRPr="00D807B1">
          <w:rPr>
            <w:rStyle w:val="Hipervnculo"/>
            <w:rFonts w:ascii="Times New Roman" w:hAnsi="Times New Roman" w:cs="Times New Roman"/>
          </w:rPr>
          <w:br/>
          <w:t>B3n,Acuerdo%20Gubernativo%20N%C3%BAmero%20149%2D2021</w:t>
        </w:r>
      </w:hyperlink>
      <w:r w:rsidR="00AA57D3" w:rsidRPr="00EF6E71">
        <w:rPr>
          <w:rFonts w:ascii="Times New Roman" w:hAnsi="Times New Roman" w:cs="Times New Roman"/>
        </w:rPr>
        <w:t>.</w:t>
      </w:r>
    </w:p>
  </w:endnote>
  <w:endnote w:id="12">
    <w:p w14:paraId="004C89ED" w14:textId="1A79A492" w:rsidR="0044718D" w:rsidRPr="001F7AE4" w:rsidRDefault="0044718D">
      <w:pPr>
        <w:pStyle w:val="Textonotaalfinal"/>
        <w:rPr>
          <w:rFonts w:ascii="Times New Roman" w:hAnsi="Times New Roman" w:cs="Times New Roman"/>
          <w:color w:val="000000" w:themeColor="text1"/>
          <w:lang w:val="es-ES"/>
        </w:rPr>
      </w:pPr>
      <w:r w:rsidRPr="001F7AE4">
        <w:rPr>
          <w:rStyle w:val="Refdenotaalfinal"/>
          <w:rFonts w:ascii="Times New Roman" w:hAnsi="Times New Roman" w:cs="Times New Roman"/>
        </w:rPr>
        <w:endnoteRef/>
      </w:r>
      <w:r w:rsidRPr="001F7AE4">
        <w:rPr>
          <w:rFonts w:ascii="Times New Roman" w:hAnsi="Times New Roman" w:cs="Times New Roman"/>
        </w:rPr>
        <w:t xml:space="preserve"> </w:t>
      </w:r>
      <w:r w:rsidRPr="001F7AE4">
        <w:rPr>
          <w:rFonts w:ascii="Times New Roman" w:hAnsi="Times New Roman" w:cs="Times New Roman"/>
          <w:color w:val="000000" w:themeColor="text1"/>
          <w:lang w:val="es-ES"/>
        </w:rPr>
        <w:t xml:space="preserve">Comisión Internacional contra la Impunidad en Guatemala-CICIG, </w:t>
      </w:r>
      <w:r w:rsidRPr="001F7AE4">
        <w:rPr>
          <w:rFonts w:ascii="Times New Roman" w:hAnsi="Times New Roman" w:cs="Times New Roman"/>
          <w:i/>
          <w:iCs/>
          <w:color w:val="000000" w:themeColor="text1"/>
          <w:lang w:val="es-ES"/>
        </w:rPr>
        <w:t>Informe de Cierre</w:t>
      </w:r>
      <w:r w:rsidR="001F7AE4" w:rsidRPr="001F7AE4">
        <w:rPr>
          <w:rFonts w:ascii="Times New Roman" w:hAnsi="Times New Roman" w:cs="Times New Roman"/>
          <w:i/>
          <w:iCs/>
          <w:color w:val="000000" w:themeColor="text1"/>
          <w:lang w:val="es-ES"/>
        </w:rPr>
        <w:t>—</w:t>
      </w:r>
      <w:r w:rsidRPr="001F7AE4">
        <w:rPr>
          <w:rFonts w:ascii="Times New Roman" w:hAnsi="Times New Roman" w:cs="Times New Roman"/>
          <w:i/>
          <w:iCs/>
          <w:color w:val="000000" w:themeColor="text1"/>
          <w:lang w:val="es-ES"/>
        </w:rPr>
        <w:t>E</w:t>
      </w:r>
      <w:r w:rsidR="001F7AE4" w:rsidRPr="001F7AE4">
        <w:rPr>
          <w:rFonts w:ascii="Times New Roman" w:hAnsi="Times New Roman" w:cs="Times New Roman"/>
          <w:i/>
          <w:iCs/>
          <w:color w:val="000000" w:themeColor="text1"/>
          <w:lang w:val="es-ES"/>
        </w:rPr>
        <w:t>l</w:t>
      </w:r>
      <w:r w:rsidRPr="001F7AE4">
        <w:rPr>
          <w:rFonts w:ascii="Times New Roman" w:hAnsi="Times New Roman" w:cs="Times New Roman"/>
          <w:i/>
          <w:iCs/>
          <w:color w:val="000000" w:themeColor="text1"/>
          <w:lang w:val="es-ES"/>
        </w:rPr>
        <w:t xml:space="preserve"> legado de justicia en Guatemala</w:t>
      </w:r>
      <w:r w:rsidR="001F7AE4" w:rsidRPr="001F7AE4">
        <w:rPr>
          <w:rFonts w:ascii="Times New Roman" w:hAnsi="Times New Roman" w:cs="Times New Roman"/>
          <w:color w:val="000000" w:themeColor="text1"/>
          <w:lang w:val="es-ES"/>
        </w:rPr>
        <w:t xml:space="preserve"> (2019), </w:t>
      </w:r>
      <w:hyperlink r:id="rId10" w:history="1">
        <w:r w:rsidRPr="001F7AE4">
          <w:rPr>
            <w:rStyle w:val="Hipervnculo"/>
            <w:rFonts w:ascii="Times New Roman" w:hAnsi="Times New Roman" w:cs="Times New Roman"/>
            <w:lang w:val="es-ES"/>
          </w:rPr>
          <w:t>http://www.cicig.org/wp-content/uploads/2019/08/InformeLegadoJusticia_SI.pdf</w:t>
        </w:r>
      </w:hyperlink>
      <w:r w:rsidR="001F7AE4" w:rsidRPr="001F7AE4">
        <w:rPr>
          <w:rFonts w:ascii="Times New Roman" w:hAnsi="Times New Roman" w:cs="Times New Roman"/>
          <w:color w:val="000000" w:themeColor="text1"/>
          <w:lang w:val="es-ES"/>
        </w:rPr>
        <w:t>.</w:t>
      </w:r>
    </w:p>
  </w:endnote>
  <w:endnote w:id="13">
    <w:p w14:paraId="3367E6E2" w14:textId="1876495A" w:rsidR="001F7AE4" w:rsidRPr="001F7AE4" w:rsidRDefault="001F7AE4">
      <w:pPr>
        <w:pStyle w:val="Textonotaalfinal"/>
        <w:rPr>
          <w:rFonts w:ascii="Times New Roman" w:hAnsi="Times New Roman" w:cs="Times New Roman"/>
          <w:color w:val="000000" w:themeColor="text1"/>
          <w:lang w:val="es-ES"/>
        </w:rPr>
      </w:pPr>
      <w:r w:rsidRPr="001F7AE4">
        <w:rPr>
          <w:rStyle w:val="Refdenotaalfinal"/>
          <w:rFonts w:ascii="Times New Roman" w:hAnsi="Times New Roman" w:cs="Times New Roman"/>
        </w:rPr>
        <w:endnoteRef/>
      </w:r>
      <w:r w:rsidRPr="001F7AE4">
        <w:rPr>
          <w:rFonts w:ascii="Times New Roman" w:hAnsi="Times New Roman" w:cs="Times New Roman"/>
        </w:rPr>
        <w:t xml:space="preserve"> </w:t>
      </w:r>
      <w:r w:rsidRPr="001F7AE4">
        <w:rPr>
          <w:rFonts w:ascii="Times New Roman" w:hAnsi="Times New Roman" w:cs="Times New Roman"/>
          <w:color w:val="000000" w:themeColor="text1"/>
          <w:lang w:val="es-ES"/>
        </w:rPr>
        <w:t xml:space="preserve">Movimiento Pro Justicia, </w:t>
      </w:r>
      <w:r w:rsidRPr="001F7AE4">
        <w:rPr>
          <w:rFonts w:ascii="Times New Roman" w:hAnsi="Times New Roman" w:cs="Times New Roman"/>
          <w:i/>
          <w:iCs/>
          <w:color w:val="000000" w:themeColor="text1"/>
          <w:lang w:val="es-ES"/>
        </w:rPr>
        <w:t>Análisis de la Prórroga Indefinida de los Magistrados del Poder Judicial. Tres años sin renovación de mandatos</w:t>
      </w:r>
      <w:r w:rsidRPr="001F7AE4">
        <w:rPr>
          <w:rFonts w:ascii="Times New Roman" w:hAnsi="Times New Roman" w:cs="Times New Roman"/>
          <w:color w:val="000000" w:themeColor="text1"/>
          <w:lang w:val="es-ES"/>
        </w:rPr>
        <w:t xml:space="preserve"> (2022), </w:t>
      </w:r>
      <w:hyperlink r:id="rId11" w:history="1">
        <w:r w:rsidRPr="00D807B1">
          <w:rPr>
            <w:rStyle w:val="Hipervnculo"/>
            <w:rFonts w:ascii="Times New Roman" w:hAnsi="Times New Roman" w:cs="Times New Roman"/>
            <w:lang w:val="es-ES"/>
          </w:rPr>
          <w:t>http://www.movimientoprojusticia.org.gt/images/Archivos%202022/</w:t>
        </w:r>
        <w:r w:rsidRPr="00D807B1">
          <w:rPr>
            <w:rStyle w:val="Hipervnculo"/>
            <w:rFonts w:ascii="Times New Roman" w:hAnsi="Times New Roman" w:cs="Times New Roman"/>
            <w:lang w:val="es-ES"/>
          </w:rPr>
          <w:br/>
          <w:t>Tres%20a%C3%B1os%20prolongaci%C3%B3n%20de%20cortes%20-sept%202022.pdf</w:t>
        </w:r>
      </w:hyperlink>
      <w:r w:rsidRPr="001F7AE4">
        <w:rPr>
          <w:rFonts w:ascii="Times New Roman" w:hAnsi="Times New Roman" w:cs="Times New Roman"/>
          <w:color w:val="000000" w:themeColor="text1"/>
          <w:lang w:val="es-ES"/>
        </w:rPr>
        <w:t>.</w:t>
      </w:r>
    </w:p>
  </w:endnote>
  <w:endnote w:id="14">
    <w:p w14:paraId="6595B91E" w14:textId="19857309" w:rsidR="00AA57D3" w:rsidRPr="00EF6E71" w:rsidRDefault="00AA57D3">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Congreso de la Repúblic</w:t>
      </w:r>
      <w:r w:rsidR="002A23CA" w:rsidRPr="00EF6E71">
        <w:rPr>
          <w:rFonts w:ascii="Times New Roman" w:hAnsi="Times New Roman" w:cs="Times New Roman"/>
          <w:lang w:val="es-ES"/>
        </w:rPr>
        <w:t>a de Guatemala,</w:t>
      </w:r>
      <w:r w:rsidRPr="00EF6E71">
        <w:rPr>
          <w:rFonts w:ascii="Times New Roman" w:hAnsi="Times New Roman" w:cs="Times New Roman"/>
          <w:lang w:val="es-ES"/>
        </w:rPr>
        <w:t xml:space="preserve"> </w:t>
      </w:r>
      <w:r w:rsidRPr="00EF6E71">
        <w:rPr>
          <w:rFonts w:ascii="Times New Roman" w:hAnsi="Times New Roman" w:cs="Times New Roman"/>
          <w:i/>
          <w:iCs/>
          <w:lang w:val="es-ES"/>
        </w:rPr>
        <w:t>Iniciativa 4977</w:t>
      </w:r>
      <w:r w:rsidR="002A23CA" w:rsidRPr="00EF6E71">
        <w:rPr>
          <w:rFonts w:ascii="Times New Roman" w:hAnsi="Times New Roman" w:cs="Times New Roman"/>
          <w:lang w:val="es-ES"/>
        </w:rPr>
        <w:t xml:space="preserve"> (2023),</w:t>
      </w:r>
      <w:r w:rsidRPr="00EF6E71">
        <w:rPr>
          <w:rFonts w:ascii="Times New Roman" w:hAnsi="Times New Roman" w:cs="Times New Roman"/>
          <w:lang w:val="es-ES"/>
        </w:rPr>
        <w:t xml:space="preserve"> </w:t>
      </w:r>
      <w:hyperlink r:id="rId12" w:history="1">
        <w:r w:rsidR="00A114BE" w:rsidRPr="00D807B1">
          <w:rPr>
            <w:rStyle w:val="Hipervnculo"/>
            <w:rFonts w:ascii="Times New Roman" w:hAnsi="Times New Roman" w:cs="Times New Roman"/>
            <w:lang w:val="es-ES"/>
          </w:rPr>
          <w:t>https://www.congreso.gob.gt/buscador_</w:t>
        </w:r>
        <w:r w:rsidR="00A114BE" w:rsidRPr="00D807B1">
          <w:rPr>
            <w:rStyle w:val="Hipervnculo"/>
            <w:rFonts w:ascii="Times New Roman" w:hAnsi="Times New Roman" w:cs="Times New Roman"/>
            <w:lang w:val="es-ES"/>
          </w:rPr>
          <w:br/>
          <w:t>iniciativas/4977</w:t>
        </w:r>
      </w:hyperlink>
      <w:r w:rsidR="002A23CA" w:rsidRPr="00EF6E71">
        <w:rPr>
          <w:rFonts w:ascii="Times New Roman" w:hAnsi="Times New Roman" w:cs="Times New Roman"/>
          <w:lang w:val="es-ES"/>
        </w:rPr>
        <w:t>.</w:t>
      </w:r>
    </w:p>
  </w:endnote>
  <w:endnote w:id="15">
    <w:p w14:paraId="58FBFDF2" w14:textId="6646E418" w:rsidR="00AA57D3" w:rsidRPr="00EF6E71" w:rsidRDefault="00AA57D3">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SEPREM</w:t>
      </w:r>
      <w:r w:rsidR="002A23CA" w:rsidRPr="00EF6E71">
        <w:rPr>
          <w:rFonts w:ascii="Times New Roman" w:hAnsi="Times New Roman" w:cs="Times New Roman"/>
          <w:lang w:val="es-ES"/>
        </w:rPr>
        <w:t>,</w:t>
      </w:r>
      <w:r w:rsidRPr="00EF6E71">
        <w:rPr>
          <w:rFonts w:ascii="Times New Roman" w:hAnsi="Times New Roman" w:cs="Times New Roman"/>
          <w:lang w:val="es-ES"/>
        </w:rPr>
        <w:t xml:space="preserve"> </w:t>
      </w:r>
      <w:r w:rsidRPr="00EF6E71">
        <w:rPr>
          <w:rFonts w:ascii="Times New Roman" w:hAnsi="Times New Roman" w:cs="Times New Roman"/>
          <w:i/>
          <w:iCs/>
          <w:lang w:val="es-ES"/>
        </w:rPr>
        <w:t>Presupuesto de Ingresos y Egresos años 2018 al 2023</w:t>
      </w:r>
      <w:r w:rsidR="002A23CA" w:rsidRPr="00EF6E71">
        <w:rPr>
          <w:rFonts w:ascii="Times New Roman" w:hAnsi="Times New Roman" w:cs="Times New Roman"/>
          <w:lang w:val="es-ES"/>
        </w:rPr>
        <w:t xml:space="preserve">, </w:t>
      </w:r>
      <w:hyperlink r:id="rId13" w:history="1">
        <w:r w:rsidRPr="00EF6E71">
          <w:rPr>
            <w:rStyle w:val="Hipervnculo"/>
            <w:rFonts w:ascii="Times New Roman" w:hAnsi="Times New Roman" w:cs="Times New Roman"/>
            <w:lang w:val="es-ES"/>
          </w:rPr>
          <w:t>https://seprem.gob.gt/7-presupuesto-de-ingresos-y-egresos-2021/</w:t>
        </w:r>
      </w:hyperlink>
      <w:r w:rsidR="002A23CA" w:rsidRPr="00EF6E71">
        <w:rPr>
          <w:rFonts w:ascii="Times New Roman" w:hAnsi="Times New Roman" w:cs="Times New Roman"/>
          <w:lang w:val="es-ES"/>
        </w:rPr>
        <w:t>.</w:t>
      </w:r>
    </w:p>
  </w:endnote>
  <w:endnote w:id="16">
    <w:p w14:paraId="74582C2A" w14:textId="3A3F8AE8" w:rsidR="00AA57D3" w:rsidRPr="00EF6E71" w:rsidRDefault="00AA57D3">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lang w:val="es-ES"/>
        </w:rPr>
        <w:t xml:space="preserve"> SEPREM</w:t>
      </w:r>
      <w:r w:rsidR="002A23CA" w:rsidRPr="00EF6E71">
        <w:rPr>
          <w:rFonts w:ascii="Times New Roman" w:hAnsi="Times New Roman" w:cs="Times New Roman"/>
          <w:lang w:val="es-ES"/>
        </w:rPr>
        <w:t>,</w:t>
      </w:r>
      <w:r w:rsidRPr="00EF6E71">
        <w:rPr>
          <w:rFonts w:ascii="Times New Roman" w:hAnsi="Times New Roman" w:cs="Times New Roman"/>
        </w:rPr>
        <w:t xml:space="preserve"> </w:t>
      </w:r>
      <w:r w:rsidRPr="00EF6E71">
        <w:rPr>
          <w:rFonts w:ascii="Times New Roman" w:hAnsi="Times New Roman" w:cs="Times New Roman"/>
          <w:i/>
          <w:iCs/>
        </w:rPr>
        <w:t>Número y nombre de funcionarios, servidores públicos, empleados y asesores. Reglón 011, 021, 029, 081 año 2023</w:t>
      </w:r>
      <w:r w:rsidR="002A23CA" w:rsidRPr="00EF6E71">
        <w:rPr>
          <w:rFonts w:ascii="Times New Roman" w:hAnsi="Times New Roman" w:cs="Times New Roman"/>
        </w:rPr>
        <w:t>,</w:t>
      </w:r>
      <w:r w:rsidRPr="00EF6E71">
        <w:rPr>
          <w:rFonts w:ascii="Times New Roman" w:hAnsi="Times New Roman" w:cs="Times New Roman"/>
        </w:rPr>
        <w:t xml:space="preserve">  </w:t>
      </w:r>
      <w:hyperlink r:id="rId14" w:history="1">
        <w:r w:rsidRPr="00EF6E71">
          <w:rPr>
            <w:rStyle w:val="Hipervnculo"/>
            <w:rFonts w:ascii="Times New Roman" w:hAnsi="Times New Roman" w:cs="Times New Roman"/>
          </w:rPr>
          <w:t>https://seprem.gob.gt/4-numero-y-nombre-de-funcionarios-servidores-publicos-empleados-y-asesores-2021/</w:t>
        </w:r>
        <w:r w:rsidR="002A23CA" w:rsidRPr="00EF6E71">
          <w:rPr>
            <w:rStyle w:val="Hipervnculo"/>
            <w:rFonts w:ascii="Times New Roman" w:hAnsi="Times New Roman" w:cs="Times New Roman"/>
          </w:rPr>
          <w:t>.</w:t>
        </w:r>
      </w:hyperlink>
    </w:p>
  </w:endnote>
  <w:endnote w:id="17">
    <w:p w14:paraId="753E4040" w14:textId="4AE0032B" w:rsidR="002802CA" w:rsidRPr="00EF6E71" w:rsidRDefault="002802CA">
      <w:pPr>
        <w:pStyle w:val="Textonotaalfinal"/>
        <w:rPr>
          <w:rFonts w:ascii="Times New Roman" w:hAnsi="Times New Roman" w:cs="Times New Roman"/>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Style w:val="cf01"/>
          <w:rFonts w:ascii="Times New Roman" w:hAnsi="Times New Roman" w:cs="Times New Roman"/>
          <w:sz w:val="20"/>
          <w:szCs w:val="20"/>
        </w:rPr>
        <w:t>REDNOVI</w:t>
      </w:r>
      <w:r w:rsidR="002A23CA" w:rsidRPr="00EF6E71">
        <w:rPr>
          <w:rStyle w:val="cf01"/>
          <w:rFonts w:ascii="Times New Roman" w:hAnsi="Times New Roman" w:cs="Times New Roman"/>
          <w:sz w:val="20"/>
          <w:szCs w:val="20"/>
        </w:rPr>
        <w:t>,</w:t>
      </w:r>
      <w:r w:rsidRPr="00EF6E71">
        <w:rPr>
          <w:rStyle w:val="cf01"/>
          <w:rFonts w:ascii="Times New Roman" w:hAnsi="Times New Roman" w:cs="Times New Roman"/>
          <w:sz w:val="20"/>
          <w:szCs w:val="20"/>
        </w:rPr>
        <w:t xml:space="preserve"> </w:t>
      </w:r>
      <w:r w:rsidRPr="00EF6E71">
        <w:rPr>
          <w:rStyle w:val="cf01"/>
          <w:rFonts w:ascii="Times New Roman" w:hAnsi="Times New Roman" w:cs="Times New Roman"/>
          <w:i/>
          <w:iCs/>
          <w:sz w:val="20"/>
          <w:szCs w:val="20"/>
        </w:rPr>
        <w:t>Sistematización de información sobre participación de organizaciones de mujeres en CONAPREVI</w:t>
      </w:r>
      <w:r w:rsidRPr="00EF6E71">
        <w:rPr>
          <w:rStyle w:val="cf01"/>
          <w:rFonts w:ascii="Times New Roman" w:hAnsi="Times New Roman" w:cs="Times New Roman"/>
          <w:sz w:val="20"/>
          <w:szCs w:val="20"/>
        </w:rPr>
        <w:t xml:space="preserve"> (2023)</w:t>
      </w:r>
      <w:r w:rsidR="002A23CA" w:rsidRPr="00EF6E71">
        <w:rPr>
          <w:rStyle w:val="cf01"/>
          <w:rFonts w:ascii="Times New Roman" w:hAnsi="Times New Roman" w:cs="Times New Roman"/>
          <w:sz w:val="20"/>
          <w:szCs w:val="20"/>
        </w:rPr>
        <w:t>, on file with the authors</w:t>
      </w:r>
      <w:r w:rsidRPr="00EF6E71">
        <w:rPr>
          <w:rStyle w:val="cf01"/>
          <w:rFonts w:ascii="Times New Roman" w:hAnsi="Times New Roman" w:cs="Times New Roman"/>
          <w:sz w:val="20"/>
          <w:szCs w:val="20"/>
        </w:rPr>
        <w:t>.</w:t>
      </w:r>
    </w:p>
  </w:endnote>
  <w:endnote w:id="18">
    <w:p w14:paraId="30D18F77" w14:textId="56E2FD53" w:rsidR="00546563" w:rsidRPr="00EF6E71" w:rsidRDefault="00546563">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REDNOVI</w:t>
      </w:r>
      <w:r w:rsidR="002A23CA" w:rsidRPr="00EF6E71">
        <w:rPr>
          <w:rFonts w:ascii="Times New Roman" w:hAnsi="Times New Roman" w:cs="Times New Roman"/>
          <w:lang w:val="es-ES"/>
        </w:rPr>
        <w:t xml:space="preserve">, </w:t>
      </w:r>
      <w:r w:rsidRPr="00EF6E71">
        <w:rPr>
          <w:rFonts w:ascii="Times New Roman" w:hAnsi="Times New Roman" w:cs="Times New Roman"/>
          <w:i/>
          <w:iCs/>
          <w:lang w:val="es-ES"/>
        </w:rPr>
        <w:t>Base de datos de denuncias de Violencia contra las Mujeres años 2018 al 2023, con fuente de Ministerio Público</w:t>
      </w:r>
      <w:r w:rsidR="002A23CA" w:rsidRPr="00EF6E71">
        <w:rPr>
          <w:rFonts w:ascii="Times New Roman" w:hAnsi="Times New Roman" w:cs="Times New Roman"/>
          <w:i/>
          <w:iCs/>
          <w:lang w:val="es-ES"/>
        </w:rPr>
        <w:t xml:space="preserve"> </w:t>
      </w:r>
      <w:r w:rsidR="002A23CA" w:rsidRPr="00EF6E71">
        <w:rPr>
          <w:rFonts w:ascii="Times New Roman" w:hAnsi="Times New Roman" w:cs="Times New Roman"/>
          <w:lang w:val="es-ES"/>
        </w:rPr>
        <w:t>(2023), on file with the authors.</w:t>
      </w:r>
    </w:p>
  </w:endnote>
  <w:endnote w:id="19">
    <w:p w14:paraId="0D6CB8E0" w14:textId="0A18719D" w:rsidR="00F942E0" w:rsidRPr="00EF6E71" w:rsidRDefault="00F942E0">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Instituto Nacional de Ciencias Forenses de Guatemala-INACIF</w:t>
      </w:r>
      <w:r w:rsidR="002A23CA" w:rsidRPr="00EF6E71">
        <w:rPr>
          <w:rFonts w:ascii="Times New Roman" w:hAnsi="Times New Roman" w:cs="Times New Roman"/>
          <w:lang w:val="es-ES"/>
        </w:rPr>
        <w:t>,</w:t>
      </w:r>
      <w:r w:rsidRPr="00EF6E71">
        <w:rPr>
          <w:rFonts w:ascii="Times New Roman" w:hAnsi="Times New Roman" w:cs="Times New Roman"/>
          <w:lang w:val="es-ES"/>
        </w:rPr>
        <w:t xml:space="preserve"> </w:t>
      </w:r>
      <w:r w:rsidRPr="00EF6E71">
        <w:rPr>
          <w:rFonts w:ascii="Times New Roman" w:hAnsi="Times New Roman" w:cs="Times New Roman"/>
          <w:i/>
          <w:iCs/>
          <w:lang w:val="es-ES"/>
        </w:rPr>
        <w:t>Consolidado de solicitudes anual y mensual 2018 a junio 2023</w:t>
      </w:r>
      <w:r w:rsidRPr="00EF6E71">
        <w:rPr>
          <w:rFonts w:ascii="Times New Roman" w:hAnsi="Times New Roman" w:cs="Times New Roman"/>
          <w:lang w:val="es-ES"/>
        </w:rPr>
        <w:t xml:space="preserve">, </w:t>
      </w:r>
      <w:r w:rsidRPr="00EF6E71">
        <w:rPr>
          <w:rFonts w:ascii="Times New Roman" w:hAnsi="Times New Roman" w:cs="Times New Roman"/>
          <w:i/>
          <w:iCs/>
          <w:lang w:val="es-ES"/>
        </w:rPr>
        <w:t>Evaluaciones Área Clínic</w:t>
      </w:r>
      <w:r w:rsidR="002A23CA" w:rsidRPr="00EF6E71">
        <w:rPr>
          <w:rFonts w:ascii="Times New Roman" w:hAnsi="Times New Roman" w:cs="Times New Roman"/>
          <w:i/>
          <w:iCs/>
          <w:lang w:val="es-ES"/>
        </w:rPr>
        <w:t>a</w:t>
      </w:r>
      <w:r w:rsidR="002A23CA" w:rsidRPr="00EF6E71">
        <w:rPr>
          <w:rFonts w:ascii="Times New Roman" w:hAnsi="Times New Roman" w:cs="Times New Roman"/>
          <w:lang w:val="es-ES"/>
        </w:rPr>
        <w:t xml:space="preserve"> (2023), </w:t>
      </w:r>
      <w:hyperlink r:id="rId15" w:history="1">
        <w:r w:rsidRPr="00EF6E71">
          <w:rPr>
            <w:rStyle w:val="Hipervnculo"/>
            <w:rFonts w:ascii="Times New Roman" w:hAnsi="Times New Roman" w:cs="Times New Roman"/>
            <w:lang w:val="es-ES"/>
          </w:rPr>
          <w:t>https://www.inacif.gob.gt/index.php/datos-numericos/informacion-anual</w:t>
        </w:r>
      </w:hyperlink>
      <w:r w:rsidR="002A23CA" w:rsidRPr="00EF6E71">
        <w:rPr>
          <w:rFonts w:ascii="Times New Roman" w:hAnsi="Times New Roman" w:cs="Times New Roman"/>
          <w:lang w:val="es-ES"/>
        </w:rPr>
        <w:t xml:space="preserve">; </w:t>
      </w:r>
      <w:r w:rsidRPr="00EF6E71">
        <w:rPr>
          <w:rFonts w:ascii="Times New Roman" w:hAnsi="Times New Roman" w:cs="Times New Roman"/>
          <w:lang w:val="es-ES"/>
        </w:rPr>
        <w:t xml:space="preserve"> </w:t>
      </w:r>
      <w:hyperlink r:id="rId16" w:history="1">
        <w:r w:rsidRPr="00EF6E71">
          <w:rPr>
            <w:rStyle w:val="Hipervnculo"/>
            <w:rFonts w:ascii="Times New Roman" w:hAnsi="Times New Roman" w:cs="Times New Roman"/>
            <w:lang w:val="es-ES"/>
          </w:rPr>
          <w:t>https://www.inacif.gob.gt/index.php/datos-numericos/informacion-mensual</w:t>
        </w:r>
      </w:hyperlink>
      <w:r w:rsidR="002A23CA" w:rsidRPr="00EF6E71">
        <w:rPr>
          <w:rFonts w:ascii="Times New Roman" w:hAnsi="Times New Roman" w:cs="Times New Roman"/>
          <w:lang w:val="es-ES"/>
        </w:rPr>
        <w:t>.</w:t>
      </w:r>
    </w:p>
  </w:endnote>
  <w:endnote w:id="20">
    <w:p w14:paraId="4713840D" w14:textId="567D0688" w:rsidR="00F942E0" w:rsidRPr="00EF6E71" w:rsidRDefault="00F942E0">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Grupo Guatemalteco de Mujeres-GGM</w:t>
      </w:r>
      <w:r w:rsidR="007B2CEB" w:rsidRPr="00EF6E71">
        <w:rPr>
          <w:rFonts w:ascii="Times New Roman" w:hAnsi="Times New Roman" w:cs="Times New Roman"/>
          <w:i/>
          <w:iCs/>
        </w:rPr>
        <w:t xml:space="preserve">, </w:t>
      </w:r>
      <w:r w:rsidRPr="00EF6E71">
        <w:rPr>
          <w:rFonts w:ascii="Times New Roman" w:hAnsi="Times New Roman" w:cs="Times New Roman"/>
          <w:i/>
          <w:iCs/>
        </w:rPr>
        <w:t>Base de datos de Muertes Violentas de Mujeres, datos consignados del 1 de noviembre de 2017 al 30 de junio de 2023</w:t>
      </w:r>
      <w:r w:rsidR="007B2CEB" w:rsidRPr="00EF6E71">
        <w:rPr>
          <w:rFonts w:ascii="Times New Roman" w:hAnsi="Times New Roman" w:cs="Times New Roman"/>
        </w:rPr>
        <w:t>, on file with the authors</w:t>
      </w:r>
      <w:r w:rsidRPr="00EF6E71">
        <w:rPr>
          <w:rFonts w:ascii="Times New Roman" w:hAnsi="Times New Roman" w:cs="Times New Roman"/>
        </w:rPr>
        <w:t>.</w:t>
      </w:r>
    </w:p>
  </w:endnote>
  <w:endnote w:id="21">
    <w:p w14:paraId="56AB0070" w14:textId="347B2CD6" w:rsidR="00F942E0" w:rsidRPr="00EF6E71" w:rsidRDefault="00F942E0" w:rsidP="00F942E0">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007B2CEB" w:rsidRPr="00EF6E71">
        <w:rPr>
          <w:rFonts w:ascii="Times New Roman" w:hAnsi="Times New Roman" w:cs="Times New Roman"/>
          <w:lang w:val="es-ES"/>
        </w:rPr>
        <w:t xml:space="preserve"> </w:t>
      </w:r>
      <w:r w:rsidRPr="00EF6E71">
        <w:rPr>
          <w:rFonts w:ascii="Times New Roman" w:hAnsi="Times New Roman" w:cs="Times New Roman"/>
          <w:lang w:val="es-ES"/>
        </w:rPr>
        <w:t>REDNOVI</w:t>
      </w:r>
      <w:r w:rsidR="007B2CEB" w:rsidRPr="00EF6E71">
        <w:rPr>
          <w:rFonts w:ascii="Times New Roman" w:hAnsi="Times New Roman" w:cs="Times New Roman"/>
          <w:lang w:val="es-ES"/>
        </w:rPr>
        <w:t xml:space="preserve">, </w:t>
      </w:r>
      <w:r w:rsidRPr="00EF6E71">
        <w:rPr>
          <w:rFonts w:ascii="Times New Roman" w:hAnsi="Times New Roman" w:cs="Times New Roman"/>
          <w:i/>
          <w:iCs/>
          <w:lang w:val="es-ES"/>
        </w:rPr>
        <w:t>Base de datos de registro de embarazos y registro de nacimientos de niñas y adolescentes, del 2018 a julio de 2023 con información del Observatorio de Salud Reproductiva</w:t>
      </w:r>
      <w:r w:rsidR="007B2CEB" w:rsidRPr="00EF6E71">
        <w:rPr>
          <w:rFonts w:ascii="Times New Roman" w:hAnsi="Times New Roman" w:cs="Times New Roman"/>
          <w:lang w:val="es-ES"/>
        </w:rPr>
        <w:t xml:space="preserve"> (2023), on file with the authors. </w:t>
      </w:r>
    </w:p>
  </w:endnote>
  <w:endnote w:id="22">
    <w:p w14:paraId="7FCC0161" w14:textId="54409387" w:rsidR="00F942E0" w:rsidRPr="00EF6E71" w:rsidRDefault="00F942E0">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Sociedad de Profesionales por la Dignidad y la Justicia</w:t>
      </w:r>
      <w:r w:rsidR="007B2CEB" w:rsidRPr="00EF6E71">
        <w:rPr>
          <w:rFonts w:ascii="Times New Roman" w:hAnsi="Times New Roman" w:cs="Times New Roman"/>
        </w:rPr>
        <w:t>,</w:t>
      </w:r>
      <w:r w:rsidRPr="00EF6E71">
        <w:rPr>
          <w:rFonts w:ascii="Times New Roman" w:hAnsi="Times New Roman" w:cs="Times New Roman"/>
        </w:rPr>
        <w:t xml:space="preserve"> </w:t>
      </w:r>
      <w:r w:rsidRPr="00EF6E71">
        <w:rPr>
          <w:rFonts w:ascii="Times New Roman" w:hAnsi="Times New Roman" w:cs="Times New Roman"/>
          <w:i/>
          <w:iCs/>
        </w:rPr>
        <w:t>Investigación años 2020 al 2022 y 12 casos paradigmáticos acompañados del 2021 a 2023</w:t>
      </w:r>
      <w:r w:rsidR="007B2CEB" w:rsidRPr="00EF6E71">
        <w:rPr>
          <w:rFonts w:ascii="Times New Roman" w:hAnsi="Times New Roman" w:cs="Times New Roman"/>
          <w:i/>
          <w:iCs/>
        </w:rPr>
        <w:t xml:space="preserve"> </w:t>
      </w:r>
      <w:r w:rsidR="007B2CEB" w:rsidRPr="00EF6E71">
        <w:rPr>
          <w:rFonts w:ascii="Times New Roman" w:hAnsi="Times New Roman" w:cs="Times New Roman"/>
        </w:rPr>
        <w:t>(2023), on file with the authors.</w:t>
      </w:r>
    </w:p>
  </w:endnote>
  <w:endnote w:id="23">
    <w:p w14:paraId="0F79EC06" w14:textId="61D20955" w:rsidR="00F942E0" w:rsidRPr="00EF6E71" w:rsidRDefault="00F942E0">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Grupo Guatemalteco de Mujeres-GGM</w:t>
      </w:r>
      <w:r w:rsidR="007B2CEB" w:rsidRPr="00EF6E71">
        <w:rPr>
          <w:rFonts w:ascii="Times New Roman" w:hAnsi="Times New Roman" w:cs="Times New Roman"/>
          <w:lang w:val="es-ES"/>
        </w:rPr>
        <w:t>,</w:t>
      </w:r>
      <w:r w:rsidRPr="00EF6E71">
        <w:rPr>
          <w:rFonts w:ascii="Times New Roman" w:hAnsi="Times New Roman" w:cs="Times New Roman"/>
          <w:lang w:val="es-ES"/>
        </w:rPr>
        <w:t xml:space="preserve"> </w:t>
      </w:r>
      <w:r w:rsidRPr="00EF6E71">
        <w:rPr>
          <w:rFonts w:ascii="Times New Roman" w:hAnsi="Times New Roman" w:cs="Times New Roman"/>
          <w:i/>
          <w:iCs/>
          <w:lang w:val="es-ES"/>
        </w:rPr>
        <w:t>Reporte de Alerta Isabel Claudina según año de ocurrencia, con información de Observatorio de las mujeres del Ministerio Públic</w:t>
      </w:r>
      <w:r w:rsidR="007B2CEB" w:rsidRPr="00EF6E71">
        <w:rPr>
          <w:rFonts w:ascii="Times New Roman" w:hAnsi="Times New Roman" w:cs="Times New Roman"/>
          <w:i/>
          <w:iCs/>
          <w:lang w:val="es-ES"/>
        </w:rPr>
        <w:t xml:space="preserve">o </w:t>
      </w:r>
      <w:r w:rsidR="007B2CEB" w:rsidRPr="00EF6E71">
        <w:rPr>
          <w:rFonts w:ascii="Times New Roman" w:hAnsi="Times New Roman" w:cs="Times New Roman"/>
          <w:lang w:val="es-ES"/>
        </w:rPr>
        <w:t>(2023), on file with the authors.</w:t>
      </w:r>
    </w:p>
  </w:endnote>
  <w:endnote w:id="24">
    <w:p w14:paraId="507BD280" w14:textId="2C373507" w:rsidR="00F942E0" w:rsidRPr="00EF6E71" w:rsidRDefault="00F942E0">
      <w:pPr>
        <w:pStyle w:val="Textonotaalfinal"/>
        <w:rPr>
          <w:rFonts w:ascii="Times New Roman" w:hAnsi="Times New Roman" w:cs="Times New Roman"/>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Plaza Pública</w:t>
      </w:r>
      <w:r w:rsidR="007B2CEB" w:rsidRPr="00EF6E71">
        <w:rPr>
          <w:rFonts w:ascii="Times New Roman" w:hAnsi="Times New Roman" w:cs="Times New Roman"/>
          <w:lang w:val="es-ES"/>
        </w:rPr>
        <w:t xml:space="preserve">, </w:t>
      </w:r>
      <w:r w:rsidRPr="00EF6E71">
        <w:rPr>
          <w:rFonts w:ascii="Times New Roman" w:hAnsi="Times New Roman" w:cs="Times New Roman"/>
          <w:i/>
          <w:iCs/>
          <w:lang w:val="es-ES"/>
        </w:rPr>
        <w:t>Asi justifica el MP la desestimación de casos de violencia contra la</w:t>
      </w:r>
      <w:r w:rsidRPr="00EF6E71">
        <w:rPr>
          <w:rFonts w:ascii="Times New Roman" w:hAnsi="Times New Roman" w:cs="Times New Roman"/>
          <w:lang w:val="es-ES"/>
        </w:rPr>
        <w:t xml:space="preserve"> </w:t>
      </w:r>
      <w:r w:rsidRPr="00EF6E71">
        <w:rPr>
          <w:rFonts w:ascii="Times New Roman" w:hAnsi="Times New Roman" w:cs="Times New Roman"/>
          <w:i/>
          <w:iCs/>
          <w:lang w:val="es-ES"/>
        </w:rPr>
        <w:t>muje</w:t>
      </w:r>
      <w:r w:rsidR="007B2CEB" w:rsidRPr="00EF6E71">
        <w:rPr>
          <w:rFonts w:ascii="Times New Roman" w:hAnsi="Times New Roman" w:cs="Times New Roman"/>
          <w:i/>
          <w:iCs/>
          <w:lang w:val="es-ES"/>
        </w:rPr>
        <w:t>r</w:t>
      </w:r>
      <w:r w:rsidR="007B2CEB" w:rsidRPr="00EF6E71">
        <w:rPr>
          <w:rFonts w:ascii="Times New Roman" w:hAnsi="Times New Roman" w:cs="Times New Roman"/>
        </w:rPr>
        <w:t xml:space="preserve"> (Mar. 10, 2022),</w:t>
      </w:r>
      <w:r w:rsidRPr="00EF6E71">
        <w:rPr>
          <w:rFonts w:ascii="Times New Roman" w:hAnsi="Times New Roman" w:cs="Times New Roman"/>
        </w:rPr>
        <w:t xml:space="preserve"> </w:t>
      </w:r>
      <w:hyperlink r:id="rId17" w:history="1">
        <w:r w:rsidRPr="00EF6E71">
          <w:rPr>
            <w:rStyle w:val="Hipervnculo"/>
            <w:rFonts w:ascii="Times New Roman" w:hAnsi="Times New Roman" w:cs="Times New Roman"/>
            <w:lang w:val="es-ES"/>
          </w:rPr>
          <w:t>https://www.plazapublica.com.gt/content/asi-justifica-el-mp-la-desestimacion-de-casos-de-violencia-contra-la-mujer</w:t>
        </w:r>
      </w:hyperlink>
      <w:r w:rsidR="007B2CEB" w:rsidRPr="00EF6E71">
        <w:rPr>
          <w:rFonts w:ascii="Times New Roman" w:hAnsi="Times New Roman" w:cs="Times New Roman"/>
          <w:lang w:val="es-ES"/>
        </w:rPr>
        <w:t>.</w:t>
      </w:r>
    </w:p>
  </w:endnote>
  <w:endnote w:id="25">
    <w:p w14:paraId="55B0DD84" w14:textId="18D91145" w:rsidR="006E3CAE" w:rsidRPr="00EF6E71" w:rsidRDefault="006E3CAE">
      <w:pPr>
        <w:pStyle w:val="Textonotaalfinal"/>
        <w:rPr>
          <w:rFonts w:ascii="Times New Roman" w:hAnsi="Times New Roman" w:cs="Times New Roman"/>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Style w:val="cf01"/>
          <w:rFonts w:ascii="Times New Roman" w:hAnsi="Times New Roman" w:cs="Times New Roman"/>
          <w:sz w:val="20"/>
          <w:szCs w:val="20"/>
        </w:rPr>
        <w:t>Corte de Constitucionalidad</w:t>
      </w:r>
      <w:r w:rsidR="007B2CEB" w:rsidRPr="00EF6E71">
        <w:rPr>
          <w:rStyle w:val="cf01"/>
          <w:rFonts w:ascii="Times New Roman" w:hAnsi="Times New Roman" w:cs="Times New Roman"/>
          <w:sz w:val="20"/>
          <w:szCs w:val="20"/>
        </w:rPr>
        <w:t xml:space="preserve">, </w:t>
      </w:r>
      <w:r w:rsidRPr="00EF6E71">
        <w:rPr>
          <w:rStyle w:val="cf01"/>
          <w:rFonts w:ascii="Times New Roman" w:hAnsi="Times New Roman" w:cs="Times New Roman"/>
          <w:i/>
          <w:iCs/>
          <w:sz w:val="20"/>
          <w:szCs w:val="20"/>
        </w:rPr>
        <w:t>Resolución 1749 Inconstitucionalidad de la Ley contra el Femicid</w:t>
      </w:r>
      <w:r w:rsidR="007B2CEB" w:rsidRPr="00EF6E71">
        <w:rPr>
          <w:rStyle w:val="cf01"/>
          <w:rFonts w:ascii="Times New Roman" w:hAnsi="Times New Roman" w:cs="Times New Roman"/>
          <w:i/>
          <w:iCs/>
          <w:sz w:val="20"/>
          <w:szCs w:val="20"/>
        </w:rPr>
        <w:t>i</w:t>
      </w:r>
      <w:r w:rsidRPr="00EF6E71">
        <w:rPr>
          <w:rStyle w:val="cf01"/>
          <w:rFonts w:ascii="Times New Roman" w:hAnsi="Times New Roman" w:cs="Times New Roman"/>
          <w:i/>
          <w:iCs/>
          <w:sz w:val="20"/>
          <w:szCs w:val="20"/>
        </w:rPr>
        <w:t>o</w:t>
      </w:r>
      <w:r w:rsidR="007B2CEB" w:rsidRPr="00EF6E71">
        <w:rPr>
          <w:rStyle w:val="cf01"/>
          <w:rFonts w:ascii="Times New Roman" w:hAnsi="Times New Roman" w:cs="Times New Roman"/>
          <w:sz w:val="20"/>
          <w:szCs w:val="20"/>
        </w:rPr>
        <w:t xml:space="preserve"> (2018),</w:t>
      </w:r>
      <w:r w:rsidRPr="00EF6E71">
        <w:rPr>
          <w:rStyle w:val="cf01"/>
          <w:rFonts w:ascii="Times New Roman" w:hAnsi="Times New Roman" w:cs="Times New Roman"/>
          <w:sz w:val="20"/>
          <w:szCs w:val="20"/>
        </w:rPr>
        <w:t xml:space="preserve"> </w:t>
      </w:r>
      <w:hyperlink r:id="rId18" w:history="1">
        <w:r w:rsidRPr="00EF6E71">
          <w:rPr>
            <w:rStyle w:val="Hipervnculo"/>
            <w:rFonts w:ascii="Times New Roman" w:hAnsi="Times New Roman" w:cs="Times New Roman"/>
          </w:rPr>
          <w:t>https://cc.gob.gt/2018/07/03/resolucion-1749-2017-inconstitucionalidad-ley-contra-el-femicidio/</w:t>
        </w:r>
      </w:hyperlink>
      <w:r w:rsidR="007B2CEB" w:rsidRPr="00EF6E71">
        <w:rPr>
          <w:rStyle w:val="cf01"/>
          <w:rFonts w:ascii="Times New Roman" w:hAnsi="Times New Roman" w:cs="Times New Roman"/>
          <w:sz w:val="20"/>
          <w:szCs w:val="20"/>
        </w:rPr>
        <w:t>.</w:t>
      </w:r>
    </w:p>
  </w:endnote>
  <w:endnote w:id="26">
    <w:p w14:paraId="5A700242" w14:textId="4A99F8CF" w:rsidR="006E3CAE" w:rsidRPr="00EF6E71" w:rsidRDefault="006E3CAE">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Secretaría de la Mujer y Análisis de Género, </w:t>
      </w:r>
      <w:r w:rsidRPr="00EF6E71">
        <w:rPr>
          <w:rFonts w:ascii="Times New Roman" w:hAnsi="Times New Roman" w:cs="Times New Roman"/>
          <w:i/>
          <w:iCs/>
        </w:rPr>
        <w:t>Organismo Judicial</w:t>
      </w:r>
      <w:r w:rsidR="00D2643A" w:rsidRPr="00EF6E71">
        <w:rPr>
          <w:rFonts w:ascii="Times New Roman" w:hAnsi="Times New Roman" w:cs="Times New Roman"/>
          <w:i/>
          <w:iCs/>
        </w:rPr>
        <w:t>,</w:t>
      </w:r>
      <w:r w:rsidRPr="00EF6E71">
        <w:rPr>
          <w:rFonts w:ascii="Times New Roman" w:hAnsi="Times New Roman" w:cs="Times New Roman"/>
          <w:i/>
          <w:iCs/>
        </w:rPr>
        <w:t xml:space="preserve"> Modelo de Atención Especializada en Juzgados de Paz</w:t>
      </w:r>
      <w:r w:rsidR="00D2643A" w:rsidRPr="00EF6E71">
        <w:rPr>
          <w:rFonts w:ascii="Times New Roman" w:hAnsi="Times New Roman" w:cs="Times New Roman"/>
          <w:i/>
          <w:iCs/>
        </w:rPr>
        <w:t xml:space="preserve">, </w:t>
      </w:r>
      <w:r w:rsidRPr="00EF6E71">
        <w:rPr>
          <w:rFonts w:ascii="Times New Roman" w:hAnsi="Times New Roman" w:cs="Times New Roman"/>
          <w:i/>
          <w:iCs/>
        </w:rPr>
        <w:t>Proyecto Justicia para Juventud y Géner</w:t>
      </w:r>
      <w:r w:rsidR="00D2643A" w:rsidRPr="00EF6E71">
        <w:rPr>
          <w:rFonts w:ascii="Times New Roman" w:hAnsi="Times New Roman" w:cs="Times New Roman"/>
          <w:i/>
          <w:iCs/>
        </w:rPr>
        <w:t>o</w:t>
      </w:r>
      <w:r w:rsidR="00D2643A" w:rsidRPr="00EF6E71">
        <w:rPr>
          <w:rFonts w:ascii="Times New Roman" w:hAnsi="Times New Roman" w:cs="Times New Roman"/>
        </w:rPr>
        <w:t xml:space="preserve"> (2018), </w:t>
      </w:r>
      <w:hyperlink r:id="rId19" w:history="1">
        <w:r w:rsidR="00D2643A" w:rsidRPr="00EF6E71">
          <w:rPr>
            <w:rStyle w:val="Hipervnculo"/>
            <w:rFonts w:ascii="Times New Roman" w:hAnsi="Times New Roman" w:cs="Times New Roman"/>
          </w:rPr>
          <w:t>http://www.oj.gob.gt/Archivos/SecretariaDeLaMujer/Manuales/2022/Octubre/Modelo%20de%20Atenci%C3%B3n%20Especializada%20para%20Juzgados%20de%20Paz.pdf</w:t>
        </w:r>
      </w:hyperlink>
      <w:r w:rsidR="00D2643A" w:rsidRPr="00EF6E71">
        <w:rPr>
          <w:rFonts w:ascii="Times New Roman" w:hAnsi="Times New Roman" w:cs="Times New Roman"/>
        </w:rPr>
        <w:t>.</w:t>
      </w:r>
    </w:p>
  </w:endnote>
  <w:endnote w:id="27">
    <w:p w14:paraId="168FB9D6" w14:textId="68C2AA03" w:rsidR="006E3CAE" w:rsidRPr="00EF6E71" w:rsidRDefault="006E3CAE">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Plaza Pública</w:t>
      </w:r>
      <w:r w:rsidR="00D2643A" w:rsidRPr="00EF6E71">
        <w:rPr>
          <w:rFonts w:ascii="Times New Roman" w:hAnsi="Times New Roman" w:cs="Times New Roman"/>
        </w:rPr>
        <w:t>,</w:t>
      </w:r>
      <w:r w:rsidRPr="00EF6E71">
        <w:rPr>
          <w:rFonts w:ascii="Times New Roman" w:hAnsi="Times New Roman" w:cs="Times New Roman"/>
        </w:rPr>
        <w:t xml:space="preserve"> </w:t>
      </w:r>
      <w:r w:rsidRPr="00EF6E71">
        <w:rPr>
          <w:rFonts w:ascii="Times New Roman" w:hAnsi="Times New Roman" w:cs="Times New Roman"/>
          <w:i/>
          <w:iCs/>
        </w:rPr>
        <w:t>Enfrentar a dos sistemas de justicia por defenderse y sobrevivir: El caso de Carmela Jolomná</w:t>
      </w:r>
      <w:r w:rsidR="00D2643A" w:rsidRPr="00EF6E71">
        <w:rPr>
          <w:rFonts w:ascii="Times New Roman" w:hAnsi="Times New Roman" w:cs="Times New Roman"/>
          <w:i/>
          <w:iCs/>
        </w:rPr>
        <w:t xml:space="preserve"> </w:t>
      </w:r>
      <w:r w:rsidR="00D2643A" w:rsidRPr="00EF6E71">
        <w:rPr>
          <w:rFonts w:ascii="Times New Roman" w:hAnsi="Times New Roman" w:cs="Times New Roman"/>
        </w:rPr>
        <w:t xml:space="preserve">(Apr. 28, 2022), </w:t>
      </w:r>
      <w:hyperlink r:id="rId20" w:history="1">
        <w:r w:rsidR="00D2643A" w:rsidRPr="00EF6E71">
          <w:rPr>
            <w:rStyle w:val="Hipervnculo"/>
            <w:rFonts w:ascii="Times New Roman" w:hAnsi="Times New Roman" w:cs="Times New Roman"/>
          </w:rPr>
          <w:t>https://www.plazapublica.com.gt/content/enfrentar-dos-sistemas-de-justicia-por-defenderse-y-sobrevivir-el-caso-de-carmela-jolomna</w:t>
        </w:r>
      </w:hyperlink>
      <w:r w:rsidR="00D2643A" w:rsidRPr="00EF6E71">
        <w:rPr>
          <w:rFonts w:ascii="Times New Roman" w:hAnsi="Times New Roman" w:cs="Times New Roman"/>
        </w:rPr>
        <w:t>.</w:t>
      </w:r>
    </w:p>
  </w:endnote>
  <w:endnote w:id="28">
    <w:p w14:paraId="19FFAF2E" w14:textId="169E2B94" w:rsidR="006E3CAE" w:rsidRPr="00EF6E71" w:rsidRDefault="006E3CAE">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REDNOVI</w:t>
      </w:r>
      <w:r w:rsidR="00D2643A" w:rsidRPr="00EF6E71">
        <w:rPr>
          <w:rFonts w:ascii="Times New Roman" w:hAnsi="Times New Roman" w:cs="Times New Roman"/>
          <w:lang w:val="es-ES"/>
        </w:rPr>
        <w:t xml:space="preserve">, </w:t>
      </w:r>
      <w:r w:rsidRPr="00EF6E71">
        <w:rPr>
          <w:rFonts w:ascii="Times New Roman" w:hAnsi="Times New Roman" w:cs="Times New Roman"/>
          <w:i/>
          <w:iCs/>
          <w:lang w:val="es-ES"/>
        </w:rPr>
        <w:t>Registro de atenciones iniciales y de seguimiento de mujeres sobrevivientes de violencia en los CAIMUS a cargo de GGM, ANH y ASOGEN 2018 a junio 2023</w:t>
      </w:r>
      <w:r w:rsidR="00D2643A" w:rsidRPr="00EF6E71">
        <w:rPr>
          <w:rFonts w:ascii="Times New Roman" w:hAnsi="Times New Roman" w:cs="Times New Roman"/>
          <w:lang w:val="es-ES"/>
        </w:rPr>
        <w:t xml:space="preserve"> (2023), on file with the authors. </w:t>
      </w:r>
    </w:p>
  </w:endnote>
  <w:endnote w:id="29">
    <w:p w14:paraId="73D8AEE7" w14:textId="7C6F15E7" w:rsidR="006E3CAE" w:rsidRPr="00EF6E71" w:rsidRDefault="006E3CAE">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Grupo Guatemalteco de Mujeres-GGM</w:t>
      </w:r>
      <w:r w:rsidR="00D2643A" w:rsidRPr="00EF6E71">
        <w:rPr>
          <w:rFonts w:ascii="Times New Roman" w:hAnsi="Times New Roman" w:cs="Times New Roman"/>
          <w:lang w:val="es-ES"/>
        </w:rPr>
        <w:t xml:space="preserve">, </w:t>
      </w:r>
      <w:r w:rsidRPr="00EF6E71">
        <w:rPr>
          <w:rFonts w:ascii="Times New Roman" w:hAnsi="Times New Roman" w:cs="Times New Roman"/>
          <w:i/>
          <w:iCs/>
          <w:lang w:val="es-ES"/>
        </w:rPr>
        <w:t>Recursos para los Centros de Apoyo Integral para Mujeres Sobrevivientes de Violencia-CAIMUS</w:t>
      </w:r>
      <w:r w:rsidR="00D2643A" w:rsidRPr="00EF6E71">
        <w:rPr>
          <w:rFonts w:ascii="Times New Roman" w:hAnsi="Times New Roman" w:cs="Times New Roman"/>
          <w:lang w:val="es-ES"/>
        </w:rPr>
        <w:t xml:space="preserve"> (2023), presentation on file with the authors.</w:t>
      </w:r>
    </w:p>
  </w:endnote>
  <w:endnote w:id="30">
    <w:p w14:paraId="2FB435E8" w14:textId="09AD95F7" w:rsidR="006E3CAE" w:rsidRPr="00EF6E71" w:rsidRDefault="006E3CAE">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Congreso de la República</w:t>
      </w:r>
      <w:r w:rsidR="00D2643A" w:rsidRPr="00EF6E71">
        <w:rPr>
          <w:rFonts w:ascii="Times New Roman" w:hAnsi="Times New Roman" w:cs="Times New Roman"/>
          <w:lang w:val="es-ES"/>
        </w:rPr>
        <w:t xml:space="preserve">, </w:t>
      </w:r>
      <w:r w:rsidRPr="00EF6E71">
        <w:rPr>
          <w:rFonts w:ascii="Times New Roman" w:hAnsi="Times New Roman" w:cs="Times New Roman"/>
          <w:i/>
          <w:iCs/>
          <w:lang w:val="es-ES"/>
        </w:rPr>
        <w:t>Decreto 50-2016 y 141-2017</w:t>
      </w:r>
      <w:r w:rsidR="00D2643A" w:rsidRPr="00EF6E71">
        <w:rPr>
          <w:rFonts w:ascii="Times New Roman" w:hAnsi="Times New Roman" w:cs="Times New Roman"/>
          <w:i/>
          <w:iCs/>
          <w:lang w:val="es-ES"/>
        </w:rPr>
        <w:t xml:space="preserve">, </w:t>
      </w:r>
      <w:r w:rsidRPr="00EF6E71">
        <w:rPr>
          <w:rFonts w:ascii="Times New Roman" w:hAnsi="Times New Roman" w:cs="Times New Roman"/>
          <w:i/>
          <w:iCs/>
          <w:lang w:val="es-ES"/>
        </w:rPr>
        <w:t>Ley del Presupuesto General de Ingresos y Egresos del Estado para el Ejercicio Fiscal 2017 y 2018</w:t>
      </w:r>
      <w:r w:rsidR="00D2643A" w:rsidRPr="00EF6E71">
        <w:rPr>
          <w:rFonts w:ascii="Times New Roman" w:hAnsi="Times New Roman" w:cs="Times New Roman"/>
          <w:lang w:val="es-ES"/>
        </w:rPr>
        <w:t xml:space="preserve">, </w:t>
      </w:r>
      <w:r w:rsidRPr="00EF6E71">
        <w:rPr>
          <w:rFonts w:ascii="Times New Roman" w:hAnsi="Times New Roman" w:cs="Times New Roman"/>
          <w:lang w:val="es-ES"/>
        </w:rPr>
        <w:t xml:space="preserve"> </w:t>
      </w:r>
      <w:hyperlink r:id="rId21" w:history="1">
        <w:r w:rsidRPr="00EF6E71">
          <w:rPr>
            <w:rStyle w:val="Hipervnculo"/>
            <w:rFonts w:ascii="Times New Roman" w:hAnsi="Times New Roman" w:cs="Times New Roman"/>
            <w:lang w:val="es-ES"/>
          </w:rPr>
          <w:t>https://www.minfin.gob.gt/images/archivos/presupuesto2017ap/documentos/DC-050-2016.pdf</w:t>
        </w:r>
      </w:hyperlink>
      <w:r w:rsidR="00D2643A" w:rsidRPr="00EF6E71">
        <w:rPr>
          <w:rFonts w:ascii="Times New Roman" w:hAnsi="Times New Roman" w:cs="Times New Roman"/>
          <w:lang w:val="es-ES"/>
        </w:rPr>
        <w:t xml:space="preserve">; </w:t>
      </w:r>
      <w:hyperlink r:id="rId22" w:history="1">
        <w:r w:rsidRPr="00EF6E71">
          <w:rPr>
            <w:rStyle w:val="Hipervnculo"/>
            <w:rFonts w:ascii="Times New Roman" w:hAnsi="Times New Roman" w:cs="Times New Roman"/>
            <w:lang w:val="es-ES"/>
          </w:rPr>
          <w:t>https://siteal.iiep.unesco.org/sites/default/files/sit_accion_files/decreto_141_de_2017._presupuesto_2018.pdf</w:t>
        </w:r>
      </w:hyperlink>
      <w:r w:rsidR="00D2643A" w:rsidRPr="00EF6E71">
        <w:rPr>
          <w:rFonts w:ascii="Times New Roman" w:hAnsi="Times New Roman" w:cs="Times New Roman"/>
          <w:lang w:val="es-ES"/>
        </w:rPr>
        <w:t>.</w:t>
      </w:r>
    </w:p>
  </w:endnote>
  <w:endnote w:id="31">
    <w:p w14:paraId="7E3C2F7A" w14:textId="5A1EFD0C" w:rsidR="006E3CAE" w:rsidRPr="00EF6E71" w:rsidRDefault="006E3CAE">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Congreso de la República</w:t>
      </w:r>
      <w:r w:rsidR="00D2643A" w:rsidRPr="00EF6E71">
        <w:rPr>
          <w:rFonts w:ascii="Times New Roman" w:hAnsi="Times New Roman" w:cs="Times New Roman"/>
          <w:i/>
          <w:iCs/>
          <w:lang w:val="es-ES"/>
        </w:rPr>
        <w:t>,</w:t>
      </w:r>
      <w:r w:rsidRPr="00EF6E71">
        <w:rPr>
          <w:rFonts w:ascii="Times New Roman" w:hAnsi="Times New Roman" w:cs="Times New Roman"/>
          <w:i/>
          <w:iCs/>
          <w:lang w:val="es-ES"/>
        </w:rPr>
        <w:t xml:space="preserve"> Decreto 16-2021</w:t>
      </w:r>
      <w:r w:rsidR="00D2643A" w:rsidRPr="00EF6E71">
        <w:rPr>
          <w:rFonts w:ascii="Times New Roman" w:hAnsi="Times New Roman" w:cs="Times New Roman"/>
          <w:i/>
          <w:iCs/>
          <w:lang w:val="es-ES"/>
        </w:rPr>
        <w:t>,</w:t>
      </w:r>
      <w:r w:rsidRPr="00EF6E71">
        <w:rPr>
          <w:rFonts w:ascii="Times New Roman" w:hAnsi="Times New Roman" w:cs="Times New Roman"/>
          <w:i/>
          <w:iCs/>
          <w:lang w:val="es-ES"/>
        </w:rPr>
        <w:t xml:space="preserve"> Ley del Presupuesto General de Ingresos y Egresos del Estado para el Ejercicio Fiscal 2022</w:t>
      </w:r>
      <w:r w:rsidR="00D2643A" w:rsidRPr="00EF6E71">
        <w:rPr>
          <w:rFonts w:ascii="Times New Roman" w:hAnsi="Times New Roman" w:cs="Times New Roman"/>
          <w:lang w:val="es-ES"/>
        </w:rPr>
        <w:t xml:space="preserve">, </w:t>
      </w:r>
      <w:hyperlink r:id="rId23" w:history="1">
        <w:r w:rsidRPr="00EF6E71">
          <w:rPr>
            <w:rStyle w:val="Hipervnculo"/>
            <w:rFonts w:ascii="Times New Roman" w:hAnsi="Times New Roman" w:cs="Times New Roman"/>
            <w:lang w:val="es-ES"/>
          </w:rPr>
          <w:t>https://www.minfin.gob.gt/images/laip_mfp/docs/Dcto16-2021.pdf</w:t>
        </w:r>
      </w:hyperlink>
      <w:r w:rsidR="00D2643A" w:rsidRPr="00EF6E71">
        <w:rPr>
          <w:rFonts w:ascii="Times New Roman" w:hAnsi="Times New Roman" w:cs="Times New Roman"/>
          <w:lang w:val="es-ES"/>
        </w:rPr>
        <w:t>.</w:t>
      </w:r>
    </w:p>
  </w:endnote>
  <w:endnote w:id="32">
    <w:p w14:paraId="489C64F3" w14:textId="42E5BD94" w:rsidR="006E3CAE" w:rsidRPr="00EF6E71" w:rsidRDefault="006E3CAE">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Congreso de la República</w:t>
      </w:r>
      <w:r w:rsidR="00D2643A" w:rsidRPr="00EF6E71">
        <w:rPr>
          <w:rFonts w:ascii="Times New Roman" w:hAnsi="Times New Roman" w:cs="Times New Roman"/>
          <w:lang w:val="es-ES"/>
        </w:rPr>
        <w:t xml:space="preserve">, </w:t>
      </w:r>
      <w:r w:rsidRPr="00EF6E71">
        <w:rPr>
          <w:rFonts w:ascii="Times New Roman" w:hAnsi="Times New Roman" w:cs="Times New Roman"/>
          <w:i/>
          <w:iCs/>
          <w:lang w:val="es-ES"/>
        </w:rPr>
        <w:t>Decreto 54-2022 Ley del Presupuesto General de Ingresos y Egresos del Estado para el Ejercicio Fiscal 2022</w:t>
      </w:r>
      <w:r w:rsidR="00D2643A" w:rsidRPr="00EF6E71">
        <w:rPr>
          <w:rFonts w:ascii="Times New Roman" w:hAnsi="Times New Roman" w:cs="Times New Roman"/>
          <w:lang w:val="es-ES"/>
        </w:rPr>
        <w:t xml:space="preserve">, </w:t>
      </w:r>
      <w:hyperlink r:id="rId24" w:history="1">
        <w:r w:rsidRPr="00EF6E71">
          <w:rPr>
            <w:rStyle w:val="Hipervnculo"/>
            <w:rFonts w:ascii="Times New Roman" w:hAnsi="Times New Roman" w:cs="Times New Roman"/>
          </w:rPr>
          <w:t>https://www.congreso.gob.gt/assets/uploads/info_legislativo/decretos/715d9-54-2022.pdf</w:t>
        </w:r>
      </w:hyperlink>
      <w:r w:rsidR="00D2643A" w:rsidRPr="00EF6E71">
        <w:rPr>
          <w:rFonts w:ascii="Times New Roman" w:hAnsi="Times New Roman" w:cs="Times New Roman"/>
        </w:rPr>
        <w:t>.</w:t>
      </w:r>
    </w:p>
  </w:endnote>
  <w:endnote w:id="33">
    <w:p w14:paraId="2F843514" w14:textId="68D36ECC" w:rsidR="002C4159" w:rsidRPr="00EF6E71" w:rsidRDefault="002C4159">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Tribunal Supremo Electoral</w:t>
      </w:r>
      <w:r w:rsidR="00D2643A" w:rsidRPr="00EF6E71">
        <w:rPr>
          <w:rFonts w:ascii="Times New Roman" w:hAnsi="Times New Roman" w:cs="Times New Roman"/>
          <w:lang w:val="es-ES"/>
        </w:rPr>
        <w:t>,</w:t>
      </w:r>
      <w:r w:rsidRPr="00EF6E71">
        <w:rPr>
          <w:rFonts w:ascii="Times New Roman" w:hAnsi="Times New Roman" w:cs="Times New Roman"/>
          <w:lang w:val="es-ES"/>
        </w:rPr>
        <w:t xml:space="preserve"> Consultas de Empadronamiento</w:t>
      </w:r>
      <w:r w:rsidR="00D2643A" w:rsidRPr="00EF6E71">
        <w:rPr>
          <w:rFonts w:ascii="Times New Roman" w:hAnsi="Times New Roman" w:cs="Times New Roman"/>
          <w:lang w:val="es-ES"/>
        </w:rPr>
        <w:t xml:space="preserve"> (2023), </w:t>
      </w:r>
      <w:hyperlink r:id="rId25" w:history="1">
        <w:r w:rsidRPr="00EF6E71">
          <w:rPr>
            <w:rStyle w:val="Hipervnculo"/>
            <w:rFonts w:ascii="Times New Roman" w:hAnsi="Times New Roman" w:cs="Times New Roman"/>
            <w:lang w:val="es-ES"/>
          </w:rPr>
          <w:t>https://tse.org.gt/index.php/sistema-de-estadisticas/estadisticas-de-empadronados</w:t>
        </w:r>
      </w:hyperlink>
      <w:r w:rsidR="00D2643A" w:rsidRPr="00EF6E71">
        <w:rPr>
          <w:rFonts w:ascii="Times New Roman" w:hAnsi="Times New Roman" w:cs="Times New Roman"/>
          <w:lang w:val="es-ES"/>
        </w:rPr>
        <w:t>.</w:t>
      </w:r>
    </w:p>
  </w:endnote>
  <w:endnote w:id="34">
    <w:p w14:paraId="587A6D7B" w14:textId="2D918C2A" w:rsidR="002C4159" w:rsidRPr="00EF6E71" w:rsidRDefault="002C4159" w:rsidP="00D2643A">
      <w:pPr>
        <w:pStyle w:val="pf0"/>
        <w:spacing w:before="0" w:beforeAutospacing="0" w:after="0" w:afterAutospacing="0"/>
        <w:rPr>
          <w:sz w:val="20"/>
          <w:szCs w:val="20"/>
          <w:lang w:val="es-ES"/>
        </w:rPr>
      </w:pPr>
      <w:r w:rsidRPr="00EF6E71">
        <w:rPr>
          <w:rStyle w:val="Refdenotaalfinal"/>
          <w:sz w:val="20"/>
          <w:szCs w:val="20"/>
        </w:rPr>
        <w:endnoteRef/>
      </w:r>
      <w:r w:rsidRPr="00EF6E71">
        <w:rPr>
          <w:sz w:val="20"/>
          <w:szCs w:val="20"/>
          <w:lang w:val="es-ES"/>
        </w:rPr>
        <w:t xml:space="preserve"> </w:t>
      </w:r>
      <w:r w:rsidRPr="00EF6E71">
        <w:rPr>
          <w:rStyle w:val="cf01"/>
          <w:rFonts w:ascii="Times New Roman" w:hAnsi="Times New Roman" w:cs="Times New Roman"/>
          <w:sz w:val="20"/>
          <w:szCs w:val="20"/>
          <w:lang w:val="es-ES"/>
        </w:rPr>
        <w:t>OEA</w:t>
      </w:r>
      <w:r w:rsidR="00D2643A" w:rsidRPr="00EF6E71">
        <w:rPr>
          <w:rStyle w:val="cf01"/>
          <w:rFonts w:ascii="Times New Roman" w:hAnsi="Times New Roman" w:cs="Times New Roman"/>
          <w:sz w:val="20"/>
          <w:szCs w:val="20"/>
          <w:lang w:val="es-ES"/>
        </w:rPr>
        <w:t>,</w:t>
      </w:r>
      <w:r w:rsidRPr="00EF6E71">
        <w:rPr>
          <w:rStyle w:val="cf01"/>
          <w:rFonts w:ascii="Times New Roman" w:hAnsi="Times New Roman" w:cs="Times New Roman"/>
          <w:sz w:val="20"/>
          <w:szCs w:val="20"/>
          <w:lang w:val="es-ES"/>
        </w:rPr>
        <w:t xml:space="preserve"> Comunicado de Prensa C-049-23</w:t>
      </w:r>
      <w:r w:rsidR="00D2643A" w:rsidRPr="00EF6E71">
        <w:rPr>
          <w:rStyle w:val="cf01"/>
          <w:rFonts w:ascii="Times New Roman" w:hAnsi="Times New Roman" w:cs="Times New Roman"/>
          <w:sz w:val="20"/>
          <w:szCs w:val="20"/>
          <w:lang w:val="es-ES"/>
        </w:rPr>
        <w:t>,</w:t>
      </w:r>
      <w:r w:rsidRPr="00EF6E71">
        <w:rPr>
          <w:rStyle w:val="cf01"/>
          <w:rFonts w:ascii="Times New Roman" w:hAnsi="Times New Roman" w:cs="Times New Roman"/>
          <w:sz w:val="20"/>
          <w:szCs w:val="20"/>
          <w:lang w:val="es-ES"/>
        </w:rPr>
        <w:t xml:space="preserve"> </w:t>
      </w:r>
      <w:r w:rsidRPr="00EF6E71">
        <w:rPr>
          <w:rStyle w:val="cf01"/>
          <w:rFonts w:ascii="Times New Roman" w:hAnsi="Times New Roman" w:cs="Times New Roman"/>
          <w:i/>
          <w:iCs/>
          <w:sz w:val="20"/>
          <w:szCs w:val="20"/>
          <w:lang w:val="es-ES"/>
        </w:rPr>
        <w:t>Misión de Observación Electoral de la OEA en Guatemala expresa preocupación por posible suspensión del Movimiento Semilla</w:t>
      </w:r>
      <w:r w:rsidR="00D2643A" w:rsidRPr="00EF6E71">
        <w:rPr>
          <w:rStyle w:val="cf01"/>
          <w:rFonts w:ascii="Times New Roman" w:hAnsi="Times New Roman" w:cs="Times New Roman"/>
          <w:i/>
          <w:iCs/>
          <w:sz w:val="20"/>
          <w:szCs w:val="20"/>
          <w:lang w:val="es-ES"/>
        </w:rPr>
        <w:t xml:space="preserve"> </w:t>
      </w:r>
      <w:r w:rsidR="00D2643A" w:rsidRPr="00EF6E71">
        <w:rPr>
          <w:sz w:val="20"/>
          <w:szCs w:val="20"/>
          <w:lang w:val="es-ES"/>
        </w:rPr>
        <w:t>(2023)</w:t>
      </w:r>
      <w:r w:rsidR="00D2643A" w:rsidRPr="00EF6E71">
        <w:rPr>
          <w:rStyle w:val="cf01"/>
          <w:rFonts w:ascii="Times New Roman" w:hAnsi="Times New Roman" w:cs="Times New Roman"/>
          <w:sz w:val="20"/>
          <w:szCs w:val="20"/>
          <w:lang w:val="es-ES"/>
        </w:rPr>
        <w:t>,</w:t>
      </w:r>
      <w:r w:rsidRPr="00EF6E71">
        <w:rPr>
          <w:rStyle w:val="cf01"/>
          <w:rFonts w:ascii="Times New Roman" w:hAnsi="Times New Roman" w:cs="Times New Roman"/>
          <w:sz w:val="20"/>
          <w:szCs w:val="20"/>
          <w:lang w:val="es-ES"/>
        </w:rPr>
        <w:t xml:space="preserve"> </w:t>
      </w:r>
      <w:hyperlink r:id="rId26" w:history="1">
        <w:r w:rsidRPr="00EF6E71">
          <w:rPr>
            <w:rStyle w:val="Hipervnculo"/>
            <w:sz w:val="20"/>
            <w:szCs w:val="20"/>
            <w:lang w:val="es-ES"/>
          </w:rPr>
          <w:t>https://www.oas.org/es/centro_noticias/comunicado_prensa.asp?sCodigo=C-049/23</w:t>
        </w:r>
      </w:hyperlink>
      <w:r w:rsidRPr="00EF6E71">
        <w:rPr>
          <w:rStyle w:val="cf01"/>
          <w:rFonts w:ascii="Times New Roman" w:hAnsi="Times New Roman" w:cs="Times New Roman"/>
          <w:sz w:val="20"/>
          <w:szCs w:val="20"/>
          <w:lang w:val="es-ES"/>
        </w:rPr>
        <w:t>. Prensa Libre</w:t>
      </w:r>
      <w:r w:rsidR="00D2643A" w:rsidRPr="00EF6E71">
        <w:rPr>
          <w:rStyle w:val="cf01"/>
          <w:rFonts w:ascii="Times New Roman" w:hAnsi="Times New Roman" w:cs="Times New Roman"/>
          <w:sz w:val="20"/>
          <w:szCs w:val="20"/>
          <w:lang w:val="es-ES"/>
        </w:rPr>
        <w:t>,</w:t>
      </w:r>
      <w:r w:rsidRPr="00EF6E71">
        <w:rPr>
          <w:rStyle w:val="cf01"/>
          <w:rFonts w:ascii="Times New Roman" w:hAnsi="Times New Roman" w:cs="Times New Roman"/>
          <w:sz w:val="20"/>
          <w:szCs w:val="20"/>
          <w:lang w:val="es-ES"/>
        </w:rPr>
        <w:t xml:space="preserve"> </w:t>
      </w:r>
      <w:r w:rsidRPr="00EF6E71">
        <w:rPr>
          <w:rStyle w:val="cf01"/>
          <w:rFonts w:ascii="Times New Roman" w:hAnsi="Times New Roman" w:cs="Times New Roman"/>
          <w:i/>
          <w:iCs/>
          <w:sz w:val="20"/>
          <w:szCs w:val="20"/>
          <w:lang w:val="es-ES"/>
        </w:rPr>
        <w:t>Registro de Ciudadanos niega la inscripción del Movimiento de Liberación de los Pueblos</w:t>
      </w:r>
      <w:r w:rsidR="00D2643A" w:rsidRPr="00EF6E71">
        <w:rPr>
          <w:rStyle w:val="cf01"/>
          <w:rFonts w:ascii="Times New Roman" w:hAnsi="Times New Roman" w:cs="Times New Roman"/>
          <w:sz w:val="20"/>
          <w:szCs w:val="20"/>
          <w:lang w:val="es-ES"/>
        </w:rPr>
        <w:t xml:space="preserve"> (Jan. 28, 2023), </w:t>
      </w:r>
      <w:hyperlink r:id="rId27" w:history="1">
        <w:r w:rsidRPr="00EF6E71">
          <w:rPr>
            <w:rStyle w:val="Hipervnculo"/>
            <w:sz w:val="20"/>
            <w:szCs w:val="20"/>
            <w:lang w:val="es-ES"/>
          </w:rPr>
          <w:t>https://www.prensalibre.com/guatemala/elecciones-generales-guatemala-2023/registro-de-ciudadanos-tse-niega-inscripcion-de-binomio-del-movimiento-de-liberacion-de-los-pueblos-agrupacion-asegura-que-no-ha-sido-notificada-breaking/</w:t>
        </w:r>
      </w:hyperlink>
      <w:r w:rsidR="00D2643A" w:rsidRPr="00EF6E71">
        <w:rPr>
          <w:rStyle w:val="cf01"/>
          <w:rFonts w:ascii="Times New Roman" w:hAnsi="Times New Roman" w:cs="Times New Roman"/>
          <w:sz w:val="20"/>
          <w:szCs w:val="20"/>
          <w:lang w:val="es-ES"/>
        </w:rPr>
        <w:t>.</w:t>
      </w:r>
    </w:p>
  </w:endnote>
  <w:endnote w:id="35">
    <w:p w14:paraId="0DE3C2F4" w14:textId="3BCC1F80" w:rsidR="002C4159" w:rsidRPr="00EF6E71" w:rsidRDefault="002C4159" w:rsidP="00D2643A">
      <w:pPr>
        <w:pStyle w:val="pf0"/>
        <w:spacing w:before="0" w:beforeAutospacing="0" w:after="0" w:afterAutospacing="0"/>
        <w:rPr>
          <w:sz w:val="20"/>
          <w:szCs w:val="20"/>
          <w:lang w:val="es-ES"/>
        </w:rPr>
      </w:pPr>
      <w:r w:rsidRPr="00EF6E71">
        <w:rPr>
          <w:rStyle w:val="Refdenotaalfinal"/>
          <w:sz w:val="20"/>
          <w:szCs w:val="20"/>
        </w:rPr>
        <w:endnoteRef/>
      </w:r>
      <w:r w:rsidRPr="00EF6E71">
        <w:rPr>
          <w:sz w:val="20"/>
          <w:szCs w:val="20"/>
          <w:lang w:val="es-ES"/>
        </w:rPr>
        <w:t xml:space="preserve"> </w:t>
      </w:r>
      <w:r w:rsidRPr="00EF6E71">
        <w:rPr>
          <w:rStyle w:val="cf01"/>
          <w:rFonts w:ascii="Times New Roman" w:hAnsi="Times New Roman" w:cs="Times New Roman"/>
          <w:sz w:val="20"/>
          <w:szCs w:val="20"/>
          <w:lang w:val="es-ES"/>
        </w:rPr>
        <w:t>Tribunal Supremo Electoral-TSE</w:t>
      </w:r>
      <w:r w:rsidR="00D2643A" w:rsidRPr="00EF6E71">
        <w:rPr>
          <w:rStyle w:val="cf01"/>
          <w:rFonts w:ascii="Times New Roman" w:hAnsi="Times New Roman" w:cs="Times New Roman"/>
          <w:sz w:val="20"/>
          <w:szCs w:val="20"/>
          <w:lang w:val="es-ES"/>
        </w:rPr>
        <w:t>,</w:t>
      </w:r>
      <w:r w:rsidRPr="00EF6E71">
        <w:rPr>
          <w:rStyle w:val="cf01"/>
          <w:rFonts w:ascii="Times New Roman" w:hAnsi="Times New Roman" w:cs="Times New Roman"/>
          <w:sz w:val="20"/>
          <w:szCs w:val="20"/>
          <w:lang w:val="es-ES"/>
        </w:rPr>
        <w:t xml:space="preserve"> </w:t>
      </w:r>
      <w:r w:rsidRPr="00EF6E71">
        <w:rPr>
          <w:rStyle w:val="cf01"/>
          <w:rFonts w:ascii="Times New Roman" w:hAnsi="Times New Roman" w:cs="Times New Roman"/>
          <w:i/>
          <w:iCs/>
          <w:sz w:val="20"/>
          <w:szCs w:val="20"/>
          <w:lang w:val="es-ES"/>
        </w:rPr>
        <w:t>Lista de partidos políticos</w:t>
      </w:r>
      <w:r w:rsidR="00D2643A" w:rsidRPr="00EF6E71">
        <w:rPr>
          <w:rStyle w:val="cf01"/>
          <w:rFonts w:ascii="Times New Roman" w:hAnsi="Times New Roman" w:cs="Times New Roman"/>
          <w:sz w:val="20"/>
          <w:szCs w:val="20"/>
          <w:lang w:val="es-ES"/>
        </w:rPr>
        <w:t xml:space="preserve"> (2023), </w:t>
      </w:r>
      <w:hyperlink r:id="rId28" w:history="1">
        <w:r w:rsidR="00A114BE" w:rsidRPr="00D807B1">
          <w:rPr>
            <w:rStyle w:val="Hipervnculo"/>
            <w:sz w:val="20"/>
            <w:szCs w:val="20"/>
            <w:lang w:val="es-ES"/>
          </w:rPr>
          <w:t>https://www.tse.org.gt/images/descargas</w:t>
        </w:r>
        <w:r w:rsidR="00A114BE" w:rsidRPr="00D807B1">
          <w:rPr>
            <w:rStyle w:val="Hipervnculo"/>
            <w:sz w:val="20"/>
            <w:szCs w:val="20"/>
            <w:lang w:val="es-ES"/>
          </w:rPr>
          <w:br/>
          <w:t>/LPP030823.pdf</w:t>
        </w:r>
      </w:hyperlink>
      <w:r w:rsidR="00D2643A" w:rsidRPr="00EF6E71">
        <w:rPr>
          <w:rStyle w:val="cf01"/>
          <w:rFonts w:ascii="Times New Roman" w:hAnsi="Times New Roman" w:cs="Times New Roman"/>
          <w:sz w:val="20"/>
          <w:szCs w:val="20"/>
          <w:lang w:val="es-ES"/>
        </w:rPr>
        <w:t>.</w:t>
      </w:r>
    </w:p>
  </w:endnote>
  <w:endnote w:id="36">
    <w:p w14:paraId="00AF8C5B" w14:textId="20E780C5" w:rsidR="002C4159" w:rsidRPr="00EF6E71" w:rsidRDefault="002C4159" w:rsidP="00D2643A">
      <w:pPr>
        <w:pStyle w:val="Textonotaalfinal"/>
        <w:rPr>
          <w:rFonts w:ascii="Times New Roman" w:hAnsi="Times New Roman" w:cs="Times New Roman"/>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Style w:val="cf01"/>
          <w:rFonts w:ascii="Times New Roman" w:hAnsi="Times New Roman" w:cs="Times New Roman"/>
          <w:sz w:val="20"/>
          <w:szCs w:val="20"/>
        </w:rPr>
        <w:t>No Ficción</w:t>
      </w:r>
      <w:r w:rsidR="0045025C" w:rsidRPr="00EF6E71">
        <w:rPr>
          <w:rStyle w:val="cf01"/>
          <w:rFonts w:ascii="Times New Roman" w:hAnsi="Times New Roman" w:cs="Times New Roman"/>
          <w:sz w:val="20"/>
          <w:szCs w:val="20"/>
        </w:rPr>
        <w:t>,</w:t>
      </w:r>
      <w:r w:rsidRPr="00EF6E71">
        <w:rPr>
          <w:rStyle w:val="cf01"/>
          <w:rFonts w:ascii="Times New Roman" w:hAnsi="Times New Roman" w:cs="Times New Roman"/>
          <w:sz w:val="20"/>
          <w:szCs w:val="20"/>
        </w:rPr>
        <w:t xml:space="preserve"> </w:t>
      </w:r>
      <w:r w:rsidRPr="00EF6E71">
        <w:rPr>
          <w:rStyle w:val="cf01"/>
          <w:rFonts w:ascii="Times New Roman" w:hAnsi="Times New Roman" w:cs="Times New Roman"/>
          <w:i/>
          <w:iCs/>
          <w:sz w:val="20"/>
          <w:szCs w:val="20"/>
        </w:rPr>
        <w:t>Sandra Torres, patriotas, pastores y vínculos con narco para reconstruir la UNE</w:t>
      </w:r>
      <w:r w:rsidR="0045025C" w:rsidRPr="00EF6E71">
        <w:rPr>
          <w:rStyle w:val="cf01"/>
          <w:rFonts w:ascii="Times New Roman" w:hAnsi="Times New Roman" w:cs="Times New Roman"/>
          <w:sz w:val="20"/>
          <w:szCs w:val="20"/>
        </w:rPr>
        <w:t xml:space="preserve"> (Mar. 31, 2023),</w:t>
      </w:r>
      <w:r w:rsidRPr="00EF6E71">
        <w:rPr>
          <w:rStyle w:val="cf01"/>
          <w:rFonts w:ascii="Times New Roman" w:hAnsi="Times New Roman" w:cs="Times New Roman"/>
          <w:sz w:val="20"/>
          <w:szCs w:val="20"/>
        </w:rPr>
        <w:t xml:space="preserve"> </w:t>
      </w:r>
      <w:hyperlink r:id="rId29" w:history="1">
        <w:r w:rsidRPr="00EF6E71">
          <w:rPr>
            <w:rStyle w:val="Hipervnculo"/>
            <w:rFonts w:ascii="Times New Roman" w:hAnsi="Times New Roman" w:cs="Times New Roman"/>
          </w:rPr>
          <w:t>https://www.no-ficcion.com/projects/sandra-torres-pastores-narco-patriotas-une</w:t>
        </w:r>
      </w:hyperlink>
      <w:r w:rsidR="0045025C" w:rsidRPr="00EF6E71">
        <w:rPr>
          <w:rStyle w:val="cf01"/>
          <w:rFonts w:ascii="Times New Roman" w:hAnsi="Times New Roman" w:cs="Times New Roman"/>
          <w:sz w:val="20"/>
          <w:szCs w:val="20"/>
        </w:rPr>
        <w:t>.</w:t>
      </w:r>
    </w:p>
  </w:endnote>
  <w:endnote w:id="37">
    <w:p w14:paraId="375221BD" w14:textId="08CE5015" w:rsidR="002C4159" w:rsidRPr="00EF6E71" w:rsidRDefault="002C4159">
      <w:pPr>
        <w:pStyle w:val="Textonotaalfinal"/>
        <w:rPr>
          <w:rFonts w:ascii="Times New Roman" w:hAnsi="Times New Roman" w:cs="Times New Roman"/>
        </w:rPr>
      </w:pPr>
      <w:r w:rsidRPr="00EF6E71">
        <w:rPr>
          <w:rStyle w:val="Refdenotaalfinal"/>
          <w:rFonts w:ascii="Times New Roman" w:hAnsi="Times New Roman" w:cs="Times New Roman"/>
        </w:rPr>
        <w:endnoteRef/>
      </w:r>
      <w:r w:rsidRPr="00EF6E71">
        <w:rPr>
          <w:rFonts w:ascii="Times New Roman" w:hAnsi="Times New Roman" w:cs="Times New Roman"/>
        </w:rPr>
        <w:t xml:space="preserve"> Ojoconmipisto.com</w:t>
      </w:r>
      <w:r w:rsidR="001B2A89" w:rsidRPr="00EF6E71">
        <w:rPr>
          <w:rFonts w:ascii="Times New Roman" w:hAnsi="Times New Roman" w:cs="Times New Roman"/>
        </w:rPr>
        <w:t xml:space="preserve">, </w:t>
      </w:r>
      <w:r w:rsidRPr="00EF6E71">
        <w:rPr>
          <w:rFonts w:ascii="Times New Roman" w:hAnsi="Times New Roman" w:cs="Times New Roman"/>
          <w:i/>
          <w:iCs/>
        </w:rPr>
        <w:t>CICIG: 60 municipalidades fueron ganadas por alcaldes vinculados al narco</w:t>
      </w:r>
      <w:r w:rsidR="001B2A89" w:rsidRPr="00EF6E71">
        <w:rPr>
          <w:rFonts w:ascii="Times New Roman" w:hAnsi="Times New Roman" w:cs="Times New Roman"/>
        </w:rPr>
        <w:t xml:space="preserve"> (Aug. 21, 2019),</w:t>
      </w:r>
      <w:r w:rsidRPr="00EF6E71">
        <w:rPr>
          <w:rFonts w:ascii="Times New Roman" w:hAnsi="Times New Roman" w:cs="Times New Roman"/>
        </w:rPr>
        <w:t xml:space="preserve"> </w:t>
      </w:r>
      <w:hyperlink r:id="rId30" w:history="1">
        <w:r w:rsidRPr="00EF6E71">
          <w:rPr>
            <w:rStyle w:val="Hipervnculo"/>
            <w:rFonts w:ascii="Times New Roman" w:hAnsi="Times New Roman" w:cs="Times New Roman"/>
          </w:rPr>
          <w:t>https://www.ojoconmipisto.com/cicig-60-municipalidades-fueron-ganadas-por-alcaldes-vinculados-al-narco/</w:t>
        </w:r>
      </w:hyperlink>
      <w:r w:rsidR="001B2A89" w:rsidRPr="00EF6E71">
        <w:rPr>
          <w:rFonts w:ascii="Times New Roman" w:hAnsi="Times New Roman" w:cs="Times New Roman"/>
        </w:rPr>
        <w:t>.</w:t>
      </w:r>
    </w:p>
  </w:endnote>
  <w:endnote w:id="38">
    <w:p w14:paraId="7C56285F" w14:textId="62758F10" w:rsidR="002C4159" w:rsidRPr="00EF6E71" w:rsidRDefault="002C4159" w:rsidP="001B2A89">
      <w:pPr>
        <w:pStyle w:val="pf0"/>
        <w:spacing w:before="0" w:beforeAutospacing="0" w:after="0" w:afterAutospacing="0"/>
        <w:rPr>
          <w:sz w:val="20"/>
          <w:szCs w:val="20"/>
          <w:lang w:val="es-GT"/>
        </w:rPr>
      </w:pPr>
      <w:r w:rsidRPr="00EF6E71">
        <w:rPr>
          <w:rStyle w:val="Refdenotaalfinal"/>
          <w:sz w:val="20"/>
          <w:szCs w:val="20"/>
        </w:rPr>
        <w:endnoteRef/>
      </w:r>
      <w:r w:rsidRPr="00EF6E71">
        <w:rPr>
          <w:sz w:val="20"/>
          <w:szCs w:val="20"/>
          <w:lang w:val="es-GT"/>
        </w:rPr>
        <w:t xml:space="preserve"> </w:t>
      </w:r>
      <w:r w:rsidR="00624688" w:rsidRPr="00EF6E71">
        <w:rPr>
          <w:rStyle w:val="cf01"/>
          <w:rFonts w:ascii="Times New Roman" w:hAnsi="Times New Roman" w:cs="Times New Roman"/>
          <w:sz w:val="20"/>
          <w:szCs w:val="20"/>
          <w:lang w:val="es-GT"/>
        </w:rPr>
        <w:t>CIDH</w:t>
      </w:r>
      <w:r w:rsidR="001B2A89" w:rsidRPr="00EF6E71">
        <w:rPr>
          <w:rStyle w:val="cf01"/>
          <w:rFonts w:ascii="Times New Roman" w:hAnsi="Times New Roman" w:cs="Times New Roman"/>
          <w:sz w:val="20"/>
          <w:szCs w:val="20"/>
          <w:lang w:val="es-GT"/>
        </w:rPr>
        <w:t xml:space="preserve">, </w:t>
      </w:r>
      <w:r w:rsidR="00624688" w:rsidRPr="00EF6E71">
        <w:rPr>
          <w:rStyle w:val="cf01"/>
          <w:rFonts w:ascii="Times New Roman" w:hAnsi="Times New Roman" w:cs="Times New Roman"/>
          <w:i/>
          <w:iCs/>
          <w:sz w:val="20"/>
          <w:szCs w:val="20"/>
          <w:lang w:val="es-GT"/>
        </w:rPr>
        <w:t>CIDH Otorga medidas cautelares a Bernardo Arévalo y Karin Herrera, binomio presidencial del Movimiento Semilla</w:t>
      </w:r>
      <w:r w:rsidR="001B2A89" w:rsidRPr="00EF6E71">
        <w:rPr>
          <w:rStyle w:val="cf01"/>
          <w:rFonts w:ascii="Times New Roman" w:hAnsi="Times New Roman" w:cs="Times New Roman"/>
          <w:sz w:val="20"/>
          <w:szCs w:val="20"/>
          <w:lang w:val="es-GT"/>
        </w:rPr>
        <w:t xml:space="preserve"> (Aug. 24, 2023), </w:t>
      </w:r>
      <w:hyperlink r:id="rId31" w:anchor=":~:text=Washington%2C%20D.C%2D%20La%20Comisi%C3%B3n%20Interamericana,Semilla%2C%20elegido%20seg%C3%BAn%20los%20resultados" w:history="1">
        <w:r w:rsidR="00A114BE" w:rsidRPr="00D807B1">
          <w:rPr>
            <w:rStyle w:val="Hipervnculo"/>
            <w:sz w:val="20"/>
            <w:szCs w:val="20"/>
            <w:lang w:val="es-GT"/>
          </w:rPr>
          <w:t>https://www.oas.org/es/CIDH/jsForm/?File=/es/cidh/prensa/comunicados/</w:t>
        </w:r>
        <w:r w:rsidR="00A114BE" w:rsidRPr="00D807B1">
          <w:rPr>
            <w:rStyle w:val="Hipervnculo"/>
            <w:sz w:val="20"/>
            <w:szCs w:val="20"/>
            <w:lang w:val="es-GT"/>
          </w:rPr>
          <w:br/>
          <w:t>2023/194.asp#:~:text=Washington%2C%20D.C%2D%20La%20Comisi%C3%B3n%20Interamericana,Semilla%2C%20elegido%20seg%C3%BAn%20los%20resultados</w:t>
        </w:r>
      </w:hyperlink>
      <w:r w:rsidR="001B2A89" w:rsidRPr="00EF6E71">
        <w:rPr>
          <w:rStyle w:val="cf01"/>
          <w:rFonts w:ascii="Times New Roman" w:hAnsi="Times New Roman" w:cs="Times New Roman"/>
          <w:sz w:val="20"/>
          <w:szCs w:val="20"/>
          <w:lang w:val="es-GT"/>
        </w:rPr>
        <w:t>.</w:t>
      </w:r>
    </w:p>
  </w:endnote>
  <w:endnote w:id="39">
    <w:p w14:paraId="443EA284" w14:textId="74395399" w:rsidR="002C4159" w:rsidRPr="00EF6E71" w:rsidRDefault="002C4159">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REDNOVI</w:t>
      </w:r>
      <w:r w:rsidR="001B2A89" w:rsidRPr="00EF6E71">
        <w:rPr>
          <w:rFonts w:ascii="Times New Roman" w:hAnsi="Times New Roman" w:cs="Times New Roman"/>
          <w:lang w:val="es-ES"/>
        </w:rPr>
        <w:t>,</w:t>
      </w:r>
      <w:r w:rsidRPr="00EF6E71">
        <w:rPr>
          <w:rFonts w:ascii="Times New Roman" w:hAnsi="Times New Roman" w:cs="Times New Roman"/>
          <w:lang w:val="es-ES"/>
        </w:rPr>
        <w:t xml:space="preserve"> </w:t>
      </w:r>
      <w:r w:rsidRPr="00EF6E71">
        <w:rPr>
          <w:rFonts w:ascii="Times New Roman" w:hAnsi="Times New Roman" w:cs="Times New Roman"/>
          <w:i/>
          <w:iCs/>
          <w:lang w:val="es-ES"/>
        </w:rPr>
        <w:t>Registro de agresiones a defensoras, con información de UDEFEGUA 2018 a 2022 y atenciones realizadas</w:t>
      </w:r>
      <w:r w:rsidR="001B2A89" w:rsidRPr="00EF6E71">
        <w:rPr>
          <w:rFonts w:ascii="Times New Roman" w:hAnsi="Times New Roman" w:cs="Times New Roman"/>
          <w:lang w:val="es-ES"/>
        </w:rPr>
        <w:t xml:space="preserve"> (2023), on file with the authors.</w:t>
      </w:r>
    </w:p>
  </w:endnote>
  <w:endnote w:id="40">
    <w:p w14:paraId="5F76ED9C" w14:textId="4546737F" w:rsidR="002C4159" w:rsidRPr="00EF6E71" w:rsidRDefault="002C4159">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Style w:val="cf01"/>
          <w:rFonts w:ascii="Times New Roman" w:hAnsi="Times New Roman" w:cs="Times New Roman"/>
          <w:sz w:val="20"/>
          <w:szCs w:val="20"/>
          <w:lang w:val="es-ES"/>
        </w:rPr>
        <w:t>Prensa Comunitaria</w:t>
      </w:r>
      <w:r w:rsidR="001B2A89" w:rsidRPr="00EF6E71">
        <w:rPr>
          <w:rStyle w:val="cf01"/>
          <w:rFonts w:ascii="Times New Roman" w:hAnsi="Times New Roman" w:cs="Times New Roman"/>
          <w:sz w:val="20"/>
          <w:szCs w:val="20"/>
          <w:lang w:val="es-ES"/>
        </w:rPr>
        <w:t>,</w:t>
      </w:r>
      <w:r w:rsidRPr="00EF6E71">
        <w:rPr>
          <w:rStyle w:val="cf01"/>
          <w:rFonts w:ascii="Times New Roman" w:hAnsi="Times New Roman" w:cs="Times New Roman"/>
          <w:sz w:val="20"/>
          <w:szCs w:val="20"/>
          <w:lang w:val="es-ES"/>
        </w:rPr>
        <w:t xml:space="preserve"> </w:t>
      </w:r>
      <w:r w:rsidRPr="00EF6E71">
        <w:rPr>
          <w:rStyle w:val="cf01"/>
          <w:rFonts w:ascii="Times New Roman" w:hAnsi="Times New Roman" w:cs="Times New Roman"/>
          <w:i/>
          <w:iCs/>
          <w:sz w:val="20"/>
          <w:szCs w:val="20"/>
          <w:lang w:val="es-ES"/>
        </w:rPr>
        <w:t>La criminalización de Claudia González y los estertores letales del pacto de corruptos</w:t>
      </w:r>
      <w:r w:rsidR="001B2A89" w:rsidRPr="00EF6E71">
        <w:rPr>
          <w:rStyle w:val="cf01"/>
          <w:rFonts w:ascii="Times New Roman" w:hAnsi="Times New Roman" w:cs="Times New Roman"/>
          <w:i/>
          <w:iCs/>
          <w:sz w:val="20"/>
          <w:szCs w:val="20"/>
          <w:lang w:val="es-ES"/>
        </w:rPr>
        <w:t xml:space="preserve"> </w:t>
      </w:r>
      <w:r w:rsidR="001B2A89" w:rsidRPr="00EF6E71">
        <w:rPr>
          <w:rStyle w:val="cf01"/>
          <w:rFonts w:ascii="Times New Roman" w:hAnsi="Times New Roman" w:cs="Times New Roman"/>
          <w:sz w:val="20"/>
          <w:szCs w:val="20"/>
          <w:lang w:val="es-ES"/>
        </w:rPr>
        <w:t xml:space="preserve">(Sep. 1, 2023), </w:t>
      </w:r>
      <w:hyperlink r:id="rId32" w:history="1">
        <w:r w:rsidRPr="00EF6E71">
          <w:rPr>
            <w:rStyle w:val="Hipervnculo"/>
            <w:rFonts w:ascii="Times New Roman" w:hAnsi="Times New Roman" w:cs="Times New Roman"/>
          </w:rPr>
          <w:t>https://prensacomunitaria.org/2023/09/la-criminalizacion-de-claudia-gonzalez-y-los-estertores-letales-del-pacto-de-corruptos/</w:t>
        </w:r>
      </w:hyperlink>
      <w:r w:rsidR="001B2A89" w:rsidRPr="00EF6E71">
        <w:rPr>
          <w:rStyle w:val="cf01"/>
          <w:rFonts w:ascii="Times New Roman" w:hAnsi="Times New Roman" w:cs="Times New Roman"/>
          <w:sz w:val="20"/>
          <w:szCs w:val="20"/>
        </w:rPr>
        <w:t>.</w:t>
      </w:r>
    </w:p>
  </w:endnote>
  <w:endnote w:id="41">
    <w:p w14:paraId="390731F3" w14:textId="6BB7E37E" w:rsidR="00F570B8" w:rsidRPr="00EF6E71" w:rsidRDefault="00F570B8">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007B7481" w:rsidRPr="00EF6E71">
        <w:rPr>
          <w:rFonts w:ascii="Times New Roman" w:hAnsi="Times New Roman" w:cs="Times New Roman"/>
        </w:rPr>
        <w:t>Grupo Guatemalteco de Mujeres-GGM</w:t>
      </w:r>
      <w:r w:rsidR="001B2A89" w:rsidRPr="00EF6E71">
        <w:rPr>
          <w:rFonts w:ascii="Times New Roman" w:hAnsi="Times New Roman" w:cs="Times New Roman"/>
        </w:rPr>
        <w:t xml:space="preserve">, </w:t>
      </w:r>
      <w:r w:rsidR="007B7481" w:rsidRPr="00EF6E71">
        <w:rPr>
          <w:rFonts w:ascii="Times New Roman" w:hAnsi="Times New Roman" w:cs="Times New Roman"/>
          <w:i/>
          <w:iCs/>
        </w:rPr>
        <w:t>Diagnóstico del continuum de violencia contra las mujeres en Escuintla, Alta Verapaz, Izabal y Suchitepéquez</w:t>
      </w:r>
      <w:r w:rsidR="001B2A89" w:rsidRPr="00EF6E71">
        <w:rPr>
          <w:rFonts w:ascii="Times New Roman" w:hAnsi="Times New Roman" w:cs="Times New Roman"/>
        </w:rPr>
        <w:t xml:space="preserve"> (2023), on file with the authors.</w:t>
      </w:r>
    </w:p>
  </w:endnote>
  <w:endnote w:id="42">
    <w:p w14:paraId="22704F11" w14:textId="0A1AD695" w:rsidR="007B7481" w:rsidRPr="00EF6E71" w:rsidRDefault="007B7481">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Congreso de la República</w:t>
      </w:r>
      <w:r w:rsidR="001B2A89" w:rsidRPr="00EF6E71">
        <w:rPr>
          <w:rFonts w:ascii="Times New Roman" w:hAnsi="Times New Roman" w:cs="Times New Roman"/>
          <w:lang w:val="es-ES"/>
        </w:rPr>
        <w:t>,</w:t>
      </w:r>
      <w:r w:rsidRPr="00EF6E71">
        <w:rPr>
          <w:rFonts w:ascii="Times New Roman" w:hAnsi="Times New Roman" w:cs="Times New Roman"/>
          <w:lang w:val="es-ES"/>
        </w:rPr>
        <w:t xml:space="preserve"> </w:t>
      </w:r>
      <w:r w:rsidRPr="00EF6E71">
        <w:rPr>
          <w:rFonts w:ascii="Times New Roman" w:hAnsi="Times New Roman" w:cs="Times New Roman"/>
          <w:i/>
          <w:iCs/>
          <w:lang w:val="es-ES"/>
        </w:rPr>
        <w:t xml:space="preserve">Iniciativa </w:t>
      </w:r>
      <w:r w:rsidRPr="00EF6E71">
        <w:rPr>
          <w:rFonts w:ascii="Times New Roman" w:hAnsi="Times New Roman" w:cs="Times New Roman"/>
          <w:i/>
          <w:iCs/>
        </w:rPr>
        <w:t>6120 “Ley de respuesta y supervisión financiera para fondos COVID</w:t>
      </w:r>
      <w:r w:rsidR="001B2A89" w:rsidRPr="00EF6E71">
        <w:rPr>
          <w:rFonts w:ascii="Times New Roman" w:hAnsi="Times New Roman" w:cs="Times New Roman"/>
        </w:rPr>
        <w:t xml:space="preserve"> (2023),</w:t>
      </w:r>
      <w:r w:rsidRPr="00EF6E71">
        <w:rPr>
          <w:rFonts w:ascii="Times New Roman" w:hAnsi="Times New Roman" w:cs="Times New Roman"/>
        </w:rPr>
        <w:t xml:space="preserve"> </w:t>
      </w:r>
      <w:hyperlink r:id="rId33" w:history="1">
        <w:r w:rsidRPr="00EF6E71">
          <w:rPr>
            <w:rStyle w:val="Hipervnculo"/>
            <w:rFonts w:ascii="Times New Roman" w:hAnsi="Times New Roman" w:cs="Times New Roman"/>
          </w:rPr>
          <w:t>https://www.congreso.gob.gt/buscador_iniciativas/6120#gsc.tab=0</w:t>
        </w:r>
      </w:hyperlink>
      <w:r w:rsidR="001B2A89" w:rsidRPr="00EF6E71">
        <w:rPr>
          <w:rFonts w:ascii="Times New Roman" w:hAnsi="Times New Roman" w:cs="Times New Roman"/>
        </w:rPr>
        <w:t>.</w:t>
      </w:r>
    </w:p>
  </w:endnote>
  <w:endnote w:id="43">
    <w:p w14:paraId="42FF4C60" w14:textId="3C159FD8" w:rsidR="007B7481" w:rsidRPr="00EF6E71" w:rsidRDefault="007B7481">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Gobierno de Guatemala, </w:t>
      </w:r>
      <w:r w:rsidRPr="00EF6E71">
        <w:rPr>
          <w:rFonts w:ascii="Times New Roman" w:hAnsi="Times New Roman" w:cs="Times New Roman"/>
          <w:lang w:val="es-ES"/>
        </w:rPr>
        <w:t>Ministerio de Salud Pública y Asistencia Social-MSPAS</w:t>
      </w:r>
      <w:r w:rsidR="001B2A89" w:rsidRPr="00EF6E71">
        <w:rPr>
          <w:rFonts w:ascii="Times New Roman" w:hAnsi="Times New Roman" w:cs="Times New Roman"/>
          <w:lang w:val="es-ES"/>
        </w:rPr>
        <w:t xml:space="preserve">, </w:t>
      </w:r>
      <w:r w:rsidRPr="00EF6E71">
        <w:rPr>
          <w:rFonts w:ascii="Times New Roman" w:hAnsi="Times New Roman" w:cs="Times New Roman"/>
          <w:i/>
          <w:iCs/>
          <w:lang w:val="es-ES"/>
        </w:rPr>
        <w:t>Situación de COVID-19 en Guatemala</w:t>
      </w:r>
      <w:r w:rsidR="001B2A89" w:rsidRPr="00EF6E71">
        <w:rPr>
          <w:rFonts w:ascii="Times New Roman" w:hAnsi="Times New Roman" w:cs="Times New Roman"/>
          <w:i/>
          <w:iCs/>
          <w:lang w:val="es-ES"/>
        </w:rPr>
        <w:t>,</w:t>
      </w:r>
      <w:r w:rsidRPr="00EF6E71">
        <w:rPr>
          <w:rFonts w:ascii="Times New Roman" w:hAnsi="Times New Roman" w:cs="Times New Roman"/>
          <w:i/>
          <w:iCs/>
          <w:lang w:val="es-ES"/>
        </w:rPr>
        <w:t xml:space="preserve"> Datos al 25 de agosto de 2023</w:t>
      </w:r>
      <w:r w:rsidR="001B2A89" w:rsidRPr="00EF6E71">
        <w:rPr>
          <w:rFonts w:ascii="Times New Roman" w:hAnsi="Times New Roman" w:cs="Times New Roman"/>
          <w:lang w:val="es-ES"/>
        </w:rPr>
        <w:t xml:space="preserve">, </w:t>
      </w:r>
      <w:hyperlink r:id="rId34" w:history="1">
        <w:r w:rsidRPr="00EF6E71">
          <w:rPr>
            <w:rStyle w:val="Hipervnculo"/>
            <w:rFonts w:ascii="Times New Roman" w:hAnsi="Times New Roman" w:cs="Times New Roman"/>
            <w:lang w:val="es-ES"/>
          </w:rPr>
          <w:t>https://tableros.mspas.gob.gt/covid/</w:t>
        </w:r>
      </w:hyperlink>
      <w:r w:rsidR="001B2A89" w:rsidRPr="00EF6E71">
        <w:rPr>
          <w:rFonts w:ascii="Times New Roman" w:hAnsi="Times New Roman" w:cs="Times New Roman"/>
          <w:lang w:val="es-ES"/>
        </w:rPr>
        <w:t>.</w:t>
      </w:r>
    </w:p>
  </w:endnote>
  <w:endnote w:id="44">
    <w:p w14:paraId="245C2E97" w14:textId="205F2B3E" w:rsidR="007B7481" w:rsidRPr="00EF6E71" w:rsidRDefault="007B7481">
      <w:pPr>
        <w:pStyle w:val="Textonotaalfinal"/>
        <w:rPr>
          <w:rFonts w:ascii="Times New Roman" w:hAnsi="Times New Roman" w:cs="Times New Roman"/>
        </w:rPr>
      </w:pPr>
      <w:r w:rsidRPr="00EF6E71">
        <w:rPr>
          <w:rStyle w:val="Refdenotaalfinal"/>
          <w:rFonts w:ascii="Times New Roman" w:hAnsi="Times New Roman" w:cs="Times New Roman"/>
        </w:rPr>
        <w:endnoteRef/>
      </w:r>
      <w:r w:rsidRPr="00EF6E71">
        <w:rPr>
          <w:rFonts w:ascii="Times New Roman" w:hAnsi="Times New Roman" w:cs="Times New Roman"/>
        </w:rPr>
        <w:t xml:space="preserve"> República</w:t>
      </w:r>
      <w:r w:rsidR="001B2A89" w:rsidRPr="00EF6E71">
        <w:rPr>
          <w:rFonts w:ascii="Times New Roman" w:hAnsi="Times New Roman" w:cs="Times New Roman"/>
        </w:rPr>
        <w:t>,</w:t>
      </w:r>
      <w:r w:rsidRPr="00EF6E71">
        <w:rPr>
          <w:rFonts w:ascii="Times New Roman" w:hAnsi="Times New Roman" w:cs="Times New Roman"/>
        </w:rPr>
        <w:t xml:space="preserve"> </w:t>
      </w:r>
      <w:r w:rsidRPr="00EF6E71">
        <w:rPr>
          <w:rFonts w:ascii="Times New Roman" w:hAnsi="Times New Roman" w:cs="Times New Roman"/>
          <w:i/>
          <w:iCs/>
        </w:rPr>
        <w:t>Guatemala pierde 471 millones por vacunas vencidas por Covid</w:t>
      </w:r>
      <w:r w:rsidR="001B2A89" w:rsidRPr="00EF6E71">
        <w:rPr>
          <w:rFonts w:ascii="Times New Roman" w:hAnsi="Times New Roman" w:cs="Times New Roman"/>
        </w:rPr>
        <w:t xml:space="preserve"> (Jun. 3, 2023),</w:t>
      </w:r>
      <w:r w:rsidRPr="00EF6E71">
        <w:rPr>
          <w:rFonts w:ascii="Times New Roman" w:hAnsi="Times New Roman" w:cs="Times New Roman"/>
        </w:rPr>
        <w:t xml:space="preserve"> </w:t>
      </w:r>
      <w:hyperlink r:id="rId35" w:history="1">
        <w:r w:rsidRPr="00EF6E71">
          <w:rPr>
            <w:rStyle w:val="Hipervnculo"/>
            <w:rFonts w:ascii="Times New Roman" w:hAnsi="Times New Roman" w:cs="Times New Roman"/>
          </w:rPr>
          <w:t>https://republica.gt/guatemala/guatemala-pierde-q471-millones-por-vacunas-vencidas-contra-el-covid-20226311590</w:t>
        </w:r>
      </w:hyperlink>
      <w:r w:rsidR="001B2A89" w:rsidRPr="00EF6E71">
        <w:rPr>
          <w:rFonts w:ascii="Times New Roman" w:hAnsi="Times New Roman" w:cs="Times New Roman"/>
        </w:rPr>
        <w:t>.</w:t>
      </w:r>
    </w:p>
  </w:endnote>
  <w:endnote w:id="45">
    <w:p w14:paraId="3C897D3D" w14:textId="031568BD" w:rsidR="007B7481" w:rsidRPr="00EF6E71" w:rsidRDefault="007B7481">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Gobierno de Guatemala, </w:t>
      </w:r>
      <w:r w:rsidRPr="00EF6E71">
        <w:rPr>
          <w:rFonts w:ascii="Times New Roman" w:hAnsi="Times New Roman" w:cs="Times New Roman"/>
          <w:lang w:val="es-ES"/>
        </w:rPr>
        <w:t>Ministerio de Salud Pública y Asistencia Social-MSPAS</w:t>
      </w:r>
      <w:r w:rsidR="001B2A89" w:rsidRPr="00EF6E71">
        <w:rPr>
          <w:rFonts w:ascii="Times New Roman" w:hAnsi="Times New Roman" w:cs="Times New Roman"/>
          <w:lang w:val="es-ES"/>
        </w:rPr>
        <w:t>,</w:t>
      </w:r>
      <w:r w:rsidRPr="00EF6E71">
        <w:rPr>
          <w:rFonts w:ascii="Times New Roman" w:hAnsi="Times New Roman" w:cs="Times New Roman"/>
          <w:lang w:val="es-ES"/>
        </w:rPr>
        <w:t xml:space="preserve"> Vacunación contra COVID-19</w:t>
      </w:r>
      <w:r w:rsidR="001B2A89" w:rsidRPr="00EF6E71">
        <w:rPr>
          <w:rFonts w:ascii="Times New Roman" w:hAnsi="Times New Roman" w:cs="Times New Roman"/>
          <w:lang w:val="es-ES"/>
        </w:rPr>
        <w:t>,</w:t>
      </w:r>
      <w:r w:rsidRPr="00EF6E71">
        <w:rPr>
          <w:rFonts w:ascii="Times New Roman" w:hAnsi="Times New Roman" w:cs="Times New Roman"/>
          <w:lang w:val="es-ES"/>
        </w:rPr>
        <w:t xml:space="preserve"> Datos al 25 de agosto de 2023</w:t>
      </w:r>
      <w:r w:rsidR="001B2A89" w:rsidRPr="00EF6E71">
        <w:rPr>
          <w:rFonts w:ascii="Times New Roman" w:hAnsi="Times New Roman" w:cs="Times New Roman"/>
          <w:lang w:val="es-ES"/>
        </w:rPr>
        <w:t xml:space="preserve">, </w:t>
      </w:r>
      <w:hyperlink r:id="rId36" w:history="1">
        <w:r w:rsidRPr="00EF6E71">
          <w:rPr>
            <w:rStyle w:val="Hipervnculo"/>
            <w:rFonts w:ascii="Times New Roman" w:hAnsi="Times New Roman" w:cs="Times New Roman"/>
            <w:lang w:val="es-ES"/>
          </w:rPr>
          <w:t>https://tableros.mspas.gob.gt/covid/</w:t>
        </w:r>
      </w:hyperlink>
      <w:r w:rsidR="001B2A89" w:rsidRPr="00EF6E71">
        <w:rPr>
          <w:rFonts w:ascii="Times New Roman" w:hAnsi="Times New Roman" w:cs="Times New Roman"/>
          <w:lang w:val="es-ES"/>
        </w:rPr>
        <w:t>.</w:t>
      </w:r>
    </w:p>
  </w:endnote>
  <w:endnote w:id="46">
    <w:p w14:paraId="1E8D8215" w14:textId="3D92F0A2" w:rsidR="007B7481" w:rsidRPr="00EF6E71" w:rsidRDefault="007B7481">
      <w:pPr>
        <w:pStyle w:val="Textonotaalfinal"/>
        <w:rPr>
          <w:rFonts w:ascii="Times New Roman" w:hAnsi="Times New Roman" w:cs="Times New Roman"/>
        </w:rPr>
      </w:pPr>
      <w:r w:rsidRPr="00EF6E71">
        <w:rPr>
          <w:rStyle w:val="Refdenotaalfinal"/>
          <w:rFonts w:ascii="Times New Roman" w:hAnsi="Times New Roman" w:cs="Times New Roman"/>
        </w:rPr>
        <w:endnoteRef/>
      </w:r>
      <w:r w:rsidR="001B2A89" w:rsidRPr="00EF6E71">
        <w:rPr>
          <w:rFonts w:ascii="Times New Roman" w:hAnsi="Times New Roman" w:cs="Times New Roman"/>
          <w:lang w:val="es-ES"/>
        </w:rPr>
        <w:t>REDNOVI,</w:t>
      </w:r>
      <w:r w:rsidRPr="00EF6E71">
        <w:rPr>
          <w:rFonts w:ascii="Times New Roman" w:hAnsi="Times New Roman" w:cs="Times New Roman"/>
          <w:lang w:val="es-ES"/>
        </w:rPr>
        <w:t xml:space="preserve"> </w:t>
      </w:r>
      <w:r w:rsidRPr="00EF6E71">
        <w:rPr>
          <w:rFonts w:ascii="Times New Roman" w:hAnsi="Times New Roman" w:cs="Times New Roman"/>
          <w:i/>
          <w:iCs/>
          <w:lang w:val="es-ES"/>
        </w:rPr>
        <w:t>Registro de embarazos y registro de nacimientos de niñas y adolescentes, 2018 al 18 de julio 2023, con información de Observatorio de Salud Reproductiva</w:t>
      </w:r>
      <w:r w:rsidR="001B2A89" w:rsidRPr="00EF6E71">
        <w:rPr>
          <w:rFonts w:ascii="Times New Roman" w:hAnsi="Times New Roman" w:cs="Times New Roman"/>
          <w:lang w:val="es-ES"/>
        </w:rPr>
        <w:t xml:space="preserve"> (2023), on file with the authors</w:t>
      </w:r>
      <w:r w:rsidRPr="00EF6E71">
        <w:rPr>
          <w:rFonts w:ascii="Times New Roman" w:hAnsi="Times New Roman" w:cs="Times New Roman"/>
          <w:lang w:val="es-ES"/>
        </w:rPr>
        <w:t xml:space="preserve">. </w:t>
      </w:r>
    </w:p>
  </w:endnote>
  <w:endnote w:id="47">
    <w:p w14:paraId="318E6F7A" w14:textId="7A8AC0EE" w:rsidR="007B7481" w:rsidRPr="00EF6E71" w:rsidRDefault="007B7481">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REDNOVI</w:t>
      </w:r>
      <w:r w:rsidR="001B2A89" w:rsidRPr="00EF6E71">
        <w:rPr>
          <w:rFonts w:ascii="Times New Roman" w:hAnsi="Times New Roman" w:cs="Times New Roman"/>
          <w:lang w:val="es-ES"/>
        </w:rPr>
        <w:t>,</w:t>
      </w:r>
      <w:r w:rsidRPr="00EF6E71">
        <w:rPr>
          <w:rFonts w:ascii="Times New Roman" w:hAnsi="Times New Roman" w:cs="Times New Roman"/>
          <w:lang w:val="es-ES"/>
        </w:rPr>
        <w:t xml:space="preserve"> </w:t>
      </w:r>
      <w:r w:rsidRPr="00EF6E71">
        <w:rPr>
          <w:rFonts w:ascii="Times New Roman" w:hAnsi="Times New Roman" w:cs="Times New Roman"/>
          <w:i/>
          <w:iCs/>
          <w:lang w:val="es-ES"/>
        </w:rPr>
        <w:t>Registro de muertes maternas, 2018 a mayo de 2023, con información del Ministerio de Salud Pública y Asistencia Social</w:t>
      </w:r>
      <w:r w:rsidR="001B2A89" w:rsidRPr="00EF6E71">
        <w:rPr>
          <w:rFonts w:ascii="Times New Roman" w:hAnsi="Times New Roman" w:cs="Times New Roman"/>
          <w:lang w:val="es-ES"/>
        </w:rPr>
        <w:t>, on file with the authors</w:t>
      </w:r>
      <w:r w:rsidRPr="00EF6E71">
        <w:rPr>
          <w:rFonts w:ascii="Times New Roman" w:hAnsi="Times New Roman" w:cs="Times New Roman"/>
          <w:lang w:val="es-ES"/>
        </w:rPr>
        <w:t>.</w:t>
      </w:r>
    </w:p>
  </w:endnote>
  <w:endnote w:id="48">
    <w:p w14:paraId="55A7D5FC" w14:textId="3DA2DF3F" w:rsidR="007B7481" w:rsidRPr="00EF6E71" w:rsidRDefault="007B7481">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Instituto Guatemalteco de Migración</w:t>
      </w:r>
      <w:r w:rsidR="001B2A89" w:rsidRPr="00EF6E71">
        <w:rPr>
          <w:rFonts w:ascii="Times New Roman" w:hAnsi="Times New Roman" w:cs="Times New Roman"/>
          <w:lang w:val="es-ES"/>
        </w:rPr>
        <w:t>,</w:t>
      </w:r>
      <w:r w:rsidRPr="00EF6E71">
        <w:rPr>
          <w:rFonts w:ascii="Times New Roman" w:hAnsi="Times New Roman" w:cs="Times New Roman"/>
          <w:lang w:val="es-ES"/>
        </w:rPr>
        <w:t xml:space="preserve"> Guatemaltecos retornados</w:t>
      </w:r>
      <w:r w:rsidR="001B2A89" w:rsidRPr="00EF6E71">
        <w:rPr>
          <w:rFonts w:ascii="Times New Roman" w:hAnsi="Times New Roman" w:cs="Times New Roman"/>
          <w:lang w:val="es-ES"/>
        </w:rPr>
        <w:t xml:space="preserve"> (2023),</w:t>
      </w:r>
      <w:r w:rsidRPr="00EF6E71">
        <w:rPr>
          <w:rFonts w:ascii="Times New Roman" w:hAnsi="Times New Roman" w:cs="Times New Roman"/>
          <w:lang w:val="es-ES"/>
        </w:rPr>
        <w:t xml:space="preserve"> </w:t>
      </w:r>
      <w:hyperlink r:id="rId37" w:history="1">
        <w:r w:rsidRPr="00EF6E71">
          <w:rPr>
            <w:rStyle w:val="Hipervnculo"/>
            <w:rFonts w:ascii="Times New Roman" w:hAnsi="Times New Roman" w:cs="Times New Roman"/>
            <w:lang w:val="es-ES"/>
          </w:rPr>
          <w:t>https://igm.gob.gt/guatemaltecos-retornados-2/#</w:t>
        </w:r>
      </w:hyperlink>
      <w:r w:rsidR="001B2A89" w:rsidRPr="00EF6E71">
        <w:rPr>
          <w:rFonts w:ascii="Times New Roman" w:hAnsi="Times New Roman" w:cs="Times New Roman"/>
          <w:lang w:val="es-ES"/>
        </w:rPr>
        <w:t>.</w:t>
      </w:r>
    </w:p>
  </w:endnote>
  <w:endnote w:id="49">
    <w:p w14:paraId="70B3C588" w14:textId="47ECB686" w:rsidR="007B7481" w:rsidRPr="00EF6E71" w:rsidRDefault="007B7481">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CEPAL</w:t>
      </w:r>
      <w:r w:rsidR="00EF6E71" w:rsidRPr="00EF6E71">
        <w:rPr>
          <w:rFonts w:ascii="Times New Roman" w:hAnsi="Times New Roman" w:cs="Times New Roman"/>
          <w:lang w:val="es-ES"/>
        </w:rPr>
        <w:t xml:space="preserve">, </w:t>
      </w:r>
      <w:r w:rsidRPr="00EF6E71">
        <w:rPr>
          <w:rFonts w:ascii="Times New Roman" w:hAnsi="Times New Roman" w:cs="Times New Roman"/>
          <w:i/>
          <w:iCs/>
          <w:lang w:val="es-ES"/>
        </w:rPr>
        <w:t>La CEPAL estima en 1,636 millones los efectos totales de la erupción del Volcán de Fuego en Guatemala</w:t>
      </w:r>
      <w:r w:rsidR="00EF6E71" w:rsidRPr="00EF6E71">
        <w:rPr>
          <w:rFonts w:ascii="Times New Roman" w:hAnsi="Times New Roman" w:cs="Times New Roman"/>
          <w:lang w:val="es-ES"/>
        </w:rPr>
        <w:t xml:space="preserve"> (Aug. 17, 2018),</w:t>
      </w:r>
      <w:r w:rsidRPr="00EF6E71">
        <w:rPr>
          <w:rFonts w:ascii="Times New Roman" w:hAnsi="Times New Roman" w:cs="Times New Roman"/>
          <w:lang w:val="es-ES"/>
        </w:rPr>
        <w:t xml:space="preserve"> </w:t>
      </w:r>
      <w:hyperlink r:id="rId38" w:history="1">
        <w:r w:rsidRPr="00EF6E71">
          <w:rPr>
            <w:rStyle w:val="Hipervnculo"/>
            <w:rFonts w:ascii="Times New Roman" w:hAnsi="Times New Roman" w:cs="Times New Roman"/>
            <w:lang w:val="es-ES"/>
          </w:rPr>
          <w:t>https://www.cepal.org/es/notas/la-cepal-estima-q1636-millones-efectos-totales-la-erupcion-volcan-fuego-guatemala-1</w:t>
        </w:r>
      </w:hyperlink>
      <w:r w:rsidR="00EF6E71" w:rsidRPr="00EF6E71">
        <w:rPr>
          <w:rFonts w:ascii="Times New Roman" w:hAnsi="Times New Roman" w:cs="Times New Roman"/>
          <w:lang w:val="es-ES"/>
        </w:rPr>
        <w:t>.</w:t>
      </w:r>
    </w:p>
  </w:endnote>
  <w:endnote w:id="50">
    <w:p w14:paraId="3535E794" w14:textId="1766DE50" w:rsidR="007B7481" w:rsidRPr="00EF6E71" w:rsidRDefault="007B7481">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OCH</w:t>
      </w:r>
      <w:r w:rsidR="00EF6E71" w:rsidRPr="00EF6E71">
        <w:rPr>
          <w:rFonts w:ascii="Times New Roman" w:hAnsi="Times New Roman" w:cs="Times New Roman"/>
        </w:rPr>
        <w:t xml:space="preserve">A, </w:t>
      </w:r>
      <w:r w:rsidRPr="00EF6E71">
        <w:rPr>
          <w:rFonts w:ascii="Times New Roman" w:hAnsi="Times New Roman" w:cs="Times New Roman"/>
          <w:i/>
          <w:iCs/>
        </w:rPr>
        <w:t xml:space="preserve">Plan de Acción, </w:t>
      </w:r>
      <w:r w:rsidR="00EF6E71" w:rsidRPr="00EF6E71">
        <w:rPr>
          <w:rFonts w:ascii="Times New Roman" w:hAnsi="Times New Roman" w:cs="Times New Roman"/>
          <w:i/>
          <w:iCs/>
        </w:rPr>
        <w:t>Guatemala</w:t>
      </w:r>
      <w:r w:rsidRPr="00EF6E71">
        <w:rPr>
          <w:rFonts w:ascii="Times New Roman" w:hAnsi="Times New Roman" w:cs="Times New Roman"/>
          <w:i/>
          <w:iCs/>
        </w:rPr>
        <w:t xml:space="preserve"> -Respuesta Eta/Iota diciembre 2020</w:t>
      </w:r>
      <w:r w:rsidR="00EF6E71" w:rsidRPr="00EF6E71">
        <w:rPr>
          <w:rFonts w:ascii="Times New Roman" w:hAnsi="Times New Roman" w:cs="Times New Roman"/>
        </w:rPr>
        <w:t>,</w:t>
      </w:r>
      <w:r w:rsidRPr="00EF6E71">
        <w:rPr>
          <w:rFonts w:ascii="Times New Roman" w:hAnsi="Times New Roman" w:cs="Times New Roman"/>
        </w:rPr>
        <w:t xml:space="preserve"> </w:t>
      </w:r>
      <w:hyperlink r:id="rId39" w:history="1">
        <w:r w:rsidR="00A114BE" w:rsidRPr="00D807B1">
          <w:rPr>
            <w:rStyle w:val="Hipervnculo"/>
            <w:rFonts w:ascii="Times New Roman" w:hAnsi="Times New Roman" w:cs="Times New Roman"/>
          </w:rPr>
          <w:t>https://reliefweb.int/report/guatemala/</w:t>
        </w:r>
        <w:r w:rsidR="00A114BE" w:rsidRPr="00D807B1">
          <w:rPr>
            <w:rStyle w:val="Hipervnculo"/>
            <w:rFonts w:ascii="Times New Roman" w:hAnsi="Times New Roman" w:cs="Times New Roman"/>
          </w:rPr>
          <w:br/>
          <w:t>plan-de-acci-n-guatemala-respuesta-etaiota-diciembre-2020</w:t>
        </w:r>
      </w:hyperlink>
      <w:r w:rsidR="00EF6E71" w:rsidRPr="00EF6E71">
        <w:rPr>
          <w:rFonts w:ascii="Times New Roman" w:hAnsi="Times New Roman" w:cs="Times New Roman"/>
        </w:rPr>
        <w:t>.</w:t>
      </w:r>
    </w:p>
  </w:endnote>
  <w:endnote w:id="51">
    <w:p w14:paraId="53A0872B" w14:textId="35A9C96D" w:rsidR="007B7481" w:rsidRPr="00EF6E71" w:rsidRDefault="007B7481">
      <w:pPr>
        <w:pStyle w:val="Textonotaalfinal"/>
        <w:rPr>
          <w:rFonts w:ascii="Times New Roman" w:hAnsi="Times New Roman" w:cs="Times New Roman"/>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Secretaría de Planificación y Programación de la Presidencia</w:t>
      </w:r>
      <w:r w:rsidR="00EF6E71" w:rsidRPr="00EF6E71">
        <w:rPr>
          <w:rFonts w:ascii="Times New Roman" w:hAnsi="Times New Roman" w:cs="Times New Roman"/>
          <w:lang w:val="es-ES"/>
        </w:rPr>
        <w:t>,</w:t>
      </w:r>
      <w:r w:rsidRPr="00EF6E71">
        <w:rPr>
          <w:rFonts w:ascii="Times New Roman" w:hAnsi="Times New Roman" w:cs="Times New Roman"/>
          <w:lang w:val="es-ES"/>
        </w:rPr>
        <w:t xml:space="preserve"> </w:t>
      </w:r>
      <w:r w:rsidRPr="00EF6E71">
        <w:rPr>
          <w:rFonts w:ascii="Times New Roman" w:hAnsi="Times New Roman" w:cs="Times New Roman"/>
          <w:i/>
          <w:iCs/>
          <w:lang w:val="es-ES"/>
        </w:rPr>
        <w:t>Presentan informe de daños, pérdidas y costos adicionales por paso del ciclón tropical Julia</w:t>
      </w:r>
      <w:r w:rsidR="00EF6E71" w:rsidRPr="00EF6E71">
        <w:rPr>
          <w:rFonts w:ascii="Times New Roman" w:hAnsi="Times New Roman" w:cs="Times New Roman"/>
          <w:lang w:val="es-ES"/>
        </w:rPr>
        <w:t xml:space="preserve"> (Dec. 2022), </w:t>
      </w:r>
      <w:hyperlink r:id="rId40" w:history="1">
        <w:r w:rsidRPr="00EF6E71">
          <w:rPr>
            <w:rStyle w:val="Hipervnculo"/>
            <w:rFonts w:ascii="Times New Roman" w:hAnsi="Times New Roman" w:cs="Times New Roman"/>
            <w:lang w:val="es-ES"/>
          </w:rPr>
          <w:t>https://portal.segeplan.gob.gt/segeplan/?p=7802</w:t>
        </w:r>
      </w:hyperlink>
      <w:r w:rsidR="00EF6E71" w:rsidRPr="00EF6E71">
        <w:rPr>
          <w:rFonts w:ascii="Times New Roman" w:hAnsi="Times New Roman" w:cs="Times New Roman"/>
          <w:lang w:val="es-ES"/>
        </w:rPr>
        <w:t>.</w:t>
      </w:r>
    </w:p>
  </w:endnote>
  <w:endnote w:id="52">
    <w:p w14:paraId="79A8F80B" w14:textId="65310D0F" w:rsidR="007B7481" w:rsidRPr="00EF6E71" w:rsidRDefault="007B7481">
      <w:pPr>
        <w:pStyle w:val="Textonotaalfinal"/>
        <w:rPr>
          <w:rFonts w:ascii="Times New Roman" w:hAnsi="Times New Roman" w:cs="Times New Roman"/>
          <w:color w:val="0000FF"/>
          <w:u w:val="single"/>
          <w:lang w:val="es-ES"/>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Fonts w:ascii="Times New Roman" w:hAnsi="Times New Roman" w:cs="Times New Roman"/>
          <w:lang w:val="es-ES"/>
        </w:rPr>
        <w:t>FGER</w:t>
      </w:r>
      <w:r w:rsidR="00EF6E71" w:rsidRPr="00EF6E71">
        <w:rPr>
          <w:rFonts w:ascii="Times New Roman" w:hAnsi="Times New Roman" w:cs="Times New Roman"/>
          <w:lang w:val="es-ES"/>
        </w:rPr>
        <w:t xml:space="preserve">, </w:t>
      </w:r>
      <w:r w:rsidRPr="00EF6E71">
        <w:rPr>
          <w:rFonts w:ascii="Times New Roman" w:hAnsi="Times New Roman" w:cs="Times New Roman"/>
          <w:i/>
          <w:iCs/>
          <w:lang w:val="es-ES"/>
        </w:rPr>
        <w:t>Ordenan desalojo de comunidad Wach Sa K´aq</w:t>
      </w:r>
      <w:r w:rsidR="00EF6E71" w:rsidRPr="00EF6E71">
        <w:rPr>
          <w:rFonts w:ascii="Times New Roman" w:hAnsi="Times New Roman" w:cs="Times New Roman"/>
          <w:lang w:val="es-ES"/>
        </w:rPr>
        <w:t xml:space="preserve"> (July 26, 2023), </w:t>
      </w:r>
      <w:hyperlink r:id="rId41" w:history="1">
        <w:r w:rsidR="00EF6E71" w:rsidRPr="00EF6E71">
          <w:rPr>
            <w:rStyle w:val="Hipervnculo"/>
            <w:rFonts w:ascii="Times New Roman" w:hAnsi="Times New Roman" w:cs="Times New Roman"/>
            <w:lang w:val="es-ES"/>
          </w:rPr>
          <w:t>https://www.fger.org/ordenan-desalojo-de-comunidad-wach-sa-kaq/</w:t>
        </w:r>
      </w:hyperlink>
      <w:r w:rsidR="00EF6E71" w:rsidRPr="00EF6E71">
        <w:rPr>
          <w:rFonts w:ascii="Times New Roman" w:hAnsi="Times New Roman" w:cs="Times New Roman"/>
          <w:lang w:val="es-ES"/>
        </w:rPr>
        <w:t>.</w:t>
      </w:r>
    </w:p>
  </w:endnote>
  <w:endnote w:id="53">
    <w:p w14:paraId="7A289160" w14:textId="61FC1FDC" w:rsidR="00FB053B" w:rsidRDefault="00FB053B" w:rsidP="00FB053B">
      <w:pPr>
        <w:pStyle w:val="Textonotaalfinal"/>
        <w:rPr>
          <w:rStyle w:val="cf01"/>
          <w:rFonts w:ascii="Times New Roman" w:hAnsi="Times New Roman" w:cs="Times New Roman"/>
          <w:sz w:val="20"/>
          <w:szCs w:val="20"/>
        </w:rPr>
      </w:pPr>
      <w:r w:rsidRPr="00EF6E71">
        <w:rPr>
          <w:rStyle w:val="Refdenotaalfinal"/>
          <w:rFonts w:ascii="Times New Roman" w:hAnsi="Times New Roman" w:cs="Times New Roman"/>
        </w:rPr>
        <w:endnoteRef/>
      </w:r>
      <w:r w:rsidRPr="00EF6E71">
        <w:rPr>
          <w:rFonts w:ascii="Times New Roman" w:hAnsi="Times New Roman" w:cs="Times New Roman"/>
        </w:rPr>
        <w:t xml:space="preserve"> </w:t>
      </w:r>
      <w:r w:rsidRPr="00EF6E71">
        <w:rPr>
          <w:rStyle w:val="cf01"/>
          <w:rFonts w:ascii="Times New Roman" w:hAnsi="Times New Roman" w:cs="Times New Roman"/>
          <w:sz w:val="20"/>
          <w:szCs w:val="20"/>
        </w:rPr>
        <w:t>Prensa Libre</w:t>
      </w:r>
      <w:r w:rsidR="00EF6E71" w:rsidRPr="00EF6E71">
        <w:rPr>
          <w:rStyle w:val="cf01"/>
          <w:rFonts w:ascii="Times New Roman" w:hAnsi="Times New Roman" w:cs="Times New Roman"/>
          <w:sz w:val="20"/>
          <w:szCs w:val="20"/>
        </w:rPr>
        <w:t xml:space="preserve">, </w:t>
      </w:r>
      <w:r w:rsidRPr="00EF6E71">
        <w:rPr>
          <w:rStyle w:val="cf01"/>
          <w:rFonts w:ascii="Times New Roman" w:hAnsi="Times New Roman" w:cs="Times New Roman"/>
          <w:i/>
          <w:iCs/>
          <w:sz w:val="20"/>
          <w:szCs w:val="20"/>
        </w:rPr>
        <w:t>Qué es la Agenda 2030 y porqué es utilizada por los políticos en la contienda electoral</w:t>
      </w:r>
      <w:r w:rsidR="00EF6E71" w:rsidRPr="00EF6E71">
        <w:rPr>
          <w:rStyle w:val="cf01"/>
          <w:rFonts w:ascii="Times New Roman" w:hAnsi="Times New Roman" w:cs="Times New Roman"/>
          <w:sz w:val="20"/>
          <w:szCs w:val="20"/>
        </w:rPr>
        <w:t xml:space="preserve"> (June 29, 2023),</w:t>
      </w:r>
      <w:r w:rsidRPr="00EF6E71">
        <w:rPr>
          <w:rStyle w:val="cf01"/>
          <w:rFonts w:ascii="Times New Roman" w:hAnsi="Times New Roman" w:cs="Times New Roman"/>
          <w:sz w:val="20"/>
          <w:szCs w:val="20"/>
        </w:rPr>
        <w:t xml:space="preserve"> </w:t>
      </w:r>
      <w:hyperlink r:id="rId42" w:history="1">
        <w:r w:rsidRPr="00EF6E71">
          <w:rPr>
            <w:rStyle w:val="Hipervnculo"/>
            <w:rFonts w:ascii="Times New Roman" w:hAnsi="Times New Roman" w:cs="Times New Roman"/>
          </w:rPr>
          <w:t>https://www.prensalibre.com/guatemala/elecciones-generales-guatemala-2023/que-es-la-agenda-2030-el-instrumento-al-que-se-comprometen-los-paises-y-que-ha-causado-confusion-en-la-contienda-electoral/</w:t>
        </w:r>
      </w:hyperlink>
      <w:r w:rsidR="00EF6E71" w:rsidRPr="00EF6E71">
        <w:rPr>
          <w:rStyle w:val="cf01"/>
          <w:rFonts w:ascii="Times New Roman" w:hAnsi="Times New Roman" w:cs="Times New Roman"/>
          <w:sz w:val="20"/>
          <w:szCs w:val="20"/>
        </w:rPr>
        <w:t>.</w:t>
      </w:r>
    </w:p>
    <w:p w14:paraId="49A874F2" w14:textId="77777777" w:rsidR="00E2625D" w:rsidRDefault="00E2625D" w:rsidP="00FB053B">
      <w:pPr>
        <w:pStyle w:val="Textonotaalfinal"/>
        <w:rPr>
          <w:rStyle w:val="cf01"/>
          <w:rFonts w:ascii="Times New Roman" w:hAnsi="Times New Roman" w:cs="Times New Roman"/>
          <w:sz w:val="20"/>
          <w:szCs w:val="20"/>
        </w:rPr>
      </w:pPr>
    </w:p>
    <w:p w14:paraId="06E58764" w14:textId="77777777" w:rsidR="00E2625D" w:rsidRDefault="00E2625D" w:rsidP="00FB053B">
      <w:pPr>
        <w:pStyle w:val="Textonotaalfinal"/>
        <w:rPr>
          <w:rStyle w:val="cf01"/>
          <w:rFonts w:ascii="Times New Roman" w:hAnsi="Times New Roman" w:cs="Times New Roman"/>
          <w:sz w:val="20"/>
          <w:szCs w:val="20"/>
        </w:rPr>
      </w:pPr>
    </w:p>
    <w:p w14:paraId="275E4AC9" w14:textId="77777777" w:rsidR="00E2625D" w:rsidRDefault="00E2625D" w:rsidP="00FB053B">
      <w:pPr>
        <w:pStyle w:val="Textonotaalfinal"/>
        <w:rPr>
          <w:rStyle w:val="cf01"/>
          <w:rFonts w:ascii="Times New Roman" w:hAnsi="Times New Roman" w:cs="Times New Roman"/>
          <w:sz w:val="20"/>
          <w:szCs w:val="20"/>
        </w:rPr>
      </w:pPr>
    </w:p>
    <w:p w14:paraId="157AC4A6" w14:textId="77777777" w:rsidR="00E2625D" w:rsidRDefault="00E2625D" w:rsidP="00FB053B">
      <w:pPr>
        <w:pStyle w:val="Textonotaalfinal"/>
        <w:rPr>
          <w:rStyle w:val="cf01"/>
          <w:rFonts w:ascii="Times New Roman" w:hAnsi="Times New Roman" w:cs="Times New Roman"/>
          <w:sz w:val="20"/>
          <w:szCs w:val="20"/>
        </w:rPr>
      </w:pPr>
    </w:p>
    <w:p w14:paraId="4AA673B4" w14:textId="77777777" w:rsidR="00E2625D" w:rsidRDefault="00E2625D" w:rsidP="00FB053B">
      <w:pPr>
        <w:pStyle w:val="Textonotaalfinal"/>
        <w:rPr>
          <w:rStyle w:val="cf01"/>
          <w:rFonts w:ascii="Times New Roman" w:hAnsi="Times New Roman" w:cs="Times New Roman"/>
          <w:sz w:val="20"/>
          <w:szCs w:val="20"/>
        </w:rPr>
      </w:pPr>
    </w:p>
    <w:p w14:paraId="2ECCD73A" w14:textId="77777777" w:rsidR="00E2625D" w:rsidRDefault="00E2625D" w:rsidP="00FB053B">
      <w:pPr>
        <w:pStyle w:val="Textonotaalfinal"/>
        <w:rPr>
          <w:rStyle w:val="cf01"/>
          <w:rFonts w:ascii="Times New Roman" w:hAnsi="Times New Roman" w:cs="Times New Roman"/>
          <w:sz w:val="20"/>
          <w:szCs w:val="20"/>
        </w:rPr>
      </w:pPr>
    </w:p>
    <w:p w14:paraId="05B5BCD7" w14:textId="77777777" w:rsidR="00E2625D" w:rsidRDefault="00E2625D" w:rsidP="00FB053B">
      <w:pPr>
        <w:pStyle w:val="Textonotaalfinal"/>
        <w:rPr>
          <w:rStyle w:val="cf01"/>
          <w:rFonts w:ascii="Times New Roman" w:hAnsi="Times New Roman" w:cs="Times New Roman"/>
          <w:sz w:val="20"/>
          <w:szCs w:val="20"/>
        </w:rPr>
      </w:pPr>
    </w:p>
    <w:p w14:paraId="1020E8D2" w14:textId="77777777" w:rsidR="00E2625D" w:rsidRDefault="00E2625D" w:rsidP="00FB053B">
      <w:pPr>
        <w:pStyle w:val="Textonotaalfinal"/>
        <w:rPr>
          <w:rStyle w:val="cf01"/>
          <w:rFonts w:ascii="Times New Roman" w:hAnsi="Times New Roman" w:cs="Times New Roman"/>
          <w:sz w:val="20"/>
          <w:szCs w:val="20"/>
        </w:rPr>
      </w:pPr>
    </w:p>
    <w:p w14:paraId="19704CF1" w14:textId="77777777" w:rsidR="00E2625D" w:rsidRDefault="00E2625D" w:rsidP="00FB053B">
      <w:pPr>
        <w:pStyle w:val="Textonotaalfinal"/>
        <w:rPr>
          <w:rStyle w:val="cf01"/>
          <w:rFonts w:ascii="Times New Roman" w:hAnsi="Times New Roman" w:cs="Times New Roman"/>
          <w:sz w:val="20"/>
          <w:szCs w:val="20"/>
        </w:rPr>
      </w:pPr>
    </w:p>
    <w:p w14:paraId="51F4A1BF" w14:textId="77777777" w:rsidR="00E2625D" w:rsidRDefault="00E2625D" w:rsidP="00FB053B">
      <w:pPr>
        <w:pStyle w:val="Textonotaalfinal"/>
        <w:rPr>
          <w:rStyle w:val="cf01"/>
          <w:rFonts w:ascii="Times New Roman" w:hAnsi="Times New Roman" w:cs="Times New Roman"/>
          <w:sz w:val="20"/>
          <w:szCs w:val="20"/>
        </w:rPr>
      </w:pPr>
    </w:p>
    <w:p w14:paraId="111D8E3C" w14:textId="77777777" w:rsidR="00E2625D" w:rsidRDefault="00E2625D" w:rsidP="00FB053B">
      <w:pPr>
        <w:pStyle w:val="Textonotaalfinal"/>
        <w:rPr>
          <w:rStyle w:val="cf01"/>
          <w:rFonts w:ascii="Times New Roman" w:hAnsi="Times New Roman" w:cs="Times New Roman"/>
          <w:sz w:val="20"/>
          <w:szCs w:val="20"/>
        </w:rPr>
      </w:pPr>
    </w:p>
    <w:p w14:paraId="5EECF2BA" w14:textId="77777777" w:rsidR="00E2625D" w:rsidRDefault="00E2625D" w:rsidP="00FB053B">
      <w:pPr>
        <w:pStyle w:val="Textonotaalfinal"/>
        <w:rPr>
          <w:rStyle w:val="cf01"/>
          <w:rFonts w:ascii="Times New Roman" w:hAnsi="Times New Roman" w:cs="Times New Roman"/>
          <w:sz w:val="20"/>
          <w:szCs w:val="20"/>
        </w:rPr>
      </w:pPr>
    </w:p>
    <w:p w14:paraId="0E0B2B87" w14:textId="77777777" w:rsidR="00E2625D" w:rsidRDefault="00E2625D" w:rsidP="00FB053B">
      <w:pPr>
        <w:pStyle w:val="Textonotaalfinal"/>
        <w:rPr>
          <w:rStyle w:val="cf01"/>
          <w:rFonts w:ascii="Times New Roman" w:hAnsi="Times New Roman" w:cs="Times New Roman"/>
          <w:sz w:val="20"/>
          <w:szCs w:val="20"/>
        </w:rPr>
      </w:pPr>
    </w:p>
    <w:p w14:paraId="363C3E7A" w14:textId="77777777" w:rsidR="00E2625D" w:rsidRDefault="00E2625D" w:rsidP="00FB053B">
      <w:pPr>
        <w:pStyle w:val="Textonotaalfinal"/>
        <w:rPr>
          <w:rStyle w:val="cf01"/>
          <w:rFonts w:ascii="Times New Roman" w:hAnsi="Times New Roman" w:cs="Times New Roman"/>
          <w:sz w:val="20"/>
          <w:szCs w:val="20"/>
        </w:rPr>
      </w:pPr>
    </w:p>
    <w:p w14:paraId="655020C3" w14:textId="77777777" w:rsidR="00E2625D" w:rsidRDefault="00E2625D" w:rsidP="00FB053B">
      <w:pPr>
        <w:pStyle w:val="Textonotaalfinal"/>
        <w:rPr>
          <w:rStyle w:val="cf01"/>
          <w:rFonts w:ascii="Times New Roman" w:hAnsi="Times New Roman" w:cs="Times New Roman"/>
          <w:sz w:val="20"/>
          <w:szCs w:val="20"/>
        </w:rPr>
      </w:pPr>
    </w:p>
    <w:p w14:paraId="505338F4" w14:textId="77777777" w:rsidR="00E2625D" w:rsidRDefault="00E2625D" w:rsidP="00FB053B">
      <w:pPr>
        <w:pStyle w:val="Textonotaalfinal"/>
        <w:rPr>
          <w:rStyle w:val="cf01"/>
          <w:rFonts w:ascii="Times New Roman" w:hAnsi="Times New Roman" w:cs="Times New Roman"/>
          <w:sz w:val="20"/>
          <w:szCs w:val="20"/>
        </w:rPr>
      </w:pPr>
    </w:p>
    <w:p w14:paraId="1C9A4D8E" w14:textId="77777777" w:rsidR="00E2625D" w:rsidRDefault="00E2625D" w:rsidP="00FB053B">
      <w:pPr>
        <w:pStyle w:val="Textonotaalfinal"/>
        <w:rPr>
          <w:rStyle w:val="cf01"/>
          <w:rFonts w:ascii="Times New Roman" w:hAnsi="Times New Roman" w:cs="Times New Roman"/>
          <w:sz w:val="20"/>
          <w:szCs w:val="20"/>
        </w:rPr>
      </w:pPr>
    </w:p>
    <w:p w14:paraId="56B12413" w14:textId="77777777" w:rsidR="00E2625D" w:rsidRDefault="00E2625D" w:rsidP="00FB053B">
      <w:pPr>
        <w:pStyle w:val="Textonotaalfinal"/>
        <w:rPr>
          <w:rStyle w:val="cf01"/>
          <w:rFonts w:ascii="Times New Roman" w:hAnsi="Times New Roman" w:cs="Times New Roman"/>
          <w:sz w:val="20"/>
          <w:szCs w:val="20"/>
        </w:rPr>
      </w:pPr>
    </w:p>
    <w:p w14:paraId="7C14349C" w14:textId="77777777" w:rsidR="00E2625D" w:rsidRDefault="00E2625D" w:rsidP="00FB053B">
      <w:pPr>
        <w:pStyle w:val="Textonotaalfinal"/>
        <w:rPr>
          <w:rStyle w:val="cf01"/>
          <w:rFonts w:ascii="Times New Roman" w:hAnsi="Times New Roman" w:cs="Times New Roman"/>
          <w:sz w:val="20"/>
          <w:szCs w:val="20"/>
        </w:rPr>
      </w:pPr>
    </w:p>
    <w:p w14:paraId="7FFFF5E1" w14:textId="77777777" w:rsidR="00E2625D" w:rsidRDefault="00E2625D" w:rsidP="00FB053B">
      <w:pPr>
        <w:pStyle w:val="Textonotaalfinal"/>
        <w:rPr>
          <w:rStyle w:val="cf01"/>
          <w:rFonts w:ascii="Times New Roman" w:hAnsi="Times New Roman" w:cs="Times New Roman"/>
          <w:sz w:val="20"/>
          <w:szCs w:val="20"/>
        </w:rPr>
      </w:pPr>
    </w:p>
    <w:p w14:paraId="02ED6BF7" w14:textId="77777777" w:rsidR="00E2625D" w:rsidRDefault="00E2625D" w:rsidP="00FB053B">
      <w:pPr>
        <w:pStyle w:val="Textonotaalfinal"/>
        <w:rPr>
          <w:rStyle w:val="cf01"/>
          <w:rFonts w:ascii="Times New Roman" w:hAnsi="Times New Roman" w:cs="Times New Roman"/>
          <w:sz w:val="20"/>
          <w:szCs w:val="20"/>
        </w:rPr>
      </w:pPr>
    </w:p>
    <w:p w14:paraId="34F1D666" w14:textId="77777777" w:rsidR="00E2625D" w:rsidRDefault="00E2625D" w:rsidP="00FB053B">
      <w:pPr>
        <w:pStyle w:val="Textonotaalfinal"/>
        <w:rPr>
          <w:rStyle w:val="cf01"/>
          <w:rFonts w:ascii="Times New Roman" w:hAnsi="Times New Roman" w:cs="Times New Roman"/>
          <w:sz w:val="20"/>
          <w:szCs w:val="20"/>
        </w:rPr>
      </w:pPr>
    </w:p>
    <w:p w14:paraId="64D76AF4" w14:textId="77777777" w:rsidR="00E2625D" w:rsidRDefault="00E2625D" w:rsidP="00FB053B">
      <w:pPr>
        <w:pStyle w:val="Textonotaalfinal"/>
        <w:rPr>
          <w:rStyle w:val="cf01"/>
          <w:rFonts w:ascii="Times New Roman" w:hAnsi="Times New Roman" w:cs="Times New Roman"/>
          <w:sz w:val="20"/>
          <w:szCs w:val="20"/>
        </w:rPr>
      </w:pPr>
    </w:p>
    <w:p w14:paraId="65BD4044" w14:textId="77777777" w:rsidR="00E2625D" w:rsidRPr="007B746B" w:rsidRDefault="00E2625D" w:rsidP="00E2625D">
      <w:pPr>
        <w:jc w:val="center"/>
        <w:rPr>
          <w:rFonts w:ascii="Times New Roman" w:hAnsi="Times New Roman" w:cs="Times New Roman"/>
          <w:b/>
          <w:bCs/>
          <w:sz w:val="24"/>
          <w:szCs w:val="24"/>
          <w:lang w:val="en-US"/>
        </w:rPr>
      </w:pPr>
      <w:r w:rsidRPr="007B746B">
        <w:rPr>
          <w:rFonts w:ascii="Times New Roman" w:hAnsi="Times New Roman" w:cs="Times New Roman"/>
          <w:b/>
          <w:bCs/>
          <w:sz w:val="24"/>
          <w:szCs w:val="24"/>
          <w:lang w:val="en-US"/>
        </w:rPr>
        <w:t>Acronyms (based on original Spanish)</w:t>
      </w:r>
    </w:p>
    <w:tbl>
      <w:tblPr>
        <w:tblStyle w:val="Tablaconcuadrcula"/>
        <w:tblW w:w="9488" w:type="dxa"/>
        <w:jc w:val="center"/>
        <w:tblLook w:val="04A0" w:firstRow="1" w:lastRow="0" w:firstColumn="1" w:lastColumn="0" w:noHBand="0" w:noVBand="1"/>
      </w:tblPr>
      <w:tblGrid>
        <w:gridCol w:w="1550"/>
        <w:gridCol w:w="7938"/>
      </w:tblGrid>
      <w:tr w:rsidR="00E2625D" w:rsidRPr="007B746B" w14:paraId="3B2FE508" w14:textId="77777777" w:rsidTr="00851F89">
        <w:trPr>
          <w:jc w:val="center"/>
        </w:trPr>
        <w:tc>
          <w:tcPr>
            <w:tcW w:w="1550" w:type="dxa"/>
          </w:tcPr>
          <w:p w14:paraId="28575004"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AG</w:t>
            </w:r>
          </w:p>
        </w:tc>
        <w:tc>
          <w:tcPr>
            <w:tcW w:w="7938" w:type="dxa"/>
          </w:tcPr>
          <w:p w14:paraId="38A55EBA"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Governmental Agreement</w:t>
            </w:r>
          </w:p>
        </w:tc>
      </w:tr>
      <w:tr w:rsidR="00E2625D" w:rsidRPr="007B746B" w14:paraId="6B8D1FDB" w14:textId="77777777" w:rsidTr="00851F89">
        <w:trPr>
          <w:jc w:val="center"/>
        </w:trPr>
        <w:tc>
          <w:tcPr>
            <w:tcW w:w="1550" w:type="dxa"/>
          </w:tcPr>
          <w:p w14:paraId="3772271E"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CAI</w:t>
            </w:r>
          </w:p>
        </w:tc>
        <w:tc>
          <w:tcPr>
            <w:tcW w:w="7938" w:type="dxa"/>
          </w:tcPr>
          <w:p w14:paraId="3153811E"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Internal Armed Conflict</w:t>
            </w:r>
          </w:p>
        </w:tc>
      </w:tr>
      <w:tr w:rsidR="00E2625D" w:rsidRPr="007B746B" w14:paraId="25AC34D4" w14:textId="77777777" w:rsidTr="00851F89">
        <w:trPr>
          <w:jc w:val="center"/>
        </w:trPr>
        <w:tc>
          <w:tcPr>
            <w:tcW w:w="1550" w:type="dxa"/>
          </w:tcPr>
          <w:p w14:paraId="200C0B19"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CC</w:t>
            </w:r>
          </w:p>
        </w:tc>
        <w:tc>
          <w:tcPr>
            <w:tcW w:w="7938" w:type="dxa"/>
          </w:tcPr>
          <w:p w14:paraId="09127F59"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Constitutional Court</w:t>
            </w:r>
          </w:p>
        </w:tc>
      </w:tr>
      <w:tr w:rsidR="00E2625D" w:rsidRPr="00E2625D" w14:paraId="190E5958" w14:textId="77777777" w:rsidTr="00851F89">
        <w:trPr>
          <w:jc w:val="center"/>
        </w:trPr>
        <w:tc>
          <w:tcPr>
            <w:tcW w:w="1550" w:type="dxa"/>
          </w:tcPr>
          <w:p w14:paraId="5A736508"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CAIMUS</w:t>
            </w:r>
          </w:p>
        </w:tc>
        <w:tc>
          <w:tcPr>
            <w:tcW w:w="7938" w:type="dxa"/>
          </w:tcPr>
          <w:p w14:paraId="17F7D0B4" w14:textId="77777777" w:rsidR="00E2625D" w:rsidRPr="007B746B" w:rsidRDefault="00E2625D" w:rsidP="00E2625D">
            <w:pPr>
              <w:rPr>
                <w:rFonts w:ascii="Times New Roman" w:hAnsi="Times New Roman" w:cs="Times New Roman"/>
                <w:color w:val="000000" w:themeColor="text1"/>
                <w:sz w:val="20"/>
                <w:szCs w:val="20"/>
                <w:lang w:val="en-US"/>
              </w:rPr>
            </w:pPr>
            <w:r w:rsidRPr="0073632A">
              <w:rPr>
                <w:rFonts w:ascii="Times New Roman" w:hAnsi="Times New Roman" w:cs="Times New Roman"/>
                <w:color w:val="000000" w:themeColor="text1"/>
                <w:sz w:val="20"/>
                <w:szCs w:val="20"/>
                <w:lang w:val="en-US"/>
              </w:rPr>
              <w:t>Comprehensive Support</w:t>
            </w:r>
            <w:r w:rsidRPr="007B746B">
              <w:rPr>
                <w:rFonts w:ascii="Times New Roman" w:hAnsi="Times New Roman" w:cs="Times New Roman"/>
                <w:color w:val="000000" w:themeColor="text1"/>
                <w:sz w:val="20"/>
                <w:szCs w:val="20"/>
                <w:lang w:val="en-US"/>
              </w:rPr>
              <w:t xml:space="preserve"> Centers</w:t>
            </w:r>
            <w:r w:rsidRPr="0073632A">
              <w:rPr>
                <w:rFonts w:ascii="Times New Roman" w:hAnsi="Times New Roman" w:cs="Times New Roman"/>
                <w:color w:val="000000" w:themeColor="text1"/>
                <w:sz w:val="20"/>
                <w:szCs w:val="20"/>
                <w:lang w:val="en-US"/>
              </w:rPr>
              <w:t xml:space="preserve"> for Women Survivors of Violence</w:t>
            </w:r>
          </w:p>
        </w:tc>
      </w:tr>
      <w:tr w:rsidR="00E2625D" w:rsidRPr="00E2625D" w14:paraId="6B42E8FC" w14:textId="77777777" w:rsidTr="00851F89">
        <w:trPr>
          <w:jc w:val="center"/>
        </w:trPr>
        <w:tc>
          <w:tcPr>
            <w:tcW w:w="1550" w:type="dxa"/>
          </w:tcPr>
          <w:p w14:paraId="5686312D"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CEPAL</w:t>
            </w:r>
          </w:p>
        </w:tc>
        <w:tc>
          <w:tcPr>
            <w:tcW w:w="7938" w:type="dxa"/>
          </w:tcPr>
          <w:p w14:paraId="75196BA1"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Economic Commission for Latin American and the Caribbean</w:t>
            </w:r>
          </w:p>
        </w:tc>
      </w:tr>
      <w:tr w:rsidR="00E2625D" w:rsidRPr="00E2625D" w14:paraId="69D1747D" w14:textId="77777777" w:rsidTr="00851F89">
        <w:trPr>
          <w:jc w:val="center"/>
        </w:trPr>
        <w:tc>
          <w:tcPr>
            <w:tcW w:w="1550" w:type="dxa"/>
          </w:tcPr>
          <w:p w14:paraId="00F1022A"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CICIG</w:t>
            </w:r>
          </w:p>
        </w:tc>
        <w:tc>
          <w:tcPr>
            <w:tcW w:w="7938" w:type="dxa"/>
          </w:tcPr>
          <w:p w14:paraId="38ECA70D"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International Commission against Impunity in Guatemala</w:t>
            </w:r>
          </w:p>
        </w:tc>
      </w:tr>
      <w:tr w:rsidR="00E2625D" w:rsidRPr="00E2625D" w14:paraId="3939825F" w14:textId="77777777" w:rsidTr="00851F89">
        <w:trPr>
          <w:jc w:val="center"/>
        </w:trPr>
        <w:tc>
          <w:tcPr>
            <w:tcW w:w="1550" w:type="dxa"/>
          </w:tcPr>
          <w:p w14:paraId="236ED1C1"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CIDH</w:t>
            </w:r>
          </w:p>
        </w:tc>
        <w:tc>
          <w:tcPr>
            <w:tcW w:w="7938" w:type="dxa"/>
          </w:tcPr>
          <w:p w14:paraId="6D7193A1"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Inter-American Commission on Human Rights</w:t>
            </w:r>
          </w:p>
        </w:tc>
      </w:tr>
      <w:tr w:rsidR="00E2625D" w:rsidRPr="007B746B" w14:paraId="1F07EBD0" w14:textId="77777777" w:rsidTr="00851F89">
        <w:trPr>
          <w:jc w:val="center"/>
        </w:trPr>
        <w:tc>
          <w:tcPr>
            <w:tcW w:w="1550" w:type="dxa"/>
          </w:tcPr>
          <w:p w14:paraId="6E4B4C27"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COCODE</w:t>
            </w:r>
          </w:p>
        </w:tc>
        <w:tc>
          <w:tcPr>
            <w:tcW w:w="7938" w:type="dxa"/>
          </w:tcPr>
          <w:p w14:paraId="59B5659C"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Community Council on Urban and Rural Development</w:t>
            </w:r>
          </w:p>
        </w:tc>
      </w:tr>
      <w:tr w:rsidR="00E2625D" w:rsidRPr="007B746B" w14:paraId="6F7D6DF8" w14:textId="77777777" w:rsidTr="00851F89">
        <w:trPr>
          <w:jc w:val="center"/>
        </w:trPr>
        <w:tc>
          <w:tcPr>
            <w:tcW w:w="1550" w:type="dxa"/>
          </w:tcPr>
          <w:p w14:paraId="0DEE51BF"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CONAPREVI</w:t>
            </w:r>
          </w:p>
        </w:tc>
        <w:tc>
          <w:tcPr>
            <w:tcW w:w="7938" w:type="dxa"/>
          </w:tcPr>
          <w:p w14:paraId="0AC2D54C"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National Coordinator for the Prevention of Domestic Violence and Violence against Women</w:t>
            </w:r>
          </w:p>
        </w:tc>
      </w:tr>
      <w:tr w:rsidR="00E2625D" w:rsidRPr="007B746B" w14:paraId="4E585887" w14:textId="77777777" w:rsidTr="00851F89">
        <w:trPr>
          <w:jc w:val="center"/>
        </w:trPr>
        <w:tc>
          <w:tcPr>
            <w:tcW w:w="1550" w:type="dxa"/>
          </w:tcPr>
          <w:p w14:paraId="39F0A720"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CONRED</w:t>
            </w:r>
          </w:p>
        </w:tc>
        <w:tc>
          <w:tcPr>
            <w:tcW w:w="7938" w:type="dxa"/>
          </w:tcPr>
          <w:p w14:paraId="60483CFB"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National Disaster Reduction Coordinator</w:t>
            </w:r>
          </w:p>
        </w:tc>
      </w:tr>
      <w:tr w:rsidR="00E2625D" w:rsidRPr="007B746B" w14:paraId="0AC324EA" w14:textId="77777777" w:rsidTr="00851F89">
        <w:trPr>
          <w:jc w:val="center"/>
        </w:trPr>
        <w:tc>
          <w:tcPr>
            <w:tcW w:w="1550" w:type="dxa"/>
          </w:tcPr>
          <w:p w14:paraId="2E4909BD"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COPREDEH</w:t>
            </w:r>
          </w:p>
        </w:tc>
        <w:tc>
          <w:tcPr>
            <w:tcW w:w="7938" w:type="dxa"/>
          </w:tcPr>
          <w:p w14:paraId="43075135"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Presidential Commission on Human Rights</w:t>
            </w:r>
          </w:p>
        </w:tc>
      </w:tr>
      <w:tr w:rsidR="00E2625D" w:rsidRPr="007B746B" w14:paraId="1F47E03D" w14:textId="77777777" w:rsidTr="00851F89">
        <w:trPr>
          <w:jc w:val="center"/>
        </w:trPr>
        <w:tc>
          <w:tcPr>
            <w:tcW w:w="1550" w:type="dxa"/>
          </w:tcPr>
          <w:p w14:paraId="7B6BE37F"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CSJ</w:t>
            </w:r>
          </w:p>
        </w:tc>
        <w:tc>
          <w:tcPr>
            <w:tcW w:w="7938" w:type="dxa"/>
          </w:tcPr>
          <w:p w14:paraId="75036BB4"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Supreme Court of Justice</w:t>
            </w:r>
          </w:p>
        </w:tc>
      </w:tr>
      <w:tr w:rsidR="00E2625D" w:rsidRPr="007B746B" w14:paraId="77C19523" w14:textId="77777777" w:rsidTr="00851F89">
        <w:trPr>
          <w:jc w:val="center"/>
        </w:trPr>
        <w:tc>
          <w:tcPr>
            <w:tcW w:w="1550" w:type="dxa"/>
          </w:tcPr>
          <w:p w14:paraId="237243C7"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DDHH</w:t>
            </w:r>
          </w:p>
        </w:tc>
        <w:tc>
          <w:tcPr>
            <w:tcW w:w="7938" w:type="dxa"/>
          </w:tcPr>
          <w:p w14:paraId="719EE4EF"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Human Rights</w:t>
            </w:r>
          </w:p>
        </w:tc>
      </w:tr>
      <w:tr w:rsidR="00E2625D" w:rsidRPr="007B746B" w14:paraId="01BECB84" w14:textId="77777777" w:rsidTr="00851F89">
        <w:trPr>
          <w:jc w:val="center"/>
        </w:trPr>
        <w:tc>
          <w:tcPr>
            <w:tcW w:w="1550" w:type="dxa"/>
          </w:tcPr>
          <w:p w14:paraId="58836AB5"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DSyR</w:t>
            </w:r>
          </w:p>
        </w:tc>
        <w:tc>
          <w:tcPr>
            <w:tcW w:w="7938" w:type="dxa"/>
          </w:tcPr>
          <w:p w14:paraId="44A1797F"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Sexual and Reproductive Rights</w:t>
            </w:r>
          </w:p>
        </w:tc>
      </w:tr>
      <w:tr w:rsidR="00E2625D" w:rsidRPr="007B746B" w14:paraId="664CE676" w14:textId="77777777" w:rsidTr="00851F89">
        <w:trPr>
          <w:jc w:val="center"/>
        </w:trPr>
        <w:tc>
          <w:tcPr>
            <w:tcW w:w="1550" w:type="dxa"/>
          </w:tcPr>
          <w:p w14:paraId="0F923A48"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EHP</w:t>
            </w:r>
          </w:p>
        </w:tc>
        <w:tc>
          <w:tcPr>
            <w:tcW w:w="7938" w:type="dxa"/>
          </w:tcPr>
          <w:p w14:paraId="77D29FE4"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Country Humanitarian Team</w:t>
            </w:r>
          </w:p>
        </w:tc>
      </w:tr>
      <w:tr w:rsidR="00E2625D" w:rsidRPr="007B746B" w14:paraId="0FAD5110" w14:textId="77777777" w:rsidTr="00851F89">
        <w:trPr>
          <w:jc w:val="center"/>
        </w:trPr>
        <w:tc>
          <w:tcPr>
            <w:tcW w:w="1550" w:type="dxa"/>
          </w:tcPr>
          <w:p w14:paraId="2F3227CB"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GGM</w:t>
            </w:r>
          </w:p>
        </w:tc>
        <w:tc>
          <w:tcPr>
            <w:tcW w:w="7938" w:type="dxa"/>
          </w:tcPr>
          <w:p w14:paraId="322D51F1"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Guatemalan Group for Women</w:t>
            </w:r>
          </w:p>
        </w:tc>
      </w:tr>
      <w:tr w:rsidR="00E2625D" w:rsidRPr="007B746B" w14:paraId="36817D3E" w14:textId="77777777" w:rsidTr="00851F89">
        <w:trPr>
          <w:jc w:val="center"/>
        </w:trPr>
        <w:tc>
          <w:tcPr>
            <w:tcW w:w="1550" w:type="dxa"/>
          </w:tcPr>
          <w:p w14:paraId="070B835F"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IGM</w:t>
            </w:r>
          </w:p>
        </w:tc>
        <w:tc>
          <w:tcPr>
            <w:tcW w:w="7938" w:type="dxa"/>
          </w:tcPr>
          <w:p w14:paraId="5FBB7B99"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Guatemalan Institute on Migration</w:t>
            </w:r>
          </w:p>
        </w:tc>
      </w:tr>
      <w:tr w:rsidR="00E2625D" w:rsidRPr="007B746B" w14:paraId="625D6E29" w14:textId="77777777" w:rsidTr="00851F89">
        <w:trPr>
          <w:jc w:val="center"/>
        </w:trPr>
        <w:tc>
          <w:tcPr>
            <w:tcW w:w="1550" w:type="dxa"/>
          </w:tcPr>
          <w:p w14:paraId="20AE7324"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lang w:val="es-MX"/>
              </w:rPr>
              <w:t>INACIF</w:t>
            </w:r>
          </w:p>
        </w:tc>
        <w:tc>
          <w:tcPr>
            <w:tcW w:w="7938" w:type="dxa"/>
          </w:tcPr>
          <w:p w14:paraId="5F83E7B8"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National Institute of Forensic Sciences</w:t>
            </w:r>
          </w:p>
        </w:tc>
      </w:tr>
      <w:tr w:rsidR="00E2625D" w:rsidRPr="007B746B" w14:paraId="052BA6DA" w14:textId="77777777" w:rsidTr="00851F89">
        <w:trPr>
          <w:jc w:val="center"/>
        </w:trPr>
        <w:tc>
          <w:tcPr>
            <w:tcW w:w="1550" w:type="dxa"/>
          </w:tcPr>
          <w:p w14:paraId="3557FF73" w14:textId="77777777" w:rsidR="00E2625D" w:rsidRPr="007B746B" w:rsidRDefault="00E2625D" w:rsidP="00E2625D">
            <w:pPr>
              <w:rPr>
                <w:rFonts w:ascii="Times New Roman" w:hAnsi="Times New Roman" w:cs="Times New Roman"/>
                <w:color w:val="000000" w:themeColor="text1"/>
                <w:sz w:val="20"/>
                <w:szCs w:val="20"/>
                <w:lang w:val="es-MX"/>
              </w:rPr>
            </w:pPr>
            <w:r w:rsidRPr="007B746B">
              <w:rPr>
                <w:rFonts w:ascii="Times New Roman" w:hAnsi="Times New Roman" w:cs="Times New Roman"/>
                <w:color w:val="000000" w:themeColor="text1"/>
                <w:sz w:val="20"/>
                <w:szCs w:val="20"/>
                <w:lang w:val="es-MX"/>
              </w:rPr>
              <w:t>INE</w:t>
            </w:r>
          </w:p>
        </w:tc>
        <w:tc>
          <w:tcPr>
            <w:tcW w:w="7938" w:type="dxa"/>
          </w:tcPr>
          <w:p w14:paraId="0BEFAF7B"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National Institute of Statistics</w:t>
            </w:r>
          </w:p>
        </w:tc>
      </w:tr>
      <w:tr w:rsidR="00E2625D" w:rsidRPr="007B746B" w14:paraId="5C6AF6D2" w14:textId="77777777" w:rsidTr="00851F89">
        <w:trPr>
          <w:jc w:val="center"/>
        </w:trPr>
        <w:tc>
          <w:tcPr>
            <w:tcW w:w="1550" w:type="dxa"/>
          </w:tcPr>
          <w:p w14:paraId="76ACB044"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eastAsia="Times New Roman" w:hAnsi="Times New Roman" w:cs="Times New Roman"/>
                <w:color w:val="000000" w:themeColor="text1"/>
                <w:sz w:val="20"/>
                <w:szCs w:val="20"/>
                <w:lang w:eastAsia="es-GT"/>
              </w:rPr>
              <w:t>IPM-GT</w:t>
            </w:r>
          </w:p>
        </w:tc>
        <w:tc>
          <w:tcPr>
            <w:tcW w:w="7938" w:type="dxa"/>
          </w:tcPr>
          <w:p w14:paraId="59F30DF3"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eastAsia="Times New Roman" w:hAnsi="Times New Roman" w:cs="Times New Roman"/>
                <w:color w:val="000000" w:themeColor="text1"/>
                <w:sz w:val="20"/>
                <w:szCs w:val="20"/>
                <w:lang w:val="en-US" w:eastAsia="es-GT"/>
              </w:rPr>
              <w:t>Index on Multidimensional Poverty in Guatemala</w:t>
            </w:r>
          </w:p>
        </w:tc>
      </w:tr>
      <w:tr w:rsidR="00E2625D" w:rsidRPr="007B746B" w14:paraId="2CB34C28" w14:textId="77777777" w:rsidTr="00851F89">
        <w:trPr>
          <w:jc w:val="center"/>
        </w:trPr>
        <w:tc>
          <w:tcPr>
            <w:tcW w:w="1550" w:type="dxa"/>
          </w:tcPr>
          <w:p w14:paraId="0E8BC470"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lang w:val="es-MX"/>
              </w:rPr>
              <w:t>LBT</w:t>
            </w:r>
          </w:p>
        </w:tc>
        <w:tc>
          <w:tcPr>
            <w:tcW w:w="7938" w:type="dxa"/>
          </w:tcPr>
          <w:p w14:paraId="22FBB09D"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Lesbian, Bisexual, Trans</w:t>
            </w:r>
          </w:p>
        </w:tc>
      </w:tr>
      <w:tr w:rsidR="00E2625D" w:rsidRPr="007B746B" w14:paraId="25B5135A" w14:textId="77777777" w:rsidTr="00851F89">
        <w:trPr>
          <w:jc w:val="center"/>
        </w:trPr>
        <w:tc>
          <w:tcPr>
            <w:tcW w:w="1550" w:type="dxa"/>
          </w:tcPr>
          <w:p w14:paraId="757D5B31" w14:textId="77777777" w:rsidR="00E2625D" w:rsidRPr="007B746B" w:rsidRDefault="00E2625D" w:rsidP="00E2625D">
            <w:pPr>
              <w:rPr>
                <w:rFonts w:ascii="Times New Roman" w:hAnsi="Times New Roman" w:cs="Times New Roman"/>
                <w:color w:val="000000" w:themeColor="text1"/>
                <w:sz w:val="20"/>
                <w:szCs w:val="20"/>
                <w:lang w:val="es-MX"/>
              </w:rPr>
            </w:pPr>
            <w:r w:rsidRPr="007B746B">
              <w:rPr>
                <w:rFonts w:ascii="Times New Roman" w:hAnsi="Times New Roman" w:cs="Times New Roman"/>
                <w:color w:val="000000" w:themeColor="text1"/>
                <w:sz w:val="20"/>
                <w:szCs w:val="20"/>
                <w:lang w:val="es-MX"/>
              </w:rPr>
              <w:t>MP</w:t>
            </w:r>
          </w:p>
        </w:tc>
        <w:tc>
          <w:tcPr>
            <w:tcW w:w="7938" w:type="dxa"/>
          </w:tcPr>
          <w:p w14:paraId="65205DA3"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Public Ministry</w:t>
            </w:r>
          </w:p>
        </w:tc>
      </w:tr>
      <w:tr w:rsidR="00E2625D" w:rsidRPr="007B746B" w14:paraId="7BE944CB" w14:textId="77777777" w:rsidTr="00851F89">
        <w:trPr>
          <w:jc w:val="center"/>
        </w:trPr>
        <w:tc>
          <w:tcPr>
            <w:tcW w:w="1550" w:type="dxa"/>
          </w:tcPr>
          <w:p w14:paraId="2EB43512" w14:textId="77777777" w:rsidR="00E2625D" w:rsidRPr="007B746B" w:rsidRDefault="00E2625D" w:rsidP="00E2625D">
            <w:pPr>
              <w:rPr>
                <w:rFonts w:ascii="Times New Roman" w:hAnsi="Times New Roman" w:cs="Times New Roman"/>
                <w:color w:val="000000" w:themeColor="text1"/>
                <w:sz w:val="20"/>
                <w:szCs w:val="20"/>
                <w:lang w:val="es-MX"/>
              </w:rPr>
            </w:pPr>
            <w:r w:rsidRPr="007B746B">
              <w:rPr>
                <w:rFonts w:ascii="Times New Roman" w:hAnsi="Times New Roman" w:cs="Times New Roman"/>
                <w:color w:val="000000" w:themeColor="text1"/>
                <w:sz w:val="20"/>
                <w:szCs w:val="20"/>
                <w:lang w:val="es-MX"/>
              </w:rPr>
              <w:t>MINGOB</w:t>
            </w:r>
          </w:p>
        </w:tc>
        <w:tc>
          <w:tcPr>
            <w:tcW w:w="7938" w:type="dxa"/>
          </w:tcPr>
          <w:p w14:paraId="5264B10E"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Ministry of the Interior</w:t>
            </w:r>
          </w:p>
        </w:tc>
      </w:tr>
      <w:tr w:rsidR="00E2625D" w:rsidRPr="007B746B" w14:paraId="1E66E048" w14:textId="77777777" w:rsidTr="00851F89">
        <w:trPr>
          <w:jc w:val="center"/>
        </w:trPr>
        <w:tc>
          <w:tcPr>
            <w:tcW w:w="1550" w:type="dxa"/>
          </w:tcPr>
          <w:p w14:paraId="3F01105D"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MSV</w:t>
            </w:r>
          </w:p>
        </w:tc>
        <w:tc>
          <w:tcPr>
            <w:tcW w:w="7938" w:type="dxa"/>
          </w:tcPr>
          <w:p w14:paraId="26DD99ED"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Women Survivors of Violence</w:t>
            </w:r>
          </w:p>
        </w:tc>
      </w:tr>
      <w:tr w:rsidR="00E2625D" w:rsidRPr="007B746B" w14:paraId="229177CD" w14:textId="77777777" w:rsidTr="00851F89">
        <w:trPr>
          <w:jc w:val="center"/>
        </w:trPr>
        <w:tc>
          <w:tcPr>
            <w:tcW w:w="1550" w:type="dxa"/>
          </w:tcPr>
          <w:p w14:paraId="6BB6F30F"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MSPAS</w:t>
            </w:r>
          </w:p>
        </w:tc>
        <w:tc>
          <w:tcPr>
            <w:tcW w:w="7938" w:type="dxa"/>
          </w:tcPr>
          <w:p w14:paraId="64977C89"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Ministry of Public Health and Social Services</w:t>
            </w:r>
          </w:p>
        </w:tc>
      </w:tr>
      <w:tr w:rsidR="00E2625D" w:rsidRPr="007B746B" w14:paraId="08C4DB3A" w14:textId="77777777" w:rsidTr="00851F89">
        <w:trPr>
          <w:jc w:val="center"/>
        </w:trPr>
        <w:tc>
          <w:tcPr>
            <w:tcW w:w="1550" w:type="dxa"/>
          </w:tcPr>
          <w:p w14:paraId="41ADB9C1"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MVM</w:t>
            </w:r>
          </w:p>
        </w:tc>
        <w:tc>
          <w:tcPr>
            <w:tcW w:w="7938" w:type="dxa"/>
          </w:tcPr>
          <w:p w14:paraId="40BC097D"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Violent Deaths of Women</w:t>
            </w:r>
          </w:p>
        </w:tc>
      </w:tr>
      <w:tr w:rsidR="00E2625D" w:rsidRPr="007B746B" w14:paraId="5A27917D" w14:textId="77777777" w:rsidTr="00851F89">
        <w:trPr>
          <w:jc w:val="center"/>
        </w:trPr>
        <w:tc>
          <w:tcPr>
            <w:tcW w:w="1550" w:type="dxa"/>
          </w:tcPr>
          <w:p w14:paraId="031AF93F"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MSV</w:t>
            </w:r>
          </w:p>
        </w:tc>
        <w:tc>
          <w:tcPr>
            <w:tcW w:w="7938" w:type="dxa"/>
          </w:tcPr>
          <w:p w14:paraId="3CD889B4"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Women Survivors of Violence</w:t>
            </w:r>
          </w:p>
        </w:tc>
      </w:tr>
      <w:tr w:rsidR="00E2625D" w:rsidRPr="007B746B" w14:paraId="5A1F16F0" w14:textId="77777777" w:rsidTr="00851F89">
        <w:trPr>
          <w:jc w:val="center"/>
        </w:trPr>
        <w:tc>
          <w:tcPr>
            <w:tcW w:w="1550" w:type="dxa"/>
          </w:tcPr>
          <w:p w14:paraId="3B0543C0"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OAV</w:t>
            </w:r>
          </w:p>
        </w:tc>
        <w:tc>
          <w:tcPr>
            <w:tcW w:w="7938" w:type="dxa"/>
          </w:tcPr>
          <w:p w14:paraId="5404E056"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Office of Victim Services</w:t>
            </w:r>
          </w:p>
        </w:tc>
      </w:tr>
      <w:tr w:rsidR="00E2625D" w:rsidRPr="007B746B" w14:paraId="4D5E8475" w14:textId="77777777" w:rsidTr="00851F89">
        <w:trPr>
          <w:jc w:val="center"/>
        </w:trPr>
        <w:tc>
          <w:tcPr>
            <w:tcW w:w="1550" w:type="dxa"/>
            <w:vAlign w:val="center"/>
          </w:tcPr>
          <w:p w14:paraId="75BFCAE7"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ODS</w:t>
            </w:r>
          </w:p>
        </w:tc>
        <w:tc>
          <w:tcPr>
            <w:tcW w:w="7938" w:type="dxa"/>
          </w:tcPr>
          <w:p w14:paraId="59D7F854"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Sustainable Development Goals</w:t>
            </w:r>
          </w:p>
        </w:tc>
      </w:tr>
      <w:tr w:rsidR="00E2625D" w:rsidRPr="007B746B" w14:paraId="2F0DB2D6" w14:textId="77777777" w:rsidTr="00851F89">
        <w:trPr>
          <w:jc w:val="center"/>
        </w:trPr>
        <w:tc>
          <w:tcPr>
            <w:tcW w:w="1550" w:type="dxa"/>
          </w:tcPr>
          <w:p w14:paraId="3E0C6375"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OJ</w:t>
            </w:r>
          </w:p>
        </w:tc>
        <w:tc>
          <w:tcPr>
            <w:tcW w:w="7938" w:type="dxa"/>
          </w:tcPr>
          <w:p w14:paraId="7C504901"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 xml:space="preserve">Judicial </w:t>
            </w:r>
            <w:r>
              <w:rPr>
                <w:rFonts w:ascii="Times New Roman" w:hAnsi="Times New Roman" w:cs="Times New Roman"/>
                <w:color w:val="000000" w:themeColor="text1"/>
                <w:sz w:val="20"/>
                <w:szCs w:val="20"/>
                <w:lang w:val="en-US"/>
              </w:rPr>
              <w:t>System</w:t>
            </w:r>
          </w:p>
        </w:tc>
      </w:tr>
      <w:tr w:rsidR="00E2625D" w:rsidRPr="007B746B" w14:paraId="63E84119" w14:textId="77777777" w:rsidTr="00851F89">
        <w:trPr>
          <w:jc w:val="center"/>
        </w:trPr>
        <w:tc>
          <w:tcPr>
            <w:tcW w:w="1550" w:type="dxa"/>
          </w:tcPr>
          <w:p w14:paraId="3B927ECE"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OSAR</w:t>
            </w:r>
          </w:p>
        </w:tc>
        <w:tc>
          <w:tcPr>
            <w:tcW w:w="7938" w:type="dxa"/>
          </w:tcPr>
          <w:p w14:paraId="7E176E1D"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Observatory of Reproductive Health</w:t>
            </w:r>
          </w:p>
        </w:tc>
      </w:tr>
      <w:tr w:rsidR="00E2625D" w:rsidRPr="007B746B" w14:paraId="1F06D248" w14:textId="77777777" w:rsidTr="00851F89">
        <w:trPr>
          <w:jc w:val="center"/>
        </w:trPr>
        <w:tc>
          <w:tcPr>
            <w:tcW w:w="1550" w:type="dxa"/>
          </w:tcPr>
          <w:p w14:paraId="601651F1"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PEO</w:t>
            </w:r>
          </w:p>
        </w:tc>
        <w:tc>
          <w:tcPr>
            <w:tcW w:w="7938" w:type="dxa"/>
          </w:tcPr>
          <w:p w14:paraId="5352800A"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Equal Opportunities Plan</w:t>
            </w:r>
          </w:p>
        </w:tc>
      </w:tr>
      <w:tr w:rsidR="00E2625D" w:rsidRPr="007B746B" w14:paraId="7952EF7F" w14:textId="77777777" w:rsidTr="00851F89">
        <w:trPr>
          <w:jc w:val="center"/>
        </w:trPr>
        <w:tc>
          <w:tcPr>
            <w:tcW w:w="1550" w:type="dxa"/>
          </w:tcPr>
          <w:p w14:paraId="63BDD50B"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PDH</w:t>
            </w:r>
          </w:p>
        </w:tc>
        <w:tc>
          <w:tcPr>
            <w:tcW w:w="7938" w:type="dxa"/>
          </w:tcPr>
          <w:p w14:paraId="04A2EC61"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Prosecutor’s Office for Human Rights</w:t>
            </w:r>
          </w:p>
        </w:tc>
      </w:tr>
      <w:tr w:rsidR="00E2625D" w:rsidRPr="007B746B" w14:paraId="0448662F" w14:textId="77777777" w:rsidTr="00851F89">
        <w:trPr>
          <w:jc w:val="center"/>
        </w:trPr>
        <w:tc>
          <w:tcPr>
            <w:tcW w:w="1550" w:type="dxa"/>
          </w:tcPr>
          <w:p w14:paraId="7DBAC60E"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PGN</w:t>
            </w:r>
          </w:p>
        </w:tc>
        <w:tc>
          <w:tcPr>
            <w:tcW w:w="7938" w:type="dxa"/>
          </w:tcPr>
          <w:p w14:paraId="014D0F16"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Office of the Attorney General</w:t>
            </w:r>
          </w:p>
        </w:tc>
      </w:tr>
      <w:tr w:rsidR="00E2625D" w:rsidRPr="007B746B" w14:paraId="62C2E4DE" w14:textId="77777777" w:rsidTr="00851F89">
        <w:trPr>
          <w:jc w:val="center"/>
        </w:trPr>
        <w:tc>
          <w:tcPr>
            <w:tcW w:w="1550" w:type="dxa"/>
          </w:tcPr>
          <w:p w14:paraId="6884CC79"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PLANOVI</w:t>
            </w:r>
          </w:p>
        </w:tc>
        <w:tc>
          <w:tcPr>
            <w:tcW w:w="7938" w:type="dxa"/>
          </w:tcPr>
          <w:p w14:paraId="49A53A85"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National Plan for the Prevention and Eradication of Violence against Women</w:t>
            </w:r>
          </w:p>
        </w:tc>
      </w:tr>
      <w:tr w:rsidR="00E2625D" w:rsidRPr="007B746B" w14:paraId="05038B62" w14:textId="77777777" w:rsidTr="00851F89">
        <w:trPr>
          <w:jc w:val="center"/>
        </w:trPr>
        <w:tc>
          <w:tcPr>
            <w:tcW w:w="1550" w:type="dxa"/>
          </w:tcPr>
          <w:p w14:paraId="69D30FB5"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PNC</w:t>
            </w:r>
          </w:p>
        </w:tc>
        <w:tc>
          <w:tcPr>
            <w:tcW w:w="7938" w:type="dxa"/>
          </w:tcPr>
          <w:p w14:paraId="610E84A5"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National Civil Police</w:t>
            </w:r>
          </w:p>
        </w:tc>
      </w:tr>
      <w:tr w:rsidR="00E2625D" w:rsidRPr="007B746B" w14:paraId="197A2C51" w14:textId="77777777" w:rsidTr="00851F89">
        <w:trPr>
          <w:jc w:val="center"/>
        </w:trPr>
        <w:tc>
          <w:tcPr>
            <w:tcW w:w="1550" w:type="dxa"/>
          </w:tcPr>
          <w:p w14:paraId="7406CF1E"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PNPDIM</w:t>
            </w:r>
          </w:p>
        </w:tc>
        <w:tc>
          <w:tcPr>
            <w:tcW w:w="7938" w:type="dxa"/>
          </w:tcPr>
          <w:p w14:paraId="4444ABA8"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National Policy on the Promotion and Comprehensive Advancement of Women</w:t>
            </w:r>
          </w:p>
        </w:tc>
      </w:tr>
      <w:tr w:rsidR="00E2625D" w:rsidRPr="007B746B" w14:paraId="09962279" w14:textId="77777777" w:rsidTr="00851F89">
        <w:trPr>
          <w:jc w:val="center"/>
        </w:trPr>
        <w:tc>
          <w:tcPr>
            <w:tcW w:w="1550" w:type="dxa"/>
          </w:tcPr>
          <w:p w14:paraId="7F02E28F"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RENAP</w:t>
            </w:r>
          </w:p>
        </w:tc>
        <w:tc>
          <w:tcPr>
            <w:tcW w:w="7938" w:type="dxa"/>
          </w:tcPr>
          <w:p w14:paraId="2CBA7E90"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National Registry of Persons</w:t>
            </w:r>
          </w:p>
        </w:tc>
      </w:tr>
      <w:tr w:rsidR="00E2625D" w:rsidRPr="007B746B" w14:paraId="24A5C883" w14:textId="77777777" w:rsidTr="00851F89">
        <w:trPr>
          <w:jc w:val="center"/>
        </w:trPr>
        <w:tc>
          <w:tcPr>
            <w:tcW w:w="1550" w:type="dxa"/>
          </w:tcPr>
          <w:p w14:paraId="5FB52C5C"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SAA</w:t>
            </w:r>
          </w:p>
        </w:tc>
        <w:tc>
          <w:tcPr>
            <w:tcW w:w="7938" w:type="dxa"/>
          </w:tcPr>
          <w:p w14:paraId="4473AC4C"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Secretariat of Agricultural Affairs</w:t>
            </w:r>
          </w:p>
        </w:tc>
      </w:tr>
      <w:tr w:rsidR="00E2625D" w:rsidRPr="007B746B" w14:paraId="5AFFAB9A" w14:textId="77777777" w:rsidTr="00851F89">
        <w:trPr>
          <w:jc w:val="center"/>
        </w:trPr>
        <w:tc>
          <w:tcPr>
            <w:tcW w:w="1550" w:type="dxa"/>
          </w:tcPr>
          <w:p w14:paraId="070A0875"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SEGEPLAN</w:t>
            </w:r>
          </w:p>
        </w:tc>
        <w:tc>
          <w:tcPr>
            <w:tcW w:w="7938" w:type="dxa"/>
          </w:tcPr>
          <w:p w14:paraId="26F33331"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General Secretariat of Planning and Programming of the Presidency</w:t>
            </w:r>
          </w:p>
        </w:tc>
      </w:tr>
      <w:tr w:rsidR="00E2625D" w:rsidRPr="007B746B" w14:paraId="06B97387" w14:textId="77777777" w:rsidTr="00851F89">
        <w:trPr>
          <w:jc w:val="center"/>
        </w:trPr>
        <w:tc>
          <w:tcPr>
            <w:tcW w:w="1550" w:type="dxa"/>
          </w:tcPr>
          <w:p w14:paraId="1D6713C1"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SEPAZ</w:t>
            </w:r>
          </w:p>
        </w:tc>
        <w:tc>
          <w:tcPr>
            <w:tcW w:w="7938" w:type="dxa"/>
          </w:tcPr>
          <w:p w14:paraId="166DA0AB"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Secretariat of Peace</w:t>
            </w:r>
          </w:p>
        </w:tc>
      </w:tr>
      <w:tr w:rsidR="00E2625D" w:rsidRPr="007B746B" w14:paraId="49EAB563" w14:textId="77777777" w:rsidTr="00851F89">
        <w:trPr>
          <w:jc w:val="center"/>
        </w:trPr>
        <w:tc>
          <w:tcPr>
            <w:tcW w:w="1550" w:type="dxa"/>
          </w:tcPr>
          <w:p w14:paraId="1391A663"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SEPREM</w:t>
            </w:r>
          </w:p>
        </w:tc>
        <w:tc>
          <w:tcPr>
            <w:tcW w:w="7938" w:type="dxa"/>
          </w:tcPr>
          <w:p w14:paraId="55A8DB1C"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Presidential Secretariat on Women</w:t>
            </w:r>
          </w:p>
        </w:tc>
      </w:tr>
      <w:tr w:rsidR="00E2625D" w:rsidRPr="007B746B" w14:paraId="0143E209" w14:textId="77777777" w:rsidTr="00851F89">
        <w:trPr>
          <w:jc w:val="center"/>
        </w:trPr>
        <w:tc>
          <w:tcPr>
            <w:tcW w:w="1550" w:type="dxa"/>
            <w:vAlign w:val="center"/>
          </w:tcPr>
          <w:p w14:paraId="4C3D663D" w14:textId="77777777" w:rsidR="00E2625D" w:rsidRPr="007B746B" w:rsidRDefault="00E2625D" w:rsidP="00E2625D">
            <w:pPr>
              <w:rPr>
                <w:rFonts w:ascii="Times New Roman" w:hAnsi="Times New Roman" w:cs="Times New Roman"/>
                <w:color w:val="000000" w:themeColor="text1"/>
                <w:sz w:val="20"/>
                <w:szCs w:val="20"/>
              </w:rPr>
            </w:pPr>
            <w:bookmarkStart w:id="6" w:name="_Hlk143861335"/>
            <w:r w:rsidRPr="007B746B">
              <w:rPr>
                <w:rFonts w:ascii="Times New Roman" w:hAnsi="Times New Roman" w:cs="Times New Roman"/>
                <w:color w:val="000000" w:themeColor="text1"/>
                <w:sz w:val="20"/>
                <w:szCs w:val="20"/>
              </w:rPr>
              <w:t>SNCDUR</w:t>
            </w:r>
          </w:p>
        </w:tc>
        <w:tc>
          <w:tcPr>
            <w:tcW w:w="7938" w:type="dxa"/>
          </w:tcPr>
          <w:p w14:paraId="6A8812BE"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National System of Councils on Urban and Rural Development</w:t>
            </w:r>
          </w:p>
        </w:tc>
      </w:tr>
      <w:tr w:rsidR="00E2625D" w:rsidRPr="007B746B" w14:paraId="2AC5DD69" w14:textId="77777777" w:rsidTr="00851F89">
        <w:trPr>
          <w:jc w:val="center"/>
        </w:trPr>
        <w:tc>
          <w:tcPr>
            <w:tcW w:w="1550" w:type="dxa"/>
            <w:vAlign w:val="center"/>
          </w:tcPr>
          <w:p w14:paraId="24433309"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TSE</w:t>
            </w:r>
          </w:p>
        </w:tc>
        <w:tc>
          <w:tcPr>
            <w:tcW w:w="7938" w:type="dxa"/>
          </w:tcPr>
          <w:p w14:paraId="4109A9DA"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Supreme Electoral Tribunal</w:t>
            </w:r>
          </w:p>
        </w:tc>
      </w:tr>
      <w:tr w:rsidR="00E2625D" w:rsidRPr="007B746B" w14:paraId="67B5408E" w14:textId="77777777" w:rsidTr="00851F89">
        <w:trPr>
          <w:jc w:val="center"/>
        </w:trPr>
        <w:tc>
          <w:tcPr>
            <w:tcW w:w="1550" w:type="dxa"/>
            <w:vAlign w:val="center"/>
          </w:tcPr>
          <w:p w14:paraId="03CBD2C6"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UDEFEGUA</w:t>
            </w:r>
          </w:p>
        </w:tc>
        <w:tc>
          <w:tcPr>
            <w:tcW w:w="7938" w:type="dxa"/>
          </w:tcPr>
          <w:p w14:paraId="3D61B04D" w14:textId="77777777" w:rsidR="00E2625D" w:rsidRPr="007B746B" w:rsidRDefault="00E2625D" w:rsidP="00E2625D">
            <w:pPr>
              <w:jc w:val="both"/>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Guatemalan Unit on the Protection of Human Rights Defenders</w:t>
            </w:r>
          </w:p>
        </w:tc>
      </w:tr>
      <w:bookmarkEnd w:id="6"/>
      <w:tr w:rsidR="00E2625D" w:rsidRPr="007B746B" w14:paraId="0B05DA8E" w14:textId="77777777" w:rsidTr="00851F89">
        <w:trPr>
          <w:jc w:val="center"/>
        </w:trPr>
        <w:tc>
          <w:tcPr>
            <w:tcW w:w="1550" w:type="dxa"/>
          </w:tcPr>
          <w:p w14:paraId="2F7A6579"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lang w:val="es-MX"/>
              </w:rPr>
              <w:t>VCM</w:t>
            </w:r>
          </w:p>
        </w:tc>
        <w:tc>
          <w:tcPr>
            <w:tcW w:w="7938" w:type="dxa"/>
          </w:tcPr>
          <w:p w14:paraId="05939D4A"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Violence against Women</w:t>
            </w:r>
          </w:p>
        </w:tc>
      </w:tr>
      <w:tr w:rsidR="00E2625D" w:rsidRPr="007B746B" w14:paraId="5BDC4FF0" w14:textId="77777777" w:rsidTr="00851F89">
        <w:trPr>
          <w:jc w:val="center"/>
        </w:trPr>
        <w:tc>
          <w:tcPr>
            <w:tcW w:w="1550" w:type="dxa"/>
          </w:tcPr>
          <w:p w14:paraId="7A9E35AD" w14:textId="77777777" w:rsidR="00E2625D" w:rsidRPr="007B746B" w:rsidRDefault="00E2625D" w:rsidP="00E2625D">
            <w:pPr>
              <w:rPr>
                <w:rFonts w:ascii="Times New Roman" w:hAnsi="Times New Roman" w:cs="Times New Roman"/>
                <w:color w:val="000000" w:themeColor="text1"/>
                <w:sz w:val="20"/>
                <w:szCs w:val="20"/>
              </w:rPr>
            </w:pPr>
            <w:r w:rsidRPr="007B746B">
              <w:rPr>
                <w:rFonts w:ascii="Times New Roman" w:hAnsi="Times New Roman" w:cs="Times New Roman"/>
                <w:color w:val="000000" w:themeColor="text1"/>
                <w:sz w:val="20"/>
                <w:szCs w:val="20"/>
              </w:rPr>
              <w:t>VIF</w:t>
            </w:r>
          </w:p>
        </w:tc>
        <w:tc>
          <w:tcPr>
            <w:tcW w:w="7938" w:type="dxa"/>
          </w:tcPr>
          <w:p w14:paraId="227E219D" w14:textId="77777777" w:rsidR="00E2625D" w:rsidRPr="007B746B" w:rsidRDefault="00E2625D" w:rsidP="00E2625D">
            <w:pPr>
              <w:rPr>
                <w:rFonts w:ascii="Times New Roman" w:hAnsi="Times New Roman" w:cs="Times New Roman"/>
                <w:color w:val="000000" w:themeColor="text1"/>
                <w:sz w:val="20"/>
                <w:szCs w:val="20"/>
                <w:lang w:val="en-US"/>
              </w:rPr>
            </w:pPr>
            <w:r w:rsidRPr="007B746B">
              <w:rPr>
                <w:rFonts w:ascii="Times New Roman" w:hAnsi="Times New Roman" w:cs="Times New Roman"/>
                <w:color w:val="000000" w:themeColor="text1"/>
                <w:sz w:val="20"/>
                <w:szCs w:val="20"/>
                <w:lang w:val="en-US"/>
              </w:rPr>
              <w:t xml:space="preserve">Domestic </w:t>
            </w:r>
            <w:r>
              <w:rPr>
                <w:rFonts w:ascii="Times New Roman" w:hAnsi="Times New Roman" w:cs="Times New Roman"/>
                <w:color w:val="000000" w:themeColor="text1"/>
                <w:sz w:val="20"/>
                <w:szCs w:val="20"/>
                <w:lang w:val="en-US"/>
              </w:rPr>
              <w:t>V</w:t>
            </w:r>
            <w:r w:rsidRPr="007B746B">
              <w:rPr>
                <w:rFonts w:ascii="Times New Roman" w:hAnsi="Times New Roman" w:cs="Times New Roman"/>
                <w:color w:val="000000" w:themeColor="text1"/>
                <w:sz w:val="20"/>
                <w:szCs w:val="20"/>
                <w:lang w:val="en-US"/>
              </w:rPr>
              <w:t>iolence</w:t>
            </w:r>
          </w:p>
        </w:tc>
      </w:tr>
    </w:tbl>
    <w:p w14:paraId="2DF3841A" w14:textId="77777777" w:rsidR="00E2625D" w:rsidRDefault="00E2625D" w:rsidP="00E2625D"/>
    <w:p w14:paraId="721FB215" w14:textId="77777777" w:rsidR="00E2625D" w:rsidRDefault="00E2625D" w:rsidP="00E2625D"/>
    <w:p w14:paraId="44FFCB43" w14:textId="77777777" w:rsidR="00E2625D" w:rsidRDefault="00E2625D" w:rsidP="00E2625D"/>
    <w:p w14:paraId="24259817" w14:textId="77777777" w:rsidR="00E2625D" w:rsidRPr="00C96666" w:rsidRDefault="00E2625D" w:rsidP="00E2625D">
      <w:pPr>
        <w:jc w:val="center"/>
        <w:rPr>
          <w:rFonts w:ascii="Times New Roman" w:hAnsi="Times New Roman" w:cs="Times New Roman"/>
          <w:b/>
          <w:bCs/>
          <w:lang w:val="en-US"/>
        </w:rPr>
      </w:pPr>
      <w:r w:rsidRPr="00C96666">
        <w:rPr>
          <w:rFonts w:ascii="Times New Roman" w:hAnsi="Times New Roman" w:cs="Times New Roman"/>
          <w:b/>
          <w:bCs/>
          <w:lang w:val="en-US"/>
        </w:rPr>
        <w:t>Annex No. 1</w:t>
      </w:r>
    </w:p>
    <w:p w14:paraId="51488086" w14:textId="77777777" w:rsidR="00E2625D" w:rsidRPr="00C96666" w:rsidRDefault="00E2625D" w:rsidP="00E2625D">
      <w:pPr>
        <w:jc w:val="center"/>
        <w:rPr>
          <w:rFonts w:ascii="Times New Roman" w:hAnsi="Times New Roman" w:cs="Times New Roman"/>
          <w:b/>
          <w:bCs/>
          <w:lang w:val="en-US"/>
        </w:rPr>
      </w:pPr>
      <w:r w:rsidRPr="00C96666">
        <w:rPr>
          <w:rFonts w:ascii="Times New Roman" w:hAnsi="Times New Roman" w:cs="Times New Roman"/>
          <w:b/>
          <w:bCs/>
          <w:lang w:val="en-US"/>
        </w:rPr>
        <w:t xml:space="preserve">Regressive laws and bills on women’s rights, peace and security </w:t>
      </w:r>
    </w:p>
    <w:tbl>
      <w:tblPr>
        <w:tblStyle w:val="Tablaconcuadrcula"/>
        <w:tblW w:w="11226" w:type="dxa"/>
        <w:tblInd w:w="-937" w:type="dxa"/>
        <w:tblLook w:val="04A0" w:firstRow="1" w:lastRow="0" w:firstColumn="1" w:lastColumn="0" w:noHBand="0" w:noVBand="1"/>
      </w:tblPr>
      <w:tblGrid>
        <w:gridCol w:w="709"/>
        <w:gridCol w:w="3978"/>
        <w:gridCol w:w="6539"/>
      </w:tblGrid>
      <w:tr w:rsidR="00E2625D" w:rsidRPr="00C96666" w14:paraId="342F2070" w14:textId="77777777" w:rsidTr="00851F89">
        <w:tc>
          <w:tcPr>
            <w:tcW w:w="709" w:type="dxa"/>
          </w:tcPr>
          <w:p w14:paraId="65776A2C" w14:textId="77777777" w:rsidR="00E2625D" w:rsidRPr="00C96666" w:rsidRDefault="00E2625D" w:rsidP="00E2625D">
            <w:pPr>
              <w:rPr>
                <w:rFonts w:ascii="Times New Roman" w:hAnsi="Times New Roman" w:cs="Times New Roman"/>
                <w:b/>
                <w:bCs/>
                <w:sz w:val="20"/>
                <w:szCs w:val="20"/>
                <w:lang w:val="en-US"/>
              </w:rPr>
            </w:pPr>
            <w:r w:rsidRPr="00C96666">
              <w:rPr>
                <w:rFonts w:ascii="Times New Roman" w:hAnsi="Times New Roman" w:cs="Times New Roman"/>
                <w:b/>
                <w:bCs/>
                <w:sz w:val="20"/>
                <w:szCs w:val="20"/>
                <w:lang w:val="en-US"/>
              </w:rPr>
              <w:t>Year</w:t>
            </w:r>
          </w:p>
        </w:tc>
        <w:tc>
          <w:tcPr>
            <w:tcW w:w="3978" w:type="dxa"/>
          </w:tcPr>
          <w:p w14:paraId="3130FD7E" w14:textId="77777777" w:rsidR="00E2625D" w:rsidRPr="00C96666" w:rsidRDefault="00E2625D" w:rsidP="00E2625D">
            <w:pPr>
              <w:rPr>
                <w:rFonts w:ascii="Times New Roman" w:hAnsi="Times New Roman" w:cs="Times New Roman"/>
                <w:b/>
                <w:bCs/>
                <w:sz w:val="20"/>
                <w:szCs w:val="20"/>
                <w:lang w:val="en-US"/>
              </w:rPr>
            </w:pPr>
            <w:r w:rsidRPr="00C96666">
              <w:rPr>
                <w:rFonts w:ascii="Times New Roman" w:hAnsi="Times New Roman" w:cs="Times New Roman"/>
                <w:b/>
                <w:bCs/>
                <w:sz w:val="20"/>
                <w:szCs w:val="20"/>
                <w:lang w:val="en-US"/>
              </w:rPr>
              <w:t>Bill/Law</w:t>
            </w:r>
          </w:p>
        </w:tc>
        <w:tc>
          <w:tcPr>
            <w:tcW w:w="6539" w:type="dxa"/>
          </w:tcPr>
          <w:p w14:paraId="3F7986A4" w14:textId="77777777" w:rsidR="00E2625D" w:rsidRPr="00C96666" w:rsidRDefault="00E2625D" w:rsidP="00E2625D">
            <w:pPr>
              <w:rPr>
                <w:rFonts w:ascii="Times New Roman" w:hAnsi="Times New Roman" w:cs="Times New Roman"/>
                <w:b/>
                <w:bCs/>
                <w:sz w:val="20"/>
                <w:szCs w:val="20"/>
                <w:lang w:val="en-US"/>
              </w:rPr>
            </w:pPr>
            <w:r w:rsidRPr="00C96666">
              <w:rPr>
                <w:rFonts w:ascii="Times New Roman" w:hAnsi="Times New Roman" w:cs="Times New Roman"/>
                <w:b/>
                <w:bCs/>
                <w:sz w:val="20"/>
                <w:szCs w:val="20"/>
                <w:lang w:val="en-US"/>
              </w:rPr>
              <w:t>Description</w:t>
            </w:r>
          </w:p>
        </w:tc>
      </w:tr>
      <w:tr w:rsidR="00E2625D" w:rsidRPr="00667753" w14:paraId="7E51C98E" w14:textId="77777777" w:rsidTr="00851F89">
        <w:tc>
          <w:tcPr>
            <w:tcW w:w="11226" w:type="dxa"/>
            <w:gridSpan w:val="3"/>
          </w:tcPr>
          <w:p w14:paraId="0EFC40E2" w14:textId="77777777" w:rsidR="00E2625D" w:rsidRPr="00C96666" w:rsidRDefault="00E2625D" w:rsidP="00E2625D">
            <w:pPr>
              <w:jc w:val="center"/>
              <w:rPr>
                <w:rFonts w:ascii="Times New Roman" w:hAnsi="Times New Roman" w:cs="Times New Roman"/>
                <w:b/>
                <w:bCs/>
                <w:sz w:val="20"/>
                <w:szCs w:val="20"/>
                <w:lang w:val="en-US"/>
              </w:rPr>
            </w:pPr>
            <w:r w:rsidRPr="00C96666">
              <w:rPr>
                <w:rFonts w:ascii="Times New Roman" w:hAnsi="Times New Roman" w:cs="Times New Roman"/>
                <w:b/>
                <w:bCs/>
                <w:sz w:val="20"/>
                <w:szCs w:val="20"/>
                <w:lang w:val="en-US"/>
              </w:rPr>
              <w:t>Seeking amnesty for acts committed during the CAI</w:t>
            </w:r>
          </w:p>
        </w:tc>
      </w:tr>
      <w:tr w:rsidR="00E2625D" w:rsidRPr="00667753" w14:paraId="2C2A043C" w14:textId="77777777" w:rsidTr="00851F89">
        <w:tc>
          <w:tcPr>
            <w:tcW w:w="709" w:type="dxa"/>
          </w:tcPr>
          <w:p w14:paraId="22AE5A47" w14:textId="77777777" w:rsidR="00E2625D" w:rsidRPr="00C96666" w:rsidRDefault="00E2625D" w:rsidP="00E2625D">
            <w:pPr>
              <w:rPr>
                <w:rFonts w:ascii="Times New Roman" w:hAnsi="Times New Roman" w:cs="Times New Roman"/>
                <w:sz w:val="20"/>
                <w:szCs w:val="20"/>
                <w:lang w:val="es-MX"/>
              </w:rPr>
            </w:pPr>
            <w:r w:rsidRPr="00C96666">
              <w:rPr>
                <w:rFonts w:ascii="Times New Roman" w:hAnsi="Times New Roman" w:cs="Times New Roman"/>
                <w:sz w:val="20"/>
                <w:szCs w:val="20"/>
                <w:lang w:val="es-MX"/>
              </w:rPr>
              <w:t>2017</w:t>
            </w:r>
          </w:p>
        </w:tc>
        <w:tc>
          <w:tcPr>
            <w:tcW w:w="3978" w:type="dxa"/>
          </w:tcPr>
          <w:p w14:paraId="15CA1BDB" w14:textId="77777777" w:rsidR="00E2625D" w:rsidRPr="00C96666" w:rsidRDefault="00E2625D" w:rsidP="00E2625D">
            <w:pPr>
              <w:rPr>
                <w:rFonts w:ascii="Times New Roman" w:hAnsi="Times New Roman" w:cs="Times New Roman"/>
                <w:sz w:val="20"/>
                <w:szCs w:val="20"/>
                <w:lang w:val="en-US"/>
              </w:rPr>
            </w:pPr>
            <w:r w:rsidRPr="00C96666">
              <w:rPr>
                <w:rStyle w:val="Textoennegrita"/>
                <w:rFonts w:ascii="Times New Roman" w:hAnsi="Times New Roman" w:cs="Times New Roman"/>
                <w:color w:val="1F1F1F"/>
                <w:shd w:val="clear" w:color="auto" w:fill="FFFFFF"/>
                <w:lang w:val="en-US"/>
              </w:rPr>
              <w:t>Bill 5375 that provides for the approval of the Law on the National Day of Repentance, Forgiveness, and Reconciliation for Peace</w:t>
            </w:r>
          </w:p>
        </w:tc>
        <w:tc>
          <w:tcPr>
            <w:tcW w:w="6539" w:type="dxa"/>
          </w:tcPr>
          <w:p w14:paraId="059B4DAB" w14:textId="77777777" w:rsidR="00E2625D" w:rsidRPr="00C96666" w:rsidRDefault="00E2625D" w:rsidP="00E2625D">
            <w:pPr>
              <w:rPr>
                <w:rFonts w:ascii="Times New Roman" w:hAnsi="Times New Roman" w:cs="Times New Roman"/>
                <w:kern w:val="0"/>
                <w:sz w:val="20"/>
                <w:szCs w:val="20"/>
                <w:lang w:val="en-US"/>
              </w:rPr>
            </w:pPr>
            <w:r w:rsidRPr="00C96666">
              <w:rPr>
                <w:rFonts w:ascii="Times New Roman" w:hAnsi="Times New Roman" w:cs="Times New Roman"/>
                <w:color w:val="1F1F1F"/>
                <w:sz w:val="20"/>
                <w:szCs w:val="20"/>
                <w:shd w:val="clear" w:color="auto" w:fill="FFFFFF"/>
                <w:lang w:val="en-US"/>
              </w:rPr>
              <w:t>The intention is that the mere declaration of this day or the reminder of it, will allow for the "social healing of Guatemala" from the events that occurred in the CAI; however, the Guatemalan population demands justice, reparations, finding the disappeared persons, and historical memory as a measure of building peace, not only speeches that promote forgetting and silence.</w:t>
            </w:r>
          </w:p>
          <w:p w14:paraId="31FF59EF" w14:textId="77777777" w:rsidR="00E2625D" w:rsidRPr="00C96666" w:rsidRDefault="00E2625D" w:rsidP="00E2625D">
            <w:pPr>
              <w:rPr>
                <w:rFonts w:ascii="Times New Roman" w:hAnsi="Times New Roman" w:cs="Times New Roman"/>
                <w:sz w:val="20"/>
                <w:szCs w:val="20"/>
                <w:lang w:val="en-US"/>
              </w:rPr>
            </w:pPr>
          </w:p>
        </w:tc>
      </w:tr>
      <w:tr w:rsidR="00E2625D" w:rsidRPr="00667753" w14:paraId="630EBFFE" w14:textId="77777777" w:rsidTr="00851F89">
        <w:tc>
          <w:tcPr>
            <w:tcW w:w="709" w:type="dxa"/>
          </w:tcPr>
          <w:p w14:paraId="62F1468A" w14:textId="77777777" w:rsidR="00E2625D" w:rsidRPr="00C96666" w:rsidRDefault="00E2625D" w:rsidP="00E2625D">
            <w:pPr>
              <w:rPr>
                <w:rFonts w:ascii="Times New Roman" w:hAnsi="Times New Roman" w:cs="Times New Roman"/>
                <w:sz w:val="20"/>
                <w:szCs w:val="20"/>
                <w:lang w:val="es-MX"/>
              </w:rPr>
            </w:pPr>
            <w:r w:rsidRPr="00C96666">
              <w:rPr>
                <w:rFonts w:ascii="Times New Roman" w:hAnsi="Times New Roman" w:cs="Times New Roman"/>
                <w:sz w:val="20"/>
                <w:szCs w:val="20"/>
              </w:rPr>
              <w:t>2018</w:t>
            </w:r>
          </w:p>
        </w:tc>
        <w:tc>
          <w:tcPr>
            <w:tcW w:w="3978" w:type="dxa"/>
          </w:tcPr>
          <w:p w14:paraId="5D2C06AE"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Bill 5377 that provides for the approval of reforms within Decree 145-96, Law on National Reconciliation</w:t>
            </w:r>
          </w:p>
        </w:tc>
        <w:tc>
          <w:tcPr>
            <w:tcW w:w="6539" w:type="dxa"/>
          </w:tcPr>
          <w:p w14:paraId="7D092649"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 xml:space="preserve">Promotes amnesty for acts committed during the CAI. </w:t>
            </w:r>
          </w:p>
        </w:tc>
      </w:tr>
      <w:tr w:rsidR="00E2625D" w:rsidRPr="00667753" w14:paraId="6A68C001" w14:textId="77777777" w:rsidTr="00851F89">
        <w:tc>
          <w:tcPr>
            <w:tcW w:w="709" w:type="dxa"/>
          </w:tcPr>
          <w:p w14:paraId="47E86EAE" w14:textId="77777777" w:rsidR="00E2625D" w:rsidRPr="00C96666" w:rsidRDefault="00E2625D" w:rsidP="00E2625D">
            <w:pPr>
              <w:rPr>
                <w:rFonts w:ascii="Times New Roman" w:hAnsi="Times New Roman" w:cs="Times New Roman"/>
                <w:sz w:val="20"/>
                <w:szCs w:val="20"/>
              </w:rPr>
            </w:pPr>
            <w:r w:rsidRPr="00C96666">
              <w:rPr>
                <w:rFonts w:ascii="Times New Roman" w:hAnsi="Times New Roman" w:cs="Times New Roman"/>
                <w:sz w:val="20"/>
                <w:szCs w:val="20"/>
              </w:rPr>
              <w:t>2022</w:t>
            </w:r>
          </w:p>
        </w:tc>
        <w:tc>
          <w:tcPr>
            <w:tcW w:w="3978" w:type="dxa"/>
          </w:tcPr>
          <w:p w14:paraId="3AEAE945"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Bill 6099, Law on Strengthening Peace</w:t>
            </w:r>
          </w:p>
        </w:tc>
        <w:tc>
          <w:tcPr>
            <w:tcW w:w="6539" w:type="dxa"/>
          </w:tcPr>
          <w:p w14:paraId="6103D0A9"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 xml:space="preserve">Seeks to decree amnesty, extinguishes criminal responsibility for acts committed during the CAI. </w:t>
            </w:r>
          </w:p>
        </w:tc>
      </w:tr>
      <w:tr w:rsidR="00E2625D" w:rsidRPr="005F513D" w14:paraId="01B7BAF1" w14:textId="77777777" w:rsidTr="00851F89">
        <w:tc>
          <w:tcPr>
            <w:tcW w:w="11226" w:type="dxa"/>
            <w:gridSpan w:val="3"/>
          </w:tcPr>
          <w:p w14:paraId="4F9AD3AF" w14:textId="77777777" w:rsidR="00E2625D" w:rsidRPr="00C96666" w:rsidRDefault="00E2625D" w:rsidP="00E2625D">
            <w:pPr>
              <w:jc w:val="center"/>
              <w:rPr>
                <w:rFonts w:ascii="Times New Roman" w:hAnsi="Times New Roman" w:cs="Times New Roman"/>
                <w:b/>
                <w:bCs/>
                <w:sz w:val="20"/>
                <w:szCs w:val="20"/>
                <w:lang w:val="en-US"/>
              </w:rPr>
            </w:pPr>
            <w:r w:rsidRPr="00C96666">
              <w:rPr>
                <w:rFonts w:ascii="Times New Roman" w:hAnsi="Times New Roman" w:cs="Times New Roman"/>
                <w:b/>
                <w:bCs/>
                <w:sz w:val="20"/>
                <w:szCs w:val="20"/>
                <w:lang w:val="en-US"/>
              </w:rPr>
              <w:t>Criminalizing protest, freedom of association, and manifestation</w:t>
            </w:r>
          </w:p>
        </w:tc>
      </w:tr>
      <w:tr w:rsidR="00E2625D" w:rsidRPr="00316D6C" w14:paraId="176C47B9" w14:textId="77777777" w:rsidTr="00851F89">
        <w:tc>
          <w:tcPr>
            <w:tcW w:w="709" w:type="dxa"/>
          </w:tcPr>
          <w:p w14:paraId="008B6547" w14:textId="77777777" w:rsidR="00E2625D" w:rsidRPr="00C96666" w:rsidRDefault="00E2625D" w:rsidP="00E2625D">
            <w:pPr>
              <w:rPr>
                <w:rFonts w:ascii="Times New Roman" w:hAnsi="Times New Roman" w:cs="Times New Roman"/>
                <w:sz w:val="20"/>
                <w:szCs w:val="20"/>
                <w:lang w:val="es-MX"/>
              </w:rPr>
            </w:pPr>
            <w:r w:rsidRPr="00C96666">
              <w:rPr>
                <w:rFonts w:ascii="Times New Roman" w:hAnsi="Times New Roman" w:cs="Times New Roman"/>
                <w:sz w:val="20"/>
                <w:szCs w:val="20"/>
                <w:lang w:val="es-MX"/>
              </w:rPr>
              <w:t>2017</w:t>
            </w:r>
          </w:p>
        </w:tc>
        <w:tc>
          <w:tcPr>
            <w:tcW w:w="3978" w:type="dxa"/>
          </w:tcPr>
          <w:p w14:paraId="7EB91155"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kern w:val="0"/>
                <w:sz w:val="20"/>
                <w:szCs w:val="20"/>
                <w:lang w:val="en-US"/>
              </w:rPr>
              <w:t>Bill 5274, Law on Terrorism and Public Order</w:t>
            </w:r>
          </w:p>
        </w:tc>
        <w:tc>
          <w:tcPr>
            <w:tcW w:w="6539" w:type="dxa"/>
          </w:tcPr>
          <w:p w14:paraId="1CDAF817" w14:textId="77777777" w:rsidR="00E2625D" w:rsidRPr="00C96666" w:rsidRDefault="00E2625D" w:rsidP="00E2625D">
            <w:pPr>
              <w:rPr>
                <w:rFonts w:ascii="Times New Roman" w:hAnsi="Times New Roman" w:cs="Times New Roman"/>
                <w:kern w:val="0"/>
                <w:sz w:val="20"/>
                <w:szCs w:val="20"/>
                <w:lang w:val="en-US"/>
              </w:rPr>
            </w:pPr>
            <w:r w:rsidRPr="00C96666">
              <w:rPr>
                <w:rFonts w:ascii="Times New Roman" w:hAnsi="Times New Roman" w:cs="Times New Roman"/>
                <w:sz w:val="20"/>
                <w:szCs w:val="20"/>
                <w:lang w:val="en-US"/>
              </w:rPr>
              <w:t xml:space="preserve">A proposal to silence dissidents, protest, and organizing and association by the population. </w:t>
            </w:r>
          </w:p>
        </w:tc>
      </w:tr>
      <w:tr w:rsidR="00E2625D" w:rsidRPr="005F513D" w14:paraId="54A2894D" w14:textId="77777777" w:rsidTr="00851F89">
        <w:tc>
          <w:tcPr>
            <w:tcW w:w="709" w:type="dxa"/>
          </w:tcPr>
          <w:p w14:paraId="300854FB" w14:textId="77777777" w:rsidR="00E2625D" w:rsidRPr="00C96666" w:rsidRDefault="00E2625D" w:rsidP="00E2625D">
            <w:pPr>
              <w:rPr>
                <w:rFonts w:ascii="Times New Roman" w:hAnsi="Times New Roman" w:cs="Times New Roman"/>
                <w:sz w:val="20"/>
                <w:szCs w:val="20"/>
                <w:lang w:val="es-MX"/>
              </w:rPr>
            </w:pPr>
            <w:r w:rsidRPr="00C96666">
              <w:rPr>
                <w:rFonts w:ascii="Times New Roman" w:hAnsi="Times New Roman" w:cs="Times New Roman"/>
                <w:sz w:val="20"/>
                <w:szCs w:val="20"/>
              </w:rPr>
              <w:t>2020</w:t>
            </w:r>
          </w:p>
        </w:tc>
        <w:tc>
          <w:tcPr>
            <w:tcW w:w="3978" w:type="dxa"/>
          </w:tcPr>
          <w:p w14:paraId="4AB0F3AE" w14:textId="77777777" w:rsidR="00E2625D" w:rsidRPr="00C96666" w:rsidRDefault="00E2625D" w:rsidP="00E2625D">
            <w:pPr>
              <w:rPr>
                <w:rFonts w:ascii="Times New Roman" w:hAnsi="Times New Roman" w:cs="Times New Roman"/>
                <w:kern w:val="0"/>
                <w:sz w:val="20"/>
                <w:szCs w:val="20"/>
                <w:lang w:val="en-US"/>
              </w:rPr>
            </w:pPr>
            <w:r w:rsidRPr="00C96666">
              <w:rPr>
                <w:rFonts w:ascii="Times New Roman" w:hAnsi="Times New Roman" w:cs="Times New Roman"/>
                <w:sz w:val="20"/>
                <w:szCs w:val="20"/>
                <w:lang w:val="en-US"/>
              </w:rPr>
              <w:t>Decree 04-2020, Reforms to the Law on Non-Governmental Organizations</w:t>
            </w:r>
          </w:p>
        </w:tc>
        <w:tc>
          <w:tcPr>
            <w:tcW w:w="6539" w:type="dxa"/>
          </w:tcPr>
          <w:p w14:paraId="01813388"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kern w:val="0"/>
                <w:sz w:val="20"/>
                <w:szCs w:val="20"/>
                <w:lang w:val="en-US"/>
              </w:rPr>
              <w:t xml:space="preserve">In effect since May 12, 2021, this law violates the autonomy, freedom of association and organization of civil society, and promotes State control over civil society. </w:t>
            </w:r>
          </w:p>
        </w:tc>
      </w:tr>
      <w:tr w:rsidR="00E2625D" w:rsidRPr="001D3F73" w14:paraId="3F57E5B5" w14:textId="77777777" w:rsidTr="00851F89">
        <w:tc>
          <w:tcPr>
            <w:tcW w:w="709" w:type="dxa"/>
          </w:tcPr>
          <w:p w14:paraId="7A7A1ED8" w14:textId="77777777" w:rsidR="00E2625D" w:rsidRPr="00C96666" w:rsidRDefault="00E2625D" w:rsidP="00E2625D">
            <w:pPr>
              <w:rPr>
                <w:rFonts w:ascii="Times New Roman" w:hAnsi="Times New Roman" w:cs="Times New Roman"/>
                <w:sz w:val="20"/>
                <w:szCs w:val="20"/>
              </w:rPr>
            </w:pPr>
            <w:r w:rsidRPr="00C96666">
              <w:rPr>
                <w:rFonts w:ascii="Times New Roman" w:hAnsi="Times New Roman" w:cs="Times New Roman"/>
                <w:sz w:val="20"/>
                <w:szCs w:val="20"/>
              </w:rPr>
              <w:t>2020</w:t>
            </w:r>
          </w:p>
        </w:tc>
        <w:tc>
          <w:tcPr>
            <w:tcW w:w="3978" w:type="dxa"/>
          </w:tcPr>
          <w:p w14:paraId="39FE41E6"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Bill 5692 seeking to reform the Penal Code</w:t>
            </w:r>
          </w:p>
        </w:tc>
        <w:tc>
          <w:tcPr>
            <w:tcW w:w="6539" w:type="dxa"/>
          </w:tcPr>
          <w:p w14:paraId="6A32F117"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 xml:space="preserve">This law seeks to reform article 391 on Terrorism and Public Disorder, with the intention to criminalize protest and manifestations. </w:t>
            </w:r>
          </w:p>
        </w:tc>
      </w:tr>
      <w:tr w:rsidR="00E2625D" w:rsidRPr="008F05D3" w14:paraId="719C3D23" w14:textId="77777777" w:rsidTr="00851F89">
        <w:tc>
          <w:tcPr>
            <w:tcW w:w="709" w:type="dxa"/>
          </w:tcPr>
          <w:p w14:paraId="2A142F3D" w14:textId="77777777" w:rsidR="00E2625D" w:rsidRPr="00C96666" w:rsidRDefault="00E2625D" w:rsidP="00E2625D">
            <w:pPr>
              <w:rPr>
                <w:rFonts w:ascii="Times New Roman" w:hAnsi="Times New Roman" w:cs="Times New Roman"/>
                <w:sz w:val="20"/>
                <w:szCs w:val="20"/>
              </w:rPr>
            </w:pPr>
            <w:r w:rsidRPr="00C96666">
              <w:rPr>
                <w:rFonts w:ascii="Times New Roman" w:hAnsi="Times New Roman" w:cs="Times New Roman"/>
                <w:sz w:val="20"/>
                <w:szCs w:val="20"/>
              </w:rPr>
              <w:t>2020</w:t>
            </w:r>
          </w:p>
        </w:tc>
        <w:tc>
          <w:tcPr>
            <w:tcW w:w="3978" w:type="dxa"/>
          </w:tcPr>
          <w:p w14:paraId="636512DF"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Bill 5820, Law on the Prevention and Repression of Money Laundering and the Financing of Terrorism</w:t>
            </w:r>
          </w:p>
        </w:tc>
        <w:tc>
          <w:tcPr>
            <w:tcW w:w="6539" w:type="dxa"/>
          </w:tcPr>
          <w:p w14:paraId="3791DB71"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 xml:space="preserve">This bill aims to criminalize the activities and financing of civil society organizations. </w:t>
            </w:r>
          </w:p>
        </w:tc>
      </w:tr>
      <w:tr w:rsidR="00E2625D" w:rsidRPr="003801DB" w14:paraId="46CEDEFF" w14:textId="77777777" w:rsidTr="00851F89">
        <w:tc>
          <w:tcPr>
            <w:tcW w:w="709" w:type="dxa"/>
          </w:tcPr>
          <w:p w14:paraId="11E265AC" w14:textId="77777777" w:rsidR="00E2625D" w:rsidRPr="00C96666" w:rsidRDefault="00E2625D" w:rsidP="00E2625D">
            <w:pPr>
              <w:rPr>
                <w:rFonts w:ascii="Times New Roman" w:hAnsi="Times New Roman" w:cs="Times New Roman"/>
                <w:sz w:val="20"/>
                <w:szCs w:val="20"/>
              </w:rPr>
            </w:pPr>
            <w:r w:rsidRPr="00C96666">
              <w:rPr>
                <w:rFonts w:ascii="Times New Roman" w:hAnsi="Times New Roman" w:cs="Times New Roman"/>
                <w:sz w:val="20"/>
                <w:szCs w:val="20"/>
              </w:rPr>
              <w:t>2022</w:t>
            </w:r>
          </w:p>
        </w:tc>
        <w:tc>
          <w:tcPr>
            <w:tcW w:w="3978" w:type="dxa"/>
          </w:tcPr>
          <w:p w14:paraId="35633800"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Bill 6076, Law for the Strengthening of Public Security and Armed Forces of Guatemala</w:t>
            </w:r>
          </w:p>
        </w:tc>
        <w:tc>
          <w:tcPr>
            <w:tcW w:w="6539" w:type="dxa"/>
          </w:tcPr>
          <w:p w14:paraId="3A681A89"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Among other things, this bill seeks to exempt security and armed forces from responsibility in the commission of crimes while “</w:t>
            </w:r>
            <w:r w:rsidRPr="00C96666">
              <w:rPr>
                <w:rFonts w:ascii="Times New Roman" w:hAnsi="Times New Roman" w:cs="Times New Roman"/>
                <w:i/>
                <w:iCs/>
                <w:sz w:val="20"/>
                <w:szCs w:val="20"/>
                <w:lang w:val="en-US"/>
              </w:rPr>
              <w:t>having fulfilled their duties</w:t>
            </w:r>
            <w:r w:rsidRPr="00C96666">
              <w:rPr>
                <w:rFonts w:ascii="Times New Roman" w:hAnsi="Times New Roman" w:cs="Times New Roman"/>
                <w:sz w:val="20"/>
                <w:szCs w:val="20"/>
                <w:lang w:val="en-US"/>
              </w:rPr>
              <w:t>.”</w:t>
            </w:r>
          </w:p>
        </w:tc>
      </w:tr>
      <w:tr w:rsidR="00E2625D" w:rsidRPr="00C55177" w14:paraId="7752B524" w14:textId="77777777" w:rsidTr="00851F89">
        <w:tc>
          <w:tcPr>
            <w:tcW w:w="709" w:type="dxa"/>
          </w:tcPr>
          <w:p w14:paraId="094DC5B1" w14:textId="77777777" w:rsidR="00E2625D" w:rsidRPr="00C96666" w:rsidRDefault="00E2625D" w:rsidP="00E2625D">
            <w:pPr>
              <w:rPr>
                <w:rFonts w:ascii="Times New Roman" w:hAnsi="Times New Roman" w:cs="Times New Roman"/>
                <w:sz w:val="20"/>
                <w:szCs w:val="20"/>
              </w:rPr>
            </w:pPr>
            <w:r w:rsidRPr="00C96666">
              <w:rPr>
                <w:rFonts w:ascii="Times New Roman" w:hAnsi="Times New Roman" w:cs="Times New Roman"/>
                <w:sz w:val="20"/>
                <w:szCs w:val="20"/>
              </w:rPr>
              <w:t>2022</w:t>
            </w:r>
          </w:p>
        </w:tc>
        <w:tc>
          <w:tcPr>
            <w:tcW w:w="3978" w:type="dxa"/>
          </w:tcPr>
          <w:p w14:paraId="07A5BDBE"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Bill 6145 that aims to create the Law on Planification</w:t>
            </w:r>
          </w:p>
        </w:tc>
        <w:tc>
          <w:tcPr>
            <w:tcW w:w="6539" w:type="dxa"/>
          </w:tcPr>
          <w:p w14:paraId="7C6CDC77"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 xml:space="preserve">Through this law, a Ministry of Planning would be created that would have control over the plans of the State, the international and national resources, including those of civil society organizations. </w:t>
            </w:r>
          </w:p>
        </w:tc>
      </w:tr>
      <w:tr w:rsidR="00E2625D" w:rsidRPr="00C55177" w14:paraId="765569E6" w14:textId="77777777" w:rsidTr="00851F89">
        <w:tc>
          <w:tcPr>
            <w:tcW w:w="11226" w:type="dxa"/>
            <w:gridSpan w:val="3"/>
          </w:tcPr>
          <w:p w14:paraId="3AFC2648" w14:textId="77777777" w:rsidR="00E2625D" w:rsidRPr="00C96666" w:rsidRDefault="00E2625D" w:rsidP="00E2625D">
            <w:pPr>
              <w:jc w:val="center"/>
              <w:rPr>
                <w:rFonts w:ascii="Times New Roman" w:hAnsi="Times New Roman" w:cs="Times New Roman"/>
                <w:b/>
                <w:bCs/>
                <w:sz w:val="20"/>
                <w:szCs w:val="20"/>
                <w:lang w:val="en-US"/>
              </w:rPr>
            </w:pPr>
            <w:r w:rsidRPr="00C96666">
              <w:rPr>
                <w:rFonts w:ascii="Times New Roman" w:hAnsi="Times New Roman" w:cs="Times New Roman"/>
                <w:b/>
                <w:bCs/>
                <w:sz w:val="20"/>
                <w:szCs w:val="20"/>
                <w:lang w:val="en-US"/>
              </w:rPr>
              <w:t xml:space="preserve">Preventing the rights of women and access to justice </w:t>
            </w:r>
          </w:p>
        </w:tc>
      </w:tr>
      <w:tr w:rsidR="00E2625D" w:rsidRPr="00F27C45" w14:paraId="5FF428A9" w14:textId="77777777" w:rsidTr="00851F89">
        <w:tc>
          <w:tcPr>
            <w:tcW w:w="709" w:type="dxa"/>
          </w:tcPr>
          <w:p w14:paraId="45CCA347" w14:textId="77777777" w:rsidR="00E2625D" w:rsidRPr="00C96666" w:rsidRDefault="00E2625D" w:rsidP="00E2625D">
            <w:pPr>
              <w:rPr>
                <w:rFonts w:ascii="Times New Roman" w:hAnsi="Times New Roman" w:cs="Times New Roman"/>
                <w:sz w:val="20"/>
                <w:szCs w:val="20"/>
                <w:lang w:val="es-MX"/>
              </w:rPr>
            </w:pPr>
            <w:r w:rsidRPr="00C96666">
              <w:rPr>
                <w:rFonts w:ascii="Times New Roman" w:hAnsi="Times New Roman" w:cs="Times New Roman"/>
                <w:sz w:val="20"/>
                <w:szCs w:val="20"/>
              </w:rPr>
              <w:t>2019</w:t>
            </w:r>
          </w:p>
        </w:tc>
        <w:tc>
          <w:tcPr>
            <w:tcW w:w="3978" w:type="dxa"/>
          </w:tcPr>
          <w:p w14:paraId="56A0A50C"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Decree 10-2019, Law on Acceptance of Charges</w:t>
            </w:r>
          </w:p>
        </w:tc>
        <w:tc>
          <w:tcPr>
            <w:tcW w:w="6539" w:type="dxa"/>
          </w:tcPr>
          <w:p w14:paraId="6BE8976C" w14:textId="77777777" w:rsidR="00E2625D" w:rsidRPr="00C96666" w:rsidRDefault="00E2625D" w:rsidP="00E2625D">
            <w:pPr>
              <w:jc w:val="both"/>
              <w:rPr>
                <w:rFonts w:ascii="Times New Roman" w:hAnsi="Times New Roman" w:cs="Times New Roman"/>
                <w:sz w:val="20"/>
                <w:szCs w:val="20"/>
                <w:lang w:val="en-US"/>
              </w:rPr>
            </w:pPr>
            <w:r w:rsidRPr="00C96666">
              <w:rPr>
                <w:rFonts w:ascii="Times New Roman" w:hAnsi="Times New Roman" w:cs="Times New Roman"/>
                <w:sz w:val="20"/>
                <w:szCs w:val="20"/>
                <w:lang w:val="en-US"/>
              </w:rPr>
              <w:t xml:space="preserve">In effect since June 2022, in crimes of violence against women, this law can be used to reduce sentences. Through this law, and in a torturous context, human rights defenders are also being forced to accept charges in alleged crimes they have not committed. </w:t>
            </w:r>
          </w:p>
          <w:p w14:paraId="5505F0CF" w14:textId="77777777" w:rsidR="00E2625D" w:rsidRPr="00C96666" w:rsidRDefault="00E2625D" w:rsidP="00E2625D">
            <w:pPr>
              <w:rPr>
                <w:rFonts w:ascii="Times New Roman" w:hAnsi="Times New Roman" w:cs="Times New Roman"/>
                <w:sz w:val="20"/>
                <w:szCs w:val="20"/>
                <w:lang w:val="en-US"/>
              </w:rPr>
            </w:pPr>
          </w:p>
        </w:tc>
      </w:tr>
      <w:tr w:rsidR="00E2625D" w:rsidRPr="00C96666" w14:paraId="59C1540F" w14:textId="77777777" w:rsidTr="00851F89">
        <w:tc>
          <w:tcPr>
            <w:tcW w:w="709" w:type="dxa"/>
          </w:tcPr>
          <w:p w14:paraId="34C8D814" w14:textId="77777777" w:rsidR="00E2625D" w:rsidRPr="00C96666" w:rsidRDefault="00E2625D" w:rsidP="00E2625D">
            <w:pPr>
              <w:rPr>
                <w:rFonts w:ascii="Times New Roman" w:hAnsi="Times New Roman" w:cs="Times New Roman"/>
                <w:sz w:val="20"/>
                <w:szCs w:val="20"/>
              </w:rPr>
            </w:pPr>
            <w:r w:rsidRPr="00C96666">
              <w:rPr>
                <w:rFonts w:ascii="Times New Roman" w:hAnsi="Times New Roman" w:cs="Times New Roman"/>
                <w:sz w:val="20"/>
                <w:szCs w:val="20"/>
              </w:rPr>
              <w:t>2021</w:t>
            </w:r>
          </w:p>
        </w:tc>
        <w:tc>
          <w:tcPr>
            <w:tcW w:w="3978" w:type="dxa"/>
          </w:tcPr>
          <w:p w14:paraId="18163456"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Bill 5940 to guarantee the Comprehensive Protection of Children and Adolescents against Gender Identity Disorders</w:t>
            </w:r>
          </w:p>
        </w:tc>
        <w:tc>
          <w:tcPr>
            <w:tcW w:w="6539" w:type="dxa"/>
          </w:tcPr>
          <w:p w14:paraId="26E27C25" w14:textId="77777777" w:rsidR="00E2625D" w:rsidRPr="00C96666" w:rsidRDefault="00E2625D" w:rsidP="00E2625D">
            <w:pPr>
              <w:jc w:val="both"/>
              <w:rPr>
                <w:rFonts w:ascii="Times New Roman" w:hAnsi="Times New Roman" w:cs="Times New Roman"/>
                <w:sz w:val="20"/>
                <w:szCs w:val="20"/>
                <w:lang w:val="en-US"/>
              </w:rPr>
            </w:pPr>
            <w:r w:rsidRPr="00C96666">
              <w:rPr>
                <w:rFonts w:ascii="Times New Roman" w:hAnsi="Times New Roman" w:cs="Times New Roman"/>
                <w:sz w:val="20"/>
                <w:szCs w:val="20"/>
                <w:lang w:val="en-US"/>
              </w:rPr>
              <w:t xml:space="preserve">This law seeks to “protect” the gender identity of children and adolescents according to the gender they were assigned at birth. </w:t>
            </w:r>
          </w:p>
        </w:tc>
      </w:tr>
      <w:tr w:rsidR="00E2625D" w:rsidRPr="00C96666" w14:paraId="7FC8C738" w14:textId="77777777" w:rsidTr="00851F89">
        <w:tc>
          <w:tcPr>
            <w:tcW w:w="709" w:type="dxa"/>
          </w:tcPr>
          <w:p w14:paraId="68C29B43" w14:textId="77777777" w:rsidR="00E2625D" w:rsidRPr="00C96666" w:rsidRDefault="00E2625D" w:rsidP="00E2625D">
            <w:pPr>
              <w:rPr>
                <w:rFonts w:ascii="Times New Roman" w:hAnsi="Times New Roman" w:cs="Times New Roman"/>
                <w:b/>
                <w:bCs/>
                <w:sz w:val="20"/>
                <w:szCs w:val="20"/>
              </w:rPr>
            </w:pPr>
            <w:r w:rsidRPr="00C96666">
              <w:rPr>
                <w:rFonts w:ascii="Times New Roman" w:hAnsi="Times New Roman" w:cs="Times New Roman"/>
                <w:sz w:val="20"/>
                <w:szCs w:val="20"/>
              </w:rPr>
              <w:t>2022</w:t>
            </w:r>
          </w:p>
        </w:tc>
        <w:tc>
          <w:tcPr>
            <w:tcW w:w="3978" w:type="dxa"/>
          </w:tcPr>
          <w:p w14:paraId="0CCB550D"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Bill 6153, Law to Promote the Dignity of Gestational Remains</w:t>
            </w:r>
          </w:p>
        </w:tc>
        <w:tc>
          <w:tcPr>
            <w:tcW w:w="6539" w:type="dxa"/>
          </w:tcPr>
          <w:p w14:paraId="6F8A82ED" w14:textId="77777777" w:rsidR="00E2625D" w:rsidRPr="00C96666" w:rsidRDefault="00E2625D" w:rsidP="00E2625D">
            <w:pPr>
              <w:jc w:val="both"/>
              <w:rPr>
                <w:rFonts w:ascii="Times New Roman" w:hAnsi="Times New Roman" w:cs="Times New Roman"/>
                <w:sz w:val="20"/>
                <w:szCs w:val="20"/>
                <w:lang w:val="en-US"/>
              </w:rPr>
            </w:pPr>
            <w:r w:rsidRPr="00C96666">
              <w:rPr>
                <w:rFonts w:ascii="Times New Roman" w:hAnsi="Times New Roman" w:cs="Times New Roman"/>
                <w:sz w:val="20"/>
                <w:szCs w:val="20"/>
                <w:lang w:val="en-US"/>
              </w:rPr>
              <w:t xml:space="preserve">This bill seeks to compel women or family members to retain the remains of “deceased” fetuses for burial, as well as to open a mandatory registry of prenatal deaths. </w:t>
            </w:r>
          </w:p>
          <w:p w14:paraId="2FCDA892" w14:textId="77777777" w:rsidR="00E2625D" w:rsidRPr="00C96666" w:rsidRDefault="00E2625D" w:rsidP="00E2625D">
            <w:pPr>
              <w:jc w:val="both"/>
              <w:rPr>
                <w:rFonts w:ascii="Times New Roman" w:hAnsi="Times New Roman" w:cs="Times New Roman"/>
                <w:sz w:val="20"/>
                <w:szCs w:val="20"/>
                <w:highlight w:val="green"/>
                <w:lang w:val="en-US"/>
              </w:rPr>
            </w:pPr>
          </w:p>
        </w:tc>
      </w:tr>
      <w:tr w:rsidR="00E2625D" w:rsidRPr="00C96666" w14:paraId="1EB4BACB" w14:textId="77777777" w:rsidTr="00851F89">
        <w:tc>
          <w:tcPr>
            <w:tcW w:w="709" w:type="dxa"/>
          </w:tcPr>
          <w:p w14:paraId="548FBBE9" w14:textId="77777777" w:rsidR="00E2625D" w:rsidRPr="00C96666" w:rsidRDefault="00E2625D" w:rsidP="00E2625D">
            <w:pPr>
              <w:rPr>
                <w:rFonts w:ascii="Times New Roman" w:hAnsi="Times New Roman" w:cs="Times New Roman"/>
                <w:sz w:val="20"/>
                <w:szCs w:val="20"/>
              </w:rPr>
            </w:pPr>
            <w:r w:rsidRPr="00C96666">
              <w:rPr>
                <w:rFonts w:ascii="Times New Roman" w:hAnsi="Times New Roman" w:cs="Times New Roman"/>
                <w:sz w:val="20"/>
                <w:szCs w:val="20"/>
              </w:rPr>
              <w:t>2022</w:t>
            </w:r>
          </w:p>
        </w:tc>
        <w:tc>
          <w:tcPr>
            <w:tcW w:w="3978" w:type="dxa"/>
          </w:tcPr>
          <w:p w14:paraId="2928AA32" w14:textId="77777777" w:rsidR="00E2625D" w:rsidRPr="00C96666" w:rsidRDefault="00E2625D" w:rsidP="00E2625D">
            <w:pPr>
              <w:rPr>
                <w:rFonts w:ascii="Times New Roman" w:hAnsi="Times New Roman" w:cs="Times New Roman"/>
                <w:sz w:val="20"/>
                <w:szCs w:val="20"/>
                <w:lang w:val="en-US"/>
              </w:rPr>
            </w:pPr>
            <w:r w:rsidRPr="00C96666">
              <w:rPr>
                <w:rFonts w:ascii="Times New Roman" w:hAnsi="Times New Roman" w:cs="Times New Roman"/>
                <w:sz w:val="20"/>
                <w:szCs w:val="20"/>
                <w:lang w:val="en-US"/>
              </w:rPr>
              <w:t>Decree 18-2022, Law on the Protection of Life and Family</w:t>
            </w:r>
          </w:p>
        </w:tc>
        <w:tc>
          <w:tcPr>
            <w:tcW w:w="6539" w:type="dxa"/>
          </w:tcPr>
          <w:p w14:paraId="1815FDC2" w14:textId="77777777" w:rsidR="00E2625D" w:rsidRPr="00C96666" w:rsidRDefault="00E2625D" w:rsidP="00E2625D">
            <w:pPr>
              <w:jc w:val="both"/>
              <w:rPr>
                <w:rFonts w:ascii="Times New Roman" w:hAnsi="Times New Roman" w:cs="Times New Roman"/>
                <w:sz w:val="20"/>
                <w:szCs w:val="20"/>
                <w:lang w:val="en-US"/>
              </w:rPr>
            </w:pPr>
            <w:r w:rsidRPr="00C96666">
              <w:rPr>
                <w:rFonts w:ascii="Times New Roman" w:hAnsi="Times New Roman" w:cs="Times New Roman"/>
                <w:sz w:val="20"/>
                <w:szCs w:val="20"/>
                <w:lang w:val="en-US"/>
              </w:rPr>
              <w:t xml:space="preserve">This law was vetoed by the President for being unconstitutional and for promoting a series of human rights violations of women and various populations in the country. </w:t>
            </w:r>
          </w:p>
        </w:tc>
      </w:tr>
    </w:tbl>
    <w:p w14:paraId="166EC3E2" w14:textId="77777777" w:rsidR="00E2625D" w:rsidRPr="00C96666" w:rsidRDefault="00E2625D" w:rsidP="00E2625D">
      <w:pPr>
        <w:rPr>
          <w:lang w:val="en-US"/>
        </w:rPr>
      </w:pPr>
    </w:p>
    <w:p w14:paraId="1FDC6938" w14:textId="77777777" w:rsidR="00E2625D" w:rsidRPr="00EF6E71" w:rsidRDefault="00E2625D" w:rsidP="00FB053B">
      <w:pPr>
        <w:pStyle w:val="Textonotaalfinal"/>
        <w:rPr>
          <w:rStyle w:val="Hipervnculo"/>
          <w:rFonts w:ascii="Times New Roman" w:hAnsi="Times New Roman" w:cs="Times New Roman"/>
          <w:lang w:val="es-ES"/>
        </w:rPr>
      </w:pPr>
    </w:p>
    <w:p w14:paraId="45F44CE8" w14:textId="015DF675" w:rsidR="00FB053B" w:rsidRPr="00EF6E71" w:rsidRDefault="00FB053B">
      <w:pPr>
        <w:pStyle w:val="Textonotaalfinal"/>
        <w:rPr>
          <w:rFonts w:ascii="Times New Roman" w:hAnsi="Times New Roman" w:cs="Times New Roman"/>
          <w:lang w:val="es-E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32949368"/>
      <w:docPartObj>
        <w:docPartGallery w:val="Page Numbers (Bottom of Page)"/>
        <w:docPartUnique/>
      </w:docPartObj>
    </w:sdtPr>
    <w:sdtEndPr>
      <w:rPr>
        <w:noProof/>
      </w:rPr>
    </w:sdtEndPr>
    <w:sdtContent>
      <w:p w14:paraId="5394D71B" w14:textId="1A85047F" w:rsidR="00C91D77" w:rsidRPr="00C91D77" w:rsidRDefault="00C91D77">
        <w:pPr>
          <w:pStyle w:val="Piedepgina"/>
          <w:jc w:val="right"/>
          <w:rPr>
            <w:rFonts w:ascii="Times New Roman" w:hAnsi="Times New Roman" w:cs="Times New Roman"/>
            <w:sz w:val="24"/>
            <w:szCs w:val="24"/>
          </w:rPr>
        </w:pPr>
        <w:r w:rsidRPr="00C91D77">
          <w:rPr>
            <w:rFonts w:ascii="Times New Roman" w:hAnsi="Times New Roman" w:cs="Times New Roman"/>
            <w:sz w:val="24"/>
            <w:szCs w:val="24"/>
          </w:rPr>
          <w:fldChar w:fldCharType="begin"/>
        </w:r>
        <w:r w:rsidRPr="00C91D77">
          <w:rPr>
            <w:rFonts w:ascii="Times New Roman" w:hAnsi="Times New Roman" w:cs="Times New Roman"/>
            <w:sz w:val="24"/>
            <w:szCs w:val="24"/>
          </w:rPr>
          <w:instrText xml:space="preserve"> PAGE   \* MERGEFORMAT </w:instrText>
        </w:r>
        <w:r w:rsidRPr="00C91D77">
          <w:rPr>
            <w:rFonts w:ascii="Times New Roman" w:hAnsi="Times New Roman" w:cs="Times New Roman"/>
            <w:sz w:val="24"/>
            <w:szCs w:val="24"/>
          </w:rPr>
          <w:fldChar w:fldCharType="separate"/>
        </w:r>
        <w:r w:rsidRPr="00C91D77">
          <w:rPr>
            <w:rFonts w:ascii="Times New Roman" w:hAnsi="Times New Roman" w:cs="Times New Roman"/>
            <w:noProof/>
            <w:sz w:val="24"/>
            <w:szCs w:val="24"/>
          </w:rPr>
          <w:t>2</w:t>
        </w:r>
        <w:r w:rsidRPr="00C91D77">
          <w:rPr>
            <w:rFonts w:ascii="Times New Roman" w:hAnsi="Times New Roman" w:cs="Times New Roman"/>
            <w:noProof/>
            <w:sz w:val="24"/>
            <w:szCs w:val="24"/>
          </w:rPr>
          <w:fldChar w:fldCharType="end"/>
        </w:r>
      </w:p>
    </w:sdtContent>
  </w:sdt>
  <w:p w14:paraId="5D32B6B7" w14:textId="77777777" w:rsidR="00C91D77" w:rsidRDefault="00C91D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0433C" w14:textId="77777777" w:rsidR="00E73414" w:rsidRDefault="00E73414" w:rsidP="0060480B">
      <w:pPr>
        <w:spacing w:after="0" w:line="240" w:lineRule="auto"/>
      </w:pPr>
      <w:r>
        <w:separator/>
      </w:r>
    </w:p>
  </w:footnote>
  <w:footnote w:type="continuationSeparator" w:id="0">
    <w:p w14:paraId="3D477C97" w14:textId="77777777" w:rsidR="00E73414" w:rsidRDefault="00E73414" w:rsidP="006048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0F6A"/>
    <w:multiLevelType w:val="hybridMultilevel"/>
    <w:tmpl w:val="2AC8BF6A"/>
    <w:lvl w:ilvl="0" w:tplc="1D8E1E4A">
      <w:start w:val="1"/>
      <w:numFmt w:val="decimal"/>
      <w:lvlText w:val="%1."/>
      <w:lvlJc w:val="left"/>
      <w:pPr>
        <w:ind w:left="360" w:hanging="360"/>
      </w:pPr>
      <w:rPr>
        <w:rFonts w:ascii="Times New Roman" w:hAnsi="Times New Roman" w:cs="Times New Roman" w:hint="default"/>
        <w:b w:val="0"/>
        <w:bCs w:val="0"/>
        <w:lang w:val="es-G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 w15:restartNumberingAfterBreak="0">
    <w:nsid w:val="060E7756"/>
    <w:multiLevelType w:val="hybridMultilevel"/>
    <w:tmpl w:val="271E08CC"/>
    <w:lvl w:ilvl="0" w:tplc="FFFFFFFF">
      <w:start w:val="1"/>
      <w:numFmt w:val="upperRoman"/>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5612135"/>
    <w:multiLevelType w:val="hybridMultilevel"/>
    <w:tmpl w:val="271E08CC"/>
    <w:lvl w:ilvl="0" w:tplc="AAE470D4">
      <w:start w:val="1"/>
      <w:numFmt w:val="upperRoman"/>
      <w:lvlText w:val="%1."/>
      <w:lvlJc w:val="left"/>
      <w:pPr>
        <w:ind w:left="1080" w:hanging="72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7E97473D"/>
    <w:multiLevelType w:val="hybridMultilevel"/>
    <w:tmpl w:val="271E08CC"/>
    <w:lvl w:ilvl="0" w:tplc="FFFFFFFF">
      <w:start w:val="1"/>
      <w:numFmt w:val="upperRoman"/>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18922719">
    <w:abstractNumId w:val="0"/>
  </w:num>
  <w:num w:numId="2" w16cid:durableId="454065075">
    <w:abstractNumId w:val="2"/>
  </w:num>
  <w:num w:numId="3" w16cid:durableId="1654137780">
    <w:abstractNumId w:val="1"/>
  </w:num>
  <w:num w:numId="4" w16cid:durableId="5949462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80B"/>
    <w:rsid w:val="00036C99"/>
    <w:rsid w:val="00066299"/>
    <w:rsid w:val="000A1B11"/>
    <w:rsid w:val="000B0294"/>
    <w:rsid w:val="000F5079"/>
    <w:rsid w:val="00135BBC"/>
    <w:rsid w:val="00186979"/>
    <w:rsid w:val="00190858"/>
    <w:rsid w:val="001971DD"/>
    <w:rsid w:val="001A4C66"/>
    <w:rsid w:val="001B2A89"/>
    <w:rsid w:val="001F7AE4"/>
    <w:rsid w:val="002802CA"/>
    <w:rsid w:val="002A23CA"/>
    <w:rsid w:val="002C4159"/>
    <w:rsid w:val="002D78FD"/>
    <w:rsid w:val="002E3E8A"/>
    <w:rsid w:val="002F6867"/>
    <w:rsid w:val="00345E63"/>
    <w:rsid w:val="003A3E5A"/>
    <w:rsid w:val="004125D4"/>
    <w:rsid w:val="0044718D"/>
    <w:rsid w:val="0045025C"/>
    <w:rsid w:val="004C1BC1"/>
    <w:rsid w:val="004C7B6B"/>
    <w:rsid w:val="004F0B45"/>
    <w:rsid w:val="005240B5"/>
    <w:rsid w:val="00531BBC"/>
    <w:rsid w:val="00546563"/>
    <w:rsid w:val="00565680"/>
    <w:rsid w:val="005C6592"/>
    <w:rsid w:val="005F542C"/>
    <w:rsid w:val="005F7852"/>
    <w:rsid w:val="0060480B"/>
    <w:rsid w:val="00606B27"/>
    <w:rsid w:val="00624688"/>
    <w:rsid w:val="00626E65"/>
    <w:rsid w:val="00655D3D"/>
    <w:rsid w:val="006E3CAE"/>
    <w:rsid w:val="006E5F26"/>
    <w:rsid w:val="00743E7F"/>
    <w:rsid w:val="00747CB5"/>
    <w:rsid w:val="007B2CEB"/>
    <w:rsid w:val="007B6FAA"/>
    <w:rsid w:val="007B7481"/>
    <w:rsid w:val="007D7AD8"/>
    <w:rsid w:val="00871E6D"/>
    <w:rsid w:val="00880286"/>
    <w:rsid w:val="008A3E62"/>
    <w:rsid w:val="008B3576"/>
    <w:rsid w:val="008C1B1D"/>
    <w:rsid w:val="008C77C2"/>
    <w:rsid w:val="008E4031"/>
    <w:rsid w:val="008E4048"/>
    <w:rsid w:val="0090099C"/>
    <w:rsid w:val="00924EF4"/>
    <w:rsid w:val="00960A1B"/>
    <w:rsid w:val="00991E06"/>
    <w:rsid w:val="009A5527"/>
    <w:rsid w:val="009A5905"/>
    <w:rsid w:val="009A6768"/>
    <w:rsid w:val="009B5FD7"/>
    <w:rsid w:val="009C4D93"/>
    <w:rsid w:val="009E2A4B"/>
    <w:rsid w:val="00A114BE"/>
    <w:rsid w:val="00A157B5"/>
    <w:rsid w:val="00A450A3"/>
    <w:rsid w:val="00A71CCA"/>
    <w:rsid w:val="00A745FF"/>
    <w:rsid w:val="00AA57D3"/>
    <w:rsid w:val="00AA5B0B"/>
    <w:rsid w:val="00AA7A83"/>
    <w:rsid w:val="00AC766F"/>
    <w:rsid w:val="00B167BE"/>
    <w:rsid w:val="00B37EF5"/>
    <w:rsid w:val="00B84A61"/>
    <w:rsid w:val="00BE790A"/>
    <w:rsid w:val="00C16B35"/>
    <w:rsid w:val="00C61957"/>
    <w:rsid w:val="00C77A41"/>
    <w:rsid w:val="00C81388"/>
    <w:rsid w:val="00C91D77"/>
    <w:rsid w:val="00C92746"/>
    <w:rsid w:val="00CA52B7"/>
    <w:rsid w:val="00CE0D85"/>
    <w:rsid w:val="00D2643A"/>
    <w:rsid w:val="00D2682D"/>
    <w:rsid w:val="00D574D1"/>
    <w:rsid w:val="00D82D91"/>
    <w:rsid w:val="00D83739"/>
    <w:rsid w:val="00D85C3F"/>
    <w:rsid w:val="00D900A1"/>
    <w:rsid w:val="00D938F1"/>
    <w:rsid w:val="00DA4D27"/>
    <w:rsid w:val="00DB2084"/>
    <w:rsid w:val="00DE5C79"/>
    <w:rsid w:val="00E2625D"/>
    <w:rsid w:val="00E27D27"/>
    <w:rsid w:val="00E31E60"/>
    <w:rsid w:val="00E403E2"/>
    <w:rsid w:val="00E55D0A"/>
    <w:rsid w:val="00E73414"/>
    <w:rsid w:val="00E82390"/>
    <w:rsid w:val="00E82DEC"/>
    <w:rsid w:val="00EF0450"/>
    <w:rsid w:val="00EF6E71"/>
    <w:rsid w:val="00EF7CE3"/>
    <w:rsid w:val="00F15283"/>
    <w:rsid w:val="00F34F73"/>
    <w:rsid w:val="00F51DF1"/>
    <w:rsid w:val="00F570B8"/>
    <w:rsid w:val="00F942E0"/>
    <w:rsid w:val="00FB0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20794"/>
  <w15:chartTrackingRefBased/>
  <w15:docId w15:val="{E67DF88A-9351-4FC1-8781-E180B09AF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0B5"/>
    <w:rPr>
      <w:lang w:val="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60480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60480B"/>
    <w:rPr>
      <w:sz w:val="20"/>
      <w:szCs w:val="20"/>
      <w:lang w:val="es-GT"/>
    </w:rPr>
  </w:style>
  <w:style w:type="character" w:styleId="Refdenotaalfinal">
    <w:name w:val="endnote reference"/>
    <w:basedOn w:val="Fuentedeprrafopredeter"/>
    <w:uiPriority w:val="99"/>
    <w:semiHidden/>
    <w:unhideWhenUsed/>
    <w:rsid w:val="0060480B"/>
    <w:rPr>
      <w:vertAlign w:val="superscript"/>
    </w:rPr>
  </w:style>
  <w:style w:type="paragraph" w:styleId="Prrafodelista">
    <w:name w:val="List Paragraph"/>
    <w:basedOn w:val="Normal"/>
    <w:uiPriority w:val="34"/>
    <w:qFormat/>
    <w:rsid w:val="0060480B"/>
    <w:pPr>
      <w:ind w:left="720"/>
      <w:contextualSpacing/>
    </w:pPr>
  </w:style>
  <w:style w:type="character" w:styleId="Hipervnculo">
    <w:name w:val="Hyperlink"/>
    <w:basedOn w:val="Fuentedeprrafopredeter"/>
    <w:uiPriority w:val="99"/>
    <w:unhideWhenUsed/>
    <w:rsid w:val="0060480B"/>
    <w:rPr>
      <w:color w:val="0000FF"/>
      <w:u w:val="single"/>
    </w:rPr>
  </w:style>
  <w:style w:type="paragraph" w:styleId="Textonotapie">
    <w:name w:val="footnote text"/>
    <w:basedOn w:val="Normal"/>
    <w:link w:val="TextonotapieCar"/>
    <w:uiPriority w:val="99"/>
    <w:semiHidden/>
    <w:unhideWhenUsed/>
    <w:rsid w:val="0060480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0480B"/>
    <w:rPr>
      <w:sz w:val="20"/>
      <w:szCs w:val="20"/>
      <w:lang w:val="es-GT"/>
    </w:rPr>
  </w:style>
  <w:style w:type="character" w:styleId="Refdenotaalpie">
    <w:name w:val="footnote reference"/>
    <w:basedOn w:val="Fuentedeprrafopredeter"/>
    <w:uiPriority w:val="99"/>
    <w:semiHidden/>
    <w:unhideWhenUsed/>
    <w:rsid w:val="0060480B"/>
    <w:rPr>
      <w:vertAlign w:val="superscript"/>
    </w:rPr>
  </w:style>
  <w:style w:type="character" w:styleId="Mencinsinresolver">
    <w:name w:val="Unresolved Mention"/>
    <w:basedOn w:val="Fuentedeprrafopredeter"/>
    <w:uiPriority w:val="99"/>
    <w:semiHidden/>
    <w:unhideWhenUsed/>
    <w:rsid w:val="0060480B"/>
    <w:rPr>
      <w:color w:val="605E5C"/>
      <w:shd w:val="clear" w:color="auto" w:fill="E1DFDD"/>
    </w:rPr>
  </w:style>
  <w:style w:type="paragraph" w:styleId="Encabezado">
    <w:name w:val="header"/>
    <w:basedOn w:val="Normal"/>
    <w:link w:val="EncabezadoCar"/>
    <w:uiPriority w:val="99"/>
    <w:unhideWhenUsed/>
    <w:rsid w:val="00C91D77"/>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91D77"/>
    <w:rPr>
      <w:lang w:val="es-GT"/>
    </w:rPr>
  </w:style>
  <w:style w:type="paragraph" w:styleId="Piedepgina">
    <w:name w:val="footer"/>
    <w:basedOn w:val="Normal"/>
    <w:link w:val="PiedepginaCar"/>
    <w:uiPriority w:val="99"/>
    <w:unhideWhenUsed/>
    <w:rsid w:val="00C91D77"/>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91D77"/>
    <w:rPr>
      <w:lang w:val="es-GT"/>
    </w:rPr>
  </w:style>
  <w:style w:type="paragraph" w:styleId="NormalWeb">
    <w:name w:val="Normal (Web)"/>
    <w:basedOn w:val="Normal"/>
    <w:uiPriority w:val="99"/>
    <w:unhideWhenUsed/>
    <w:rsid w:val="003A3E5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Textoennegrita">
    <w:name w:val="Strong"/>
    <w:basedOn w:val="Fuentedeprrafopredeter"/>
    <w:uiPriority w:val="22"/>
    <w:qFormat/>
    <w:rsid w:val="003A3E5A"/>
    <w:rPr>
      <w:b/>
      <w:bCs/>
    </w:rPr>
  </w:style>
  <w:style w:type="character" w:customStyle="1" w:styleId="cf01">
    <w:name w:val="cf01"/>
    <w:basedOn w:val="Fuentedeprrafopredeter"/>
    <w:rsid w:val="002802CA"/>
    <w:rPr>
      <w:rFonts w:ascii="Segoe UI" w:hAnsi="Segoe UI" w:cs="Segoe UI" w:hint="default"/>
      <w:sz w:val="18"/>
      <w:szCs w:val="18"/>
    </w:rPr>
  </w:style>
  <w:style w:type="paragraph" w:customStyle="1" w:styleId="pf0">
    <w:name w:val="pf0"/>
    <w:basedOn w:val="Normal"/>
    <w:rsid w:val="002C415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table" w:styleId="Tablaconcuadrcula">
    <w:name w:val="Table Grid"/>
    <w:basedOn w:val="Tablanormal"/>
    <w:uiPriority w:val="39"/>
    <w:rsid w:val="00E2625D"/>
    <w:pPr>
      <w:spacing w:after="0" w:line="240" w:lineRule="auto"/>
    </w:pPr>
    <w:rPr>
      <w:lang w:val="es-G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8436">
      <w:bodyDiv w:val="1"/>
      <w:marLeft w:val="0"/>
      <w:marRight w:val="0"/>
      <w:marTop w:val="0"/>
      <w:marBottom w:val="0"/>
      <w:divBdr>
        <w:top w:val="none" w:sz="0" w:space="0" w:color="auto"/>
        <w:left w:val="none" w:sz="0" w:space="0" w:color="auto"/>
        <w:bottom w:val="none" w:sz="0" w:space="0" w:color="auto"/>
        <w:right w:val="none" w:sz="0" w:space="0" w:color="auto"/>
      </w:divBdr>
    </w:div>
    <w:div w:id="108360098">
      <w:bodyDiv w:val="1"/>
      <w:marLeft w:val="0"/>
      <w:marRight w:val="0"/>
      <w:marTop w:val="0"/>
      <w:marBottom w:val="0"/>
      <w:divBdr>
        <w:top w:val="none" w:sz="0" w:space="0" w:color="auto"/>
        <w:left w:val="none" w:sz="0" w:space="0" w:color="auto"/>
        <w:bottom w:val="none" w:sz="0" w:space="0" w:color="auto"/>
        <w:right w:val="none" w:sz="0" w:space="0" w:color="auto"/>
      </w:divBdr>
    </w:div>
    <w:div w:id="125780074">
      <w:bodyDiv w:val="1"/>
      <w:marLeft w:val="0"/>
      <w:marRight w:val="0"/>
      <w:marTop w:val="0"/>
      <w:marBottom w:val="0"/>
      <w:divBdr>
        <w:top w:val="none" w:sz="0" w:space="0" w:color="auto"/>
        <w:left w:val="none" w:sz="0" w:space="0" w:color="auto"/>
        <w:bottom w:val="none" w:sz="0" w:space="0" w:color="auto"/>
        <w:right w:val="none" w:sz="0" w:space="0" w:color="auto"/>
      </w:divBdr>
    </w:div>
    <w:div w:id="312877638">
      <w:bodyDiv w:val="1"/>
      <w:marLeft w:val="0"/>
      <w:marRight w:val="0"/>
      <w:marTop w:val="0"/>
      <w:marBottom w:val="0"/>
      <w:divBdr>
        <w:top w:val="none" w:sz="0" w:space="0" w:color="auto"/>
        <w:left w:val="none" w:sz="0" w:space="0" w:color="auto"/>
        <w:bottom w:val="none" w:sz="0" w:space="0" w:color="auto"/>
        <w:right w:val="none" w:sz="0" w:space="0" w:color="auto"/>
      </w:divBdr>
    </w:div>
    <w:div w:id="335503373">
      <w:bodyDiv w:val="1"/>
      <w:marLeft w:val="0"/>
      <w:marRight w:val="0"/>
      <w:marTop w:val="0"/>
      <w:marBottom w:val="0"/>
      <w:divBdr>
        <w:top w:val="none" w:sz="0" w:space="0" w:color="auto"/>
        <w:left w:val="none" w:sz="0" w:space="0" w:color="auto"/>
        <w:bottom w:val="none" w:sz="0" w:space="0" w:color="auto"/>
        <w:right w:val="none" w:sz="0" w:space="0" w:color="auto"/>
      </w:divBdr>
    </w:div>
    <w:div w:id="456922492">
      <w:bodyDiv w:val="1"/>
      <w:marLeft w:val="0"/>
      <w:marRight w:val="0"/>
      <w:marTop w:val="0"/>
      <w:marBottom w:val="0"/>
      <w:divBdr>
        <w:top w:val="none" w:sz="0" w:space="0" w:color="auto"/>
        <w:left w:val="none" w:sz="0" w:space="0" w:color="auto"/>
        <w:bottom w:val="none" w:sz="0" w:space="0" w:color="auto"/>
        <w:right w:val="none" w:sz="0" w:space="0" w:color="auto"/>
      </w:divBdr>
    </w:div>
    <w:div w:id="846020031">
      <w:bodyDiv w:val="1"/>
      <w:marLeft w:val="0"/>
      <w:marRight w:val="0"/>
      <w:marTop w:val="0"/>
      <w:marBottom w:val="0"/>
      <w:divBdr>
        <w:top w:val="none" w:sz="0" w:space="0" w:color="auto"/>
        <w:left w:val="none" w:sz="0" w:space="0" w:color="auto"/>
        <w:bottom w:val="none" w:sz="0" w:space="0" w:color="auto"/>
        <w:right w:val="none" w:sz="0" w:space="0" w:color="auto"/>
      </w:divBdr>
    </w:div>
    <w:div w:id="894967563">
      <w:bodyDiv w:val="1"/>
      <w:marLeft w:val="0"/>
      <w:marRight w:val="0"/>
      <w:marTop w:val="0"/>
      <w:marBottom w:val="0"/>
      <w:divBdr>
        <w:top w:val="none" w:sz="0" w:space="0" w:color="auto"/>
        <w:left w:val="none" w:sz="0" w:space="0" w:color="auto"/>
        <w:bottom w:val="none" w:sz="0" w:space="0" w:color="auto"/>
        <w:right w:val="none" w:sz="0" w:space="0" w:color="auto"/>
      </w:divBdr>
    </w:div>
    <w:div w:id="1228301435">
      <w:bodyDiv w:val="1"/>
      <w:marLeft w:val="0"/>
      <w:marRight w:val="0"/>
      <w:marTop w:val="0"/>
      <w:marBottom w:val="0"/>
      <w:divBdr>
        <w:top w:val="none" w:sz="0" w:space="0" w:color="auto"/>
        <w:left w:val="none" w:sz="0" w:space="0" w:color="auto"/>
        <w:bottom w:val="none" w:sz="0" w:space="0" w:color="auto"/>
        <w:right w:val="none" w:sz="0" w:space="0" w:color="auto"/>
      </w:divBdr>
    </w:div>
    <w:div w:id="1233007822">
      <w:bodyDiv w:val="1"/>
      <w:marLeft w:val="0"/>
      <w:marRight w:val="0"/>
      <w:marTop w:val="0"/>
      <w:marBottom w:val="0"/>
      <w:divBdr>
        <w:top w:val="none" w:sz="0" w:space="0" w:color="auto"/>
        <w:left w:val="none" w:sz="0" w:space="0" w:color="auto"/>
        <w:bottom w:val="none" w:sz="0" w:space="0" w:color="auto"/>
        <w:right w:val="none" w:sz="0" w:space="0" w:color="auto"/>
      </w:divBdr>
    </w:div>
    <w:div w:id="1283421719">
      <w:bodyDiv w:val="1"/>
      <w:marLeft w:val="0"/>
      <w:marRight w:val="0"/>
      <w:marTop w:val="0"/>
      <w:marBottom w:val="0"/>
      <w:divBdr>
        <w:top w:val="none" w:sz="0" w:space="0" w:color="auto"/>
        <w:left w:val="none" w:sz="0" w:space="0" w:color="auto"/>
        <w:bottom w:val="none" w:sz="0" w:space="0" w:color="auto"/>
        <w:right w:val="none" w:sz="0" w:space="0" w:color="auto"/>
      </w:divBdr>
    </w:div>
    <w:div w:id="1287009921">
      <w:bodyDiv w:val="1"/>
      <w:marLeft w:val="0"/>
      <w:marRight w:val="0"/>
      <w:marTop w:val="0"/>
      <w:marBottom w:val="0"/>
      <w:divBdr>
        <w:top w:val="none" w:sz="0" w:space="0" w:color="auto"/>
        <w:left w:val="none" w:sz="0" w:space="0" w:color="auto"/>
        <w:bottom w:val="none" w:sz="0" w:space="0" w:color="auto"/>
        <w:right w:val="none" w:sz="0" w:space="0" w:color="auto"/>
      </w:divBdr>
    </w:div>
    <w:div w:id="1349334175">
      <w:bodyDiv w:val="1"/>
      <w:marLeft w:val="0"/>
      <w:marRight w:val="0"/>
      <w:marTop w:val="0"/>
      <w:marBottom w:val="0"/>
      <w:divBdr>
        <w:top w:val="none" w:sz="0" w:space="0" w:color="auto"/>
        <w:left w:val="none" w:sz="0" w:space="0" w:color="auto"/>
        <w:bottom w:val="none" w:sz="0" w:space="0" w:color="auto"/>
        <w:right w:val="none" w:sz="0" w:space="0" w:color="auto"/>
      </w:divBdr>
    </w:div>
    <w:div w:id="1354917420">
      <w:bodyDiv w:val="1"/>
      <w:marLeft w:val="0"/>
      <w:marRight w:val="0"/>
      <w:marTop w:val="0"/>
      <w:marBottom w:val="0"/>
      <w:divBdr>
        <w:top w:val="none" w:sz="0" w:space="0" w:color="auto"/>
        <w:left w:val="none" w:sz="0" w:space="0" w:color="auto"/>
        <w:bottom w:val="none" w:sz="0" w:space="0" w:color="auto"/>
        <w:right w:val="none" w:sz="0" w:space="0" w:color="auto"/>
      </w:divBdr>
    </w:div>
    <w:div w:id="1358849153">
      <w:bodyDiv w:val="1"/>
      <w:marLeft w:val="0"/>
      <w:marRight w:val="0"/>
      <w:marTop w:val="0"/>
      <w:marBottom w:val="0"/>
      <w:divBdr>
        <w:top w:val="none" w:sz="0" w:space="0" w:color="auto"/>
        <w:left w:val="none" w:sz="0" w:space="0" w:color="auto"/>
        <w:bottom w:val="none" w:sz="0" w:space="0" w:color="auto"/>
        <w:right w:val="none" w:sz="0" w:space="0" w:color="auto"/>
      </w:divBdr>
    </w:div>
    <w:div w:id="1483737959">
      <w:bodyDiv w:val="1"/>
      <w:marLeft w:val="0"/>
      <w:marRight w:val="0"/>
      <w:marTop w:val="0"/>
      <w:marBottom w:val="0"/>
      <w:divBdr>
        <w:top w:val="none" w:sz="0" w:space="0" w:color="auto"/>
        <w:left w:val="none" w:sz="0" w:space="0" w:color="auto"/>
        <w:bottom w:val="none" w:sz="0" w:space="0" w:color="auto"/>
        <w:right w:val="none" w:sz="0" w:space="0" w:color="auto"/>
      </w:divBdr>
    </w:div>
    <w:div w:id="1680617907">
      <w:bodyDiv w:val="1"/>
      <w:marLeft w:val="0"/>
      <w:marRight w:val="0"/>
      <w:marTop w:val="0"/>
      <w:marBottom w:val="0"/>
      <w:divBdr>
        <w:top w:val="none" w:sz="0" w:space="0" w:color="auto"/>
        <w:left w:val="none" w:sz="0" w:space="0" w:color="auto"/>
        <w:bottom w:val="none" w:sz="0" w:space="0" w:color="auto"/>
        <w:right w:val="none" w:sz="0" w:space="0" w:color="auto"/>
      </w:divBdr>
    </w:div>
    <w:div w:id="1781072260">
      <w:bodyDiv w:val="1"/>
      <w:marLeft w:val="0"/>
      <w:marRight w:val="0"/>
      <w:marTop w:val="0"/>
      <w:marBottom w:val="0"/>
      <w:divBdr>
        <w:top w:val="none" w:sz="0" w:space="0" w:color="auto"/>
        <w:left w:val="none" w:sz="0" w:space="0" w:color="auto"/>
        <w:bottom w:val="none" w:sz="0" w:space="0" w:color="auto"/>
        <w:right w:val="none" w:sz="0" w:space="0" w:color="auto"/>
      </w:divBdr>
    </w:div>
    <w:div w:id="1996834759">
      <w:bodyDiv w:val="1"/>
      <w:marLeft w:val="0"/>
      <w:marRight w:val="0"/>
      <w:marTop w:val="0"/>
      <w:marBottom w:val="0"/>
      <w:divBdr>
        <w:top w:val="none" w:sz="0" w:space="0" w:color="auto"/>
        <w:left w:val="none" w:sz="0" w:space="0" w:color="auto"/>
        <w:bottom w:val="none" w:sz="0" w:space="0" w:color="auto"/>
        <w:right w:val="none" w:sz="0" w:space="0" w:color="auto"/>
      </w:divBdr>
    </w:div>
    <w:div w:id="204074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s://seprem.gob.gt/7-presupuesto-de-ingresos-y-egresos-2021/" TargetMode="External"/><Relationship Id="rId18" Type="http://schemas.openxmlformats.org/officeDocument/2006/relationships/hyperlink" Target="https://cc.gob.gt/2018/07/03/resolucion-1749-2017-inconstitucionalidad-ley-contra-el-femicidio/" TargetMode="External"/><Relationship Id="rId26" Type="http://schemas.openxmlformats.org/officeDocument/2006/relationships/hyperlink" Target="https://www.oas.org/es/centro_noticias/comunicado_prensa.asp?sCodigo=C-049/23" TargetMode="External"/><Relationship Id="rId39" Type="http://schemas.openxmlformats.org/officeDocument/2006/relationships/hyperlink" Target="https://reliefweb.int/report/guatemala/plan-de-acci-n-guatemala-respuesta-etaiota-diciembre-2020" TargetMode="External"/><Relationship Id="rId21" Type="http://schemas.openxmlformats.org/officeDocument/2006/relationships/hyperlink" Target="https://www.minfin.gob.gt/images/archivos/presupuesto2017ap/documentos/DC-050-2016.pdf" TargetMode="External"/><Relationship Id="rId34" Type="http://schemas.openxmlformats.org/officeDocument/2006/relationships/hyperlink" Target="https://tableros.mspas.gob.gt/covid/" TargetMode="External"/><Relationship Id="rId42" Type="http://schemas.openxmlformats.org/officeDocument/2006/relationships/hyperlink" Target="https://www.prensalibre.com/guatemala/elecciones-generales-guatemala-2023/que-es-la-agenda-2030-el-instrumento-al-que-se-comprometen-los-paises-y-que-ha-causado-confusion-en-la-contienda-electoral/" TargetMode="External"/><Relationship Id="rId7" Type="http://schemas.openxmlformats.org/officeDocument/2006/relationships/hyperlink" Target="https://republica.gt/politica/cambian-nombre-a-patio-de-la-cultura-en-guatemala-ahora-sera-patio-de-la-vida-20223912300" TargetMode="External"/><Relationship Id="rId2" Type="http://schemas.openxmlformats.org/officeDocument/2006/relationships/hyperlink" Target="https://guatemala.un.org/es/49288-an%C3%A1lisis-com%C3%BAn-de-pa%C3%ADs" TargetMode="External"/><Relationship Id="rId16" Type="http://schemas.openxmlformats.org/officeDocument/2006/relationships/hyperlink" Target="https://www.inacif.gob.gt/index.php/datos-numericos/informacion-mensual" TargetMode="External"/><Relationship Id="rId20" Type="http://schemas.openxmlformats.org/officeDocument/2006/relationships/hyperlink" Target="https://www.plazapublica.com.gt/content/enfrentar-dos-sistemas-de-justicia-por-defenderse-y-sobrevivir-el-caso-de-carmela-jolomna" TargetMode="External"/><Relationship Id="rId29" Type="http://schemas.openxmlformats.org/officeDocument/2006/relationships/hyperlink" Target="https://www.no-ficcion.com/projects/sandra-torres-pastores-narco-patriotas-une" TargetMode="External"/><Relationship Id="rId41" Type="http://schemas.openxmlformats.org/officeDocument/2006/relationships/hyperlink" Target="https://www.fger.org/ordenan-desalojo-de-comunidad-wach-sa-kaq/" TargetMode="External"/><Relationship Id="rId1" Type="http://schemas.openxmlformats.org/officeDocument/2006/relationships/hyperlink" Target="https://www.censopoblacion.gt/explorador" TargetMode="External"/><Relationship Id="rId6" Type="http://schemas.openxmlformats.org/officeDocument/2006/relationships/hyperlink" Target="https://www.congreso.gob.gt/assets/uploads/info_legislativo/decretos/48ae9-9-2022.pdf" TargetMode="External"/><Relationship Id="rId11" Type="http://schemas.openxmlformats.org/officeDocument/2006/relationships/hyperlink" Target="http://www.movimientoprojusticia.org.gt/images/Archivos%202022/Tres%20a%C3%B1os%20prolongaci%C3%B3n%20de%20cortes%20-sept%202022.pdf" TargetMode="External"/><Relationship Id="rId24" Type="http://schemas.openxmlformats.org/officeDocument/2006/relationships/hyperlink" Target="https://www.congreso.gob.gt/assets/uploads/info_legislativo/decretos/715d9-54-2022.pdf" TargetMode="External"/><Relationship Id="rId32" Type="http://schemas.openxmlformats.org/officeDocument/2006/relationships/hyperlink" Target="https://prensacomunitaria.org/2023/09/la-criminalizacion-de-claudia-gonzalez-y-los-estertores-letales-del-pacto-de-corruptos/" TargetMode="External"/><Relationship Id="rId37" Type="http://schemas.openxmlformats.org/officeDocument/2006/relationships/hyperlink" Target="https://igm.gob.gt/guatemaltecos-retornados-2/%23" TargetMode="External"/><Relationship Id="rId40" Type="http://schemas.openxmlformats.org/officeDocument/2006/relationships/hyperlink" Target="https://portal.segeplan.gob.gt/segeplan/?p=7802" TargetMode="External"/><Relationship Id="rId5" Type="http://schemas.openxmlformats.org/officeDocument/2006/relationships/hyperlink" Target="https://agn.gt/guatemala-aprueba-ley-de-proteccion-a-la-vida-y-a-la-familia/" TargetMode="External"/><Relationship Id="rId15" Type="http://schemas.openxmlformats.org/officeDocument/2006/relationships/hyperlink" Target="https://www.inacif.gob.gt/index.php/datos-numericos/informacion-anual" TargetMode="External"/><Relationship Id="rId23" Type="http://schemas.openxmlformats.org/officeDocument/2006/relationships/hyperlink" Target="https://www.minfin.gob.gt/images/laip_mfp/docs/Dcto16-2021.pdf" TargetMode="External"/><Relationship Id="rId28" Type="http://schemas.openxmlformats.org/officeDocument/2006/relationships/hyperlink" Target="https://www.tse.org.gt/images/descargas/LPP030823.pdf" TargetMode="External"/><Relationship Id="rId36" Type="http://schemas.openxmlformats.org/officeDocument/2006/relationships/hyperlink" Target="https://tableros.mspas.gob.gt/covid/" TargetMode="External"/><Relationship Id="rId10" Type="http://schemas.openxmlformats.org/officeDocument/2006/relationships/hyperlink" Target="http://www.cicig.org/wp-content/uploads/2019/08/InformeLegadoJusticia_SI.pdf" TargetMode="External"/><Relationship Id="rId19" Type="http://schemas.openxmlformats.org/officeDocument/2006/relationships/hyperlink" Target="http://www.oj.gob.gt/Archivos/SecretariaDeLaMujer/Manuales/2022/Octubre/Modelo%20de%20Atenci%C3%B3n%20Especializada%20para%20Juzgados%20de%20Paz.pdf" TargetMode="External"/><Relationship Id="rId31" Type="http://schemas.openxmlformats.org/officeDocument/2006/relationships/hyperlink" Target="https://www.oas.org/es/CIDH/jsForm/?File=/es/cidh/prensa/comunicados/2023/194.asp" TargetMode="External"/><Relationship Id="rId4" Type="http://schemas.openxmlformats.org/officeDocument/2006/relationships/hyperlink" Target="file:///Users/usuario/Library/Containers/com.apple.mail/Data/Library/Mail%20Downloads/FD724121-A5FD-4701-BCDA-5868799FD462/),%20https:/www.agenciaocote.com/blog/2020/06/24/expertas-de-la-onu-muestran-su-preocupacion-por-el-cierre-de-la-seprem" TargetMode="External"/><Relationship Id="rId9" Type="http://schemas.openxmlformats.org/officeDocument/2006/relationships/hyperlink" Target="https://agn.gt/aprueban-politica-publica-de-proteccion-a-la-vida-y-la-institucionalidad-de-la-%20familia/" TargetMode="External"/><Relationship Id="rId14" Type="http://schemas.openxmlformats.org/officeDocument/2006/relationships/hyperlink" Target="https://seprem.gob.gt/4-numero-y-nombre-de-funcionarios-servidores-publicos-empleados-y-asesores-2021/" TargetMode="External"/><Relationship Id="rId22" Type="http://schemas.openxmlformats.org/officeDocument/2006/relationships/hyperlink" Target="https://siteal.iiep.unesco.org/sites/default/files/sit_accion_files/decreto_141_de_2017._presupuesto_2018.pdf" TargetMode="External"/><Relationship Id="rId27" Type="http://schemas.openxmlformats.org/officeDocument/2006/relationships/hyperlink" Target="https://www.prensalibre.com/guatemala/elecciones-generales-guatemala-2023/registro-de-ciudadanos-tse-niega-inscripcion-de-binomio-del-movimiento-de-liberacion-de-los-pueblos-agrupacion-asegura-que-no-ha-sido-notificada-breaking/" TargetMode="External"/><Relationship Id="rId30" Type="http://schemas.openxmlformats.org/officeDocument/2006/relationships/hyperlink" Target="https://www.ojoconmipisto.com/cicig-60-municipalidades-fueron-ganadas-por-alcaldes-vinculados-al-narco/" TargetMode="External"/><Relationship Id="rId35" Type="http://schemas.openxmlformats.org/officeDocument/2006/relationships/hyperlink" Target="https://republica.gt/guatemala/guatemala-pierde-q471-millones-por-vacunas-vencidas-contra-el-covid-20226311590" TargetMode="External"/><Relationship Id="rId8" Type="http://schemas.openxmlformats.org/officeDocument/2006/relationships/hyperlink" Target="https://lahora.gt/nacionales/wpcomvip/2017/12/13/csj-prohibe-difusion-manual-educacion-sexual/" TargetMode="External"/><Relationship Id="rId3" Type="http://schemas.openxmlformats.org/officeDocument/2006/relationships/hyperlink" Target="https://www.prensalibre.com/guatemala/politica/giammattei-cierra-tres-entidades-y-crea-una-nueva-comision-para-la-paz-y-los-derechos-humanos-breaking/" TargetMode="External"/><Relationship Id="rId12" Type="http://schemas.openxmlformats.org/officeDocument/2006/relationships/hyperlink" Target="https://www.congreso.gob.gt/buscador_iniciativas/4977" TargetMode="External"/><Relationship Id="rId17" Type="http://schemas.openxmlformats.org/officeDocument/2006/relationships/hyperlink" Target="https://www.plazapublica.com.gt/content/asi-justifica-el-mp-la-desestimacion-de-casos-de-violencia-contra-la-mujer" TargetMode="External"/><Relationship Id="rId25" Type="http://schemas.openxmlformats.org/officeDocument/2006/relationships/hyperlink" Target="https://tse.org.gt/index.php/sistema-de-estadisticas/estadisticas-de-empadronados" TargetMode="External"/><Relationship Id="rId33" Type="http://schemas.openxmlformats.org/officeDocument/2006/relationships/hyperlink" Target="https://www.congreso.gob.gt/buscador_iniciativas/6120%23gsc.tab=0" TargetMode="External"/><Relationship Id="rId38" Type="http://schemas.openxmlformats.org/officeDocument/2006/relationships/hyperlink" Target="https://www.cepal.org/es/notas/la-cepal-estima-q1636-millones-efectos-totales-la-erupcion-volcan-fuego-guatemala-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0FAC7-5075-499C-8EC1-10647448D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6030</Words>
  <Characters>33167</Characters>
  <Application>Microsoft Office Word</Application>
  <DocSecurity>0</DocSecurity>
  <Lines>276</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Reyes</dc:creator>
  <cp:keywords/>
  <dc:description/>
  <cp:lastModifiedBy>Sonia Asucena Acabal Del Cid</cp:lastModifiedBy>
  <cp:revision>3</cp:revision>
  <dcterms:created xsi:type="dcterms:W3CDTF">2023-09-11T17:49:00Z</dcterms:created>
  <dcterms:modified xsi:type="dcterms:W3CDTF">2023-09-11T17:50:00Z</dcterms:modified>
</cp:coreProperties>
</file>