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Calibri" w:eastAsia="Calibri" w:hAnsi="Calibri" w:cs="Calibri"/>
          <w:sz w:val="22"/>
          <w:szCs w:val="22"/>
          <w:lang w:eastAsia="en-ID"/>
        </w:rPr>
        <w:id w:val="-1451236924"/>
        <w:docPartObj>
          <w:docPartGallery w:val="Cover Pages"/>
          <w:docPartUnique/>
        </w:docPartObj>
      </w:sdtPr>
      <w:sdtEndPr>
        <w:rPr>
          <w:color w:val="000000"/>
        </w:rPr>
      </w:sdtEndPr>
      <w:sdtContent>
        <w:p w14:paraId="71135768" w14:textId="22F504F9" w:rsidR="00DF2BA8" w:rsidRPr="00DF2BA8" w:rsidRDefault="00DF2BA8" w:rsidP="00DF2BA8">
          <w:pPr>
            <w:pStyle w:val="Header"/>
          </w:pPr>
          <w:r w:rsidRPr="00DF2BA8">
            <w:rPr>
              <w:noProof/>
              <w:lang w:val="en-GB" w:eastAsia="en-GB"/>
            </w:rPr>
            <mc:AlternateContent>
              <mc:Choice Requires="wps">
                <w:drawing>
                  <wp:anchor distT="0" distB="0" distL="114935" distR="114935" simplePos="0" relativeHeight="251659264" behindDoc="1" locked="0" layoutInCell="1" allowOverlap="1" wp14:anchorId="56D6A178" wp14:editId="64772E8C">
                    <wp:simplePos x="0" y="0"/>
                    <wp:positionH relativeFrom="column">
                      <wp:posOffset>1138988</wp:posOffset>
                    </wp:positionH>
                    <wp:positionV relativeFrom="paragraph">
                      <wp:posOffset>0</wp:posOffset>
                    </wp:positionV>
                    <wp:extent cx="4912427" cy="1235242"/>
                    <wp:effectExtent l="0" t="0" r="254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427" cy="1235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71173" w14:textId="77777777" w:rsidR="00DF2BA8" w:rsidRPr="00DF2BA8" w:rsidRDefault="00DF2BA8" w:rsidP="00DF2BA8">
                                <w:pPr>
                                  <w:spacing w:line="240" w:lineRule="auto"/>
                                  <w:rPr>
                                    <w:rFonts w:ascii="Times New Roman" w:hAnsi="Times New Roman" w:cs="Times New Roman"/>
                                    <w:b/>
                                    <w:i/>
                                    <w:sz w:val="28"/>
                                    <w:szCs w:val="28"/>
                                    <w:lang w:val="id-ID"/>
                                  </w:rPr>
                                </w:pPr>
                                <w:r w:rsidRPr="00DF2BA8">
                                  <w:rPr>
                                    <w:rFonts w:ascii="Times New Roman" w:hAnsi="Times New Roman" w:cs="Times New Roman"/>
                                    <w:b/>
                                    <w:i/>
                                    <w:sz w:val="28"/>
                                    <w:szCs w:val="28"/>
                                    <w:lang w:val="id-ID"/>
                                  </w:rPr>
                                  <w:t>Perkumpulan Sedane - Sedane Association</w:t>
                                </w:r>
                              </w:p>
                              <w:p w14:paraId="2915586D" w14:textId="77777777" w:rsidR="00DF2BA8" w:rsidRPr="00DF2BA8" w:rsidRDefault="00DF2BA8" w:rsidP="00DF2BA8">
                                <w:pPr>
                                  <w:spacing w:line="240" w:lineRule="auto"/>
                                  <w:rPr>
                                    <w:rFonts w:ascii="Times New Roman" w:hAnsi="Times New Roman" w:cs="Times New Roman"/>
                                    <w:b/>
                                    <w:i/>
                                    <w:color w:val="FF0000"/>
                                    <w:sz w:val="44"/>
                                    <w:szCs w:val="44"/>
                                    <w:lang w:val="id-ID"/>
                                  </w:rPr>
                                </w:pPr>
                                <w:r w:rsidRPr="00DF2BA8">
                                  <w:rPr>
                                    <w:rFonts w:ascii="Times New Roman" w:hAnsi="Times New Roman" w:cs="Times New Roman"/>
                                    <w:b/>
                                    <w:i/>
                                    <w:color w:val="FF0000"/>
                                    <w:sz w:val="44"/>
                                    <w:szCs w:val="44"/>
                                    <w:lang w:val="id-ID"/>
                                  </w:rPr>
                                  <w:t>Lembaga Informasi Perburuhan Sedane</w:t>
                                </w:r>
                              </w:p>
                              <w:p w14:paraId="32EE0A71" w14:textId="77777777" w:rsidR="00DF2BA8" w:rsidRPr="00DF2BA8" w:rsidRDefault="00DF2BA8" w:rsidP="00DF2BA8">
                                <w:pPr>
                                  <w:spacing w:line="240" w:lineRule="auto"/>
                                  <w:rPr>
                                    <w:rFonts w:ascii="Times New Roman" w:hAnsi="Times New Roman" w:cs="Times New Roman"/>
                                    <w:b/>
                                    <w:i/>
                                    <w:color w:val="3366FF"/>
                                    <w:sz w:val="36"/>
                                    <w:szCs w:val="36"/>
                                    <w:lang w:val="id-ID"/>
                                  </w:rPr>
                                </w:pPr>
                                <w:r w:rsidRPr="00DF2BA8">
                                  <w:rPr>
                                    <w:rFonts w:ascii="Times New Roman" w:hAnsi="Times New Roman" w:cs="Times New Roman"/>
                                    <w:b/>
                                    <w:i/>
                                    <w:color w:val="3366FF"/>
                                    <w:sz w:val="36"/>
                                    <w:szCs w:val="36"/>
                                    <w:lang w:val="id-ID"/>
                                  </w:rPr>
                                  <w:t>Sedane Labour Resource Centre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D6A178" id="_x0000_t202" coordsize="21600,21600" o:spt="202" path="m,l,21600r21600,l21600,xe">
                    <v:stroke joinstyle="miter"/>
                    <v:path gradientshapeok="t" o:connecttype="rect"/>
                  </v:shapetype>
                  <v:shape id="Text Box 5" o:spid="_x0000_s1026" type="#_x0000_t202" style="position:absolute;margin-left:89.7pt;margin-top:0;width:386.8pt;height:97.2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O2peQIAAAAFAAAOAAAAZHJzL2Uyb0RvYy54bWysVNuO2yAQfa/Uf0C8J77UycbWOqu9NFWl&#10;7UXa7QcQwDEqBgok9rbqv3fAcXa3F6mq6gc8wHA4M3OG84uhk+jArRNa1TibpxhxRTUTalfjT/eb&#10;2Qoj54liRGrFa/zAHb5Yv3xx3puK57rVknGLAES5qjc1br03VZI42vKOuLk2XMFmo21HPEztLmGW&#10;9IDeySRP02XSa8uM1ZQ7B6s34yZeR/ym4dR/aBrHPZI1Bm4+jjaO2zAm63NS7SwxraBHGuQfWHRE&#10;KLj0BHVDPEF7K36B6gS12unGz6nuEt00gvIYA0STpT9Fc9cSw2MskBxnTmly/w+Wvj98tEiwGi8w&#10;UqSDEt3zwaMrPaBFyE5vXAVOdwbc/ADLUOUYqTO3mn52SOnrlqgdv7RW9y0nDNhl4WTy5OiI4wLI&#10;tn+nGVxD9l5HoKGxXUgdJAMBOlTp4VSZQIXCYlFmeZGfYURhL8tfLWAW7yDVdNxY599w3aFg1NhC&#10;6SM8Odw6H+iQanIJtzktBdsIKePE7rbX0qIDAZls4ndEf+YmVXBWOhwbEccVYAl3hL3AN5b9WyCc&#10;XuXlbLNcnc2KTbGYlWfpapZm5VW5TIuyuNl8DwSzomoFY1zdCsUnCWbF35X42AyjeKIIUV/jcpEv&#10;xhr9Mcg0fr8LshMeOlKKrsarkxOpQmVfKwZhk8oTIUc7eU4/ZhlyMP1jVqIOQulHEfhhOwBKEMdW&#10;swdQhNVQLyg7PCNgtNp+xaiHlqyx+7InlmMk3ypQVejfybCTsZ0MoigcrbHHaDSv/djne2PFrgXk&#10;UbdKX4LyGhE18cjiqFdos0j++CSEPn46j16PD9f6BwAAAP//AwBQSwMEFAAGAAgAAAAhACYj1tvc&#10;AAAACAEAAA8AAABkcnMvZG93bnJldi54bWxMT8tOwzAQvCPxD9YicUHUofSVEKeCFm5waKl63sYm&#10;iYjXke006d+znOC2szOaR74ebSvOxofGkYKHSQLCUOl0Q5WCw+fb/QpEiEgaW0dGwcUEWBfXVzlm&#10;2g20M+d9rASbUMhQQR1jl0kZytpYDBPXGWLuy3mLkaGvpPY4sLlt5TRJFtJiQ5xQY2c2tSm/971V&#10;sNj6ftjR5m57eH3Hj66aHl8uR6Vub8bnJxDRjPFPDL/1uToU3OnketJBtIyX6YylCngR0+n8kY8T&#10;/9PZHGSRy/8Dih8AAAD//wMAUEsBAi0AFAAGAAgAAAAhALaDOJL+AAAA4QEAABMAAAAAAAAAAAAA&#10;AAAAAAAAAFtDb250ZW50X1R5cGVzXS54bWxQSwECLQAUAAYACAAAACEAOP0h/9YAAACUAQAACwAA&#10;AAAAAAAAAAAAAAAvAQAAX3JlbHMvLnJlbHNQSwECLQAUAAYACAAAACEAekDtqXkCAAAABQAADgAA&#10;AAAAAAAAAAAAAAAuAgAAZHJzL2Uyb0RvYy54bWxQSwECLQAUAAYACAAAACEAJiPW29wAAAAIAQAA&#10;DwAAAAAAAAAAAAAAAADTBAAAZHJzL2Rvd25yZXYueG1sUEsFBgAAAAAEAAQA8wAAANwFAAAAAA==&#10;" stroked="f">
                    <v:textbox inset="0,0,0,0">
                      <w:txbxContent>
                        <w:p w14:paraId="4C671173" w14:textId="77777777" w:rsidR="00DF2BA8" w:rsidRPr="00DF2BA8" w:rsidRDefault="00DF2BA8" w:rsidP="00DF2BA8">
                          <w:pPr>
                            <w:spacing w:line="240" w:lineRule="auto"/>
                            <w:rPr>
                              <w:rFonts w:ascii="Times New Roman" w:hAnsi="Times New Roman" w:cs="Times New Roman"/>
                              <w:b/>
                              <w:i/>
                              <w:sz w:val="28"/>
                              <w:szCs w:val="28"/>
                              <w:lang w:val="id-ID"/>
                            </w:rPr>
                          </w:pPr>
                          <w:r w:rsidRPr="00DF2BA8">
                            <w:rPr>
                              <w:rFonts w:ascii="Times New Roman" w:hAnsi="Times New Roman" w:cs="Times New Roman"/>
                              <w:b/>
                              <w:i/>
                              <w:sz w:val="28"/>
                              <w:szCs w:val="28"/>
                              <w:lang w:val="id-ID"/>
                            </w:rPr>
                            <w:t>Perkumpulan Sedane - Sedane Association</w:t>
                          </w:r>
                        </w:p>
                        <w:p w14:paraId="2915586D" w14:textId="77777777" w:rsidR="00DF2BA8" w:rsidRPr="00DF2BA8" w:rsidRDefault="00DF2BA8" w:rsidP="00DF2BA8">
                          <w:pPr>
                            <w:spacing w:line="240" w:lineRule="auto"/>
                            <w:rPr>
                              <w:rFonts w:ascii="Times New Roman" w:hAnsi="Times New Roman" w:cs="Times New Roman"/>
                              <w:b/>
                              <w:i/>
                              <w:color w:val="FF0000"/>
                              <w:sz w:val="44"/>
                              <w:szCs w:val="44"/>
                              <w:lang w:val="id-ID"/>
                            </w:rPr>
                          </w:pPr>
                          <w:r w:rsidRPr="00DF2BA8">
                            <w:rPr>
                              <w:rFonts w:ascii="Times New Roman" w:hAnsi="Times New Roman" w:cs="Times New Roman"/>
                              <w:b/>
                              <w:i/>
                              <w:color w:val="FF0000"/>
                              <w:sz w:val="44"/>
                              <w:szCs w:val="44"/>
                              <w:lang w:val="id-ID"/>
                            </w:rPr>
                            <w:t>Lembaga Informasi Perburuhan Sedane</w:t>
                          </w:r>
                        </w:p>
                        <w:p w14:paraId="32EE0A71" w14:textId="77777777" w:rsidR="00DF2BA8" w:rsidRPr="00DF2BA8" w:rsidRDefault="00DF2BA8" w:rsidP="00DF2BA8">
                          <w:pPr>
                            <w:spacing w:line="240" w:lineRule="auto"/>
                            <w:rPr>
                              <w:rFonts w:ascii="Times New Roman" w:hAnsi="Times New Roman" w:cs="Times New Roman"/>
                              <w:b/>
                              <w:i/>
                              <w:color w:val="3366FF"/>
                              <w:sz w:val="36"/>
                              <w:szCs w:val="36"/>
                              <w:lang w:val="id-ID"/>
                            </w:rPr>
                          </w:pPr>
                          <w:r w:rsidRPr="00DF2BA8">
                            <w:rPr>
                              <w:rFonts w:ascii="Times New Roman" w:hAnsi="Times New Roman" w:cs="Times New Roman"/>
                              <w:b/>
                              <w:i/>
                              <w:color w:val="3366FF"/>
                              <w:sz w:val="36"/>
                              <w:szCs w:val="36"/>
                              <w:lang w:val="id-ID"/>
                            </w:rPr>
                            <w:t>Sedane Labour Resource Centre</w:t>
                          </w:r>
                        </w:p>
                      </w:txbxContent>
                    </v:textbox>
                  </v:shape>
                </w:pict>
              </mc:Fallback>
            </mc:AlternateContent>
          </w:r>
          <w:r w:rsidRPr="00DF2BA8">
            <w:rPr>
              <w:noProof/>
              <w:lang w:val="en-GB" w:eastAsia="en-GB"/>
            </w:rPr>
            <w:drawing>
              <wp:inline distT="0" distB="0" distL="0" distR="0" wp14:anchorId="02FD59B4" wp14:editId="238A1BEA">
                <wp:extent cx="962526" cy="962526"/>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4616" cy="974616"/>
                        </a:xfrm>
                        <a:prstGeom prst="rect">
                          <a:avLst/>
                        </a:prstGeom>
                        <a:solidFill>
                          <a:srgbClr val="FFFFFF"/>
                        </a:solidFill>
                        <a:ln>
                          <a:noFill/>
                        </a:ln>
                      </pic:spPr>
                    </pic:pic>
                  </a:graphicData>
                </a:graphic>
              </wp:inline>
            </w:drawing>
          </w:r>
        </w:p>
        <w:p w14:paraId="7C16F17F" w14:textId="4E6B5998" w:rsidR="00DF2BA8" w:rsidRDefault="00DF2BA8" w:rsidP="00DF2BA8">
          <w:pPr>
            <w:pStyle w:val="Header"/>
          </w:pPr>
          <w:r w:rsidRPr="00DF2BA8">
            <w:rPr>
              <w:noProof/>
              <w:lang w:val="en-GB" w:eastAsia="en-GB"/>
            </w:rPr>
            <mc:AlternateContent>
              <mc:Choice Requires="wps">
                <w:drawing>
                  <wp:anchor distT="0" distB="0" distL="114300" distR="114300" simplePos="0" relativeHeight="251660288" behindDoc="1" locked="0" layoutInCell="1" allowOverlap="1" wp14:anchorId="5CB2EA62" wp14:editId="677833C0">
                    <wp:simplePos x="0" y="0"/>
                    <wp:positionH relativeFrom="column">
                      <wp:posOffset>-64169</wp:posOffset>
                    </wp:positionH>
                    <wp:positionV relativeFrom="paragraph">
                      <wp:posOffset>201562</wp:posOffset>
                    </wp:positionV>
                    <wp:extent cx="6035040" cy="0"/>
                    <wp:effectExtent l="952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35040" cy="0"/>
                            </a:xfrm>
                            <a:prstGeom prst="line">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1A4EF4" id="Straight Connector 6"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15.85pt" to="470.1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1nmwIAAHkFAAAOAAAAZHJzL2Uyb0RvYy54bWysVF1v2jAUfZ+0/2D5PU0CIUDUULUhbA/d&#10;VolOezaxQ6w5dmQbApr233dtIC3dyzQVpMjXH8fnnnOvb+8OrUB7pg1XMsfxTYQRk5WiXG5z/P15&#10;FcwwMpZISoSSLMdHZvDd4uOH277L2Eg1SlCmEYBIk/VdjhtruywMTdWwlpgb1TEJi7XSLbEQ6m1I&#10;NekBvRXhKIrSsFeadlpVzBiYXZ4W8cLj1zWr7Le6NswikWPgZv1X++/GfcPFLcm2mnQNr840yH+w&#10;aAmXcOkAtSSWoJ3mf0G1vNLKqNreVKoNVV3zivkcIJs4epPNuiEd87mAOKYbZDLvB1t93T9pxGmO&#10;U4wkacGitdWEbxuLCiUlCKg0Sp1OfWcy2F7IJ+0yrQ5y3T2q6qdBUhUNkVvm+T4fOwCJ3Ynw6ogL&#10;TAe3bfovisIesrPKi3aodYtqwbvP7qADB2HQwbt0HFxiB4sqmEyj8SRKwMzqshaSzEG4g5029hNT&#10;LXKDHAsunYAkI/tHYx2lly1uWqoVF8IXgZCoz/F8nEb+gFGCU7fothm93RRCoz1xZeR/Pj9Yeb1N&#10;q52kHqxhhJbnsSVcnMZwuZAOj/nKPDGC6GBh6OchRV81v+bRvJyVsyRIRmkZJNFyGdyviiRIV/F0&#10;shwvi2IZ/3ZE4yRrOKVMOq6XCo6Tf6uQcy+dam+o4UGU8Brdqwdkr5nerybRNBnPgul0Mg6ScRkF&#10;D7NVEdwXcZpOy4fioXzDtPTZm/chO0jpWKmdZXrd0B5R7uwfT+ajGEMAHT+annxDRGzhqaqsxkgr&#10;+4PbxtetqzOHceX1LHL/s9cD+kmIi4cuGlw45/YiFXh+8de3g+uAUy9tFD0+6UubQH/7Q+e3yD0g&#10;r2MYv34xF38AAAD//wMAUEsDBBQABgAIAAAAIQDRx+184QAAAAkBAAAPAAAAZHJzL2Rvd25yZXYu&#10;eG1sTI9NT8MwDIbvSPyHyEhcpi1pi/godSe2wWESBxiTELesMW1F41RNtnX/niAOcLT96PXzFvPR&#10;duJAg28dIyQzBYK4cqblGmH79jS9BeGDZqM7x4RwIg/z8vys0LlxR36lwybUIoawzzVCE0KfS+mr&#10;hqz2M9cTx9unG6wOcRxqaQZ9jOG2k6lS19LqluOHRve0bKj62uwtAmfL98lLcKv0Y7t+PqWTxco9&#10;LhAvL8aHexCBxvAHw49+VIcyOu3cno0XHcI0UUlEEbLkBkQE7q5UBmL3u5BlIf83KL8BAAD//wMA&#10;UEsBAi0AFAAGAAgAAAAhALaDOJL+AAAA4QEAABMAAAAAAAAAAAAAAAAAAAAAAFtDb250ZW50X1R5&#10;cGVzXS54bWxQSwECLQAUAAYACAAAACEAOP0h/9YAAACUAQAACwAAAAAAAAAAAAAAAAAvAQAAX3Jl&#10;bHMvLnJlbHNQSwECLQAUAAYACAAAACEAb62NZ5sCAAB5BQAADgAAAAAAAAAAAAAAAAAuAgAAZHJz&#10;L2Uyb0RvYy54bWxQSwECLQAUAAYACAAAACEA0cftfOEAAAAJAQAADwAAAAAAAAAAAAAAAAD1BAAA&#10;ZHJzL2Rvd25yZXYueG1sUEsFBgAAAAAEAAQA8wAAAAMGAAAAAA==&#10;" strokeweight=".26mm"/>
                </w:pict>
              </mc:Fallback>
            </mc:AlternateContent>
          </w:r>
        </w:p>
        <w:p w14:paraId="34207021" w14:textId="6A86BF72" w:rsidR="003C24F4" w:rsidRDefault="003C24F4"/>
        <w:tbl>
          <w:tblPr>
            <w:tblpPr w:leftFromText="187" w:rightFromText="187" w:horzAnchor="margin" w:tblpXSpec="center" w:tblpY="2881"/>
            <w:tblW w:w="4947" w:type="pct"/>
            <w:tblBorders>
              <w:left w:val="single" w:sz="12" w:space="0" w:color="4472C4" w:themeColor="accent1"/>
            </w:tblBorders>
            <w:tblCellMar>
              <w:left w:w="144" w:type="dxa"/>
              <w:right w:w="115" w:type="dxa"/>
            </w:tblCellMar>
            <w:tblLook w:val="04A0" w:firstRow="1" w:lastRow="0" w:firstColumn="1" w:lastColumn="0" w:noHBand="0" w:noVBand="1"/>
          </w:tblPr>
          <w:tblGrid>
            <w:gridCol w:w="8915"/>
          </w:tblGrid>
          <w:tr w:rsidR="003C24F4" w14:paraId="01E5289C" w14:textId="77777777" w:rsidTr="00317977">
            <w:tc>
              <w:tcPr>
                <w:tcW w:w="8916" w:type="dxa"/>
                <w:tcMar>
                  <w:top w:w="216" w:type="dxa"/>
                  <w:left w:w="115" w:type="dxa"/>
                  <w:bottom w:w="216" w:type="dxa"/>
                  <w:right w:w="115" w:type="dxa"/>
                </w:tcMar>
              </w:tcPr>
              <w:p w14:paraId="5B7A6798" w14:textId="230192A0" w:rsidR="003C24F4" w:rsidRDefault="003C24F4">
                <w:pPr>
                  <w:pStyle w:val="NoSpacing"/>
                  <w:rPr>
                    <w:color w:val="2F5496" w:themeColor="accent1" w:themeShade="BF"/>
                    <w:sz w:val="24"/>
                  </w:rPr>
                </w:pPr>
              </w:p>
            </w:tc>
          </w:tr>
          <w:tr w:rsidR="003C24F4" w14:paraId="558EAFFF" w14:textId="77777777" w:rsidTr="00317977">
            <w:tc>
              <w:tcPr>
                <w:tcW w:w="8916" w:type="dxa"/>
              </w:tcPr>
              <w:sdt>
                <w:sdtPr>
                  <w:rPr>
                    <w:rFonts w:ascii="Times New Roman" w:eastAsiaTheme="majorEastAsia" w:hAnsi="Times New Roman" w:cs="Times New Roman"/>
                    <w:color w:val="4472C4" w:themeColor="accent1"/>
                    <w:sz w:val="60"/>
                    <w:szCs w:val="60"/>
                  </w:rPr>
                  <w:alias w:val="Title"/>
                  <w:id w:val="13406919"/>
                  <w:placeholder>
                    <w:docPart w:val="3315E0DC44C447349DF55C32A21D767F"/>
                  </w:placeholder>
                  <w:dataBinding w:prefixMappings="xmlns:ns0='http://schemas.openxmlformats.org/package/2006/metadata/core-properties' xmlns:ns1='http://purl.org/dc/elements/1.1/'" w:xpath="/ns0:coreProperties[1]/ns1:title[1]" w:storeItemID="{6C3C8BC8-F283-45AE-878A-BAB7291924A1}"/>
                  <w:text/>
                </w:sdtPr>
                <w:sdtEndPr/>
                <w:sdtContent>
                  <w:p w14:paraId="4F539BD9" w14:textId="01A0CBF7" w:rsidR="003C24F4" w:rsidRDefault="00DF2BA8">
                    <w:pPr>
                      <w:pStyle w:val="NoSpacing"/>
                      <w:spacing w:line="216" w:lineRule="auto"/>
                      <w:rPr>
                        <w:rFonts w:asciiTheme="majorHAnsi" w:eastAsiaTheme="majorEastAsia" w:hAnsiTheme="majorHAnsi" w:cstheme="majorBidi"/>
                        <w:color w:val="4472C4" w:themeColor="accent1"/>
                        <w:sz w:val="88"/>
                        <w:szCs w:val="88"/>
                      </w:rPr>
                    </w:pPr>
                    <w:r>
                      <w:rPr>
                        <w:rFonts w:ascii="Times New Roman" w:eastAsiaTheme="majorEastAsia" w:hAnsi="Times New Roman" w:cs="Times New Roman"/>
                        <w:color w:val="4472C4" w:themeColor="accent1"/>
                        <w:sz w:val="60"/>
                        <w:szCs w:val="60"/>
                        <w:lang w:val="en-ID"/>
                      </w:rPr>
                      <w:t>Submission to the UN Committee on the Covenant of Economic, Social and Cultural Rights</w:t>
                    </w:r>
                  </w:p>
                </w:sdtContent>
              </w:sdt>
            </w:tc>
          </w:tr>
          <w:tr w:rsidR="003C24F4" w14:paraId="26602FD5" w14:textId="77777777" w:rsidTr="00317977">
            <w:sdt>
              <w:sdtPr>
                <w:rPr>
                  <w:rFonts w:ascii="Times New Roman" w:hAnsi="Times New Roman" w:cs="Times New Roman"/>
                  <w:color w:val="2F5496" w:themeColor="accent1" w:themeShade="BF"/>
                  <w:sz w:val="44"/>
                  <w:szCs w:val="44"/>
                </w:rPr>
                <w:alias w:val="Subtitle"/>
                <w:id w:val="13406923"/>
                <w:placeholder>
                  <w:docPart w:val="FE9A84D10C334CFDA64956A0DDB9DBEC"/>
                </w:placeholder>
                <w:dataBinding w:prefixMappings="xmlns:ns0='http://schemas.openxmlformats.org/package/2006/metadata/core-properties' xmlns:ns1='http://purl.org/dc/elements/1.1/'" w:xpath="/ns0:coreProperties[1]/ns1:subject[1]" w:storeItemID="{6C3C8BC8-F283-45AE-878A-BAB7291924A1}"/>
                <w:text/>
              </w:sdtPr>
              <w:sdtEndPr/>
              <w:sdtContent>
                <w:tc>
                  <w:tcPr>
                    <w:tcW w:w="8916" w:type="dxa"/>
                    <w:tcMar>
                      <w:top w:w="216" w:type="dxa"/>
                      <w:left w:w="115" w:type="dxa"/>
                      <w:bottom w:w="216" w:type="dxa"/>
                      <w:right w:w="115" w:type="dxa"/>
                    </w:tcMar>
                  </w:tcPr>
                  <w:p w14:paraId="5E02A426" w14:textId="6B49AAEE" w:rsidR="003C24F4" w:rsidRPr="005F7AF1" w:rsidRDefault="003C24F4">
                    <w:pPr>
                      <w:pStyle w:val="NoSpacing"/>
                      <w:rPr>
                        <w:rFonts w:ascii="Times New Roman" w:hAnsi="Times New Roman" w:cs="Times New Roman"/>
                        <w:color w:val="2F5496" w:themeColor="accent1" w:themeShade="BF"/>
                        <w:sz w:val="44"/>
                        <w:szCs w:val="44"/>
                      </w:rPr>
                    </w:pPr>
                    <w:r w:rsidRPr="005F7AF1">
                      <w:rPr>
                        <w:rFonts w:ascii="Times New Roman" w:hAnsi="Times New Roman" w:cs="Times New Roman"/>
                        <w:color w:val="2F5496" w:themeColor="accent1" w:themeShade="BF"/>
                        <w:sz w:val="44"/>
                        <w:szCs w:val="44"/>
                      </w:rPr>
                      <w:t>Written Contribution for the Adoption of the List of Issues</w:t>
                    </w:r>
                    <w:r w:rsidR="00317977">
                      <w:rPr>
                        <w:rFonts w:ascii="Times New Roman" w:hAnsi="Times New Roman" w:cs="Times New Roman"/>
                        <w:color w:val="2F5496" w:themeColor="accent1" w:themeShade="BF"/>
                        <w:sz w:val="44"/>
                        <w:szCs w:val="44"/>
                      </w:rPr>
                      <w:t xml:space="preserve"> in the 70 Pre-Sessional Working Group</w:t>
                    </w:r>
                    <w:r w:rsidR="00DF484F">
                      <w:rPr>
                        <w:rFonts w:ascii="Times New Roman" w:hAnsi="Times New Roman" w:cs="Times New Roman"/>
                        <w:color w:val="2F5496" w:themeColor="accent1" w:themeShade="BF"/>
                        <w:sz w:val="44"/>
                        <w:szCs w:val="44"/>
                      </w:rPr>
                      <w:t xml:space="preserve"> ICESCR</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C24F4" w14:paraId="785F3F1B" w14:textId="77777777">
            <w:tc>
              <w:tcPr>
                <w:tcW w:w="7221" w:type="dxa"/>
                <w:tcMar>
                  <w:top w:w="216" w:type="dxa"/>
                  <w:left w:w="115" w:type="dxa"/>
                  <w:bottom w:w="216" w:type="dxa"/>
                  <w:right w:w="115" w:type="dxa"/>
                </w:tcMar>
              </w:tcPr>
              <w:p w14:paraId="0A2BE571" w14:textId="77777777" w:rsidR="001C1D9B" w:rsidRPr="00291C9E" w:rsidRDefault="001C1D9B">
                <w:pPr>
                  <w:pStyle w:val="NoSpacing"/>
                  <w:rPr>
                    <w:rFonts w:ascii="Times New Roman" w:hAnsi="Times New Roman" w:cs="Times New Roman"/>
                    <w:color w:val="4472C4" w:themeColor="accent1"/>
                    <w:sz w:val="32"/>
                    <w:szCs w:val="32"/>
                  </w:rPr>
                </w:pPr>
                <w:r w:rsidRPr="00291C9E">
                  <w:rPr>
                    <w:rFonts w:ascii="Times New Roman" w:hAnsi="Times New Roman" w:cs="Times New Roman"/>
                    <w:color w:val="4472C4" w:themeColor="accent1"/>
                    <w:sz w:val="32"/>
                    <w:szCs w:val="32"/>
                  </w:rPr>
                  <w:t xml:space="preserve">Submitted by </w:t>
                </w:r>
              </w:p>
              <w:p w14:paraId="4F2E8ECF" w14:textId="4D5A71BD" w:rsidR="003C24F4" w:rsidRPr="00291C9E" w:rsidRDefault="001C1D9B">
                <w:pPr>
                  <w:pStyle w:val="NoSpacing"/>
                  <w:rPr>
                    <w:rFonts w:ascii="Times New Roman" w:hAnsi="Times New Roman" w:cs="Times New Roman"/>
                    <w:color w:val="4472C4" w:themeColor="accent1"/>
                    <w:sz w:val="40"/>
                    <w:szCs w:val="40"/>
                  </w:rPr>
                </w:pPr>
                <w:proofErr w:type="spellStart"/>
                <w:r w:rsidRPr="00291C9E">
                  <w:rPr>
                    <w:rFonts w:ascii="Times New Roman" w:hAnsi="Times New Roman" w:cs="Times New Roman"/>
                    <w:color w:val="4472C4" w:themeColor="accent1"/>
                    <w:sz w:val="40"/>
                    <w:szCs w:val="40"/>
                  </w:rPr>
                  <w:t>Sedane</w:t>
                </w:r>
                <w:proofErr w:type="spellEnd"/>
                <w:r w:rsidRPr="00291C9E">
                  <w:rPr>
                    <w:rFonts w:ascii="Times New Roman" w:hAnsi="Times New Roman" w:cs="Times New Roman"/>
                    <w:color w:val="4472C4" w:themeColor="accent1"/>
                    <w:sz w:val="40"/>
                    <w:szCs w:val="40"/>
                  </w:rPr>
                  <w:t xml:space="preserve"> Labor Resource Center</w:t>
                </w:r>
              </w:p>
              <w:p w14:paraId="21CA49D6" w14:textId="5857B32F" w:rsidR="005F7AF1" w:rsidRPr="00291C9E" w:rsidRDefault="005F7AF1">
                <w:pPr>
                  <w:pStyle w:val="NoSpacing"/>
                  <w:rPr>
                    <w:rFonts w:ascii="Times New Roman" w:hAnsi="Times New Roman" w:cs="Times New Roman"/>
                    <w:color w:val="4472C4" w:themeColor="accent1"/>
                    <w:sz w:val="40"/>
                    <w:szCs w:val="40"/>
                  </w:rPr>
                </w:pPr>
              </w:p>
              <w:p w14:paraId="288726CA" w14:textId="77777777" w:rsidR="003C24F4" w:rsidRDefault="001C1D9B">
                <w:pPr>
                  <w:pStyle w:val="NoSpacing"/>
                  <w:rPr>
                    <w:color w:val="4472C4" w:themeColor="accent1"/>
                    <w:sz w:val="32"/>
                    <w:szCs w:val="32"/>
                  </w:rPr>
                </w:pPr>
                <w:r w:rsidRPr="001C1D9B">
                  <w:rPr>
                    <w:color w:val="4472C4" w:themeColor="accent1"/>
                    <w:sz w:val="32"/>
                    <w:szCs w:val="32"/>
                  </w:rPr>
                  <w:t>07 January 2022</w:t>
                </w:r>
              </w:p>
              <w:p w14:paraId="53031B33" w14:textId="77777777" w:rsidR="005F7AF1" w:rsidRDefault="005F7AF1">
                <w:pPr>
                  <w:pStyle w:val="NoSpacing"/>
                  <w:rPr>
                    <w:color w:val="4472C4" w:themeColor="accent1"/>
                    <w:sz w:val="32"/>
                    <w:szCs w:val="32"/>
                  </w:rPr>
                </w:pPr>
              </w:p>
              <w:p w14:paraId="44E33EF6" w14:textId="77777777" w:rsidR="005F7AF1" w:rsidRDefault="005F7AF1">
                <w:pPr>
                  <w:pStyle w:val="NoSpacing"/>
                  <w:rPr>
                    <w:color w:val="4472C4" w:themeColor="accent1"/>
                    <w:sz w:val="32"/>
                    <w:szCs w:val="32"/>
                  </w:rPr>
                </w:pPr>
              </w:p>
              <w:p w14:paraId="48296D9F" w14:textId="3862E475" w:rsidR="005F7AF1" w:rsidRPr="001C1D9B" w:rsidRDefault="005F7AF1">
                <w:pPr>
                  <w:pStyle w:val="NoSpacing"/>
                  <w:rPr>
                    <w:color w:val="4472C4" w:themeColor="accent1"/>
                    <w:sz w:val="32"/>
                    <w:szCs w:val="32"/>
                  </w:rPr>
                </w:pPr>
              </w:p>
            </w:tc>
          </w:tr>
        </w:tbl>
        <w:p w14:paraId="60263086" w14:textId="07B12F06" w:rsidR="003C24F4" w:rsidRDefault="003C24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sdtContent>
    </w:sdt>
    <w:p w14:paraId="04748503" w14:textId="77777777" w:rsidR="00010C9C" w:rsidRDefault="00010C9C" w:rsidP="00010C9C">
      <w:pPr>
        <w:jc w:val="center"/>
        <w:rPr>
          <w:rFonts w:ascii="Times New Roman" w:eastAsia="Times New Roman" w:hAnsi="Times New Roman" w:cs="Times New Roman"/>
          <w:color w:val="000000"/>
          <w:sz w:val="32"/>
          <w:szCs w:val="32"/>
        </w:rPr>
      </w:pPr>
    </w:p>
    <w:p w14:paraId="233AC75A" w14:textId="77777777" w:rsidR="00010C9C" w:rsidRDefault="00010C9C" w:rsidP="00010C9C">
      <w:pPr>
        <w:jc w:val="center"/>
        <w:rPr>
          <w:rFonts w:ascii="Times New Roman" w:eastAsia="Times New Roman" w:hAnsi="Times New Roman" w:cs="Times New Roman"/>
          <w:color w:val="000000"/>
          <w:sz w:val="32"/>
          <w:szCs w:val="32"/>
        </w:rPr>
      </w:pPr>
    </w:p>
    <w:p w14:paraId="5DB6D96E" w14:textId="77777777" w:rsidR="00010C9C" w:rsidRDefault="00010C9C" w:rsidP="00010C9C">
      <w:pPr>
        <w:jc w:val="center"/>
        <w:rPr>
          <w:rFonts w:ascii="Times New Roman" w:eastAsia="Times New Roman" w:hAnsi="Times New Roman" w:cs="Times New Roman"/>
          <w:color w:val="000000"/>
          <w:sz w:val="32"/>
          <w:szCs w:val="32"/>
        </w:rPr>
      </w:pPr>
    </w:p>
    <w:p w14:paraId="4CDA223E" w14:textId="77777777" w:rsidR="00010C9C" w:rsidRDefault="00010C9C" w:rsidP="00010C9C">
      <w:pPr>
        <w:jc w:val="center"/>
        <w:rPr>
          <w:rFonts w:ascii="Times New Roman" w:eastAsia="Times New Roman" w:hAnsi="Times New Roman" w:cs="Times New Roman"/>
          <w:color w:val="000000"/>
          <w:sz w:val="32"/>
          <w:szCs w:val="32"/>
        </w:rPr>
      </w:pPr>
    </w:p>
    <w:p w14:paraId="68392A26" w14:textId="67608567" w:rsidR="00DF484F" w:rsidRDefault="00010C9C" w:rsidP="00010C9C">
      <w:pPr>
        <w:jc w:val="center"/>
        <w:rPr>
          <w:rFonts w:ascii="Times New Roman" w:eastAsia="Times New Roman" w:hAnsi="Times New Roman" w:cs="Times New Roman"/>
          <w:b/>
          <w:bCs/>
          <w:color w:val="000000"/>
          <w:sz w:val="52"/>
          <w:szCs w:val="52"/>
        </w:rPr>
      </w:pPr>
      <w:r w:rsidRPr="00010C9C">
        <w:rPr>
          <w:rFonts w:ascii="Times New Roman" w:eastAsia="Times New Roman" w:hAnsi="Times New Roman" w:cs="Times New Roman"/>
          <w:b/>
          <w:bCs/>
          <w:color w:val="000000"/>
          <w:sz w:val="52"/>
          <w:szCs w:val="52"/>
        </w:rPr>
        <w:t>Reporting Team</w:t>
      </w:r>
    </w:p>
    <w:p w14:paraId="7CEABB4C" w14:textId="77777777" w:rsidR="00010C9C" w:rsidRPr="00010C9C" w:rsidRDefault="00010C9C" w:rsidP="00010C9C">
      <w:pPr>
        <w:jc w:val="center"/>
        <w:rPr>
          <w:rFonts w:ascii="Times New Roman" w:eastAsia="Times New Roman" w:hAnsi="Times New Roman" w:cs="Times New Roman"/>
          <w:b/>
          <w:bCs/>
          <w:color w:val="000000"/>
          <w:sz w:val="52"/>
          <w:szCs w:val="52"/>
        </w:rPr>
      </w:pPr>
    </w:p>
    <w:p w14:paraId="061F2AB0" w14:textId="44C361FA" w:rsidR="00010C9C" w:rsidRPr="00010C9C" w:rsidRDefault="00010C9C" w:rsidP="00010C9C">
      <w:pPr>
        <w:jc w:val="center"/>
        <w:rPr>
          <w:rFonts w:ascii="Times New Roman" w:eastAsia="Times New Roman" w:hAnsi="Times New Roman" w:cs="Times New Roman"/>
          <w:color w:val="000000"/>
          <w:sz w:val="44"/>
          <w:szCs w:val="44"/>
        </w:rPr>
      </w:pPr>
      <w:proofErr w:type="spellStart"/>
      <w:r w:rsidRPr="00010C9C">
        <w:rPr>
          <w:rFonts w:ascii="Times New Roman" w:eastAsia="Times New Roman" w:hAnsi="Times New Roman" w:cs="Times New Roman"/>
          <w:color w:val="000000"/>
          <w:sz w:val="44"/>
          <w:szCs w:val="44"/>
        </w:rPr>
        <w:t>Syarif</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Arifin</w:t>
      </w:r>
      <w:proofErr w:type="spellEnd"/>
    </w:p>
    <w:p w14:paraId="16928EDC" w14:textId="7629EE0E" w:rsidR="00010C9C" w:rsidRPr="00010C9C" w:rsidRDefault="00010C9C" w:rsidP="00010C9C">
      <w:pPr>
        <w:jc w:val="center"/>
        <w:rPr>
          <w:rFonts w:ascii="Times New Roman" w:eastAsia="Times New Roman" w:hAnsi="Times New Roman" w:cs="Times New Roman"/>
          <w:color w:val="000000"/>
          <w:sz w:val="44"/>
          <w:szCs w:val="44"/>
        </w:rPr>
      </w:pPr>
      <w:proofErr w:type="spellStart"/>
      <w:r w:rsidRPr="00010C9C">
        <w:rPr>
          <w:rFonts w:ascii="Times New Roman" w:eastAsia="Times New Roman" w:hAnsi="Times New Roman" w:cs="Times New Roman"/>
          <w:color w:val="000000"/>
          <w:sz w:val="44"/>
          <w:szCs w:val="44"/>
        </w:rPr>
        <w:t>Bambang</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Tribuana</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Dahana</w:t>
      </w:r>
      <w:proofErr w:type="spellEnd"/>
    </w:p>
    <w:p w14:paraId="419E7D9B" w14:textId="29E2AE19" w:rsidR="00010C9C" w:rsidRPr="00010C9C" w:rsidRDefault="00010C9C" w:rsidP="00010C9C">
      <w:pPr>
        <w:jc w:val="center"/>
        <w:rPr>
          <w:rFonts w:ascii="Times New Roman" w:eastAsia="Times New Roman" w:hAnsi="Times New Roman" w:cs="Times New Roman"/>
          <w:color w:val="000000"/>
          <w:sz w:val="44"/>
          <w:szCs w:val="44"/>
        </w:rPr>
      </w:pPr>
      <w:proofErr w:type="spellStart"/>
      <w:r w:rsidRPr="00010C9C">
        <w:rPr>
          <w:rFonts w:ascii="Times New Roman" w:eastAsia="Times New Roman" w:hAnsi="Times New Roman" w:cs="Times New Roman"/>
          <w:color w:val="000000"/>
          <w:sz w:val="44"/>
          <w:szCs w:val="44"/>
        </w:rPr>
        <w:t>Wiranta</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Yudha</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Ginting</w:t>
      </w:r>
      <w:proofErr w:type="spellEnd"/>
    </w:p>
    <w:p w14:paraId="783DBDFC" w14:textId="13D656C7" w:rsidR="00010C9C" w:rsidRPr="00010C9C" w:rsidRDefault="00010C9C" w:rsidP="00010C9C">
      <w:pPr>
        <w:jc w:val="center"/>
        <w:rPr>
          <w:rFonts w:ascii="Times New Roman" w:eastAsia="Times New Roman" w:hAnsi="Times New Roman" w:cs="Times New Roman"/>
          <w:color w:val="000000"/>
          <w:sz w:val="44"/>
          <w:szCs w:val="44"/>
        </w:rPr>
      </w:pPr>
      <w:proofErr w:type="spellStart"/>
      <w:r w:rsidRPr="00010C9C">
        <w:rPr>
          <w:rFonts w:ascii="Times New Roman" w:eastAsia="Times New Roman" w:hAnsi="Times New Roman" w:cs="Times New Roman"/>
          <w:color w:val="000000"/>
          <w:sz w:val="44"/>
          <w:szCs w:val="44"/>
        </w:rPr>
        <w:t>Papang</w:t>
      </w:r>
      <w:proofErr w:type="spellEnd"/>
      <w:r w:rsidRPr="00010C9C">
        <w:rPr>
          <w:rFonts w:ascii="Times New Roman" w:eastAsia="Times New Roman" w:hAnsi="Times New Roman" w:cs="Times New Roman"/>
          <w:color w:val="000000"/>
          <w:sz w:val="44"/>
          <w:szCs w:val="44"/>
        </w:rPr>
        <w:t xml:space="preserve"> </w:t>
      </w:r>
      <w:proofErr w:type="spellStart"/>
      <w:r w:rsidRPr="00010C9C">
        <w:rPr>
          <w:rFonts w:ascii="Times New Roman" w:eastAsia="Times New Roman" w:hAnsi="Times New Roman" w:cs="Times New Roman"/>
          <w:color w:val="000000"/>
          <w:sz w:val="44"/>
          <w:szCs w:val="44"/>
        </w:rPr>
        <w:t>Hidayat</w:t>
      </w:r>
      <w:proofErr w:type="spellEnd"/>
    </w:p>
    <w:p w14:paraId="20CBC1D3" w14:textId="23499995" w:rsidR="00010C9C" w:rsidRPr="00010C9C" w:rsidRDefault="00010C9C" w:rsidP="00010C9C">
      <w:pPr>
        <w:jc w:val="center"/>
        <w:rPr>
          <w:rFonts w:ascii="Times New Roman" w:eastAsia="Times New Roman" w:hAnsi="Times New Roman" w:cs="Times New Roman"/>
          <w:color w:val="000000"/>
          <w:sz w:val="44"/>
          <w:szCs w:val="44"/>
        </w:rPr>
      </w:pPr>
      <w:r w:rsidRPr="00010C9C">
        <w:rPr>
          <w:rFonts w:ascii="Times New Roman" w:eastAsia="Times New Roman" w:hAnsi="Times New Roman" w:cs="Times New Roman"/>
          <w:color w:val="000000"/>
          <w:sz w:val="44"/>
          <w:szCs w:val="44"/>
        </w:rPr>
        <w:t>Samuel Gultom</w:t>
      </w:r>
    </w:p>
    <w:p w14:paraId="5995AC1D" w14:textId="362416F5" w:rsidR="00010C9C" w:rsidRPr="00010C9C" w:rsidRDefault="00010C9C" w:rsidP="00010C9C">
      <w:pPr>
        <w:jc w:val="center"/>
        <w:rPr>
          <w:rFonts w:ascii="Times New Roman" w:eastAsia="Times New Roman" w:hAnsi="Times New Roman" w:cs="Times New Roman"/>
          <w:color w:val="000000"/>
          <w:sz w:val="44"/>
          <w:szCs w:val="44"/>
        </w:rPr>
      </w:pPr>
      <w:r w:rsidRPr="00010C9C">
        <w:rPr>
          <w:rFonts w:ascii="Times New Roman" w:eastAsia="Times New Roman" w:hAnsi="Times New Roman" w:cs="Times New Roman"/>
          <w:color w:val="000000"/>
          <w:sz w:val="44"/>
          <w:szCs w:val="44"/>
        </w:rPr>
        <w:t>Harry Wibowo</w:t>
      </w:r>
    </w:p>
    <w:p w14:paraId="15AC27F6" w14:textId="77777777" w:rsidR="00DF484F" w:rsidRDefault="00DF484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00000001" w14:textId="7412F0C8" w:rsidR="00824EE8" w:rsidRDefault="00794C52">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This report is submitted to the Committee of Economic, Social and Cultural Right in line with the schedule of periodic </w:t>
      </w:r>
      <w:r>
        <w:rPr>
          <w:rFonts w:ascii="Times New Roman" w:eastAsia="Times New Roman" w:hAnsi="Times New Roman" w:cs="Times New Roman"/>
          <w:sz w:val="24"/>
          <w:szCs w:val="24"/>
        </w:rPr>
        <w:t>reports</w:t>
      </w:r>
      <w:r>
        <w:rPr>
          <w:rFonts w:ascii="Times New Roman" w:eastAsia="Times New Roman" w:hAnsi="Times New Roman" w:cs="Times New Roman"/>
          <w:color w:val="000000"/>
          <w:sz w:val="24"/>
          <w:szCs w:val="24"/>
        </w:rPr>
        <w:t xml:space="preserve"> of the Government of Indonesia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to the Committee.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itself has submitted its second periodic report to the committee, which was received by the Committee on July 30, 2021.</w:t>
      </w:r>
    </w:p>
    <w:p w14:paraId="00000002" w14:textId="77777777" w:rsidR="00824EE8" w:rsidRDefault="00794C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report is prepared and submitted by </w:t>
      </w:r>
      <w:proofErr w:type="spellStart"/>
      <w:r>
        <w:rPr>
          <w:rFonts w:ascii="Times New Roman" w:eastAsia="Times New Roman" w:hAnsi="Times New Roman" w:cs="Times New Roman"/>
          <w:sz w:val="24"/>
          <w:szCs w:val="24"/>
        </w:rPr>
        <w:t>Sedane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Resource Centre/</w:t>
      </w:r>
      <w:proofErr w:type="spellStart"/>
      <w:r>
        <w:rPr>
          <w:rFonts w:ascii="Times New Roman" w:eastAsia="Times New Roman" w:hAnsi="Times New Roman" w:cs="Times New Roman"/>
          <w:sz w:val="24"/>
          <w:szCs w:val="24"/>
        </w:rPr>
        <w:t>Lembaga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Informasi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Perburuhan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Sedane</w:t>
      </w:r>
      <w:proofErr w:type="spellEnd"/>
      <w:r>
        <w:rPr>
          <w:rFonts w:ascii="Times New Roman" w:eastAsia="Times New Roman" w:hAnsi="Times New Roman" w:cs="Times New Roman"/>
          <w:sz w:val="24"/>
          <w:szCs w:val="24"/>
        </w:rPr>
        <w:t xml:space="preserve"> (LIPS), a non-governmental organization in labor studies based in Bogor, West Java, established in 1991. LIPS works to strengthen the labor movement by documenting knowledge through participatory research and developing methods of popular education in labor groups and unions through 5 main activities: documentation and information, educational training and workshops, popular research to support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unions, publications, and provision of a library on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related issues. In preparing this report, LIPS worked closely with Asia Floor Wage Alliance (AFWA) Indonesia and several human rights researchers and activists.</w:t>
      </w:r>
    </w:p>
    <w:p w14:paraId="00000003" w14:textId="77777777" w:rsidR="00824EE8" w:rsidRDefault="00794C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report is prepared based on LIPS’ research, advocacy and expertise, the focus of this report is on labor rights and employment relations in the formal sector in Indonesia. Therefore, the report does not discuss other sectors such as migrant workers and domestic workers. We recognize the importance of labor rights issues in those sectors, but we decide to focus on the issues that we have been working on, and welcome other organizations who have expertise and knowledge on these sectors to prepare and submit their reports.</w:t>
      </w:r>
    </w:p>
    <w:p w14:paraId="00000004" w14:textId="77777777" w:rsidR="00824EE8" w:rsidRDefault="00794C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also focuses only on the Job Creation Law, or popularly known as Omnibus Law, because the law has significantly changed employment relations in Indonesia, and the impacts have been profoundly felt by workers and their families. The report will inevitably confront some claims made by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in its second periodic report to the Committee.</w:t>
      </w:r>
    </w:p>
    <w:p w14:paraId="00000005" w14:textId="77777777" w:rsidR="00824EE8" w:rsidRDefault="00824EE8">
      <w:pPr>
        <w:spacing w:before="240" w:after="240"/>
        <w:jc w:val="both"/>
        <w:rPr>
          <w:rFonts w:ascii="Times New Roman" w:eastAsia="Times New Roman" w:hAnsi="Times New Roman" w:cs="Times New Roman"/>
          <w:color w:val="000000"/>
          <w:sz w:val="24"/>
          <w:szCs w:val="24"/>
        </w:rPr>
      </w:pPr>
    </w:p>
    <w:p w14:paraId="00000006" w14:textId="77777777" w:rsidR="00824EE8" w:rsidRDefault="00794C52">
      <w:pPr>
        <w:jc w:val="both"/>
        <w:rPr>
          <w:rFonts w:ascii="Times New Roman" w:eastAsia="Times New Roman" w:hAnsi="Times New Roman" w:cs="Times New Roman"/>
          <w:b/>
          <w:smallCaps/>
          <w:color w:val="000000"/>
          <w:sz w:val="26"/>
          <w:szCs w:val="26"/>
        </w:rPr>
      </w:pPr>
      <w:r>
        <w:rPr>
          <w:rFonts w:ascii="Times New Roman" w:eastAsia="Times New Roman" w:hAnsi="Times New Roman" w:cs="Times New Roman"/>
          <w:b/>
          <w:smallCaps/>
          <w:color w:val="000000"/>
          <w:sz w:val="26"/>
          <w:szCs w:val="26"/>
        </w:rPr>
        <w:t>Background</w:t>
      </w:r>
    </w:p>
    <w:p w14:paraId="00000007"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November 5</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2020 the Government of Indonesia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the House of Representatives (the House) passed an omnibus law called Law No.11 0f 2020 on Job Creation. Out of 9 political factions in the House, 6 of them accepted the bill, 1 accepted with notes, and 2 –from the opposition parties, Democrat and Justice and Prosperous Parties—rejected. The Law contains 11 clusters, including a cluster of employment which would amend not only various provisions in the Employment Law, but also Social Security Law and Migrant Workers Protection Law. According to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the Law was essential to enlarge domestic employment, accelerate development of Micro, Small, and Medium Enterprises (MSME), and eradicate corruption through simplifying and electronically integrating the permit system.</w:t>
      </w:r>
    </w:p>
    <w:p w14:paraId="00000008" w14:textId="77777777" w:rsidR="00824EE8" w:rsidRDefault="00794C52">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color w:val="000000"/>
        </w:rPr>
        <w:lastRenderedPageBreak/>
        <w:t xml:space="preserve"> </w:t>
      </w:r>
    </w:p>
    <w:p w14:paraId="00000009"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The House passed the bill even though it received criticism from workers and the general public regarding the process of drafting the bill, the content of the bill and the timing to pass the bill. Big mobilization had taken place across Indonesia from August 2019 and peaked in October 2020 protesting the House to stop the discussion of the bill.</w:t>
      </w:r>
      <w:r>
        <w:rPr>
          <w:rFonts w:ascii="Times New Roman" w:eastAsia="Times New Roman" w:hAnsi="Times New Roman" w:cs="Times New Roman"/>
          <w:color w:val="000000"/>
          <w:sz w:val="24"/>
          <w:szCs w:val="24"/>
        </w:rPr>
        <w:t xml:space="preserve"> The reaction of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against these peaceful assembly and protests was very horrible with excessive use of force by the police to labor activists, human rights defenders and students, including intimidation, use of violence, and unlawful arrest and detention. Even more worrying: in some of those cases the police also arrested lawyers who were carrying out their duty as reported by Indonesian Legal Aid Institute (YLBHI). This fact </w:t>
      </w:r>
      <w:r>
        <w:rPr>
          <w:rFonts w:ascii="Times New Roman" w:eastAsia="Times New Roman" w:hAnsi="Times New Roman" w:cs="Times New Roman"/>
          <w:sz w:val="24"/>
          <w:szCs w:val="24"/>
        </w:rPr>
        <w:t xml:space="preserve">contradicts </w:t>
      </w:r>
      <w:r>
        <w:rPr>
          <w:rFonts w:ascii="Times New Roman" w:eastAsia="Times New Roman" w:hAnsi="Times New Roman" w:cs="Times New Roman"/>
          <w:color w:val="000000"/>
          <w:sz w:val="24"/>
          <w:szCs w:val="24"/>
        </w:rPr>
        <w:t xml:space="preserve">the claim made by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in its report to the Committee about the freedom of expression and strikes (Para 118 &amp; 119).</w:t>
      </w:r>
    </w:p>
    <w:p w14:paraId="0000000A"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222222"/>
          <w:sz w:val="24"/>
          <w:szCs w:val="24"/>
        </w:rPr>
      </w:pPr>
    </w:p>
    <w:p w14:paraId="0000000B" w14:textId="77777777"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To implement the law,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drafted 45 government regulations and 4 presidential regulations, which were scheduled to be enacted by February 2021. All of the regulations were finally enacted on February 17, 2021. Regarding the employment cluster, the government enacted 4 implementing regulations, namely: </w:t>
      </w:r>
    </w:p>
    <w:p w14:paraId="0000000C" w14:textId="77777777" w:rsidR="00824EE8" w:rsidRDefault="00794C52">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Government Regulation </w:t>
      </w:r>
      <w:r>
        <w:rPr>
          <w:rFonts w:ascii="Times New Roman" w:eastAsia="Times New Roman" w:hAnsi="Times New Roman" w:cs="Times New Roman"/>
          <w:color w:val="222222"/>
          <w:sz w:val="24"/>
          <w:szCs w:val="24"/>
          <w:highlight w:val="white"/>
        </w:rPr>
        <w:t>34/2021 on Foreign Workers</w:t>
      </w:r>
    </w:p>
    <w:p w14:paraId="0000000D" w14:textId="77777777" w:rsidR="00824EE8" w:rsidRDefault="00794C52">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Government Regulation 35/2021 on Specified Time Work Agreement, Outsourcing, Working Hour and Rest, and Termination of Work </w:t>
      </w:r>
    </w:p>
    <w:p w14:paraId="0000000E" w14:textId="77777777" w:rsidR="00824EE8" w:rsidRDefault="00794C52">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Government Regulation 36/2021 on Wages </w:t>
      </w:r>
    </w:p>
    <w:p w14:paraId="0000000F" w14:textId="77777777" w:rsidR="00824EE8" w:rsidRDefault="00794C52">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Government Regulation 37/2021 on Job Loss Security. </w:t>
      </w:r>
    </w:p>
    <w:p w14:paraId="00000010" w14:textId="77777777" w:rsidR="00824EE8" w:rsidRDefault="00824EE8">
      <w:pPr>
        <w:jc w:val="both"/>
        <w:rPr>
          <w:rFonts w:ascii="Times New Roman" w:eastAsia="Times New Roman" w:hAnsi="Times New Roman" w:cs="Times New Roman"/>
          <w:color w:val="000000"/>
          <w:sz w:val="24"/>
          <w:szCs w:val="24"/>
        </w:rPr>
      </w:pPr>
    </w:p>
    <w:p w14:paraId="00000011" w14:textId="77777777"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law itself was ruled as conditionally unconstitutional by the Constitutional Court on November 25, 2021. However, the court ruling did not automatically revoke the law because it was said ‘conditionally’. The Court ordered the lawmakers to amend the law –with regard to the drafting procedures–within 2 years otherwise the law would be permanently repealed. In the meantime, the Law itself remains valid but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is not allowed to enact new implementing regulations of the law and must suspend all policies of the law that are strategic and have widespread impact. The Court itself did not identify which policies were considered strategic and have widespread impact, or explained the criteria of such policies. Therefore, in effect, the Law and all of the implementing regulations, including the provisions in the employment cluster, are still implemented. In deliberation of its decision the Constitutional Court only looked at the procedural flaws in the making of the Law, but they did not mention any legal analysis that pointed out the lack of compliance of Indonesia’s international human rights obligation, in particular with the provisions under the ICESCR in developing the articles in the draft law.  </w:t>
      </w:r>
    </w:p>
    <w:p w14:paraId="00000012" w14:textId="77777777" w:rsidR="00824EE8" w:rsidRDefault="00824EE8">
      <w:pPr>
        <w:jc w:val="both"/>
        <w:rPr>
          <w:rFonts w:ascii="Times New Roman" w:eastAsia="Times New Roman" w:hAnsi="Times New Roman" w:cs="Times New Roman"/>
          <w:sz w:val="24"/>
          <w:szCs w:val="24"/>
        </w:rPr>
      </w:pPr>
    </w:p>
    <w:p w14:paraId="00000013" w14:textId="77777777" w:rsidR="00824EE8" w:rsidRDefault="00794C52">
      <w:pPr>
        <w:ind w:left="360" w:hanging="360"/>
        <w:jc w:val="both"/>
        <w:rPr>
          <w:rFonts w:ascii="Times New Roman" w:eastAsia="Times New Roman" w:hAnsi="Times New Roman" w:cs="Times New Roman"/>
          <w:b/>
          <w:smallCaps/>
          <w:color w:val="000000"/>
          <w:sz w:val="26"/>
          <w:szCs w:val="26"/>
        </w:rPr>
      </w:pPr>
      <w:r>
        <w:rPr>
          <w:rFonts w:ascii="Times New Roman" w:eastAsia="Times New Roman" w:hAnsi="Times New Roman" w:cs="Times New Roman"/>
          <w:b/>
          <w:smallCaps/>
          <w:color w:val="000000"/>
          <w:sz w:val="26"/>
          <w:szCs w:val="26"/>
        </w:rPr>
        <w:t xml:space="preserve">Violations of the Job Creation Law to International </w:t>
      </w:r>
      <w:proofErr w:type="spellStart"/>
      <w:r>
        <w:rPr>
          <w:rFonts w:ascii="Times New Roman" w:eastAsia="Times New Roman" w:hAnsi="Times New Roman" w:cs="Times New Roman"/>
          <w:b/>
          <w:smallCaps/>
          <w:color w:val="000000"/>
          <w:sz w:val="26"/>
          <w:szCs w:val="26"/>
        </w:rPr>
        <w:t>Labour</w:t>
      </w:r>
      <w:proofErr w:type="spellEnd"/>
      <w:r>
        <w:rPr>
          <w:rFonts w:ascii="Times New Roman" w:eastAsia="Times New Roman" w:hAnsi="Times New Roman" w:cs="Times New Roman"/>
          <w:b/>
          <w:smallCaps/>
          <w:color w:val="000000"/>
          <w:sz w:val="26"/>
          <w:szCs w:val="26"/>
        </w:rPr>
        <w:t xml:space="preserve"> Standards</w:t>
      </w:r>
    </w:p>
    <w:p w14:paraId="00000014" w14:textId="77777777" w:rsidR="00824EE8" w:rsidRDefault="00824EE8">
      <w:pPr>
        <w:pBdr>
          <w:top w:val="nil"/>
          <w:left w:val="nil"/>
          <w:bottom w:val="nil"/>
          <w:right w:val="nil"/>
          <w:between w:val="nil"/>
        </w:pBdr>
        <w:jc w:val="both"/>
        <w:rPr>
          <w:rFonts w:ascii="Times New Roman" w:eastAsia="Times New Roman" w:hAnsi="Times New Roman" w:cs="Times New Roman"/>
          <w:b/>
          <w:color w:val="000000"/>
          <w:sz w:val="24"/>
          <w:szCs w:val="24"/>
        </w:rPr>
      </w:pPr>
    </w:p>
    <w:p w14:paraId="00000015" w14:textId="77777777" w:rsidR="00824EE8" w:rsidRDefault="00794C52">
      <w:p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Lack of Participation and Public Consultation</w:t>
      </w:r>
    </w:p>
    <w:p w14:paraId="00000016" w14:textId="68A90975"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the point of view of international labor standards, meaningful participation of representative organizations of workers and employers in labor affairs is essential. Collective bargaining, tripartite consultation, or social dialogue should be at the heart of any legislation or policy making process (G</w:t>
      </w:r>
      <w:r w:rsidR="00C41292">
        <w:rPr>
          <w:rFonts w:ascii="Times New Roman" w:eastAsia="Times New Roman" w:hAnsi="Times New Roman" w:cs="Times New Roman"/>
          <w:color w:val="000000"/>
          <w:sz w:val="24"/>
          <w:szCs w:val="24"/>
        </w:rPr>
        <w:t xml:space="preserve">eneral </w:t>
      </w:r>
      <w:r>
        <w:rPr>
          <w:rFonts w:ascii="Times New Roman" w:eastAsia="Times New Roman" w:hAnsi="Times New Roman" w:cs="Times New Roman"/>
          <w:color w:val="000000"/>
          <w:sz w:val="24"/>
          <w:szCs w:val="24"/>
        </w:rPr>
        <w:t>C</w:t>
      </w:r>
      <w:r w:rsidR="00C41292">
        <w:rPr>
          <w:rFonts w:ascii="Times New Roman" w:eastAsia="Times New Roman" w:hAnsi="Times New Roman" w:cs="Times New Roman"/>
          <w:color w:val="000000"/>
          <w:sz w:val="24"/>
          <w:szCs w:val="24"/>
        </w:rPr>
        <w:t>omment</w:t>
      </w:r>
      <w:r>
        <w:rPr>
          <w:rFonts w:ascii="Times New Roman" w:eastAsia="Times New Roman" w:hAnsi="Times New Roman" w:cs="Times New Roman"/>
          <w:color w:val="000000"/>
          <w:sz w:val="24"/>
          <w:szCs w:val="24"/>
        </w:rPr>
        <w:t xml:space="preserve"> 18 Para. 39 &amp; 42). Therefore, the lack of it means a serious violation of international labor standards. Both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the House claimed that they had involved unions in the drafting of the Job Creation Law.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indeed formed a tripartite forum facilitated by the Ministry of Manpower to discuss the draft of the employment cluster. However, 2 unions resigned when the forum just started and the other unions who participated in the forum complained because none of their inputs were accommodated. According to them, the forum was organized only to create an image of participation. The House also claimed that the bill was discussed intensively, up to 64 meetings including during the recess period. However, the involvement of unions, if any, were very limited. The fact was that the drafting process of the employment cluster of the law, as well as the implementing regulations, substantially lacked meaningful public participation or consultation of unions. This fact was also highlighted by the Constitutional Court and became one of the reasons for the Court to rule the law as conditionally unconstitutional. Inevitably, such lack of participation has implications on the other issues discussed below.</w:t>
      </w:r>
    </w:p>
    <w:p w14:paraId="00000017" w14:textId="77777777" w:rsidR="00824EE8" w:rsidRDefault="00824EE8">
      <w:pPr>
        <w:pBdr>
          <w:top w:val="nil"/>
          <w:left w:val="nil"/>
          <w:bottom w:val="nil"/>
          <w:right w:val="nil"/>
          <w:between w:val="nil"/>
        </w:pBdr>
        <w:jc w:val="both"/>
        <w:rPr>
          <w:rFonts w:ascii="Times New Roman" w:eastAsia="Times New Roman" w:hAnsi="Times New Roman" w:cs="Times New Roman"/>
          <w:b/>
          <w:color w:val="000000"/>
          <w:sz w:val="24"/>
          <w:szCs w:val="24"/>
        </w:rPr>
      </w:pPr>
    </w:p>
    <w:p w14:paraId="00000018" w14:textId="77777777" w:rsidR="00824EE8" w:rsidRDefault="00794C52">
      <w:p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Unjustified Retrogressive Measure </w:t>
      </w:r>
    </w:p>
    <w:p w14:paraId="00000019"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Progressive realization is a central aspect in the ICESCR, including with regard to the right to work and right at work. In Indonesia, after the political reform in 1998, labor reform was introduced by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has brought various improvements in labor rights, especially related to freedom of association, collective bargaining, tripartite consultation, wage policy, limitation of using contract workers and outsourcing, and termination and compensation. However, these progresses are threatened to change for the worse with the enactment of the Job Creation Law. Instead of making a further progressive realization, the employment cluster downgraded several provisions in the Employment Law. This means that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has deliberately taken a retrogressive measure with regard to Article 7 of the ICESCR. Such measures are also not </w:t>
      </w:r>
      <w:r>
        <w:rPr>
          <w:rFonts w:ascii="Times New Roman" w:eastAsia="Times New Roman" w:hAnsi="Times New Roman" w:cs="Times New Roman"/>
          <w:color w:val="000000"/>
          <w:sz w:val="24"/>
          <w:szCs w:val="24"/>
        </w:rPr>
        <w:lastRenderedPageBreak/>
        <w:t>taken in response to economic crises, or are temporary and necessary in nature, as stated in General Comment 23 Para. 52. Therefore, the law violates Article 2 of ICESCR regarding progressive realization.</w:t>
      </w:r>
    </w:p>
    <w:p w14:paraId="0000001A"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1B" w14:textId="77777777"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Besides 4 issues that will be discussed in more detail below, the other provisions being downgraded are: </w:t>
      </w:r>
    </w:p>
    <w:p w14:paraId="0000001C" w14:textId="77777777" w:rsidR="00824EE8" w:rsidRDefault="00794C52" w:rsidP="00C41292">
      <w:pPr>
        <w:numPr>
          <w:ilvl w:val="0"/>
          <w:numId w:val="5"/>
        </w:numPr>
        <w:spacing w:after="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Reduction of severance pay for permanent workers</w:t>
      </w:r>
    </w:p>
    <w:p w14:paraId="0000001D" w14:textId="77777777" w:rsidR="00824EE8" w:rsidRDefault="00794C52" w:rsidP="00C41292">
      <w:pPr>
        <w:numPr>
          <w:ilvl w:val="0"/>
          <w:numId w:val="5"/>
        </w:numPr>
        <w:spacing w:after="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Reduction of compensation in premature termination for contract workers </w:t>
      </w:r>
    </w:p>
    <w:p w14:paraId="0000001E" w14:textId="77777777" w:rsidR="00824EE8" w:rsidRDefault="00794C52" w:rsidP="00C41292">
      <w:pPr>
        <w:numPr>
          <w:ilvl w:val="0"/>
          <w:numId w:val="5"/>
        </w:numPr>
        <w:spacing w:after="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Elimination of sectoral minimum wage</w:t>
      </w:r>
    </w:p>
    <w:p w14:paraId="0000001F" w14:textId="77777777" w:rsidR="00824EE8" w:rsidRDefault="00794C52" w:rsidP="00C41292">
      <w:pPr>
        <w:numPr>
          <w:ilvl w:val="0"/>
          <w:numId w:val="5"/>
        </w:numP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Elimination of mandatory 2-months sabbatical leave for workers who have worked for 6 years in a company.</w:t>
      </w:r>
    </w:p>
    <w:p w14:paraId="00000020" w14:textId="77777777" w:rsidR="00824EE8" w:rsidRDefault="00824EE8">
      <w:pPr>
        <w:pBdr>
          <w:top w:val="nil"/>
          <w:left w:val="nil"/>
          <w:bottom w:val="nil"/>
          <w:right w:val="nil"/>
          <w:between w:val="nil"/>
        </w:pBdr>
        <w:jc w:val="both"/>
        <w:rPr>
          <w:rFonts w:ascii="Times New Roman" w:eastAsia="Times New Roman" w:hAnsi="Times New Roman" w:cs="Times New Roman"/>
          <w:b/>
          <w:color w:val="000000"/>
          <w:sz w:val="24"/>
          <w:szCs w:val="24"/>
        </w:rPr>
      </w:pPr>
    </w:p>
    <w:p w14:paraId="00000021" w14:textId="77777777" w:rsidR="00824EE8" w:rsidRDefault="00794C52">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Violations of Labor Standards Regarding Minimum Wage</w:t>
      </w:r>
    </w:p>
    <w:p w14:paraId="00000022" w14:textId="77777777" w:rsidR="00824EE8" w:rsidRDefault="00794C52">
      <w:pPr>
        <w:numPr>
          <w:ilvl w:val="1"/>
          <w:numId w:val="3"/>
        </w:numPr>
        <w:pBdr>
          <w:top w:val="nil"/>
          <w:left w:val="nil"/>
          <w:bottom w:val="nil"/>
          <w:right w:val="nil"/>
          <w:between w:val="nil"/>
        </w:pBdr>
        <w:spacing w:after="0" w:line="240" w:lineRule="auto"/>
        <w:ind w:left="357" w:hanging="35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Weakening the Process of Consultations and Negotiations with Unions and Employers.</w:t>
      </w:r>
    </w:p>
    <w:p w14:paraId="00000023" w14:textId="77777777" w:rsidR="00824EE8" w:rsidRDefault="00824EE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24" w14:textId="3A327EDE" w:rsidR="00824EE8" w:rsidRDefault="00794C5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mandated in the international labor standards (ILO C 131 Art. 2 &amp; 4; G</w:t>
      </w:r>
      <w:r w:rsidR="00C41292">
        <w:rPr>
          <w:rFonts w:ascii="Times New Roman" w:eastAsia="Times New Roman" w:hAnsi="Times New Roman" w:cs="Times New Roman"/>
          <w:color w:val="000000"/>
          <w:sz w:val="24"/>
          <w:szCs w:val="24"/>
        </w:rPr>
        <w:t xml:space="preserve">eneral </w:t>
      </w:r>
      <w:r>
        <w:rPr>
          <w:rFonts w:ascii="Times New Roman" w:eastAsia="Times New Roman" w:hAnsi="Times New Roman" w:cs="Times New Roman"/>
          <w:color w:val="000000"/>
          <w:sz w:val="24"/>
          <w:szCs w:val="24"/>
        </w:rPr>
        <w:t>C</w:t>
      </w:r>
      <w:r w:rsidR="00C41292">
        <w:rPr>
          <w:rFonts w:ascii="Times New Roman" w:eastAsia="Times New Roman" w:hAnsi="Times New Roman" w:cs="Times New Roman"/>
          <w:color w:val="000000"/>
          <w:sz w:val="24"/>
          <w:szCs w:val="24"/>
        </w:rPr>
        <w:t>omment</w:t>
      </w:r>
      <w:r>
        <w:rPr>
          <w:rFonts w:ascii="Times New Roman" w:eastAsia="Times New Roman" w:hAnsi="Times New Roman" w:cs="Times New Roman"/>
          <w:color w:val="000000"/>
          <w:sz w:val="24"/>
          <w:szCs w:val="24"/>
        </w:rPr>
        <w:t xml:space="preserve"> 23 Para. 20 &amp; 65C; G</w:t>
      </w:r>
      <w:r w:rsidR="003B23F3">
        <w:rPr>
          <w:rFonts w:ascii="Times New Roman" w:eastAsia="Times New Roman" w:hAnsi="Times New Roman" w:cs="Times New Roman"/>
          <w:color w:val="000000"/>
          <w:sz w:val="24"/>
          <w:szCs w:val="24"/>
        </w:rPr>
        <w:t xml:space="preserve">eneral </w:t>
      </w:r>
      <w:r>
        <w:rPr>
          <w:rFonts w:ascii="Times New Roman" w:eastAsia="Times New Roman" w:hAnsi="Times New Roman" w:cs="Times New Roman"/>
          <w:color w:val="000000"/>
          <w:sz w:val="24"/>
          <w:szCs w:val="24"/>
        </w:rPr>
        <w:t>C</w:t>
      </w:r>
      <w:r w:rsidR="003B23F3">
        <w:rPr>
          <w:rFonts w:ascii="Times New Roman" w:eastAsia="Times New Roman" w:hAnsi="Times New Roman" w:cs="Times New Roman"/>
          <w:color w:val="000000"/>
          <w:sz w:val="24"/>
          <w:szCs w:val="24"/>
        </w:rPr>
        <w:t>omment</w:t>
      </w:r>
      <w:r>
        <w:rPr>
          <w:rFonts w:ascii="Times New Roman" w:eastAsia="Times New Roman" w:hAnsi="Times New Roman" w:cs="Times New Roman"/>
          <w:color w:val="000000"/>
          <w:sz w:val="24"/>
          <w:szCs w:val="24"/>
        </w:rPr>
        <w:t xml:space="preserve"> 18 Para 39), direct participation of workers and employers’ representatives was essential in the practice of minimum wage fixing in Indonesia before the enactment of Job Creation Law. The process of consultations and negotiations was realized in the national and regional wage councils. Nevertheless, the Job Creation Law change the role of minimum wage councils from </w:t>
      </w:r>
      <w:r>
        <w:rPr>
          <w:rFonts w:ascii="Times New Roman" w:eastAsia="Times New Roman" w:hAnsi="Times New Roman" w:cs="Times New Roman"/>
          <w:i/>
          <w:color w:val="000000"/>
          <w:sz w:val="24"/>
          <w:szCs w:val="24"/>
        </w:rPr>
        <w:t xml:space="preserve">“to provide suggestions, considerations, </w:t>
      </w:r>
      <w:r>
        <w:rPr>
          <w:rFonts w:ascii="Times New Roman" w:eastAsia="Times New Roman" w:hAnsi="Times New Roman" w:cs="Times New Roman"/>
          <w:i/>
          <w:color w:val="000000"/>
          <w:sz w:val="24"/>
          <w:szCs w:val="24"/>
          <w:u w:val="single"/>
        </w:rPr>
        <w:t xml:space="preserve">and formulate a wage policy </w:t>
      </w:r>
      <w:r>
        <w:rPr>
          <w:rFonts w:ascii="Times New Roman" w:eastAsia="Times New Roman" w:hAnsi="Times New Roman" w:cs="Times New Roman"/>
          <w:i/>
          <w:color w:val="000000"/>
          <w:sz w:val="24"/>
          <w:szCs w:val="24"/>
        </w:rPr>
        <w:t>that will be determined by the government…”</w:t>
      </w:r>
      <w:r>
        <w:rPr>
          <w:rFonts w:ascii="Times New Roman" w:eastAsia="Times New Roman" w:hAnsi="Times New Roman" w:cs="Times New Roman"/>
          <w:color w:val="000000"/>
          <w:sz w:val="24"/>
          <w:szCs w:val="24"/>
        </w:rPr>
        <w:t xml:space="preserve"> in the Employment Law, to </w:t>
      </w:r>
      <w:r>
        <w:rPr>
          <w:rFonts w:ascii="Times New Roman" w:eastAsia="Times New Roman" w:hAnsi="Times New Roman" w:cs="Times New Roman"/>
          <w:i/>
          <w:color w:val="000000"/>
          <w:sz w:val="24"/>
          <w:szCs w:val="24"/>
        </w:rPr>
        <w:t xml:space="preserve">“to provide advice and considerations to </w:t>
      </w:r>
      <w:r>
        <w:rPr>
          <w:rFonts w:ascii="Times New Roman" w:eastAsia="Times New Roman" w:hAnsi="Times New Roman" w:cs="Times New Roman"/>
          <w:i/>
          <w:color w:val="000000"/>
          <w:sz w:val="24"/>
          <w:szCs w:val="24"/>
          <w:u w:val="single"/>
        </w:rPr>
        <w:t>the central and regional government in the formulation of wage policy</w:t>
      </w:r>
      <w:r>
        <w:rPr>
          <w:rFonts w:ascii="Times New Roman" w:eastAsia="Times New Roman" w:hAnsi="Times New Roman" w:cs="Times New Roman"/>
          <w:i/>
          <w:color w:val="000000"/>
          <w:sz w:val="24"/>
          <w:szCs w:val="24"/>
        </w:rPr>
        <w:t xml:space="preserve">…” in Job Creation Law. </w:t>
      </w:r>
      <w:r>
        <w:rPr>
          <w:rFonts w:ascii="Times New Roman" w:eastAsia="Times New Roman" w:hAnsi="Times New Roman" w:cs="Times New Roman"/>
          <w:color w:val="000000"/>
          <w:sz w:val="24"/>
          <w:szCs w:val="24"/>
        </w:rPr>
        <w:t>Since the central and regional governments use aggregate economic data in determining minimum wages, then the advice and considerations tend to be meaningless and only symbolic.</w:t>
      </w:r>
    </w:p>
    <w:p w14:paraId="00000025" w14:textId="77777777" w:rsidR="00824EE8" w:rsidRDefault="00824EE8">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p w14:paraId="00000026" w14:textId="1F89CBD8" w:rsidR="00824EE8" w:rsidRDefault="00794C5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Recent cases of minimum wage fixing for 2022 illustrate how consultations and negotiations in the minimum wage fixing are now substantially weakened or only symbolically. In Riau Province for example, recommendations of minimum wage increase from the district level wage councils were annulled by the provincial government on the basis of economic growth data, as mandated by the Job Creation Law. The wage council in </w:t>
      </w:r>
      <w:proofErr w:type="spellStart"/>
      <w:r>
        <w:rPr>
          <w:rFonts w:ascii="Times New Roman" w:eastAsia="Times New Roman" w:hAnsi="Times New Roman" w:cs="Times New Roman"/>
          <w:color w:val="000000"/>
          <w:sz w:val="24"/>
          <w:szCs w:val="24"/>
        </w:rPr>
        <w:t>Pekan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Baru</w:t>
      </w:r>
      <w:proofErr w:type="spellEnd"/>
      <w:r>
        <w:rPr>
          <w:rFonts w:ascii="Times New Roman" w:eastAsia="Times New Roman" w:hAnsi="Times New Roman" w:cs="Times New Roman"/>
          <w:color w:val="000000"/>
          <w:sz w:val="24"/>
          <w:szCs w:val="24"/>
        </w:rPr>
        <w:t xml:space="preserve"> City recommended an increase 2,39% but the Governor approved an increase of 1,72%; The wage council in </w:t>
      </w:r>
      <w:proofErr w:type="spellStart"/>
      <w:r>
        <w:rPr>
          <w:rFonts w:ascii="Times New Roman" w:eastAsia="Times New Roman" w:hAnsi="Times New Roman" w:cs="Times New Roman"/>
          <w:color w:val="000000"/>
          <w:sz w:val="24"/>
          <w:szCs w:val="24"/>
        </w:rPr>
        <w:t>Pelalawan</w:t>
      </w:r>
      <w:proofErr w:type="spellEnd"/>
      <w:r>
        <w:rPr>
          <w:rFonts w:ascii="Times New Roman" w:eastAsia="Times New Roman" w:hAnsi="Times New Roman" w:cs="Times New Roman"/>
          <w:color w:val="000000"/>
          <w:sz w:val="24"/>
          <w:szCs w:val="24"/>
        </w:rPr>
        <w:t xml:space="preserve"> District recommended an increase 2% but the Governor approved an increase of 0,94%; The wage council in </w:t>
      </w:r>
      <w:proofErr w:type="spellStart"/>
      <w:r>
        <w:rPr>
          <w:rFonts w:ascii="Times New Roman" w:eastAsia="Times New Roman" w:hAnsi="Times New Roman" w:cs="Times New Roman"/>
          <w:color w:val="000000"/>
          <w:sz w:val="24"/>
          <w:szCs w:val="24"/>
        </w:rPr>
        <w:t>Rokan</w:t>
      </w:r>
      <w:proofErr w:type="spellEnd"/>
      <w:r>
        <w:rPr>
          <w:rFonts w:ascii="Times New Roman" w:eastAsia="Times New Roman" w:hAnsi="Times New Roman" w:cs="Times New Roman"/>
          <w:color w:val="000000"/>
          <w:sz w:val="24"/>
          <w:szCs w:val="24"/>
        </w:rPr>
        <w:t xml:space="preserve"> Hulu </w:t>
      </w:r>
      <w:r w:rsidR="003B23F3">
        <w:rPr>
          <w:rFonts w:ascii="Times New Roman" w:eastAsia="Times New Roman" w:hAnsi="Times New Roman" w:cs="Times New Roman"/>
          <w:color w:val="000000"/>
          <w:sz w:val="24"/>
          <w:szCs w:val="24"/>
        </w:rPr>
        <w:t xml:space="preserve">district </w:t>
      </w:r>
      <w:r>
        <w:rPr>
          <w:rFonts w:ascii="Times New Roman" w:eastAsia="Times New Roman" w:hAnsi="Times New Roman" w:cs="Times New Roman"/>
          <w:color w:val="000000"/>
          <w:sz w:val="24"/>
          <w:szCs w:val="24"/>
        </w:rPr>
        <w:t xml:space="preserve">recommended an increase 1,73% but the Governor approved an increase of 0,88%; and the wage council in </w:t>
      </w:r>
      <w:proofErr w:type="spellStart"/>
      <w:r>
        <w:rPr>
          <w:rFonts w:ascii="Times New Roman" w:eastAsia="Times New Roman" w:hAnsi="Times New Roman" w:cs="Times New Roman"/>
          <w:color w:val="000000"/>
          <w:sz w:val="24"/>
          <w:szCs w:val="24"/>
        </w:rPr>
        <w:t>Siak</w:t>
      </w:r>
      <w:proofErr w:type="spellEnd"/>
      <w:r>
        <w:rPr>
          <w:rFonts w:ascii="Times New Roman" w:eastAsia="Times New Roman" w:hAnsi="Times New Roman" w:cs="Times New Roman"/>
          <w:color w:val="000000"/>
          <w:sz w:val="24"/>
          <w:szCs w:val="24"/>
        </w:rPr>
        <w:t xml:space="preserve"> </w:t>
      </w:r>
      <w:r w:rsidR="003B23F3">
        <w:rPr>
          <w:rFonts w:ascii="Times New Roman" w:eastAsia="Times New Roman" w:hAnsi="Times New Roman" w:cs="Times New Roman"/>
          <w:color w:val="000000"/>
          <w:sz w:val="24"/>
          <w:szCs w:val="24"/>
        </w:rPr>
        <w:t xml:space="preserve">district </w:t>
      </w:r>
      <w:r>
        <w:rPr>
          <w:rFonts w:ascii="Times New Roman" w:eastAsia="Times New Roman" w:hAnsi="Times New Roman" w:cs="Times New Roman"/>
          <w:color w:val="000000"/>
          <w:sz w:val="24"/>
          <w:szCs w:val="24"/>
        </w:rPr>
        <w:t xml:space="preserve">recommended an increase 1,96% but the Governor approved an increase of 1,07%. </w:t>
      </w:r>
    </w:p>
    <w:p w14:paraId="00000027" w14:textId="77777777" w:rsidR="00824EE8" w:rsidRDefault="00824EE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0000028" w14:textId="77777777" w:rsidR="00824EE8" w:rsidRDefault="00794C52">
      <w:pPr>
        <w:numPr>
          <w:ilvl w:val="1"/>
          <w:numId w:val="3"/>
        </w:numPr>
        <w:pBdr>
          <w:top w:val="nil"/>
          <w:left w:val="nil"/>
          <w:bottom w:val="nil"/>
          <w:right w:val="nil"/>
          <w:between w:val="nil"/>
        </w:pBdr>
        <w:spacing w:after="0" w:line="240" w:lineRule="auto"/>
        <w:ind w:left="357" w:hanging="35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Erasing Decent Standards of Living in Determining Minimum Wage</w:t>
      </w:r>
    </w:p>
    <w:p w14:paraId="00000029" w14:textId="77777777" w:rsidR="00824EE8" w:rsidRDefault="00824EE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000002A" w14:textId="418BAAFD" w:rsidR="00824EE8" w:rsidRDefault="00794C5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International labor standards always give emphasis on the calculation of the needs of workers and their family as the basis in determining minimum wage (ILO C 131 Art. 3; G</w:t>
      </w:r>
      <w:r w:rsidR="00DE10D6">
        <w:rPr>
          <w:rFonts w:ascii="Times New Roman" w:eastAsia="Times New Roman" w:hAnsi="Times New Roman" w:cs="Times New Roman"/>
          <w:color w:val="000000"/>
          <w:sz w:val="24"/>
          <w:szCs w:val="24"/>
        </w:rPr>
        <w:t xml:space="preserve">eneral </w:t>
      </w:r>
      <w:r>
        <w:rPr>
          <w:rFonts w:ascii="Times New Roman" w:eastAsia="Times New Roman" w:hAnsi="Times New Roman" w:cs="Times New Roman"/>
          <w:color w:val="000000"/>
          <w:sz w:val="24"/>
          <w:szCs w:val="24"/>
        </w:rPr>
        <w:t>C</w:t>
      </w:r>
      <w:r w:rsidR="00DE10D6">
        <w:rPr>
          <w:rFonts w:ascii="Times New Roman" w:eastAsia="Times New Roman" w:hAnsi="Times New Roman" w:cs="Times New Roman"/>
          <w:color w:val="000000"/>
          <w:sz w:val="24"/>
          <w:szCs w:val="24"/>
        </w:rPr>
        <w:t>omment</w:t>
      </w:r>
      <w:r>
        <w:rPr>
          <w:rFonts w:ascii="Times New Roman" w:eastAsia="Times New Roman" w:hAnsi="Times New Roman" w:cs="Times New Roman"/>
          <w:color w:val="000000"/>
          <w:sz w:val="24"/>
          <w:szCs w:val="24"/>
        </w:rPr>
        <w:t xml:space="preserve"> 23 Para. 18, 19 &amp; 22). The calculation will provide a valid ground to protect and promote decent living for the workers and their families. In the previous law and policies, which were the Employment Law and Government Regulation 78 of 2015 on Wages, that calculation was essential and negotiated periodically in the minimum wage councils. Decent Standards of Living, as it was called, was the main reference for minimum wage fixing. Yet, in the Job Creation Law it is now eliminated. According to law, minimum wage is to be formulated based on economic and employment conditions provided by authorized institutions in the field of statistics. The economic and employment conditions are composed of economic growth, inflation, purchasing power parity, labor absorption rate, and wage median. While such aggregate economic and employment data is important as a source of calculating minimum wage, they cannot substitute for the calculation of Decent Standards of Living as this calculation reflects more accurately the needs of workers and their families.</w:t>
      </w:r>
    </w:p>
    <w:p w14:paraId="0000002B" w14:textId="77777777" w:rsidR="00824EE8" w:rsidRDefault="00824EE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2C" w14:textId="77777777" w:rsidR="00824EE8" w:rsidRDefault="00824EE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2D" w14:textId="77777777" w:rsidR="00824EE8" w:rsidRDefault="00794C52">
      <w:pPr>
        <w:numPr>
          <w:ilvl w:val="1"/>
          <w:numId w:val="3"/>
        </w:numPr>
        <w:pBdr>
          <w:top w:val="nil"/>
          <w:left w:val="nil"/>
          <w:bottom w:val="nil"/>
          <w:right w:val="nil"/>
          <w:between w:val="nil"/>
        </w:pBdr>
        <w:spacing w:before="80" w:after="0" w:line="240" w:lineRule="auto"/>
        <w:ind w:left="357" w:hanging="35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Excluding Workers in MSME from Minimum Wage Provisions Without Justifications</w:t>
      </w:r>
    </w:p>
    <w:p w14:paraId="0000002E" w14:textId="77777777" w:rsidR="00824EE8" w:rsidRDefault="00824EE8">
      <w:pPr>
        <w:pBdr>
          <w:top w:val="nil"/>
          <w:left w:val="nil"/>
          <w:bottom w:val="nil"/>
          <w:right w:val="nil"/>
          <w:between w:val="nil"/>
        </w:pBdr>
        <w:spacing w:before="80" w:after="0" w:line="240" w:lineRule="auto"/>
        <w:jc w:val="both"/>
        <w:rPr>
          <w:rFonts w:ascii="Times New Roman" w:eastAsia="Times New Roman" w:hAnsi="Times New Roman" w:cs="Times New Roman"/>
          <w:color w:val="000000"/>
          <w:sz w:val="24"/>
          <w:szCs w:val="24"/>
        </w:rPr>
      </w:pPr>
    </w:p>
    <w:p w14:paraId="0000002F" w14:textId="77777777" w:rsidR="00824EE8" w:rsidRDefault="00794C52">
      <w:pPr>
        <w:numPr>
          <w:ilvl w:val="0"/>
          <w:numId w:val="1"/>
        </w:numPr>
        <w:pBdr>
          <w:top w:val="nil"/>
          <w:left w:val="nil"/>
          <w:bottom w:val="nil"/>
          <w:right w:val="nil"/>
          <w:between w:val="nil"/>
        </w:pBdr>
        <w:spacing w:before="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exclusion of certain groups of workers from minimum wage is possible, such a decision must be made in agreement or after full consultations with representative organizations of employers and workers (ILO C 131 Art.1(2)). This is not the case with Job Creation Law. As described above, from the beginning the drafting process deliberately avoided consultation and participation. For workers in the MSME, the law hands over the decision on wage determination to an agreement between the employers and the workers, but with a requirement that the wages are not lower than 50% of the average level of public consumption at the provincial level, and the value is not lower than 25% of the poverty line at the provincial level. This means that the law allows workers in the MSME, whose number in 2018 according to the Central Statistical Bureau was 117 million or 97% of the workforce, to be paid less than the minimum wage for the rest of their life.</w:t>
      </w:r>
    </w:p>
    <w:p w14:paraId="00000030" w14:textId="77777777" w:rsidR="00824EE8" w:rsidRDefault="00824EE8">
      <w:pPr>
        <w:jc w:val="both"/>
        <w:rPr>
          <w:rFonts w:ascii="Times New Roman" w:eastAsia="Times New Roman" w:hAnsi="Times New Roman" w:cs="Times New Roman"/>
          <w:sz w:val="24"/>
          <w:szCs w:val="24"/>
        </w:rPr>
      </w:pPr>
    </w:p>
    <w:p w14:paraId="00000031" w14:textId="77777777" w:rsidR="00824EE8" w:rsidRDefault="00794C52">
      <w:p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Violations of Labor Standards Regarding Working Hours and Overtime</w:t>
      </w:r>
    </w:p>
    <w:p w14:paraId="00000032" w14:textId="77777777" w:rsidR="00824EE8" w:rsidRDefault="00794C52">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Job Creation Law increases the limit of overtime. Previously, in the Employment Law the limit was 3 hours per day and 14 hours per week, but now in the Job Creation Law the limit is 4 hours per day and 18 hours per week, excluding overtime on weekly rest days and official holidays. With such extension, workers could work 58 days per week (40 working hours per week + </w:t>
      </w:r>
      <w:r>
        <w:rPr>
          <w:rFonts w:ascii="Times New Roman" w:eastAsia="Times New Roman" w:hAnsi="Times New Roman" w:cs="Times New Roman"/>
          <w:color w:val="000000"/>
          <w:sz w:val="24"/>
          <w:szCs w:val="24"/>
        </w:rPr>
        <w:lastRenderedPageBreak/>
        <w:t>18 hours over time), or even more if they are asked to work during weekly rest days or holidays. This new provision on overtime clearly violates the limit of working hours in the labor standards. At the same time, the new provision potentially violates the right to 24 hours of weekly rest. It is very ironic because instead of reducing, the law actually increases working hours. Many studies have shown that long working hours have a severe impact on the well-being of workers. Even according to official data, in Indonesia itself the number of work accidents which are partly caused by long working hours increases significantly; in 2019 the number was 114,000 cases while in 2020 was 177,000 cases (</w:t>
      </w:r>
      <w:proofErr w:type="spellStart"/>
      <w:r w:rsidRPr="00DE10D6">
        <w:rPr>
          <w:rFonts w:ascii="Times New Roman" w:eastAsia="Times New Roman" w:hAnsi="Times New Roman" w:cs="Times New Roman"/>
          <w:i/>
          <w:iCs/>
          <w:color w:val="000000"/>
          <w:sz w:val="24"/>
          <w:szCs w:val="24"/>
        </w:rPr>
        <w:t>Liputan</w:t>
      </w:r>
      <w:proofErr w:type="spellEnd"/>
      <w:r w:rsidRPr="00DE10D6">
        <w:rPr>
          <w:rFonts w:ascii="Times New Roman" w:eastAsia="Times New Roman" w:hAnsi="Times New Roman" w:cs="Times New Roman"/>
          <w:i/>
          <w:iCs/>
          <w:color w:val="000000"/>
          <w:sz w:val="24"/>
          <w:szCs w:val="24"/>
        </w:rPr>
        <w:t xml:space="preserve"> 6</w:t>
      </w:r>
      <w:r>
        <w:rPr>
          <w:rFonts w:ascii="Times New Roman" w:eastAsia="Times New Roman" w:hAnsi="Times New Roman" w:cs="Times New Roman"/>
          <w:color w:val="000000"/>
          <w:sz w:val="24"/>
          <w:szCs w:val="24"/>
        </w:rPr>
        <w:t>, January 12, 2021).</w:t>
      </w:r>
    </w:p>
    <w:p w14:paraId="00000033" w14:textId="77777777" w:rsidR="00824EE8" w:rsidRDefault="00824EE8">
      <w:pPr>
        <w:spacing w:after="0" w:line="240" w:lineRule="auto"/>
        <w:jc w:val="both"/>
        <w:rPr>
          <w:rFonts w:ascii="Times New Roman" w:eastAsia="Times New Roman" w:hAnsi="Times New Roman" w:cs="Times New Roman"/>
          <w:color w:val="000000"/>
          <w:sz w:val="24"/>
          <w:szCs w:val="24"/>
        </w:rPr>
      </w:pPr>
    </w:p>
    <w:p w14:paraId="00000034" w14:textId="77777777" w:rsidR="00824EE8" w:rsidRDefault="00824EE8">
      <w:pPr>
        <w:spacing w:after="0" w:line="240" w:lineRule="auto"/>
        <w:jc w:val="both"/>
        <w:rPr>
          <w:rFonts w:ascii="Times New Roman" w:eastAsia="Times New Roman" w:hAnsi="Times New Roman" w:cs="Times New Roman"/>
          <w:color w:val="000000"/>
          <w:sz w:val="24"/>
          <w:szCs w:val="24"/>
        </w:rPr>
      </w:pPr>
    </w:p>
    <w:p w14:paraId="00000035" w14:textId="77777777" w:rsidR="00824EE8" w:rsidRDefault="00794C52">
      <w:p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Violations of Labor Standards Regarding Termination of Employment</w:t>
      </w:r>
    </w:p>
    <w:p w14:paraId="00000036" w14:textId="6D054DB1"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Job Creation removes the opportunity of workers to defend themselves prior to or at a time of termination (ILO C158 Art.7). In the Employment Law, if an employer intends to dismiss a worker, the intention must be discussed and agreed beforehand by the worker or the union representing him/her. If no agreement is reached, the employer must request for a determination from the dispute settlement institution, who will check whether the dismissal is based on a valid reason or not. Termination can only be done if the court determination is given. In Job Creation Law, the opportunity of the worker to defend himself or herself before termination is removed. Consequently, employers can dismiss their workers unilaterally and </w:t>
      </w:r>
      <w:r>
        <w:rPr>
          <w:rFonts w:ascii="Times New Roman" w:eastAsia="Times New Roman" w:hAnsi="Times New Roman" w:cs="Times New Roman"/>
          <w:sz w:val="24"/>
          <w:szCs w:val="24"/>
        </w:rPr>
        <w:t>notify in written the</w:t>
      </w:r>
      <w:r>
        <w:rPr>
          <w:rFonts w:ascii="Times New Roman" w:eastAsia="Times New Roman" w:hAnsi="Times New Roman" w:cs="Times New Roman"/>
          <w:color w:val="000000"/>
          <w:sz w:val="24"/>
          <w:szCs w:val="24"/>
        </w:rPr>
        <w:t xml:space="preserve"> workers at least 14 working days before the termination is effective. This is </w:t>
      </w:r>
      <w:r>
        <w:rPr>
          <w:rFonts w:ascii="Times New Roman" w:eastAsia="Times New Roman" w:hAnsi="Times New Roman" w:cs="Times New Roman"/>
          <w:sz w:val="24"/>
          <w:szCs w:val="24"/>
        </w:rPr>
        <w:t xml:space="preserve">in </w:t>
      </w:r>
      <w:r w:rsidR="00ED2C91">
        <w:rPr>
          <w:rFonts w:ascii="Times New Roman" w:eastAsia="Times New Roman" w:hAnsi="Times New Roman" w:cs="Times New Roman"/>
          <w:sz w:val="24"/>
          <w:szCs w:val="24"/>
        </w:rPr>
        <w:t xml:space="preserve">the opposite </w:t>
      </w:r>
      <w:r>
        <w:rPr>
          <w:rFonts w:ascii="Times New Roman" w:eastAsia="Times New Roman" w:hAnsi="Times New Roman" w:cs="Times New Roman"/>
          <w:color w:val="000000"/>
          <w:sz w:val="24"/>
          <w:szCs w:val="24"/>
        </w:rPr>
        <w:t xml:space="preserve">to the claim made by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in the report to the Committee that says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prohibits employers </w:t>
      </w:r>
      <w:r>
        <w:rPr>
          <w:rFonts w:ascii="Times New Roman" w:eastAsia="Times New Roman" w:hAnsi="Times New Roman" w:cs="Times New Roman"/>
          <w:sz w:val="24"/>
          <w:szCs w:val="24"/>
        </w:rPr>
        <w:t>from terminating</w:t>
      </w:r>
      <w:r>
        <w:rPr>
          <w:rFonts w:ascii="Times New Roman" w:eastAsia="Times New Roman" w:hAnsi="Times New Roman" w:cs="Times New Roman"/>
          <w:color w:val="000000"/>
          <w:sz w:val="24"/>
          <w:szCs w:val="24"/>
        </w:rPr>
        <w:t xml:space="preserve"> their workers unilaterally, and promotes mutual agreement (Para. 83).</w:t>
      </w:r>
    </w:p>
    <w:p w14:paraId="00000037"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38"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 consequence of this new procedure is that the requirement for obtaining court determination from the Industrial Relations Court is not needed anymore. The implication is that the burden of proving the existence of valid reason for the termination shall rest on the dismissed worker rather than on the employer as before. For dismissed workers, following such a long and expensive judicial process is definitely not easy. Therefore, this new provision will trigger massive unlawful dismissal in the future, and put workers in a highly vulnerable position.</w:t>
      </w:r>
    </w:p>
    <w:p w14:paraId="00000039"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3A" w14:textId="77777777"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In addition to that, in Government</w:t>
      </w:r>
      <w:r>
        <w:rPr>
          <w:rFonts w:ascii="Times New Roman" w:eastAsia="Times New Roman" w:hAnsi="Times New Roman" w:cs="Times New Roman"/>
          <w:color w:val="222222"/>
          <w:sz w:val="24"/>
          <w:szCs w:val="24"/>
          <w:highlight w:val="white"/>
        </w:rPr>
        <w:t xml:space="preserve"> Regulation 35/2021 on Specified Time Work Agreement, Outsourcing, Working Hour and Rest, and Termination of Work</w:t>
      </w:r>
      <w:r>
        <w:rPr>
          <w:rFonts w:ascii="Times New Roman" w:eastAsia="Times New Roman" w:hAnsi="Times New Roman" w:cs="Times New Roman"/>
          <w:color w:val="222222"/>
          <w:sz w:val="24"/>
          <w:szCs w:val="24"/>
        </w:rPr>
        <w:t>, which is one of the implementing regulations of Job Creation Law, employers can dismiss workers due to efficiency measures for preventing loss (Art. 43:2). The phrase ‘preventing loss’ creates serious job insecurity because workers can be dismissed anytime in the name of preventing loss, without the employers having to prove whether the company is really loss or not.</w:t>
      </w:r>
    </w:p>
    <w:p w14:paraId="0000003B" w14:textId="77777777" w:rsidR="00824EE8" w:rsidRDefault="00824EE8">
      <w:pPr>
        <w:spacing w:after="0"/>
        <w:jc w:val="both"/>
        <w:rPr>
          <w:rFonts w:ascii="Times New Roman" w:eastAsia="Times New Roman" w:hAnsi="Times New Roman" w:cs="Times New Roman"/>
          <w:sz w:val="24"/>
          <w:szCs w:val="24"/>
        </w:rPr>
      </w:pPr>
    </w:p>
    <w:p w14:paraId="0000003C" w14:textId="77777777" w:rsidR="00824EE8" w:rsidRDefault="00794C52">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Violations of Labor Standards Regarding Outsourcing</w:t>
      </w:r>
    </w:p>
    <w:p w14:paraId="0000003D"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Employment Law, the use of outsourced workers is limited to only 5 non-core businesses. Thus, it was illegal to recruit outsourced workers in main activities or any activities related directly to the production process. The aim of this provision is to protect job security of workers as well as other rights such as freedom of association, collective bargaining, decent living wage and other benefits. However, in the Job Creation Law the restriction is removed. Outsourcing can be applied to any position in a company, whether it is core business or non-core business. Therefore, the use of outsourced workers is fully expanded. This provision violates international labor standards because it deliberately ignores the consultation process. As regulated in the ILO C 181, the government must conduct consultation with representative organizations of employers and workers in defining types of jobs that can and cannot use outsourced workers. Such consultation, as well as the law drafting as a whole, was obviously absent. No unions were informed or involved by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the House when drafting this provision. In fact, protests from the unions on this provision since it was introduced have been completely ignored by them.</w:t>
      </w:r>
    </w:p>
    <w:p w14:paraId="0000003E"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3F" w14:textId="281AD2D8" w:rsidR="00824EE8" w:rsidRDefault="00794C52">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addition to that, the expansion of the use of outsourcing will likely to deteriorate further working conditions. Even under the Employment Law where outsourcing was limited to only 5 non-core businesses, many companies could illegally recruit outsourced workers to core business positions in huge numbers. In most cases, the outsourced workers were paid less than the minimum wage, forced to work overtime, and not eligible for many benefits. Moreover, they were discouraged to join unions or bargain collectively because they were afraid that their contract would not be renewed or replaced by other outsourced workers. Therefore, with the expansion of outsourcing, more and more workers will not be able to enjoy just and favorable conditions of work. This is in contradiction with the ICESCR Art. 6 which states that specific measures to increase the flexibility of labor markets must not render work less stable or reduce the social protection of the worker (G</w:t>
      </w:r>
      <w:r w:rsidR="007846C2">
        <w:rPr>
          <w:rFonts w:ascii="Times New Roman" w:eastAsia="Times New Roman" w:hAnsi="Times New Roman" w:cs="Times New Roman"/>
          <w:color w:val="000000"/>
          <w:sz w:val="24"/>
          <w:szCs w:val="24"/>
        </w:rPr>
        <w:t xml:space="preserve">eneral </w:t>
      </w:r>
      <w:r>
        <w:rPr>
          <w:rFonts w:ascii="Times New Roman" w:eastAsia="Times New Roman" w:hAnsi="Times New Roman" w:cs="Times New Roman"/>
          <w:color w:val="000000"/>
          <w:sz w:val="24"/>
          <w:szCs w:val="24"/>
        </w:rPr>
        <w:t>C</w:t>
      </w:r>
      <w:r w:rsidR="007846C2">
        <w:rPr>
          <w:rFonts w:ascii="Times New Roman" w:eastAsia="Times New Roman" w:hAnsi="Times New Roman" w:cs="Times New Roman"/>
          <w:color w:val="000000"/>
          <w:sz w:val="24"/>
          <w:szCs w:val="24"/>
        </w:rPr>
        <w:t>omment</w:t>
      </w:r>
      <w:r>
        <w:rPr>
          <w:rFonts w:ascii="Times New Roman" w:eastAsia="Times New Roman" w:hAnsi="Times New Roman" w:cs="Times New Roman"/>
          <w:color w:val="000000"/>
          <w:sz w:val="24"/>
          <w:szCs w:val="24"/>
        </w:rPr>
        <w:t xml:space="preserve"> 18 Para. 25).</w:t>
      </w:r>
    </w:p>
    <w:p w14:paraId="00000040" w14:textId="77777777" w:rsidR="00824EE8" w:rsidRDefault="00824EE8">
      <w:pPr>
        <w:jc w:val="both"/>
        <w:rPr>
          <w:rFonts w:ascii="Times New Roman" w:eastAsia="Times New Roman" w:hAnsi="Times New Roman" w:cs="Times New Roman"/>
          <w:sz w:val="24"/>
          <w:szCs w:val="24"/>
        </w:rPr>
      </w:pPr>
    </w:p>
    <w:p w14:paraId="00000041" w14:textId="77777777" w:rsidR="00824EE8" w:rsidRDefault="00794C52">
      <w:pPr>
        <w:ind w:left="360" w:hanging="360"/>
        <w:jc w:val="both"/>
        <w:rPr>
          <w:rFonts w:ascii="Times New Roman" w:eastAsia="Times New Roman" w:hAnsi="Times New Roman" w:cs="Times New Roman"/>
          <w:b/>
          <w:smallCaps/>
          <w:sz w:val="26"/>
          <w:szCs w:val="26"/>
        </w:rPr>
      </w:pPr>
      <w:r>
        <w:rPr>
          <w:rFonts w:ascii="Times New Roman" w:eastAsia="Times New Roman" w:hAnsi="Times New Roman" w:cs="Times New Roman"/>
          <w:b/>
          <w:smallCaps/>
          <w:sz w:val="26"/>
          <w:szCs w:val="26"/>
        </w:rPr>
        <w:t>Recommendations</w:t>
      </w:r>
    </w:p>
    <w:p w14:paraId="00000042" w14:textId="77777777" w:rsidR="00824EE8" w:rsidRDefault="00794C5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Concerning the violations above, we recommend the Committee on Economic, Social and Cultural Rights (CESCR) to:</w:t>
      </w:r>
    </w:p>
    <w:p w14:paraId="00000043" w14:textId="77777777" w:rsidR="00824EE8" w:rsidRDefault="00824EE8">
      <w:pPr>
        <w:jc w:val="both"/>
        <w:rPr>
          <w:rFonts w:ascii="Times New Roman" w:eastAsia="Times New Roman" w:hAnsi="Times New Roman" w:cs="Times New Roman"/>
          <w:sz w:val="24"/>
          <w:szCs w:val="24"/>
        </w:rPr>
      </w:pPr>
    </w:p>
    <w:p w14:paraId="00000044"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Raise the questions as to why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the House of Representatives did not include any recommendations from the first review by the Committee during the legislation process of the Job Creation Law or from any provisions in the Covenant to ensure the promotion, protection and fulfillment of the economic, social and cultural rights for any affected people, including the workers;</w:t>
      </w:r>
    </w:p>
    <w:p w14:paraId="00000045" w14:textId="77777777" w:rsidR="00824EE8" w:rsidRDefault="00824E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46" w14:textId="77777777" w:rsidR="00824EE8" w:rsidRDefault="00794C52">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Ask the </w:t>
      </w:r>
      <w:proofErr w:type="spellStart"/>
      <w:r>
        <w:rPr>
          <w:rFonts w:ascii="Times New Roman" w:eastAsia="Times New Roman" w:hAnsi="Times New Roman" w:cs="Times New Roman"/>
          <w:color w:val="000000"/>
          <w:sz w:val="24"/>
          <w:szCs w:val="24"/>
        </w:rPr>
        <w:t>GoI</w:t>
      </w:r>
      <w:proofErr w:type="spellEnd"/>
      <w:r>
        <w:rPr>
          <w:rFonts w:ascii="Times New Roman" w:eastAsia="Times New Roman" w:hAnsi="Times New Roman" w:cs="Times New Roman"/>
          <w:color w:val="000000"/>
          <w:sz w:val="24"/>
          <w:szCs w:val="24"/>
        </w:rPr>
        <w:t xml:space="preserve"> and the House of Representatives to invite as many as possible representatives from the trade union or other civil society organizations in the amendment process of the Job Creation Law as mandated by the Constitutional Court in genuine and meaningful consultations;</w:t>
      </w:r>
    </w:p>
    <w:p w14:paraId="00000047" w14:textId="77777777" w:rsidR="00824EE8" w:rsidRDefault="00824EE8">
      <w:pPr>
        <w:spacing w:after="0"/>
        <w:ind w:left="720"/>
        <w:jc w:val="both"/>
        <w:rPr>
          <w:rFonts w:ascii="Times New Roman" w:eastAsia="Times New Roman" w:hAnsi="Times New Roman" w:cs="Times New Roman"/>
          <w:sz w:val="24"/>
          <w:szCs w:val="24"/>
        </w:rPr>
      </w:pPr>
    </w:p>
    <w:p w14:paraId="00000048" w14:textId="77777777" w:rsidR="00824EE8" w:rsidRDefault="00794C52">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Ask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and the House of Representatives to maintain the conditions of work that had been in place before the enactment of Job Creation Law, in particular related to issues of minimum wage fixing, overtime, termination of employment, outsourcing, severance pay and compensations;</w:t>
      </w:r>
    </w:p>
    <w:p w14:paraId="00000049" w14:textId="77777777" w:rsidR="00824EE8" w:rsidRDefault="00824EE8">
      <w:pPr>
        <w:spacing w:after="0"/>
        <w:ind w:left="720"/>
        <w:jc w:val="both"/>
        <w:rPr>
          <w:rFonts w:ascii="Times New Roman" w:eastAsia="Times New Roman" w:hAnsi="Times New Roman" w:cs="Times New Roman"/>
          <w:sz w:val="24"/>
          <w:szCs w:val="24"/>
        </w:rPr>
      </w:pPr>
    </w:p>
    <w:p w14:paraId="0000004A" w14:textId="77777777" w:rsidR="00824EE8" w:rsidRDefault="00794C52">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Ask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and the House of Representatives to earnestly restore the role of collective bargaining in minimum wage fixing and in dismissal procedures, as collective bargaining constitutes part of the fundamental labor standards;</w:t>
      </w:r>
    </w:p>
    <w:p w14:paraId="0000004B" w14:textId="77777777" w:rsidR="00824EE8" w:rsidRDefault="00824EE8">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4C" w14:textId="77777777" w:rsidR="00824EE8" w:rsidRDefault="00794C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Encourage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to develop benchmarks that are based on human rights standards to measure progress in the protection and fulfillment of the right to work and the right to the enjoyment of just and favorable conditions of work. Such benchmarks will be the guidance for labor reform in Indonesia from time to time.</w:t>
      </w:r>
    </w:p>
    <w:p w14:paraId="0000004D" w14:textId="77777777" w:rsidR="00824EE8" w:rsidRDefault="00824EE8">
      <w:pPr>
        <w:jc w:val="both"/>
        <w:rPr>
          <w:rFonts w:ascii="Times New Roman" w:eastAsia="Times New Roman" w:hAnsi="Times New Roman" w:cs="Times New Roman"/>
          <w:sz w:val="24"/>
          <w:szCs w:val="24"/>
        </w:rPr>
      </w:pPr>
    </w:p>
    <w:p w14:paraId="0000004E" w14:textId="77777777" w:rsidR="00824EE8" w:rsidRDefault="00794C52">
      <w:pPr>
        <w:jc w:val="both"/>
        <w:rPr>
          <w:rFonts w:ascii="Times New Roman" w:eastAsia="Times New Roman" w:hAnsi="Times New Roman" w:cs="Times New Roman"/>
          <w:b/>
          <w:smallCaps/>
          <w:sz w:val="26"/>
          <w:szCs w:val="26"/>
        </w:rPr>
      </w:pPr>
      <w:r>
        <w:rPr>
          <w:rFonts w:ascii="Times New Roman" w:eastAsia="Times New Roman" w:hAnsi="Times New Roman" w:cs="Times New Roman"/>
          <w:b/>
          <w:smallCaps/>
          <w:sz w:val="26"/>
          <w:szCs w:val="26"/>
        </w:rPr>
        <w:t>Closing Remarks</w:t>
      </w:r>
    </w:p>
    <w:p w14:paraId="0000004F" w14:textId="1FDD400A" w:rsidR="00824EE8" w:rsidRDefault="00794C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demonstrates that Job Creation Law, far from improving labor conditions in Indonesia as claimed in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report (Para 81), has deteriorated labor rights in Indonesia. Wages –which remain the most important means of survival for Indonesian workers–are kept low, collective bargaining in minimum wage fixing is significantly weakened, workers in the MSME are excluded from minimum wage, the limit of overtime is increased, the procedures of termination that protect workers from unlawful dismissal are removed, and the use of outsourcing is expanded. The law is clearly a retrogressive measure rather than a progressive realization.</w:t>
      </w:r>
    </w:p>
    <w:p w14:paraId="05EE82D9" w14:textId="77777777" w:rsidR="006C0074" w:rsidRDefault="006C0074" w:rsidP="006C0074">
      <w:pPr>
        <w:spacing w:after="0"/>
        <w:ind w:left="720"/>
        <w:jc w:val="both"/>
        <w:rPr>
          <w:rFonts w:ascii="Times New Roman" w:eastAsia="Times New Roman" w:hAnsi="Times New Roman" w:cs="Times New Roman"/>
          <w:sz w:val="24"/>
          <w:szCs w:val="24"/>
        </w:rPr>
      </w:pPr>
    </w:p>
    <w:p w14:paraId="00000051" w14:textId="28176FBA" w:rsidR="00824EE8" w:rsidRDefault="00794C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therefore ask the Committee to really pay attention to the employment cluster of Job Creation Law when responding to the </w:t>
      </w:r>
      <w:proofErr w:type="spellStart"/>
      <w:r>
        <w:rPr>
          <w:rFonts w:ascii="Times New Roman" w:eastAsia="Times New Roman" w:hAnsi="Times New Roman" w:cs="Times New Roman"/>
          <w:sz w:val="24"/>
          <w:szCs w:val="24"/>
        </w:rPr>
        <w:t>GoI’s</w:t>
      </w:r>
      <w:proofErr w:type="spellEnd"/>
      <w:r>
        <w:rPr>
          <w:rFonts w:ascii="Times New Roman" w:eastAsia="Times New Roman" w:hAnsi="Times New Roman" w:cs="Times New Roman"/>
          <w:sz w:val="24"/>
          <w:szCs w:val="24"/>
        </w:rPr>
        <w:t xml:space="preserve"> second periodic report. Especially because the new provisions are still implemented, due to </w:t>
      </w:r>
      <w:r>
        <w:rPr>
          <w:rFonts w:ascii="Times New Roman" w:eastAsia="Times New Roman" w:hAnsi="Times New Roman" w:cs="Times New Roman"/>
          <w:sz w:val="24"/>
          <w:szCs w:val="24"/>
        </w:rPr>
        <w:lastRenderedPageBreak/>
        <w:t xml:space="preserve">the ambiguity of the Constitutional Court’s rule, and the </w:t>
      </w:r>
      <w:proofErr w:type="spellStart"/>
      <w:r>
        <w:rPr>
          <w:rFonts w:ascii="Times New Roman" w:eastAsia="Times New Roman" w:hAnsi="Times New Roman" w:cs="Times New Roman"/>
          <w:sz w:val="24"/>
          <w:szCs w:val="24"/>
        </w:rPr>
        <w:t>GoI</w:t>
      </w:r>
      <w:proofErr w:type="spellEnd"/>
      <w:r>
        <w:rPr>
          <w:rFonts w:ascii="Times New Roman" w:eastAsia="Times New Roman" w:hAnsi="Times New Roman" w:cs="Times New Roman"/>
          <w:sz w:val="24"/>
          <w:szCs w:val="24"/>
        </w:rPr>
        <w:t xml:space="preserve"> until now persistently maintains the law.</w:t>
      </w:r>
    </w:p>
    <w:p w14:paraId="26260272" w14:textId="1AEFCBA8" w:rsidR="007846C2" w:rsidRDefault="007846C2" w:rsidP="007846C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C64B9F4" w14:textId="77777777" w:rsidR="007846C2" w:rsidRDefault="007846C2" w:rsidP="007846C2">
      <w:pPr>
        <w:jc w:val="center"/>
        <w:rPr>
          <w:rFonts w:ascii="Times New Roman" w:eastAsia="Times New Roman" w:hAnsi="Times New Roman" w:cs="Times New Roman"/>
          <w:sz w:val="24"/>
          <w:szCs w:val="24"/>
        </w:rPr>
      </w:pPr>
    </w:p>
    <w:p w14:paraId="00000052" w14:textId="77777777" w:rsidR="00824EE8" w:rsidRDefault="00824EE8">
      <w:pPr>
        <w:jc w:val="both"/>
        <w:rPr>
          <w:rFonts w:ascii="Times New Roman" w:eastAsia="Times New Roman" w:hAnsi="Times New Roman" w:cs="Times New Roman"/>
          <w:sz w:val="24"/>
          <w:szCs w:val="24"/>
        </w:rPr>
      </w:pPr>
    </w:p>
    <w:sectPr w:rsidR="00824EE8" w:rsidSect="003C24F4">
      <w:pgSz w:w="11906" w:h="16838"/>
      <w:pgMar w:top="1440" w:right="1440" w:bottom="1440" w:left="1440" w:header="708" w:footer="708"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37B3"/>
    <w:multiLevelType w:val="multilevel"/>
    <w:tmpl w:val="2EBAE5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3B24574"/>
    <w:multiLevelType w:val="multilevel"/>
    <w:tmpl w:val="5B9E2606"/>
    <w:lvl w:ilvl="0">
      <w:start w:val="1"/>
      <w:numFmt w:val="bullet"/>
      <w:lvlText w:val=""/>
      <w:lvlJc w:val="left"/>
      <w:pPr>
        <w:ind w:left="1440" w:hanging="360"/>
      </w:pPr>
      <w:rPr>
        <w:rFonts w:ascii="Wingdings" w:hAnsi="Wingding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5F742F0C"/>
    <w:multiLevelType w:val="hybridMultilevel"/>
    <w:tmpl w:val="CEBC8F3C"/>
    <w:lvl w:ilvl="0" w:tplc="3809000F">
      <w:start w:val="1"/>
      <w:numFmt w:val="decimal"/>
      <w:lvlText w:val="%1."/>
      <w:lvlJc w:val="left"/>
      <w:pPr>
        <w:ind w:left="3240" w:hanging="360"/>
      </w:pPr>
      <w:rPr>
        <w:rFonts w:hint="default"/>
      </w:rPr>
    </w:lvl>
    <w:lvl w:ilvl="1" w:tplc="38090019" w:tentative="1">
      <w:start w:val="1"/>
      <w:numFmt w:val="lowerLetter"/>
      <w:lvlText w:val="%2."/>
      <w:lvlJc w:val="left"/>
      <w:pPr>
        <w:ind w:left="3960" w:hanging="360"/>
      </w:pPr>
    </w:lvl>
    <w:lvl w:ilvl="2" w:tplc="3809001B" w:tentative="1">
      <w:start w:val="1"/>
      <w:numFmt w:val="lowerRoman"/>
      <w:lvlText w:val="%3."/>
      <w:lvlJc w:val="right"/>
      <w:pPr>
        <w:ind w:left="4680" w:hanging="180"/>
      </w:pPr>
    </w:lvl>
    <w:lvl w:ilvl="3" w:tplc="3809000F" w:tentative="1">
      <w:start w:val="1"/>
      <w:numFmt w:val="decimal"/>
      <w:lvlText w:val="%4."/>
      <w:lvlJc w:val="left"/>
      <w:pPr>
        <w:ind w:left="5400" w:hanging="360"/>
      </w:pPr>
    </w:lvl>
    <w:lvl w:ilvl="4" w:tplc="38090019" w:tentative="1">
      <w:start w:val="1"/>
      <w:numFmt w:val="lowerLetter"/>
      <w:lvlText w:val="%5."/>
      <w:lvlJc w:val="left"/>
      <w:pPr>
        <w:ind w:left="6120" w:hanging="360"/>
      </w:pPr>
    </w:lvl>
    <w:lvl w:ilvl="5" w:tplc="3809001B" w:tentative="1">
      <w:start w:val="1"/>
      <w:numFmt w:val="lowerRoman"/>
      <w:lvlText w:val="%6."/>
      <w:lvlJc w:val="right"/>
      <w:pPr>
        <w:ind w:left="6840" w:hanging="180"/>
      </w:pPr>
    </w:lvl>
    <w:lvl w:ilvl="6" w:tplc="3809000F" w:tentative="1">
      <w:start w:val="1"/>
      <w:numFmt w:val="decimal"/>
      <w:lvlText w:val="%7."/>
      <w:lvlJc w:val="left"/>
      <w:pPr>
        <w:ind w:left="7560" w:hanging="360"/>
      </w:pPr>
    </w:lvl>
    <w:lvl w:ilvl="7" w:tplc="38090019" w:tentative="1">
      <w:start w:val="1"/>
      <w:numFmt w:val="lowerLetter"/>
      <w:lvlText w:val="%8."/>
      <w:lvlJc w:val="left"/>
      <w:pPr>
        <w:ind w:left="8280" w:hanging="360"/>
      </w:pPr>
    </w:lvl>
    <w:lvl w:ilvl="8" w:tplc="3809001B" w:tentative="1">
      <w:start w:val="1"/>
      <w:numFmt w:val="lowerRoman"/>
      <w:lvlText w:val="%9."/>
      <w:lvlJc w:val="right"/>
      <w:pPr>
        <w:ind w:left="9000" w:hanging="180"/>
      </w:pPr>
    </w:lvl>
  </w:abstractNum>
  <w:abstractNum w:abstractNumId="3" w15:restartNumberingAfterBreak="0">
    <w:nsid w:val="695828BB"/>
    <w:multiLevelType w:val="multilevel"/>
    <w:tmpl w:val="7844686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5217BC"/>
    <w:multiLevelType w:val="multilevel"/>
    <w:tmpl w:val="6E88B4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E55931"/>
    <w:multiLevelType w:val="multilevel"/>
    <w:tmpl w:val="DCA653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E8"/>
    <w:rsid w:val="00010C9C"/>
    <w:rsid w:val="001C1D9B"/>
    <w:rsid w:val="00291C9E"/>
    <w:rsid w:val="00317977"/>
    <w:rsid w:val="003B23F3"/>
    <w:rsid w:val="003C24F4"/>
    <w:rsid w:val="005F7AF1"/>
    <w:rsid w:val="006C0074"/>
    <w:rsid w:val="007846C2"/>
    <w:rsid w:val="00794C52"/>
    <w:rsid w:val="00824EE8"/>
    <w:rsid w:val="009A22D0"/>
    <w:rsid w:val="00BC3539"/>
    <w:rsid w:val="00C41292"/>
    <w:rsid w:val="00DE10D6"/>
    <w:rsid w:val="00DF2BA8"/>
    <w:rsid w:val="00DF484F"/>
    <w:rsid w:val="00ED2C91"/>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31A4"/>
  <w15:docId w15:val="{B1DFEDF6-D851-41D8-A830-52CDF8ABA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F5196"/>
    <w:pPr>
      <w:ind w:left="720"/>
      <w:contextualSpacing/>
    </w:pPr>
  </w:style>
  <w:style w:type="paragraph" w:styleId="NormalWeb">
    <w:name w:val="Normal (Web)"/>
    <w:basedOn w:val="Normal"/>
    <w:uiPriority w:val="99"/>
    <w:semiHidden/>
    <w:unhideWhenUsed/>
    <w:rsid w:val="00F95F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52D2"/>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F149EE"/>
    <w:pPr>
      <w:spacing w:after="0" w:line="240" w:lineRule="auto"/>
    </w:pPr>
    <w:rPr>
      <w:rFonts w:asciiTheme="minorHAnsi" w:eastAsiaTheme="minorHAnsi" w:hAnsiTheme="minorHAnsi" w:cstheme="minorBidi"/>
      <w:sz w:val="20"/>
      <w:szCs w:val="20"/>
      <w:lang w:val="en-ID" w:eastAsia="en-US"/>
    </w:rPr>
  </w:style>
  <w:style w:type="character" w:customStyle="1" w:styleId="FootnoteTextChar">
    <w:name w:val="Footnote Text Char"/>
    <w:basedOn w:val="DefaultParagraphFont"/>
    <w:link w:val="FootnoteText"/>
    <w:uiPriority w:val="99"/>
    <w:semiHidden/>
    <w:rsid w:val="00F149EE"/>
    <w:rPr>
      <w:rFonts w:asciiTheme="minorHAnsi" w:eastAsiaTheme="minorHAnsi" w:hAnsiTheme="minorHAnsi" w:cstheme="minorBidi"/>
      <w:sz w:val="20"/>
      <w:szCs w:val="20"/>
      <w:lang w:val="en-ID" w:eastAsia="en-US"/>
    </w:rPr>
  </w:style>
  <w:style w:type="character" w:styleId="FootnoteReference">
    <w:name w:val="footnote reference"/>
    <w:basedOn w:val="DefaultParagraphFont"/>
    <w:uiPriority w:val="99"/>
    <w:semiHidden/>
    <w:unhideWhenUsed/>
    <w:rsid w:val="00F149EE"/>
    <w:rPr>
      <w:vertAlign w:val="superscript"/>
    </w:rPr>
  </w:style>
  <w:style w:type="paragraph" w:styleId="NoSpacing">
    <w:name w:val="No Spacing"/>
    <w:link w:val="NoSpacingChar"/>
    <w:uiPriority w:val="1"/>
    <w:qFormat/>
    <w:rsid w:val="00C41292"/>
    <w:pPr>
      <w:spacing w:after="0" w:line="240" w:lineRule="auto"/>
    </w:pPr>
    <w:rPr>
      <w:rFonts w:asciiTheme="minorHAnsi" w:eastAsiaTheme="minorEastAsia" w:hAnsiTheme="minorHAnsi" w:cstheme="minorBidi"/>
      <w:lang w:eastAsia="en-US"/>
    </w:rPr>
  </w:style>
  <w:style w:type="character" w:customStyle="1" w:styleId="NoSpacingChar">
    <w:name w:val="No Spacing Char"/>
    <w:basedOn w:val="DefaultParagraphFont"/>
    <w:link w:val="NoSpacing"/>
    <w:uiPriority w:val="1"/>
    <w:rsid w:val="00C41292"/>
    <w:rPr>
      <w:rFonts w:asciiTheme="minorHAnsi" w:eastAsiaTheme="minorEastAsia" w:hAnsiTheme="minorHAnsi" w:cstheme="minorBidi"/>
      <w:lang w:eastAsia="en-US"/>
    </w:rPr>
  </w:style>
  <w:style w:type="paragraph" w:styleId="Header">
    <w:name w:val="header"/>
    <w:basedOn w:val="Normal"/>
    <w:link w:val="HeaderChar"/>
    <w:semiHidden/>
    <w:rsid w:val="00DF2BA8"/>
    <w:pPr>
      <w:tabs>
        <w:tab w:val="center" w:pos="4320"/>
        <w:tab w:val="right" w:pos="8640"/>
      </w:tabs>
      <w:suppressAutoHyphens/>
      <w:spacing w:after="0" w:line="240" w:lineRule="auto"/>
    </w:pPr>
    <w:rPr>
      <w:rFonts w:ascii="Times New Roman" w:eastAsia="Times New Roman" w:hAnsi="Times New Roman" w:cs="Times New Roman"/>
      <w:sz w:val="24"/>
      <w:szCs w:val="24"/>
      <w:lang w:eastAsia="ar-SA"/>
    </w:rPr>
  </w:style>
  <w:style w:type="character" w:customStyle="1" w:styleId="HeaderChar">
    <w:name w:val="Header Char"/>
    <w:basedOn w:val="DefaultParagraphFont"/>
    <w:link w:val="Header"/>
    <w:semiHidden/>
    <w:rsid w:val="00DF2BA8"/>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315E0DC44C447349DF55C32A21D767F"/>
        <w:category>
          <w:name w:val="General"/>
          <w:gallery w:val="placeholder"/>
        </w:category>
        <w:types>
          <w:type w:val="bbPlcHdr"/>
        </w:types>
        <w:behaviors>
          <w:behavior w:val="content"/>
        </w:behaviors>
        <w:guid w:val="{FD966FE2-3770-49B0-841B-3619161AC6A5}"/>
      </w:docPartPr>
      <w:docPartBody>
        <w:p w:rsidR="00A8270E" w:rsidRDefault="00F25CD7" w:rsidP="00F25CD7">
          <w:pPr>
            <w:pStyle w:val="3315E0DC44C447349DF55C32A21D767F"/>
          </w:pPr>
          <w:r>
            <w:rPr>
              <w:rFonts w:asciiTheme="majorHAnsi" w:eastAsiaTheme="majorEastAsia" w:hAnsiTheme="majorHAnsi" w:cstheme="majorBidi"/>
              <w:color w:val="5B9BD5" w:themeColor="accent1"/>
              <w:sz w:val="88"/>
              <w:szCs w:val="88"/>
            </w:rPr>
            <w:t>[Document title]</w:t>
          </w:r>
        </w:p>
      </w:docPartBody>
    </w:docPart>
    <w:docPart>
      <w:docPartPr>
        <w:name w:val="FE9A84D10C334CFDA64956A0DDB9DBEC"/>
        <w:category>
          <w:name w:val="General"/>
          <w:gallery w:val="placeholder"/>
        </w:category>
        <w:types>
          <w:type w:val="bbPlcHdr"/>
        </w:types>
        <w:behaviors>
          <w:behavior w:val="content"/>
        </w:behaviors>
        <w:guid w:val="{08B792EE-2FD8-4344-A4B4-9E66B42B2866}"/>
      </w:docPartPr>
      <w:docPartBody>
        <w:p w:rsidR="00A8270E" w:rsidRDefault="00F25CD7" w:rsidP="00F25CD7">
          <w:pPr>
            <w:pStyle w:val="FE9A84D10C334CFDA64956A0DDB9DBEC"/>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7"/>
    <w:rsid w:val="0071451B"/>
    <w:rsid w:val="007B7276"/>
    <w:rsid w:val="00A8270E"/>
    <w:rsid w:val="00CD0F0F"/>
    <w:rsid w:val="00F25CD7"/>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FCE73C747D46A78CAC142AAA52054E">
    <w:name w:val="27FCE73C747D46A78CAC142AAA52054E"/>
    <w:rsid w:val="00F25CD7"/>
  </w:style>
  <w:style w:type="paragraph" w:customStyle="1" w:styleId="3315E0DC44C447349DF55C32A21D767F">
    <w:name w:val="3315E0DC44C447349DF55C32A21D767F"/>
    <w:rsid w:val="00F25CD7"/>
  </w:style>
  <w:style w:type="paragraph" w:customStyle="1" w:styleId="FE9A84D10C334CFDA64956A0DDB9DBEC">
    <w:name w:val="FE9A84D10C334CFDA64956A0DDB9DBEC"/>
    <w:rsid w:val="00F25C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GSiARUKahZiouyitK6B1GWqQhg==">AMUW2mV8fKbm5RWFt/9p8LCaD+JrKVffRSw2hIVe26+QWV8AFZWB/LwAJVlAgyeKjAn5ss2pAbrkRRNSKYRml922NLL/eg53eRroD8OR1VjpUqjudCcew00=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817755-89B6-4A1B-A34D-0646B4C4CE14}"/>
</file>

<file path=customXml/itemProps3.xml><?xml version="1.0" encoding="utf-8"?>
<ds:datastoreItem xmlns:ds="http://schemas.openxmlformats.org/officeDocument/2006/customXml" ds:itemID="{C1AF4C36-9311-405F-A370-3A1F9AAEDEA9}"/>
</file>

<file path=customXml/itemProps4.xml><?xml version="1.0" encoding="utf-8"?>
<ds:datastoreItem xmlns:ds="http://schemas.openxmlformats.org/officeDocument/2006/customXml" ds:itemID="{46FC263E-7E16-490D-9A4F-6190103F4F3F}"/>
</file>

<file path=docProps/app.xml><?xml version="1.0" encoding="utf-8"?>
<Properties xmlns="http://schemas.openxmlformats.org/officeDocument/2006/extended-properties" xmlns:vt="http://schemas.openxmlformats.org/officeDocument/2006/docPropsVTypes">
  <Template>Normal.dotm</Template>
  <TotalTime>0</TotalTime>
  <Pages>9</Pages>
  <Words>3206</Words>
  <Characters>18277</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Submission to the UN Committee on the Covenant of Economic, Social and Cultural Rights</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UN Committee on the Covenant of Economic, Social and Cultural Rights</dc:title>
  <dc:subject>Written Contribution for the Adoption of the List of Issues in the 70 Pre-Sessional Working Group ICESCR</dc:subject>
  <dc:creator>Samuel Gultom</dc:creator>
  <cp:lastModifiedBy>REYNAUD Céline</cp:lastModifiedBy>
  <cp:revision>2</cp:revision>
  <dcterms:created xsi:type="dcterms:W3CDTF">2022-01-10T13:24:00Z</dcterms:created>
  <dcterms:modified xsi:type="dcterms:W3CDTF">2022-01-10T13:24:00Z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