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94F" w:rsidRPr="006B0A3F" w:rsidRDefault="008F694F" w:rsidP="00D8065B">
      <w:pPr>
        <w:pStyle w:val="NoSpacing"/>
        <w:jc w:val="both"/>
        <w:rPr>
          <w:rFonts w:ascii="Arial Narrow" w:hAnsi="Arial Narrow"/>
          <w:sz w:val="24"/>
          <w:szCs w:val="24"/>
        </w:rPr>
      </w:pPr>
      <w:bookmarkStart w:id="0" w:name="_GoBack"/>
      <w:bookmarkEnd w:id="0"/>
    </w:p>
    <w:p w:rsidR="00A020F3" w:rsidRPr="006B0A3F" w:rsidRDefault="00A020F3" w:rsidP="00D8065B">
      <w:pPr>
        <w:pStyle w:val="NoSpacing"/>
        <w:jc w:val="both"/>
        <w:rPr>
          <w:rFonts w:ascii="Arial Narrow" w:hAnsi="Arial Narrow" w:cs="Times New Roman"/>
          <w:sz w:val="24"/>
          <w:szCs w:val="24"/>
          <w:lang w:val="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lastRenderedPageBreak/>
        <w:t>Santiago de Cali, 30 junio de 2026.</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Señores</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Comité contra la Desaparición Forzada de las Naciones Unidas (CED)</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Oficina del Alto Comisionado de las Naciones Unidas para los Derechos Humanos</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Ginebra, Suiza.</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Asunto: Solicitud de priorización en diálogos de seguimiento con el Estado Colombiano</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 xml:space="preserve"> </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El Movimiento Nacional de Víctimas de Crímenes de Estado – MOVICE – Capitulo Valle /o Corporación Plural, organización peticionaria de la Medida Cautelar 017 de la Jurisdicción Especial para la Paz, adoptada para la protección del Estero San Antonio, Buenaventura, nos permitimos presentar las siguientes observaciones con el propósito de contribuir al seguimiento que ese Honorable Comité realiza al cumplimiento de sus recomendaciones por parte del Estado colombiano. La presente comunicación toma como referencia los resultados de la intervención adelantada por la Unidad de Búsqueda de Personas dadas por Desaparecidas (UBPD) en diciembre de 2024, por considerar que esta constituye una experiencia sin precedentes para evaluar l</w:t>
      </w:r>
      <w:r>
        <w:rPr>
          <w:rFonts w:ascii="Arial" w:eastAsia="Arial" w:hAnsi="Arial" w:cs="Arial"/>
          <w:kern w:val="0"/>
          <w:lang w:val="es" w:eastAsia="es-CO"/>
        </w:rPr>
        <w:t xml:space="preserve">as capacidades institucionales </w:t>
      </w:r>
      <w:r w:rsidRPr="006812F4">
        <w:rPr>
          <w:rFonts w:ascii="Arial" w:eastAsia="Arial" w:hAnsi="Arial" w:cs="Arial"/>
          <w:kern w:val="0"/>
          <w:lang w:val="es" w:eastAsia="es-CO"/>
        </w:rPr>
        <w:t>del Estado en la búsqueda de personas desaparecidas en contextos acuáticos complejos.</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200" w:line="276" w:lineRule="auto"/>
        <w:jc w:val="both"/>
        <w:rPr>
          <w:rFonts w:ascii="Arial" w:eastAsia="Arial" w:hAnsi="Arial" w:cs="Arial"/>
          <w:kern w:val="0"/>
          <w:lang w:val="es" w:eastAsia="es-CO"/>
        </w:rPr>
      </w:pPr>
      <w:r w:rsidRPr="006812F4">
        <w:rPr>
          <w:rFonts w:ascii="Arial" w:eastAsia="Arial" w:hAnsi="Arial" w:cs="Arial"/>
          <w:kern w:val="0"/>
          <w:lang w:val="es" w:eastAsia="es-CO"/>
        </w:rPr>
        <w:t>Respetuosamente solicitamos al Comité que, en el marco del diálogo de seguimiento que sostendrá con el Estado colombiano durante 2027, mantenga como una prioridad específica el cumplimiento de las recomendaciones relacionadas con la adaptación de metodologías para las búsquedas en cuerpos hídricos y el fortalecimiento de la infraestructura, el equipamiento y los recursos humanos especializados para la búsqueda e identificación de personas desaparecidas.</w:t>
      </w:r>
    </w:p>
    <w:p w:rsidR="006812F4" w:rsidRPr="006812F4" w:rsidRDefault="006812F4" w:rsidP="006812F4">
      <w:pPr>
        <w:widowControl/>
        <w:overflowPunct/>
        <w:adjustRightInd/>
        <w:spacing w:after="200" w:line="276" w:lineRule="auto"/>
        <w:jc w:val="both"/>
        <w:rPr>
          <w:rFonts w:ascii="Arial" w:eastAsia="Arial" w:hAnsi="Arial" w:cs="Arial"/>
          <w:kern w:val="0"/>
          <w:lang w:val="es" w:eastAsia="es-CO"/>
        </w:rPr>
      </w:pPr>
      <w:r w:rsidRPr="006812F4">
        <w:rPr>
          <w:rFonts w:ascii="Arial" w:eastAsia="Arial" w:hAnsi="Arial" w:cs="Arial"/>
          <w:kern w:val="0"/>
          <w:lang w:val="es" w:eastAsia="es-CO"/>
        </w:rPr>
        <w:t>La experiencia desarrollada en el Estero San Antonio, en Buenaventura, evidencia que estos dos aspectos constituyen hoy uno de los principales obstáculos para garantizar una búsqueda efectiva. Las complejas condiciones hidrodinámicas, sedimentológicas y ambientales de este ecosistema exigen capacidades científicas y técnicas altamente especializadas, así como equipos interdisciplinarios permanentes, tecnologías de prospección e investigación subacuática y metodologías adaptadas a este tipo de escenarios.</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 xml:space="preserve"> </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numPr>
          <w:ilvl w:val="0"/>
          <w:numId w:val="4"/>
        </w:numPr>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Antecedentes:</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La Sección de Ausencia de Reconocimiento de Verdad y Responsabilidad de la Jurisdicción Especial para la Paz (JEP),Por medio del Auto AI-023 del 12 de abril del 2021 la resolvió avocar conocimiento y tramitar solicitud de medidas cautelares presentada por quince (15) organizaciones territoriales y nacionales con presencia territorial en Buenaventura, quienes solicitaron la protección del Estero San Antonio, en el Distrito de Buenaventura, Valle del Cauca, en donde se presume la existencia de cuerpos o estructuras óseas de personas desaparecidas de manera forzada como consecuencia de violaciones a los Derechos Humanos relacionados con el conflicto armado. Con esta decisión comenzó un proceso judicial orientado no solo a determinar la necesidad de proteger el Estero San Antonio, sino también a evaluar las condiciones técnicas, científicas y jurídicas que permitieran garantizar los derechos de las víctimas y diseñar una metodología científica - comunitaria que permita desarrollar acciones de búsqueda d</w:t>
      </w:r>
      <w:r>
        <w:rPr>
          <w:rFonts w:ascii="Arial" w:eastAsia="Arial" w:hAnsi="Arial" w:cs="Arial"/>
          <w:kern w:val="0"/>
          <w:lang w:val="es" w:eastAsia="es-CO"/>
        </w:rPr>
        <w:t xml:space="preserve">e las estructuras óseas que </w:t>
      </w:r>
      <w:r w:rsidRPr="006812F4">
        <w:rPr>
          <w:rFonts w:ascii="Arial" w:eastAsia="Arial" w:hAnsi="Arial" w:cs="Arial"/>
          <w:kern w:val="0"/>
          <w:lang w:val="es" w:eastAsia="es-CO"/>
        </w:rPr>
        <w:t>se encuentran en el cuerpo de agua.</w:t>
      </w:r>
    </w:p>
    <w:p w:rsidR="006812F4" w:rsidRPr="006812F4" w:rsidRDefault="006812F4" w:rsidP="006812F4">
      <w:pPr>
        <w:widowControl/>
        <w:overflowPunct/>
        <w:adjustRightInd/>
        <w:spacing w:before="240" w:line="276" w:lineRule="auto"/>
        <w:jc w:val="both"/>
        <w:rPr>
          <w:rFonts w:ascii="Arial" w:eastAsia="Arial" w:hAnsi="Arial" w:cs="Arial"/>
          <w:kern w:val="0"/>
          <w:lang w:val="es" w:eastAsia="es-CO"/>
        </w:rPr>
      </w:pPr>
      <w:r w:rsidRPr="006812F4">
        <w:rPr>
          <w:rFonts w:ascii="Arial" w:eastAsia="Arial" w:hAnsi="Arial" w:cs="Arial"/>
          <w:kern w:val="0"/>
          <w:lang w:val="es" w:eastAsia="es-CO"/>
        </w:rPr>
        <w:t>En el marco de este trámite, la JEP convocó a audiencia pública en diciembre de 2021, espacio en el que participaron las organizaciones peticionarias, familiares de personas desaparecidas y distintas entidades del Estado. A partir del debate técnico y de la información aportada, la Jurisdicción concluyó que existían razones suficientes para adoptar medidas urgentes de protección. En consecuencia, mediante el Auto AT-236 de 2021 decretó la Medida Cautelar 017, ordenando la protección del Estero San Antonio y prohibiendo cualquier intervención física sobre el territorio, especialmente actividades de dragado y obras civiles que pudieran afectar posibles evidencias relacionadas con personas desaparecidas. La JEP comprendió que la preservación del Estero debía ir acompañada de investigaciones científicas que permitieran determinar la viabilidad de recuperar cuerpos o restos humanos en un ecosistema complejo, caracterizado por dinámicas hidrológicas, sedimentarias y biológicas que aceleran los procesos de degradación, por ello ha dispuesto órdenes a diferentes entidades estatales de acuerdo a su misionalidad para la garantía de Derechos de las Víctimas,</w:t>
      </w:r>
    </w:p>
    <w:p w:rsidR="006812F4" w:rsidRPr="006812F4" w:rsidRDefault="006812F4" w:rsidP="006812F4">
      <w:pPr>
        <w:widowControl/>
        <w:overflowPunct/>
        <w:adjustRightInd/>
        <w:spacing w:before="240" w:line="276" w:lineRule="auto"/>
        <w:jc w:val="both"/>
        <w:rPr>
          <w:rFonts w:ascii="Arial" w:eastAsia="Arial" w:hAnsi="Arial" w:cs="Arial"/>
          <w:kern w:val="0"/>
          <w:lang w:val="es" w:eastAsia="es-CO"/>
        </w:rPr>
      </w:pPr>
      <w:r w:rsidRPr="006812F4">
        <w:rPr>
          <w:rFonts w:ascii="Arial" w:eastAsia="Arial" w:hAnsi="Arial" w:cs="Arial"/>
          <w:kern w:val="0"/>
          <w:lang w:val="es" w:eastAsia="es-CO"/>
        </w:rPr>
        <w:t>En este contexto, entre 2022 y 2024 la medida cautelar evolucionó orientada hacia la incorporación de elementos técnicos científicos. La Fiscalía General de la Nación desarrolló estudios experimentales sobre el comportamiento de cuerpos en ambientes estuarios; la Unidad de Búsqueda de Personas dadas por Desaparecidas avanzó en la construcción de un plan de intervención subacuática; el Instituto Nacional de Medicina Legal fortaleció los procesos de identificación genética; y organizaciones especializadas como EQUITAS realizaron estudios geofísicos para localizar anomalías compatibles con posibles elementos de interés forense. La JEP ha mantenido vigente la medida cautelar mediante prórrogas, expedidas en los autos AI-057 de 2022, AI-042 de 2023 y AI-019 de 2024, reconociendo que persisten los riesgos para el territorio, así como la necesidad de continuar desarrollando investigaciones científicas.</w:t>
      </w:r>
    </w:p>
    <w:p w:rsidR="006812F4" w:rsidRPr="006812F4" w:rsidRDefault="006812F4" w:rsidP="006812F4">
      <w:pPr>
        <w:widowControl/>
        <w:overflowPunct/>
        <w:adjustRightInd/>
        <w:spacing w:before="240" w:line="276" w:lineRule="auto"/>
        <w:jc w:val="both"/>
        <w:rPr>
          <w:rFonts w:ascii="Arial" w:eastAsia="Arial" w:hAnsi="Arial" w:cs="Arial"/>
          <w:kern w:val="0"/>
          <w:lang w:val="es" w:eastAsia="es-CO"/>
        </w:rPr>
      </w:pPr>
      <w:r w:rsidRPr="006812F4">
        <w:rPr>
          <w:rFonts w:ascii="Arial" w:eastAsia="Arial" w:hAnsi="Arial" w:cs="Arial"/>
          <w:kern w:val="0"/>
          <w:lang w:val="es" w:eastAsia="es-CO"/>
        </w:rPr>
        <w:t>Las organizaciones peticionarias evidenciaron dificultades estructurales relacionadas con la búsqueda de personas desaparecidas, entre ellas demoras en la toma y procesamiento de muestras genéticas, falencias en los registros institucionales, deficiencias en la activación del Mecanismo de Búsqueda Urgente y problemas de coordinación entre las entidades responsables. Estas observaciones llevaron a que la medida trascendiera la protección física del Estero y comenzará a abordar problemas estructurales del sistema estatal de búsqueda e identificación de personas desaparecidas.</w:t>
      </w:r>
    </w:p>
    <w:p w:rsidR="006812F4" w:rsidRPr="006812F4" w:rsidRDefault="006812F4" w:rsidP="006812F4">
      <w:pPr>
        <w:widowControl/>
        <w:overflowPunct/>
        <w:adjustRightInd/>
        <w:spacing w:before="240" w:line="276" w:lineRule="auto"/>
        <w:jc w:val="both"/>
        <w:rPr>
          <w:rFonts w:ascii="Arial" w:eastAsia="Arial" w:hAnsi="Arial" w:cs="Arial"/>
          <w:kern w:val="0"/>
          <w:lang w:val="es" w:eastAsia="es-CO"/>
        </w:rPr>
      </w:pPr>
      <w:r w:rsidRPr="006812F4">
        <w:rPr>
          <w:rFonts w:ascii="Arial" w:eastAsia="Arial" w:hAnsi="Arial" w:cs="Arial"/>
          <w:kern w:val="0"/>
          <w:lang w:val="es" w:eastAsia="es-CO"/>
        </w:rPr>
        <w:t>En la audiencia pública realizada los días 13 y 14 de junio de 2024, la JEP reunió a las entidades estatales competentes, organizaciones de víctimas, expertos nacionales e internacionales para evaluar los avances científicos alcanzados, discutir la viabilidad de futuras intervenciones forenses y definir nuevas acciones de coordinación institucional. Las discusiones evidenciaron tanto las enormes dificultades técnicas, científicas, articulación institucional con la comunidad para recuperar restos humanos en un ecosistema como el Estero San Antonio como la necesidad de mantener las acciones de búsqueda, preservación y participación efectiva de las víctimas.</w:t>
      </w:r>
    </w:p>
    <w:p w:rsidR="006812F4" w:rsidRPr="006812F4" w:rsidRDefault="006812F4" w:rsidP="006812F4">
      <w:pPr>
        <w:widowControl/>
        <w:overflowPunct/>
        <w:adjustRightInd/>
        <w:spacing w:before="240" w:line="276" w:lineRule="auto"/>
        <w:jc w:val="both"/>
        <w:rPr>
          <w:rFonts w:ascii="Arial" w:eastAsia="Arial" w:hAnsi="Arial" w:cs="Arial"/>
          <w:kern w:val="0"/>
          <w:lang w:val="es" w:eastAsia="es-CO"/>
        </w:rPr>
      </w:pPr>
      <w:r w:rsidRPr="006812F4">
        <w:rPr>
          <w:rFonts w:ascii="Arial" w:eastAsia="Arial" w:hAnsi="Arial" w:cs="Arial"/>
          <w:kern w:val="0"/>
          <w:lang w:val="es" w:eastAsia="es-CO"/>
        </w:rPr>
        <w:t>La JEP fortaleció las órdenes impartidas dentro de la medida cautelar, reafirmando la importancia de la articulación entre la Unidad de Búsqueda, la Fiscalía General de la Nación, Medicina Legal, las autoridades territoriales y las organizaciones de víctimas, la medida cautelar es instrumento de seguimiento permanente orientado no solo a proteger un lugar de interés forense, sino también a impulsar acciones concretas para garantizar los derechos de las familias buscadoras.</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b/>
          <w:bCs/>
          <w:kern w:val="0"/>
          <w:lang w:val="es" w:eastAsia="es-CO"/>
        </w:rPr>
      </w:pPr>
      <w:r w:rsidRPr="006812F4">
        <w:rPr>
          <w:rFonts w:ascii="Arial" w:eastAsia="Arial" w:hAnsi="Arial" w:cs="Arial"/>
          <w:b/>
          <w:bCs/>
          <w:kern w:val="0"/>
          <w:lang w:val="es" w:eastAsia="es-CO"/>
        </w:rPr>
        <w:t>2. La intervención realizada por la UBPD en diciembre de 2024, en el estero San Antonio.</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 xml:space="preserve">En esta intervención la ubpd reconoce limitaciones técnicas, metodológicas y de capacidad institucional. </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La intervención desarrollada por la UBPD evidenció que la búsqueda de personas desaparecidas en el estero San Antonio, un ecosistema de manglar, con características particulares demanda procedimientos científicos diferenciados respecto de otros contextos de búsqueda forenses, las condiciones de sedimentación, dinámica mareal, baja visibilidad, acumulación de residuos, alteraciones antrópicas y complejidad ambiental obligaron a adaptar permanentemente las estrategias de prospección, reconocimiento e intervención, evidenciando la necesidad de consolidar metodologías específicas para este tipo de escenarios.</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 xml:space="preserve">Entre las conclusiones a las que llega la UBPD descritas en el informe, La UBPD afirma que no se identificaron hallazgos de interés forense durante la verificación intrusiva y no intrusiva de las anomalías exploradas, argumenta la conclusión de dar por agotadas las </w:t>
      </w:r>
    </w:p>
    <w:p w:rsid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acciones basada</w:t>
      </w:r>
      <w:r>
        <w:rPr>
          <w:rFonts w:ascii="Arial" w:eastAsia="Arial" w:hAnsi="Arial" w:cs="Arial"/>
          <w:kern w:val="0"/>
          <w:lang w:val="es" w:eastAsia="es-CO"/>
        </w:rPr>
        <w:t>s</w:t>
      </w:r>
      <w:r w:rsidRPr="006812F4">
        <w:rPr>
          <w:rFonts w:ascii="Arial" w:eastAsia="Arial" w:hAnsi="Arial" w:cs="Arial"/>
          <w:kern w:val="0"/>
          <w:lang w:val="es" w:eastAsia="es-CO"/>
        </w:rPr>
        <w:t xml:space="preserve"> en el principio de proporcionalidad, según su criterio no es pertinente ni proporcional continuar invirtiendo recursos técnicos y humanos en sitios intensivamente intervenidos cuando esos recursos podrían utilizarse en otros lugares del país. Decide fortalecer y focalizar las intervenciones del Plan Regional de Búsqueda en otros lugares del municipio. Con la intervención realizada descarta los polígonos intervenidos como sitio de especial relevancia para la búsqueda de personas desaparecidas, y concluye en las condiciones actuales, las acciones forenses para la búsqueda de personas desaparecidas en las aguas del Estero San Antonio se consideran agotadas.</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Times New Roman" w:hAnsi="Times New Roman" w:cs="Times New Roman"/>
          <w:b/>
          <w:bCs/>
          <w:kern w:val="0"/>
          <w:sz w:val="24"/>
          <w:szCs w:val="24"/>
          <w:lang w:val="es" w:eastAsia="es-CO"/>
        </w:rPr>
      </w:pPr>
      <w:r w:rsidRPr="006812F4">
        <w:rPr>
          <w:rFonts w:ascii="Times New Roman" w:hAnsi="Times New Roman" w:cs="Times New Roman"/>
          <w:b/>
          <w:bCs/>
          <w:kern w:val="0"/>
          <w:sz w:val="24"/>
          <w:szCs w:val="24"/>
          <w:lang w:val="es" w:eastAsia="es-CO"/>
        </w:rPr>
        <w:t>3. La implementación de la recomendación del CED sobre el Numeral 2. La adaptación de metodologías, prácticas y recursos al contexto para las búsquedas en cuerpos de agua</w:t>
      </w:r>
    </w:p>
    <w:p w:rsidR="006812F4" w:rsidRPr="006812F4" w:rsidRDefault="006812F4" w:rsidP="006812F4">
      <w:pPr>
        <w:widowControl/>
        <w:overflowPunct/>
        <w:adjustRightInd/>
        <w:spacing w:after="0" w:line="276" w:lineRule="auto"/>
        <w:jc w:val="both"/>
        <w:rPr>
          <w:rFonts w:ascii="Times New Roman" w:hAnsi="Times New Roman" w:cs="Times New Roman"/>
          <w:b/>
          <w:bCs/>
          <w:kern w:val="0"/>
          <w:sz w:val="24"/>
          <w:szCs w:val="24"/>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La intervención de la UBPD en el Estero de San Antonio se llevó a cabo, adaptando los conocimientos y metodologías actuales al contexto único de este ecosistema. Durante este proceso, organizaron reuniones y talleres con el equipo forense y el equipo cultural étnico, con el objetivo de compartir saberes, metodologías y técnicas que mejor se ajustaran al contexto geográfico, histórico, cultural y forense del estero, para así encontrar los restos de víctimas de desapariciones forzadas en las zonas designadas como de interés forense.</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El equipo forense contó con expertos que presentaron recomendaciones para la implementación de la búsqueda, basadas en conocimientos especializados sobre entornos acuáticos forenses derivados de estudios internacionales, así como en la experiencia técnica en investigaciones forenses.</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Por su parte, el equipo cultural étnico organizó a pescadores locales y piangueras (mujeres que recolectan moluscos), un grupo con profundo conocimiento de la dinámica local de sus comunidades, tanto en lo económico como en lo histórico. Como resultado, este grupo aportó información valiosa sobre relatos de personas que fueron llevadas y desaparecidas en la zona. Además, compartieron su conocimiento sobre el ecosistema local, incluyendo cómo interactúan los restos en entornos acuáticos y el modus operandi de los grupos armados en la región antes de 2016.</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Este intercambio de saberes y experiencias fue fundamental para la búsqueda implementada en el Estero de San Antonio, ya que permitió aplicar técnicas, comprensiones y metodologías actuales al contexto específico del estero. Sin embargo, a pesar de estos avances y del gran esfuerzo realizado, aún persisten limitaciones que enfrenta la UBPD y que impactan la eficacia de la búsqueda continua de víctimas de desapariciones forzadas.</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Times New Roman" w:hAnsi="Times New Roman" w:cs="Times New Roman"/>
          <w:b/>
          <w:bCs/>
          <w:kern w:val="0"/>
          <w:sz w:val="24"/>
          <w:szCs w:val="24"/>
          <w:lang w:val="es" w:eastAsia="es-CO"/>
        </w:rPr>
      </w:pPr>
      <w:r w:rsidRPr="006812F4">
        <w:rPr>
          <w:rFonts w:ascii="Times New Roman" w:hAnsi="Times New Roman" w:cs="Times New Roman"/>
          <w:b/>
          <w:bCs/>
          <w:kern w:val="0"/>
          <w:sz w:val="24"/>
          <w:szCs w:val="24"/>
          <w:lang w:val="es" w:eastAsia="es-CO"/>
        </w:rPr>
        <w:t xml:space="preserve">Implementación de Numeral b. Las búsquedas en cuerpos hídricos: </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Como señalaron los comentarios del CED, los mares y ríos de Colombia han sido utilizados como cementerios masivos donde se depositan los cuerpos de las víctimas desaparecidas del conflicto armado para ocultar violaciones a los derechos humanos. Hemos mencionado el ejemplo del Estero de San Antonio, que ha sido utilizado por grupos armados para desaparecer víctimas y esconder sus cuerpos en la zona, con el fin de encubrir violaciones a los derechos humanos y actividades delictivas. Sin embargo, existen muchos otros casos. El Centro Nacional de Memoria Histórica (CNMH) ha reportado más de 1.080 cuerpos recuperados en al menos 190 ríos colombianos, y el proyecto “Ríos de Vida y Muerte”, una investigación de las organizaciones Rutas del Conflicto y Consejo de Redacción, ha documentado varios ríos donde grupos armados torturaban a las víctimas y manipulan sus cuerpos para evitar que flotaran y fueran descubiertos en el futuro (Rutas del Conflicto). Siguen recuperándose cuerpos de las aguas en Colombia, lo que demuestra la necesidad de crear y adaptar habilidades y técnicas de investigación forense para recuperar, identificar y devolver los restos de las víctimas a sus familias, garantizando así el derecho a la verdad, esclareciendo lo sucedido y el derecho a la búsqueda.</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La JEP a través del auto Al048 de 2024 solicitó a varios expertos para que cada uno experto destacó la dinámica compleja de los entornos acuáticos y cómo afecta la recuperación e identificación de restos. Entre los factores mencionados se incluyen: el tiempo que un cuerpo permaneció sumergido, las corrientes de agua específicas, la temperatura, la salinidad del agua, la profundidad, la flora y fauna local, los cambios naturales o artificiales en el entorno debido a la erosión o la construcción.</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Además, se explicó cómo un cadáver reacciona de manera distinta en el agua dependiendo de si la persona murió en el agua o si fue llevada allí después, especialmente en sus patrones de flotación. Otros detalles describieron cómo los cadáveres se hunden, se descomponen y se esqueletizan en entornos acuáticos. En resumen, el entorno único de ríos, deltas y estuarios como el de San Antonio representa un desafío técnico y especializado.</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La búsqueda de estructuras óseas de personas desaparecidas en el Estero San Antonio sigue en riesgo debido a megaproyectos. siendo una zona costera de entrada al mar, se continúa desarrollando proyectos para crear nuevos puertos industriales no solo impactan el entorno natural, exponiéndose a la contaminación y la degradación de los recursos, sino que también pueden destruir posibles restos y evidencia asociada a desapariciones forzadas. Esto afectaría directamente el proceso de búsqueda de víctimas y el derecho de las familias a la verdad y a la recuperación de los restos. La implementación de medidas cautelares para proteger estos sitios es de vital importancia para preservar los restos e iniciar procesos de búsqueda y recuperación.</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48123C"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 xml:space="preserve">La UBPD en alianza con EQUITAS, han contado con profesionales calificados y equipos especializados, como [ejemplos], para realizar búsquedas preliminares de interés forense </w:t>
      </w:r>
    </w:p>
    <w:p w:rsidR="0048123C" w:rsidRDefault="0048123C"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 xml:space="preserve">y así argumentar la autorización de una segunda fase de búsqueda. Sin embargo, como se menciona en la sección 2, la búsqueda ha sido considerada agotada. Los argumentos expuestos por la UBPD para concluir que las acciones forenses se encuentran agotadas en las condiciones actuales permiten advertir que persisten varias de las preocupaciones previamente identificadas por ese Honorable Comité en relación con la adaptación de metodologías para las búsquedas en cuerpos hídricos y el fortalecimiento de la infraestructura, el equipamiento y los recursos humanos especializados. </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b/>
          <w:bCs/>
          <w:kern w:val="0"/>
          <w:lang w:val="es" w:eastAsia="es-CO"/>
        </w:rPr>
      </w:pPr>
      <w:r w:rsidRPr="006812F4">
        <w:rPr>
          <w:rFonts w:ascii="Arial" w:eastAsia="Arial" w:hAnsi="Arial" w:cs="Arial"/>
          <w:b/>
          <w:bCs/>
          <w:kern w:val="0"/>
          <w:lang w:val="es" w:eastAsia="es-CO"/>
        </w:rPr>
        <w:t>Implementación de Numeral de. La falta de infraestructura, equipos y recursos humanos especializados’:</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Equitas se constituyó durante más de veinte años en un equipo independiente en Colombia, y había desarrollado metodologías y análisis especializados para los diversos paisajes del país, contribuyendo a la búsqueda de personas desaparecidas en ríos, montañas, cementerios e incluso estuarios.</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Sin embargo, debido a limitaciones financieras, después de 22 años de trabajo, Equitas (Equipo Colombiano Interdisciplinario de Trabajo Forense y Asistencia Psicosocial) cerró sus puertas y terminaron operaciones a final del año 2025. El cierre de esta organización, que contaba con el apoyo de diferentes grupos nacionales e internacionales para financiar proyectos, afectó significativamente la labor de búsqueda de víctimas de desapariciones forzadas. Esto es especialmente grave porque Equitas era un aliado clave de la UBPD, lo que significa que los recursos limitados con los que contaba esta última para continuar su trabajo se redujeron aún más.</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Para formar y retener a profesionales necesarios en áreas como la antropología forense, con el fin de continuar el trabajo de organizaciones como Equitas, existen barreras significativas en el acceso a la educación y la permanencia de expertos especializados en Colombia. En el país no hay programas de pregrado que se especialicen en antropología forense o biológica, y son muy pocos los docentes que imparten estos cursos. De hecho, en los programas de posgrado, la antropología forense sólo se ha desarrollado gracias a iniciativas aisladas de algunas universidades. El primer programa multidisciplinario especializado en antropología forense de América Latina fue creado en la Universidad Nacional de Colombia por el Dr. José Vicente Rodríguez Cuenca, pero este cesó en 2010. A pesar de algunos ejemplos en años anteriores, actualmente no existen iniciativas a nivel de posgrado que profundicen en el campo forense. Los estudiantes y profesionales que desean especializarse o enseñar suelen recurrir a programas en el exterior, y aunque algunos regresan para ejercer en Colombia, muchos no lo hacen debido a la falta total de oportunidades laborales y recursos para trabajar. Además, al formarse en el extranjero, algunos profesionales pueden no estar familiarizados con la aplicación de sus conocimientos al contexto desafiante de Colombia, que incluye factores como el entorno ambiental y la falta de infraestructura adecuada.</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line="276" w:lineRule="auto"/>
        <w:jc w:val="both"/>
        <w:rPr>
          <w:rFonts w:ascii="Arial" w:eastAsia="Arial" w:hAnsi="Arial" w:cs="Arial"/>
          <w:kern w:val="0"/>
          <w:lang w:val="es" w:eastAsia="es-CO"/>
        </w:rPr>
      </w:pPr>
      <w:r w:rsidRPr="006812F4">
        <w:rPr>
          <w:rFonts w:ascii="Arial" w:eastAsia="Arial" w:hAnsi="Arial" w:cs="Arial"/>
          <w:kern w:val="0"/>
          <w:lang w:val="es" w:eastAsia="es-CO"/>
        </w:rPr>
        <w:t>Las intervenciones desarrolladas en el Estero San Antonio evidencian la necesidad de fortalecer de manera estructural las capacidades científicas y técnicas de la Unidad de Búsqueda de Personas dadas por Desaparecidas (UBPD) para la búsqueda de personas desaparecidas en contextos acuáticos y subacuáticos.</w:t>
      </w:r>
    </w:p>
    <w:p w:rsidR="006812F4" w:rsidRPr="006812F4" w:rsidRDefault="006812F4" w:rsidP="006812F4">
      <w:pPr>
        <w:widowControl/>
        <w:overflowPunct/>
        <w:adjustRightInd/>
        <w:spacing w:before="240" w:line="276" w:lineRule="auto"/>
        <w:jc w:val="both"/>
        <w:rPr>
          <w:rFonts w:ascii="Arial" w:eastAsia="Arial" w:hAnsi="Arial" w:cs="Arial"/>
          <w:kern w:val="0"/>
          <w:lang w:val="es" w:eastAsia="es-CO"/>
        </w:rPr>
      </w:pPr>
      <w:r w:rsidRPr="006812F4">
        <w:rPr>
          <w:rFonts w:ascii="Arial" w:eastAsia="Arial" w:hAnsi="Arial" w:cs="Arial"/>
          <w:kern w:val="0"/>
          <w:lang w:val="es" w:eastAsia="es-CO"/>
        </w:rPr>
        <w:t>La búsqueda en estos contextos ambientales exige conocimientos especializados en disciplinas como hidrología, hidrodinámica, batimetría, oceanografía física, geomorfología fluvial y costera, geofísica aplicada, sedimentología, modelación de corrientes y mareas, arqueología subacuática y otras ciencias de la Tierra y del agua, cuya integración resulta indispensable para comprender la dinámica de estos ecosistemas y orientar adecuadamente las estrategias de búsqueda.</w:t>
      </w:r>
    </w:p>
    <w:p w:rsidR="006812F4" w:rsidRPr="006812F4" w:rsidRDefault="006812F4" w:rsidP="006812F4">
      <w:pPr>
        <w:widowControl/>
        <w:overflowPunct/>
        <w:adjustRightInd/>
        <w:spacing w:before="240" w:line="276" w:lineRule="auto"/>
        <w:jc w:val="both"/>
        <w:rPr>
          <w:rFonts w:ascii="Arial" w:eastAsia="Arial" w:hAnsi="Arial" w:cs="Arial"/>
          <w:kern w:val="0"/>
          <w:lang w:val="es" w:eastAsia="es-CO"/>
        </w:rPr>
      </w:pPr>
      <w:r w:rsidRPr="006812F4">
        <w:rPr>
          <w:rFonts w:ascii="Arial" w:eastAsia="Arial" w:hAnsi="Arial" w:cs="Arial"/>
          <w:kern w:val="0"/>
          <w:lang w:val="es" w:eastAsia="es-CO"/>
        </w:rPr>
        <w:t>En este sentido, consideramos que el Estado colombiano debe avanzar hacia la consolidación de capacidades institucionales permanentes dentro de la UBPD, incorporando equipos interdisciplinarios conformados por especialistas en estas áreas del conocimiento, así como fortaleciendo la planta técnica con perfiles científicos que permitan desarrollar procesos continuos de investigación aplicada e innovación metodológica. Resulta necesario dotar a la entidad de infraestructura tecnológica especializada, incluyendo equipos avanzados de prospección geofísica, sensores remotos, tecnologías de exploración subacuática, sistemas de levantamiento batimétrico, modelación hidrodinámica y demás herramientas que faciliten la localización de posibles sitios de interés para la búsqueda humanitaria.</w:t>
      </w:r>
    </w:p>
    <w:p w:rsidR="006812F4" w:rsidRPr="006812F4" w:rsidRDefault="006812F4" w:rsidP="006812F4">
      <w:pPr>
        <w:widowControl/>
        <w:overflowPunct/>
        <w:adjustRightInd/>
        <w:spacing w:before="240" w:line="276" w:lineRule="auto"/>
        <w:jc w:val="both"/>
        <w:rPr>
          <w:rFonts w:ascii="Arial" w:eastAsia="Arial" w:hAnsi="Arial" w:cs="Arial"/>
          <w:kern w:val="0"/>
          <w:lang w:val="es" w:eastAsia="es-CO"/>
        </w:rPr>
      </w:pPr>
      <w:r w:rsidRPr="006812F4">
        <w:rPr>
          <w:rFonts w:ascii="Arial" w:eastAsia="Arial" w:hAnsi="Arial" w:cs="Arial"/>
          <w:kern w:val="0"/>
          <w:lang w:val="es" w:eastAsia="es-CO"/>
        </w:rPr>
        <w:t>La necesidad de este fortalecimiento institucional trasciende el caso del Estero San Antonio. En Colombia existe un número significativo de ríos, esteros, ciénagas, embalses, lagunas y zonas marino-costeras que, de acuerdo con los testimonios de las víctimas y las investigaciones judiciales y extrajudiciales, habrían sido utilizados como lugares de disposición de personas desaparecidas durante el conflicto armado. Esta realidad exige que el Estado consolide una capacidad científica permanente para la búsqueda en cuerpos hídricos, sustentada en la investigación interdisciplinaria, el desarrollo tecnológico y la generación de metodologías específicas para estos contextos.</w:t>
      </w:r>
    </w:p>
    <w:p w:rsidR="006812F4" w:rsidRPr="006812F4" w:rsidRDefault="006812F4" w:rsidP="006812F4">
      <w:pPr>
        <w:widowControl/>
        <w:overflowPunct/>
        <w:adjustRightInd/>
        <w:spacing w:before="240" w:line="276" w:lineRule="auto"/>
        <w:jc w:val="both"/>
        <w:rPr>
          <w:rFonts w:ascii="Arial" w:eastAsia="Arial" w:hAnsi="Arial" w:cs="Arial"/>
          <w:b/>
          <w:kern w:val="0"/>
          <w:lang w:val="es" w:eastAsia="es-CO"/>
        </w:rPr>
      </w:pPr>
      <w:r w:rsidRPr="006812F4">
        <w:rPr>
          <w:rFonts w:ascii="Arial" w:eastAsia="Arial" w:hAnsi="Arial" w:cs="Arial"/>
          <w:b/>
          <w:kern w:val="0"/>
          <w:lang w:val="es" w:eastAsia="es-CO"/>
        </w:rPr>
        <w:t>Solicitudes:</w:t>
      </w:r>
    </w:p>
    <w:p w:rsidR="006812F4" w:rsidRDefault="006812F4" w:rsidP="006812F4">
      <w:pPr>
        <w:widowControl/>
        <w:overflowPunct/>
        <w:adjustRightInd/>
        <w:spacing w:before="240" w:line="276" w:lineRule="auto"/>
        <w:jc w:val="both"/>
        <w:rPr>
          <w:rFonts w:ascii="Arial" w:eastAsia="Arial" w:hAnsi="Arial" w:cs="Arial"/>
          <w:kern w:val="0"/>
          <w:lang w:val="es" w:eastAsia="es-CO"/>
        </w:rPr>
      </w:pPr>
      <w:r w:rsidRPr="006812F4">
        <w:rPr>
          <w:rFonts w:ascii="Arial" w:eastAsia="Arial" w:hAnsi="Arial" w:cs="Arial"/>
          <w:kern w:val="0"/>
          <w:lang w:val="es" w:eastAsia="es-CO"/>
        </w:rPr>
        <w:t xml:space="preserve">Respetuosamente solicitamos al Comité contra la Desaparición Forzada que, en el marco del seguimiento a sus recomendaciones al Estado colombiano, considere la importancia de promover el fortalecimiento estructural de las capacidades científicas, técnicas y tecnológicas de la UBPD y de las demás instituciones competentes, de manera que las búsquedas en contextos acuáticos puedan desarrollarse con los más altos estándares científicos y en cumplimiento de las obligaciones internacionales derivadas de la </w:t>
      </w:r>
    </w:p>
    <w:p w:rsidR="006812F4" w:rsidRPr="006812F4" w:rsidRDefault="006812F4" w:rsidP="006812F4">
      <w:pPr>
        <w:widowControl/>
        <w:overflowPunct/>
        <w:adjustRightInd/>
        <w:spacing w:before="240" w:line="276" w:lineRule="auto"/>
        <w:jc w:val="both"/>
        <w:rPr>
          <w:rFonts w:ascii="Arial" w:eastAsia="Arial" w:hAnsi="Arial" w:cs="Arial"/>
          <w:kern w:val="0"/>
          <w:lang w:val="es" w:eastAsia="es-CO"/>
        </w:rPr>
      </w:pPr>
      <w:r w:rsidRPr="006812F4">
        <w:rPr>
          <w:rFonts w:ascii="Arial" w:eastAsia="Arial" w:hAnsi="Arial" w:cs="Arial"/>
          <w:kern w:val="0"/>
          <w:lang w:val="es" w:eastAsia="es-CO"/>
        </w:rPr>
        <w:lastRenderedPageBreak/>
        <w:t>Convención Internacional para la Protección de Todas las Personas contra las Desapariciones Forzadas.</w:t>
      </w:r>
    </w:p>
    <w:p w:rsidR="006812F4" w:rsidRPr="006812F4" w:rsidRDefault="006812F4" w:rsidP="006812F4">
      <w:pPr>
        <w:widowControl/>
        <w:numPr>
          <w:ilvl w:val="0"/>
          <w:numId w:val="5"/>
        </w:numPr>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Que el Comité mantenga como asunto prioritario del diálogo de seguimiento con el Estado colombiano la implementación de sus recomendaciones relacionadas con la búsqueda de personas desaparecidas en cuerpos hídricos.</w:t>
      </w:r>
    </w:p>
    <w:p w:rsidR="006812F4" w:rsidRPr="006812F4" w:rsidRDefault="006812F4" w:rsidP="006812F4">
      <w:pPr>
        <w:widowControl/>
        <w:numPr>
          <w:ilvl w:val="0"/>
          <w:numId w:val="5"/>
        </w:numPr>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Que el Comité solicite información al Estado colombiano sobre las medidas adoptadas para fortalecer las capacidades científicas permanentes de la UBPD para la búsqueda en contextos acuáticos.</w:t>
      </w:r>
    </w:p>
    <w:p w:rsidR="006812F4" w:rsidRPr="006812F4" w:rsidRDefault="006812F4" w:rsidP="006812F4">
      <w:pPr>
        <w:widowControl/>
        <w:numPr>
          <w:ilvl w:val="0"/>
          <w:numId w:val="5"/>
        </w:numPr>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Que el Comité requiera información sobre la incorporación de equipos interdisciplinarios permanentes especializados en hidrología, batimetría, geofísica, oceanografía, dinámica fluvial y demás ciencias aplicadas a la búsqueda humanitaria.</w:t>
      </w:r>
    </w:p>
    <w:p w:rsidR="006812F4" w:rsidRPr="006812F4" w:rsidRDefault="006812F4" w:rsidP="006812F4">
      <w:pPr>
        <w:widowControl/>
        <w:numPr>
          <w:ilvl w:val="0"/>
          <w:numId w:val="5"/>
        </w:numPr>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Que el Comité solicite información sobre la inversión realizada en tecnologías especializadas para la búsqueda en cuerpos hídricos.</w:t>
      </w:r>
    </w:p>
    <w:p w:rsidR="006812F4" w:rsidRPr="006812F4" w:rsidRDefault="006812F4" w:rsidP="006812F4">
      <w:pPr>
        <w:widowControl/>
        <w:numPr>
          <w:ilvl w:val="0"/>
          <w:numId w:val="5"/>
        </w:numPr>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Que el Comité solicite información sobre las razones técnicas y científicas que sustentan la conclusión de la UBPD de considerar agotadas las acciones forenses en el Estero San Antonio "en las condiciones actuales", así como las medidas previstas para fortalecer dichas condiciones institucionales.</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Confiamos en que las observaciones aquí presentadas contribuyan al seguimiento que ese Honorable Comité realiza al cumplimiento de la Convención por parte del Estado colombiano y reiteramos nuestra disposición para ampliar la información contenida en esta comunicación o aportar los elementos técnicos y documentales que el Comité estime pertinentes.</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Agradecemos la atención prestada y reiteramos nuestro reconocimiento a la labor que desarrolla el Comité contra la Desaparición Forzada en la protección de los derechos de las personas desaparecidas y de sus familiares.</w:t>
      </w: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p>
    <w:p w:rsidR="006812F4" w:rsidRPr="006812F4" w:rsidRDefault="006812F4" w:rsidP="006812F4">
      <w:pPr>
        <w:widowControl/>
        <w:overflowPunct/>
        <w:adjustRightInd/>
        <w:spacing w:after="0" w:line="276" w:lineRule="auto"/>
        <w:jc w:val="both"/>
        <w:rPr>
          <w:rFonts w:ascii="Arial" w:eastAsia="Arial" w:hAnsi="Arial" w:cs="Arial"/>
          <w:kern w:val="0"/>
          <w:lang w:val="es" w:eastAsia="es-CO"/>
        </w:rPr>
      </w:pPr>
      <w:r w:rsidRPr="006812F4">
        <w:rPr>
          <w:rFonts w:ascii="Arial" w:eastAsia="Arial" w:hAnsi="Arial" w:cs="Arial"/>
          <w:kern w:val="0"/>
          <w:lang w:val="es" w:eastAsia="es-CO"/>
        </w:rPr>
        <w:t>Atentamente,</w:t>
      </w:r>
    </w:p>
    <w:p w:rsidR="006812F4" w:rsidRPr="006812F4" w:rsidRDefault="006812F4" w:rsidP="006812F4">
      <w:pPr>
        <w:widowControl/>
        <w:overflowPunct/>
        <w:adjustRightInd/>
        <w:spacing w:before="240" w:after="120" w:line="276" w:lineRule="auto"/>
        <w:ind w:right="1140"/>
        <w:jc w:val="both"/>
        <w:rPr>
          <w:rFonts w:ascii="Arial" w:eastAsia="Arial" w:hAnsi="Arial" w:cs="Arial"/>
          <w:kern w:val="0"/>
          <w:lang w:val="es" w:eastAsia="es-CO"/>
        </w:rPr>
      </w:pPr>
    </w:p>
    <w:p w:rsidR="00BA448B" w:rsidRDefault="00BA448B" w:rsidP="00D8065B">
      <w:pPr>
        <w:pStyle w:val="NoSpacing"/>
        <w:jc w:val="both"/>
        <w:rPr>
          <w:rFonts w:ascii="Arial Narrow" w:hAnsi="Arial Narrow"/>
          <w:sz w:val="24"/>
          <w:szCs w:val="24"/>
          <w:lang w:val="es-ES"/>
        </w:rPr>
      </w:pPr>
    </w:p>
    <w:p w:rsidR="006B0A3F" w:rsidRPr="006B0A3F" w:rsidRDefault="006B0A3F" w:rsidP="00D8065B">
      <w:pPr>
        <w:pStyle w:val="NoSpacing"/>
        <w:jc w:val="both"/>
        <w:rPr>
          <w:rFonts w:ascii="Arial Narrow" w:hAnsi="Arial Narrow"/>
          <w:sz w:val="24"/>
          <w:szCs w:val="24"/>
          <w:lang w:val="es-ES"/>
        </w:rPr>
      </w:pPr>
    </w:p>
    <w:p w:rsidR="00BA448B" w:rsidRPr="006B0A3F" w:rsidRDefault="001C5C6A" w:rsidP="00D8065B">
      <w:pPr>
        <w:pStyle w:val="NoSpacing"/>
        <w:jc w:val="both"/>
        <w:rPr>
          <w:rFonts w:ascii="Arial Narrow" w:hAnsi="Arial Narrow"/>
          <w:sz w:val="24"/>
          <w:szCs w:val="24"/>
          <w:lang w:val="es-ES"/>
        </w:rPr>
      </w:pPr>
      <w:r w:rsidRPr="006B0A3F">
        <w:rPr>
          <w:rFonts w:ascii="Arial Narrow" w:hAnsi="Arial Narrow"/>
          <w:noProof/>
          <w:sz w:val="24"/>
          <w:szCs w:val="24"/>
          <w:lang w:val="es-CO" w:eastAsia="es-CO"/>
        </w:rPr>
        <w:drawing>
          <wp:inline distT="0" distB="0" distL="0" distR="0">
            <wp:extent cx="1314450" cy="317500"/>
            <wp:effectExtent l="0" t="0" r="0" b="0"/>
            <wp:docPr id="5" name="Imagen 1" descr="Nombre MLG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mbre MLGV"/>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4450" cy="317500"/>
                    </a:xfrm>
                    <a:prstGeom prst="rect">
                      <a:avLst/>
                    </a:prstGeom>
                    <a:noFill/>
                    <a:ln>
                      <a:noFill/>
                    </a:ln>
                  </pic:spPr>
                </pic:pic>
              </a:graphicData>
            </a:graphic>
          </wp:inline>
        </w:drawing>
      </w:r>
    </w:p>
    <w:p w:rsidR="00BA448B" w:rsidRPr="006B0A3F" w:rsidRDefault="00BA448B" w:rsidP="00D8065B">
      <w:pPr>
        <w:pStyle w:val="NoSpacing"/>
        <w:jc w:val="both"/>
        <w:rPr>
          <w:rFonts w:ascii="Arial Narrow" w:hAnsi="Arial Narrow"/>
          <w:sz w:val="24"/>
          <w:szCs w:val="24"/>
          <w:lang w:val="es-ES"/>
        </w:rPr>
      </w:pPr>
      <w:r w:rsidRPr="006B0A3F">
        <w:rPr>
          <w:rFonts w:ascii="Arial Narrow" w:hAnsi="Arial Narrow"/>
          <w:sz w:val="24"/>
          <w:szCs w:val="24"/>
          <w:lang w:val="es-ES"/>
        </w:rPr>
        <w:t>Martha Giraldo Villano</w:t>
      </w:r>
    </w:p>
    <w:p w:rsidR="00BA448B" w:rsidRPr="006B0A3F" w:rsidRDefault="00BA448B" w:rsidP="00D8065B">
      <w:pPr>
        <w:pStyle w:val="NoSpacing"/>
        <w:jc w:val="both"/>
        <w:rPr>
          <w:rFonts w:ascii="Arial Narrow" w:hAnsi="Arial Narrow"/>
          <w:sz w:val="24"/>
          <w:szCs w:val="24"/>
          <w:lang w:val="es-ES"/>
        </w:rPr>
      </w:pPr>
      <w:r w:rsidRPr="006B0A3F">
        <w:rPr>
          <w:rFonts w:ascii="Arial Narrow" w:hAnsi="Arial Narrow"/>
          <w:sz w:val="24"/>
          <w:szCs w:val="24"/>
          <w:lang w:val="es-ES"/>
        </w:rPr>
        <w:t>Secretaria técnica</w:t>
      </w:r>
      <w:r w:rsidR="00773A1D" w:rsidRPr="006B0A3F">
        <w:rPr>
          <w:rFonts w:ascii="Arial Narrow" w:hAnsi="Arial Narrow"/>
          <w:sz w:val="24"/>
          <w:szCs w:val="24"/>
          <w:lang w:val="es-ES"/>
        </w:rPr>
        <w:t xml:space="preserve"> </w:t>
      </w:r>
      <w:r w:rsidRPr="006B0A3F">
        <w:rPr>
          <w:rFonts w:ascii="Arial Narrow" w:hAnsi="Arial Narrow"/>
          <w:sz w:val="24"/>
          <w:szCs w:val="24"/>
          <w:lang w:val="es-ES"/>
        </w:rPr>
        <w:t xml:space="preserve">Movice Valle </w:t>
      </w:r>
    </w:p>
    <w:p w:rsidR="00672B7A" w:rsidRPr="006B0A3F" w:rsidRDefault="00773A1D" w:rsidP="00D8065B">
      <w:pPr>
        <w:pStyle w:val="NoSpacing"/>
        <w:jc w:val="both"/>
        <w:rPr>
          <w:rFonts w:ascii="Arial Narrow" w:eastAsia="Constantia" w:hAnsi="Arial Narrow" w:cs="Constantia"/>
          <w:sz w:val="24"/>
          <w:szCs w:val="24"/>
          <w:lang w:val="es-ES"/>
        </w:rPr>
      </w:pPr>
      <w:r w:rsidRPr="006B0A3F">
        <w:rPr>
          <w:rFonts w:ascii="Arial Narrow" w:hAnsi="Arial Narrow"/>
          <w:sz w:val="24"/>
          <w:szCs w:val="24"/>
          <w:lang w:val="es-ES"/>
        </w:rPr>
        <w:t>Representante Legal Corporación Plural.</w:t>
      </w:r>
    </w:p>
    <w:sectPr w:rsidR="00672B7A" w:rsidRPr="006B0A3F" w:rsidSect="00953834">
      <w:headerReference w:type="default" r:id="rId9"/>
      <w:footerReference w:type="default" r:id="rId10"/>
      <w:pgSz w:w="12240" w:h="15840"/>
      <w:pgMar w:top="1417" w:right="1701" w:bottom="1417" w:left="1701" w:header="0" w:footer="567" w:gutter="0"/>
      <w:pgNumType w:start="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3818" w:rsidRDefault="007B3818" w:rsidP="00493AB8">
      <w:pPr>
        <w:spacing w:after="0" w:line="240" w:lineRule="auto"/>
      </w:pPr>
      <w:r>
        <w:separator/>
      </w:r>
    </w:p>
  </w:endnote>
  <w:endnote w:type="continuationSeparator" w:id="0">
    <w:p w:rsidR="007B3818" w:rsidRDefault="007B3818" w:rsidP="00493A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EE8" w:rsidRDefault="00D92E83" w:rsidP="008F694F">
    <w:pPr>
      <w:pStyle w:val="NoSpacing"/>
      <w:jc w:val="center"/>
      <w:rPr>
        <w:rFonts w:ascii="Tahoma" w:hAnsi="Tahoma" w:cs="Tahoma"/>
        <w:b/>
        <w:color w:val="E36C0A"/>
        <w:kern w:val="0"/>
        <w:sz w:val="20"/>
        <w:szCs w:val="20"/>
        <w:lang w:val="es-CO"/>
      </w:rPr>
    </w:pPr>
    <w:r w:rsidRPr="00F91EE8">
      <w:rPr>
        <w:rFonts w:ascii="Tahoma" w:hAnsi="Tahoma" w:cs="Tahoma"/>
        <w:b/>
        <w:color w:val="E36C0A"/>
        <w:kern w:val="0"/>
        <w:sz w:val="20"/>
        <w:szCs w:val="20"/>
        <w:lang w:val="es-CO"/>
      </w:rPr>
      <w:t xml:space="preserve">Carrera </w:t>
    </w:r>
    <w:r w:rsidR="00D17916" w:rsidRPr="00F91EE8">
      <w:rPr>
        <w:rFonts w:ascii="Tahoma" w:hAnsi="Tahoma" w:cs="Tahoma"/>
        <w:b/>
        <w:color w:val="E36C0A"/>
        <w:kern w:val="0"/>
        <w:sz w:val="20"/>
        <w:szCs w:val="20"/>
        <w:lang w:val="es-CO"/>
      </w:rPr>
      <w:t xml:space="preserve">25 # 5-112 </w:t>
    </w:r>
    <w:r w:rsidRPr="00F91EE8">
      <w:rPr>
        <w:rFonts w:ascii="Tahoma" w:hAnsi="Tahoma" w:cs="Tahoma"/>
        <w:b/>
        <w:color w:val="E36C0A"/>
        <w:kern w:val="0"/>
        <w:sz w:val="20"/>
        <w:szCs w:val="20"/>
        <w:lang w:val="es-CO"/>
      </w:rPr>
      <w:t>Cali</w:t>
    </w:r>
    <w:r w:rsidR="00B25D6C" w:rsidRPr="00F91EE8">
      <w:rPr>
        <w:rFonts w:ascii="Tahoma" w:hAnsi="Tahoma" w:cs="Tahoma"/>
        <w:b/>
        <w:color w:val="E36C0A"/>
        <w:kern w:val="0"/>
        <w:sz w:val="20"/>
        <w:szCs w:val="20"/>
        <w:lang w:val="es-CO"/>
      </w:rPr>
      <w:t xml:space="preserve"> </w:t>
    </w:r>
    <w:r w:rsidR="00F91EE8">
      <w:rPr>
        <w:rFonts w:ascii="Tahoma" w:hAnsi="Tahoma" w:cs="Tahoma"/>
        <w:b/>
        <w:color w:val="E36C0A"/>
        <w:kern w:val="0"/>
        <w:sz w:val="20"/>
        <w:szCs w:val="20"/>
        <w:lang w:val="es-CO"/>
      </w:rPr>
      <w:t>–</w:t>
    </w:r>
    <w:r w:rsidRPr="00F91EE8">
      <w:rPr>
        <w:rFonts w:ascii="Tahoma" w:hAnsi="Tahoma" w:cs="Tahoma"/>
        <w:b/>
        <w:color w:val="E36C0A"/>
        <w:kern w:val="0"/>
        <w:sz w:val="20"/>
        <w:szCs w:val="20"/>
        <w:lang w:val="es-CO"/>
      </w:rPr>
      <w:t xml:space="preserve"> Valle</w:t>
    </w:r>
  </w:p>
  <w:p w:rsidR="00493AB8" w:rsidRPr="00F91EE8" w:rsidRDefault="00D92E83" w:rsidP="00EA5088">
    <w:pPr>
      <w:pStyle w:val="NoSpacing"/>
      <w:jc w:val="center"/>
      <w:rPr>
        <w:rFonts w:ascii="Tahoma" w:hAnsi="Tahoma" w:cs="Tahoma"/>
        <w:b/>
        <w:color w:val="E36C0A"/>
        <w:kern w:val="0"/>
        <w:sz w:val="20"/>
        <w:szCs w:val="20"/>
        <w:lang w:val="es-CO"/>
      </w:rPr>
    </w:pPr>
    <w:r w:rsidRPr="00F91EE8">
      <w:rPr>
        <w:rFonts w:ascii="Tahoma" w:hAnsi="Tahoma" w:cs="Tahoma"/>
        <w:b/>
        <w:color w:val="E36C0A"/>
        <w:kern w:val="0"/>
        <w:sz w:val="20"/>
        <w:szCs w:val="20"/>
        <w:lang w:val="es-CO"/>
      </w:rPr>
      <w:t xml:space="preserve"> </w:t>
    </w:r>
    <w:r w:rsidR="00CB1EE4" w:rsidRPr="00F91EE8">
      <w:rPr>
        <w:rFonts w:ascii="Tahoma" w:hAnsi="Tahoma" w:cs="Tahoma"/>
        <w:b/>
        <w:color w:val="E36C0A"/>
        <w:kern w:val="0"/>
        <w:sz w:val="20"/>
        <w:szCs w:val="20"/>
        <w:lang w:val="es-CO"/>
      </w:rPr>
      <w:t xml:space="preserve"> E-mail </w:t>
    </w:r>
    <w:hyperlink r:id="rId1" w:history="1">
      <w:r w:rsidR="000338FD" w:rsidRPr="0063053C">
        <w:rPr>
          <w:rStyle w:val="Hipervnculo"/>
          <w:rFonts w:ascii="Tahoma" w:hAnsi="Tahoma" w:cs="Tahoma"/>
          <w:b/>
          <w:kern w:val="0"/>
          <w:sz w:val="20"/>
          <w:szCs w:val="20"/>
          <w:lang w:val="es-CO"/>
        </w:rPr>
        <w:t>corpluralcali@gmail.com</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3818" w:rsidRDefault="007B3818" w:rsidP="00493AB8">
      <w:pPr>
        <w:spacing w:after="0" w:line="240" w:lineRule="auto"/>
      </w:pPr>
      <w:r>
        <w:separator/>
      </w:r>
    </w:p>
  </w:footnote>
  <w:footnote w:type="continuationSeparator" w:id="0">
    <w:p w:rsidR="007B3818" w:rsidRDefault="007B3818" w:rsidP="00493A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3246" w:rsidRDefault="001C5C6A" w:rsidP="003A3246">
    <w:pPr>
      <w:pStyle w:val="NoSpacing"/>
      <w:jc w:val="center"/>
      <w:rPr>
        <w:noProof/>
        <w:lang w:val="es-CO"/>
      </w:rPr>
    </w:pPr>
    <w:r>
      <w:rPr>
        <w:b/>
        <w:noProof/>
        <w:lang w:val="es-CO" w:eastAsia="es-CO"/>
      </w:rPr>
      <w:drawing>
        <wp:anchor distT="0" distB="0" distL="114300" distR="114300" simplePos="0" relativeHeight="251657216" behindDoc="1" locked="0" layoutInCell="1" allowOverlap="1">
          <wp:simplePos x="0" y="0"/>
          <wp:positionH relativeFrom="column">
            <wp:posOffset>-165100</wp:posOffset>
          </wp:positionH>
          <wp:positionV relativeFrom="paragraph">
            <wp:posOffset>-102870</wp:posOffset>
          </wp:positionV>
          <wp:extent cx="1504315" cy="968375"/>
          <wp:effectExtent l="0" t="0" r="0" b="0"/>
          <wp:wrapThrough wrapText="bothSides">
            <wp:wrapPolygon edited="0">
              <wp:start x="0" y="0"/>
              <wp:lineTo x="0" y="21246"/>
              <wp:lineTo x="21336" y="21246"/>
              <wp:lineTo x="21336" y="0"/>
              <wp:lineTo x="0" y="0"/>
            </wp:wrapPolygon>
          </wp:wrapThrough>
          <wp:docPr id="1" name="Imagen 3" descr="PDF - Curvas-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DF - Curvas-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315" cy="968375"/>
                  </a:xfrm>
                  <a:prstGeom prst="rect">
                    <a:avLst/>
                  </a:prstGeom>
                  <a:noFill/>
                  <a:ln>
                    <a:noFill/>
                  </a:ln>
                </pic:spPr>
              </pic:pic>
            </a:graphicData>
          </a:graphic>
          <wp14:sizeRelH relativeFrom="page">
            <wp14:pctWidth>0</wp14:pctWidth>
          </wp14:sizeRelH>
          <wp14:sizeRelV relativeFrom="page">
            <wp14:pctHeight>0</wp14:pctHeight>
          </wp14:sizeRelV>
        </wp:anchor>
      </w:drawing>
    </w:r>
    <w:r w:rsidR="003A3246">
      <w:rPr>
        <w:noProof/>
        <w:lang w:val="es-CO"/>
      </w:rPr>
      <w:t xml:space="preserve">                                                                    </w:t>
    </w:r>
    <w:r w:rsidR="00E632EF">
      <w:rPr>
        <w:noProof/>
        <w:lang w:val="es-CO"/>
      </w:rPr>
      <w:t xml:space="preserve">                                      </w:t>
    </w:r>
  </w:p>
  <w:p w:rsidR="00E701AE" w:rsidRPr="00C22629" w:rsidRDefault="00E34F07" w:rsidP="00E34F07">
    <w:pPr>
      <w:pStyle w:val="NoSpacing"/>
      <w:tabs>
        <w:tab w:val="left" w:pos="2380"/>
        <w:tab w:val="center" w:pos="4419"/>
      </w:tabs>
      <w:rPr>
        <w:b/>
        <w:noProof/>
        <w:lang w:val="es-CO"/>
      </w:rPr>
    </w:pPr>
    <w:r>
      <w:rPr>
        <w:b/>
        <w:noProof/>
        <w:lang w:val="es-CO"/>
      </w:rPr>
      <w:tab/>
    </w:r>
    <w:r>
      <w:rPr>
        <w:b/>
        <w:noProof/>
        <w:lang w:val="es-CO"/>
      </w:rPr>
      <w:tab/>
    </w:r>
    <w:r w:rsidR="001C5C6A">
      <w:rPr>
        <w:noProof/>
        <w:lang w:val="es-CO" w:eastAsia="es-CO"/>
      </w:rPr>
      <w:drawing>
        <wp:anchor distT="0" distB="0" distL="114300" distR="114300" simplePos="0" relativeHeight="251658240" behindDoc="1" locked="0" layoutInCell="1" allowOverlap="1">
          <wp:simplePos x="0" y="0"/>
          <wp:positionH relativeFrom="column">
            <wp:posOffset>1339215</wp:posOffset>
          </wp:positionH>
          <wp:positionV relativeFrom="paragraph">
            <wp:posOffset>635</wp:posOffset>
          </wp:positionV>
          <wp:extent cx="1200150" cy="503555"/>
          <wp:effectExtent l="0" t="0" r="0" b="0"/>
          <wp:wrapTight wrapText="bothSides">
            <wp:wrapPolygon edited="0">
              <wp:start x="0" y="0"/>
              <wp:lineTo x="0" y="20429"/>
              <wp:lineTo x="21257" y="20429"/>
              <wp:lineTo x="21257" y="0"/>
              <wp:lineTo x="0" y="0"/>
            </wp:wrapPolygon>
          </wp:wrapTight>
          <wp:docPr id="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0150" cy="503555"/>
                  </a:xfrm>
                  <a:prstGeom prst="rect">
                    <a:avLst/>
                  </a:prstGeom>
                  <a:noFill/>
                  <a:ln>
                    <a:noFill/>
                  </a:ln>
                </pic:spPr>
              </pic:pic>
            </a:graphicData>
          </a:graphic>
          <wp14:sizeRelH relativeFrom="page">
            <wp14:pctWidth>0</wp14:pctWidth>
          </wp14:sizeRelH>
          <wp14:sizeRelV relativeFrom="page">
            <wp14:pctHeight>0</wp14:pctHeight>
          </wp14:sizeRelV>
        </wp:anchor>
      </w:drawing>
    </w:r>
    <w:r w:rsidR="003A3246" w:rsidRPr="00C22629">
      <w:rPr>
        <w:b/>
        <w:noProof/>
        <w:lang w:val="es-CO"/>
      </w:rPr>
      <w:t xml:space="preserve">                                                                                </w:t>
    </w:r>
  </w:p>
  <w:p w:rsidR="00011700" w:rsidRDefault="00E34F07" w:rsidP="00E34F07">
    <w:pPr>
      <w:pStyle w:val="NoSpacing"/>
      <w:tabs>
        <w:tab w:val="left" w:pos="2180"/>
        <w:tab w:val="right" w:pos="8838"/>
      </w:tabs>
      <w:rPr>
        <w:b/>
        <w:noProof/>
        <w:lang w:val="es-CO"/>
      </w:rPr>
    </w:pPr>
    <w:r>
      <w:rPr>
        <w:b/>
        <w:noProof/>
        <w:lang w:val="es-CO"/>
      </w:rPr>
      <w:tab/>
    </w:r>
    <w:r>
      <w:rPr>
        <w:b/>
        <w:noProof/>
        <w:lang w:val="es-CO"/>
      </w:rPr>
      <w:tab/>
    </w:r>
    <w:r w:rsidR="00E701AE" w:rsidRPr="00C22629">
      <w:rPr>
        <w:b/>
        <w:noProof/>
        <w:lang w:val="es-CO"/>
      </w:rPr>
      <w:t xml:space="preserve">                </w:t>
    </w:r>
    <w:r w:rsidR="00236F14">
      <w:rPr>
        <w:b/>
        <w:noProof/>
        <w:lang w:val="es-CO"/>
      </w:rPr>
      <w:t xml:space="preserve">                      </w:t>
    </w:r>
    <w:r w:rsidR="00C22629">
      <w:rPr>
        <w:b/>
        <w:noProof/>
        <w:lang w:val="es-CO"/>
      </w:rPr>
      <w:t xml:space="preserve">       </w:t>
    </w:r>
  </w:p>
  <w:p w:rsidR="000151C2" w:rsidRDefault="000151C2" w:rsidP="000151C2">
    <w:pPr>
      <w:pStyle w:val="NoSpacing"/>
      <w:tabs>
        <w:tab w:val="left" w:pos="6270"/>
      </w:tabs>
      <w:rPr>
        <w:b/>
        <w:noProof/>
        <w:lang w:val="es-CO"/>
      </w:rPr>
    </w:pPr>
    <w:r>
      <w:rPr>
        <w:b/>
        <w:noProof/>
        <w:lang w:val="es-CO"/>
      </w:rPr>
      <w:tab/>
    </w:r>
  </w:p>
  <w:p w:rsidR="000151C2" w:rsidRDefault="00D31678" w:rsidP="008F694F">
    <w:pPr>
      <w:pStyle w:val="NoSpacing"/>
      <w:tabs>
        <w:tab w:val="left" w:pos="2620"/>
      </w:tabs>
      <w:rPr>
        <w:b/>
        <w:noProof/>
        <w:lang w:val="es-CO"/>
      </w:rPr>
    </w:pPr>
    <w:r>
      <w:rPr>
        <w:b/>
        <w:noProof/>
        <w:lang w:val="es-CO"/>
      </w:rPr>
      <w:t xml:space="preserve"> </w:t>
    </w:r>
    <w:r>
      <w:rPr>
        <w:b/>
        <w:noProof/>
        <w:lang w:val="es-CO"/>
      </w:rPr>
      <w:tab/>
    </w:r>
    <w:r w:rsidR="008F694F">
      <w:rPr>
        <w:b/>
        <w:noProof/>
        <w:lang w:val="es-CO"/>
      </w:rPr>
      <w:t xml:space="preserve">      </w:t>
    </w:r>
    <w:r w:rsidR="001C5C6A">
      <w:rPr>
        <w:b/>
        <w:noProof/>
        <w:lang w:val="es-CO" w:eastAsia="es-CO"/>
      </w:rPr>
      <w:drawing>
        <wp:inline distT="0" distB="0" distL="0" distR="0">
          <wp:extent cx="5607050" cy="5607050"/>
          <wp:effectExtent l="0" t="0" r="0" b="0"/>
          <wp:docPr id="2" name="Imagen 2" descr="LOGO MO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MOVIC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07050" cy="5607050"/>
                  </a:xfrm>
                  <a:prstGeom prst="rect">
                    <a:avLst/>
                  </a:prstGeom>
                  <a:noFill/>
                  <a:ln>
                    <a:noFill/>
                  </a:ln>
                </pic:spPr>
              </pic:pic>
            </a:graphicData>
          </a:graphic>
        </wp:inline>
      </w:drawing>
    </w:r>
  </w:p>
  <w:p w:rsidR="00011700" w:rsidRDefault="000151C2" w:rsidP="000151C2">
    <w:pPr>
      <w:pStyle w:val="NoSpacing"/>
      <w:tabs>
        <w:tab w:val="left" w:pos="1200"/>
        <w:tab w:val="right" w:pos="8838"/>
      </w:tabs>
      <w:rPr>
        <w:rFonts w:ascii="Cambria" w:hAnsi="Cambria"/>
        <w:b/>
        <w:i/>
        <w:iCs/>
        <w:noProof/>
        <w:color w:val="E36C0A"/>
        <w:sz w:val="24"/>
        <w:szCs w:val="24"/>
        <w:lang w:val="es-CO"/>
      </w:rPr>
    </w:pPr>
    <w:r>
      <w:rPr>
        <w:b/>
        <w:noProof/>
        <w:lang w:val="es-CO"/>
      </w:rPr>
      <w:tab/>
    </w:r>
    <w:r w:rsidR="00C22629" w:rsidRPr="00460207">
      <w:rPr>
        <w:b/>
        <w:noProof/>
        <w:lang w:val="es-CO"/>
      </w:rPr>
      <w:t xml:space="preserve"> </w:t>
    </w:r>
    <w:r w:rsidR="00011700" w:rsidRPr="00460207">
      <w:rPr>
        <w:b/>
        <w:noProof/>
        <w:lang w:val="es-CO"/>
      </w:rPr>
      <w:t xml:space="preserve">    </w:t>
    </w:r>
  </w:p>
  <w:p w:rsidR="00011700" w:rsidRDefault="001C5C6A" w:rsidP="00011700">
    <w:pPr>
      <w:pStyle w:val="NoSpacing"/>
      <w:jc w:val="right"/>
      <w:rPr>
        <w:rFonts w:ascii="Cambria" w:hAnsi="Cambria"/>
        <w:b/>
        <w:i/>
        <w:iCs/>
        <w:noProof/>
        <w:color w:val="E36C0A"/>
        <w:sz w:val="24"/>
        <w:szCs w:val="24"/>
        <w:lang w:val="es-CO"/>
      </w:rPr>
    </w:pPr>
    <w:r>
      <w:rPr>
        <w:rFonts w:ascii="Cambria" w:hAnsi="Cambria"/>
        <w:b/>
        <w:i/>
        <w:iCs/>
        <w:noProof/>
        <w:color w:val="E36C0A"/>
        <w:sz w:val="24"/>
        <w:szCs w:val="24"/>
        <w:lang w:val="es-CO" w:eastAsia="es-CO"/>
      </w:rPr>
      <w:drawing>
        <wp:inline distT="0" distB="0" distL="0" distR="0">
          <wp:extent cx="5600700" cy="5600700"/>
          <wp:effectExtent l="0" t="0" r="0" b="0"/>
          <wp:docPr id="3" name="Imagen 3" descr="Logo Movice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Movice 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00700" cy="5600700"/>
                  </a:xfrm>
                  <a:prstGeom prst="rect">
                    <a:avLst/>
                  </a:prstGeom>
                  <a:noFill/>
                  <a:ln>
                    <a:noFill/>
                  </a:ln>
                </pic:spPr>
              </pic:pic>
            </a:graphicData>
          </a:graphic>
        </wp:inline>
      </w:drawing>
    </w:r>
  </w:p>
  <w:p w:rsidR="000151C2" w:rsidRDefault="000151C2" w:rsidP="00011700">
    <w:pPr>
      <w:pStyle w:val="NoSpacing"/>
      <w:jc w:val="right"/>
      <w:rPr>
        <w:rFonts w:ascii="Cambria" w:hAnsi="Cambria"/>
        <w:b/>
        <w:i/>
        <w:iCs/>
        <w:noProof/>
        <w:color w:val="E36C0A"/>
        <w:sz w:val="24"/>
        <w:szCs w:val="24"/>
        <w:lang w:val="es-CO"/>
      </w:rPr>
    </w:pPr>
  </w:p>
  <w:p w:rsidR="000151C2" w:rsidRPr="00C22629" w:rsidRDefault="000151C2" w:rsidP="00011700">
    <w:pPr>
      <w:pStyle w:val="NoSpacing"/>
      <w:jc w:val="right"/>
      <w:rPr>
        <w:rFonts w:ascii="Cambria" w:hAnsi="Cambria"/>
        <w:b/>
        <w:i/>
        <w:iCs/>
        <w:noProof/>
        <w:color w:val="E36C0A"/>
        <w:sz w:val="24"/>
        <w:szCs w:val="24"/>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D7D40"/>
    <w:multiLevelType w:val="hybridMultilevel"/>
    <w:tmpl w:val="8AF8BE90"/>
    <w:lvl w:ilvl="0" w:tplc="940899FA">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9A55F4"/>
    <w:multiLevelType w:val="multilevel"/>
    <w:tmpl w:val="7960DE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A8954D8"/>
    <w:multiLevelType w:val="hybridMultilevel"/>
    <w:tmpl w:val="DCB48BCE"/>
    <w:lvl w:ilvl="0" w:tplc="04186B5A">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76126F98"/>
    <w:multiLevelType w:val="hybridMultilevel"/>
    <w:tmpl w:val="38FEC4AC"/>
    <w:lvl w:ilvl="0" w:tplc="94CE281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7BBE77A8"/>
    <w:multiLevelType w:val="multilevel"/>
    <w:tmpl w:val="51EAF0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pos w:val="sectEnd"/>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493AB8"/>
    <w:rsid w:val="00011700"/>
    <w:rsid w:val="000151C2"/>
    <w:rsid w:val="00026742"/>
    <w:rsid w:val="000338FD"/>
    <w:rsid w:val="00054E6F"/>
    <w:rsid w:val="0006106A"/>
    <w:rsid w:val="0009352B"/>
    <w:rsid w:val="000B7991"/>
    <w:rsid w:val="00117BA9"/>
    <w:rsid w:val="00132F71"/>
    <w:rsid w:val="00140A71"/>
    <w:rsid w:val="00167221"/>
    <w:rsid w:val="001743C0"/>
    <w:rsid w:val="001858CC"/>
    <w:rsid w:val="001C5C6A"/>
    <w:rsid w:val="001E273D"/>
    <w:rsid w:val="00220BD5"/>
    <w:rsid w:val="00236F14"/>
    <w:rsid w:val="00244038"/>
    <w:rsid w:val="002679A1"/>
    <w:rsid w:val="002A71FA"/>
    <w:rsid w:val="002B525F"/>
    <w:rsid w:val="002C095F"/>
    <w:rsid w:val="002C186B"/>
    <w:rsid w:val="002D3DFD"/>
    <w:rsid w:val="002F2129"/>
    <w:rsid w:val="002F2448"/>
    <w:rsid w:val="002F2E5E"/>
    <w:rsid w:val="002F3809"/>
    <w:rsid w:val="00301A89"/>
    <w:rsid w:val="003129BC"/>
    <w:rsid w:val="0031767F"/>
    <w:rsid w:val="00320587"/>
    <w:rsid w:val="0033238C"/>
    <w:rsid w:val="0037327F"/>
    <w:rsid w:val="003A3246"/>
    <w:rsid w:val="003D22B9"/>
    <w:rsid w:val="003D36BD"/>
    <w:rsid w:val="003E4404"/>
    <w:rsid w:val="0041089F"/>
    <w:rsid w:val="00416C20"/>
    <w:rsid w:val="0042184E"/>
    <w:rsid w:val="0042277D"/>
    <w:rsid w:val="00424B27"/>
    <w:rsid w:val="00424FBC"/>
    <w:rsid w:val="0045331A"/>
    <w:rsid w:val="004556C5"/>
    <w:rsid w:val="00460207"/>
    <w:rsid w:val="00476C2B"/>
    <w:rsid w:val="0048123C"/>
    <w:rsid w:val="00491F09"/>
    <w:rsid w:val="00493AB8"/>
    <w:rsid w:val="0049533D"/>
    <w:rsid w:val="004C549F"/>
    <w:rsid w:val="004D0863"/>
    <w:rsid w:val="004E5356"/>
    <w:rsid w:val="00540A5B"/>
    <w:rsid w:val="00547784"/>
    <w:rsid w:val="00577321"/>
    <w:rsid w:val="00587686"/>
    <w:rsid w:val="00597794"/>
    <w:rsid w:val="005A1FD3"/>
    <w:rsid w:val="005B69C3"/>
    <w:rsid w:val="005E10B7"/>
    <w:rsid w:val="005F0402"/>
    <w:rsid w:val="00672B7A"/>
    <w:rsid w:val="006812F4"/>
    <w:rsid w:val="006976DA"/>
    <w:rsid w:val="006A111C"/>
    <w:rsid w:val="006B0A3F"/>
    <w:rsid w:val="006D1B04"/>
    <w:rsid w:val="006E0592"/>
    <w:rsid w:val="006F037B"/>
    <w:rsid w:val="006F17FA"/>
    <w:rsid w:val="00702B38"/>
    <w:rsid w:val="00716C88"/>
    <w:rsid w:val="00721BE1"/>
    <w:rsid w:val="00747245"/>
    <w:rsid w:val="00755979"/>
    <w:rsid w:val="00773A1D"/>
    <w:rsid w:val="00776B50"/>
    <w:rsid w:val="007A05B8"/>
    <w:rsid w:val="007B3818"/>
    <w:rsid w:val="007C31C6"/>
    <w:rsid w:val="007C40C3"/>
    <w:rsid w:val="007F5901"/>
    <w:rsid w:val="00800031"/>
    <w:rsid w:val="00801273"/>
    <w:rsid w:val="00826803"/>
    <w:rsid w:val="0083023F"/>
    <w:rsid w:val="00847379"/>
    <w:rsid w:val="0088124F"/>
    <w:rsid w:val="008D0677"/>
    <w:rsid w:val="008F694F"/>
    <w:rsid w:val="00904483"/>
    <w:rsid w:val="00934FB0"/>
    <w:rsid w:val="00944DDE"/>
    <w:rsid w:val="00953834"/>
    <w:rsid w:val="009569D8"/>
    <w:rsid w:val="009C4E2D"/>
    <w:rsid w:val="00A020F3"/>
    <w:rsid w:val="00A24EB0"/>
    <w:rsid w:val="00A2640A"/>
    <w:rsid w:val="00A267C4"/>
    <w:rsid w:val="00A37DC2"/>
    <w:rsid w:val="00A432DA"/>
    <w:rsid w:val="00A50BFA"/>
    <w:rsid w:val="00A512C3"/>
    <w:rsid w:val="00A53210"/>
    <w:rsid w:val="00A55705"/>
    <w:rsid w:val="00A72CD7"/>
    <w:rsid w:val="00AD18A5"/>
    <w:rsid w:val="00AE223D"/>
    <w:rsid w:val="00AF38B2"/>
    <w:rsid w:val="00AF5C07"/>
    <w:rsid w:val="00AF5F43"/>
    <w:rsid w:val="00B03B05"/>
    <w:rsid w:val="00B25D6C"/>
    <w:rsid w:val="00B400A7"/>
    <w:rsid w:val="00B412A4"/>
    <w:rsid w:val="00B52169"/>
    <w:rsid w:val="00B75DE3"/>
    <w:rsid w:val="00B85173"/>
    <w:rsid w:val="00B94E62"/>
    <w:rsid w:val="00BA448B"/>
    <w:rsid w:val="00BC463F"/>
    <w:rsid w:val="00BE4398"/>
    <w:rsid w:val="00BE7922"/>
    <w:rsid w:val="00BF5E8B"/>
    <w:rsid w:val="00C22629"/>
    <w:rsid w:val="00C542AC"/>
    <w:rsid w:val="00C70683"/>
    <w:rsid w:val="00C8097C"/>
    <w:rsid w:val="00CB1EE4"/>
    <w:rsid w:val="00CC2B81"/>
    <w:rsid w:val="00CF4B69"/>
    <w:rsid w:val="00D011DF"/>
    <w:rsid w:val="00D12220"/>
    <w:rsid w:val="00D124CD"/>
    <w:rsid w:val="00D17916"/>
    <w:rsid w:val="00D20200"/>
    <w:rsid w:val="00D31678"/>
    <w:rsid w:val="00D51A18"/>
    <w:rsid w:val="00D65E2D"/>
    <w:rsid w:val="00D7754C"/>
    <w:rsid w:val="00D8065B"/>
    <w:rsid w:val="00D90A2D"/>
    <w:rsid w:val="00D90CD7"/>
    <w:rsid w:val="00D92E83"/>
    <w:rsid w:val="00D932BF"/>
    <w:rsid w:val="00DA741C"/>
    <w:rsid w:val="00DC0012"/>
    <w:rsid w:val="00DD0CE1"/>
    <w:rsid w:val="00DD663A"/>
    <w:rsid w:val="00DE4329"/>
    <w:rsid w:val="00DF47B0"/>
    <w:rsid w:val="00E1548A"/>
    <w:rsid w:val="00E15A58"/>
    <w:rsid w:val="00E30EAE"/>
    <w:rsid w:val="00E34F07"/>
    <w:rsid w:val="00E632EF"/>
    <w:rsid w:val="00E701AE"/>
    <w:rsid w:val="00EA5088"/>
    <w:rsid w:val="00EE6D2C"/>
    <w:rsid w:val="00F1101D"/>
    <w:rsid w:val="00F302BF"/>
    <w:rsid w:val="00F3271A"/>
    <w:rsid w:val="00F43FE1"/>
    <w:rsid w:val="00F60094"/>
    <w:rsid w:val="00F748CC"/>
    <w:rsid w:val="00F74F05"/>
    <w:rsid w:val="00F76D55"/>
    <w:rsid w:val="00F86AC5"/>
    <w:rsid w:val="00F91EE8"/>
    <w:rsid w:val="00F943FA"/>
    <w:rsid w:val="00FD6975"/>
    <w:rsid w:val="00FF11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4337E4E-B6E8-4F04-BEE3-292D586AD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overflowPunct w:val="0"/>
      <w:adjustRightInd w:val="0"/>
      <w:spacing w:after="240" w:line="275" w:lineRule="auto"/>
    </w:pPr>
    <w:rPr>
      <w:rFonts w:cs="Calibri"/>
      <w:kern w:val="28"/>
      <w:sz w:val="22"/>
      <w:szCs w:val="22"/>
      <w:lang w:val="en-U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Spacing">
    <w:name w:val="No Spacing"/>
    <w:uiPriority w:val="1"/>
    <w:qFormat/>
    <w:rsid w:val="00EA5088"/>
    <w:pPr>
      <w:widowControl w:val="0"/>
      <w:overflowPunct w:val="0"/>
      <w:adjustRightInd w:val="0"/>
    </w:pPr>
    <w:rPr>
      <w:rFonts w:cs="Calibri"/>
      <w:kern w:val="28"/>
      <w:sz w:val="22"/>
      <w:szCs w:val="22"/>
      <w:lang w:val="en-US" w:eastAsia="en-US"/>
    </w:rPr>
  </w:style>
  <w:style w:type="paragraph" w:styleId="Encabezado">
    <w:name w:val="header"/>
    <w:basedOn w:val="Normal"/>
    <w:link w:val="EncabezadoCar"/>
    <w:uiPriority w:val="99"/>
    <w:unhideWhenUsed/>
    <w:rsid w:val="00EA5088"/>
    <w:pPr>
      <w:tabs>
        <w:tab w:val="center" w:pos="4419"/>
        <w:tab w:val="right" w:pos="8838"/>
      </w:tabs>
    </w:pPr>
  </w:style>
  <w:style w:type="character" w:customStyle="1" w:styleId="EncabezadoCar">
    <w:name w:val="Encabezado Car"/>
    <w:link w:val="Encabezado"/>
    <w:uiPriority w:val="99"/>
    <w:rsid w:val="00EA5088"/>
    <w:rPr>
      <w:rFonts w:cs="Calibri"/>
      <w:kern w:val="28"/>
      <w:sz w:val="22"/>
      <w:szCs w:val="22"/>
    </w:rPr>
  </w:style>
  <w:style w:type="paragraph" w:styleId="Piedepgina">
    <w:name w:val="footer"/>
    <w:basedOn w:val="Normal"/>
    <w:link w:val="PiedepginaCar"/>
    <w:uiPriority w:val="99"/>
    <w:unhideWhenUsed/>
    <w:rsid w:val="00EA5088"/>
    <w:pPr>
      <w:tabs>
        <w:tab w:val="center" w:pos="4419"/>
        <w:tab w:val="right" w:pos="8838"/>
      </w:tabs>
    </w:pPr>
  </w:style>
  <w:style w:type="character" w:customStyle="1" w:styleId="PiedepginaCar">
    <w:name w:val="Pie de página Car"/>
    <w:link w:val="Piedepgina"/>
    <w:uiPriority w:val="99"/>
    <w:rsid w:val="00EA5088"/>
    <w:rPr>
      <w:rFonts w:cs="Calibri"/>
      <w:kern w:val="28"/>
      <w:sz w:val="22"/>
      <w:szCs w:val="22"/>
    </w:rPr>
  </w:style>
  <w:style w:type="paragraph" w:styleId="Textodeglobo">
    <w:name w:val="Balloon Text"/>
    <w:basedOn w:val="Normal"/>
    <w:link w:val="TextodegloboCar"/>
    <w:uiPriority w:val="99"/>
    <w:semiHidden/>
    <w:unhideWhenUsed/>
    <w:rsid w:val="00EA508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EA5088"/>
    <w:rPr>
      <w:rFonts w:ascii="Tahoma" w:hAnsi="Tahoma" w:cs="Tahoma"/>
      <w:kern w:val="28"/>
      <w:sz w:val="16"/>
      <w:szCs w:val="16"/>
    </w:rPr>
  </w:style>
  <w:style w:type="character" w:styleId="Hipervnculo">
    <w:name w:val="Hyperlink"/>
    <w:uiPriority w:val="99"/>
    <w:unhideWhenUsed/>
    <w:rsid w:val="00E701AE"/>
    <w:rPr>
      <w:color w:val="0000FF"/>
      <w:u w:val="single"/>
    </w:rPr>
  </w:style>
  <w:style w:type="paragraph" w:styleId="Sinespaciado">
    <w:name w:val="No Spacing"/>
    <w:uiPriority w:val="1"/>
    <w:qFormat/>
    <w:rsid w:val="00B85173"/>
    <w:rPr>
      <w:rFonts w:eastAsia="Calibri"/>
      <w:sz w:val="22"/>
      <w:szCs w:val="22"/>
      <w:lang w:eastAsia="en-US"/>
    </w:rPr>
  </w:style>
  <w:style w:type="paragraph" w:styleId="Prrafodelista">
    <w:name w:val="List Paragraph"/>
    <w:basedOn w:val="Normal"/>
    <w:uiPriority w:val="34"/>
    <w:qFormat/>
    <w:rsid w:val="000151C2"/>
    <w:pPr>
      <w:widowControl/>
      <w:overflowPunct/>
      <w:adjustRightInd/>
      <w:spacing w:after="160" w:line="259" w:lineRule="auto"/>
      <w:ind w:left="720"/>
      <w:contextualSpacing/>
    </w:pPr>
    <w:rPr>
      <w:rFonts w:eastAsia="Calibri" w:cs="Times New Roman"/>
      <w:kern w:val="0"/>
      <w:lang w:val="es-CO"/>
    </w:rPr>
  </w:style>
  <w:style w:type="character" w:customStyle="1" w:styleId="Mencinsinresolver">
    <w:name w:val="Mención sin resolver"/>
    <w:uiPriority w:val="99"/>
    <w:semiHidden/>
    <w:unhideWhenUsed/>
    <w:rsid w:val="00D17916"/>
    <w:rPr>
      <w:color w:val="605E5C"/>
      <w:shd w:val="clear" w:color="auto" w:fill="E1DFDD"/>
    </w:rPr>
  </w:style>
  <w:style w:type="table" w:styleId="Tablaconcuadrcula">
    <w:name w:val="Table Grid"/>
    <w:basedOn w:val="Tablanormal"/>
    <w:uiPriority w:val="39"/>
    <w:rsid w:val="00F302BF"/>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302BF"/>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302BF"/>
    <w:pPr>
      <w:overflowPunct/>
      <w:autoSpaceDE w:val="0"/>
      <w:autoSpaceDN w:val="0"/>
      <w:adjustRightInd/>
      <w:spacing w:after="0" w:line="240" w:lineRule="auto"/>
      <w:ind w:left="71"/>
    </w:pPr>
    <w:rPr>
      <w:rFonts w:eastAsia="Calibri"/>
      <w:kern w:val="0"/>
      <w:lang w:val="es-ES"/>
    </w:rPr>
  </w:style>
  <w:style w:type="paragraph" w:styleId="Ttulo">
    <w:name w:val="Title"/>
    <w:basedOn w:val="Normal"/>
    <w:link w:val="TtuloCar"/>
    <w:uiPriority w:val="10"/>
    <w:qFormat/>
    <w:rsid w:val="00F302BF"/>
    <w:pPr>
      <w:overflowPunct/>
      <w:autoSpaceDE w:val="0"/>
      <w:autoSpaceDN w:val="0"/>
      <w:adjustRightInd/>
      <w:spacing w:after="0" w:line="240" w:lineRule="auto"/>
      <w:ind w:left="783" w:right="1238"/>
      <w:jc w:val="center"/>
    </w:pPr>
    <w:rPr>
      <w:rFonts w:ascii="Arial" w:eastAsia="Arial" w:hAnsi="Arial" w:cs="Arial"/>
      <w:b/>
      <w:bCs/>
      <w:kern w:val="0"/>
      <w:sz w:val="24"/>
      <w:szCs w:val="24"/>
      <w:lang w:val="es-ES"/>
    </w:rPr>
  </w:style>
  <w:style w:type="character" w:customStyle="1" w:styleId="TtuloCar">
    <w:name w:val="Título Car"/>
    <w:link w:val="Ttulo"/>
    <w:uiPriority w:val="10"/>
    <w:rsid w:val="00F302BF"/>
    <w:rPr>
      <w:rFonts w:ascii="Arial" w:eastAsia="Arial" w:hAnsi="Arial" w:cs="Arial"/>
      <w:b/>
      <w:bCs/>
      <w:sz w:val="24"/>
      <w:szCs w:val="24"/>
      <w:lang w:val="es-ES" w:eastAsia="en-US"/>
    </w:rPr>
  </w:style>
  <w:style w:type="paragraph" w:customStyle="1" w:styleId="pdq2pgselectionanchorcontainer">
    <w:name w:val="pdq2pg_selectionanchorcontainer"/>
    <w:basedOn w:val="Normal"/>
    <w:rsid w:val="00D8065B"/>
    <w:pPr>
      <w:widowControl/>
      <w:overflowPunct/>
      <w:adjustRightInd/>
      <w:spacing w:before="100" w:beforeAutospacing="1" w:after="100" w:afterAutospacing="1" w:line="240" w:lineRule="auto"/>
    </w:pPr>
    <w:rPr>
      <w:rFonts w:ascii="Times New Roman" w:hAnsi="Times New Roman" w:cs="Times New Roman"/>
      <w:kern w:val="0"/>
      <w:sz w:val="24"/>
      <w:szCs w:val="24"/>
      <w:lang w:val="es-CO" w:eastAsia="es-CO"/>
    </w:rPr>
  </w:style>
  <w:style w:type="character" w:styleId="Textoennegrita">
    <w:name w:val="Strong"/>
    <w:uiPriority w:val="22"/>
    <w:qFormat/>
    <w:rsid w:val="00D8065B"/>
    <w:rPr>
      <w:b/>
      <w:bCs/>
    </w:rPr>
  </w:style>
  <w:style w:type="paragraph" w:styleId="NormalWeb">
    <w:name w:val="Normal (Web)"/>
    <w:basedOn w:val="Normal"/>
    <w:uiPriority w:val="99"/>
    <w:semiHidden/>
    <w:unhideWhenUsed/>
    <w:rsid w:val="00D8065B"/>
    <w:pPr>
      <w:widowControl/>
      <w:overflowPunct/>
      <w:adjustRightInd/>
      <w:spacing w:before="100" w:beforeAutospacing="1" w:after="100" w:afterAutospacing="1" w:line="240" w:lineRule="auto"/>
    </w:pPr>
    <w:rPr>
      <w:rFonts w:ascii="Times New Roman" w:hAnsi="Times New Roman" w:cs="Times New Roman"/>
      <w:kern w:val="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162404">
      <w:bodyDiv w:val="1"/>
      <w:marLeft w:val="0"/>
      <w:marRight w:val="0"/>
      <w:marTop w:val="0"/>
      <w:marBottom w:val="0"/>
      <w:divBdr>
        <w:top w:val="none" w:sz="0" w:space="0" w:color="auto"/>
        <w:left w:val="none" w:sz="0" w:space="0" w:color="auto"/>
        <w:bottom w:val="none" w:sz="0" w:space="0" w:color="auto"/>
        <w:right w:val="none" w:sz="0" w:space="0" w:color="auto"/>
      </w:divBdr>
    </w:div>
    <w:div w:id="929240166">
      <w:bodyDiv w:val="1"/>
      <w:marLeft w:val="0"/>
      <w:marRight w:val="0"/>
      <w:marTop w:val="0"/>
      <w:marBottom w:val="0"/>
      <w:divBdr>
        <w:top w:val="none" w:sz="0" w:space="0" w:color="auto"/>
        <w:left w:val="none" w:sz="0" w:space="0" w:color="auto"/>
        <w:bottom w:val="none" w:sz="0" w:space="0" w:color="auto"/>
        <w:right w:val="none" w:sz="0" w:space="0" w:color="auto"/>
      </w:divBdr>
    </w:div>
    <w:div w:id="1048649788">
      <w:bodyDiv w:val="1"/>
      <w:marLeft w:val="0"/>
      <w:marRight w:val="0"/>
      <w:marTop w:val="0"/>
      <w:marBottom w:val="0"/>
      <w:divBdr>
        <w:top w:val="none" w:sz="0" w:space="0" w:color="auto"/>
        <w:left w:val="none" w:sz="0" w:space="0" w:color="auto"/>
        <w:bottom w:val="none" w:sz="0" w:space="0" w:color="auto"/>
        <w:right w:val="none" w:sz="0" w:space="0" w:color="auto"/>
      </w:divBdr>
    </w:div>
    <w:div w:id="1972206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orpluralcali@gmail.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203FB2-7CCB-4A5D-9A71-B81525B4A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3336</Words>
  <Characters>18348</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21641</CharactersWithSpaces>
  <SharedDoc>false</SharedDoc>
  <HLinks>
    <vt:vector size="6" baseType="variant">
      <vt:variant>
        <vt:i4>7143499</vt:i4>
      </vt:variant>
      <vt:variant>
        <vt:i4>0</vt:i4>
      </vt:variant>
      <vt:variant>
        <vt:i4>0</vt:i4>
      </vt:variant>
      <vt:variant>
        <vt:i4>5</vt:i4>
      </vt:variant>
      <vt:variant>
        <vt:lpwstr>mailto:corpluralcali@gmail.com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Lucia Giraldo</dc:creator>
  <cp:keywords/>
  <cp:lastModifiedBy>ambar</cp:lastModifiedBy>
  <cp:revision>2</cp:revision>
  <cp:lastPrinted>2024-11-28T18:37:00Z</cp:lastPrinted>
  <dcterms:created xsi:type="dcterms:W3CDTF">2026-06-30T18:21:00Z</dcterms:created>
  <dcterms:modified xsi:type="dcterms:W3CDTF">2026-06-30T18:21:00Z</dcterms:modified>
</cp:coreProperties>
</file>