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0B7F5" w14:textId="7FA69671" w:rsidR="009F7497" w:rsidRDefault="009F7497">
      <w:pPr>
        <w:spacing w:after="280"/>
        <w:jc w:val="center"/>
        <w:rPr>
          <w:rFonts w:ascii="Arial" w:eastAsia="Arial" w:hAnsi="Arial" w:cs="Arial"/>
          <w:b/>
          <w:sz w:val="36"/>
          <w:szCs w:val="36"/>
        </w:rPr>
      </w:pPr>
    </w:p>
    <w:p w14:paraId="25CE1E94" w14:textId="112378DF" w:rsidR="009F7497" w:rsidRDefault="00D50095">
      <w:pPr>
        <w:spacing w:before="280" w:after="280"/>
        <w:jc w:val="center"/>
        <w:rPr>
          <w:rFonts w:ascii="Trebuchet MS" w:eastAsia="Trebuchet MS" w:hAnsi="Trebuchet MS" w:cs="Trebuchet MS"/>
          <w:b/>
          <w:sz w:val="48"/>
          <w:szCs w:val="48"/>
        </w:rPr>
      </w:pPr>
      <w:r>
        <w:rPr>
          <w:rFonts w:ascii="Trebuchet MS" w:eastAsia="Trebuchet MS" w:hAnsi="Trebuchet MS" w:cs="Trebuchet MS"/>
          <w:b/>
          <w:sz w:val="32"/>
          <w:szCs w:val="32"/>
        </w:rPr>
        <w:t>THEMATIC REPORT ON ARTICLE 16, FAMILY LAW AND WOMEN’S RIGHTS IN</w:t>
      </w:r>
      <w:r>
        <w:rPr>
          <w:rFonts w:ascii="Trebuchet MS" w:eastAsia="Trebuchet MS" w:hAnsi="Trebuchet MS" w:cs="Trebuchet MS"/>
          <w:b/>
          <w:sz w:val="48"/>
          <w:szCs w:val="48"/>
        </w:rPr>
        <w:t xml:space="preserve"> </w:t>
      </w:r>
    </w:p>
    <w:p w14:paraId="6F77CECE" w14:textId="6BEF3228" w:rsidR="009F7497" w:rsidRDefault="00A83401">
      <w:pPr>
        <w:spacing w:before="280" w:after="280"/>
        <w:jc w:val="center"/>
        <w:rPr>
          <w:rFonts w:ascii="Trebuchet MS" w:eastAsia="Trebuchet MS" w:hAnsi="Trebuchet MS" w:cs="Trebuchet MS"/>
          <w:b/>
          <w:sz w:val="36"/>
          <w:szCs w:val="36"/>
        </w:rPr>
      </w:pPr>
      <w:r>
        <w:rPr>
          <w:rFonts w:ascii="Trebuchet MS" w:eastAsia="Trebuchet MS" w:hAnsi="Trebuchet MS" w:cs="Trebuchet MS"/>
          <w:b/>
          <w:sz w:val="36"/>
          <w:szCs w:val="36"/>
        </w:rPr>
        <w:t>TURKEY</w:t>
      </w:r>
    </w:p>
    <w:p w14:paraId="6245BA22" w14:textId="77777777" w:rsidR="009F7497" w:rsidRDefault="00D50095">
      <w:pPr>
        <w:tabs>
          <w:tab w:val="left" w:pos="5532"/>
        </w:tabs>
        <w:rPr>
          <w:rFonts w:ascii="Trebuchet MS" w:eastAsia="Trebuchet MS" w:hAnsi="Trebuchet MS" w:cs="Trebuchet MS"/>
          <w:b/>
          <w:sz w:val="28"/>
          <w:szCs w:val="28"/>
        </w:rPr>
      </w:pPr>
      <w:r>
        <w:rPr>
          <w:rFonts w:ascii="Trebuchet MS" w:eastAsia="Trebuchet MS" w:hAnsi="Trebuchet MS" w:cs="Trebuchet MS"/>
          <w:b/>
          <w:sz w:val="28"/>
          <w:szCs w:val="28"/>
        </w:rPr>
        <w:tab/>
      </w:r>
    </w:p>
    <w:p w14:paraId="28028996" w14:textId="77777777" w:rsidR="009F7497" w:rsidRDefault="009F7497">
      <w:pPr>
        <w:tabs>
          <w:tab w:val="left" w:pos="5532"/>
        </w:tabs>
        <w:rPr>
          <w:rFonts w:ascii="Trebuchet MS" w:eastAsia="Trebuchet MS" w:hAnsi="Trebuchet MS" w:cs="Trebuchet MS"/>
          <w:b/>
          <w:sz w:val="28"/>
          <w:szCs w:val="28"/>
        </w:rPr>
      </w:pPr>
    </w:p>
    <w:p w14:paraId="0465142A" w14:textId="77777777" w:rsidR="009F7497" w:rsidRDefault="009F7497">
      <w:pPr>
        <w:tabs>
          <w:tab w:val="left" w:pos="5532"/>
        </w:tabs>
        <w:rPr>
          <w:rFonts w:ascii="Trebuchet MS" w:eastAsia="Trebuchet MS" w:hAnsi="Trebuchet MS" w:cs="Trebuchet MS"/>
          <w:b/>
          <w:sz w:val="28"/>
          <w:szCs w:val="28"/>
        </w:rPr>
      </w:pPr>
    </w:p>
    <w:p w14:paraId="34C34C7A" w14:textId="7F9CE94E" w:rsidR="009F7497" w:rsidRDefault="00A83401">
      <w:pPr>
        <w:jc w:val="center"/>
        <w:rPr>
          <w:rFonts w:ascii="Trebuchet MS" w:eastAsia="Trebuchet MS" w:hAnsi="Trebuchet MS" w:cs="Trebuchet MS"/>
          <w:b/>
          <w:sz w:val="28"/>
          <w:szCs w:val="28"/>
        </w:rPr>
      </w:pPr>
      <w:r>
        <w:rPr>
          <w:rFonts w:ascii="Trebuchet MS" w:eastAsia="Trebuchet MS" w:hAnsi="Trebuchet MS" w:cs="Trebuchet MS"/>
          <w:b/>
          <w:sz w:val="28"/>
          <w:szCs w:val="28"/>
        </w:rPr>
        <w:t>82</w:t>
      </w:r>
      <w:r w:rsidRPr="00A83401">
        <w:rPr>
          <w:rFonts w:ascii="Trebuchet MS" w:eastAsia="Trebuchet MS" w:hAnsi="Trebuchet MS" w:cs="Trebuchet MS"/>
          <w:b/>
          <w:sz w:val="28"/>
          <w:szCs w:val="28"/>
          <w:vertAlign w:val="superscript"/>
        </w:rPr>
        <w:t>nd</w:t>
      </w:r>
      <w:r>
        <w:rPr>
          <w:rFonts w:ascii="Trebuchet MS" w:eastAsia="Trebuchet MS" w:hAnsi="Trebuchet MS" w:cs="Trebuchet MS"/>
          <w:b/>
          <w:sz w:val="28"/>
          <w:szCs w:val="28"/>
        </w:rPr>
        <w:t xml:space="preserve"> </w:t>
      </w:r>
      <w:r w:rsidR="00D50095">
        <w:rPr>
          <w:rFonts w:ascii="Trebuchet MS" w:eastAsia="Trebuchet MS" w:hAnsi="Trebuchet MS" w:cs="Trebuchet MS"/>
          <w:b/>
          <w:sz w:val="28"/>
          <w:szCs w:val="28"/>
        </w:rPr>
        <w:t>CEDAW Session</w:t>
      </w:r>
    </w:p>
    <w:p w14:paraId="4359A728" w14:textId="77777777" w:rsidR="009F7497" w:rsidRDefault="00D50095">
      <w:pPr>
        <w:jc w:val="center"/>
        <w:rPr>
          <w:rFonts w:ascii="Trebuchet MS" w:eastAsia="Trebuchet MS" w:hAnsi="Trebuchet MS" w:cs="Trebuchet MS"/>
          <w:b/>
          <w:sz w:val="28"/>
          <w:szCs w:val="28"/>
        </w:rPr>
      </w:pPr>
      <w:r>
        <w:rPr>
          <w:rFonts w:ascii="Trebuchet MS" w:eastAsia="Trebuchet MS" w:hAnsi="Trebuchet MS" w:cs="Trebuchet MS"/>
          <w:b/>
          <w:sz w:val="28"/>
          <w:szCs w:val="28"/>
        </w:rPr>
        <w:t>Geneva, Switzerland</w:t>
      </w:r>
    </w:p>
    <w:p w14:paraId="616E8445" w14:textId="1660DAB1" w:rsidR="009F7497" w:rsidRDefault="00A83401">
      <w:pPr>
        <w:jc w:val="center"/>
        <w:rPr>
          <w:rFonts w:ascii="Trebuchet MS" w:eastAsia="Trebuchet MS" w:hAnsi="Trebuchet MS" w:cs="Trebuchet MS"/>
          <w:b/>
          <w:sz w:val="28"/>
          <w:szCs w:val="28"/>
        </w:rPr>
      </w:pPr>
      <w:r>
        <w:rPr>
          <w:rFonts w:ascii="Trebuchet MS" w:eastAsia="Trebuchet MS" w:hAnsi="Trebuchet MS" w:cs="Trebuchet MS"/>
          <w:b/>
          <w:sz w:val="28"/>
          <w:szCs w:val="28"/>
        </w:rPr>
        <w:t>June 2022</w:t>
      </w:r>
    </w:p>
    <w:p w14:paraId="67D523A1" w14:textId="4C53A444" w:rsidR="009F7497" w:rsidRDefault="009F7497">
      <w:pPr>
        <w:spacing w:before="280" w:after="280"/>
        <w:jc w:val="center"/>
        <w:rPr>
          <w:rFonts w:ascii="Arial" w:eastAsia="Arial" w:hAnsi="Arial" w:cs="Arial"/>
          <w:b/>
        </w:rPr>
      </w:pPr>
    </w:p>
    <w:p w14:paraId="69F252B0" w14:textId="72673714" w:rsidR="001706E8" w:rsidRPr="00406FE8" w:rsidRDefault="001706E8" w:rsidP="001706E8">
      <w:pPr>
        <w:jc w:val="center"/>
        <w:rPr>
          <w:b/>
          <w:iCs/>
          <w:sz w:val="20"/>
          <w:szCs w:val="20"/>
        </w:rPr>
      </w:pPr>
      <w:r w:rsidRPr="00406FE8">
        <w:rPr>
          <w:b/>
          <w:iCs/>
          <w:sz w:val="20"/>
          <w:szCs w:val="20"/>
        </w:rPr>
        <w:t>Submitted by:</w:t>
      </w:r>
    </w:p>
    <w:p w14:paraId="7CB901CF" w14:textId="0BDFDD94" w:rsidR="00406FE8" w:rsidRDefault="00406FE8" w:rsidP="001706E8">
      <w:pPr>
        <w:jc w:val="center"/>
        <w:rPr>
          <w:b/>
          <w:i/>
          <w:sz w:val="20"/>
          <w:szCs w:val="20"/>
        </w:rPr>
      </w:pPr>
    </w:p>
    <w:p w14:paraId="26443EEC" w14:textId="1DE2F6C7" w:rsidR="00406FE8" w:rsidRDefault="00406FE8" w:rsidP="001706E8">
      <w:pPr>
        <w:jc w:val="center"/>
        <w:rPr>
          <w:b/>
          <w:i/>
          <w:sz w:val="20"/>
          <w:szCs w:val="20"/>
        </w:rPr>
      </w:pPr>
    </w:p>
    <w:p w14:paraId="2721EF29" w14:textId="00773546" w:rsidR="00406FE8" w:rsidRDefault="00406FE8" w:rsidP="001706E8">
      <w:pPr>
        <w:jc w:val="center"/>
        <w:rPr>
          <w:b/>
          <w:i/>
          <w:sz w:val="20"/>
          <w:szCs w:val="20"/>
        </w:rPr>
      </w:pPr>
    </w:p>
    <w:p w14:paraId="7843659D" w14:textId="77777777" w:rsidR="00406FE8" w:rsidRDefault="00406FE8" w:rsidP="001706E8">
      <w:pPr>
        <w:jc w:val="center"/>
      </w:pPr>
    </w:p>
    <w:tbl>
      <w:tblPr>
        <w:tblW w:w="9318" w:type="dxa"/>
        <w:tblLayout w:type="fixed"/>
        <w:tblLook w:val="0600" w:firstRow="0" w:lastRow="0" w:firstColumn="0" w:lastColumn="0" w:noHBand="1" w:noVBand="1"/>
      </w:tblPr>
      <w:tblGrid>
        <w:gridCol w:w="4659"/>
        <w:gridCol w:w="4659"/>
      </w:tblGrid>
      <w:tr w:rsidR="001706E8" w14:paraId="298132FA" w14:textId="77777777" w:rsidTr="00894B29">
        <w:trPr>
          <w:trHeight w:val="3418"/>
        </w:trPr>
        <w:tc>
          <w:tcPr>
            <w:tcW w:w="4659" w:type="dxa"/>
            <w:shd w:val="clear" w:color="auto" w:fill="auto"/>
            <w:tcMar>
              <w:top w:w="100" w:type="dxa"/>
              <w:left w:w="100" w:type="dxa"/>
              <w:bottom w:w="100" w:type="dxa"/>
              <w:right w:w="100" w:type="dxa"/>
            </w:tcMar>
          </w:tcPr>
          <w:p w14:paraId="082A9A5C" w14:textId="45272FFE" w:rsidR="00406FE8" w:rsidRDefault="00406FE8" w:rsidP="00406FE8">
            <w:pPr>
              <w:rPr>
                <w:b/>
                <w:sz w:val="20"/>
                <w:szCs w:val="20"/>
              </w:rPr>
            </w:pPr>
          </w:p>
          <w:p w14:paraId="0B68F819" w14:textId="77777777" w:rsidR="00406FE8" w:rsidRDefault="00406FE8" w:rsidP="00406FE8">
            <w:pPr>
              <w:rPr>
                <w:b/>
                <w:sz w:val="20"/>
                <w:szCs w:val="20"/>
              </w:rPr>
            </w:pPr>
          </w:p>
          <w:p w14:paraId="0ABD10F9" w14:textId="7540916C" w:rsidR="00406FE8" w:rsidRPr="00406FE8" w:rsidRDefault="00406FE8" w:rsidP="00EC5053">
            <w:pPr>
              <w:jc w:val="center"/>
              <w:rPr>
                <w:b/>
                <w:sz w:val="21"/>
                <w:szCs w:val="21"/>
              </w:rPr>
            </w:pPr>
            <w:r w:rsidRPr="00406FE8">
              <w:rPr>
                <w:rFonts w:ascii="Arial" w:hAnsi="Arial" w:cs="Arial"/>
                <w:b/>
                <w:bCs/>
                <w:color w:val="000000"/>
                <w:sz w:val="28"/>
                <w:szCs w:val="28"/>
                <w:bdr w:val="none" w:sz="0" w:space="0" w:color="auto" w:frame="1"/>
              </w:rPr>
              <w:fldChar w:fldCharType="begin"/>
            </w:r>
            <w:r w:rsidRPr="00406FE8">
              <w:rPr>
                <w:rFonts w:ascii="Arial" w:hAnsi="Arial" w:cs="Arial"/>
                <w:b/>
                <w:bCs/>
                <w:color w:val="000000"/>
                <w:sz w:val="28"/>
                <w:szCs w:val="28"/>
                <w:bdr w:val="none" w:sz="0" w:space="0" w:color="auto" w:frame="1"/>
              </w:rPr>
              <w:instrText xml:space="preserve"> INCLUDEPICTURE "https://lh6.googleusercontent.com/DqwbU0FVemLibYPbBt2F1xG8Iw-KTifMDKXUVsc0F_I7mY3CyTWqa9nTwit0p6sSONywulHwGLWQiQzL65m6MEc0m20AVBe3oOzGkFXcbN9e2XmuXKS8fnfDj3xVrfWQv5UEM0w" \* MERGEFORMATINET </w:instrText>
            </w:r>
            <w:r w:rsidRPr="00406FE8">
              <w:rPr>
                <w:rFonts w:ascii="Arial" w:hAnsi="Arial" w:cs="Arial"/>
                <w:b/>
                <w:bCs/>
                <w:color w:val="000000"/>
                <w:sz w:val="28"/>
                <w:szCs w:val="28"/>
                <w:bdr w:val="none" w:sz="0" w:space="0" w:color="auto" w:frame="1"/>
              </w:rPr>
              <w:fldChar w:fldCharType="separate"/>
            </w:r>
            <w:r w:rsidRPr="00406FE8">
              <w:rPr>
                <w:rFonts w:ascii="Arial" w:hAnsi="Arial" w:cs="Arial"/>
                <w:b/>
                <w:bCs/>
                <w:noProof/>
                <w:color w:val="000000"/>
                <w:sz w:val="28"/>
                <w:szCs w:val="28"/>
                <w:bdr w:val="none" w:sz="0" w:space="0" w:color="auto" w:frame="1"/>
              </w:rPr>
              <w:drawing>
                <wp:inline distT="0" distB="0" distL="0" distR="0" wp14:anchorId="4917DF0F" wp14:editId="31543C37">
                  <wp:extent cx="1652270" cy="1018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2270" cy="1018540"/>
                          </a:xfrm>
                          <a:prstGeom prst="rect">
                            <a:avLst/>
                          </a:prstGeom>
                          <a:noFill/>
                          <a:ln>
                            <a:noFill/>
                          </a:ln>
                        </pic:spPr>
                      </pic:pic>
                    </a:graphicData>
                  </a:graphic>
                </wp:inline>
              </w:drawing>
            </w:r>
            <w:r w:rsidRPr="00406FE8">
              <w:rPr>
                <w:rFonts w:ascii="Arial" w:hAnsi="Arial" w:cs="Arial"/>
                <w:b/>
                <w:bCs/>
                <w:color w:val="000000"/>
                <w:sz w:val="28"/>
                <w:szCs w:val="28"/>
                <w:bdr w:val="none" w:sz="0" w:space="0" w:color="auto" w:frame="1"/>
              </w:rPr>
              <w:fldChar w:fldCharType="end"/>
            </w:r>
          </w:p>
          <w:p w14:paraId="71F542C1" w14:textId="77777777" w:rsidR="00406FE8" w:rsidRPr="00406FE8" w:rsidRDefault="00406FE8" w:rsidP="00406FE8">
            <w:pPr>
              <w:pStyle w:val="NormalWeb"/>
              <w:spacing w:before="0" w:beforeAutospacing="0" w:after="0" w:afterAutospacing="0"/>
              <w:jc w:val="center"/>
              <w:rPr>
                <w:rFonts w:ascii="Times New Roman" w:hAnsi="Times New Roman"/>
                <w:sz w:val="21"/>
                <w:szCs w:val="21"/>
              </w:rPr>
            </w:pPr>
            <w:r w:rsidRPr="00406FE8">
              <w:rPr>
                <w:rFonts w:ascii="Times New Roman" w:hAnsi="Times New Roman"/>
                <w:b/>
                <w:bCs/>
                <w:color w:val="000000"/>
                <w:sz w:val="21"/>
                <w:szCs w:val="21"/>
              </w:rPr>
              <w:t>Havle Women’s Association</w:t>
            </w:r>
          </w:p>
          <w:p w14:paraId="690EE0C5" w14:textId="77777777" w:rsidR="00406FE8" w:rsidRPr="00406FE8" w:rsidRDefault="00406FE8" w:rsidP="00406FE8">
            <w:pPr>
              <w:pStyle w:val="NormalWeb"/>
              <w:spacing w:before="0" w:beforeAutospacing="0" w:after="0" w:afterAutospacing="0"/>
              <w:jc w:val="center"/>
              <w:rPr>
                <w:rFonts w:ascii="Times New Roman" w:hAnsi="Times New Roman"/>
                <w:sz w:val="22"/>
                <w:szCs w:val="22"/>
              </w:rPr>
            </w:pPr>
            <w:r w:rsidRPr="00406FE8">
              <w:rPr>
                <w:rFonts w:ascii="Times New Roman" w:hAnsi="Times New Roman"/>
                <w:color w:val="000000"/>
                <w:sz w:val="22"/>
                <w:szCs w:val="22"/>
              </w:rPr>
              <w:t>Ahmediye Mahallesi Tunusbağı Caddesi No: 25 Daire: 5 Bağımsız Bölüm 3</w:t>
            </w:r>
          </w:p>
          <w:p w14:paraId="7AD1CCBD" w14:textId="77777777" w:rsidR="00406FE8" w:rsidRPr="00406FE8" w:rsidRDefault="00406FE8" w:rsidP="00406FE8">
            <w:pPr>
              <w:pStyle w:val="NormalWeb"/>
              <w:spacing w:before="0" w:beforeAutospacing="0" w:after="0" w:afterAutospacing="0"/>
              <w:jc w:val="center"/>
              <w:rPr>
                <w:rFonts w:ascii="Times New Roman" w:hAnsi="Times New Roman"/>
                <w:sz w:val="22"/>
                <w:szCs w:val="22"/>
              </w:rPr>
            </w:pPr>
            <w:r w:rsidRPr="00406FE8">
              <w:rPr>
                <w:rFonts w:ascii="Times New Roman" w:hAnsi="Times New Roman"/>
                <w:color w:val="000000"/>
                <w:sz w:val="22"/>
                <w:szCs w:val="22"/>
              </w:rPr>
              <w:t>Üsküdar, İstanbul</w:t>
            </w:r>
          </w:p>
          <w:p w14:paraId="64CB9DEB" w14:textId="77777777" w:rsidR="001706E8" w:rsidRDefault="00406FE8" w:rsidP="00406FE8">
            <w:pPr>
              <w:jc w:val="center"/>
            </w:pPr>
            <w:r w:rsidRPr="00406FE8">
              <w:rPr>
                <w:color w:val="000000"/>
                <w:sz w:val="22"/>
                <w:szCs w:val="22"/>
              </w:rPr>
              <w:t xml:space="preserve">Email: </w:t>
            </w:r>
            <w:hyperlink r:id="rId10" w:history="1">
              <w:r w:rsidRPr="00406FE8">
                <w:rPr>
                  <w:rStyle w:val="Hyperlink"/>
                  <w:rFonts w:eastAsiaTheme="majorEastAsia"/>
                  <w:color w:val="1155CC"/>
                  <w:sz w:val="22"/>
                  <w:szCs w:val="22"/>
                </w:rPr>
                <w:t>havle@havlekadin.com</w:t>
              </w:r>
            </w:hyperlink>
          </w:p>
          <w:p w14:paraId="00455145" w14:textId="75C82A3F" w:rsidR="0018765E" w:rsidRDefault="005A342E" w:rsidP="0018765E">
            <w:pPr>
              <w:jc w:val="center"/>
              <w:rPr>
                <w:sz w:val="22"/>
                <w:szCs w:val="22"/>
              </w:rPr>
            </w:pPr>
            <w:r w:rsidRPr="0017404F">
              <w:rPr>
                <w:sz w:val="22"/>
                <w:szCs w:val="22"/>
              </w:rPr>
              <w:t xml:space="preserve">Web: </w:t>
            </w:r>
            <w:hyperlink r:id="rId11" w:history="1">
              <w:r w:rsidR="0018765E" w:rsidRPr="0017404F">
                <w:rPr>
                  <w:rStyle w:val="Hyperlink"/>
                  <w:b/>
                  <w:bCs/>
                  <w:sz w:val="22"/>
                  <w:szCs w:val="22"/>
                </w:rPr>
                <w:t>www.havlekadin.com</w:t>
              </w:r>
            </w:hyperlink>
          </w:p>
          <w:p w14:paraId="5DD4EEED" w14:textId="77777777" w:rsidR="0018765E" w:rsidRDefault="0018765E" w:rsidP="0018765E">
            <w:pPr>
              <w:jc w:val="center"/>
              <w:rPr>
                <w:sz w:val="22"/>
                <w:szCs w:val="22"/>
              </w:rPr>
            </w:pPr>
          </w:p>
          <w:p w14:paraId="10F8A035" w14:textId="1B09B0EB" w:rsidR="0018765E" w:rsidRPr="0017404F" w:rsidRDefault="0018765E" w:rsidP="0018765E">
            <w:pPr>
              <w:jc w:val="center"/>
              <w:rPr>
                <w:sz w:val="22"/>
                <w:szCs w:val="22"/>
              </w:rPr>
            </w:pPr>
          </w:p>
        </w:tc>
        <w:tc>
          <w:tcPr>
            <w:tcW w:w="4659" w:type="dxa"/>
            <w:shd w:val="clear" w:color="auto" w:fill="auto"/>
            <w:tcMar>
              <w:top w:w="100" w:type="dxa"/>
              <w:left w:w="100" w:type="dxa"/>
              <w:bottom w:w="100" w:type="dxa"/>
              <w:right w:w="100" w:type="dxa"/>
            </w:tcMar>
          </w:tcPr>
          <w:p w14:paraId="2D26C10F" w14:textId="68E241A2" w:rsidR="001706E8" w:rsidRDefault="001706E8" w:rsidP="00EC5053">
            <w:pPr>
              <w:jc w:val="center"/>
              <w:rPr>
                <w:sz w:val="20"/>
                <w:szCs w:val="20"/>
              </w:rPr>
            </w:pPr>
            <w:r>
              <w:rPr>
                <w:sz w:val="20"/>
                <w:szCs w:val="20"/>
              </w:rPr>
              <w:t>​​</w:t>
            </w:r>
          </w:p>
          <w:p w14:paraId="4AC853DC" w14:textId="5B4C7B6F" w:rsidR="00406FE8" w:rsidRDefault="00406FE8" w:rsidP="00EC5053">
            <w:pPr>
              <w:jc w:val="center"/>
              <w:rPr>
                <w:sz w:val="20"/>
                <w:szCs w:val="20"/>
              </w:rPr>
            </w:pPr>
          </w:p>
          <w:p w14:paraId="600E0EA3" w14:textId="65ECE7DB" w:rsidR="00406FE8" w:rsidRDefault="00406FE8" w:rsidP="00EC5053">
            <w:pPr>
              <w:jc w:val="center"/>
              <w:rPr>
                <w:sz w:val="20"/>
                <w:szCs w:val="20"/>
              </w:rPr>
            </w:pPr>
          </w:p>
          <w:p w14:paraId="7B088C60" w14:textId="4C87AB61" w:rsidR="00406FE8" w:rsidRDefault="00DB6E2D" w:rsidP="00EC5053">
            <w:pPr>
              <w:jc w:val="center"/>
              <w:rPr>
                <w:sz w:val="20"/>
                <w:szCs w:val="20"/>
              </w:rPr>
            </w:pPr>
            <w:r>
              <w:rPr>
                <w:noProof/>
                <w:sz w:val="20"/>
                <w:szCs w:val="20"/>
              </w:rPr>
              <w:drawing>
                <wp:anchor distT="0" distB="0" distL="114300" distR="114300" simplePos="0" relativeHeight="251660288" behindDoc="0" locked="0" layoutInCell="1" allowOverlap="1" wp14:anchorId="49B45B72" wp14:editId="0B27615F">
                  <wp:simplePos x="0" y="0"/>
                  <wp:positionH relativeFrom="column">
                    <wp:posOffset>434340</wp:posOffset>
                  </wp:positionH>
                  <wp:positionV relativeFrom="paragraph">
                    <wp:posOffset>116205</wp:posOffset>
                  </wp:positionV>
                  <wp:extent cx="1847850" cy="753110"/>
                  <wp:effectExtent l="0" t="0" r="6350" b="0"/>
                  <wp:wrapThrough wrapText="bothSides">
                    <wp:wrapPolygon edited="0">
                      <wp:start x="0" y="0"/>
                      <wp:lineTo x="0" y="21126"/>
                      <wp:lineTo x="21526" y="21126"/>
                      <wp:lineTo x="21526" y="0"/>
                      <wp:lineTo x="0" y="0"/>
                    </wp:wrapPolygon>
                  </wp:wrapThrough>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1847850" cy="753110"/>
                          </a:xfrm>
                          <a:prstGeom prst="rect">
                            <a:avLst/>
                          </a:prstGeom>
                          <a:ln/>
                        </pic:spPr>
                      </pic:pic>
                    </a:graphicData>
                  </a:graphic>
                  <wp14:sizeRelH relativeFrom="page">
                    <wp14:pctWidth>0</wp14:pctWidth>
                  </wp14:sizeRelH>
                  <wp14:sizeRelV relativeFrom="page">
                    <wp14:pctHeight>0</wp14:pctHeight>
                  </wp14:sizeRelV>
                </wp:anchor>
              </w:drawing>
            </w:r>
          </w:p>
          <w:p w14:paraId="628D0B03" w14:textId="0EB06D7C" w:rsidR="00406FE8" w:rsidRDefault="00406FE8" w:rsidP="00EC5053">
            <w:pPr>
              <w:jc w:val="center"/>
              <w:rPr>
                <w:sz w:val="20"/>
                <w:szCs w:val="20"/>
              </w:rPr>
            </w:pPr>
          </w:p>
          <w:p w14:paraId="2279B4FC" w14:textId="50A61A18" w:rsidR="00406FE8" w:rsidRDefault="00406FE8" w:rsidP="00EC5053">
            <w:pPr>
              <w:jc w:val="center"/>
              <w:rPr>
                <w:sz w:val="20"/>
                <w:szCs w:val="20"/>
              </w:rPr>
            </w:pPr>
          </w:p>
          <w:p w14:paraId="427C21BE" w14:textId="59EDD4A8" w:rsidR="00406FE8" w:rsidRDefault="00406FE8" w:rsidP="00EC5053">
            <w:pPr>
              <w:jc w:val="center"/>
              <w:rPr>
                <w:sz w:val="20"/>
                <w:szCs w:val="20"/>
              </w:rPr>
            </w:pPr>
          </w:p>
          <w:p w14:paraId="0FD11E3F" w14:textId="41A33CF5" w:rsidR="00406FE8" w:rsidRDefault="00406FE8" w:rsidP="00EC5053">
            <w:pPr>
              <w:jc w:val="center"/>
              <w:rPr>
                <w:sz w:val="20"/>
                <w:szCs w:val="20"/>
              </w:rPr>
            </w:pPr>
          </w:p>
          <w:p w14:paraId="42C931F1" w14:textId="48753F1D" w:rsidR="001706E8" w:rsidRDefault="001706E8" w:rsidP="00EC5053">
            <w:pPr>
              <w:jc w:val="center"/>
              <w:rPr>
                <w:sz w:val="20"/>
                <w:szCs w:val="20"/>
              </w:rPr>
            </w:pPr>
          </w:p>
          <w:p w14:paraId="26711EC1" w14:textId="6016DED7" w:rsidR="00406FE8" w:rsidRPr="00406FE8" w:rsidRDefault="00406FE8" w:rsidP="00406FE8">
            <w:pPr>
              <w:jc w:val="center"/>
              <w:rPr>
                <w:b/>
                <w:sz w:val="22"/>
                <w:szCs w:val="22"/>
              </w:rPr>
            </w:pPr>
            <w:r w:rsidRPr="00406FE8">
              <w:rPr>
                <w:b/>
                <w:sz w:val="22"/>
                <w:szCs w:val="22"/>
              </w:rPr>
              <w:t>Musawah</w:t>
            </w:r>
          </w:p>
          <w:p w14:paraId="5CB5A7FB" w14:textId="77777777" w:rsidR="00406FE8" w:rsidRPr="00406FE8" w:rsidRDefault="00406FE8" w:rsidP="00406FE8">
            <w:pPr>
              <w:jc w:val="center"/>
              <w:rPr>
                <w:sz w:val="22"/>
                <w:szCs w:val="22"/>
              </w:rPr>
            </w:pPr>
            <w:r w:rsidRPr="00406FE8">
              <w:rPr>
                <w:sz w:val="22"/>
                <w:szCs w:val="22"/>
              </w:rPr>
              <w:t>15, Jalan Limau Purut, Bangsar Park, 59000 Kuala Lumpur, Malaysia</w:t>
            </w:r>
          </w:p>
          <w:p w14:paraId="3FFA282B" w14:textId="18E0B2AB" w:rsidR="00406FE8" w:rsidRPr="00406FE8" w:rsidRDefault="00406FE8" w:rsidP="00406FE8">
            <w:pPr>
              <w:jc w:val="center"/>
              <w:rPr>
                <w:sz w:val="22"/>
                <w:szCs w:val="22"/>
              </w:rPr>
            </w:pPr>
            <w:r w:rsidRPr="00406FE8">
              <w:rPr>
                <w:sz w:val="22"/>
                <w:szCs w:val="22"/>
              </w:rPr>
              <w:t xml:space="preserve">Tel: +603 2083 0202 </w:t>
            </w:r>
          </w:p>
          <w:p w14:paraId="7AE3C73E" w14:textId="77777777" w:rsidR="00406FE8" w:rsidRPr="00406FE8" w:rsidRDefault="00406FE8" w:rsidP="00406FE8">
            <w:pPr>
              <w:jc w:val="center"/>
              <w:rPr>
                <w:sz w:val="22"/>
                <w:szCs w:val="22"/>
              </w:rPr>
            </w:pPr>
            <w:r w:rsidRPr="00406FE8">
              <w:rPr>
                <w:sz w:val="22"/>
                <w:szCs w:val="22"/>
              </w:rPr>
              <w:t xml:space="preserve">Email: </w:t>
            </w:r>
            <w:hyperlink r:id="rId13">
              <w:r w:rsidRPr="00406FE8">
                <w:rPr>
                  <w:color w:val="1155CC"/>
                  <w:sz w:val="22"/>
                  <w:szCs w:val="22"/>
                  <w:u w:val="single"/>
                </w:rPr>
                <w:t>musawah@musawah.org</w:t>
              </w:r>
            </w:hyperlink>
          </w:p>
          <w:p w14:paraId="051248D8" w14:textId="0F5F9C9F" w:rsidR="001706E8" w:rsidRDefault="00406FE8" w:rsidP="00406FE8">
            <w:pPr>
              <w:jc w:val="center"/>
              <w:rPr>
                <w:b/>
                <w:sz w:val="20"/>
                <w:szCs w:val="20"/>
              </w:rPr>
            </w:pPr>
            <w:r w:rsidRPr="00406FE8">
              <w:rPr>
                <w:sz w:val="22"/>
                <w:szCs w:val="22"/>
              </w:rPr>
              <w:t xml:space="preserve">Web: </w:t>
            </w:r>
            <w:hyperlink r:id="rId14">
              <w:r w:rsidRPr="00406FE8">
                <w:rPr>
                  <w:b/>
                  <w:color w:val="1155CC"/>
                  <w:sz w:val="22"/>
                  <w:szCs w:val="22"/>
                  <w:u w:val="single"/>
                </w:rPr>
                <w:t>www.musawah.org</w:t>
              </w:r>
            </w:hyperlink>
          </w:p>
        </w:tc>
      </w:tr>
    </w:tbl>
    <w:p w14:paraId="16A43AFD" w14:textId="19D8695C" w:rsidR="00894B29" w:rsidRDefault="00894B29" w:rsidP="001706E8">
      <w:pPr>
        <w:jc w:val="center"/>
        <w:rPr>
          <w:b/>
          <w:sz w:val="20"/>
          <w:szCs w:val="20"/>
        </w:rPr>
      </w:pPr>
    </w:p>
    <w:p w14:paraId="1E4EBDA0" w14:textId="77777777" w:rsidR="00406FE8" w:rsidRDefault="00406FE8" w:rsidP="001706E8">
      <w:pPr>
        <w:jc w:val="center"/>
        <w:rPr>
          <w:b/>
          <w:sz w:val="20"/>
          <w:szCs w:val="20"/>
        </w:rPr>
      </w:pPr>
    </w:p>
    <w:p w14:paraId="4AD842EA" w14:textId="77777777" w:rsidR="00894B29" w:rsidRDefault="00894B29" w:rsidP="001706E8">
      <w:pPr>
        <w:jc w:val="center"/>
        <w:rPr>
          <w:b/>
          <w:sz w:val="20"/>
          <w:szCs w:val="20"/>
        </w:rPr>
      </w:pPr>
    </w:p>
    <w:p w14:paraId="420DF38F" w14:textId="77777777" w:rsidR="00894B29" w:rsidRDefault="00894B29" w:rsidP="001706E8">
      <w:pPr>
        <w:jc w:val="center"/>
        <w:rPr>
          <w:b/>
          <w:sz w:val="20"/>
          <w:szCs w:val="20"/>
        </w:rPr>
      </w:pPr>
    </w:p>
    <w:p w14:paraId="7437785D" w14:textId="4E473B8D" w:rsidR="00894B29" w:rsidRDefault="00894B29" w:rsidP="001706E8">
      <w:pPr>
        <w:jc w:val="center"/>
        <w:rPr>
          <w:b/>
          <w:sz w:val="20"/>
          <w:szCs w:val="20"/>
        </w:rPr>
      </w:pPr>
    </w:p>
    <w:p w14:paraId="2D503575" w14:textId="520A2F7D" w:rsidR="00894B29" w:rsidRDefault="00894B29" w:rsidP="001706E8">
      <w:pPr>
        <w:jc w:val="center"/>
        <w:rPr>
          <w:b/>
          <w:sz w:val="20"/>
          <w:szCs w:val="20"/>
        </w:rPr>
      </w:pPr>
    </w:p>
    <w:p w14:paraId="5441C572" w14:textId="77777777" w:rsidR="00406FE8" w:rsidRDefault="00406FE8">
      <w:pPr>
        <w:rPr>
          <w:rFonts w:ascii="Trebuchet MS" w:eastAsiaTheme="majorEastAsia" w:hAnsi="Trebuchet MS" w:cs="Arial"/>
          <w:b/>
          <w:caps/>
          <w:color w:val="FFFFFF"/>
          <w:spacing w:val="15"/>
          <w:sz w:val="28"/>
          <w:szCs w:val="28"/>
        </w:rPr>
      </w:pPr>
      <w:r>
        <w:rPr>
          <w:color w:val="FFFFFF"/>
        </w:rPr>
        <w:br w:type="page"/>
      </w:r>
    </w:p>
    <w:p w14:paraId="599A131A" w14:textId="3D4D299A" w:rsidR="009F7497" w:rsidRDefault="00D50095" w:rsidP="0098742A">
      <w:pPr>
        <w:pStyle w:val="Heading1"/>
      </w:pPr>
      <w:r>
        <w:rPr>
          <w:color w:val="FFFFFF"/>
        </w:rPr>
        <w:lastRenderedPageBreak/>
        <w:t>A. INTRODUCTION</w:t>
      </w:r>
      <w:r>
        <w:tab/>
      </w:r>
      <w:r>
        <w:tab/>
      </w:r>
    </w:p>
    <w:p w14:paraId="06DBA264" w14:textId="77777777" w:rsidR="009F7497" w:rsidRDefault="009F7497" w:rsidP="0098742A"/>
    <w:p w14:paraId="79377EDF" w14:textId="4F4150FA" w:rsidR="009F7497" w:rsidRDefault="00D50095" w:rsidP="0098742A">
      <w:pPr>
        <w:jc w:val="both"/>
        <w:rPr>
          <w:rFonts w:ascii="Arial" w:eastAsia="Arial" w:hAnsi="Arial" w:cs="Arial"/>
          <w:sz w:val="20"/>
          <w:szCs w:val="20"/>
        </w:rPr>
      </w:pPr>
      <w:r w:rsidRPr="006A3D8A">
        <w:rPr>
          <w:rFonts w:ascii="Arial" w:eastAsia="Arial" w:hAnsi="Arial" w:cs="Arial"/>
          <w:b/>
          <w:bCs/>
          <w:sz w:val="20"/>
          <w:szCs w:val="20"/>
        </w:rPr>
        <w:t>Musawah</w:t>
      </w:r>
      <w:r>
        <w:rPr>
          <w:rFonts w:ascii="Arial" w:eastAsia="Arial" w:hAnsi="Arial" w:cs="Arial"/>
          <w:sz w:val="20"/>
          <w:szCs w:val="20"/>
        </w:rPr>
        <w:t>,</w:t>
      </w:r>
      <w:r>
        <w:rPr>
          <w:rFonts w:ascii="Arial" w:eastAsia="Arial" w:hAnsi="Arial" w:cs="Arial"/>
          <w:sz w:val="20"/>
          <w:szCs w:val="20"/>
          <w:vertAlign w:val="superscript"/>
        </w:rPr>
        <w:t xml:space="preserve"> </w:t>
      </w:r>
      <w:r>
        <w:rPr>
          <w:rFonts w:ascii="Arial" w:eastAsia="Arial" w:hAnsi="Arial" w:cs="Arial"/>
          <w:sz w:val="20"/>
          <w:szCs w:val="20"/>
        </w:rPr>
        <w:t>the global movement for equality and justice in the Muslim family</w:t>
      </w:r>
      <w:r w:rsidR="00406FE8">
        <w:rPr>
          <w:rFonts w:ascii="Arial" w:eastAsia="Arial" w:hAnsi="Arial" w:cs="Arial"/>
          <w:sz w:val="20"/>
          <w:szCs w:val="20"/>
        </w:rPr>
        <w:t>, and</w:t>
      </w:r>
      <w:r w:rsidR="006A3D8A">
        <w:rPr>
          <w:rFonts w:ascii="Arial" w:eastAsia="Arial" w:hAnsi="Arial" w:cs="Arial"/>
          <w:sz w:val="20"/>
          <w:szCs w:val="20"/>
        </w:rPr>
        <w:t xml:space="preserve"> </w:t>
      </w:r>
      <w:r w:rsidR="006A3D8A" w:rsidRPr="006A3D8A">
        <w:rPr>
          <w:rFonts w:ascii="Arial" w:eastAsia="Arial" w:hAnsi="Arial" w:cs="Arial"/>
          <w:b/>
          <w:bCs/>
          <w:sz w:val="20"/>
          <w:szCs w:val="20"/>
        </w:rPr>
        <w:t>Havle Women’s Association,</w:t>
      </w:r>
      <w:r w:rsidR="006A3D8A">
        <w:rPr>
          <w:rFonts w:ascii="Arial" w:eastAsia="Arial" w:hAnsi="Arial" w:cs="Arial"/>
          <w:sz w:val="20"/>
          <w:szCs w:val="20"/>
        </w:rPr>
        <w:t xml:space="preserve"> </w:t>
      </w:r>
      <w:r>
        <w:rPr>
          <w:rFonts w:ascii="Arial" w:eastAsia="Arial" w:hAnsi="Arial" w:cs="Arial"/>
          <w:sz w:val="20"/>
          <w:szCs w:val="20"/>
        </w:rPr>
        <w:t>submit this</w:t>
      </w:r>
      <w:r w:rsidR="006A3D8A">
        <w:rPr>
          <w:rFonts w:ascii="Arial" w:eastAsia="Arial" w:hAnsi="Arial" w:cs="Arial"/>
          <w:sz w:val="20"/>
          <w:szCs w:val="20"/>
        </w:rPr>
        <w:t xml:space="preserve"> joint T</w:t>
      </w:r>
      <w:r>
        <w:rPr>
          <w:rFonts w:ascii="Arial" w:eastAsia="Arial" w:hAnsi="Arial" w:cs="Arial"/>
          <w:sz w:val="20"/>
          <w:szCs w:val="20"/>
        </w:rPr>
        <w:t>hematic Report</w:t>
      </w:r>
      <w:r w:rsidR="008F30F9">
        <w:rPr>
          <w:rStyle w:val="FootnoteReference"/>
          <w:rFonts w:ascii="Arial" w:eastAsia="Arial" w:hAnsi="Arial" w:cs="Arial"/>
          <w:sz w:val="20"/>
          <w:szCs w:val="20"/>
        </w:rPr>
        <w:footnoteReference w:id="1"/>
      </w:r>
      <w:r>
        <w:rPr>
          <w:rFonts w:ascii="Arial" w:eastAsia="Arial" w:hAnsi="Arial" w:cs="Arial"/>
          <w:sz w:val="20"/>
          <w:szCs w:val="20"/>
        </w:rPr>
        <w:t xml:space="preserve"> on Article 16</w:t>
      </w:r>
      <w:r>
        <w:rPr>
          <w:rFonts w:ascii="Arial" w:eastAsia="Arial" w:hAnsi="Arial" w:cs="Arial"/>
          <w:sz w:val="20"/>
          <w:szCs w:val="20"/>
          <w:vertAlign w:val="superscript"/>
        </w:rPr>
        <w:t xml:space="preserve"> </w:t>
      </w:r>
      <w:r>
        <w:rPr>
          <w:rFonts w:ascii="Arial" w:eastAsia="Arial" w:hAnsi="Arial" w:cs="Arial"/>
          <w:sz w:val="20"/>
          <w:szCs w:val="20"/>
        </w:rPr>
        <w:t xml:space="preserve">and related concerns for consideration by the CEDAW Committee in its review of the Government of </w:t>
      </w:r>
      <w:r w:rsidR="001B5313">
        <w:rPr>
          <w:rFonts w:ascii="Arial" w:eastAsia="Arial" w:hAnsi="Arial" w:cs="Arial"/>
          <w:sz w:val="20"/>
          <w:szCs w:val="20"/>
        </w:rPr>
        <w:t>Turkey</w:t>
      </w:r>
      <w:r>
        <w:rPr>
          <w:rFonts w:ascii="Arial" w:eastAsia="Arial" w:hAnsi="Arial" w:cs="Arial"/>
          <w:sz w:val="20"/>
          <w:szCs w:val="20"/>
        </w:rPr>
        <w:t xml:space="preserve">, reporting before the </w:t>
      </w:r>
      <w:r w:rsidR="000827C9">
        <w:rPr>
          <w:rFonts w:ascii="Arial" w:eastAsia="Arial" w:hAnsi="Arial" w:cs="Arial"/>
          <w:sz w:val="20"/>
          <w:szCs w:val="20"/>
        </w:rPr>
        <w:t>82</w:t>
      </w:r>
      <w:r w:rsidR="000827C9" w:rsidRPr="000827C9">
        <w:rPr>
          <w:rFonts w:ascii="Arial" w:eastAsia="Arial" w:hAnsi="Arial" w:cs="Arial"/>
          <w:sz w:val="20"/>
          <w:szCs w:val="20"/>
          <w:vertAlign w:val="superscript"/>
        </w:rPr>
        <w:t>nd</w:t>
      </w:r>
      <w:r w:rsidR="000827C9">
        <w:rPr>
          <w:rFonts w:ascii="Arial" w:eastAsia="Arial" w:hAnsi="Arial" w:cs="Arial"/>
          <w:sz w:val="20"/>
          <w:szCs w:val="20"/>
        </w:rPr>
        <w:t xml:space="preserve"> </w:t>
      </w:r>
      <w:r>
        <w:rPr>
          <w:rFonts w:ascii="Arial" w:eastAsia="Arial" w:hAnsi="Arial" w:cs="Arial"/>
          <w:sz w:val="20"/>
          <w:szCs w:val="20"/>
        </w:rPr>
        <w:t xml:space="preserve">CEDAW Session in </w:t>
      </w:r>
      <w:r w:rsidR="000827C9">
        <w:rPr>
          <w:rFonts w:ascii="Arial" w:eastAsia="Arial" w:hAnsi="Arial" w:cs="Arial"/>
          <w:sz w:val="20"/>
          <w:szCs w:val="20"/>
        </w:rPr>
        <w:t>June</w:t>
      </w:r>
      <w:r>
        <w:rPr>
          <w:rFonts w:ascii="Arial" w:eastAsia="Arial" w:hAnsi="Arial" w:cs="Arial"/>
          <w:sz w:val="20"/>
          <w:szCs w:val="20"/>
        </w:rPr>
        <w:t xml:space="preserve"> 202</w:t>
      </w:r>
      <w:r w:rsidR="000827C9">
        <w:rPr>
          <w:rFonts w:ascii="Arial" w:eastAsia="Arial" w:hAnsi="Arial" w:cs="Arial"/>
          <w:sz w:val="20"/>
          <w:szCs w:val="20"/>
        </w:rPr>
        <w:t>2</w:t>
      </w:r>
      <w:r>
        <w:rPr>
          <w:rFonts w:ascii="Arial" w:eastAsia="Arial" w:hAnsi="Arial" w:cs="Arial"/>
          <w:sz w:val="20"/>
          <w:szCs w:val="20"/>
        </w:rPr>
        <w:t xml:space="preserve">. </w:t>
      </w:r>
      <w:r w:rsidR="00A2661F">
        <w:rPr>
          <w:rFonts w:ascii="Arial" w:eastAsia="Arial" w:hAnsi="Arial" w:cs="Arial"/>
          <w:sz w:val="20"/>
          <w:szCs w:val="20"/>
        </w:rPr>
        <w:t>While the family laws in Turkey are considered</w:t>
      </w:r>
      <w:r w:rsidR="00636A6F" w:rsidRPr="0017404F">
        <w:rPr>
          <w:rFonts w:ascii="Arial" w:eastAsia="Arial" w:hAnsi="Arial" w:cs="Arial"/>
          <w:sz w:val="20"/>
          <w:szCs w:val="20"/>
        </w:rPr>
        <w:t xml:space="preserve"> secular </w:t>
      </w:r>
      <w:r w:rsidR="00A2661F">
        <w:rPr>
          <w:rFonts w:ascii="Arial" w:eastAsia="Arial" w:hAnsi="Arial" w:cs="Arial"/>
          <w:sz w:val="20"/>
          <w:szCs w:val="20"/>
        </w:rPr>
        <w:t>and not derived from Islamic jurisprudence</w:t>
      </w:r>
      <w:r w:rsidR="00636A6F" w:rsidRPr="0017404F">
        <w:rPr>
          <w:rFonts w:ascii="Arial" w:eastAsia="Arial" w:hAnsi="Arial" w:cs="Arial"/>
          <w:sz w:val="20"/>
          <w:szCs w:val="20"/>
        </w:rPr>
        <w:t xml:space="preserve">, Turkey is of interest to Musawah </w:t>
      </w:r>
      <w:r w:rsidR="00A2661F">
        <w:rPr>
          <w:rFonts w:ascii="Arial" w:eastAsia="Arial" w:hAnsi="Arial" w:cs="Arial"/>
          <w:sz w:val="20"/>
          <w:szCs w:val="20"/>
        </w:rPr>
        <w:t xml:space="preserve">because it is a Muslim majority country in which </w:t>
      </w:r>
      <w:r w:rsidR="00636A6F" w:rsidRPr="0017404F">
        <w:rPr>
          <w:rFonts w:ascii="Arial" w:eastAsia="Arial" w:hAnsi="Arial" w:cs="Arial"/>
          <w:sz w:val="20"/>
          <w:szCs w:val="20"/>
        </w:rPr>
        <w:t xml:space="preserve">Islam </w:t>
      </w:r>
      <w:r w:rsidR="00A2661F">
        <w:rPr>
          <w:rFonts w:ascii="Arial" w:eastAsia="Arial" w:hAnsi="Arial" w:cs="Arial"/>
          <w:sz w:val="20"/>
          <w:szCs w:val="20"/>
        </w:rPr>
        <w:t>i</w:t>
      </w:r>
      <w:r w:rsidR="00A2661F" w:rsidRPr="0017404F">
        <w:rPr>
          <w:rFonts w:ascii="Arial" w:eastAsia="Arial" w:hAnsi="Arial" w:cs="Arial"/>
          <w:sz w:val="20"/>
          <w:szCs w:val="20"/>
        </w:rPr>
        <w:t>s</w:t>
      </w:r>
      <w:r w:rsidR="00A2661F">
        <w:rPr>
          <w:rFonts w:ascii="Arial" w:eastAsia="Arial" w:hAnsi="Arial" w:cs="Arial"/>
          <w:sz w:val="20"/>
          <w:szCs w:val="20"/>
        </w:rPr>
        <w:t xml:space="preserve"> used as a</w:t>
      </w:r>
      <w:r w:rsidR="00A2661F" w:rsidRPr="0017404F">
        <w:rPr>
          <w:rFonts w:ascii="Arial" w:eastAsia="Arial" w:hAnsi="Arial" w:cs="Arial"/>
          <w:sz w:val="20"/>
          <w:szCs w:val="20"/>
        </w:rPr>
        <w:t xml:space="preserve"> </w:t>
      </w:r>
      <w:r w:rsidR="00636A6F" w:rsidRPr="0017404F">
        <w:rPr>
          <w:rFonts w:ascii="Arial" w:eastAsia="Arial" w:hAnsi="Arial" w:cs="Arial"/>
          <w:sz w:val="20"/>
          <w:szCs w:val="20"/>
        </w:rPr>
        <w:t>justification for law and practice</w:t>
      </w:r>
      <w:r w:rsidR="00A2661F">
        <w:rPr>
          <w:rFonts w:ascii="Arial" w:eastAsia="Arial" w:hAnsi="Arial" w:cs="Arial"/>
          <w:sz w:val="20"/>
          <w:szCs w:val="20"/>
        </w:rPr>
        <w:t xml:space="preserve"> in cultural and political ways</w:t>
      </w:r>
      <w:r w:rsidR="00636A6F" w:rsidRPr="0017404F">
        <w:rPr>
          <w:rFonts w:ascii="Arial" w:eastAsia="Arial" w:hAnsi="Arial" w:cs="Arial"/>
          <w:sz w:val="20"/>
          <w:szCs w:val="20"/>
        </w:rPr>
        <w:t>.</w:t>
      </w:r>
      <w:r w:rsidR="00636A6F">
        <w:rPr>
          <w:rFonts w:ascii="Arial" w:eastAsia="Arial" w:hAnsi="Arial" w:cs="Arial"/>
          <w:sz w:val="20"/>
          <w:szCs w:val="20"/>
        </w:rPr>
        <w:t xml:space="preserve"> </w:t>
      </w:r>
      <w:r>
        <w:rPr>
          <w:rFonts w:ascii="Arial" w:eastAsia="Arial" w:hAnsi="Arial" w:cs="Arial"/>
          <w:sz w:val="20"/>
          <w:szCs w:val="20"/>
        </w:rPr>
        <w:t xml:space="preserve">In particular, this report examines </w:t>
      </w:r>
      <w:r w:rsidR="000827C9">
        <w:rPr>
          <w:rFonts w:ascii="Arial" w:eastAsia="Arial" w:hAnsi="Arial" w:cs="Arial"/>
          <w:sz w:val="20"/>
          <w:szCs w:val="20"/>
        </w:rPr>
        <w:t>Turkey’s</w:t>
      </w:r>
      <w:r>
        <w:rPr>
          <w:rFonts w:ascii="Arial" w:eastAsia="Arial" w:hAnsi="Arial" w:cs="Arial"/>
          <w:sz w:val="20"/>
          <w:szCs w:val="20"/>
        </w:rPr>
        <w:t xml:space="preserve"> laws and practice</w:t>
      </w:r>
      <w:r w:rsidRPr="0020166F">
        <w:rPr>
          <w:rFonts w:ascii="Arial" w:eastAsia="Arial" w:hAnsi="Arial" w:cs="Arial"/>
          <w:sz w:val="20"/>
          <w:szCs w:val="20"/>
        </w:rPr>
        <w:t xml:space="preserve">s that enforce de jure and de facto discrimination against women in the following areas: child </w:t>
      </w:r>
      <w:r w:rsidR="0020166F" w:rsidRPr="0020166F">
        <w:rPr>
          <w:rFonts w:ascii="Arial" w:eastAsia="Arial" w:hAnsi="Arial" w:cs="Arial"/>
          <w:sz w:val="20"/>
          <w:szCs w:val="20"/>
        </w:rPr>
        <w:t>and</w:t>
      </w:r>
      <w:r w:rsidRPr="0020166F">
        <w:rPr>
          <w:rFonts w:ascii="Arial" w:eastAsia="Arial" w:hAnsi="Arial" w:cs="Arial"/>
          <w:sz w:val="20"/>
          <w:szCs w:val="20"/>
        </w:rPr>
        <w:t xml:space="preserve"> forced marriage</w:t>
      </w:r>
      <w:r w:rsidR="00AC04AC">
        <w:rPr>
          <w:rFonts w:ascii="Arial" w:eastAsia="Arial" w:hAnsi="Arial" w:cs="Arial"/>
          <w:sz w:val="20"/>
          <w:szCs w:val="20"/>
        </w:rPr>
        <w:t xml:space="preserve"> and</w:t>
      </w:r>
      <w:r w:rsidRPr="0020166F">
        <w:rPr>
          <w:rFonts w:ascii="Arial" w:eastAsia="Arial" w:hAnsi="Arial" w:cs="Arial"/>
          <w:sz w:val="20"/>
          <w:szCs w:val="20"/>
        </w:rPr>
        <w:t xml:space="preserve"> </w:t>
      </w:r>
      <w:r w:rsidR="0020166F" w:rsidRPr="0020166F">
        <w:rPr>
          <w:rFonts w:ascii="Arial" w:eastAsia="Arial" w:hAnsi="Arial" w:cs="Arial"/>
          <w:sz w:val="20"/>
          <w:szCs w:val="20"/>
        </w:rPr>
        <w:t>the issue of surnames</w:t>
      </w:r>
      <w:r w:rsidRPr="0020166F">
        <w:rPr>
          <w:rFonts w:ascii="Arial" w:eastAsia="Arial" w:hAnsi="Arial" w:cs="Arial"/>
          <w:sz w:val="20"/>
          <w:szCs w:val="20"/>
        </w:rPr>
        <w:t>.</w:t>
      </w:r>
      <w:r>
        <w:rPr>
          <w:rFonts w:ascii="Arial" w:eastAsia="Arial" w:hAnsi="Arial" w:cs="Arial"/>
          <w:sz w:val="20"/>
          <w:szCs w:val="20"/>
        </w:rPr>
        <w:t xml:space="preserve"> </w:t>
      </w:r>
    </w:p>
    <w:p w14:paraId="610B387B" w14:textId="77777777" w:rsidR="009F7497" w:rsidRDefault="009F7497" w:rsidP="0098742A">
      <w:pPr>
        <w:rPr>
          <w:rFonts w:ascii="Arial" w:eastAsia="Arial" w:hAnsi="Arial" w:cs="Arial"/>
          <w:sz w:val="20"/>
          <w:szCs w:val="20"/>
        </w:rPr>
      </w:pPr>
    </w:p>
    <w:p w14:paraId="0682B01D" w14:textId="5BA94789" w:rsidR="009F7497" w:rsidRDefault="00D50095" w:rsidP="0098742A">
      <w:pPr>
        <w:jc w:val="both"/>
        <w:rPr>
          <w:rFonts w:ascii="Arial" w:eastAsia="Arial" w:hAnsi="Arial" w:cs="Arial"/>
          <w:sz w:val="20"/>
          <w:szCs w:val="20"/>
        </w:rPr>
      </w:pPr>
      <w:r>
        <w:rPr>
          <w:rFonts w:ascii="Arial" w:eastAsia="Arial" w:hAnsi="Arial" w:cs="Arial"/>
          <w:sz w:val="20"/>
          <w:szCs w:val="20"/>
        </w:rPr>
        <w:t>We hope that the CEDAW Committee will utilize this report as a key resource during its Constructive engagement with the State party.</w:t>
      </w:r>
      <w:r w:rsidR="006A3D8A">
        <w:rPr>
          <w:rFonts w:ascii="Arial" w:eastAsia="Arial" w:hAnsi="Arial" w:cs="Arial"/>
          <w:sz w:val="20"/>
          <w:szCs w:val="20"/>
        </w:rPr>
        <w:t xml:space="preserve"> </w:t>
      </w:r>
      <w:r w:rsidR="006A3D8A" w:rsidRPr="006A3D8A">
        <w:rPr>
          <w:rFonts w:ascii="Arial" w:eastAsia="Arial" w:hAnsi="Arial" w:cs="Arial"/>
          <w:sz w:val="20"/>
          <w:szCs w:val="20"/>
        </w:rPr>
        <w:t>In particular, we hope the Committee will use the recommendations</w:t>
      </w:r>
      <w:r w:rsidR="00137A94">
        <w:rPr>
          <w:rFonts w:ascii="Arial" w:eastAsia="Arial" w:hAnsi="Arial" w:cs="Arial"/>
          <w:sz w:val="20"/>
          <w:szCs w:val="20"/>
        </w:rPr>
        <w:t>, outlined in grey boxes within the text,</w:t>
      </w:r>
      <w:r w:rsidR="006A3D8A" w:rsidRPr="006A3D8A">
        <w:rPr>
          <w:rFonts w:ascii="Arial" w:eastAsia="Arial" w:hAnsi="Arial" w:cs="Arial"/>
          <w:sz w:val="20"/>
          <w:szCs w:val="20"/>
        </w:rPr>
        <w:t xml:space="preserve"> to identify follow-up issues in its Concluding Observations.</w:t>
      </w:r>
    </w:p>
    <w:p w14:paraId="5EAAEB73" w14:textId="77777777" w:rsidR="009F7497" w:rsidRDefault="009F7497" w:rsidP="0098742A">
      <w:pPr>
        <w:rPr>
          <w:rFonts w:ascii="Arial" w:eastAsia="Arial" w:hAnsi="Arial" w:cs="Arial"/>
        </w:rPr>
      </w:pPr>
    </w:p>
    <w:p w14:paraId="5E178D57" w14:textId="4E0AAAEF" w:rsidR="009F7497" w:rsidRDefault="00D50095" w:rsidP="0098742A">
      <w:pPr>
        <w:pStyle w:val="Heading1"/>
        <w:rPr>
          <w:color w:val="FFFFFF"/>
        </w:rPr>
      </w:pPr>
      <w:bookmarkStart w:id="0" w:name="_heading=h.30j0zll" w:colFirst="0" w:colLast="0"/>
      <w:bookmarkEnd w:id="0"/>
      <w:r>
        <w:rPr>
          <w:color w:val="FFFFFF"/>
        </w:rPr>
        <w:t>B. LEGAL BACKGROUND</w:t>
      </w:r>
      <w:r w:rsidR="000B71AD">
        <w:rPr>
          <w:color w:val="FFFFFF"/>
        </w:rPr>
        <w:t xml:space="preserve"> and context</w:t>
      </w:r>
    </w:p>
    <w:p w14:paraId="48963864" w14:textId="77777777" w:rsidR="009F7497" w:rsidRDefault="009F7497" w:rsidP="0098742A">
      <w:pPr>
        <w:rPr>
          <w:rFonts w:ascii="Arial" w:eastAsia="Arial" w:hAnsi="Arial" w:cs="Arial"/>
          <w:sz w:val="2"/>
          <w:szCs w:val="2"/>
        </w:rPr>
      </w:pPr>
    </w:p>
    <w:p w14:paraId="72DFAD02" w14:textId="77777777" w:rsidR="001E0EF0" w:rsidRPr="0017404F" w:rsidRDefault="001E0EF0" w:rsidP="0017404F">
      <w:pPr>
        <w:widowControl w:val="0"/>
        <w:jc w:val="both"/>
        <w:rPr>
          <w:rFonts w:ascii="Arial" w:eastAsia="Arial" w:hAnsi="Arial" w:cs="Arial"/>
          <w:color w:val="2C2C2C" w:themeColor="text1"/>
          <w:sz w:val="20"/>
          <w:szCs w:val="20"/>
        </w:rPr>
      </w:pPr>
    </w:p>
    <w:p w14:paraId="761C008F" w14:textId="02573D47" w:rsidR="00EC4AEC" w:rsidRPr="0020166F" w:rsidRDefault="00A2661F" w:rsidP="0098742A">
      <w:pPr>
        <w:widowControl w:val="0"/>
        <w:numPr>
          <w:ilvl w:val="0"/>
          <w:numId w:val="7"/>
        </w:numPr>
        <w:jc w:val="both"/>
        <w:rPr>
          <w:rFonts w:ascii="Arial" w:eastAsia="Arial" w:hAnsi="Arial" w:cs="Arial"/>
          <w:color w:val="2C2C2C" w:themeColor="text1"/>
          <w:sz w:val="20"/>
          <w:szCs w:val="20"/>
          <w:vertAlign w:val="superscript"/>
          <w:lang w:val="en-GB"/>
        </w:rPr>
      </w:pPr>
      <w:r>
        <w:rPr>
          <w:rFonts w:ascii="Arial" w:eastAsia="Arial" w:hAnsi="Arial" w:cs="Arial"/>
          <w:b/>
          <w:bCs/>
          <w:color w:val="2C2C2C" w:themeColor="text1"/>
          <w:sz w:val="20"/>
          <w:szCs w:val="20"/>
          <w:lang w:val="en-GB"/>
        </w:rPr>
        <w:t>Article 10 of t</w:t>
      </w:r>
      <w:r w:rsidR="00EC4AEC" w:rsidRPr="0020166F">
        <w:rPr>
          <w:rFonts w:ascii="Arial" w:eastAsia="Arial" w:hAnsi="Arial" w:cs="Arial"/>
          <w:b/>
          <w:bCs/>
          <w:color w:val="2C2C2C" w:themeColor="text1"/>
          <w:sz w:val="20"/>
          <w:szCs w:val="20"/>
          <w:lang w:val="en-GB"/>
        </w:rPr>
        <w:t>he Constitution declares equality between sexes</w:t>
      </w:r>
      <w:r w:rsidR="00EC4AEC" w:rsidRPr="0020166F">
        <w:rPr>
          <w:rFonts w:ascii="Arial" w:eastAsia="Arial" w:hAnsi="Arial" w:cs="Arial"/>
          <w:color w:val="2C2C2C" w:themeColor="text1"/>
          <w:sz w:val="20"/>
          <w:szCs w:val="20"/>
          <w:lang w:val="en-GB"/>
        </w:rPr>
        <w:t>. Although ‘discrimination against women’ is not defined,</w:t>
      </w:r>
      <w:r w:rsidR="00867801">
        <w:rPr>
          <w:rStyle w:val="FootnoteReference"/>
          <w:rFonts w:ascii="Arial" w:eastAsia="Arial" w:hAnsi="Arial" w:cs="Arial"/>
          <w:color w:val="2C2C2C" w:themeColor="text1"/>
          <w:sz w:val="20"/>
          <w:szCs w:val="20"/>
          <w:lang w:val="en-GB"/>
        </w:rPr>
        <w:footnoteReference w:id="2"/>
      </w:r>
      <w:r w:rsidR="00EC4AEC" w:rsidRPr="0020166F">
        <w:rPr>
          <w:rFonts w:ascii="Arial" w:eastAsia="Arial" w:hAnsi="Arial" w:cs="Arial"/>
          <w:color w:val="2C2C2C" w:themeColor="text1"/>
          <w:sz w:val="20"/>
          <w:szCs w:val="20"/>
          <w:lang w:val="en-GB"/>
        </w:rPr>
        <w:t xml:space="preserve"> the Constitution mandates equality between men and women as among its main principles.</w:t>
      </w:r>
      <w:r w:rsidR="00F36765">
        <w:rPr>
          <w:rStyle w:val="FootnoteReference"/>
          <w:rFonts w:ascii="Arial" w:eastAsia="Arial" w:hAnsi="Arial" w:cs="Arial"/>
          <w:color w:val="2C2C2C" w:themeColor="text1"/>
          <w:sz w:val="20"/>
          <w:szCs w:val="20"/>
          <w:lang w:val="en-GB"/>
        </w:rPr>
        <w:footnoteReference w:id="3"/>
      </w:r>
      <w:r w:rsidR="00867801">
        <w:rPr>
          <w:rFonts w:ascii="Arial" w:eastAsia="Arial" w:hAnsi="Arial" w:cs="Arial"/>
          <w:color w:val="2C2C2C" w:themeColor="text1"/>
          <w:sz w:val="20"/>
          <w:szCs w:val="20"/>
          <w:vertAlign w:val="superscript"/>
          <w:lang w:val="en-GB"/>
        </w:rPr>
        <w:t xml:space="preserve"> </w:t>
      </w:r>
      <w:r w:rsidR="00EC4AEC" w:rsidRPr="0020166F">
        <w:rPr>
          <w:rFonts w:ascii="Arial" w:eastAsia="Arial" w:hAnsi="Arial" w:cs="Arial"/>
          <w:color w:val="2C2C2C" w:themeColor="text1"/>
          <w:sz w:val="20"/>
          <w:szCs w:val="20"/>
          <w:lang w:val="en-GB"/>
        </w:rPr>
        <w:t>In 2004, an amendment to the provision was added (‘women and men have equal rights, the State is liable for ensuring this equality in practice’)</w:t>
      </w:r>
      <w:r w:rsidR="00AC04AC">
        <w:rPr>
          <w:rFonts w:ascii="Arial" w:eastAsia="Arial" w:hAnsi="Arial" w:cs="Arial"/>
          <w:color w:val="2C2C2C" w:themeColor="text1"/>
          <w:sz w:val="20"/>
          <w:szCs w:val="20"/>
          <w:lang w:val="en-GB"/>
        </w:rPr>
        <w:t>. It was</w:t>
      </w:r>
      <w:r w:rsidR="00EC4AEC" w:rsidRPr="0020166F">
        <w:rPr>
          <w:rFonts w:ascii="Arial" w:eastAsia="Arial" w:hAnsi="Arial" w:cs="Arial"/>
          <w:color w:val="2C2C2C" w:themeColor="text1"/>
          <w:sz w:val="20"/>
          <w:szCs w:val="20"/>
          <w:lang w:val="en-GB"/>
        </w:rPr>
        <w:t xml:space="preserve"> further amended in 2010 to facili</w:t>
      </w:r>
      <w:r w:rsidR="00AC04AC">
        <w:rPr>
          <w:rFonts w:ascii="Arial" w:eastAsia="Arial" w:hAnsi="Arial" w:cs="Arial"/>
          <w:color w:val="2C2C2C" w:themeColor="text1"/>
          <w:sz w:val="20"/>
          <w:szCs w:val="20"/>
          <w:lang w:val="en-GB"/>
        </w:rPr>
        <w:t>t</w:t>
      </w:r>
      <w:r w:rsidR="00EC4AEC" w:rsidRPr="0020166F">
        <w:rPr>
          <w:rFonts w:ascii="Arial" w:eastAsia="Arial" w:hAnsi="Arial" w:cs="Arial"/>
          <w:color w:val="2C2C2C" w:themeColor="text1"/>
          <w:sz w:val="20"/>
          <w:szCs w:val="20"/>
          <w:lang w:val="en-GB"/>
        </w:rPr>
        <w:t>ate temporary special measures (‘any measures to be taken to this aim shall not be contrary to the principle of equality’)</w:t>
      </w:r>
      <w:r w:rsidR="004D7ADA">
        <w:rPr>
          <w:rStyle w:val="FootnoteReference"/>
          <w:rFonts w:ascii="Arial" w:eastAsia="Arial" w:hAnsi="Arial" w:cs="Arial"/>
          <w:color w:val="2C2C2C" w:themeColor="text1"/>
          <w:sz w:val="20"/>
          <w:szCs w:val="20"/>
          <w:lang w:val="en-GB"/>
        </w:rPr>
        <w:footnoteReference w:id="4"/>
      </w:r>
      <w:r w:rsidR="00EC4AEC" w:rsidRPr="0020166F">
        <w:rPr>
          <w:rFonts w:ascii="Arial" w:eastAsia="Arial" w:hAnsi="Arial" w:cs="Arial"/>
          <w:color w:val="2C2C2C" w:themeColor="text1"/>
          <w:sz w:val="20"/>
          <w:szCs w:val="20"/>
          <w:lang w:val="en-GB"/>
        </w:rPr>
        <w:t>.</w:t>
      </w:r>
    </w:p>
    <w:p w14:paraId="2B4E6D1B" w14:textId="77777777" w:rsidR="00EC4AEC" w:rsidRPr="0020166F" w:rsidRDefault="00EC4AEC" w:rsidP="0098742A">
      <w:pPr>
        <w:widowControl w:val="0"/>
        <w:jc w:val="both"/>
        <w:rPr>
          <w:rFonts w:ascii="Arial" w:eastAsia="Arial" w:hAnsi="Arial" w:cs="Arial"/>
          <w:color w:val="2C2C2C" w:themeColor="text1"/>
          <w:sz w:val="20"/>
          <w:szCs w:val="20"/>
          <w:lang w:val="en-GB"/>
        </w:rPr>
      </w:pPr>
    </w:p>
    <w:p w14:paraId="50E5B0DD" w14:textId="429971BF" w:rsidR="000B3021" w:rsidRPr="0020166F" w:rsidRDefault="000B71AD" w:rsidP="0098742A">
      <w:pPr>
        <w:widowControl w:val="0"/>
        <w:numPr>
          <w:ilvl w:val="0"/>
          <w:numId w:val="7"/>
        </w:numPr>
        <w:jc w:val="both"/>
        <w:rPr>
          <w:rFonts w:ascii="Arial" w:eastAsia="Arial" w:hAnsi="Arial" w:cs="Arial"/>
          <w:color w:val="2C2C2C" w:themeColor="text1"/>
          <w:sz w:val="20"/>
          <w:szCs w:val="20"/>
          <w:lang w:val="tr"/>
        </w:rPr>
      </w:pPr>
      <w:r w:rsidRPr="0020166F">
        <w:rPr>
          <w:rFonts w:ascii="Arial" w:eastAsia="Arial" w:hAnsi="Arial" w:cs="Arial"/>
          <w:b/>
          <w:bCs/>
          <w:color w:val="2C2C2C" w:themeColor="text1"/>
          <w:sz w:val="20"/>
          <w:szCs w:val="20"/>
          <w:lang w:val="en-GB"/>
        </w:rPr>
        <w:t xml:space="preserve">International </w:t>
      </w:r>
      <w:r w:rsidR="00183D89">
        <w:rPr>
          <w:rFonts w:ascii="Arial" w:eastAsia="Arial" w:hAnsi="Arial" w:cs="Arial"/>
          <w:b/>
          <w:bCs/>
          <w:color w:val="2C2C2C" w:themeColor="text1"/>
          <w:sz w:val="20"/>
          <w:szCs w:val="20"/>
          <w:lang w:val="en-GB"/>
        </w:rPr>
        <w:t>Conventions</w:t>
      </w:r>
      <w:r w:rsidR="006A3D8A">
        <w:rPr>
          <w:rFonts w:ascii="Arial" w:eastAsia="Arial" w:hAnsi="Arial" w:cs="Arial"/>
          <w:b/>
          <w:bCs/>
          <w:color w:val="2C2C2C" w:themeColor="text1"/>
          <w:sz w:val="20"/>
          <w:szCs w:val="20"/>
          <w:lang w:val="en-GB"/>
        </w:rPr>
        <w:t xml:space="preserve">: </w:t>
      </w:r>
      <w:r w:rsidRPr="0020166F">
        <w:rPr>
          <w:rFonts w:ascii="Arial" w:hAnsi="Arial" w:cs="Arial"/>
          <w:color w:val="2C2C2C" w:themeColor="text1"/>
          <w:sz w:val="20"/>
          <w:szCs w:val="20"/>
        </w:rPr>
        <w:t>The Constitution states in Article 90/V that in case of a conflict between international agreements and domestic law, the former prevails.</w:t>
      </w:r>
      <w:r w:rsidR="00E803F3">
        <w:rPr>
          <w:rStyle w:val="FootnoteReference"/>
          <w:rFonts w:ascii="Arial" w:hAnsi="Arial" w:cs="Arial"/>
          <w:color w:val="2C2C2C" w:themeColor="text1"/>
          <w:sz w:val="20"/>
          <w:szCs w:val="20"/>
        </w:rPr>
        <w:footnoteReference w:id="5"/>
      </w:r>
      <w:r w:rsidR="0002761B">
        <w:rPr>
          <w:rFonts w:ascii="Arial" w:hAnsi="Arial" w:cs="Arial"/>
          <w:color w:val="2C2C2C" w:themeColor="text1"/>
          <w:sz w:val="20"/>
          <w:szCs w:val="20"/>
        </w:rPr>
        <w:t xml:space="preserve"> </w:t>
      </w:r>
      <w:r w:rsidR="00EC4AEC" w:rsidRPr="0020166F">
        <w:rPr>
          <w:rFonts w:ascii="Arial" w:eastAsia="Arial" w:hAnsi="Arial" w:cs="Arial"/>
          <w:color w:val="2C2C2C" w:themeColor="text1"/>
          <w:sz w:val="20"/>
          <w:szCs w:val="20"/>
          <w:lang w:val="en-GB"/>
        </w:rPr>
        <w:t xml:space="preserve">In 2012, </w:t>
      </w:r>
      <w:r w:rsidR="0002761B">
        <w:rPr>
          <w:rFonts w:ascii="Arial" w:eastAsia="Arial" w:hAnsi="Arial" w:cs="Arial"/>
          <w:color w:val="2C2C2C" w:themeColor="text1"/>
          <w:sz w:val="20"/>
          <w:szCs w:val="20"/>
          <w:lang w:val="en-GB"/>
        </w:rPr>
        <w:t xml:space="preserve">Turkey </w:t>
      </w:r>
      <w:r w:rsidR="00EC4AEC" w:rsidRPr="0020166F">
        <w:rPr>
          <w:rFonts w:ascii="Arial" w:eastAsia="Arial" w:hAnsi="Arial" w:cs="Arial"/>
          <w:color w:val="2C2C2C" w:themeColor="text1"/>
          <w:sz w:val="20"/>
          <w:szCs w:val="20"/>
          <w:lang w:val="en-GB"/>
        </w:rPr>
        <w:t>ratified the Cou</w:t>
      </w:r>
      <w:r w:rsidR="00AC04AC">
        <w:rPr>
          <w:rFonts w:ascii="Arial" w:eastAsia="Arial" w:hAnsi="Arial" w:cs="Arial"/>
          <w:color w:val="2C2C2C" w:themeColor="text1"/>
          <w:sz w:val="20"/>
          <w:szCs w:val="20"/>
          <w:lang w:val="en-GB"/>
        </w:rPr>
        <w:t>n</w:t>
      </w:r>
      <w:r w:rsidR="00EC4AEC" w:rsidRPr="0020166F">
        <w:rPr>
          <w:rFonts w:ascii="Arial" w:eastAsia="Arial" w:hAnsi="Arial" w:cs="Arial"/>
          <w:color w:val="2C2C2C" w:themeColor="text1"/>
          <w:sz w:val="20"/>
          <w:szCs w:val="20"/>
          <w:lang w:val="en-GB"/>
        </w:rPr>
        <w:t xml:space="preserve">cil of Europe Convention on </w:t>
      </w:r>
      <w:r w:rsidR="00AC04AC">
        <w:rPr>
          <w:rFonts w:ascii="Arial" w:eastAsia="Arial" w:hAnsi="Arial" w:cs="Arial"/>
          <w:color w:val="2C2C2C" w:themeColor="text1"/>
          <w:sz w:val="20"/>
          <w:szCs w:val="20"/>
          <w:lang w:val="en-GB"/>
        </w:rPr>
        <w:t>p</w:t>
      </w:r>
      <w:r w:rsidR="00EC4AEC" w:rsidRPr="0020166F">
        <w:rPr>
          <w:rFonts w:ascii="Arial" w:eastAsia="Arial" w:hAnsi="Arial" w:cs="Arial"/>
          <w:color w:val="2C2C2C" w:themeColor="text1"/>
          <w:sz w:val="20"/>
          <w:szCs w:val="20"/>
          <w:lang w:val="en-GB"/>
        </w:rPr>
        <w:t xml:space="preserve">reventing and </w:t>
      </w:r>
      <w:r w:rsidR="00AC04AC">
        <w:rPr>
          <w:rFonts w:ascii="Arial" w:eastAsia="Arial" w:hAnsi="Arial" w:cs="Arial"/>
          <w:color w:val="2C2C2C" w:themeColor="text1"/>
          <w:sz w:val="20"/>
          <w:szCs w:val="20"/>
          <w:lang w:val="en-GB"/>
        </w:rPr>
        <w:t>c</w:t>
      </w:r>
      <w:r w:rsidR="00EC4AEC" w:rsidRPr="0020166F">
        <w:rPr>
          <w:rFonts w:ascii="Arial" w:eastAsia="Arial" w:hAnsi="Arial" w:cs="Arial"/>
          <w:color w:val="2C2C2C" w:themeColor="text1"/>
          <w:sz w:val="20"/>
          <w:szCs w:val="20"/>
          <w:lang w:val="en-GB"/>
        </w:rPr>
        <w:t xml:space="preserve">ombating </w:t>
      </w:r>
      <w:r w:rsidR="00AC04AC">
        <w:rPr>
          <w:rFonts w:ascii="Arial" w:eastAsia="Arial" w:hAnsi="Arial" w:cs="Arial"/>
          <w:color w:val="2C2C2C" w:themeColor="text1"/>
          <w:sz w:val="20"/>
          <w:szCs w:val="20"/>
          <w:lang w:val="en-GB"/>
        </w:rPr>
        <w:t>v</w:t>
      </w:r>
      <w:r w:rsidR="00EC4AEC" w:rsidRPr="0020166F">
        <w:rPr>
          <w:rFonts w:ascii="Arial" w:eastAsia="Arial" w:hAnsi="Arial" w:cs="Arial"/>
          <w:color w:val="2C2C2C" w:themeColor="text1"/>
          <w:sz w:val="20"/>
          <w:szCs w:val="20"/>
          <w:lang w:val="en-GB"/>
        </w:rPr>
        <w:t xml:space="preserve">iolence </w:t>
      </w:r>
      <w:r w:rsidR="000B3021" w:rsidRPr="0020166F">
        <w:rPr>
          <w:rFonts w:ascii="Arial" w:eastAsia="Arial" w:hAnsi="Arial" w:cs="Arial"/>
          <w:color w:val="2C2C2C" w:themeColor="text1"/>
          <w:sz w:val="20"/>
          <w:szCs w:val="20"/>
          <w:lang w:val="en-GB"/>
        </w:rPr>
        <w:t>against</w:t>
      </w:r>
      <w:r w:rsidR="00EC4AEC" w:rsidRPr="0020166F">
        <w:rPr>
          <w:rFonts w:ascii="Arial" w:eastAsia="Arial" w:hAnsi="Arial" w:cs="Arial"/>
          <w:color w:val="2C2C2C" w:themeColor="text1"/>
          <w:sz w:val="20"/>
          <w:szCs w:val="20"/>
          <w:lang w:val="en-GB"/>
        </w:rPr>
        <w:t xml:space="preserve"> </w:t>
      </w:r>
      <w:r w:rsidR="00AC04AC">
        <w:rPr>
          <w:rFonts w:ascii="Arial" w:eastAsia="Arial" w:hAnsi="Arial" w:cs="Arial"/>
          <w:color w:val="2C2C2C" w:themeColor="text1"/>
          <w:sz w:val="20"/>
          <w:szCs w:val="20"/>
          <w:lang w:val="en-GB"/>
        </w:rPr>
        <w:t>w</w:t>
      </w:r>
      <w:r w:rsidR="00EC4AEC" w:rsidRPr="0020166F">
        <w:rPr>
          <w:rFonts w:ascii="Arial" w:eastAsia="Arial" w:hAnsi="Arial" w:cs="Arial"/>
          <w:color w:val="2C2C2C" w:themeColor="text1"/>
          <w:sz w:val="20"/>
          <w:szCs w:val="20"/>
          <w:lang w:val="en-GB"/>
        </w:rPr>
        <w:t xml:space="preserve">omen and </w:t>
      </w:r>
      <w:r w:rsidR="00AC04AC">
        <w:rPr>
          <w:rFonts w:ascii="Arial" w:eastAsia="Arial" w:hAnsi="Arial" w:cs="Arial"/>
          <w:color w:val="2C2C2C" w:themeColor="text1"/>
          <w:sz w:val="20"/>
          <w:szCs w:val="20"/>
          <w:lang w:val="en-GB"/>
        </w:rPr>
        <w:t>d</w:t>
      </w:r>
      <w:r w:rsidR="00EC4AEC" w:rsidRPr="0020166F">
        <w:rPr>
          <w:rFonts w:ascii="Arial" w:eastAsia="Arial" w:hAnsi="Arial" w:cs="Arial"/>
          <w:color w:val="2C2C2C" w:themeColor="text1"/>
          <w:sz w:val="20"/>
          <w:szCs w:val="20"/>
          <w:lang w:val="en-GB"/>
        </w:rPr>
        <w:t xml:space="preserve">omestic </w:t>
      </w:r>
      <w:r w:rsidR="00AC04AC">
        <w:rPr>
          <w:rFonts w:ascii="Arial" w:eastAsia="Arial" w:hAnsi="Arial" w:cs="Arial"/>
          <w:color w:val="2C2C2C" w:themeColor="text1"/>
          <w:sz w:val="20"/>
          <w:szCs w:val="20"/>
          <w:lang w:val="en-GB"/>
        </w:rPr>
        <w:t>v</w:t>
      </w:r>
      <w:r w:rsidR="00EC4AEC" w:rsidRPr="0020166F">
        <w:rPr>
          <w:rFonts w:ascii="Arial" w:eastAsia="Arial" w:hAnsi="Arial" w:cs="Arial"/>
          <w:color w:val="2C2C2C" w:themeColor="text1"/>
          <w:sz w:val="20"/>
          <w:szCs w:val="20"/>
          <w:lang w:val="en-GB"/>
        </w:rPr>
        <w:t>iolence (Istanbul Convention), which adopts the principle of non-discrimination on the basis of sex.</w:t>
      </w:r>
      <w:r w:rsidR="00E3207D">
        <w:rPr>
          <w:rStyle w:val="FootnoteReference"/>
          <w:rFonts w:ascii="Arial" w:eastAsia="Arial" w:hAnsi="Arial" w:cs="Arial"/>
          <w:color w:val="2C2C2C" w:themeColor="text1"/>
          <w:sz w:val="20"/>
          <w:szCs w:val="20"/>
          <w:lang w:val="en-GB"/>
        </w:rPr>
        <w:footnoteReference w:id="6"/>
      </w:r>
      <w:r w:rsidR="00E3207D">
        <w:rPr>
          <w:rFonts w:ascii="Arial" w:eastAsia="Arial" w:hAnsi="Arial" w:cs="Arial"/>
          <w:color w:val="2C2C2C" w:themeColor="text1"/>
          <w:sz w:val="20"/>
          <w:szCs w:val="20"/>
          <w:vertAlign w:val="superscript"/>
          <w:lang w:val="en-GB"/>
        </w:rPr>
        <w:t xml:space="preserve"> </w:t>
      </w:r>
      <w:r w:rsidR="000B3021" w:rsidRPr="0020166F">
        <w:rPr>
          <w:rFonts w:ascii="Arial" w:eastAsia="Arial" w:hAnsi="Arial" w:cs="Arial"/>
          <w:color w:val="2C2C2C" w:themeColor="text1"/>
          <w:sz w:val="20"/>
          <w:szCs w:val="20"/>
          <w:lang w:val="en-GB"/>
        </w:rPr>
        <w:t xml:space="preserve">However, Turkey </w:t>
      </w:r>
      <w:r w:rsidR="0002761B">
        <w:rPr>
          <w:rFonts w:ascii="Arial" w:eastAsia="Arial" w:hAnsi="Arial" w:cs="Arial"/>
          <w:color w:val="2C2C2C" w:themeColor="text1"/>
          <w:sz w:val="20"/>
          <w:szCs w:val="20"/>
          <w:lang w:val="en-GB"/>
        </w:rPr>
        <w:t>withdrew</w:t>
      </w:r>
      <w:r w:rsidR="000B3021" w:rsidRPr="0020166F">
        <w:rPr>
          <w:rFonts w:ascii="Arial" w:eastAsia="Arial" w:hAnsi="Arial" w:cs="Arial"/>
          <w:color w:val="2C2C2C" w:themeColor="text1"/>
          <w:sz w:val="20"/>
          <w:szCs w:val="20"/>
          <w:lang w:val="en-GB"/>
        </w:rPr>
        <w:t xml:space="preserve"> from the Istanbul Convention through </w:t>
      </w:r>
      <w:r w:rsidR="00C412A4" w:rsidRPr="0020166F">
        <w:rPr>
          <w:rFonts w:ascii="Arial" w:eastAsia="Arial" w:hAnsi="Arial" w:cs="Arial"/>
          <w:color w:val="2C2C2C" w:themeColor="text1"/>
          <w:sz w:val="20"/>
          <w:szCs w:val="20"/>
          <w:lang w:val="en-GB"/>
        </w:rPr>
        <w:t xml:space="preserve">a </w:t>
      </w:r>
      <w:r w:rsidR="000B3021" w:rsidRPr="0020166F">
        <w:rPr>
          <w:rFonts w:ascii="Arial" w:eastAsia="Arial" w:hAnsi="Arial" w:cs="Arial"/>
          <w:color w:val="2C2C2C" w:themeColor="text1"/>
          <w:sz w:val="20"/>
          <w:szCs w:val="20"/>
          <w:lang w:val="en-GB"/>
        </w:rPr>
        <w:t>Presidential Decree on 20 March 2021</w:t>
      </w:r>
      <w:r w:rsidR="000B3021" w:rsidRPr="0020166F">
        <w:rPr>
          <w:rFonts w:ascii="Arial" w:eastAsia="Arial" w:hAnsi="Arial" w:cs="Arial"/>
          <w:color w:val="2C2C2C" w:themeColor="text1"/>
          <w:sz w:val="20"/>
          <w:szCs w:val="20"/>
          <w:lang w:val="tr"/>
        </w:rPr>
        <w:t>.</w:t>
      </w:r>
      <w:r w:rsidR="00C412A4" w:rsidRPr="0020166F">
        <w:rPr>
          <w:rStyle w:val="FootnoteReference"/>
          <w:rFonts w:ascii="Arial" w:eastAsia="Arial" w:hAnsi="Arial" w:cs="Arial"/>
          <w:color w:val="2C2C2C" w:themeColor="text1"/>
          <w:sz w:val="20"/>
          <w:szCs w:val="20"/>
          <w:lang w:val="tr"/>
        </w:rPr>
        <w:footnoteReference w:id="7"/>
      </w:r>
      <w:r w:rsidR="000B3021" w:rsidRPr="0020166F">
        <w:rPr>
          <w:rFonts w:ascii="Arial" w:eastAsia="Arial" w:hAnsi="Arial" w:cs="Arial"/>
          <w:color w:val="2C2C2C" w:themeColor="text1"/>
          <w:sz w:val="20"/>
          <w:szCs w:val="20"/>
          <w:lang w:val="tr"/>
        </w:rPr>
        <w:t xml:space="preserve"> </w:t>
      </w:r>
      <w:r w:rsidR="000B3021" w:rsidRPr="0020166F">
        <w:rPr>
          <w:rFonts w:ascii="Arial" w:eastAsia="Arial" w:hAnsi="Arial" w:cs="Arial"/>
          <w:color w:val="2C2C2C" w:themeColor="text1"/>
          <w:sz w:val="20"/>
          <w:szCs w:val="20"/>
          <w:lang w:val="en-GB"/>
        </w:rPr>
        <w:t xml:space="preserve">This withdrawal </w:t>
      </w:r>
      <w:r w:rsidR="00007B81">
        <w:rPr>
          <w:rFonts w:ascii="Arial" w:eastAsia="Arial" w:hAnsi="Arial" w:cs="Arial"/>
          <w:color w:val="2C2C2C" w:themeColor="text1"/>
          <w:sz w:val="20"/>
          <w:szCs w:val="20"/>
          <w:lang w:val="en-GB"/>
        </w:rPr>
        <w:t>has been</w:t>
      </w:r>
      <w:r w:rsidR="000B3021" w:rsidRPr="0020166F">
        <w:rPr>
          <w:rFonts w:ascii="Arial" w:eastAsia="Arial" w:hAnsi="Arial" w:cs="Arial"/>
          <w:color w:val="2C2C2C" w:themeColor="text1"/>
          <w:sz w:val="20"/>
          <w:szCs w:val="20"/>
          <w:lang w:val="en-GB"/>
        </w:rPr>
        <w:t xml:space="preserve"> widely </w:t>
      </w:r>
      <w:r w:rsidR="0002761B">
        <w:rPr>
          <w:rFonts w:ascii="Arial" w:eastAsia="Arial" w:hAnsi="Arial" w:cs="Arial"/>
          <w:color w:val="2C2C2C" w:themeColor="text1"/>
          <w:sz w:val="20"/>
          <w:szCs w:val="20"/>
          <w:lang w:val="en-GB"/>
        </w:rPr>
        <w:t xml:space="preserve">criticized as a </w:t>
      </w:r>
      <w:r w:rsidR="000B3021" w:rsidRPr="0020166F">
        <w:rPr>
          <w:rFonts w:ascii="Arial" w:eastAsia="Arial" w:hAnsi="Arial" w:cs="Arial"/>
          <w:color w:val="2C2C2C" w:themeColor="text1"/>
          <w:sz w:val="20"/>
          <w:szCs w:val="20"/>
          <w:lang w:val="en-GB"/>
        </w:rPr>
        <w:t xml:space="preserve">step back </w:t>
      </w:r>
      <w:r w:rsidR="0091240C">
        <w:rPr>
          <w:rFonts w:ascii="Arial" w:eastAsia="Arial" w:hAnsi="Arial" w:cs="Arial"/>
          <w:color w:val="2C2C2C" w:themeColor="text1"/>
          <w:sz w:val="20"/>
          <w:szCs w:val="20"/>
          <w:lang w:val="en-GB"/>
        </w:rPr>
        <w:t>in</w:t>
      </w:r>
      <w:r w:rsidR="000B3021" w:rsidRPr="0020166F">
        <w:rPr>
          <w:rFonts w:ascii="Arial" w:eastAsia="Arial" w:hAnsi="Arial" w:cs="Arial"/>
          <w:color w:val="2C2C2C" w:themeColor="text1"/>
          <w:sz w:val="20"/>
          <w:szCs w:val="20"/>
          <w:lang w:val="en-GB"/>
        </w:rPr>
        <w:t xml:space="preserve"> achieving gender equality in </w:t>
      </w:r>
      <w:r w:rsidR="00EA47AD">
        <w:rPr>
          <w:rFonts w:ascii="Arial" w:eastAsia="Arial" w:hAnsi="Arial" w:cs="Arial"/>
          <w:color w:val="2C2C2C" w:themeColor="text1"/>
          <w:sz w:val="20"/>
          <w:szCs w:val="20"/>
          <w:lang w:val="en-GB"/>
        </w:rPr>
        <w:t>Turkey</w:t>
      </w:r>
      <w:r w:rsidR="000B3021" w:rsidRPr="0020166F">
        <w:rPr>
          <w:rFonts w:ascii="Arial" w:eastAsia="Arial" w:hAnsi="Arial" w:cs="Arial"/>
          <w:color w:val="2C2C2C" w:themeColor="text1"/>
          <w:sz w:val="20"/>
          <w:szCs w:val="20"/>
          <w:lang w:val="en-GB"/>
        </w:rPr>
        <w:t>.</w:t>
      </w:r>
    </w:p>
    <w:p w14:paraId="1CF228DE" w14:textId="4892932F" w:rsidR="000B3021" w:rsidRPr="0020166F" w:rsidRDefault="000B3021" w:rsidP="0098742A">
      <w:pPr>
        <w:widowControl w:val="0"/>
        <w:jc w:val="both"/>
        <w:rPr>
          <w:rFonts w:ascii="Arial" w:eastAsia="Arial" w:hAnsi="Arial" w:cs="Arial"/>
          <w:color w:val="2C2C2C" w:themeColor="text1"/>
          <w:sz w:val="20"/>
          <w:szCs w:val="20"/>
          <w:vertAlign w:val="superscript"/>
          <w:lang w:val="en-GB"/>
        </w:rPr>
      </w:pPr>
    </w:p>
    <w:p w14:paraId="3ECF1D3B" w14:textId="24B0938F" w:rsidR="003102FF" w:rsidRPr="0020166F" w:rsidRDefault="00EC4AEC" w:rsidP="0098742A">
      <w:pPr>
        <w:widowControl w:val="0"/>
        <w:numPr>
          <w:ilvl w:val="0"/>
          <w:numId w:val="7"/>
        </w:numPr>
        <w:jc w:val="both"/>
        <w:rPr>
          <w:rFonts w:ascii="Arial" w:eastAsia="Arial" w:hAnsi="Arial" w:cs="Arial"/>
          <w:color w:val="2C2C2C" w:themeColor="text1"/>
          <w:sz w:val="20"/>
          <w:szCs w:val="20"/>
          <w:vertAlign w:val="superscript"/>
          <w:lang w:val="en-GB"/>
        </w:rPr>
      </w:pPr>
      <w:r w:rsidRPr="0020166F">
        <w:rPr>
          <w:rFonts w:ascii="Arial" w:eastAsia="Arial" w:hAnsi="Arial" w:cs="Arial"/>
          <w:b/>
          <w:bCs/>
          <w:color w:val="2C2C2C" w:themeColor="text1"/>
          <w:sz w:val="20"/>
          <w:szCs w:val="20"/>
          <w:lang w:val="en-GB"/>
        </w:rPr>
        <w:t xml:space="preserve">Prevention of Violence against Women (Law No. 6284, 2012). </w:t>
      </w:r>
      <w:r w:rsidRPr="0020166F">
        <w:rPr>
          <w:rFonts w:ascii="Arial" w:eastAsia="Arial" w:hAnsi="Arial" w:cs="Arial"/>
          <w:color w:val="2C2C2C" w:themeColor="text1"/>
          <w:sz w:val="20"/>
          <w:szCs w:val="20"/>
          <w:lang w:val="en-GB"/>
        </w:rPr>
        <w:t>Built on the Istanbul Convention</w:t>
      </w:r>
      <w:r w:rsidR="00E86E27">
        <w:rPr>
          <w:rFonts w:ascii="Arial" w:eastAsia="Arial" w:hAnsi="Arial" w:cs="Arial"/>
          <w:color w:val="2C2C2C" w:themeColor="text1"/>
          <w:sz w:val="20"/>
          <w:szCs w:val="20"/>
          <w:lang w:val="en-GB"/>
        </w:rPr>
        <w:t xml:space="preserve"> but still in effect</w:t>
      </w:r>
      <w:r w:rsidRPr="0020166F">
        <w:rPr>
          <w:rFonts w:ascii="Arial" w:eastAsia="Arial" w:hAnsi="Arial" w:cs="Arial"/>
          <w:color w:val="2C2C2C" w:themeColor="text1"/>
          <w:sz w:val="20"/>
          <w:szCs w:val="20"/>
          <w:lang w:val="en-GB"/>
        </w:rPr>
        <w:t xml:space="preserve">, the law broadens the </w:t>
      </w:r>
      <w:r w:rsidR="0091240C">
        <w:rPr>
          <w:rFonts w:ascii="Arial" w:eastAsia="Arial" w:hAnsi="Arial" w:cs="Arial"/>
          <w:color w:val="2C2C2C" w:themeColor="text1"/>
          <w:sz w:val="20"/>
          <w:szCs w:val="20"/>
          <w:lang w:val="en-GB"/>
        </w:rPr>
        <w:t>definition</w:t>
      </w:r>
      <w:r w:rsidR="0091240C" w:rsidRPr="0020166F">
        <w:rPr>
          <w:rFonts w:ascii="Arial" w:eastAsia="Arial" w:hAnsi="Arial" w:cs="Arial"/>
          <w:color w:val="2C2C2C" w:themeColor="text1"/>
          <w:sz w:val="20"/>
          <w:szCs w:val="20"/>
          <w:lang w:val="en-GB"/>
        </w:rPr>
        <w:t xml:space="preserve"> </w:t>
      </w:r>
      <w:r w:rsidRPr="0020166F">
        <w:rPr>
          <w:rFonts w:ascii="Arial" w:eastAsia="Arial" w:hAnsi="Arial" w:cs="Arial"/>
          <w:color w:val="2C2C2C" w:themeColor="text1"/>
          <w:sz w:val="20"/>
          <w:szCs w:val="20"/>
          <w:lang w:val="en-GB"/>
        </w:rPr>
        <w:t>of gender-based violence to include physical, verbal, sexual, economic, and psychological violence.</w:t>
      </w:r>
      <w:r w:rsidR="001118B1">
        <w:rPr>
          <w:rStyle w:val="FootnoteReference"/>
          <w:rFonts w:ascii="Arial" w:eastAsia="Arial" w:hAnsi="Arial" w:cs="Arial"/>
          <w:color w:val="2C2C2C" w:themeColor="text1"/>
          <w:sz w:val="20"/>
          <w:szCs w:val="20"/>
          <w:lang w:val="en-GB"/>
        </w:rPr>
        <w:footnoteReference w:id="8"/>
      </w:r>
      <w:r w:rsidRPr="0020166F">
        <w:rPr>
          <w:rFonts w:ascii="Arial" w:eastAsia="Arial" w:hAnsi="Arial" w:cs="Arial"/>
          <w:color w:val="2C2C2C" w:themeColor="text1"/>
          <w:sz w:val="20"/>
          <w:szCs w:val="20"/>
          <w:lang w:val="en-GB"/>
        </w:rPr>
        <w:t xml:space="preserve"> </w:t>
      </w:r>
      <w:r w:rsidR="0091240C">
        <w:rPr>
          <w:rFonts w:ascii="Arial" w:eastAsia="Arial" w:hAnsi="Arial" w:cs="Arial"/>
          <w:color w:val="2C2C2C" w:themeColor="text1"/>
          <w:sz w:val="20"/>
          <w:szCs w:val="20"/>
          <w:lang w:val="en-GB"/>
        </w:rPr>
        <w:t>It</w:t>
      </w:r>
      <w:r w:rsidR="00B306CF">
        <w:rPr>
          <w:rFonts w:ascii="Arial" w:eastAsia="Arial" w:hAnsi="Arial" w:cs="Arial"/>
          <w:color w:val="2C2C2C" w:themeColor="text1"/>
          <w:sz w:val="20"/>
          <w:szCs w:val="20"/>
          <w:lang w:val="en-GB"/>
        </w:rPr>
        <w:t xml:space="preserve"> protects </w:t>
      </w:r>
      <w:r w:rsidRPr="0020166F">
        <w:rPr>
          <w:rFonts w:ascii="Arial" w:eastAsia="Arial" w:hAnsi="Arial" w:cs="Arial"/>
          <w:color w:val="2C2C2C" w:themeColor="text1"/>
          <w:sz w:val="20"/>
          <w:szCs w:val="20"/>
          <w:lang w:val="en-GB"/>
        </w:rPr>
        <w:t xml:space="preserve">women, children, family members, </w:t>
      </w:r>
      <w:r w:rsidR="00B306CF">
        <w:rPr>
          <w:rFonts w:ascii="Arial" w:eastAsia="Arial" w:hAnsi="Arial" w:cs="Arial"/>
          <w:color w:val="2C2C2C" w:themeColor="text1"/>
          <w:sz w:val="20"/>
          <w:szCs w:val="20"/>
          <w:lang w:val="en-GB"/>
        </w:rPr>
        <w:t xml:space="preserve">as well as </w:t>
      </w:r>
      <w:r w:rsidRPr="0020166F">
        <w:rPr>
          <w:rFonts w:ascii="Arial" w:eastAsia="Arial" w:hAnsi="Arial" w:cs="Arial"/>
          <w:color w:val="2C2C2C" w:themeColor="text1"/>
          <w:sz w:val="20"/>
          <w:szCs w:val="20"/>
          <w:lang w:val="en-GB"/>
        </w:rPr>
        <w:t>victims of stalking.</w:t>
      </w:r>
      <w:r w:rsidR="00B306CF">
        <w:rPr>
          <w:rStyle w:val="FootnoteReference"/>
          <w:rFonts w:ascii="Arial" w:eastAsia="Arial" w:hAnsi="Arial" w:cs="Arial"/>
          <w:color w:val="2C2C2C" w:themeColor="text1"/>
          <w:sz w:val="20"/>
          <w:szCs w:val="20"/>
          <w:lang w:val="en-GB"/>
        </w:rPr>
        <w:footnoteReference w:id="9"/>
      </w:r>
    </w:p>
    <w:p w14:paraId="2AA13A59" w14:textId="77777777" w:rsidR="003102FF" w:rsidRPr="0020166F" w:rsidRDefault="003102FF" w:rsidP="0098742A">
      <w:pPr>
        <w:pStyle w:val="ListParagraph"/>
        <w:rPr>
          <w:rFonts w:ascii="Arial" w:eastAsia="Arial" w:hAnsi="Arial" w:cs="Arial"/>
          <w:color w:val="2C2C2C" w:themeColor="text1"/>
          <w:sz w:val="20"/>
          <w:szCs w:val="20"/>
          <w:highlight w:val="green"/>
        </w:rPr>
      </w:pPr>
    </w:p>
    <w:p w14:paraId="5981CDBD" w14:textId="346FB585" w:rsidR="009F7497" w:rsidRPr="00E86D75" w:rsidRDefault="003102FF" w:rsidP="0017404F">
      <w:pPr>
        <w:widowControl w:val="0"/>
        <w:numPr>
          <w:ilvl w:val="0"/>
          <w:numId w:val="7"/>
        </w:numPr>
        <w:jc w:val="both"/>
        <w:rPr>
          <w:rFonts w:ascii="Arial" w:eastAsia="Arial" w:hAnsi="Arial" w:cs="Arial"/>
        </w:rPr>
      </w:pPr>
      <w:r w:rsidRPr="0020166F">
        <w:rPr>
          <w:rFonts w:ascii="Arial" w:eastAsia="Arial" w:hAnsi="Arial" w:cs="Arial"/>
          <w:b/>
          <w:bCs/>
          <w:color w:val="2C2C2C" w:themeColor="text1"/>
          <w:sz w:val="20"/>
          <w:szCs w:val="20"/>
          <w:lang w:val="en-GB"/>
        </w:rPr>
        <w:t xml:space="preserve">The Turkish Civil Code. </w:t>
      </w:r>
      <w:r w:rsidRPr="0020166F">
        <w:rPr>
          <w:rFonts w:ascii="Arial" w:eastAsia="Arial" w:hAnsi="Arial" w:cs="Arial"/>
          <w:color w:val="2C2C2C" w:themeColor="text1"/>
          <w:sz w:val="20"/>
          <w:szCs w:val="20"/>
          <w:lang w:val="en-GB"/>
        </w:rPr>
        <w:t>After the codification of Turkish Civil Code</w:t>
      </w:r>
      <w:r w:rsidR="00AC04AC">
        <w:rPr>
          <w:rFonts w:ascii="Arial" w:eastAsia="Arial" w:hAnsi="Arial" w:cs="Arial"/>
          <w:color w:val="2C2C2C" w:themeColor="text1"/>
          <w:sz w:val="20"/>
          <w:szCs w:val="20"/>
          <w:lang w:val="en-GB"/>
        </w:rPr>
        <w:t xml:space="preserve"> in 1926</w:t>
      </w:r>
      <w:r w:rsidRPr="0020166F">
        <w:rPr>
          <w:rFonts w:ascii="Arial" w:eastAsia="Arial" w:hAnsi="Arial" w:cs="Arial"/>
          <w:color w:val="2C2C2C" w:themeColor="text1"/>
          <w:sz w:val="20"/>
          <w:szCs w:val="20"/>
          <w:lang w:val="en-GB"/>
        </w:rPr>
        <w:t xml:space="preserve"> </w:t>
      </w:r>
      <w:r w:rsidR="0005203D">
        <w:rPr>
          <w:rFonts w:ascii="Arial" w:eastAsia="Arial" w:hAnsi="Arial" w:cs="Arial"/>
          <w:color w:val="2C2C2C" w:themeColor="text1"/>
          <w:sz w:val="20"/>
          <w:szCs w:val="20"/>
          <w:lang w:val="en-GB"/>
        </w:rPr>
        <w:t>(</w:t>
      </w:r>
      <w:r w:rsidRPr="0020166F">
        <w:rPr>
          <w:rFonts w:ascii="Arial" w:eastAsia="Arial" w:hAnsi="Arial" w:cs="Arial"/>
          <w:color w:val="2C2C2C" w:themeColor="text1"/>
          <w:sz w:val="20"/>
          <w:szCs w:val="20"/>
          <w:lang w:val="en-GB"/>
        </w:rPr>
        <w:t>an adaptation of Swiss Civil Code</w:t>
      </w:r>
      <w:r w:rsidR="0005203D">
        <w:rPr>
          <w:rFonts w:ascii="Arial" w:eastAsia="Arial" w:hAnsi="Arial" w:cs="Arial"/>
          <w:color w:val="2C2C2C" w:themeColor="text1"/>
          <w:sz w:val="20"/>
          <w:szCs w:val="20"/>
          <w:lang w:val="en-GB"/>
        </w:rPr>
        <w:t>)</w:t>
      </w:r>
      <w:r w:rsidRPr="0020166F">
        <w:rPr>
          <w:rFonts w:ascii="Arial" w:eastAsia="Arial" w:hAnsi="Arial" w:cs="Arial"/>
          <w:color w:val="2C2C2C" w:themeColor="text1"/>
          <w:sz w:val="20"/>
          <w:szCs w:val="20"/>
          <w:lang w:val="en-GB"/>
        </w:rPr>
        <w:t xml:space="preserve">, Sharia law was abolished </w:t>
      </w:r>
      <w:r w:rsidR="0005203D">
        <w:rPr>
          <w:rFonts w:ascii="Arial" w:eastAsia="Arial" w:hAnsi="Arial" w:cs="Arial"/>
          <w:color w:val="2C2C2C" w:themeColor="text1"/>
          <w:sz w:val="20"/>
          <w:szCs w:val="20"/>
          <w:lang w:val="en-GB"/>
        </w:rPr>
        <w:t>through a constitutional amendment and Turkey was declared a</w:t>
      </w:r>
      <w:r w:rsidRPr="0020166F">
        <w:rPr>
          <w:rFonts w:ascii="Arial" w:eastAsia="Arial" w:hAnsi="Arial" w:cs="Arial"/>
          <w:color w:val="2C2C2C" w:themeColor="text1"/>
          <w:sz w:val="20"/>
          <w:szCs w:val="20"/>
          <w:lang w:val="en-GB"/>
        </w:rPr>
        <w:t xml:space="preserve"> secular state</w:t>
      </w:r>
      <w:r w:rsidR="0005203D">
        <w:rPr>
          <w:rFonts w:ascii="Arial" w:eastAsia="Arial" w:hAnsi="Arial" w:cs="Arial"/>
          <w:color w:val="2C2C2C" w:themeColor="text1"/>
          <w:sz w:val="20"/>
          <w:szCs w:val="20"/>
          <w:lang w:val="en-GB"/>
        </w:rPr>
        <w:t>.</w:t>
      </w:r>
      <w:r w:rsidR="0005203D" w:rsidRPr="0020166F">
        <w:rPr>
          <w:rFonts w:ascii="Arial" w:eastAsia="Arial" w:hAnsi="Arial" w:cs="Arial"/>
          <w:color w:val="2C2C2C" w:themeColor="text1"/>
          <w:sz w:val="20"/>
          <w:szCs w:val="20"/>
          <w:vertAlign w:val="superscript"/>
        </w:rPr>
        <w:footnoteReference w:id="10"/>
      </w:r>
      <w:r w:rsidR="0005203D">
        <w:rPr>
          <w:rFonts w:ascii="Arial" w:eastAsia="Arial" w:hAnsi="Arial" w:cs="Arial"/>
          <w:color w:val="2C2C2C" w:themeColor="text1"/>
          <w:sz w:val="20"/>
          <w:szCs w:val="20"/>
          <w:lang w:val="en-GB"/>
        </w:rPr>
        <w:t xml:space="preserve"> </w:t>
      </w:r>
      <w:r w:rsidRPr="0020166F">
        <w:rPr>
          <w:rFonts w:ascii="Arial" w:eastAsia="Arial" w:hAnsi="Arial" w:cs="Arial"/>
          <w:color w:val="2C2C2C" w:themeColor="text1"/>
          <w:sz w:val="20"/>
          <w:szCs w:val="20"/>
          <w:lang w:val="en-GB"/>
        </w:rPr>
        <w:t>The Code</w:t>
      </w:r>
      <w:r w:rsidR="00AC04AC">
        <w:rPr>
          <w:rFonts w:ascii="Arial" w:eastAsia="Arial" w:hAnsi="Arial" w:cs="Arial"/>
          <w:color w:val="2C2C2C" w:themeColor="text1"/>
          <w:sz w:val="20"/>
          <w:szCs w:val="20"/>
          <w:lang w:val="en-GB"/>
        </w:rPr>
        <w:t xml:space="preserve"> was extensively revised and </w:t>
      </w:r>
      <w:r w:rsidRPr="0020166F">
        <w:rPr>
          <w:rFonts w:ascii="Arial" w:eastAsia="Arial" w:hAnsi="Arial" w:cs="Arial"/>
          <w:color w:val="2C2C2C" w:themeColor="text1"/>
          <w:sz w:val="20"/>
          <w:szCs w:val="20"/>
          <w:lang w:val="en-GB"/>
        </w:rPr>
        <w:t>entered into force in 2002</w:t>
      </w:r>
      <w:r w:rsidR="00BD38D6">
        <w:rPr>
          <w:rFonts w:ascii="Arial" w:eastAsia="Arial" w:hAnsi="Arial" w:cs="Arial"/>
          <w:color w:val="2C2C2C" w:themeColor="text1"/>
          <w:sz w:val="20"/>
          <w:szCs w:val="20"/>
          <w:lang w:val="en-GB"/>
        </w:rPr>
        <w:t>.</w:t>
      </w:r>
      <w:r w:rsidRPr="0020166F">
        <w:rPr>
          <w:rFonts w:ascii="Arial" w:eastAsia="Arial" w:hAnsi="Arial" w:cs="Arial"/>
          <w:color w:val="2C2C2C" w:themeColor="text1"/>
          <w:sz w:val="20"/>
          <w:szCs w:val="20"/>
          <w:vertAlign w:val="superscript"/>
        </w:rPr>
        <w:t xml:space="preserve"> </w:t>
      </w:r>
      <w:r w:rsidRPr="0020166F">
        <w:rPr>
          <w:rFonts w:ascii="Arial" w:eastAsia="Arial" w:hAnsi="Arial" w:cs="Arial"/>
          <w:color w:val="2C2C2C" w:themeColor="text1"/>
          <w:sz w:val="20"/>
          <w:szCs w:val="20"/>
          <w:lang w:val="en-GB"/>
        </w:rPr>
        <w:t xml:space="preserve">It revised the institution of marriage </w:t>
      </w:r>
      <w:r w:rsidR="00AC04AC">
        <w:rPr>
          <w:rFonts w:ascii="Arial" w:eastAsia="Arial" w:hAnsi="Arial" w:cs="Arial"/>
          <w:color w:val="2C2C2C" w:themeColor="text1"/>
          <w:sz w:val="20"/>
          <w:szCs w:val="20"/>
          <w:lang w:val="en-GB"/>
        </w:rPr>
        <w:t>into</w:t>
      </w:r>
      <w:r w:rsidR="00AC04AC" w:rsidRPr="0020166F">
        <w:rPr>
          <w:rFonts w:ascii="Arial" w:eastAsia="Arial" w:hAnsi="Arial" w:cs="Arial"/>
          <w:color w:val="2C2C2C" w:themeColor="text1"/>
          <w:sz w:val="20"/>
          <w:szCs w:val="20"/>
          <w:lang w:val="en-GB"/>
        </w:rPr>
        <w:t xml:space="preserve"> </w:t>
      </w:r>
      <w:r w:rsidRPr="0020166F">
        <w:rPr>
          <w:rFonts w:ascii="Arial" w:eastAsia="Arial" w:hAnsi="Arial" w:cs="Arial"/>
          <w:color w:val="2C2C2C" w:themeColor="text1"/>
          <w:sz w:val="20"/>
          <w:szCs w:val="20"/>
          <w:lang w:val="en-GB"/>
        </w:rPr>
        <w:t>a partnership based on ‘equality of spouses’</w:t>
      </w:r>
      <w:r w:rsidR="00BD38D6" w:rsidRPr="0020166F">
        <w:rPr>
          <w:rStyle w:val="FootnoteReference"/>
          <w:rFonts w:ascii="Arial" w:eastAsia="Arial" w:hAnsi="Arial" w:cs="Arial"/>
          <w:color w:val="2C2C2C" w:themeColor="text1"/>
          <w:sz w:val="20"/>
          <w:szCs w:val="20"/>
          <w:lang w:val="en-GB"/>
        </w:rPr>
        <w:footnoteReference w:id="11"/>
      </w:r>
      <w:r w:rsidR="00BD38D6">
        <w:rPr>
          <w:rFonts w:ascii="Arial" w:eastAsia="Arial" w:hAnsi="Arial" w:cs="Arial"/>
          <w:color w:val="2C2C2C" w:themeColor="text1"/>
          <w:sz w:val="20"/>
          <w:szCs w:val="20"/>
          <w:lang w:val="en-GB"/>
        </w:rPr>
        <w:t xml:space="preserve"> </w:t>
      </w:r>
      <w:r w:rsidRPr="0020166F">
        <w:rPr>
          <w:rFonts w:ascii="Arial" w:eastAsia="Arial" w:hAnsi="Arial" w:cs="Arial"/>
          <w:color w:val="2C2C2C" w:themeColor="text1"/>
          <w:sz w:val="20"/>
          <w:szCs w:val="20"/>
          <w:lang w:val="en-GB"/>
        </w:rPr>
        <w:t>and equal participation of spouses in decisions on family matters</w:t>
      </w:r>
      <w:r w:rsidR="0091240C">
        <w:rPr>
          <w:rFonts w:ascii="Arial" w:eastAsia="Arial" w:hAnsi="Arial" w:cs="Arial"/>
          <w:color w:val="2C2C2C" w:themeColor="text1"/>
          <w:sz w:val="20"/>
          <w:szCs w:val="20"/>
          <w:lang w:val="en-GB"/>
        </w:rPr>
        <w:t xml:space="preserve">. </w:t>
      </w:r>
      <w:r w:rsidR="00AB0955">
        <w:rPr>
          <w:rFonts w:ascii="Arial" w:eastAsia="Arial" w:hAnsi="Arial" w:cs="Arial"/>
          <w:sz w:val="20"/>
          <w:szCs w:val="20"/>
        </w:rPr>
        <w:br w:type="page"/>
      </w:r>
    </w:p>
    <w:p w14:paraId="63BEB622" w14:textId="77777777" w:rsidR="009F7497" w:rsidRDefault="00D50095" w:rsidP="0098742A">
      <w:pPr>
        <w:pStyle w:val="Heading1"/>
        <w:tabs>
          <w:tab w:val="left" w:pos="270"/>
          <w:tab w:val="left" w:pos="630"/>
        </w:tabs>
        <w:ind w:left="540" w:hanging="540"/>
        <w:rPr>
          <w:color w:val="FFFFFF"/>
        </w:rPr>
      </w:pPr>
      <w:bookmarkStart w:id="1" w:name="_heading=h.1fob9te" w:colFirst="0" w:colLast="0"/>
      <w:bookmarkEnd w:id="1"/>
      <w:r>
        <w:rPr>
          <w:color w:val="FFFFFF"/>
        </w:rPr>
        <w:lastRenderedPageBreak/>
        <w:t>C. KEY ISSUES AND LIVED REALITIES</w:t>
      </w:r>
    </w:p>
    <w:p w14:paraId="265E1477" w14:textId="77777777" w:rsidR="009F7497" w:rsidRDefault="009F7497" w:rsidP="0098742A">
      <w:pPr>
        <w:jc w:val="both"/>
        <w:rPr>
          <w:rFonts w:ascii="Arial" w:eastAsia="Arial" w:hAnsi="Arial" w:cs="Arial"/>
        </w:rPr>
      </w:pPr>
    </w:p>
    <w:p w14:paraId="0243D21B" w14:textId="2A0F97D3" w:rsidR="009F7497" w:rsidRPr="00793522" w:rsidRDefault="00D50095" w:rsidP="0098742A">
      <w:pPr>
        <w:pStyle w:val="Heading2"/>
        <w:rPr>
          <w:rFonts w:ascii="Arial" w:eastAsia="Arial" w:hAnsi="Arial"/>
          <w:caps w:val="0"/>
          <w:smallCaps/>
        </w:rPr>
      </w:pPr>
      <w:bookmarkStart w:id="2" w:name="_heading=h.3znysh7" w:colFirst="0" w:colLast="0"/>
      <w:bookmarkEnd w:id="2"/>
      <w:r>
        <w:t xml:space="preserve"> 1. </w:t>
      </w:r>
      <w:r w:rsidRPr="00793522">
        <w:rPr>
          <w:rFonts w:ascii="Arial" w:eastAsia="Arial" w:hAnsi="Arial"/>
          <w:caps w:val="0"/>
          <w:smallCaps/>
        </w:rPr>
        <w:t>C</w:t>
      </w:r>
      <w:r w:rsidR="00793522">
        <w:rPr>
          <w:rFonts w:ascii="Arial" w:eastAsia="Arial" w:hAnsi="Arial"/>
          <w:caps w:val="0"/>
          <w:smallCaps/>
        </w:rPr>
        <w:t>hild</w:t>
      </w:r>
      <w:r w:rsidR="00CB68CF" w:rsidRPr="00793522">
        <w:rPr>
          <w:rFonts w:ascii="Arial" w:eastAsia="Arial" w:hAnsi="Arial"/>
          <w:caps w:val="0"/>
          <w:smallCaps/>
        </w:rPr>
        <w:t xml:space="preserve"> and </w:t>
      </w:r>
      <w:r w:rsidR="00793522">
        <w:rPr>
          <w:rFonts w:ascii="Arial" w:eastAsia="Arial" w:hAnsi="Arial"/>
          <w:caps w:val="0"/>
          <w:smallCaps/>
        </w:rPr>
        <w:t>F</w:t>
      </w:r>
      <w:r w:rsidR="00CB68CF" w:rsidRPr="00793522">
        <w:rPr>
          <w:rFonts w:ascii="Arial" w:eastAsia="Arial" w:hAnsi="Arial"/>
          <w:caps w:val="0"/>
          <w:smallCaps/>
        </w:rPr>
        <w:t>orced</w:t>
      </w:r>
      <w:r w:rsidRPr="00793522">
        <w:rPr>
          <w:rFonts w:ascii="Arial" w:eastAsia="Arial" w:hAnsi="Arial"/>
          <w:caps w:val="0"/>
          <w:smallCaps/>
        </w:rPr>
        <w:t xml:space="preserve"> M</w:t>
      </w:r>
      <w:r w:rsidR="00793522">
        <w:rPr>
          <w:rFonts w:ascii="Arial" w:eastAsia="Arial" w:hAnsi="Arial"/>
          <w:caps w:val="0"/>
          <w:smallCaps/>
        </w:rPr>
        <w:t>arriages</w:t>
      </w:r>
      <w:r w:rsidR="00793522">
        <w:rPr>
          <w:rFonts w:ascii="Arial" w:eastAsia="Arial" w:hAnsi="Arial"/>
          <w:caps w:val="0"/>
          <w:smallCaps/>
        </w:rPr>
        <w:tab/>
      </w:r>
      <w:r w:rsidR="00793522">
        <w:rPr>
          <w:rFonts w:ascii="Arial" w:eastAsia="Arial" w:hAnsi="Arial"/>
          <w:caps w:val="0"/>
          <w:smallCaps/>
        </w:rPr>
        <w:tab/>
      </w:r>
      <w:r w:rsidR="00793522">
        <w:rPr>
          <w:rFonts w:ascii="Arial" w:eastAsia="Arial" w:hAnsi="Arial"/>
          <w:caps w:val="0"/>
          <w:smallCaps/>
        </w:rPr>
        <w:tab/>
      </w:r>
      <w:r w:rsidR="00793522">
        <w:rPr>
          <w:rFonts w:ascii="Arial" w:eastAsia="Arial" w:hAnsi="Arial"/>
          <w:caps w:val="0"/>
          <w:smallCaps/>
        </w:rPr>
        <w:tab/>
        <w:t xml:space="preserve">   Article 16</w:t>
      </w:r>
    </w:p>
    <w:p w14:paraId="7EE0041C" w14:textId="78DF2DFA" w:rsidR="009F7497" w:rsidRDefault="009F7497" w:rsidP="0098742A">
      <w:pPr>
        <w:rPr>
          <w:rFonts w:ascii="Arial" w:eastAsia="Arial" w:hAnsi="Arial" w:cs="Arial"/>
          <w:sz w:val="20"/>
          <w:szCs w:val="20"/>
        </w:rPr>
      </w:pPr>
    </w:p>
    <w:p w14:paraId="0E96764D" w14:textId="3C938363" w:rsidR="00D96021" w:rsidRPr="0017404F" w:rsidRDefault="00D60868" w:rsidP="0098742A">
      <w:pPr>
        <w:rPr>
          <w:rFonts w:ascii="Arial" w:hAnsi="Arial" w:cs="Arial"/>
          <w:sz w:val="20"/>
          <w:szCs w:val="20"/>
          <w:u w:val="single"/>
        </w:rPr>
      </w:pPr>
      <w:r w:rsidRPr="0017404F">
        <w:rPr>
          <w:rFonts w:ascii="Arial" w:hAnsi="Arial" w:cs="Arial"/>
          <w:b/>
          <w:bCs/>
          <w:sz w:val="20"/>
          <w:szCs w:val="20"/>
          <w:u w:val="single"/>
        </w:rPr>
        <w:t>Legal Background:</w:t>
      </w:r>
      <w:r w:rsidR="00D96021" w:rsidRPr="0017404F">
        <w:rPr>
          <w:rFonts w:ascii="Arial" w:hAnsi="Arial" w:cs="Arial"/>
          <w:sz w:val="20"/>
          <w:szCs w:val="20"/>
          <w:u w:val="single"/>
        </w:rPr>
        <w:t xml:space="preserve"> </w:t>
      </w:r>
    </w:p>
    <w:p w14:paraId="55BFCA97" w14:textId="77777777" w:rsidR="00D96021" w:rsidRPr="00E048D8" w:rsidRDefault="00D96021" w:rsidP="0098742A">
      <w:pPr>
        <w:rPr>
          <w:rFonts w:ascii="Arial" w:hAnsi="Arial" w:cs="Arial"/>
          <w:b/>
          <w:bCs/>
          <w:sz w:val="20"/>
          <w:szCs w:val="20"/>
        </w:rPr>
      </w:pPr>
    </w:p>
    <w:p w14:paraId="26A20039" w14:textId="66AADB1A" w:rsidR="001D2EF1" w:rsidRPr="00E048D8" w:rsidRDefault="00E34A99" w:rsidP="00FE0A9E">
      <w:pPr>
        <w:jc w:val="both"/>
        <w:rPr>
          <w:rFonts w:ascii="Arial" w:hAnsi="Arial" w:cs="Arial"/>
          <w:sz w:val="20"/>
          <w:szCs w:val="20"/>
        </w:rPr>
      </w:pPr>
      <w:r w:rsidRPr="00E048D8">
        <w:rPr>
          <w:rFonts w:ascii="Arial" w:hAnsi="Arial" w:cs="Arial"/>
          <w:sz w:val="20"/>
          <w:szCs w:val="20"/>
        </w:rPr>
        <w:t xml:space="preserve">The legal age of marriage in Turkey is </w:t>
      </w:r>
      <w:r w:rsidR="00007B81">
        <w:rPr>
          <w:rFonts w:ascii="Arial" w:hAnsi="Arial" w:cs="Arial"/>
          <w:sz w:val="20"/>
          <w:szCs w:val="20"/>
        </w:rPr>
        <w:t>18</w:t>
      </w:r>
      <w:r w:rsidRPr="00E048D8">
        <w:rPr>
          <w:rFonts w:ascii="Arial" w:hAnsi="Arial" w:cs="Arial"/>
          <w:sz w:val="20"/>
          <w:szCs w:val="20"/>
        </w:rPr>
        <w:t xml:space="preserve"> as provided in </w:t>
      </w:r>
      <w:r w:rsidR="00A26432" w:rsidRPr="00E048D8">
        <w:rPr>
          <w:rFonts w:ascii="Arial" w:hAnsi="Arial" w:cs="Arial"/>
          <w:sz w:val="20"/>
          <w:szCs w:val="20"/>
        </w:rPr>
        <w:t>Article 124 of the Turkish Civil Code</w:t>
      </w:r>
      <w:r w:rsidR="0091240C">
        <w:rPr>
          <w:rFonts w:ascii="Arial" w:hAnsi="Arial" w:cs="Arial"/>
          <w:sz w:val="20"/>
          <w:szCs w:val="20"/>
        </w:rPr>
        <w:t xml:space="preserve"> (TCC)</w:t>
      </w:r>
      <w:r w:rsidR="00A26432" w:rsidRPr="00E048D8">
        <w:rPr>
          <w:rFonts w:ascii="Arial" w:hAnsi="Arial" w:cs="Arial"/>
          <w:sz w:val="20"/>
          <w:szCs w:val="20"/>
        </w:rPr>
        <w:t>.</w:t>
      </w:r>
      <w:r w:rsidR="00A26432" w:rsidRPr="00E048D8">
        <w:rPr>
          <w:rStyle w:val="FootnoteReference"/>
          <w:rFonts w:ascii="Arial" w:hAnsi="Arial" w:cs="Arial"/>
          <w:sz w:val="20"/>
          <w:szCs w:val="20"/>
        </w:rPr>
        <w:footnoteReference w:id="12"/>
      </w:r>
      <w:r w:rsidR="00A26432" w:rsidRPr="00E048D8">
        <w:rPr>
          <w:rFonts w:ascii="Arial" w:hAnsi="Arial" w:cs="Arial"/>
          <w:sz w:val="20"/>
          <w:szCs w:val="20"/>
        </w:rPr>
        <w:t xml:space="preserve"> </w:t>
      </w:r>
      <w:r w:rsidRPr="00E048D8">
        <w:rPr>
          <w:rFonts w:ascii="Arial" w:hAnsi="Arial" w:cs="Arial"/>
          <w:sz w:val="20"/>
          <w:szCs w:val="20"/>
        </w:rPr>
        <w:t>However,</w:t>
      </w:r>
      <w:r w:rsidR="00962576" w:rsidRPr="00E048D8">
        <w:rPr>
          <w:rFonts w:ascii="Arial" w:hAnsi="Arial" w:cs="Arial"/>
          <w:sz w:val="20"/>
          <w:szCs w:val="20"/>
        </w:rPr>
        <w:t xml:space="preserve"> </w:t>
      </w:r>
      <w:r w:rsidR="00A2661F">
        <w:rPr>
          <w:rFonts w:ascii="Arial" w:hAnsi="Arial" w:cs="Arial"/>
          <w:sz w:val="20"/>
          <w:szCs w:val="20"/>
        </w:rPr>
        <w:t xml:space="preserve">the </w:t>
      </w:r>
      <w:r w:rsidR="0091240C">
        <w:rPr>
          <w:rFonts w:ascii="Arial" w:hAnsi="Arial" w:cs="Arial"/>
          <w:sz w:val="20"/>
          <w:szCs w:val="20"/>
        </w:rPr>
        <w:t xml:space="preserve">TCC </w:t>
      </w:r>
      <w:r w:rsidR="00962576" w:rsidRPr="00E048D8">
        <w:rPr>
          <w:rFonts w:ascii="Arial" w:hAnsi="Arial" w:cs="Arial"/>
          <w:sz w:val="20"/>
          <w:szCs w:val="20"/>
        </w:rPr>
        <w:t xml:space="preserve">provides that those aged </w:t>
      </w:r>
      <w:r w:rsidR="00007B81">
        <w:rPr>
          <w:rFonts w:ascii="Arial" w:hAnsi="Arial" w:cs="Arial"/>
          <w:sz w:val="20"/>
          <w:szCs w:val="20"/>
        </w:rPr>
        <w:t>17</w:t>
      </w:r>
      <w:r w:rsidR="000A6D41" w:rsidRPr="00E048D8">
        <w:rPr>
          <w:rFonts w:ascii="Arial" w:hAnsi="Arial" w:cs="Arial"/>
          <w:sz w:val="20"/>
          <w:szCs w:val="20"/>
        </w:rPr>
        <w:t xml:space="preserve"> </w:t>
      </w:r>
      <w:r w:rsidR="00962576" w:rsidRPr="00E048D8">
        <w:rPr>
          <w:rFonts w:ascii="Arial" w:hAnsi="Arial" w:cs="Arial"/>
          <w:sz w:val="20"/>
          <w:szCs w:val="20"/>
        </w:rPr>
        <w:t>may marry with the permission of their parents</w:t>
      </w:r>
      <w:r w:rsidR="001D2EF1" w:rsidRPr="00E048D8">
        <w:rPr>
          <w:rFonts w:ascii="Arial" w:hAnsi="Arial" w:cs="Arial"/>
          <w:sz w:val="20"/>
          <w:szCs w:val="20"/>
        </w:rPr>
        <w:t xml:space="preserve">. Anecdotal evidence suggests that the condition of parental consent is often overlooked in practice, making the </w:t>
      </w:r>
      <w:r w:rsidR="001D2EF1" w:rsidRPr="00E048D8">
        <w:rPr>
          <w:rFonts w:ascii="Arial" w:hAnsi="Arial" w:cs="Arial"/>
          <w:i/>
          <w:iCs/>
          <w:sz w:val="20"/>
          <w:szCs w:val="20"/>
        </w:rPr>
        <w:t xml:space="preserve">de facto </w:t>
      </w:r>
      <w:r w:rsidR="001D2EF1" w:rsidRPr="00E048D8">
        <w:rPr>
          <w:rFonts w:ascii="Arial" w:hAnsi="Arial" w:cs="Arial"/>
          <w:sz w:val="20"/>
          <w:szCs w:val="20"/>
        </w:rPr>
        <w:t xml:space="preserve">accepted age </w:t>
      </w:r>
      <w:r w:rsidR="00007B81">
        <w:rPr>
          <w:rFonts w:ascii="Arial" w:hAnsi="Arial" w:cs="Arial"/>
          <w:sz w:val="20"/>
          <w:szCs w:val="20"/>
        </w:rPr>
        <w:t>17</w:t>
      </w:r>
      <w:r w:rsidR="001D2EF1" w:rsidRPr="00E048D8">
        <w:rPr>
          <w:rFonts w:ascii="Arial" w:hAnsi="Arial" w:cs="Arial"/>
          <w:sz w:val="20"/>
          <w:szCs w:val="20"/>
        </w:rPr>
        <w:t>.</w:t>
      </w:r>
      <w:r w:rsidR="001D2EF1" w:rsidRPr="00E048D8">
        <w:rPr>
          <w:rStyle w:val="FootnoteReference"/>
          <w:rFonts w:ascii="Arial" w:hAnsi="Arial" w:cs="Arial"/>
          <w:sz w:val="20"/>
          <w:szCs w:val="20"/>
        </w:rPr>
        <w:footnoteReference w:id="13"/>
      </w:r>
    </w:p>
    <w:p w14:paraId="0B9E1B4E" w14:textId="77777777" w:rsidR="001D2EF1" w:rsidRPr="00E048D8" w:rsidRDefault="001D2EF1" w:rsidP="00FE0A9E">
      <w:pPr>
        <w:jc w:val="both"/>
        <w:rPr>
          <w:rFonts w:ascii="Arial" w:hAnsi="Arial" w:cs="Arial"/>
          <w:sz w:val="20"/>
          <w:szCs w:val="20"/>
        </w:rPr>
      </w:pPr>
    </w:p>
    <w:p w14:paraId="4A215DAB" w14:textId="327A11E6" w:rsidR="00162550" w:rsidRDefault="001D2EF1" w:rsidP="0098742A">
      <w:pPr>
        <w:jc w:val="both"/>
        <w:rPr>
          <w:rFonts w:ascii="Arial" w:hAnsi="Arial" w:cs="Arial"/>
          <w:sz w:val="20"/>
          <w:szCs w:val="20"/>
        </w:rPr>
      </w:pPr>
      <w:r w:rsidRPr="00E048D8">
        <w:rPr>
          <w:rFonts w:ascii="Arial" w:hAnsi="Arial" w:cs="Arial"/>
          <w:sz w:val="20"/>
          <w:szCs w:val="20"/>
        </w:rPr>
        <w:t xml:space="preserve">Moreover, </w:t>
      </w:r>
      <w:r w:rsidR="00C436FF" w:rsidRPr="00E048D8">
        <w:rPr>
          <w:rFonts w:ascii="Arial" w:hAnsi="Arial" w:cs="Arial"/>
          <w:sz w:val="20"/>
          <w:szCs w:val="20"/>
        </w:rPr>
        <w:t>children at the age of</w:t>
      </w:r>
      <w:r w:rsidR="00962576" w:rsidRPr="00E048D8">
        <w:rPr>
          <w:rFonts w:ascii="Arial" w:hAnsi="Arial" w:cs="Arial"/>
          <w:sz w:val="20"/>
          <w:szCs w:val="20"/>
        </w:rPr>
        <w:t xml:space="preserve"> </w:t>
      </w:r>
      <w:r w:rsidR="00007B81">
        <w:rPr>
          <w:rFonts w:ascii="Arial" w:hAnsi="Arial" w:cs="Arial"/>
          <w:sz w:val="20"/>
          <w:szCs w:val="20"/>
        </w:rPr>
        <w:t>16</w:t>
      </w:r>
      <w:r w:rsidR="000A6D41" w:rsidRPr="00E048D8">
        <w:rPr>
          <w:rFonts w:ascii="Arial" w:hAnsi="Arial" w:cs="Arial"/>
          <w:sz w:val="20"/>
          <w:szCs w:val="20"/>
        </w:rPr>
        <w:t xml:space="preserve"> </w:t>
      </w:r>
      <w:r w:rsidR="00962576" w:rsidRPr="00E048D8">
        <w:rPr>
          <w:rFonts w:ascii="Arial" w:hAnsi="Arial" w:cs="Arial"/>
          <w:sz w:val="20"/>
          <w:szCs w:val="20"/>
        </w:rPr>
        <w:t xml:space="preserve">can </w:t>
      </w:r>
      <w:r w:rsidR="00C436FF" w:rsidRPr="00E048D8">
        <w:rPr>
          <w:rFonts w:ascii="Arial" w:hAnsi="Arial" w:cs="Arial"/>
          <w:sz w:val="20"/>
          <w:szCs w:val="20"/>
        </w:rPr>
        <w:t xml:space="preserve">also </w:t>
      </w:r>
      <w:r w:rsidR="00962576" w:rsidRPr="00E048D8">
        <w:rPr>
          <w:rFonts w:ascii="Arial" w:hAnsi="Arial" w:cs="Arial"/>
          <w:sz w:val="20"/>
          <w:szCs w:val="20"/>
        </w:rPr>
        <w:t xml:space="preserve">marry with </w:t>
      </w:r>
      <w:r w:rsidR="00C436FF" w:rsidRPr="00E048D8">
        <w:rPr>
          <w:rFonts w:ascii="Arial" w:hAnsi="Arial" w:cs="Arial"/>
          <w:sz w:val="20"/>
          <w:szCs w:val="20"/>
        </w:rPr>
        <w:t>special permission from the courts ‘</w:t>
      </w:r>
      <w:r w:rsidR="0091240C">
        <w:rPr>
          <w:rFonts w:ascii="Arial" w:hAnsi="Arial" w:cs="Arial"/>
          <w:sz w:val="20"/>
          <w:szCs w:val="20"/>
        </w:rPr>
        <w:t>u</w:t>
      </w:r>
      <w:r w:rsidR="00C436FF" w:rsidRPr="00E048D8">
        <w:rPr>
          <w:rFonts w:ascii="Arial" w:hAnsi="Arial" w:cs="Arial"/>
          <w:sz w:val="20"/>
          <w:szCs w:val="20"/>
        </w:rPr>
        <w:t xml:space="preserve">nder exceptional </w:t>
      </w:r>
      <w:r w:rsidR="0091240C">
        <w:rPr>
          <w:rFonts w:ascii="Arial" w:hAnsi="Arial" w:cs="Arial"/>
          <w:sz w:val="20"/>
          <w:szCs w:val="20"/>
        </w:rPr>
        <w:t>circumstances and on vital grounds’</w:t>
      </w:r>
      <w:r w:rsidR="00C436FF" w:rsidRPr="00E048D8">
        <w:rPr>
          <w:rFonts w:ascii="Arial" w:hAnsi="Arial" w:cs="Arial"/>
          <w:sz w:val="20"/>
          <w:szCs w:val="20"/>
        </w:rPr>
        <w:t>.</w:t>
      </w:r>
      <w:r w:rsidR="00C436FF" w:rsidRPr="00E048D8">
        <w:rPr>
          <w:rStyle w:val="FootnoteReference"/>
          <w:rFonts w:ascii="Arial" w:hAnsi="Arial" w:cs="Arial"/>
          <w:sz w:val="20"/>
          <w:szCs w:val="20"/>
        </w:rPr>
        <w:footnoteReference w:id="14"/>
      </w:r>
      <w:r w:rsidR="00DA2F55" w:rsidRPr="00E048D8">
        <w:rPr>
          <w:rFonts w:ascii="Arial" w:hAnsi="Arial" w:cs="Arial"/>
          <w:sz w:val="20"/>
          <w:szCs w:val="20"/>
        </w:rPr>
        <w:t xml:space="preserve"> However, there is no elaboration in the </w:t>
      </w:r>
      <w:r w:rsidR="0091240C">
        <w:rPr>
          <w:rFonts w:ascii="Arial" w:hAnsi="Arial" w:cs="Arial"/>
          <w:sz w:val="20"/>
          <w:szCs w:val="20"/>
        </w:rPr>
        <w:t>TCC</w:t>
      </w:r>
      <w:r w:rsidR="00DA2F55" w:rsidRPr="00E048D8">
        <w:rPr>
          <w:rFonts w:ascii="Arial" w:hAnsi="Arial" w:cs="Arial"/>
          <w:sz w:val="20"/>
          <w:szCs w:val="20"/>
        </w:rPr>
        <w:t xml:space="preserve"> on what those exceptional circumstances entail. </w:t>
      </w:r>
    </w:p>
    <w:p w14:paraId="16C22821" w14:textId="2DF02EFD" w:rsidR="002F54EB" w:rsidRPr="006A3D8A" w:rsidRDefault="003B3072" w:rsidP="0098742A">
      <w:pPr>
        <w:shd w:val="clear" w:color="auto" w:fill="FFFFFF"/>
        <w:spacing w:before="280" w:after="280"/>
        <w:jc w:val="both"/>
        <w:rPr>
          <w:rFonts w:ascii="Arial" w:eastAsia="Arial" w:hAnsi="Arial" w:cs="Arial"/>
          <w:sz w:val="20"/>
          <w:szCs w:val="20"/>
        </w:rPr>
      </w:pPr>
      <w:r w:rsidRPr="006A3D8A">
        <w:rPr>
          <w:rFonts w:ascii="Arial" w:eastAsia="Arial" w:hAnsi="Arial" w:cs="Arial"/>
          <w:sz w:val="20"/>
          <w:szCs w:val="20"/>
        </w:rPr>
        <w:t xml:space="preserve">Additionally, </w:t>
      </w:r>
      <w:r w:rsidR="00162550" w:rsidRPr="006A3D8A">
        <w:rPr>
          <w:rFonts w:ascii="Arial" w:eastAsia="Arial" w:hAnsi="Arial" w:cs="Arial"/>
          <w:sz w:val="20"/>
          <w:szCs w:val="20"/>
        </w:rPr>
        <w:t>Article 103 of the Turkish Penal Code</w:t>
      </w:r>
      <w:r w:rsidR="0091240C">
        <w:rPr>
          <w:rFonts w:ascii="Arial" w:eastAsia="Arial" w:hAnsi="Arial" w:cs="Arial"/>
          <w:sz w:val="20"/>
          <w:szCs w:val="20"/>
        </w:rPr>
        <w:t xml:space="preserve"> (TPC)</w:t>
      </w:r>
      <w:r w:rsidR="00162550" w:rsidRPr="006A3D8A">
        <w:rPr>
          <w:rFonts w:ascii="Arial" w:eastAsia="Arial" w:hAnsi="Arial" w:cs="Arial"/>
          <w:sz w:val="20"/>
          <w:szCs w:val="20"/>
        </w:rPr>
        <w:t xml:space="preserve"> stipulates tha</w:t>
      </w:r>
      <w:r w:rsidR="009F26DB" w:rsidRPr="006A3D8A">
        <w:rPr>
          <w:rFonts w:ascii="Arial" w:eastAsia="Arial" w:hAnsi="Arial" w:cs="Arial"/>
          <w:sz w:val="20"/>
          <w:szCs w:val="20"/>
        </w:rPr>
        <w:t xml:space="preserve">t </w:t>
      </w:r>
      <w:r w:rsidR="00AC04AC">
        <w:rPr>
          <w:rFonts w:ascii="Arial" w:eastAsia="Arial" w:hAnsi="Arial" w:cs="Arial"/>
          <w:sz w:val="20"/>
          <w:szCs w:val="20"/>
        </w:rPr>
        <w:t>‘</w:t>
      </w:r>
      <w:r w:rsidR="00162550" w:rsidRPr="006A3D8A">
        <w:rPr>
          <w:rFonts w:ascii="Arial" w:eastAsia="Arial" w:hAnsi="Arial" w:cs="Arial"/>
          <w:sz w:val="20"/>
          <w:szCs w:val="20"/>
        </w:rPr>
        <w:t xml:space="preserve">Any person who abuses a child sexually is sentenced to an imprisonment from </w:t>
      </w:r>
      <w:r w:rsidR="00007B81">
        <w:rPr>
          <w:rFonts w:ascii="Arial" w:eastAsia="Arial" w:hAnsi="Arial" w:cs="Arial"/>
          <w:sz w:val="20"/>
          <w:szCs w:val="20"/>
        </w:rPr>
        <w:t>8-15</w:t>
      </w:r>
      <w:r w:rsidR="00162550" w:rsidRPr="006A3D8A">
        <w:rPr>
          <w:rFonts w:ascii="Arial" w:eastAsia="Arial" w:hAnsi="Arial" w:cs="Arial"/>
          <w:sz w:val="20"/>
          <w:szCs w:val="20"/>
        </w:rPr>
        <w:t xml:space="preserve"> years</w:t>
      </w:r>
      <w:r w:rsidR="009F26DB" w:rsidRPr="006A3D8A">
        <w:rPr>
          <w:rFonts w:ascii="Arial" w:eastAsia="Arial" w:hAnsi="Arial" w:cs="Arial"/>
          <w:sz w:val="20"/>
          <w:szCs w:val="20"/>
        </w:rPr>
        <w:t>…</w:t>
      </w:r>
      <w:r w:rsidR="00162550" w:rsidRPr="006A3D8A">
        <w:rPr>
          <w:rFonts w:ascii="Arial" w:eastAsia="Arial" w:hAnsi="Arial" w:cs="Arial"/>
          <w:sz w:val="20"/>
          <w:szCs w:val="20"/>
        </w:rPr>
        <w:t>If offender of the offence ceased at the level of importunity is a child, commencement of an investigation and prosecution depends on the complaint of the victim’ parents or guardian.</w:t>
      </w:r>
      <w:r w:rsidR="00AC04AC">
        <w:rPr>
          <w:rFonts w:ascii="Arial" w:eastAsia="Arial" w:hAnsi="Arial" w:cs="Arial"/>
          <w:sz w:val="20"/>
          <w:szCs w:val="20"/>
        </w:rPr>
        <w:t>’</w:t>
      </w:r>
    </w:p>
    <w:p w14:paraId="03A92769" w14:textId="54DF2AF3" w:rsidR="0051674D" w:rsidRDefault="009F26DB" w:rsidP="0098742A">
      <w:pPr>
        <w:shd w:val="clear" w:color="auto" w:fill="FFFFFF"/>
        <w:spacing w:before="280" w:after="280"/>
        <w:jc w:val="both"/>
        <w:rPr>
          <w:rFonts w:ascii="Arial" w:eastAsia="Arial" w:hAnsi="Arial" w:cs="Arial"/>
          <w:sz w:val="20"/>
          <w:szCs w:val="20"/>
        </w:rPr>
      </w:pPr>
      <w:r w:rsidRPr="006A3D8A">
        <w:rPr>
          <w:rFonts w:ascii="Arial" w:eastAsia="Arial" w:hAnsi="Arial" w:cs="Arial"/>
          <w:sz w:val="20"/>
          <w:szCs w:val="20"/>
        </w:rPr>
        <w:t>We note with concern that t</w:t>
      </w:r>
      <w:r w:rsidR="00162550" w:rsidRPr="006A3D8A">
        <w:rPr>
          <w:rFonts w:ascii="Arial" w:eastAsia="Arial" w:hAnsi="Arial" w:cs="Arial"/>
          <w:sz w:val="20"/>
          <w:szCs w:val="20"/>
        </w:rPr>
        <w:t xml:space="preserve">he government proposed a bill on </w:t>
      </w:r>
      <w:r w:rsidR="00A2661F">
        <w:rPr>
          <w:rFonts w:ascii="Arial" w:eastAsia="Arial" w:hAnsi="Arial" w:cs="Arial"/>
          <w:sz w:val="20"/>
          <w:szCs w:val="20"/>
        </w:rPr>
        <w:t xml:space="preserve">17 </w:t>
      </w:r>
      <w:r w:rsidR="00162550" w:rsidRPr="006A3D8A">
        <w:rPr>
          <w:rFonts w:ascii="Arial" w:eastAsia="Arial" w:hAnsi="Arial" w:cs="Arial"/>
          <w:sz w:val="20"/>
          <w:szCs w:val="20"/>
        </w:rPr>
        <w:t>November</w:t>
      </w:r>
      <w:r w:rsidR="00007B81">
        <w:rPr>
          <w:rFonts w:ascii="Arial" w:eastAsia="Arial" w:hAnsi="Arial" w:cs="Arial"/>
          <w:sz w:val="20"/>
          <w:szCs w:val="20"/>
        </w:rPr>
        <w:t xml:space="preserve"> </w:t>
      </w:r>
      <w:r w:rsidR="00162550" w:rsidRPr="006A3D8A">
        <w:rPr>
          <w:rFonts w:ascii="Arial" w:eastAsia="Arial" w:hAnsi="Arial" w:cs="Arial"/>
          <w:sz w:val="20"/>
          <w:szCs w:val="20"/>
        </w:rPr>
        <w:t>2016 that would grant amnesty to the perpetrators of sexual abuse if they married their victims</w:t>
      </w:r>
      <w:r w:rsidRPr="006A3D8A">
        <w:rPr>
          <w:rFonts w:ascii="Arial" w:eastAsia="Arial" w:hAnsi="Arial" w:cs="Arial"/>
          <w:sz w:val="20"/>
          <w:szCs w:val="20"/>
        </w:rPr>
        <w:t>.</w:t>
      </w:r>
      <w:r w:rsidR="00AF01BB">
        <w:rPr>
          <w:rStyle w:val="FootnoteReference"/>
          <w:rFonts w:ascii="Arial" w:eastAsia="Arial" w:hAnsi="Arial" w:cs="Arial"/>
          <w:sz w:val="20"/>
          <w:szCs w:val="20"/>
        </w:rPr>
        <w:footnoteReference w:id="15"/>
      </w:r>
      <w:r w:rsidR="002F54EB" w:rsidRPr="006A3D8A">
        <w:rPr>
          <w:rFonts w:ascii="Arial" w:eastAsia="Arial" w:hAnsi="Arial" w:cs="Arial"/>
          <w:sz w:val="20"/>
          <w:szCs w:val="20"/>
        </w:rPr>
        <w:t xml:space="preserve"> </w:t>
      </w:r>
      <w:r w:rsidRPr="006A3D8A">
        <w:rPr>
          <w:rFonts w:ascii="Arial" w:eastAsia="Arial" w:hAnsi="Arial" w:cs="Arial"/>
          <w:sz w:val="20"/>
          <w:szCs w:val="20"/>
        </w:rPr>
        <w:t xml:space="preserve">While the government had to </w:t>
      </w:r>
      <w:r w:rsidR="00162550" w:rsidRPr="006A3D8A">
        <w:rPr>
          <w:rFonts w:ascii="Arial" w:eastAsia="Arial" w:hAnsi="Arial" w:cs="Arial"/>
          <w:sz w:val="20"/>
          <w:szCs w:val="20"/>
        </w:rPr>
        <w:t>later withdraw it following widespread uproar from autonomous women’s organizations</w:t>
      </w:r>
      <w:r w:rsidRPr="006A3D8A">
        <w:rPr>
          <w:rFonts w:ascii="Arial" w:eastAsia="Arial" w:hAnsi="Arial" w:cs="Arial"/>
          <w:sz w:val="20"/>
          <w:szCs w:val="20"/>
        </w:rPr>
        <w:t>, it is worth not</w:t>
      </w:r>
      <w:r w:rsidR="00A2661F">
        <w:rPr>
          <w:rFonts w:ascii="Arial" w:eastAsia="Arial" w:hAnsi="Arial" w:cs="Arial"/>
          <w:sz w:val="20"/>
          <w:szCs w:val="20"/>
        </w:rPr>
        <w:t>ing</w:t>
      </w:r>
      <w:r w:rsidRPr="006A3D8A">
        <w:rPr>
          <w:rFonts w:ascii="Arial" w:eastAsia="Arial" w:hAnsi="Arial" w:cs="Arial"/>
          <w:sz w:val="20"/>
          <w:szCs w:val="20"/>
        </w:rPr>
        <w:t xml:space="preserve"> that </w:t>
      </w:r>
      <w:r w:rsidR="00162550" w:rsidRPr="006A3D8A">
        <w:rPr>
          <w:rFonts w:ascii="Arial" w:eastAsia="Arial" w:hAnsi="Arial" w:cs="Arial"/>
          <w:sz w:val="20"/>
          <w:szCs w:val="20"/>
        </w:rPr>
        <w:t xml:space="preserve">Article 13 of omnibus Draft Law No. 438, which proposed amendments to Article 103 of the </w:t>
      </w:r>
      <w:r w:rsidR="0091240C">
        <w:rPr>
          <w:rFonts w:ascii="Arial" w:eastAsia="Arial" w:hAnsi="Arial" w:cs="Arial"/>
          <w:sz w:val="20"/>
          <w:szCs w:val="20"/>
        </w:rPr>
        <w:t>TPC</w:t>
      </w:r>
      <w:r w:rsidR="00162550" w:rsidRPr="006A3D8A">
        <w:rPr>
          <w:rFonts w:ascii="Arial" w:eastAsia="Arial" w:hAnsi="Arial" w:cs="Arial"/>
          <w:sz w:val="20"/>
          <w:szCs w:val="20"/>
        </w:rPr>
        <w:t xml:space="preserve">, </w:t>
      </w:r>
      <w:r w:rsidRPr="006A3D8A">
        <w:rPr>
          <w:rFonts w:ascii="Arial" w:eastAsia="Arial" w:hAnsi="Arial" w:cs="Arial"/>
          <w:sz w:val="20"/>
          <w:szCs w:val="20"/>
        </w:rPr>
        <w:t xml:space="preserve">was </w:t>
      </w:r>
      <w:r w:rsidR="00162550" w:rsidRPr="006A3D8A">
        <w:rPr>
          <w:rFonts w:ascii="Arial" w:eastAsia="Arial" w:hAnsi="Arial" w:cs="Arial"/>
          <w:sz w:val="20"/>
          <w:szCs w:val="20"/>
        </w:rPr>
        <w:t xml:space="preserve">passed </w:t>
      </w:r>
      <w:r w:rsidR="008D0F20">
        <w:rPr>
          <w:rFonts w:ascii="Arial" w:eastAsia="Arial" w:hAnsi="Arial" w:cs="Arial"/>
          <w:sz w:val="20"/>
          <w:szCs w:val="20"/>
        </w:rPr>
        <w:t xml:space="preserve">by the </w:t>
      </w:r>
      <w:r w:rsidR="00162550" w:rsidRPr="006A3D8A">
        <w:rPr>
          <w:rFonts w:ascii="Arial" w:eastAsia="Arial" w:hAnsi="Arial" w:cs="Arial"/>
          <w:sz w:val="20"/>
          <w:szCs w:val="20"/>
        </w:rPr>
        <w:t xml:space="preserve">parliament on </w:t>
      </w:r>
      <w:r w:rsidR="00A2661F">
        <w:rPr>
          <w:rFonts w:ascii="Arial" w:eastAsia="Arial" w:hAnsi="Arial" w:cs="Arial"/>
          <w:sz w:val="20"/>
          <w:szCs w:val="20"/>
        </w:rPr>
        <w:t xml:space="preserve">24 </w:t>
      </w:r>
      <w:r w:rsidR="00162550" w:rsidRPr="006A3D8A">
        <w:rPr>
          <w:rFonts w:ascii="Arial" w:eastAsia="Arial" w:hAnsi="Arial" w:cs="Arial"/>
          <w:sz w:val="20"/>
          <w:szCs w:val="20"/>
        </w:rPr>
        <w:t>November 2016.</w:t>
      </w:r>
      <w:r w:rsidR="001C20FF">
        <w:rPr>
          <w:rFonts w:ascii="Arial" w:eastAsia="Arial" w:hAnsi="Arial" w:cs="Arial"/>
          <w:sz w:val="20"/>
          <w:szCs w:val="20"/>
        </w:rPr>
        <w:t xml:space="preserve"> </w:t>
      </w:r>
      <w:r w:rsidR="00743CC7">
        <w:rPr>
          <w:rFonts w:ascii="Arial" w:eastAsia="Arial" w:hAnsi="Arial" w:cs="Arial"/>
          <w:sz w:val="20"/>
          <w:szCs w:val="20"/>
        </w:rPr>
        <w:t>This was done following the Constitutional Court’s annulment, o</w:t>
      </w:r>
      <w:r w:rsidR="00AC04AC">
        <w:rPr>
          <w:rFonts w:ascii="Arial" w:eastAsia="Arial" w:hAnsi="Arial" w:cs="Arial"/>
          <w:sz w:val="20"/>
          <w:szCs w:val="20"/>
        </w:rPr>
        <w:t xml:space="preserve">n 14 July 2016, </w:t>
      </w:r>
      <w:r w:rsidR="00743CC7">
        <w:rPr>
          <w:rFonts w:ascii="Arial" w:eastAsia="Arial" w:hAnsi="Arial" w:cs="Arial"/>
          <w:sz w:val="20"/>
          <w:szCs w:val="20"/>
        </w:rPr>
        <w:t xml:space="preserve">of the </w:t>
      </w:r>
      <w:r w:rsidR="00A57C0C" w:rsidRPr="006A3D8A">
        <w:rPr>
          <w:rFonts w:ascii="Arial" w:eastAsia="Arial" w:hAnsi="Arial" w:cs="Arial"/>
          <w:sz w:val="20"/>
          <w:szCs w:val="20"/>
        </w:rPr>
        <w:t xml:space="preserve">provision stating that </w:t>
      </w:r>
      <w:r w:rsidR="00AC04AC">
        <w:rPr>
          <w:rFonts w:ascii="Arial" w:eastAsia="Arial" w:hAnsi="Arial" w:cs="Arial"/>
          <w:sz w:val="20"/>
          <w:szCs w:val="20"/>
        </w:rPr>
        <w:t>‘</w:t>
      </w:r>
      <w:r w:rsidR="00A57C0C" w:rsidRPr="006A3D8A">
        <w:rPr>
          <w:rFonts w:ascii="Arial" w:eastAsia="Arial" w:hAnsi="Arial" w:cs="Arial"/>
          <w:sz w:val="20"/>
          <w:szCs w:val="20"/>
        </w:rPr>
        <w:t xml:space="preserve">any sexual behavior against any child under the age of </w:t>
      </w:r>
      <w:r w:rsidR="008D0F20">
        <w:rPr>
          <w:rFonts w:ascii="Arial" w:eastAsia="Arial" w:hAnsi="Arial" w:cs="Arial"/>
          <w:sz w:val="20"/>
          <w:szCs w:val="20"/>
        </w:rPr>
        <w:t>15</w:t>
      </w:r>
      <w:r w:rsidR="00C308E1" w:rsidRPr="006A3D8A">
        <w:rPr>
          <w:rFonts w:ascii="Arial" w:eastAsia="Arial" w:hAnsi="Arial" w:cs="Arial"/>
          <w:sz w:val="20"/>
          <w:szCs w:val="20"/>
        </w:rPr>
        <w:t xml:space="preserve"> </w:t>
      </w:r>
      <w:r w:rsidR="00A57C0C" w:rsidRPr="006A3D8A">
        <w:rPr>
          <w:rFonts w:ascii="Arial" w:eastAsia="Arial" w:hAnsi="Arial" w:cs="Arial"/>
          <w:sz w:val="20"/>
          <w:szCs w:val="20"/>
        </w:rPr>
        <w:t>shall be considered sexual abuse</w:t>
      </w:r>
      <w:r w:rsidR="00AC04AC">
        <w:rPr>
          <w:rFonts w:ascii="Arial" w:eastAsia="Arial" w:hAnsi="Arial" w:cs="Arial"/>
          <w:sz w:val="20"/>
          <w:szCs w:val="20"/>
        </w:rPr>
        <w:t>’</w:t>
      </w:r>
      <w:r w:rsidR="00CC199C">
        <w:rPr>
          <w:rFonts w:ascii="Arial" w:eastAsia="Arial" w:hAnsi="Arial" w:cs="Arial"/>
          <w:sz w:val="20"/>
          <w:szCs w:val="20"/>
        </w:rPr>
        <w:t>.</w:t>
      </w:r>
      <w:r w:rsidR="00A57C0C" w:rsidRPr="006A3D8A">
        <w:rPr>
          <w:rFonts w:ascii="Arial" w:eastAsia="Arial" w:hAnsi="Arial" w:cs="Arial"/>
          <w:sz w:val="20"/>
          <w:szCs w:val="20"/>
          <w:vertAlign w:val="superscript"/>
        </w:rPr>
        <w:footnoteReference w:id="16"/>
      </w:r>
      <w:r w:rsidR="00A57C0C" w:rsidRPr="006A3D8A">
        <w:rPr>
          <w:rFonts w:ascii="Arial" w:eastAsia="Arial" w:hAnsi="Arial" w:cs="Arial"/>
          <w:sz w:val="20"/>
          <w:szCs w:val="20"/>
        </w:rPr>
        <w:t xml:space="preserve"> </w:t>
      </w:r>
    </w:p>
    <w:p w14:paraId="215B23CD" w14:textId="3EC9B333" w:rsidR="003B3072" w:rsidRPr="006A3D8A" w:rsidRDefault="00162550" w:rsidP="0098742A">
      <w:pPr>
        <w:shd w:val="clear" w:color="auto" w:fill="FFFFFF"/>
        <w:spacing w:before="280" w:after="280"/>
        <w:jc w:val="both"/>
        <w:rPr>
          <w:rFonts w:ascii="Arial" w:eastAsia="Arial" w:hAnsi="Arial" w:cs="Arial"/>
          <w:sz w:val="20"/>
          <w:szCs w:val="20"/>
        </w:rPr>
      </w:pPr>
      <w:r w:rsidRPr="006A3D8A">
        <w:rPr>
          <w:rFonts w:ascii="Arial" w:eastAsia="Arial" w:hAnsi="Arial" w:cs="Arial"/>
          <w:sz w:val="20"/>
          <w:szCs w:val="20"/>
        </w:rPr>
        <w:t>According</w:t>
      </w:r>
      <w:r w:rsidR="00A57C0C" w:rsidRPr="006A3D8A">
        <w:rPr>
          <w:rFonts w:ascii="Arial" w:eastAsia="Arial" w:hAnsi="Arial" w:cs="Arial"/>
          <w:sz w:val="20"/>
          <w:szCs w:val="20"/>
        </w:rPr>
        <w:t xml:space="preserve"> to this amendment</w:t>
      </w:r>
      <w:r w:rsidR="00743CC7">
        <w:rPr>
          <w:rFonts w:ascii="Arial" w:eastAsia="Arial" w:hAnsi="Arial" w:cs="Arial"/>
          <w:sz w:val="20"/>
          <w:szCs w:val="20"/>
        </w:rPr>
        <w:t xml:space="preserve"> in Article 103</w:t>
      </w:r>
      <w:r w:rsidRPr="006A3D8A">
        <w:rPr>
          <w:rFonts w:ascii="Arial" w:eastAsia="Arial" w:hAnsi="Arial" w:cs="Arial"/>
          <w:sz w:val="20"/>
          <w:szCs w:val="20"/>
        </w:rPr>
        <w:t xml:space="preserve">, there is now an age categorization </w:t>
      </w:r>
      <w:r w:rsidR="008D0F20">
        <w:rPr>
          <w:rFonts w:ascii="Arial" w:eastAsia="Arial" w:hAnsi="Arial" w:cs="Arial"/>
          <w:sz w:val="20"/>
          <w:szCs w:val="20"/>
        </w:rPr>
        <w:t>for 12-15</w:t>
      </w:r>
      <w:r w:rsidR="00AF01BB">
        <w:rPr>
          <w:rFonts w:ascii="Arial" w:eastAsia="Arial" w:hAnsi="Arial" w:cs="Arial"/>
          <w:sz w:val="20"/>
          <w:szCs w:val="20"/>
        </w:rPr>
        <w:t>-</w:t>
      </w:r>
      <w:r w:rsidRPr="006A3D8A">
        <w:rPr>
          <w:rFonts w:ascii="Arial" w:eastAsia="Arial" w:hAnsi="Arial" w:cs="Arial"/>
          <w:sz w:val="20"/>
          <w:szCs w:val="20"/>
        </w:rPr>
        <w:t>year-olds in Article 103 of the TPC,</w:t>
      </w:r>
      <w:r w:rsidRPr="006A3D8A">
        <w:rPr>
          <w:rFonts w:ascii="Arial" w:eastAsia="Arial" w:hAnsi="Arial" w:cs="Arial"/>
          <w:color w:val="1E1E1E"/>
          <w:sz w:val="20"/>
          <w:szCs w:val="20"/>
        </w:rPr>
        <w:t xml:space="preserve"> which </w:t>
      </w:r>
      <w:r w:rsidR="00AC04AC">
        <w:rPr>
          <w:rFonts w:ascii="Arial" w:eastAsia="Arial" w:hAnsi="Arial" w:cs="Arial"/>
          <w:color w:val="1E1E1E"/>
          <w:sz w:val="20"/>
          <w:szCs w:val="20"/>
        </w:rPr>
        <w:t xml:space="preserve">opens the door to lowering the age of consent to </w:t>
      </w:r>
      <w:r w:rsidR="008D0F20">
        <w:rPr>
          <w:rFonts w:ascii="Arial" w:eastAsia="Arial" w:hAnsi="Arial" w:cs="Arial"/>
          <w:color w:val="1E1E1E"/>
          <w:sz w:val="20"/>
          <w:szCs w:val="20"/>
        </w:rPr>
        <w:t>12</w:t>
      </w:r>
      <w:r w:rsidR="00AC04AC">
        <w:rPr>
          <w:rFonts w:ascii="Arial" w:eastAsia="Arial" w:hAnsi="Arial" w:cs="Arial"/>
          <w:color w:val="1E1E1E"/>
          <w:sz w:val="20"/>
          <w:szCs w:val="20"/>
        </w:rPr>
        <w:t xml:space="preserve">. This </w:t>
      </w:r>
      <w:r w:rsidRPr="006A3D8A">
        <w:rPr>
          <w:rFonts w:ascii="Arial" w:eastAsia="Arial" w:hAnsi="Arial" w:cs="Arial"/>
          <w:color w:val="1E1E1E"/>
          <w:sz w:val="20"/>
          <w:szCs w:val="20"/>
        </w:rPr>
        <w:t>could cause courts to question the consent of</w:t>
      </w:r>
      <w:r w:rsidR="00AF01BB">
        <w:rPr>
          <w:rFonts w:ascii="Arial" w:eastAsia="Arial" w:hAnsi="Arial" w:cs="Arial"/>
          <w:color w:val="1E1E1E"/>
          <w:sz w:val="20"/>
          <w:szCs w:val="20"/>
        </w:rPr>
        <w:t xml:space="preserve"> </w:t>
      </w:r>
      <w:r w:rsidR="008D0F20">
        <w:rPr>
          <w:rFonts w:ascii="Arial" w:eastAsia="Arial" w:hAnsi="Arial" w:cs="Arial"/>
          <w:color w:val="1E1E1E"/>
          <w:sz w:val="20"/>
          <w:szCs w:val="20"/>
        </w:rPr>
        <w:t>12-15-</w:t>
      </w:r>
      <w:r w:rsidR="00AC04AC">
        <w:rPr>
          <w:rFonts w:ascii="Arial" w:eastAsia="Arial" w:hAnsi="Arial" w:cs="Arial"/>
          <w:color w:val="1E1E1E"/>
          <w:sz w:val="20"/>
          <w:szCs w:val="20"/>
        </w:rPr>
        <w:t>year-olds</w:t>
      </w:r>
      <w:r w:rsidRPr="006A3D8A">
        <w:rPr>
          <w:rFonts w:ascii="Arial" w:eastAsia="Arial" w:hAnsi="Arial" w:cs="Arial"/>
          <w:color w:val="1E1E1E"/>
          <w:sz w:val="20"/>
          <w:szCs w:val="20"/>
        </w:rPr>
        <w:t xml:space="preserve"> and </w:t>
      </w:r>
      <w:r w:rsidR="00AC04AC">
        <w:rPr>
          <w:rFonts w:ascii="Arial" w:eastAsia="Arial" w:hAnsi="Arial" w:cs="Arial"/>
          <w:color w:val="1E1E1E"/>
          <w:sz w:val="20"/>
          <w:szCs w:val="20"/>
        </w:rPr>
        <w:t>‘</w:t>
      </w:r>
      <w:r w:rsidRPr="006A3D8A">
        <w:rPr>
          <w:rFonts w:ascii="Arial" w:eastAsia="Arial" w:hAnsi="Arial" w:cs="Arial"/>
          <w:color w:val="1E1E1E"/>
          <w:sz w:val="20"/>
          <w:szCs w:val="20"/>
        </w:rPr>
        <w:t>force them to marry the person who abused them</w:t>
      </w:r>
      <w:r w:rsidR="00AC04AC">
        <w:rPr>
          <w:rFonts w:ascii="Arial" w:eastAsia="Arial" w:hAnsi="Arial" w:cs="Arial"/>
          <w:color w:val="1E1E1E"/>
          <w:sz w:val="20"/>
          <w:szCs w:val="20"/>
        </w:rPr>
        <w:t>’</w:t>
      </w:r>
      <w:r w:rsidRPr="006A3D8A">
        <w:rPr>
          <w:rFonts w:ascii="Arial" w:eastAsia="Arial" w:hAnsi="Arial" w:cs="Arial"/>
          <w:color w:val="1E1E1E"/>
          <w:sz w:val="20"/>
          <w:szCs w:val="20"/>
        </w:rPr>
        <w:t>.</w:t>
      </w:r>
      <w:r w:rsidRPr="006A3D8A">
        <w:rPr>
          <w:rFonts w:ascii="Arial" w:eastAsia="Arial" w:hAnsi="Arial" w:cs="Arial"/>
          <w:color w:val="1E1E1E"/>
          <w:sz w:val="20"/>
          <w:szCs w:val="20"/>
          <w:vertAlign w:val="superscript"/>
        </w:rPr>
        <w:footnoteReference w:id="17"/>
      </w:r>
      <w:r w:rsidR="003B3072" w:rsidRPr="006A3D8A">
        <w:rPr>
          <w:rFonts w:ascii="Arial" w:eastAsia="Arial" w:hAnsi="Arial" w:cs="Arial"/>
          <w:color w:val="1E1E1E"/>
          <w:sz w:val="20"/>
          <w:szCs w:val="20"/>
        </w:rPr>
        <w:t xml:space="preserve"> </w:t>
      </w:r>
    </w:p>
    <w:p w14:paraId="563D5ECE" w14:textId="6498FD52" w:rsidR="00D96021" w:rsidRPr="000D1BF2" w:rsidRDefault="003B3072" w:rsidP="0098742A">
      <w:pPr>
        <w:shd w:val="clear" w:color="auto" w:fill="FFFFFF"/>
        <w:spacing w:before="280" w:after="280"/>
        <w:jc w:val="both"/>
        <w:rPr>
          <w:rFonts w:ascii="Arial" w:eastAsia="Arial" w:hAnsi="Arial" w:cs="Arial"/>
          <w:sz w:val="20"/>
          <w:szCs w:val="20"/>
          <w:highlight w:val="yellow"/>
        </w:rPr>
      </w:pPr>
      <w:r w:rsidRPr="003B3072">
        <w:rPr>
          <w:rFonts w:ascii="Arial" w:eastAsia="Arial" w:hAnsi="Arial" w:cs="Arial"/>
          <w:color w:val="1E1E1E"/>
          <w:sz w:val="20"/>
          <w:szCs w:val="20"/>
        </w:rPr>
        <w:t xml:space="preserve">Furthermore, </w:t>
      </w:r>
      <w:r w:rsidRPr="003B3072">
        <w:rPr>
          <w:rFonts w:ascii="Arial" w:hAnsi="Arial" w:cs="Arial"/>
          <w:sz w:val="20"/>
          <w:szCs w:val="20"/>
        </w:rPr>
        <w:t xml:space="preserve">although </w:t>
      </w:r>
      <w:r>
        <w:rPr>
          <w:rFonts w:ascii="Arial" w:hAnsi="Arial" w:cs="Arial"/>
          <w:sz w:val="20"/>
          <w:szCs w:val="20"/>
        </w:rPr>
        <w:t>Turkey states</w:t>
      </w:r>
      <w:r w:rsidRPr="003B3072">
        <w:rPr>
          <w:rFonts w:ascii="Arial" w:hAnsi="Arial" w:cs="Arial"/>
          <w:sz w:val="20"/>
          <w:szCs w:val="20"/>
        </w:rPr>
        <w:t xml:space="preserve"> that the </w:t>
      </w:r>
      <w:r w:rsidR="00AC04AC">
        <w:rPr>
          <w:rFonts w:ascii="Arial" w:hAnsi="Arial" w:cs="Arial"/>
          <w:sz w:val="20"/>
          <w:szCs w:val="20"/>
        </w:rPr>
        <w:t>‘</w:t>
      </w:r>
      <w:r w:rsidRPr="003B3072">
        <w:rPr>
          <w:rFonts w:ascii="Arial" w:hAnsi="Arial" w:cs="Arial"/>
          <w:sz w:val="20"/>
          <w:szCs w:val="20"/>
        </w:rPr>
        <w:t>marry your rapist</w:t>
      </w:r>
      <w:r w:rsidR="00AC04AC">
        <w:rPr>
          <w:rFonts w:ascii="Arial" w:hAnsi="Arial" w:cs="Arial"/>
          <w:sz w:val="20"/>
          <w:szCs w:val="20"/>
        </w:rPr>
        <w:t>’</w:t>
      </w:r>
      <w:r w:rsidRPr="003B3072">
        <w:rPr>
          <w:rFonts w:ascii="Arial" w:hAnsi="Arial" w:cs="Arial"/>
          <w:sz w:val="20"/>
          <w:szCs w:val="20"/>
        </w:rPr>
        <w:t xml:space="preserve"> practice does not remove criminal responsibility</w:t>
      </w:r>
      <w:r w:rsidR="0051674D">
        <w:rPr>
          <w:rFonts w:ascii="Arial" w:hAnsi="Arial" w:cs="Arial"/>
          <w:sz w:val="20"/>
          <w:szCs w:val="20"/>
        </w:rPr>
        <w:t>,</w:t>
      </w:r>
      <w:r w:rsidR="0051674D">
        <w:rPr>
          <w:rStyle w:val="FootnoteReference"/>
          <w:rFonts w:ascii="Arial" w:hAnsi="Arial" w:cs="Arial"/>
          <w:sz w:val="20"/>
          <w:szCs w:val="20"/>
        </w:rPr>
        <w:footnoteReference w:id="18"/>
      </w:r>
      <w:r w:rsidR="0051674D">
        <w:rPr>
          <w:rFonts w:ascii="Arial" w:hAnsi="Arial" w:cs="Arial"/>
          <w:sz w:val="20"/>
          <w:szCs w:val="20"/>
        </w:rPr>
        <w:t xml:space="preserve"> </w:t>
      </w:r>
      <w:r w:rsidRPr="003B3072">
        <w:rPr>
          <w:rFonts w:ascii="Arial" w:hAnsi="Arial" w:cs="Arial"/>
          <w:sz w:val="20"/>
          <w:szCs w:val="20"/>
        </w:rPr>
        <w:t>we note with concern that on 16 Jan</w:t>
      </w:r>
      <w:r w:rsidR="00AC04AC">
        <w:rPr>
          <w:rFonts w:ascii="Arial" w:hAnsi="Arial" w:cs="Arial"/>
          <w:sz w:val="20"/>
          <w:szCs w:val="20"/>
        </w:rPr>
        <w:t>uary</w:t>
      </w:r>
      <w:r w:rsidRPr="003B3072">
        <w:rPr>
          <w:rFonts w:ascii="Arial" w:hAnsi="Arial" w:cs="Arial"/>
          <w:sz w:val="20"/>
          <w:szCs w:val="20"/>
        </w:rPr>
        <w:t xml:space="preserve"> 2020, Turkish Parliament debated </w:t>
      </w:r>
      <w:r w:rsidR="0051674D">
        <w:rPr>
          <w:rFonts w:ascii="Arial" w:hAnsi="Arial" w:cs="Arial"/>
          <w:sz w:val="20"/>
          <w:szCs w:val="20"/>
        </w:rPr>
        <w:t>yet another</w:t>
      </w:r>
      <w:r w:rsidRPr="003B3072">
        <w:rPr>
          <w:rFonts w:ascii="Arial" w:hAnsi="Arial" w:cs="Arial"/>
          <w:sz w:val="20"/>
          <w:szCs w:val="20"/>
        </w:rPr>
        <w:t xml:space="preserve"> </w:t>
      </w:r>
      <w:r w:rsidR="00AC04AC">
        <w:rPr>
          <w:rFonts w:ascii="Arial" w:hAnsi="Arial" w:cs="Arial"/>
          <w:sz w:val="20"/>
          <w:szCs w:val="20"/>
        </w:rPr>
        <w:t>‘</w:t>
      </w:r>
      <w:r w:rsidRPr="003B3072">
        <w:rPr>
          <w:rFonts w:ascii="Arial" w:hAnsi="Arial" w:cs="Arial"/>
          <w:sz w:val="20"/>
          <w:szCs w:val="20"/>
        </w:rPr>
        <w:t>marry your rapist</w:t>
      </w:r>
      <w:r w:rsidR="00AC04AC">
        <w:rPr>
          <w:rFonts w:ascii="Arial" w:hAnsi="Arial" w:cs="Arial"/>
          <w:sz w:val="20"/>
          <w:szCs w:val="20"/>
        </w:rPr>
        <w:t>’</w:t>
      </w:r>
      <w:r w:rsidRPr="003B3072">
        <w:rPr>
          <w:rFonts w:ascii="Arial" w:hAnsi="Arial" w:cs="Arial"/>
          <w:sz w:val="20"/>
          <w:szCs w:val="20"/>
        </w:rPr>
        <w:t xml:space="preserve"> bill</w:t>
      </w:r>
      <w:r w:rsidR="0051674D">
        <w:rPr>
          <w:rFonts w:ascii="Arial" w:hAnsi="Arial" w:cs="Arial"/>
          <w:sz w:val="20"/>
          <w:szCs w:val="20"/>
        </w:rPr>
        <w:t xml:space="preserve"> </w:t>
      </w:r>
      <w:r w:rsidRPr="003B3072">
        <w:rPr>
          <w:rFonts w:ascii="Arial" w:hAnsi="Arial" w:cs="Arial"/>
          <w:sz w:val="20"/>
          <w:szCs w:val="20"/>
        </w:rPr>
        <w:t xml:space="preserve">that would provide an amnesty for men convicted of statutory rape if they marry their victims—a resurfacing of </w:t>
      </w:r>
      <w:r w:rsidR="00C43177">
        <w:rPr>
          <w:rFonts w:ascii="Arial" w:hAnsi="Arial" w:cs="Arial"/>
          <w:sz w:val="20"/>
          <w:szCs w:val="20"/>
        </w:rPr>
        <w:t>the aforementioned</w:t>
      </w:r>
      <w:r w:rsidRPr="003B3072">
        <w:rPr>
          <w:rFonts w:ascii="Arial" w:hAnsi="Arial" w:cs="Arial"/>
          <w:sz w:val="20"/>
          <w:szCs w:val="20"/>
        </w:rPr>
        <w:t xml:space="preserve"> similar bill in 2016 that was dropped due to global outrage</w:t>
      </w:r>
      <w:r w:rsidR="00AC04AC">
        <w:rPr>
          <w:rFonts w:ascii="Arial" w:hAnsi="Arial" w:cs="Arial"/>
          <w:sz w:val="20"/>
          <w:szCs w:val="20"/>
        </w:rPr>
        <w:t>.</w:t>
      </w:r>
      <w:r w:rsidRPr="003B3072">
        <w:rPr>
          <w:rFonts w:ascii="Arial" w:hAnsi="Arial" w:cs="Arial"/>
          <w:sz w:val="20"/>
          <w:szCs w:val="20"/>
          <w:vertAlign w:val="superscript"/>
        </w:rPr>
        <w:footnoteReference w:id="19"/>
      </w:r>
    </w:p>
    <w:p w14:paraId="7CEB6ED9" w14:textId="665D1E55" w:rsidR="00D60868" w:rsidRPr="0017404F" w:rsidRDefault="00D96021" w:rsidP="0017404F">
      <w:pPr>
        <w:shd w:val="clear" w:color="auto" w:fill="FFFFFF"/>
        <w:spacing w:before="280" w:after="280"/>
        <w:jc w:val="both"/>
        <w:rPr>
          <w:rFonts w:ascii="Arial" w:hAnsi="Arial" w:cs="Arial"/>
          <w:sz w:val="20"/>
          <w:szCs w:val="20"/>
          <w:u w:val="single"/>
        </w:rPr>
      </w:pPr>
      <w:r w:rsidRPr="0017404F">
        <w:rPr>
          <w:rFonts w:ascii="Arial" w:hAnsi="Arial" w:cs="Arial"/>
          <w:b/>
          <w:bCs/>
          <w:sz w:val="20"/>
          <w:szCs w:val="20"/>
          <w:u w:val="single"/>
        </w:rPr>
        <w:t>Prevalence and Implementation Concerns</w:t>
      </w:r>
      <w:r>
        <w:rPr>
          <w:rFonts w:ascii="Arial" w:hAnsi="Arial" w:cs="Arial"/>
          <w:b/>
          <w:bCs/>
          <w:sz w:val="20"/>
          <w:szCs w:val="20"/>
          <w:u w:val="single"/>
        </w:rPr>
        <w:t>:</w:t>
      </w:r>
    </w:p>
    <w:p w14:paraId="2018657B" w14:textId="10691A8C" w:rsidR="00937009" w:rsidRPr="006A3D8A" w:rsidRDefault="00937009" w:rsidP="0098742A">
      <w:pPr>
        <w:jc w:val="both"/>
        <w:rPr>
          <w:rFonts w:ascii="Arial" w:eastAsia="Arial" w:hAnsi="Arial" w:cs="Arial"/>
          <w:sz w:val="19"/>
          <w:szCs w:val="19"/>
        </w:rPr>
      </w:pPr>
      <w:r>
        <w:rPr>
          <w:rFonts w:ascii="Arial" w:hAnsi="Arial" w:cs="Arial"/>
          <w:b/>
          <w:bCs/>
          <w:sz w:val="20"/>
          <w:szCs w:val="20"/>
        </w:rPr>
        <w:t xml:space="preserve">Child Marriage Statistics: </w:t>
      </w:r>
      <w:r w:rsidR="00840E34" w:rsidRPr="00E048D8">
        <w:rPr>
          <w:rFonts w:ascii="Arial" w:hAnsi="Arial" w:cs="Arial"/>
          <w:sz w:val="20"/>
          <w:szCs w:val="20"/>
        </w:rPr>
        <w:t>Turkey has one of the highest rate</w:t>
      </w:r>
      <w:r w:rsidR="00330D8F" w:rsidRPr="00E048D8">
        <w:rPr>
          <w:rFonts w:ascii="Arial" w:hAnsi="Arial" w:cs="Arial"/>
          <w:sz w:val="20"/>
          <w:szCs w:val="20"/>
        </w:rPr>
        <w:t>s</w:t>
      </w:r>
      <w:r w:rsidR="00840E34" w:rsidRPr="00E048D8">
        <w:rPr>
          <w:rFonts w:ascii="Arial" w:hAnsi="Arial" w:cs="Arial"/>
          <w:sz w:val="20"/>
          <w:szCs w:val="20"/>
        </w:rPr>
        <w:t xml:space="preserve"> of child marriage in Europe, with an estimated 15% of girls married before the age of </w:t>
      </w:r>
      <w:r w:rsidR="00833FBB">
        <w:rPr>
          <w:rFonts w:ascii="Arial" w:hAnsi="Arial" w:cs="Arial"/>
          <w:sz w:val="20"/>
          <w:szCs w:val="20"/>
        </w:rPr>
        <w:t>18</w:t>
      </w:r>
      <w:r w:rsidR="00E86D75" w:rsidRPr="00E048D8">
        <w:rPr>
          <w:rFonts w:ascii="Arial" w:hAnsi="Arial" w:cs="Arial"/>
          <w:sz w:val="20"/>
          <w:szCs w:val="20"/>
        </w:rPr>
        <w:t xml:space="preserve"> </w:t>
      </w:r>
      <w:r w:rsidR="00840E34" w:rsidRPr="00E048D8">
        <w:rPr>
          <w:rFonts w:ascii="Arial" w:hAnsi="Arial" w:cs="Arial"/>
          <w:sz w:val="20"/>
          <w:szCs w:val="20"/>
        </w:rPr>
        <w:t xml:space="preserve">and 2% married before the age of </w:t>
      </w:r>
      <w:r w:rsidR="00833FBB">
        <w:rPr>
          <w:rFonts w:ascii="Arial" w:hAnsi="Arial" w:cs="Arial"/>
          <w:sz w:val="20"/>
          <w:szCs w:val="20"/>
        </w:rPr>
        <w:t>15</w:t>
      </w:r>
      <w:r w:rsidR="00840E34" w:rsidRPr="00E048D8">
        <w:rPr>
          <w:rFonts w:ascii="Arial" w:hAnsi="Arial" w:cs="Arial"/>
          <w:sz w:val="20"/>
          <w:szCs w:val="20"/>
        </w:rPr>
        <w:t>.</w:t>
      </w:r>
      <w:r w:rsidR="00840E34" w:rsidRPr="00E048D8">
        <w:rPr>
          <w:rFonts w:ascii="Arial" w:hAnsi="Arial" w:cs="Arial"/>
          <w:sz w:val="20"/>
          <w:szCs w:val="20"/>
          <w:vertAlign w:val="superscript"/>
        </w:rPr>
        <w:footnoteReference w:id="20"/>
      </w:r>
      <w:r w:rsidR="00840E34" w:rsidRPr="00E048D8">
        <w:rPr>
          <w:rFonts w:ascii="Arial" w:hAnsi="Arial" w:cs="Arial"/>
          <w:sz w:val="20"/>
          <w:szCs w:val="20"/>
        </w:rPr>
        <w:t xml:space="preserve"> </w:t>
      </w:r>
      <w:r w:rsidRPr="00E048D8">
        <w:rPr>
          <w:rFonts w:ascii="Arial" w:hAnsi="Arial" w:cs="Arial"/>
          <w:sz w:val="20"/>
          <w:szCs w:val="20"/>
        </w:rPr>
        <w:t xml:space="preserve">It becomes particularly challenging to track the number of child marriages occurring in Turkey because they are often conducted unofficially, with many being religious ceremonies not recognized under the law. The </w:t>
      </w:r>
      <w:r w:rsidRPr="00E048D8">
        <w:rPr>
          <w:rFonts w:ascii="Arial" w:hAnsi="Arial" w:cs="Arial"/>
          <w:sz w:val="20"/>
          <w:szCs w:val="20"/>
        </w:rPr>
        <w:lastRenderedPageBreak/>
        <w:t>Turkish government does not seem to track child marriage or child trafficking.</w:t>
      </w:r>
      <w:r w:rsidRPr="00E048D8">
        <w:rPr>
          <w:rStyle w:val="FootnoteReference"/>
          <w:rFonts w:ascii="Arial" w:hAnsi="Arial" w:cs="Arial"/>
          <w:sz w:val="20"/>
          <w:szCs w:val="20"/>
        </w:rPr>
        <w:footnoteReference w:id="21"/>
      </w:r>
      <w:r>
        <w:rPr>
          <w:rFonts w:ascii="Arial" w:hAnsi="Arial" w:cs="Arial"/>
          <w:sz w:val="20"/>
          <w:szCs w:val="20"/>
        </w:rPr>
        <w:t xml:space="preserve"> </w:t>
      </w:r>
      <w:r w:rsidRPr="006A3D8A">
        <w:rPr>
          <w:rFonts w:ascii="Arial" w:eastAsia="Arial" w:hAnsi="Arial" w:cs="Arial"/>
          <w:sz w:val="20"/>
          <w:szCs w:val="20"/>
        </w:rPr>
        <w:t xml:space="preserve">According to </w:t>
      </w:r>
      <w:r w:rsidR="00833FBB">
        <w:rPr>
          <w:rFonts w:ascii="Arial" w:eastAsia="Arial" w:hAnsi="Arial" w:cs="Arial"/>
          <w:sz w:val="20"/>
          <w:szCs w:val="20"/>
        </w:rPr>
        <w:t xml:space="preserve">the </w:t>
      </w:r>
      <w:r w:rsidRPr="006A3D8A">
        <w:rPr>
          <w:rFonts w:ascii="Arial" w:eastAsia="Arial" w:hAnsi="Arial" w:cs="Arial"/>
          <w:sz w:val="20"/>
          <w:szCs w:val="20"/>
        </w:rPr>
        <w:t>2018 Turkey Demographic and Health Surveys</w:t>
      </w:r>
      <w:r w:rsidR="00AC04AC">
        <w:rPr>
          <w:rFonts w:ascii="Arial" w:eastAsia="Arial" w:hAnsi="Arial" w:cs="Arial"/>
          <w:sz w:val="20"/>
          <w:szCs w:val="20"/>
        </w:rPr>
        <w:t xml:space="preserve"> (TDHS</w:t>
      </w:r>
      <w:r w:rsidRPr="006A3D8A">
        <w:rPr>
          <w:rFonts w:ascii="Arial" w:eastAsia="Arial" w:hAnsi="Arial" w:cs="Arial"/>
          <w:sz w:val="20"/>
          <w:szCs w:val="20"/>
        </w:rPr>
        <w:t xml:space="preserve">), 64% of women married before age </w:t>
      </w:r>
      <w:r w:rsidR="00833FBB">
        <w:rPr>
          <w:rFonts w:ascii="Arial" w:eastAsia="Arial" w:hAnsi="Arial" w:cs="Arial"/>
          <w:sz w:val="20"/>
          <w:szCs w:val="20"/>
        </w:rPr>
        <w:t>18</w:t>
      </w:r>
      <w:r w:rsidR="00E86D75" w:rsidRPr="006A3D8A">
        <w:rPr>
          <w:rFonts w:ascii="Arial" w:eastAsia="Arial" w:hAnsi="Arial" w:cs="Arial"/>
          <w:sz w:val="20"/>
          <w:szCs w:val="20"/>
        </w:rPr>
        <w:t xml:space="preserve"> </w:t>
      </w:r>
      <w:r w:rsidRPr="006A3D8A">
        <w:rPr>
          <w:rFonts w:ascii="Arial" w:eastAsia="Arial" w:hAnsi="Arial" w:cs="Arial"/>
          <w:sz w:val="20"/>
          <w:szCs w:val="20"/>
        </w:rPr>
        <w:t xml:space="preserve">had a religious ceremony first; 7% only had </w:t>
      </w:r>
      <w:r w:rsidR="00AC04AC">
        <w:rPr>
          <w:rFonts w:ascii="Arial" w:eastAsia="Arial" w:hAnsi="Arial" w:cs="Arial"/>
          <w:sz w:val="20"/>
          <w:szCs w:val="20"/>
        </w:rPr>
        <w:t xml:space="preserve">a </w:t>
      </w:r>
      <w:r w:rsidRPr="006A3D8A">
        <w:rPr>
          <w:rFonts w:ascii="Arial" w:eastAsia="Arial" w:hAnsi="Arial" w:cs="Arial"/>
          <w:sz w:val="20"/>
          <w:szCs w:val="20"/>
        </w:rPr>
        <w:t>religious ceremony</w:t>
      </w:r>
      <w:r w:rsidRPr="006A3D8A">
        <w:rPr>
          <w:rFonts w:ascii="Arial" w:eastAsia="Arial" w:hAnsi="Arial" w:cs="Arial"/>
          <w:sz w:val="20"/>
          <w:szCs w:val="20"/>
          <w:vertAlign w:val="superscript"/>
        </w:rPr>
        <w:footnoteReference w:id="22"/>
      </w:r>
      <w:r w:rsidRPr="006A3D8A">
        <w:rPr>
          <w:rFonts w:ascii="Arial" w:eastAsia="Arial" w:hAnsi="Arial" w:cs="Arial"/>
          <w:sz w:val="20"/>
          <w:szCs w:val="20"/>
        </w:rPr>
        <w:t>. Child marriage is more prevalent among young women who grew up and still live in rural areas.</w:t>
      </w:r>
      <w:r w:rsidRPr="006A3D8A">
        <w:rPr>
          <w:rFonts w:ascii="Arial" w:eastAsia="Arial" w:hAnsi="Arial" w:cs="Arial"/>
          <w:sz w:val="20"/>
          <w:szCs w:val="20"/>
          <w:vertAlign w:val="superscript"/>
        </w:rPr>
        <w:footnoteReference w:id="23"/>
      </w:r>
      <w:r w:rsidRPr="006A3D8A">
        <w:rPr>
          <w:rFonts w:ascii="Arial" w:eastAsia="Arial" w:hAnsi="Arial" w:cs="Arial"/>
          <w:sz w:val="19"/>
          <w:szCs w:val="19"/>
        </w:rPr>
        <w:t xml:space="preserve"> </w:t>
      </w:r>
      <w:r w:rsidRPr="006A3D8A">
        <w:rPr>
          <w:rFonts w:ascii="Arial" w:eastAsia="Arial" w:hAnsi="Arial" w:cs="Arial"/>
          <w:sz w:val="20"/>
          <w:szCs w:val="20"/>
        </w:rPr>
        <w:t xml:space="preserve">According to a 2018 household survey by the Ministry of Family and Social Policies and Hacettepe University, among women in the 25-49 age group, 39% </w:t>
      </w:r>
      <w:r w:rsidR="00E86D75">
        <w:rPr>
          <w:rFonts w:ascii="Arial" w:eastAsia="Arial" w:hAnsi="Arial" w:cs="Arial"/>
          <w:sz w:val="20"/>
          <w:szCs w:val="20"/>
        </w:rPr>
        <w:t xml:space="preserve">were </w:t>
      </w:r>
      <w:r w:rsidRPr="006A3D8A">
        <w:rPr>
          <w:rFonts w:ascii="Arial" w:eastAsia="Arial" w:hAnsi="Arial" w:cs="Arial"/>
          <w:sz w:val="20"/>
          <w:szCs w:val="20"/>
        </w:rPr>
        <w:t xml:space="preserve">married by age </w:t>
      </w:r>
      <w:r w:rsidR="00833FBB">
        <w:rPr>
          <w:rFonts w:ascii="Arial" w:eastAsia="Arial" w:hAnsi="Arial" w:cs="Arial"/>
          <w:sz w:val="20"/>
          <w:szCs w:val="20"/>
        </w:rPr>
        <w:t>20</w:t>
      </w:r>
      <w:r w:rsidRPr="006A3D8A">
        <w:rPr>
          <w:rFonts w:ascii="Arial" w:eastAsia="Arial" w:hAnsi="Arial" w:cs="Arial"/>
          <w:sz w:val="20"/>
          <w:szCs w:val="20"/>
        </w:rPr>
        <w:t xml:space="preserve">, 21% </w:t>
      </w:r>
      <w:r w:rsidR="00E86D75">
        <w:rPr>
          <w:rFonts w:ascii="Arial" w:eastAsia="Arial" w:hAnsi="Arial" w:cs="Arial"/>
          <w:sz w:val="20"/>
          <w:szCs w:val="20"/>
        </w:rPr>
        <w:t>married</w:t>
      </w:r>
      <w:r w:rsidR="00E86D75" w:rsidRPr="006A3D8A">
        <w:rPr>
          <w:rFonts w:ascii="Arial" w:eastAsia="Arial" w:hAnsi="Arial" w:cs="Arial"/>
          <w:sz w:val="20"/>
          <w:szCs w:val="20"/>
        </w:rPr>
        <w:t xml:space="preserve"> </w:t>
      </w:r>
      <w:r w:rsidRPr="006A3D8A">
        <w:rPr>
          <w:rFonts w:ascii="Arial" w:eastAsia="Arial" w:hAnsi="Arial" w:cs="Arial"/>
          <w:sz w:val="20"/>
          <w:szCs w:val="20"/>
        </w:rPr>
        <w:t xml:space="preserve">by age </w:t>
      </w:r>
      <w:r w:rsidR="00833FBB">
        <w:rPr>
          <w:rFonts w:ascii="Arial" w:eastAsia="Arial" w:hAnsi="Arial" w:cs="Arial"/>
          <w:sz w:val="20"/>
          <w:szCs w:val="20"/>
        </w:rPr>
        <w:t>18</w:t>
      </w:r>
      <w:r w:rsidRPr="006A3D8A">
        <w:rPr>
          <w:rFonts w:ascii="Arial" w:eastAsia="Arial" w:hAnsi="Arial" w:cs="Arial"/>
          <w:sz w:val="20"/>
          <w:szCs w:val="20"/>
        </w:rPr>
        <w:t xml:space="preserve">, and 4% </w:t>
      </w:r>
      <w:r w:rsidR="00E86D75">
        <w:rPr>
          <w:rFonts w:ascii="Arial" w:eastAsia="Arial" w:hAnsi="Arial" w:cs="Arial"/>
          <w:sz w:val="20"/>
          <w:szCs w:val="20"/>
        </w:rPr>
        <w:t xml:space="preserve">entered </w:t>
      </w:r>
      <w:r w:rsidRPr="006A3D8A">
        <w:rPr>
          <w:rFonts w:ascii="Arial" w:eastAsia="Arial" w:hAnsi="Arial" w:cs="Arial"/>
          <w:sz w:val="20"/>
          <w:szCs w:val="20"/>
        </w:rPr>
        <w:t xml:space="preserve">marriage before their </w:t>
      </w:r>
      <w:r w:rsidR="00833FBB">
        <w:rPr>
          <w:rFonts w:ascii="Arial" w:eastAsia="Arial" w:hAnsi="Arial" w:cs="Arial"/>
          <w:sz w:val="20"/>
          <w:szCs w:val="20"/>
        </w:rPr>
        <w:t>15</w:t>
      </w:r>
      <w:r w:rsidR="00833FBB" w:rsidRPr="00833FBB">
        <w:rPr>
          <w:rFonts w:ascii="Arial" w:eastAsia="Arial" w:hAnsi="Arial" w:cs="Arial"/>
          <w:sz w:val="20"/>
          <w:szCs w:val="20"/>
          <w:vertAlign w:val="superscript"/>
        </w:rPr>
        <w:t>th</w:t>
      </w:r>
      <w:r w:rsidR="00833FBB">
        <w:rPr>
          <w:rFonts w:ascii="Arial" w:eastAsia="Arial" w:hAnsi="Arial" w:cs="Arial"/>
          <w:sz w:val="20"/>
          <w:szCs w:val="20"/>
        </w:rPr>
        <w:t xml:space="preserve"> </w:t>
      </w:r>
      <w:r w:rsidRPr="006A3D8A">
        <w:rPr>
          <w:rFonts w:ascii="Arial" w:eastAsia="Arial" w:hAnsi="Arial" w:cs="Arial"/>
          <w:sz w:val="20"/>
          <w:szCs w:val="20"/>
        </w:rPr>
        <w:t>birthday.</w:t>
      </w:r>
      <w:r w:rsidRPr="006A3D8A">
        <w:rPr>
          <w:rFonts w:ascii="Arial" w:eastAsia="Arial" w:hAnsi="Arial" w:cs="Arial"/>
          <w:sz w:val="20"/>
          <w:szCs w:val="20"/>
          <w:vertAlign w:val="superscript"/>
        </w:rPr>
        <w:footnoteReference w:id="24"/>
      </w:r>
    </w:p>
    <w:p w14:paraId="1DB05ABA" w14:textId="1195438D" w:rsidR="00162550" w:rsidRDefault="00162550" w:rsidP="0098742A">
      <w:pPr>
        <w:jc w:val="both"/>
        <w:rPr>
          <w:rFonts w:ascii="Arial" w:hAnsi="Arial" w:cs="Arial"/>
          <w:sz w:val="20"/>
          <w:szCs w:val="20"/>
        </w:rPr>
      </w:pPr>
    </w:p>
    <w:p w14:paraId="4C74BCD5" w14:textId="38831B8A" w:rsidR="0098742A" w:rsidRDefault="00937009" w:rsidP="0098742A">
      <w:pPr>
        <w:jc w:val="both"/>
        <w:rPr>
          <w:rFonts w:ascii="Arial" w:eastAsia="Arial" w:hAnsi="Arial" w:cs="Arial"/>
          <w:sz w:val="20"/>
          <w:szCs w:val="20"/>
        </w:rPr>
      </w:pPr>
      <w:r>
        <w:rPr>
          <w:rFonts w:ascii="Arial" w:hAnsi="Arial" w:cs="Arial"/>
          <w:b/>
          <w:bCs/>
          <w:sz w:val="20"/>
          <w:szCs w:val="20"/>
        </w:rPr>
        <w:t xml:space="preserve">Disproportionate Impact on Refugees: </w:t>
      </w:r>
      <w:r w:rsidR="00330D8F" w:rsidRPr="00E048D8">
        <w:rPr>
          <w:rFonts w:ascii="Arial" w:hAnsi="Arial" w:cs="Arial"/>
          <w:sz w:val="20"/>
          <w:szCs w:val="20"/>
        </w:rPr>
        <w:t xml:space="preserve">The issue of child marriage becomes particularly challenging in the case of Syrian refugees. </w:t>
      </w:r>
      <w:r w:rsidR="00116DB5" w:rsidRPr="00E048D8">
        <w:rPr>
          <w:rFonts w:ascii="Arial" w:hAnsi="Arial" w:cs="Arial"/>
          <w:sz w:val="20"/>
          <w:szCs w:val="20"/>
        </w:rPr>
        <w:t>Turkey has the largest number of refugees worldwide.</w:t>
      </w:r>
      <w:r w:rsidR="00116DB5" w:rsidRPr="00E048D8">
        <w:rPr>
          <w:rStyle w:val="FootnoteReference"/>
          <w:rFonts w:ascii="Arial" w:hAnsi="Arial" w:cs="Arial"/>
          <w:sz w:val="20"/>
          <w:szCs w:val="20"/>
        </w:rPr>
        <w:footnoteReference w:id="25"/>
      </w:r>
      <w:r w:rsidR="00116DB5" w:rsidRPr="00E048D8">
        <w:rPr>
          <w:rFonts w:ascii="Arial" w:hAnsi="Arial" w:cs="Arial"/>
          <w:sz w:val="20"/>
          <w:szCs w:val="20"/>
        </w:rPr>
        <w:t xml:space="preserve"> </w:t>
      </w:r>
      <w:r w:rsidR="004C4475">
        <w:rPr>
          <w:rFonts w:ascii="Arial" w:hAnsi="Arial" w:cs="Arial"/>
          <w:sz w:val="20"/>
          <w:szCs w:val="20"/>
        </w:rPr>
        <w:t xml:space="preserve">As </w:t>
      </w:r>
      <w:r w:rsidR="00116DB5" w:rsidRPr="00E048D8">
        <w:rPr>
          <w:rFonts w:ascii="Arial" w:hAnsi="Arial" w:cs="Arial"/>
          <w:sz w:val="20"/>
          <w:szCs w:val="20"/>
        </w:rPr>
        <w:t>of April 2020, almost 4 million refugees resided in Turkey, of which 3.6 million were Syrian refugees.</w:t>
      </w:r>
      <w:r w:rsidR="00116DB5" w:rsidRPr="00E048D8">
        <w:rPr>
          <w:rStyle w:val="FootnoteReference"/>
          <w:rFonts w:ascii="Arial" w:hAnsi="Arial" w:cs="Arial"/>
          <w:sz w:val="20"/>
          <w:szCs w:val="20"/>
        </w:rPr>
        <w:footnoteReference w:id="26"/>
      </w:r>
      <w:r w:rsidR="00116DB5" w:rsidRPr="00E048D8">
        <w:rPr>
          <w:rFonts w:ascii="Arial" w:hAnsi="Arial" w:cs="Arial"/>
          <w:sz w:val="20"/>
          <w:szCs w:val="20"/>
        </w:rPr>
        <w:t xml:space="preserve"> In July 2019, approximately 1.4 million of all </w:t>
      </w:r>
      <w:r w:rsidR="00A2661F">
        <w:rPr>
          <w:rFonts w:ascii="Arial" w:hAnsi="Arial" w:cs="Arial"/>
          <w:sz w:val="20"/>
          <w:szCs w:val="20"/>
        </w:rPr>
        <w:t xml:space="preserve">of these </w:t>
      </w:r>
      <w:r w:rsidR="00116DB5" w:rsidRPr="00E048D8">
        <w:rPr>
          <w:rFonts w:ascii="Arial" w:hAnsi="Arial" w:cs="Arial"/>
          <w:sz w:val="20"/>
          <w:szCs w:val="20"/>
        </w:rPr>
        <w:t xml:space="preserve">refugees were under the age of </w:t>
      </w:r>
      <w:r w:rsidR="00281E76">
        <w:rPr>
          <w:rFonts w:ascii="Arial" w:hAnsi="Arial" w:cs="Arial"/>
          <w:sz w:val="20"/>
          <w:szCs w:val="20"/>
        </w:rPr>
        <w:t>15</w:t>
      </w:r>
      <w:r w:rsidR="00E86D75">
        <w:rPr>
          <w:rFonts w:ascii="Arial" w:hAnsi="Arial" w:cs="Arial"/>
          <w:sz w:val="20"/>
          <w:szCs w:val="20"/>
        </w:rPr>
        <w:t>,</w:t>
      </w:r>
      <w:r w:rsidR="00E86D75" w:rsidRPr="00E048D8">
        <w:rPr>
          <w:rFonts w:ascii="Arial" w:hAnsi="Arial" w:cs="Arial"/>
          <w:sz w:val="20"/>
          <w:szCs w:val="20"/>
        </w:rPr>
        <w:t xml:space="preserve"> </w:t>
      </w:r>
      <w:r w:rsidR="00116DB5" w:rsidRPr="00E048D8">
        <w:rPr>
          <w:rFonts w:ascii="Arial" w:hAnsi="Arial" w:cs="Arial"/>
          <w:sz w:val="20"/>
          <w:szCs w:val="20"/>
        </w:rPr>
        <w:t xml:space="preserve">and over 800,00 were between the ages </w:t>
      </w:r>
      <w:r w:rsidR="00281E76">
        <w:rPr>
          <w:rFonts w:ascii="Arial" w:hAnsi="Arial" w:cs="Arial"/>
          <w:sz w:val="20"/>
          <w:szCs w:val="20"/>
        </w:rPr>
        <w:t>of 15-24</w:t>
      </w:r>
      <w:r w:rsidR="00116DB5" w:rsidRPr="00E048D8">
        <w:rPr>
          <w:rFonts w:ascii="Arial" w:hAnsi="Arial" w:cs="Arial"/>
          <w:sz w:val="20"/>
          <w:szCs w:val="20"/>
        </w:rPr>
        <w:t xml:space="preserve">. </w:t>
      </w:r>
      <w:r w:rsidR="00D96021" w:rsidRPr="00D96021">
        <w:rPr>
          <w:rFonts w:ascii="Arial" w:eastAsia="Arial" w:hAnsi="Arial" w:cs="Arial"/>
          <w:sz w:val="20"/>
          <w:szCs w:val="20"/>
        </w:rPr>
        <w:t xml:space="preserve">According to the 2018-TDHS Syrian Migrant Sample, among Syrian migrant women, the proportion of marriage before </w:t>
      </w:r>
      <w:r w:rsidR="00281E76">
        <w:rPr>
          <w:rFonts w:ascii="Arial" w:eastAsia="Arial" w:hAnsi="Arial" w:cs="Arial"/>
          <w:sz w:val="20"/>
          <w:szCs w:val="20"/>
        </w:rPr>
        <w:t>18</w:t>
      </w:r>
      <w:r w:rsidR="00D96021" w:rsidRPr="00D96021">
        <w:rPr>
          <w:rFonts w:ascii="Arial" w:eastAsia="Arial" w:hAnsi="Arial" w:cs="Arial"/>
          <w:sz w:val="20"/>
          <w:szCs w:val="20"/>
        </w:rPr>
        <w:t xml:space="preserve"> was 44.8% and before </w:t>
      </w:r>
      <w:r w:rsidR="00281E76">
        <w:rPr>
          <w:rFonts w:ascii="Arial" w:eastAsia="Arial" w:hAnsi="Arial" w:cs="Arial"/>
          <w:sz w:val="20"/>
          <w:szCs w:val="20"/>
        </w:rPr>
        <w:t>15</w:t>
      </w:r>
      <w:r w:rsidR="00D96021" w:rsidRPr="00D96021">
        <w:rPr>
          <w:rFonts w:ascii="Arial" w:eastAsia="Arial" w:hAnsi="Arial" w:cs="Arial"/>
          <w:sz w:val="20"/>
          <w:szCs w:val="20"/>
        </w:rPr>
        <w:t xml:space="preserve"> was 9.2%.</w:t>
      </w:r>
      <w:r w:rsidR="00D96021" w:rsidRPr="00D96021">
        <w:rPr>
          <w:rFonts w:ascii="Arial" w:eastAsia="Arial" w:hAnsi="Arial" w:cs="Arial"/>
          <w:sz w:val="20"/>
          <w:szCs w:val="20"/>
          <w:vertAlign w:val="superscript"/>
        </w:rPr>
        <w:footnoteReference w:id="27"/>
      </w:r>
    </w:p>
    <w:p w14:paraId="71E8733D" w14:textId="77777777" w:rsidR="0098742A" w:rsidRDefault="0098742A" w:rsidP="0098742A">
      <w:pPr>
        <w:jc w:val="both"/>
        <w:rPr>
          <w:rFonts w:ascii="Arial" w:eastAsia="Arial" w:hAnsi="Arial" w:cs="Arial"/>
          <w:sz w:val="20"/>
          <w:szCs w:val="20"/>
        </w:rPr>
      </w:pPr>
    </w:p>
    <w:p w14:paraId="24500448" w14:textId="56FB3525" w:rsidR="004C4475" w:rsidRPr="00E048D8" w:rsidRDefault="00116DB5" w:rsidP="004C4475">
      <w:pPr>
        <w:jc w:val="both"/>
        <w:rPr>
          <w:rFonts w:ascii="Arial" w:hAnsi="Arial" w:cs="Arial"/>
          <w:sz w:val="20"/>
          <w:szCs w:val="20"/>
        </w:rPr>
      </w:pPr>
      <w:r w:rsidRPr="00E048D8">
        <w:rPr>
          <w:rFonts w:ascii="Arial" w:hAnsi="Arial" w:cs="Arial"/>
          <w:sz w:val="20"/>
          <w:szCs w:val="20"/>
        </w:rPr>
        <w:t xml:space="preserve">The conditions facing refugee children make them particularly vulnerable to child marriages. </w:t>
      </w:r>
      <w:r w:rsidR="004C4475">
        <w:rPr>
          <w:rFonts w:ascii="Arial" w:hAnsi="Arial" w:cs="Arial"/>
          <w:sz w:val="20"/>
          <w:szCs w:val="20"/>
        </w:rPr>
        <w:t xml:space="preserve">The </w:t>
      </w:r>
      <w:r w:rsidR="00DA2F55" w:rsidRPr="00E048D8">
        <w:rPr>
          <w:rFonts w:ascii="Arial" w:hAnsi="Arial" w:cs="Arial"/>
          <w:sz w:val="20"/>
          <w:szCs w:val="20"/>
        </w:rPr>
        <w:t xml:space="preserve">issue of child, early and forced marriages, </w:t>
      </w:r>
      <w:r w:rsidR="004C4475">
        <w:rPr>
          <w:rFonts w:ascii="Arial" w:hAnsi="Arial" w:cs="Arial"/>
          <w:sz w:val="20"/>
          <w:szCs w:val="20"/>
        </w:rPr>
        <w:t>‘</w:t>
      </w:r>
      <w:r w:rsidR="00DA2F55" w:rsidRPr="00E048D8">
        <w:rPr>
          <w:rFonts w:ascii="Arial" w:hAnsi="Arial" w:cs="Arial"/>
          <w:sz w:val="20"/>
          <w:szCs w:val="20"/>
        </w:rPr>
        <w:t>has been shown to impact thousands of Syrian refugee children and Turkish children’</w:t>
      </w:r>
      <w:r w:rsidR="0098742A">
        <w:rPr>
          <w:rFonts w:ascii="Arial" w:hAnsi="Arial" w:cs="Arial"/>
          <w:sz w:val="20"/>
          <w:szCs w:val="20"/>
        </w:rPr>
        <w:t>;</w:t>
      </w:r>
      <w:r w:rsidR="00DA2F55" w:rsidRPr="00E048D8">
        <w:rPr>
          <w:rFonts w:ascii="Arial" w:hAnsi="Arial" w:cs="Arial"/>
          <w:sz w:val="20"/>
          <w:szCs w:val="20"/>
        </w:rPr>
        <w:t xml:space="preserve"> ‘the Turkish government’s response to the issue has been limited and criticised by a number of reports’</w:t>
      </w:r>
      <w:r w:rsidR="0098742A">
        <w:rPr>
          <w:rFonts w:ascii="Arial" w:hAnsi="Arial" w:cs="Arial"/>
          <w:sz w:val="20"/>
          <w:szCs w:val="20"/>
        </w:rPr>
        <w:t>;</w:t>
      </w:r>
      <w:r w:rsidR="00DA2F55" w:rsidRPr="00E048D8">
        <w:rPr>
          <w:rFonts w:ascii="Arial" w:hAnsi="Arial" w:cs="Arial"/>
          <w:sz w:val="20"/>
          <w:szCs w:val="20"/>
        </w:rPr>
        <w:t xml:space="preserve"> and ‘government</w:t>
      </w:r>
      <w:r w:rsidR="00330D8F" w:rsidRPr="00E048D8">
        <w:rPr>
          <w:rFonts w:ascii="Arial" w:hAnsi="Arial" w:cs="Arial"/>
          <w:sz w:val="20"/>
          <w:szCs w:val="20"/>
        </w:rPr>
        <w:t xml:space="preserve"> data…indicates </w:t>
      </w:r>
      <w:r w:rsidR="00DA2F55" w:rsidRPr="00E048D8">
        <w:rPr>
          <w:rFonts w:ascii="Arial" w:hAnsi="Arial" w:cs="Arial"/>
          <w:sz w:val="20"/>
          <w:szCs w:val="20"/>
        </w:rPr>
        <w:t>that the issue remains prevalent.’</w:t>
      </w:r>
      <w:r w:rsidR="00DA2F55" w:rsidRPr="00E048D8">
        <w:rPr>
          <w:rStyle w:val="FootnoteReference"/>
          <w:rFonts w:ascii="Arial" w:hAnsi="Arial" w:cs="Arial"/>
          <w:sz w:val="20"/>
          <w:szCs w:val="20"/>
        </w:rPr>
        <w:footnoteReference w:id="28"/>
      </w:r>
      <w:r w:rsidR="00330D8F" w:rsidRPr="00E048D8">
        <w:rPr>
          <w:rFonts w:ascii="Arial" w:hAnsi="Arial" w:cs="Arial"/>
          <w:sz w:val="20"/>
          <w:szCs w:val="20"/>
        </w:rPr>
        <w:t xml:space="preserve"> Turkish men illegally marry Syrian child brides</w:t>
      </w:r>
      <w:r w:rsidRPr="00E048D8">
        <w:rPr>
          <w:rFonts w:ascii="Arial" w:hAnsi="Arial" w:cs="Arial"/>
          <w:sz w:val="20"/>
          <w:szCs w:val="20"/>
        </w:rPr>
        <w:t xml:space="preserve"> often</w:t>
      </w:r>
      <w:r w:rsidR="00330D8F" w:rsidRPr="00E048D8">
        <w:rPr>
          <w:rFonts w:ascii="Arial" w:hAnsi="Arial" w:cs="Arial"/>
          <w:sz w:val="20"/>
          <w:szCs w:val="20"/>
        </w:rPr>
        <w:t xml:space="preserve"> as second wives who have no rights under Turkish law</w:t>
      </w:r>
      <w:r w:rsidR="00A2661F">
        <w:rPr>
          <w:rFonts w:ascii="Arial" w:hAnsi="Arial" w:cs="Arial"/>
          <w:sz w:val="20"/>
          <w:szCs w:val="20"/>
        </w:rPr>
        <w:t>,</w:t>
      </w:r>
      <w:r w:rsidR="00330D8F" w:rsidRPr="00E048D8">
        <w:rPr>
          <w:rFonts w:ascii="Arial" w:hAnsi="Arial" w:cs="Arial"/>
          <w:sz w:val="20"/>
          <w:szCs w:val="20"/>
        </w:rPr>
        <w:t xml:space="preserve"> </w:t>
      </w:r>
      <w:r w:rsidR="00A2661F">
        <w:rPr>
          <w:rFonts w:ascii="Arial" w:hAnsi="Arial" w:cs="Arial"/>
          <w:sz w:val="20"/>
          <w:szCs w:val="20"/>
        </w:rPr>
        <w:t xml:space="preserve">which means </w:t>
      </w:r>
      <w:r w:rsidR="00330D8F" w:rsidRPr="00E048D8">
        <w:rPr>
          <w:rFonts w:ascii="Arial" w:hAnsi="Arial" w:cs="Arial"/>
          <w:sz w:val="20"/>
          <w:szCs w:val="20"/>
        </w:rPr>
        <w:t>no child support, alimony or inheritance if they divorce.</w:t>
      </w:r>
      <w:r w:rsidR="00330D8F" w:rsidRPr="00E048D8">
        <w:rPr>
          <w:rStyle w:val="FootnoteReference"/>
          <w:rFonts w:ascii="Arial" w:hAnsi="Arial" w:cs="Arial"/>
          <w:sz w:val="20"/>
          <w:szCs w:val="20"/>
        </w:rPr>
        <w:footnoteReference w:id="29"/>
      </w:r>
      <w:r w:rsidRPr="00E048D8">
        <w:rPr>
          <w:rFonts w:ascii="Arial" w:hAnsi="Arial" w:cs="Arial"/>
          <w:sz w:val="20"/>
          <w:szCs w:val="20"/>
        </w:rPr>
        <w:t xml:space="preserve"> </w:t>
      </w:r>
    </w:p>
    <w:p w14:paraId="32DFAF34" w14:textId="77777777" w:rsidR="00086536" w:rsidRPr="00E048D8" w:rsidRDefault="00086536" w:rsidP="0098742A">
      <w:pPr>
        <w:jc w:val="both"/>
        <w:rPr>
          <w:rFonts w:ascii="Arial" w:hAnsi="Arial" w:cs="Arial"/>
          <w:sz w:val="20"/>
          <w:szCs w:val="20"/>
        </w:rPr>
      </w:pPr>
    </w:p>
    <w:p w14:paraId="52CA8114" w14:textId="7A55507A" w:rsidR="004C4475" w:rsidRPr="00E048D8" w:rsidRDefault="00937009" w:rsidP="0098742A">
      <w:pPr>
        <w:jc w:val="both"/>
        <w:rPr>
          <w:rFonts w:ascii="Arial" w:hAnsi="Arial" w:cs="Arial"/>
          <w:sz w:val="20"/>
          <w:szCs w:val="20"/>
        </w:rPr>
      </w:pPr>
      <w:r>
        <w:rPr>
          <w:rFonts w:ascii="Arial" w:hAnsi="Arial" w:cs="Arial"/>
          <w:b/>
          <w:bCs/>
          <w:sz w:val="20"/>
          <w:szCs w:val="20"/>
        </w:rPr>
        <w:t xml:space="preserve">Impact of Covid-19: </w:t>
      </w:r>
      <w:r w:rsidR="00F715BA" w:rsidRPr="00E048D8">
        <w:rPr>
          <w:rFonts w:ascii="Arial" w:hAnsi="Arial" w:cs="Arial"/>
          <w:sz w:val="20"/>
          <w:szCs w:val="20"/>
        </w:rPr>
        <w:t>Amid the Covid-19 crisis, child marriages seem to have risen</w:t>
      </w:r>
      <w:r w:rsidR="006C684B" w:rsidRPr="00E048D8">
        <w:rPr>
          <w:rFonts w:ascii="Arial" w:hAnsi="Arial" w:cs="Arial"/>
          <w:sz w:val="20"/>
          <w:szCs w:val="20"/>
        </w:rPr>
        <w:t xml:space="preserve"> in Turkey</w:t>
      </w:r>
      <w:r w:rsidR="00F715BA" w:rsidRPr="00E048D8">
        <w:rPr>
          <w:rFonts w:ascii="Arial" w:hAnsi="Arial" w:cs="Arial"/>
          <w:sz w:val="20"/>
          <w:szCs w:val="20"/>
        </w:rPr>
        <w:t xml:space="preserve"> </w:t>
      </w:r>
      <w:r w:rsidR="006C684B" w:rsidRPr="00E048D8">
        <w:rPr>
          <w:rFonts w:ascii="Arial" w:hAnsi="Arial" w:cs="Arial"/>
          <w:sz w:val="20"/>
          <w:szCs w:val="20"/>
        </w:rPr>
        <w:t>even further as</w:t>
      </w:r>
      <w:r w:rsidR="00F715BA" w:rsidRPr="00E048D8">
        <w:rPr>
          <w:rFonts w:ascii="Arial" w:hAnsi="Arial" w:cs="Arial"/>
          <w:sz w:val="20"/>
          <w:szCs w:val="20"/>
        </w:rPr>
        <w:t xml:space="preserve"> Syrian refugees were reported to be marrying underage daughters to Turkish men</w:t>
      </w:r>
      <w:r w:rsidR="006C684B" w:rsidRPr="00E048D8">
        <w:rPr>
          <w:rFonts w:ascii="Arial" w:hAnsi="Arial" w:cs="Arial"/>
          <w:sz w:val="20"/>
          <w:szCs w:val="20"/>
        </w:rPr>
        <w:t>.</w:t>
      </w:r>
      <w:r w:rsidR="006C684B" w:rsidRPr="00E048D8">
        <w:rPr>
          <w:rStyle w:val="FootnoteReference"/>
          <w:rFonts w:ascii="Arial" w:hAnsi="Arial" w:cs="Arial"/>
          <w:sz w:val="20"/>
          <w:szCs w:val="20"/>
        </w:rPr>
        <w:footnoteReference w:id="30"/>
      </w:r>
      <w:r w:rsidR="00A26432" w:rsidRPr="00E048D8">
        <w:rPr>
          <w:rFonts w:ascii="Arial" w:hAnsi="Arial" w:cs="Arial"/>
          <w:sz w:val="20"/>
          <w:szCs w:val="20"/>
        </w:rPr>
        <w:t xml:space="preserve"> </w:t>
      </w:r>
      <w:r w:rsidR="00116DB5" w:rsidRPr="00E048D8">
        <w:rPr>
          <w:rFonts w:ascii="Arial" w:hAnsi="Arial" w:cs="Arial"/>
          <w:sz w:val="20"/>
          <w:szCs w:val="20"/>
        </w:rPr>
        <w:t>The practice of Syrian families selling their daughters for marriage to Turkish men has become more widespread as it is an economic coping mechanism for Syrian families who have no other means of income or providing for children.</w:t>
      </w:r>
      <w:r w:rsidR="00116DB5" w:rsidRPr="00E048D8">
        <w:rPr>
          <w:rStyle w:val="FootnoteReference"/>
          <w:rFonts w:ascii="Arial" w:hAnsi="Arial" w:cs="Arial"/>
          <w:sz w:val="20"/>
          <w:szCs w:val="20"/>
        </w:rPr>
        <w:footnoteReference w:id="31"/>
      </w:r>
      <w:r w:rsidR="00FB66F5">
        <w:rPr>
          <w:rFonts w:ascii="Arial" w:hAnsi="Arial" w:cs="Arial"/>
          <w:sz w:val="20"/>
          <w:szCs w:val="20"/>
        </w:rPr>
        <w:t xml:space="preserve"> </w:t>
      </w:r>
      <w:r w:rsidR="00086536" w:rsidRPr="00E048D8">
        <w:rPr>
          <w:rFonts w:ascii="Arial" w:hAnsi="Arial" w:cs="Arial"/>
          <w:sz w:val="20"/>
          <w:szCs w:val="20"/>
        </w:rPr>
        <w:t xml:space="preserve">Turkish </w:t>
      </w:r>
      <w:r w:rsidR="00330D8F" w:rsidRPr="00E048D8">
        <w:rPr>
          <w:rFonts w:ascii="Arial" w:hAnsi="Arial" w:cs="Arial"/>
          <w:sz w:val="20"/>
          <w:szCs w:val="20"/>
        </w:rPr>
        <w:t xml:space="preserve">men </w:t>
      </w:r>
      <w:r w:rsidR="00086536" w:rsidRPr="00E048D8">
        <w:rPr>
          <w:rFonts w:ascii="Arial" w:hAnsi="Arial" w:cs="Arial"/>
          <w:sz w:val="20"/>
          <w:szCs w:val="20"/>
        </w:rPr>
        <w:t>justify both polygamy and child marriage with Syrian refugees as</w:t>
      </w:r>
      <w:r w:rsidR="00330D8F" w:rsidRPr="00E048D8">
        <w:rPr>
          <w:rFonts w:ascii="Arial" w:hAnsi="Arial" w:cs="Arial"/>
          <w:sz w:val="20"/>
          <w:szCs w:val="20"/>
        </w:rPr>
        <w:t xml:space="preserve"> </w:t>
      </w:r>
      <w:r w:rsidR="00086536" w:rsidRPr="00E048D8">
        <w:rPr>
          <w:rFonts w:ascii="Arial" w:hAnsi="Arial" w:cs="Arial"/>
          <w:sz w:val="20"/>
          <w:szCs w:val="20"/>
        </w:rPr>
        <w:t>just acts necessary in crisis times, citing Muslim religious and cultur</w:t>
      </w:r>
      <w:r w:rsidR="00D96021">
        <w:rPr>
          <w:rFonts w:ascii="Arial" w:hAnsi="Arial" w:cs="Arial"/>
          <w:sz w:val="20"/>
          <w:szCs w:val="20"/>
        </w:rPr>
        <w:t>al</w:t>
      </w:r>
      <w:r w:rsidR="00086536" w:rsidRPr="00E048D8">
        <w:rPr>
          <w:rFonts w:ascii="Arial" w:hAnsi="Arial" w:cs="Arial"/>
          <w:sz w:val="20"/>
          <w:szCs w:val="20"/>
        </w:rPr>
        <w:t xml:space="preserve"> stories and</w:t>
      </w:r>
      <w:r w:rsidR="00330D8F" w:rsidRPr="00E048D8">
        <w:rPr>
          <w:rFonts w:ascii="Arial" w:hAnsi="Arial" w:cs="Arial"/>
          <w:sz w:val="20"/>
          <w:szCs w:val="20"/>
        </w:rPr>
        <w:t xml:space="preserve"> </w:t>
      </w:r>
      <w:r w:rsidR="00086536" w:rsidRPr="00E048D8">
        <w:rPr>
          <w:rFonts w:ascii="Arial" w:hAnsi="Arial" w:cs="Arial"/>
          <w:sz w:val="20"/>
          <w:szCs w:val="20"/>
        </w:rPr>
        <w:t>norms.</w:t>
      </w:r>
      <w:r w:rsidR="00086536" w:rsidRPr="00E048D8">
        <w:rPr>
          <w:rStyle w:val="FootnoteReference"/>
          <w:rFonts w:ascii="Arial" w:hAnsi="Arial" w:cs="Arial"/>
          <w:sz w:val="20"/>
          <w:szCs w:val="20"/>
        </w:rPr>
        <w:footnoteReference w:id="32"/>
      </w:r>
    </w:p>
    <w:p w14:paraId="55B089F7" w14:textId="11E79392" w:rsidR="00FB66F5" w:rsidRDefault="00FB66F5" w:rsidP="004C4475">
      <w:pPr>
        <w:jc w:val="both"/>
        <w:rPr>
          <w:rFonts w:ascii="Arial" w:hAnsi="Arial" w:cs="Arial"/>
          <w:sz w:val="20"/>
          <w:szCs w:val="20"/>
        </w:rPr>
      </w:pPr>
    </w:p>
    <w:p w14:paraId="7C14F897" w14:textId="5233201D" w:rsidR="008944FD" w:rsidRDefault="00937009" w:rsidP="0098742A">
      <w:pPr>
        <w:jc w:val="both"/>
        <w:rPr>
          <w:rFonts w:ascii="Arial" w:hAnsi="Arial" w:cs="Arial"/>
          <w:sz w:val="20"/>
          <w:szCs w:val="20"/>
        </w:rPr>
      </w:pPr>
      <w:r>
        <w:rPr>
          <w:rFonts w:ascii="Arial" w:hAnsi="Arial" w:cs="Arial"/>
          <w:b/>
          <w:bCs/>
          <w:sz w:val="20"/>
          <w:szCs w:val="20"/>
        </w:rPr>
        <w:t xml:space="preserve">State Response and Public Opinion: </w:t>
      </w:r>
      <w:r w:rsidR="008944FD">
        <w:rPr>
          <w:rFonts w:ascii="Arial" w:hAnsi="Arial" w:cs="Arial"/>
          <w:sz w:val="20"/>
          <w:szCs w:val="20"/>
        </w:rPr>
        <w:t xml:space="preserve">Turkey’s response in the wake of such child marriages has been far from satisfactory. In 2020, the </w:t>
      </w:r>
      <w:r w:rsidR="008944FD" w:rsidRPr="008944FD">
        <w:rPr>
          <w:rFonts w:ascii="Arial" w:hAnsi="Arial" w:cs="Arial"/>
          <w:sz w:val="20"/>
          <w:szCs w:val="20"/>
        </w:rPr>
        <w:t>head of the state-run Turkey Human Rights and Equality Institution (TIHEK) defended underage marriages, and said that they should be differentiated from sexual assault.</w:t>
      </w:r>
      <w:r w:rsidR="008944FD">
        <w:rPr>
          <w:rStyle w:val="FootnoteReference"/>
          <w:rFonts w:ascii="Arial" w:hAnsi="Arial" w:cs="Arial"/>
          <w:sz w:val="20"/>
          <w:szCs w:val="20"/>
        </w:rPr>
        <w:footnoteReference w:id="33"/>
      </w:r>
      <w:r w:rsidR="008944FD" w:rsidRPr="008944FD">
        <w:rPr>
          <w:rFonts w:ascii="Arial" w:hAnsi="Arial" w:cs="Arial"/>
          <w:sz w:val="20"/>
          <w:szCs w:val="20"/>
        </w:rPr>
        <w:t xml:space="preserve"> </w:t>
      </w:r>
      <w:r w:rsidR="00D02E8F" w:rsidRPr="008944FD">
        <w:rPr>
          <w:rFonts w:ascii="Arial" w:hAnsi="Arial" w:cs="Arial"/>
          <w:sz w:val="20"/>
          <w:szCs w:val="20"/>
        </w:rPr>
        <w:t xml:space="preserve">Süleyman Arslan </w:t>
      </w:r>
      <w:r w:rsidR="008944FD">
        <w:rPr>
          <w:rFonts w:ascii="Arial" w:hAnsi="Arial" w:cs="Arial"/>
          <w:sz w:val="20"/>
          <w:szCs w:val="20"/>
        </w:rPr>
        <w:t xml:space="preserve">stated that </w:t>
      </w:r>
      <w:r w:rsidR="00AC04AC">
        <w:rPr>
          <w:rFonts w:ascii="Arial" w:hAnsi="Arial" w:cs="Arial"/>
          <w:sz w:val="20"/>
          <w:szCs w:val="20"/>
        </w:rPr>
        <w:t>‘</w:t>
      </w:r>
      <w:r w:rsidR="008944FD">
        <w:rPr>
          <w:rFonts w:ascii="Arial" w:hAnsi="Arial" w:cs="Arial"/>
          <w:sz w:val="20"/>
          <w:szCs w:val="20"/>
        </w:rPr>
        <w:t>p</w:t>
      </w:r>
      <w:r w:rsidR="008944FD" w:rsidRPr="008944FD">
        <w:rPr>
          <w:rFonts w:ascii="Arial" w:hAnsi="Arial" w:cs="Arial"/>
          <w:sz w:val="20"/>
          <w:szCs w:val="20"/>
        </w:rPr>
        <w:t>eople shouldn't be tried over shameful crimes just because they got married young</w:t>
      </w:r>
      <w:r w:rsidR="00AC04AC">
        <w:rPr>
          <w:rFonts w:ascii="Arial" w:hAnsi="Arial" w:cs="Arial"/>
          <w:sz w:val="20"/>
          <w:szCs w:val="20"/>
        </w:rPr>
        <w:t>’</w:t>
      </w:r>
      <w:r w:rsidR="00D02E8F">
        <w:rPr>
          <w:rFonts w:ascii="Arial" w:hAnsi="Arial" w:cs="Arial"/>
          <w:sz w:val="20"/>
          <w:szCs w:val="20"/>
        </w:rPr>
        <w:t>.</w:t>
      </w:r>
      <w:r w:rsidR="00D02E8F">
        <w:rPr>
          <w:rStyle w:val="FootnoteReference"/>
          <w:rFonts w:ascii="Arial" w:hAnsi="Arial" w:cs="Arial"/>
          <w:sz w:val="20"/>
          <w:szCs w:val="20"/>
        </w:rPr>
        <w:footnoteReference w:id="34"/>
      </w:r>
    </w:p>
    <w:p w14:paraId="5CED5BF6" w14:textId="77777777" w:rsidR="008944FD" w:rsidRDefault="008944FD" w:rsidP="0098742A">
      <w:pPr>
        <w:jc w:val="both"/>
        <w:rPr>
          <w:rFonts w:ascii="Arial" w:hAnsi="Arial" w:cs="Arial"/>
          <w:sz w:val="20"/>
          <w:szCs w:val="20"/>
        </w:rPr>
      </w:pPr>
    </w:p>
    <w:p w14:paraId="2BDA22E9" w14:textId="20B0182F" w:rsidR="009340CF" w:rsidRDefault="00F26604" w:rsidP="0098742A">
      <w:pPr>
        <w:jc w:val="both"/>
        <w:rPr>
          <w:rFonts w:ascii="Arial" w:hAnsi="Arial" w:cs="Arial"/>
          <w:sz w:val="20"/>
          <w:szCs w:val="20"/>
        </w:rPr>
      </w:pPr>
      <w:r w:rsidRPr="00E048D8">
        <w:rPr>
          <w:rFonts w:ascii="Arial" w:hAnsi="Arial" w:cs="Arial"/>
          <w:sz w:val="20"/>
          <w:szCs w:val="20"/>
        </w:rPr>
        <w:t>Interestingly, t</w:t>
      </w:r>
      <w:r w:rsidR="00E20110" w:rsidRPr="00E048D8">
        <w:rPr>
          <w:rFonts w:ascii="Arial" w:hAnsi="Arial" w:cs="Arial"/>
          <w:sz w:val="20"/>
          <w:szCs w:val="20"/>
        </w:rPr>
        <w:t>here exists divergence in Turkey between the official discourse and public opinion on issues of women and family-making. Havle Women’s Association’s (</w:t>
      </w:r>
      <w:r w:rsidR="00AC04AC">
        <w:rPr>
          <w:rFonts w:ascii="Arial" w:hAnsi="Arial" w:cs="Arial"/>
          <w:sz w:val="20"/>
          <w:szCs w:val="20"/>
        </w:rPr>
        <w:t>‘</w:t>
      </w:r>
      <w:r w:rsidR="00E20110" w:rsidRPr="00E048D8">
        <w:rPr>
          <w:rFonts w:ascii="Arial" w:hAnsi="Arial" w:cs="Arial"/>
          <w:sz w:val="20"/>
          <w:szCs w:val="20"/>
        </w:rPr>
        <w:t>HWA</w:t>
      </w:r>
      <w:r w:rsidR="00AC04AC">
        <w:rPr>
          <w:rFonts w:ascii="Arial" w:hAnsi="Arial" w:cs="Arial"/>
          <w:sz w:val="20"/>
          <w:szCs w:val="20"/>
        </w:rPr>
        <w:t>’</w:t>
      </w:r>
      <w:r w:rsidR="00E20110" w:rsidRPr="00E048D8">
        <w:rPr>
          <w:rFonts w:ascii="Arial" w:hAnsi="Arial" w:cs="Arial"/>
          <w:sz w:val="20"/>
          <w:szCs w:val="20"/>
        </w:rPr>
        <w:t xml:space="preserve">) research on </w:t>
      </w:r>
      <w:r w:rsidR="00AC04AC">
        <w:rPr>
          <w:rFonts w:ascii="Arial" w:hAnsi="Arial" w:cs="Arial"/>
          <w:sz w:val="20"/>
          <w:szCs w:val="20"/>
        </w:rPr>
        <w:t>e</w:t>
      </w:r>
      <w:r w:rsidR="00E20110" w:rsidRPr="00E048D8">
        <w:rPr>
          <w:rFonts w:ascii="Arial" w:hAnsi="Arial" w:cs="Arial"/>
          <w:sz w:val="20"/>
          <w:szCs w:val="20"/>
        </w:rPr>
        <w:t xml:space="preserve">arly </w:t>
      </w:r>
      <w:r w:rsidR="00AC04AC">
        <w:rPr>
          <w:rFonts w:ascii="Arial" w:hAnsi="Arial" w:cs="Arial"/>
          <w:sz w:val="20"/>
          <w:szCs w:val="20"/>
        </w:rPr>
        <w:lastRenderedPageBreak/>
        <w:t>m</w:t>
      </w:r>
      <w:r w:rsidR="00E20110" w:rsidRPr="00E048D8">
        <w:rPr>
          <w:rFonts w:ascii="Arial" w:hAnsi="Arial" w:cs="Arial"/>
          <w:sz w:val="20"/>
          <w:szCs w:val="20"/>
        </w:rPr>
        <w:t>arriages conducted in 2019,</w:t>
      </w:r>
      <w:r w:rsidR="0018765E">
        <w:rPr>
          <w:rStyle w:val="FootnoteReference"/>
          <w:rFonts w:ascii="Arial" w:hAnsi="Arial" w:cs="Arial"/>
          <w:sz w:val="20"/>
          <w:szCs w:val="20"/>
        </w:rPr>
        <w:footnoteReference w:id="35"/>
      </w:r>
      <w:r w:rsidR="00E20110" w:rsidRPr="00E048D8">
        <w:rPr>
          <w:rFonts w:ascii="Arial" w:hAnsi="Arial" w:cs="Arial"/>
          <w:sz w:val="20"/>
          <w:szCs w:val="20"/>
        </w:rPr>
        <w:t xml:space="preserve"> based on detailed interviews and surveys, found that </w:t>
      </w:r>
      <w:r w:rsidR="00C308E1">
        <w:rPr>
          <w:rFonts w:ascii="Arial" w:hAnsi="Arial" w:cs="Arial"/>
          <w:sz w:val="20"/>
          <w:szCs w:val="20"/>
        </w:rPr>
        <w:t xml:space="preserve">Turkish residents </w:t>
      </w:r>
      <w:r w:rsidR="00E20110" w:rsidRPr="00E048D8">
        <w:rPr>
          <w:rFonts w:ascii="Arial" w:hAnsi="Arial" w:cs="Arial"/>
          <w:sz w:val="20"/>
          <w:szCs w:val="20"/>
        </w:rPr>
        <w:t xml:space="preserve">are opposed to marriages under the age of </w:t>
      </w:r>
      <w:r w:rsidR="00AD27E7">
        <w:rPr>
          <w:rFonts w:ascii="Arial" w:hAnsi="Arial" w:cs="Arial"/>
          <w:sz w:val="20"/>
          <w:szCs w:val="20"/>
        </w:rPr>
        <w:t>18</w:t>
      </w:r>
      <w:r w:rsidR="00C308E1" w:rsidRPr="00E048D8">
        <w:rPr>
          <w:rFonts w:ascii="Arial" w:hAnsi="Arial" w:cs="Arial"/>
          <w:sz w:val="20"/>
          <w:szCs w:val="20"/>
        </w:rPr>
        <w:t xml:space="preserve"> </w:t>
      </w:r>
      <w:r w:rsidR="00E20110" w:rsidRPr="00E048D8">
        <w:rPr>
          <w:rFonts w:ascii="Arial" w:hAnsi="Arial" w:cs="Arial"/>
          <w:sz w:val="20"/>
          <w:szCs w:val="20"/>
        </w:rPr>
        <w:t xml:space="preserve">to a significant degree. </w:t>
      </w:r>
      <w:r w:rsidR="005A342E">
        <w:rPr>
          <w:rFonts w:ascii="Arial" w:hAnsi="Arial" w:cs="Arial"/>
          <w:sz w:val="20"/>
          <w:szCs w:val="20"/>
        </w:rPr>
        <w:t xml:space="preserve">About </w:t>
      </w:r>
      <w:r w:rsidR="00E20110" w:rsidRPr="00E048D8">
        <w:rPr>
          <w:rFonts w:ascii="Arial" w:hAnsi="Arial" w:cs="Arial"/>
          <w:sz w:val="20"/>
          <w:szCs w:val="20"/>
        </w:rPr>
        <w:t>91.8% of the participants</w:t>
      </w:r>
      <w:r w:rsidR="00C308E1">
        <w:rPr>
          <w:rFonts w:ascii="Arial" w:hAnsi="Arial" w:cs="Arial"/>
          <w:sz w:val="20"/>
          <w:szCs w:val="20"/>
        </w:rPr>
        <w:t xml:space="preserve"> answered in the negative</w:t>
      </w:r>
      <w:r w:rsidR="005A342E">
        <w:rPr>
          <w:rFonts w:ascii="Arial" w:hAnsi="Arial" w:cs="Arial"/>
          <w:sz w:val="20"/>
          <w:szCs w:val="20"/>
        </w:rPr>
        <w:t xml:space="preserve"> when asked if they would consider marrying their daughters off before the age of </w:t>
      </w:r>
      <w:r w:rsidR="00AD27E7">
        <w:rPr>
          <w:rFonts w:ascii="Arial" w:hAnsi="Arial" w:cs="Arial"/>
          <w:sz w:val="20"/>
          <w:szCs w:val="20"/>
        </w:rPr>
        <w:t>18</w:t>
      </w:r>
      <w:r w:rsidR="00E20110" w:rsidRPr="00E048D8">
        <w:rPr>
          <w:rFonts w:ascii="Arial" w:hAnsi="Arial" w:cs="Arial"/>
          <w:sz w:val="20"/>
          <w:szCs w:val="20"/>
        </w:rPr>
        <w:t xml:space="preserve">. </w:t>
      </w:r>
      <w:r w:rsidR="00361BEF">
        <w:rPr>
          <w:rFonts w:ascii="Arial" w:hAnsi="Arial" w:cs="Arial"/>
          <w:sz w:val="20"/>
          <w:szCs w:val="20"/>
        </w:rPr>
        <w:t>W</w:t>
      </w:r>
      <w:r w:rsidR="00E20110" w:rsidRPr="00E048D8">
        <w:rPr>
          <w:rFonts w:ascii="Arial" w:hAnsi="Arial" w:cs="Arial"/>
          <w:sz w:val="20"/>
          <w:szCs w:val="20"/>
        </w:rPr>
        <w:t xml:space="preserve">omen who were married at an early age </w:t>
      </w:r>
      <w:r w:rsidR="00596FBB" w:rsidRPr="00E048D8">
        <w:rPr>
          <w:rFonts w:ascii="Arial" w:hAnsi="Arial" w:cs="Arial"/>
          <w:sz w:val="20"/>
          <w:szCs w:val="20"/>
        </w:rPr>
        <w:t>did</w:t>
      </w:r>
      <w:r w:rsidR="00E20110" w:rsidRPr="00E048D8">
        <w:rPr>
          <w:rFonts w:ascii="Arial" w:hAnsi="Arial" w:cs="Arial"/>
          <w:sz w:val="20"/>
          <w:szCs w:val="20"/>
        </w:rPr>
        <w:t xml:space="preserve"> not</w:t>
      </w:r>
      <w:r w:rsidR="00361BEF">
        <w:rPr>
          <w:rFonts w:ascii="Arial" w:hAnsi="Arial" w:cs="Arial"/>
          <w:sz w:val="20"/>
          <w:szCs w:val="20"/>
        </w:rPr>
        <w:t xml:space="preserve"> often</w:t>
      </w:r>
      <w:r w:rsidR="00E20110" w:rsidRPr="00E048D8">
        <w:rPr>
          <w:rFonts w:ascii="Arial" w:hAnsi="Arial" w:cs="Arial"/>
          <w:sz w:val="20"/>
          <w:szCs w:val="20"/>
        </w:rPr>
        <w:t xml:space="preserve"> refer to religion as their or their parents’ motivation for early marriage</w:t>
      </w:r>
      <w:r w:rsidR="00596FBB" w:rsidRPr="00E048D8">
        <w:rPr>
          <w:rFonts w:ascii="Arial" w:hAnsi="Arial" w:cs="Arial"/>
          <w:sz w:val="20"/>
          <w:szCs w:val="20"/>
        </w:rPr>
        <w:t>s</w:t>
      </w:r>
      <w:r w:rsidR="00E20110" w:rsidRPr="00E048D8">
        <w:rPr>
          <w:rFonts w:ascii="Arial" w:hAnsi="Arial" w:cs="Arial"/>
          <w:sz w:val="20"/>
          <w:szCs w:val="20"/>
        </w:rPr>
        <w:t xml:space="preserve">. Even if they </w:t>
      </w:r>
      <w:r w:rsidR="00596FBB" w:rsidRPr="00E048D8">
        <w:rPr>
          <w:rFonts w:ascii="Arial" w:hAnsi="Arial" w:cs="Arial"/>
          <w:sz w:val="20"/>
          <w:szCs w:val="20"/>
        </w:rPr>
        <w:t>believed</w:t>
      </w:r>
      <w:r w:rsidR="00E20110" w:rsidRPr="00E048D8">
        <w:rPr>
          <w:rFonts w:ascii="Arial" w:hAnsi="Arial" w:cs="Arial"/>
          <w:sz w:val="20"/>
          <w:szCs w:val="20"/>
        </w:rPr>
        <w:t xml:space="preserve"> that </w:t>
      </w:r>
      <w:r w:rsidR="00596FBB" w:rsidRPr="00E048D8">
        <w:rPr>
          <w:rFonts w:ascii="Arial" w:hAnsi="Arial" w:cs="Arial"/>
          <w:sz w:val="20"/>
          <w:szCs w:val="20"/>
        </w:rPr>
        <w:t>one may find room for the possibility of child marriages based on a religious framework</w:t>
      </w:r>
      <w:r w:rsidR="00E20110" w:rsidRPr="00E048D8">
        <w:rPr>
          <w:rFonts w:ascii="Arial" w:hAnsi="Arial" w:cs="Arial"/>
          <w:sz w:val="20"/>
          <w:szCs w:val="20"/>
        </w:rPr>
        <w:t xml:space="preserve">, the participants </w:t>
      </w:r>
      <w:r w:rsidR="00596FBB" w:rsidRPr="00E048D8">
        <w:rPr>
          <w:rFonts w:ascii="Arial" w:hAnsi="Arial" w:cs="Arial"/>
          <w:sz w:val="20"/>
          <w:szCs w:val="20"/>
        </w:rPr>
        <w:t>did</w:t>
      </w:r>
      <w:r w:rsidR="00E20110" w:rsidRPr="00E048D8">
        <w:rPr>
          <w:rFonts w:ascii="Arial" w:hAnsi="Arial" w:cs="Arial"/>
          <w:sz w:val="20"/>
          <w:szCs w:val="20"/>
        </w:rPr>
        <w:t xml:space="preserve"> not want it for themselves or for their own children. </w:t>
      </w:r>
    </w:p>
    <w:p w14:paraId="15B92B05" w14:textId="77777777" w:rsidR="009340CF" w:rsidRDefault="009340CF" w:rsidP="0098742A">
      <w:pPr>
        <w:jc w:val="both"/>
        <w:rPr>
          <w:rFonts w:ascii="Arial" w:hAnsi="Arial" w:cs="Arial"/>
          <w:sz w:val="20"/>
          <w:szCs w:val="20"/>
        </w:rPr>
      </w:pPr>
    </w:p>
    <w:p w14:paraId="5E60F3E4" w14:textId="10ADD4E1" w:rsidR="00ED7797" w:rsidRPr="00E048D8" w:rsidRDefault="00596FBB" w:rsidP="0098742A">
      <w:pPr>
        <w:jc w:val="both"/>
        <w:rPr>
          <w:rFonts w:ascii="Arial" w:hAnsi="Arial" w:cs="Arial"/>
          <w:sz w:val="20"/>
          <w:szCs w:val="20"/>
        </w:rPr>
      </w:pPr>
      <w:r w:rsidRPr="00E048D8">
        <w:rPr>
          <w:rFonts w:ascii="Arial" w:hAnsi="Arial" w:cs="Arial"/>
          <w:sz w:val="20"/>
          <w:szCs w:val="20"/>
        </w:rPr>
        <w:t>Hence</w:t>
      </w:r>
      <w:r w:rsidR="00E20110" w:rsidRPr="00E048D8">
        <w:rPr>
          <w:rFonts w:ascii="Arial" w:hAnsi="Arial" w:cs="Arial"/>
          <w:sz w:val="20"/>
          <w:szCs w:val="20"/>
        </w:rPr>
        <w:t>, given the</w:t>
      </w:r>
      <w:r w:rsidR="00E35824">
        <w:rPr>
          <w:rFonts w:ascii="Arial" w:hAnsi="Arial" w:cs="Arial"/>
          <w:sz w:val="20"/>
          <w:szCs w:val="20"/>
        </w:rPr>
        <w:t xml:space="preserve"> potential</w:t>
      </w:r>
      <w:r w:rsidR="00E20110" w:rsidRPr="00E048D8">
        <w:rPr>
          <w:rFonts w:ascii="Arial" w:hAnsi="Arial" w:cs="Arial"/>
          <w:sz w:val="20"/>
          <w:szCs w:val="20"/>
        </w:rPr>
        <w:t xml:space="preserve"> effect of religious belief and belonging in shaping people's decisions in their daily lives, we anticipate that </w:t>
      </w:r>
      <w:r w:rsidR="00AC04AC">
        <w:rPr>
          <w:rFonts w:ascii="Arial" w:hAnsi="Arial" w:cs="Arial"/>
          <w:sz w:val="20"/>
          <w:szCs w:val="20"/>
        </w:rPr>
        <w:t xml:space="preserve">knowledge about and support from </w:t>
      </w:r>
      <w:r w:rsidR="00E20110" w:rsidRPr="00E048D8">
        <w:rPr>
          <w:rFonts w:ascii="Arial" w:hAnsi="Arial" w:cs="Arial"/>
          <w:sz w:val="20"/>
          <w:szCs w:val="20"/>
        </w:rPr>
        <w:t xml:space="preserve">religious tradition </w:t>
      </w:r>
      <w:r w:rsidR="00AC04AC">
        <w:rPr>
          <w:rFonts w:ascii="Arial" w:hAnsi="Arial" w:cs="Arial"/>
          <w:sz w:val="20"/>
          <w:szCs w:val="20"/>
        </w:rPr>
        <w:t>against child marriage alongside</w:t>
      </w:r>
      <w:r w:rsidR="00E20110" w:rsidRPr="00E048D8">
        <w:rPr>
          <w:rFonts w:ascii="Arial" w:hAnsi="Arial" w:cs="Arial"/>
          <w:sz w:val="20"/>
          <w:szCs w:val="20"/>
        </w:rPr>
        <w:t xml:space="preserve"> a state policy could support people’s already existing stance against </w:t>
      </w:r>
      <w:r w:rsidRPr="00E048D8">
        <w:rPr>
          <w:rFonts w:ascii="Arial" w:hAnsi="Arial" w:cs="Arial"/>
          <w:sz w:val="20"/>
          <w:szCs w:val="20"/>
        </w:rPr>
        <w:t>child</w:t>
      </w:r>
      <w:r w:rsidR="00E20110" w:rsidRPr="00E048D8">
        <w:rPr>
          <w:rFonts w:ascii="Arial" w:hAnsi="Arial" w:cs="Arial"/>
          <w:sz w:val="20"/>
          <w:szCs w:val="20"/>
        </w:rPr>
        <w:t xml:space="preserve"> marriage.</w:t>
      </w:r>
    </w:p>
    <w:p w14:paraId="6FBA97E7" w14:textId="28B3996B" w:rsidR="00ED7797" w:rsidRPr="00E048D8" w:rsidRDefault="00ED7797" w:rsidP="0098742A">
      <w:pPr>
        <w:rPr>
          <w:rFonts w:ascii="Arial" w:hAnsi="Arial" w:cs="Arial"/>
          <w:sz w:val="20"/>
          <w:szCs w:val="20"/>
        </w:rPr>
      </w:pPr>
    </w:p>
    <w:p w14:paraId="0D116668" w14:textId="37ED4705" w:rsidR="001D2EF1" w:rsidRDefault="001D2EF1" w:rsidP="0098742A">
      <w:pPr>
        <w:rPr>
          <w:rFonts w:ascii="Arial" w:hAnsi="Arial" w:cs="Arial"/>
          <w:sz w:val="20"/>
          <w:szCs w:val="20"/>
        </w:rPr>
      </w:pPr>
    </w:p>
    <w:p w14:paraId="3489CFFE" w14:textId="04FB9CA8" w:rsidR="00A349A5" w:rsidRPr="0017404F" w:rsidRDefault="00D6790F" w:rsidP="00A349A5">
      <w:pPr>
        <w:autoSpaceDE w:val="0"/>
        <w:autoSpaceDN w:val="0"/>
        <w:adjustRightInd w:val="0"/>
        <w:rPr>
          <w:rFonts w:ascii="Arial" w:hAnsi="Arial" w:cs="Arial"/>
          <w:b/>
          <w:bCs/>
          <w:sz w:val="20"/>
          <w:szCs w:val="20"/>
          <w:u w:val="single"/>
        </w:rPr>
      </w:pPr>
      <w:r w:rsidRPr="0017404F">
        <w:rPr>
          <w:rFonts w:ascii="Arial" w:hAnsi="Arial" w:cs="Arial"/>
          <w:b/>
          <w:bCs/>
          <w:sz w:val="20"/>
          <w:szCs w:val="20"/>
          <w:u w:val="single"/>
        </w:rPr>
        <w:t>Positive Developments in Family Law:</w:t>
      </w:r>
    </w:p>
    <w:p w14:paraId="742E052A" w14:textId="77777777" w:rsidR="00E00D49" w:rsidRPr="003526CD" w:rsidRDefault="00E00D49" w:rsidP="00A349A5">
      <w:pPr>
        <w:autoSpaceDE w:val="0"/>
        <w:autoSpaceDN w:val="0"/>
        <w:adjustRightInd w:val="0"/>
        <w:rPr>
          <w:b/>
          <w:bCs/>
          <w:color w:val="000000"/>
          <w:sz w:val="20"/>
          <w:szCs w:val="20"/>
          <w:u w:val="single"/>
          <w:lang w:val="en-GB"/>
        </w:rPr>
      </w:pPr>
    </w:p>
    <w:p w14:paraId="25FD0969" w14:textId="77777777" w:rsidR="00A349A5" w:rsidRDefault="00A349A5" w:rsidP="00A349A5">
      <w:pPr>
        <w:autoSpaceDE w:val="0"/>
        <w:autoSpaceDN w:val="0"/>
        <w:adjustRightInd w:val="0"/>
        <w:rPr>
          <w:b/>
          <w:bCs/>
          <w:color w:val="000000"/>
          <w:sz w:val="20"/>
          <w:szCs w:val="20"/>
          <w:lang w:val="en-GB"/>
        </w:rPr>
      </w:pPr>
    </w:p>
    <w:p w14:paraId="775EB537" w14:textId="77777777" w:rsidR="00A349A5" w:rsidRDefault="00A349A5" w:rsidP="00A349A5">
      <w:pPr>
        <w:autoSpaceDE w:val="0"/>
        <w:autoSpaceDN w:val="0"/>
        <w:adjustRightInd w:val="0"/>
        <w:rPr>
          <w:b/>
          <w:bCs/>
          <w:color w:val="000000"/>
          <w:sz w:val="20"/>
          <w:szCs w:val="20"/>
          <w:lang w:val="en-GB"/>
        </w:rPr>
      </w:pPr>
      <w:r>
        <w:rPr>
          <w:rFonts w:ascii="Arial" w:eastAsia="Arial" w:hAnsi="Arial" w:cs="Arial"/>
          <w:noProof/>
          <w:sz w:val="20"/>
          <w:szCs w:val="20"/>
        </w:rPr>
        <w:drawing>
          <wp:inline distT="0" distB="0" distL="0" distR="0" wp14:anchorId="075B0867" wp14:editId="4A5E0FFD">
            <wp:extent cx="5657850" cy="2198370"/>
            <wp:effectExtent l="0" t="0" r="635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657850" cy="2198370"/>
                    </a:xfrm>
                    <a:prstGeom prst="rect">
                      <a:avLst/>
                    </a:prstGeom>
                    <a:ln/>
                  </pic:spPr>
                </pic:pic>
              </a:graphicData>
            </a:graphic>
          </wp:inline>
        </w:drawing>
      </w:r>
    </w:p>
    <w:p w14:paraId="24CA4B55" w14:textId="39D66248" w:rsidR="00A349A5" w:rsidRDefault="00A349A5" w:rsidP="0098742A">
      <w:pPr>
        <w:rPr>
          <w:rFonts w:ascii="Arial" w:hAnsi="Arial" w:cs="Arial"/>
          <w:sz w:val="20"/>
          <w:szCs w:val="20"/>
        </w:rPr>
      </w:pPr>
    </w:p>
    <w:p w14:paraId="708543E9" w14:textId="77777777" w:rsidR="00A349A5" w:rsidRPr="00E048D8" w:rsidRDefault="00A349A5" w:rsidP="0098742A">
      <w:pPr>
        <w:rPr>
          <w:rFonts w:ascii="Arial" w:hAnsi="Arial" w:cs="Arial"/>
          <w:sz w:val="20"/>
          <w:szCs w:val="20"/>
        </w:rPr>
      </w:pPr>
    </w:p>
    <w:p w14:paraId="5B2D5C07" w14:textId="77777777" w:rsidR="001D2EF1" w:rsidRPr="00E048D8" w:rsidRDefault="001D2EF1" w:rsidP="0098742A">
      <w:pPr>
        <w:rPr>
          <w:rFonts w:ascii="Arial" w:hAnsi="Arial" w:cs="Arial"/>
          <w:sz w:val="20"/>
          <w:szCs w:val="20"/>
        </w:rPr>
      </w:pPr>
    </w:p>
    <w:p w14:paraId="341E3E85" w14:textId="23CB47AF" w:rsidR="00840E34" w:rsidRDefault="00ED7797" w:rsidP="0017404F">
      <w:pPr>
        <w:rPr>
          <w:b/>
          <w:bCs/>
          <w:color w:val="000000"/>
          <w:sz w:val="20"/>
          <w:szCs w:val="20"/>
          <w:lang w:val="en-GB"/>
        </w:rPr>
      </w:pPr>
      <w:r>
        <w:rPr>
          <w:noProof/>
          <w:color w:val="000000"/>
        </w:rPr>
        <mc:AlternateContent>
          <mc:Choice Requires="wps">
            <w:drawing>
              <wp:inline distT="0" distB="0" distL="0" distR="0" wp14:anchorId="1226EFE5" wp14:editId="19C52DDB">
                <wp:extent cx="5706533" cy="3031067"/>
                <wp:effectExtent l="0" t="0" r="0" b="4445"/>
                <wp:docPr id="1" name="Rectangle 1"/>
                <wp:cNvGraphicFramePr/>
                <a:graphic xmlns:a="http://schemas.openxmlformats.org/drawingml/2006/main">
                  <a:graphicData uri="http://schemas.microsoft.com/office/word/2010/wordprocessingShape">
                    <wps:wsp>
                      <wps:cNvSpPr/>
                      <wps:spPr>
                        <a:xfrm>
                          <a:off x="0" y="0"/>
                          <a:ext cx="5706533" cy="3031067"/>
                        </a:xfrm>
                        <a:prstGeom prst="rect">
                          <a:avLst/>
                        </a:prstGeom>
                        <a:solidFill>
                          <a:srgbClr val="CACACA"/>
                        </a:solidFill>
                        <a:ln>
                          <a:noFill/>
                        </a:ln>
                      </wps:spPr>
                      <wps:txbx>
                        <w:txbxContent>
                          <w:p w14:paraId="4B389F38" w14:textId="77777777" w:rsidR="00ED7797" w:rsidRPr="0017404F" w:rsidRDefault="00ED7797" w:rsidP="003056A0">
                            <w:pPr>
                              <w:jc w:val="both"/>
                              <w:textDirection w:val="btLr"/>
                              <w:rPr>
                                <w:u w:val="single"/>
                              </w:rPr>
                            </w:pPr>
                            <w:r w:rsidRPr="0017404F">
                              <w:rPr>
                                <w:rFonts w:ascii="Arial" w:eastAsia="Arial" w:hAnsi="Arial" w:cs="Arial"/>
                                <w:b/>
                                <w:color w:val="000000"/>
                                <w:sz w:val="22"/>
                                <w:u w:val="single"/>
                              </w:rPr>
                              <w:t xml:space="preserve">RECOMMENDATIONS </w:t>
                            </w:r>
                          </w:p>
                          <w:p w14:paraId="5640F8F1" w14:textId="77777777" w:rsidR="00ED7797" w:rsidRDefault="00ED7797" w:rsidP="003056A0">
                            <w:pPr>
                              <w:jc w:val="both"/>
                              <w:textDirection w:val="btLr"/>
                            </w:pPr>
                          </w:p>
                          <w:p w14:paraId="247404F3" w14:textId="696ABCD9" w:rsidR="003056A0" w:rsidRDefault="00ED7797" w:rsidP="003056A0">
                            <w:pPr>
                              <w:jc w:val="both"/>
                              <w:textDirection w:val="btLr"/>
                              <w:rPr>
                                <w:rFonts w:ascii="Arial" w:eastAsia="Arial" w:hAnsi="Arial" w:cs="Arial"/>
                                <w:b/>
                                <w:color w:val="000000"/>
                                <w:sz w:val="20"/>
                              </w:rPr>
                            </w:pPr>
                            <w:r>
                              <w:rPr>
                                <w:rFonts w:ascii="Arial" w:eastAsia="Arial" w:hAnsi="Arial" w:cs="Arial"/>
                                <w:b/>
                                <w:color w:val="000000"/>
                                <w:sz w:val="20"/>
                              </w:rPr>
                              <w:t xml:space="preserve">We recommend the CEDAW </w:t>
                            </w:r>
                            <w:r w:rsidR="00AC04AC">
                              <w:rPr>
                                <w:rFonts w:ascii="Arial" w:eastAsia="Arial" w:hAnsi="Arial" w:cs="Arial"/>
                                <w:b/>
                                <w:color w:val="000000"/>
                                <w:sz w:val="20"/>
                              </w:rPr>
                              <w:t>C</w:t>
                            </w:r>
                            <w:r>
                              <w:rPr>
                                <w:rFonts w:ascii="Arial" w:eastAsia="Arial" w:hAnsi="Arial" w:cs="Arial"/>
                                <w:b/>
                                <w:color w:val="000000"/>
                                <w:sz w:val="20"/>
                              </w:rPr>
                              <w:t>ommittee to urge the State party to:</w:t>
                            </w:r>
                          </w:p>
                          <w:p w14:paraId="159B07FA" w14:textId="4F84606D" w:rsidR="00ED7797" w:rsidRDefault="00ED7797" w:rsidP="003056A0">
                            <w:pPr>
                              <w:jc w:val="both"/>
                              <w:textDirection w:val="btLr"/>
                            </w:pPr>
                            <w:r>
                              <w:rPr>
                                <w:rFonts w:ascii="Arial" w:eastAsia="Arial" w:hAnsi="Arial" w:cs="Arial"/>
                                <w:b/>
                                <w:color w:val="000000"/>
                                <w:sz w:val="20"/>
                              </w:rPr>
                              <w:t xml:space="preserve"> </w:t>
                            </w:r>
                          </w:p>
                          <w:p w14:paraId="293A8EB1" w14:textId="18F03DB7" w:rsidR="000D1BF2" w:rsidRPr="0017404F" w:rsidRDefault="00ED7797" w:rsidP="0017404F">
                            <w:pPr>
                              <w:pStyle w:val="ListParagraph"/>
                              <w:numPr>
                                <w:ilvl w:val="0"/>
                                <w:numId w:val="15"/>
                              </w:numPr>
                              <w:ind w:left="360"/>
                              <w:jc w:val="both"/>
                              <w:textDirection w:val="btLr"/>
                              <w:rPr>
                                <w:rFonts w:ascii="Arial" w:eastAsia="Arial" w:hAnsi="Arial" w:cs="Arial"/>
                                <w:color w:val="000000"/>
                                <w:sz w:val="20"/>
                              </w:rPr>
                            </w:pPr>
                            <w:r w:rsidRPr="0017404F">
                              <w:rPr>
                                <w:rFonts w:ascii="Arial" w:eastAsia="Arial" w:hAnsi="Arial" w:cs="Arial"/>
                                <w:color w:val="000000"/>
                                <w:sz w:val="20"/>
                              </w:rPr>
                              <w:t xml:space="preserve">Ensure that </w:t>
                            </w:r>
                            <w:r w:rsidR="00D70039">
                              <w:rPr>
                                <w:rFonts w:ascii="Arial" w:eastAsia="Arial" w:hAnsi="Arial" w:cs="Arial"/>
                                <w:color w:val="000000"/>
                                <w:sz w:val="20"/>
                              </w:rPr>
                              <w:t xml:space="preserve">the </w:t>
                            </w:r>
                            <w:r w:rsidRPr="0017404F">
                              <w:rPr>
                                <w:rFonts w:ascii="Arial" w:eastAsia="Arial" w:hAnsi="Arial" w:cs="Arial"/>
                                <w:color w:val="000000"/>
                                <w:sz w:val="20"/>
                              </w:rPr>
                              <w:t xml:space="preserve">government enacts legislation to raise the minimum age to </w:t>
                            </w:r>
                            <w:r w:rsidR="00AD27E7">
                              <w:rPr>
                                <w:rFonts w:ascii="Arial" w:eastAsia="Arial" w:hAnsi="Arial" w:cs="Arial"/>
                                <w:color w:val="000000"/>
                                <w:sz w:val="20"/>
                              </w:rPr>
                              <w:t>18</w:t>
                            </w:r>
                            <w:r w:rsidR="00635848" w:rsidRPr="0017404F">
                              <w:rPr>
                                <w:rFonts w:ascii="Arial" w:eastAsia="Arial" w:hAnsi="Arial" w:cs="Arial"/>
                                <w:color w:val="000000"/>
                                <w:sz w:val="20"/>
                              </w:rPr>
                              <w:t xml:space="preserve"> </w:t>
                            </w:r>
                            <w:r w:rsidRPr="0017404F">
                              <w:rPr>
                                <w:rFonts w:ascii="Arial" w:eastAsia="Arial" w:hAnsi="Arial" w:cs="Arial"/>
                                <w:color w:val="000000"/>
                                <w:sz w:val="20"/>
                              </w:rPr>
                              <w:t>without any exceptions of parental consent or judicial permission.</w:t>
                            </w:r>
                          </w:p>
                          <w:p w14:paraId="5B1F43E1" w14:textId="77777777" w:rsidR="000D1BF2" w:rsidRDefault="000D1BF2" w:rsidP="0017404F">
                            <w:pPr>
                              <w:ind w:firstLine="207"/>
                              <w:jc w:val="both"/>
                              <w:textDirection w:val="btLr"/>
                              <w:rPr>
                                <w:rFonts w:ascii="Arial" w:eastAsia="Arial" w:hAnsi="Arial" w:cs="Arial"/>
                                <w:color w:val="000000"/>
                                <w:sz w:val="20"/>
                              </w:rPr>
                            </w:pPr>
                          </w:p>
                          <w:p w14:paraId="083E0A44" w14:textId="3A92294A" w:rsidR="000D1BF2" w:rsidRPr="0017404F" w:rsidRDefault="000D1BF2" w:rsidP="0017404F">
                            <w:pPr>
                              <w:pStyle w:val="ListParagraph"/>
                              <w:numPr>
                                <w:ilvl w:val="0"/>
                                <w:numId w:val="15"/>
                              </w:numPr>
                              <w:ind w:left="360"/>
                              <w:jc w:val="both"/>
                              <w:textDirection w:val="btLr"/>
                              <w:rPr>
                                <w:rFonts w:ascii="Arial" w:eastAsia="Arial" w:hAnsi="Arial" w:cs="Arial"/>
                                <w:color w:val="000000"/>
                                <w:sz w:val="20"/>
                              </w:rPr>
                            </w:pPr>
                            <w:r w:rsidRPr="0017404F">
                              <w:rPr>
                                <w:rFonts w:ascii="Arial" w:eastAsia="Arial" w:hAnsi="Arial" w:cs="Arial"/>
                                <w:color w:val="000000"/>
                                <w:sz w:val="20"/>
                              </w:rPr>
                              <w:t xml:space="preserve">Take active steps to prevent the resurfacing of similar </w:t>
                            </w:r>
                            <w:r w:rsidR="00AC04AC" w:rsidRPr="0017404F">
                              <w:rPr>
                                <w:rFonts w:ascii="Arial" w:eastAsia="Arial" w:hAnsi="Arial" w:cs="Arial"/>
                                <w:color w:val="000000"/>
                                <w:sz w:val="20"/>
                              </w:rPr>
                              <w:t>‘</w:t>
                            </w:r>
                            <w:r w:rsidRPr="0017404F">
                              <w:rPr>
                                <w:rFonts w:ascii="Arial" w:eastAsia="Arial" w:hAnsi="Arial" w:cs="Arial"/>
                                <w:color w:val="000000"/>
                                <w:sz w:val="20"/>
                              </w:rPr>
                              <w:t>marry your rapist</w:t>
                            </w:r>
                            <w:r w:rsidR="00AC04AC" w:rsidRPr="0017404F">
                              <w:rPr>
                                <w:rFonts w:ascii="Arial" w:eastAsia="Arial" w:hAnsi="Arial" w:cs="Arial"/>
                                <w:color w:val="000000"/>
                                <w:sz w:val="20"/>
                              </w:rPr>
                              <w:t xml:space="preserve">’ </w:t>
                            </w:r>
                            <w:r w:rsidRPr="0017404F">
                              <w:rPr>
                                <w:rFonts w:ascii="Arial" w:eastAsia="Arial" w:hAnsi="Arial" w:cs="Arial"/>
                                <w:color w:val="000000"/>
                                <w:sz w:val="20"/>
                              </w:rPr>
                              <w:t>legislation, and to proactively outlaw the practice.</w:t>
                            </w:r>
                          </w:p>
                          <w:p w14:paraId="12D61596" w14:textId="77777777" w:rsidR="000D1BF2" w:rsidRDefault="000D1BF2" w:rsidP="0017404F">
                            <w:pPr>
                              <w:ind w:firstLine="207"/>
                              <w:jc w:val="both"/>
                              <w:textDirection w:val="btLr"/>
                              <w:rPr>
                                <w:rFonts w:ascii="Arial" w:eastAsia="Arial" w:hAnsi="Arial" w:cs="Arial"/>
                                <w:color w:val="000000"/>
                                <w:sz w:val="20"/>
                              </w:rPr>
                            </w:pPr>
                          </w:p>
                          <w:p w14:paraId="1B55317A" w14:textId="7AE3FE80" w:rsidR="003056A0" w:rsidRPr="0017404F" w:rsidRDefault="00ED7797" w:rsidP="0017404F">
                            <w:pPr>
                              <w:pStyle w:val="ListParagraph"/>
                              <w:numPr>
                                <w:ilvl w:val="0"/>
                                <w:numId w:val="15"/>
                              </w:numPr>
                              <w:ind w:left="360"/>
                              <w:jc w:val="both"/>
                              <w:textDirection w:val="btLr"/>
                              <w:rPr>
                                <w:rFonts w:ascii="Arial" w:eastAsia="Arial" w:hAnsi="Arial" w:cs="Arial"/>
                                <w:color w:val="000000"/>
                                <w:sz w:val="20"/>
                              </w:rPr>
                            </w:pPr>
                            <w:r w:rsidRPr="0017404F">
                              <w:rPr>
                                <w:rFonts w:ascii="Arial" w:eastAsia="Arial" w:hAnsi="Arial" w:cs="Arial"/>
                                <w:color w:val="000000"/>
                                <w:sz w:val="20"/>
                              </w:rPr>
                              <w:t xml:space="preserve">Establish a dedicated program and service to combat child and forced marriages </w:t>
                            </w:r>
                            <w:r w:rsidR="00E35824">
                              <w:rPr>
                                <w:rFonts w:ascii="Arial" w:eastAsia="Arial" w:hAnsi="Arial" w:cs="Arial"/>
                                <w:color w:val="000000"/>
                                <w:sz w:val="20"/>
                              </w:rPr>
                              <w:t xml:space="preserve">(including specialized shelters and legal aid) </w:t>
                            </w:r>
                            <w:r w:rsidRPr="0017404F">
                              <w:rPr>
                                <w:rFonts w:ascii="Arial" w:eastAsia="Arial" w:hAnsi="Arial" w:cs="Arial"/>
                                <w:color w:val="000000"/>
                                <w:sz w:val="20"/>
                              </w:rPr>
                              <w:t>with outreach to rural areas, refugee and asylum-seeking communities.</w:t>
                            </w:r>
                          </w:p>
                          <w:p w14:paraId="0C902ED6" w14:textId="77777777" w:rsidR="003056A0" w:rsidRDefault="003056A0" w:rsidP="0017404F">
                            <w:pPr>
                              <w:ind w:firstLine="247"/>
                              <w:jc w:val="both"/>
                              <w:textDirection w:val="btLr"/>
                            </w:pPr>
                          </w:p>
                          <w:p w14:paraId="5D29BB3D" w14:textId="3C7CF736" w:rsidR="00ED7797" w:rsidRPr="0017404F" w:rsidRDefault="00ED7797" w:rsidP="0017404F">
                            <w:pPr>
                              <w:pStyle w:val="ListParagraph"/>
                              <w:numPr>
                                <w:ilvl w:val="0"/>
                                <w:numId w:val="15"/>
                              </w:numPr>
                              <w:ind w:left="360"/>
                              <w:jc w:val="both"/>
                              <w:textDirection w:val="btLr"/>
                              <w:rPr>
                                <w:rFonts w:ascii="Arial" w:eastAsia="Arial" w:hAnsi="Arial" w:cs="Arial"/>
                                <w:color w:val="000000"/>
                                <w:sz w:val="20"/>
                              </w:rPr>
                            </w:pPr>
                            <w:r w:rsidRPr="0017404F">
                              <w:rPr>
                                <w:rFonts w:ascii="Arial" w:eastAsia="Arial" w:hAnsi="Arial" w:cs="Arial"/>
                                <w:color w:val="000000"/>
                                <w:sz w:val="20"/>
                              </w:rPr>
                              <w:t>Ensure data collection o</w:t>
                            </w:r>
                            <w:r w:rsidR="00A2661F">
                              <w:rPr>
                                <w:rFonts w:ascii="Arial" w:eastAsia="Arial" w:hAnsi="Arial" w:cs="Arial"/>
                                <w:color w:val="000000"/>
                                <w:sz w:val="20"/>
                              </w:rPr>
                              <w:t>n</w:t>
                            </w:r>
                            <w:r w:rsidRPr="0017404F">
                              <w:rPr>
                                <w:rFonts w:ascii="Arial" w:eastAsia="Arial" w:hAnsi="Arial" w:cs="Arial"/>
                                <w:color w:val="000000"/>
                                <w:sz w:val="20"/>
                              </w:rPr>
                              <w:t xml:space="preserve"> the number of cases of child and forced marriages and number </w:t>
                            </w:r>
                            <w:r w:rsidR="00C520D9">
                              <w:rPr>
                                <w:rFonts w:ascii="Arial" w:eastAsia="Arial" w:hAnsi="Arial" w:cs="Arial"/>
                                <w:color w:val="000000"/>
                                <w:sz w:val="20"/>
                              </w:rPr>
                              <w:t xml:space="preserve">of </w:t>
                            </w:r>
                            <w:r w:rsidRPr="0017404F">
                              <w:rPr>
                                <w:rFonts w:ascii="Arial" w:eastAsia="Arial" w:hAnsi="Arial" w:cs="Arial"/>
                                <w:color w:val="000000"/>
                                <w:sz w:val="20"/>
                              </w:rPr>
                              <w:t xml:space="preserve">prosecutions and penalties </w:t>
                            </w:r>
                            <w:r w:rsidR="00A2661F">
                              <w:rPr>
                                <w:rFonts w:ascii="Arial" w:eastAsia="Arial" w:hAnsi="Arial" w:cs="Arial"/>
                                <w:color w:val="000000"/>
                                <w:sz w:val="20"/>
                              </w:rPr>
                              <w:t>for</w:t>
                            </w:r>
                            <w:r w:rsidR="00FB6044">
                              <w:rPr>
                                <w:rFonts w:ascii="Arial" w:eastAsia="Arial" w:hAnsi="Arial" w:cs="Arial"/>
                                <w:color w:val="000000"/>
                                <w:sz w:val="20"/>
                              </w:rPr>
                              <w:t xml:space="preserve"> those</w:t>
                            </w:r>
                            <w:r w:rsidRPr="0017404F">
                              <w:rPr>
                                <w:rFonts w:ascii="Arial" w:eastAsia="Arial" w:hAnsi="Arial" w:cs="Arial"/>
                                <w:color w:val="000000"/>
                                <w:sz w:val="20"/>
                              </w:rPr>
                              <w:t xml:space="preserve"> responsible for </w:t>
                            </w:r>
                            <w:r w:rsidR="00793522">
                              <w:rPr>
                                <w:rFonts w:ascii="Arial" w:eastAsia="Arial" w:hAnsi="Arial" w:cs="Arial"/>
                                <w:color w:val="000000"/>
                                <w:sz w:val="20"/>
                              </w:rPr>
                              <w:t>such</w:t>
                            </w:r>
                            <w:r w:rsidRPr="0017404F">
                              <w:rPr>
                                <w:rFonts w:ascii="Arial" w:eastAsia="Arial" w:hAnsi="Arial" w:cs="Arial"/>
                                <w:color w:val="000000"/>
                                <w:sz w:val="20"/>
                              </w:rPr>
                              <w:t xml:space="preserve"> marriages; also ensure data collection of the number of exceptions </w:t>
                            </w:r>
                            <w:r w:rsidR="00793522">
                              <w:rPr>
                                <w:rFonts w:ascii="Arial" w:eastAsia="Arial" w:hAnsi="Arial" w:cs="Arial"/>
                                <w:color w:val="000000"/>
                                <w:sz w:val="20"/>
                              </w:rPr>
                              <w:t xml:space="preserve">to the minimum age of marriage </w:t>
                            </w:r>
                            <w:r w:rsidRPr="0017404F">
                              <w:rPr>
                                <w:rFonts w:ascii="Arial" w:eastAsia="Arial" w:hAnsi="Arial" w:cs="Arial"/>
                                <w:color w:val="000000"/>
                                <w:sz w:val="20"/>
                              </w:rPr>
                              <w:t>granted by the judiciary in the past five years, as well as the specific criteria considered by the judges when granting such exceptions.</w:t>
                            </w:r>
                          </w:p>
                        </w:txbxContent>
                      </wps:txbx>
                      <wps:bodyPr spcFirstLastPara="1" wrap="square" lIns="91425" tIns="45700" rIns="91425" bIns="45700" anchor="t" anchorCtr="0">
                        <a:noAutofit/>
                      </wps:bodyPr>
                    </wps:wsp>
                  </a:graphicData>
                </a:graphic>
              </wp:inline>
            </w:drawing>
          </mc:Choice>
          <mc:Fallback>
            <w:pict>
              <v:rect w14:anchorId="1226EFE5" id="Rectangle 1" o:spid="_x0000_s1026" style="width:449.35pt;height:23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" fillcolor="#cacaca" stroked="f">
                <v:textbox inset="2.53958mm,1.2694mm,2.53958mm,1.2694mm">
                  <w:txbxContent>
                    <w:p w14:paraId="4B389F38" w14:textId="77777777" w:rsidR="00ED7797" w:rsidRPr="0017404F" w:rsidRDefault="00ED7797" w:rsidP="003056A0">
                      <w:pPr>
                        <w:jc w:val="both"/>
                        <w:textDirection w:val="btLr"/>
                        <w:rPr>
                          <w:u w:val="single"/>
                        </w:rPr>
                      </w:pPr>
                      <w:r w:rsidRPr="0017404F">
                        <w:rPr>
                          <w:rFonts w:ascii="Arial" w:eastAsia="Arial" w:hAnsi="Arial" w:cs="Arial"/>
                          <w:b/>
                          <w:color w:val="000000"/>
                          <w:sz w:val="22"/>
                          <w:u w:val="single"/>
                        </w:rPr>
                        <w:t xml:space="preserve">RECOMMENDATIONS </w:t>
                      </w:r>
                    </w:p>
                    <w:p w14:paraId="5640F8F1" w14:textId="77777777" w:rsidR="00ED7797" w:rsidRDefault="00ED7797" w:rsidP="003056A0">
                      <w:pPr>
                        <w:jc w:val="both"/>
                        <w:textDirection w:val="btLr"/>
                      </w:pPr>
                    </w:p>
                    <w:p w14:paraId="247404F3" w14:textId="696ABCD9" w:rsidR="003056A0" w:rsidRDefault="00ED7797" w:rsidP="003056A0">
                      <w:pPr>
                        <w:jc w:val="both"/>
                        <w:textDirection w:val="btLr"/>
                        <w:rPr>
                          <w:rFonts w:ascii="Arial" w:eastAsia="Arial" w:hAnsi="Arial" w:cs="Arial"/>
                          <w:b/>
                          <w:color w:val="000000"/>
                          <w:sz w:val="20"/>
                        </w:rPr>
                      </w:pPr>
                      <w:r>
                        <w:rPr>
                          <w:rFonts w:ascii="Arial" w:eastAsia="Arial" w:hAnsi="Arial" w:cs="Arial"/>
                          <w:b/>
                          <w:color w:val="000000"/>
                          <w:sz w:val="20"/>
                        </w:rPr>
                        <w:t xml:space="preserve">We recommend the CEDAW </w:t>
                      </w:r>
                      <w:r w:rsidR="00AC04AC">
                        <w:rPr>
                          <w:rFonts w:ascii="Arial" w:eastAsia="Arial" w:hAnsi="Arial" w:cs="Arial"/>
                          <w:b/>
                          <w:color w:val="000000"/>
                          <w:sz w:val="20"/>
                        </w:rPr>
                        <w:t>C</w:t>
                      </w:r>
                      <w:r>
                        <w:rPr>
                          <w:rFonts w:ascii="Arial" w:eastAsia="Arial" w:hAnsi="Arial" w:cs="Arial"/>
                          <w:b/>
                          <w:color w:val="000000"/>
                          <w:sz w:val="20"/>
                        </w:rPr>
                        <w:t>ommittee to urge the State party to:</w:t>
                      </w:r>
                    </w:p>
                    <w:p w14:paraId="159B07FA" w14:textId="4F84606D" w:rsidR="00ED7797" w:rsidRDefault="00ED7797" w:rsidP="003056A0">
                      <w:pPr>
                        <w:jc w:val="both"/>
                        <w:textDirection w:val="btLr"/>
                      </w:pPr>
                      <w:r>
                        <w:rPr>
                          <w:rFonts w:ascii="Arial" w:eastAsia="Arial" w:hAnsi="Arial" w:cs="Arial"/>
                          <w:b/>
                          <w:color w:val="000000"/>
                          <w:sz w:val="20"/>
                        </w:rPr>
                        <w:t xml:space="preserve"> </w:t>
                      </w:r>
                    </w:p>
                    <w:p w14:paraId="293A8EB1" w14:textId="18F03DB7" w:rsidR="000D1BF2" w:rsidRPr="0017404F" w:rsidRDefault="00ED7797" w:rsidP="0017404F">
                      <w:pPr>
                        <w:pStyle w:val="ListParagraph"/>
                        <w:numPr>
                          <w:ilvl w:val="0"/>
                          <w:numId w:val="15"/>
                        </w:numPr>
                        <w:ind w:left="360"/>
                        <w:jc w:val="both"/>
                        <w:textDirection w:val="btLr"/>
                        <w:rPr>
                          <w:rFonts w:ascii="Arial" w:eastAsia="Arial" w:hAnsi="Arial" w:cs="Arial"/>
                          <w:color w:val="000000"/>
                          <w:sz w:val="20"/>
                        </w:rPr>
                      </w:pPr>
                      <w:r w:rsidRPr="0017404F">
                        <w:rPr>
                          <w:rFonts w:ascii="Arial" w:eastAsia="Arial" w:hAnsi="Arial" w:cs="Arial"/>
                          <w:color w:val="000000"/>
                          <w:sz w:val="20"/>
                        </w:rPr>
                        <w:t xml:space="preserve">Ensure that </w:t>
                      </w:r>
                      <w:r w:rsidR="00D70039">
                        <w:rPr>
                          <w:rFonts w:ascii="Arial" w:eastAsia="Arial" w:hAnsi="Arial" w:cs="Arial"/>
                          <w:color w:val="000000"/>
                          <w:sz w:val="20"/>
                        </w:rPr>
                        <w:t xml:space="preserve">the </w:t>
                      </w:r>
                      <w:r w:rsidRPr="0017404F">
                        <w:rPr>
                          <w:rFonts w:ascii="Arial" w:eastAsia="Arial" w:hAnsi="Arial" w:cs="Arial"/>
                          <w:color w:val="000000"/>
                          <w:sz w:val="20"/>
                        </w:rPr>
                        <w:t xml:space="preserve">government enacts legislation to raise the minimum age to </w:t>
                      </w:r>
                      <w:r w:rsidR="00AD27E7">
                        <w:rPr>
                          <w:rFonts w:ascii="Arial" w:eastAsia="Arial" w:hAnsi="Arial" w:cs="Arial"/>
                          <w:color w:val="000000"/>
                          <w:sz w:val="20"/>
                        </w:rPr>
                        <w:t>18</w:t>
                      </w:r>
                      <w:r w:rsidR="00635848" w:rsidRPr="0017404F">
                        <w:rPr>
                          <w:rFonts w:ascii="Arial" w:eastAsia="Arial" w:hAnsi="Arial" w:cs="Arial"/>
                          <w:color w:val="000000"/>
                          <w:sz w:val="20"/>
                        </w:rPr>
                        <w:t xml:space="preserve"> </w:t>
                      </w:r>
                      <w:r w:rsidRPr="0017404F">
                        <w:rPr>
                          <w:rFonts w:ascii="Arial" w:eastAsia="Arial" w:hAnsi="Arial" w:cs="Arial"/>
                          <w:color w:val="000000"/>
                          <w:sz w:val="20"/>
                        </w:rPr>
                        <w:t>without any exceptions of parental consent or judicial permission.</w:t>
                      </w:r>
                    </w:p>
                    <w:p w14:paraId="5B1F43E1" w14:textId="77777777" w:rsidR="000D1BF2" w:rsidRDefault="000D1BF2" w:rsidP="0017404F">
                      <w:pPr>
                        <w:ind w:firstLine="207"/>
                        <w:jc w:val="both"/>
                        <w:textDirection w:val="btLr"/>
                        <w:rPr>
                          <w:rFonts w:ascii="Arial" w:eastAsia="Arial" w:hAnsi="Arial" w:cs="Arial"/>
                          <w:color w:val="000000"/>
                          <w:sz w:val="20"/>
                        </w:rPr>
                      </w:pPr>
                    </w:p>
                    <w:p w14:paraId="083E0A44" w14:textId="3A92294A" w:rsidR="000D1BF2" w:rsidRPr="0017404F" w:rsidRDefault="000D1BF2" w:rsidP="0017404F">
                      <w:pPr>
                        <w:pStyle w:val="ListParagraph"/>
                        <w:numPr>
                          <w:ilvl w:val="0"/>
                          <w:numId w:val="15"/>
                        </w:numPr>
                        <w:ind w:left="360"/>
                        <w:jc w:val="both"/>
                        <w:textDirection w:val="btLr"/>
                        <w:rPr>
                          <w:rFonts w:ascii="Arial" w:eastAsia="Arial" w:hAnsi="Arial" w:cs="Arial"/>
                          <w:color w:val="000000"/>
                          <w:sz w:val="20"/>
                        </w:rPr>
                      </w:pPr>
                      <w:r w:rsidRPr="0017404F">
                        <w:rPr>
                          <w:rFonts w:ascii="Arial" w:eastAsia="Arial" w:hAnsi="Arial" w:cs="Arial"/>
                          <w:color w:val="000000"/>
                          <w:sz w:val="20"/>
                        </w:rPr>
                        <w:t xml:space="preserve">Take active steps to prevent the resurfacing of similar </w:t>
                      </w:r>
                      <w:r w:rsidR="00AC04AC" w:rsidRPr="0017404F">
                        <w:rPr>
                          <w:rFonts w:ascii="Arial" w:eastAsia="Arial" w:hAnsi="Arial" w:cs="Arial"/>
                          <w:color w:val="000000"/>
                          <w:sz w:val="20"/>
                        </w:rPr>
                        <w:t>‘</w:t>
                      </w:r>
                      <w:r w:rsidRPr="0017404F">
                        <w:rPr>
                          <w:rFonts w:ascii="Arial" w:eastAsia="Arial" w:hAnsi="Arial" w:cs="Arial"/>
                          <w:color w:val="000000"/>
                          <w:sz w:val="20"/>
                        </w:rPr>
                        <w:t>marry your rapist</w:t>
                      </w:r>
                      <w:r w:rsidR="00AC04AC" w:rsidRPr="0017404F">
                        <w:rPr>
                          <w:rFonts w:ascii="Arial" w:eastAsia="Arial" w:hAnsi="Arial" w:cs="Arial"/>
                          <w:color w:val="000000"/>
                          <w:sz w:val="20"/>
                        </w:rPr>
                        <w:t xml:space="preserve">’ </w:t>
                      </w:r>
                      <w:r w:rsidRPr="0017404F">
                        <w:rPr>
                          <w:rFonts w:ascii="Arial" w:eastAsia="Arial" w:hAnsi="Arial" w:cs="Arial"/>
                          <w:color w:val="000000"/>
                          <w:sz w:val="20"/>
                        </w:rPr>
                        <w:t>legislation, and to proactively outlaw the practice.</w:t>
                      </w:r>
                    </w:p>
                    <w:p w14:paraId="12D61596" w14:textId="77777777" w:rsidR="000D1BF2" w:rsidRDefault="000D1BF2" w:rsidP="0017404F">
                      <w:pPr>
                        <w:ind w:firstLine="207"/>
                        <w:jc w:val="both"/>
                        <w:textDirection w:val="btLr"/>
                        <w:rPr>
                          <w:rFonts w:ascii="Arial" w:eastAsia="Arial" w:hAnsi="Arial" w:cs="Arial"/>
                          <w:color w:val="000000"/>
                          <w:sz w:val="20"/>
                        </w:rPr>
                      </w:pPr>
                    </w:p>
                    <w:p w14:paraId="1B55317A" w14:textId="7AE3FE80" w:rsidR="003056A0" w:rsidRPr="0017404F" w:rsidRDefault="00ED7797" w:rsidP="0017404F">
                      <w:pPr>
                        <w:pStyle w:val="ListParagraph"/>
                        <w:numPr>
                          <w:ilvl w:val="0"/>
                          <w:numId w:val="15"/>
                        </w:numPr>
                        <w:ind w:left="360"/>
                        <w:jc w:val="both"/>
                        <w:textDirection w:val="btLr"/>
                        <w:rPr>
                          <w:rFonts w:ascii="Arial" w:eastAsia="Arial" w:hAnsi="Arial" w:cs="Arial"/>
                          <w:color w:val="000000"/>
                          <w:sz w:val="20"/>
                        </w:rPr>
                      </w:pPr>
                      <w:r w:rsidRPr="0017404F">
                        <w:rPr>
                          <w:rFonts w:ascii="Arial" w:eastAsia="Arial" w:hAnsi="Arial" w:cs="Arial"/>
                          <w:color w:val="000000"/>
                          <w:sz w:val="20"/>
                        </w:rPr>
                        <w:t xml:space="preserve">Establish a dedicated program and service to combat child and forced marriages </w:t>
                      </w:r>
                      <w:r w:rsidR="00E35824">
                        <w:rPr>
                          <w:rFonts w:ascii="Arial" w:eastAsia="Arial" w:hAnsi="Arial" w:cs="Arial"/>
                          <w:color w:val="000000"/>
                          <w:sz w:val="20"/>
                        </w:rPr>
                        <w:t xml:space="preserve">(including specialized shelters and legal aid) </w:t>
                      </w:r>
                      <w:r w:rsidRPr="0017404F">
                        <w:rPr>
                          <w:rFonts w:ascii="Arial" w:eastAsia="Arial" w:hAnsi="Arial" w:cs="Arial"/>
                          <w:color w:val="000000"/>
                          <w:sz w:val="20"/>
                        </w:rPr>
                        <w:t>with outreach to rural areas, refugee and asylum-seeking communities.</w:t>
                      </w:r>
                    </w:p>
                    <w:p w14:paraId="0C902ED6" w14:textId="77777777" w:rsidR="003056A0" w:rsidRDefault="003056A0" w:rsidP="0017404F">
                      <w:pPr>
                        <w:ind w:firstLine="247"/>
                        <w:jc w:val="both"/>
                        <w:textDirection w:val="btLr"/>
                      </w:pPr>
                    </w:p>
                    <w:p w14:paraId="5D29BB3D" w14:textId="3C7CF736" w:rsidR="00ED7797" w:rsidRPr="0017404F" w:rsidRDefault="00ED7797" w:rsidP="0017404F">
                      <w:pPr>
                        <w:pStyle w:val="ListParagraph"/>
                        <w:numPr>
                          <w:ilvl w:val="0"/>
                          <w:numId w:val="15"/>
                        </w:numPr>
                        <w:ind w:left="360"/>
                        <w:jc w:val="both"/>
                        <w:textDirection w:val="btLr"/>
                        <w:rPr>
                          <w:rFonts w:ascii="Arial" w:eastAsia="Arial" w:hAnsi="Arial" w:cs="Arial"/>
                          <w:color w:val="000000"/>
                          <w:sz w:val="20"/>
                        </w:rPr>
                      </w:pPr>
                      <w:r w:rsidRPr="0017404F">
                        <w:rPr>
                          <w:rFonts w:ascii="Arial" w:eastAsia="Arial" w:hAnsi="Arial" w:cs="Arial"/>
                          <w:color w:val="000000"/>
                          <w:sz w:val="20"/>
                        </w:rPr>
                        <w:t>Ensure data collection o</w:t>
                      </w:r>
                      <w:r w:rsidR="00A2661F">
                        <w:rPr>
                          <w:rFonts w:ascii="Arial" w:eastAsia="Arial" w:hAnsi="Arial" w:cs="Arial"/>
                          <w:color w:val="000000"/>
                          <w:sz w:val="20"/>
                        </w:rPr>
                        <w:t>n</w:t>
                      </w:r>
                      <w:r w:rsidRPr="0017404F">
                        <w:rPr>
                          <w:rFonts w:ascii="Arial" w:eastAsia="Arial" w:hAnsi="Arial" w:cs="Arial"/>
                          <w:color w:val="000000"/>
                          <w:sz w:val="20"/>
                        </w:rPr>
                        <w:t xml:space="preserve"> the number of cases of child and forced marriages and number </w:t>
                      </w:r>
                      <w:r w:rsidR="00C520D9">
                        <w:rPr>
                          <w:rFonts w:ascii="Arial" w:eastAsia="Arial" w:hAnsi="Arial" w:cs="Arial"/>
                          <w:color w:val="000000"/>
                          <w:sz w:val="20"/>
                        </w:rPr>
                        <w:t xml:space="preserve">of </w:t>
                      </w:r>
                      <w:r w:rsidRPr="0017404F">
                        <w:rPr>
                          <w:rFonts w:ascii="Arial" w:eastAsia="Arial" w:hAnsi="Arial" w:cs="Arial"/>
                          <w:color w:val="000000"/>
                          <w:sz w:val="20"/>
                        </w:rPr>
                        <w:t xml:space="preserve">prosecutions and penalties </w:t>
                      </w:r>
                      <w:r w:rsidR="00A2661F">
                        <w:rPr>
                          <w:rFonts w:ascii="Arial" w:eastAsia="Arial" w:hAnsi="Arial" w:cs="Arial"/>
                          <w:color w:val="000000"/>
                          <w:sz w:val="20"/>
                        </w:rPr>
                        <w:t>for</w:t>
                      </w:r>
                      <w:r w:rsidR="00FB6044">
                        <w:rPr>
                          <w:rFonts w:ascii="Arial" w:eastAsia="Arial" w:hAnsi="Arial" w:cs="Arial"/>
                          <w:color w:val="000000"/>
                          <w:sz w:val="20"/>
                        </w:rPr>
                        <w:t xml:space="preserve"> those</w:t>
                      </w:r>
                      <w:r w:rsidRPr="0017404F">
                        <w:rPr>
                          <w:rFonts w:ascii="Arial" w:eastAsia="Arial" w:hAnsi="Arial" w:cs="Arial"/>
                          <w:color w:val="000000"/>
                          <w:sz w:val="20"/>
                        </w:rPr>
                        <w:t xml:space="preserve"> responsible for </w:t>
                      </w:r>
                      <w:r w:rsidR="00793522">
                        <w:rPr>
                          <w:rFonts w:ascii="Arial" w:eastAsia="Arial" w:hAnsi="Arial" w:cs="Arial"/>
                          <w:color w:val="000000"/>
                          <w:sz w:val="20"/>
                        </w:rPr>
                        <w:t>such</w:t>
                      </w:r>
                      <w:r w:rsidRPr="0017404F">
                        <w:rPr>
                          <w:rFonts w:ascii="Arial" w:eastAsia="Arial" w:hAnsi="Arial" w:cs="Arial"/>
                          <w:color w:val="000000"/>
                          <w:sz w:val="20"/>
                        </w:rPr>
                        <w:t xml:space="preserve"> marriages; also ensure data collection of the number of exceptions </w:t>
                      </w:r>
                      <w:r w:rsidR="00793522">
                        <w:rPr>
                          <w:rFonts w:ascii="Arial" w:eastAsia="Arial" w:hAnsi="Arial" w:cs="Arial"/>
                          <w:color w:val="000000"/>
                          <w:sz w:val="20"/>
                        </w:rPr>
                        <w:t xml:space="preserve">to the minimum age of marriage </w:t>
                      </w:r>
                      <w:r w:rsidRPr="0017404F">
                        <w:rPr>
                          <w:rFonts w:ascii="Arial" w:eastAsia="Arial" w:hAnsi="Arial" w:cs="Arial"/>
                          <w:color w:val="000000"/>
                          <w:sz w:val="20"/>
                        </w:rPr>
                        <w:t>granted by the judiciary in the past five years, as well as the specific criteria considered by the judges when granting such exceptions.</w:t>
                      </w:r>
                    </w:p>
                  </w:txbxContent>
                </v:textbox>
                <w10:anchorlock/>
              </v:rect>
            </w:pict>
          </mc:Fallback>
        </mc:AlternateContent>
      </w:r>
    </w:p>
    <w:p w14:paraId="455E71C8" w14:textId="533FF12E" w:rsidR="00D435A5" w:rsidRDefault="00D435A5" w:rsidP="0098742A">
      <w:pPr>
        <w:autoSpaceDE w:val="0"/>
        <w:autoSpaceDN w:val="0"/>
        <w:adjustRightInd w:val="0"/>
        <w:rPr>
          <w:b/>
          <w:bCs/>
          <w:color w:val="000000"/>
          <w:sz w:val="20"/>
          <w:szCs w:val="20"/>
          <w:lang w:val="en-GB"/>
        </w:rPr>
      </w:pPr>
    </w:p>
    <w:p w14:paraId="571449C0" w14:textId="405E3500" w:rsidR="00D435A5" w:rsidRDefault="00D435A5" w:rsidP="0098742A">
      <w:pPr>
        <w:autoSpaceDE w:val="0"/>
        <w:autoSpaceDN w:val="0"/>
        <w:adjustRightInd w:val="0"/>
        <w:rPr>
          <w:b/>
          <w:bCs/>
          <w:color w:val="000000"/>
          <w:sz w:val="20"/>
          <w:szCs w:val="20"/>
          <w:lang w:val="en-GB"/>
        </w:rPr>
      </w:pPr>
    </w:p>
    <w:p w14:paraId="79240A34" w14:textId="76A8587C" w:rsidR="00D435A5" w:rsidRDefault="00D435A5" w:rsidP="0098742A">
      <w:pPr>
        <w:autoSpaceDE w:val="0"/>
        <w:autoSpaceDN w:val="0"/>
        <w:adjustRightInd w:val="0"/>
        <w:rPr>
          <w:b/>
          <w:bCs/>
          <w:color w:val="000000"/>
          <w:sz w:val="20"/>
          <w:szCs w:val="20"/>
          <w:lang w:val="en-GB"/>
        </w:rPr>
      </w:pPr>
    </w:p>
    <w:p w14:paraId="7E760BBD" w14:textId="0342EDAD" w:rsidR="00D435A5" w:rsidRPr="00CD216B" w:rsidRDefault="00D435A5" w:rsidP="0098742A">
      <w:pPr>
        <w:pStyle w:val="Heading2"/>
        <w:rPr>
          <w:caps w:val="0"/>
          <w:smallCaps/>
        </w:rPr>
      </w:pPr>
      <w:r>
        <w:t>2.</w:t>
      </w:r>
      <w:r w:rsidR="00CD216B" w:rsidRPr="00CD216B">
        <w:rPr>
          <w:caps w:val="0"/>
          <w:smallCaps/>
        </w:rPr>
        <w:t>The Su</w:t>
      </w:r>
      <w:r w:rsidR="00CD216B">
        <w:rPr>
          <w:caps w:val="0"/>
          <w:smallCaps/>
        </w:rPr>
        <w:t>rname Issue</w:t>
      </w:r>
      <w:r w:rsidR="00CD216B">
        <w:rPr>
          <w:caps w:val="0"/>
          <w:smallCaps/>
        </w:rPr>
        <w:tab/>
      </w:r>
      <w:r w:rsidR="00CD216B">
        <w:rPr>
          <w:caps w:val="0"/>
          <w:smallCaps/>
        </w:rPr>
        <w:tab/>
      </w:r>
      <w:r w:rsidR="00CD216B">
        <w:rPr>
          <w:caps w:val="0"/>
          <w:smallCaps/>
        </w:rPr>
        <w:tab/>
      </w:r>
      <w:r w:rsidR="00CD216B">
        <w:rPr>
          <w:caps w:val="0"/>
          <w:smallCaps/>
        </w:rPr>
        <w:tab/>
      </w:r>
      <w:r w:rsidR="00CD216B">
        <w:rPr>
          <w:caps w:val="0"/>
          <w:smallCaps/>
        </w:rPr>
        <w:tab/>
      </w:r>
      <w:r w:rsidR="00CD216B">
        <w:rPr>
          <w:caps w:val="0"/>
          <w:smallCaps/>
        </w:rPr>
        <w:tab/>
      </w:r>
      <w:r w:rsidR="00CD216B">
        <w:rPr>
          <w:caps w:val="0"/>
          <w:smallCaps/>
        </w:rPr>
        <w:tab/>
        <w:t xml:space="preserve">    Article 16</w:t>
      </w:r>
    </w:p>
    <w:p w14:paraId="335786F5" w14:textId="11AD50F7" w:rsidR="00D435A5" w:rsidRDefault="00D435A5" w:rsidP="0098742A">
      <w:pPr>
        <w:autoSpaceDE w:val="0"/>
        <w:autoSpaceDN w:val="0"/>
        <w:adjustRightInd w:val="0"/>
        <w:rPr>
          <w:b/>
          <w:bCs/>
          <w:color w:val="000000"/>
          <w:sz w:val="20"/>
          <w:szCs w:val="20"/>
          <w:lang w:val="en-GB"/>
        </w:rPr>
      </w:pPr>
    </w:p>
    <w:p w14:paraId="67C6CA0A" w14:textId="775C1046" w:rsidR="00DF2C71" w:rsidRPr="0017404F" w:rsidRDefault="00DF2C71" w:rsidP="0098742A">
      <w:pPr>
        <w:autoSpaceDE w:val="0"/>
        <w:autoSpaceDN w:val="0"/>
        <w:adjustRightInd w:val="0"/>
        <w:rPr>
          <w:rFonts w:ascii="Arial" w:hAnsi="Arial" w:cs="Arial"/>
          <w:b/>
          <w:bCs/>
          <w:sz w:val="20"/>
          <w:szCs w:val="20"/>
          <w:u w:val="single"/>
        </w:rPr>
      </w:pPr>
      <w:r w:rsidRPr="0017404F">
        <w:rPr>
          <w:rFonts w:ascii="Arial" w:hAnsi="Arial" w:cs="Arial"/>
          <w:b/>
          <w:bCs/>
          <w:sz w:val="20"/>
          <w:szCs w:val="20"/>
          <w:u w:val="single"/>
        </w:rPr>
        <w:t>Legal Background:</w:t>
      </w:r>
    </w:p>
    <w:p w14:paraId="099BAAC4" w14:textId="21E9332F" w:rsidR="00DF2C71" w:rsidRDefault="00DF2C71" w:rsidP="0098742A">
      <w:pPr>
        <w:autoSpaceDE w:val="0"/>
        <w:autoSpaceDN w:val="0"/>
        <w:adjustRightInd w:val="0"/>
        <w:jc w:val="both"/>
        <w:rPr>
          <w:sz w:val="20"/>
          <w:szCs w:val="20"/>
        </w:rPr>
      </w:pPr>
    </w:p>
    <w:p w14:paraId="4D86E66F" w14:textId="69165F75" w:rsidR="001E0C0E" w:rsidRDefault="00DF2C71" w:rsidP="0098742A">
      <w:pPr>
        <w:autoSpaceDE w:val="0"/>
        <w:autoSpaceDN w:val="0"/>
        <w:adjustRightInd w:val="0"/>
        <w:jc w:val="both"/>
        <w:rPr>
          <w:rFonts w:ascii="Arial" w:hAnsi="Arial" w:cs="Arial"/>
          <w:sz w:val="20"/>
          <w:szCs w:val="20"/>
        </w:rPr>
      </w:pPr>
      <w:r w:rsidRPr="00DF2C71">
        <w:rPr>
          <w:rFonts w:ascii="Arial" w:hAnsi="Arial" w:cs="Arial"/>
          <w:sz w:val="20"/>
          <w:szCs w:val="20"/>
        </w:rPr>
        <w:t xml:space="preserve">Article 187 of the Turkish </w:t>
      </w:r>
      <w:r>
        <w:rPr>
          <w:rFonts w:ascii="Arial" w:hAnsi="Arial" w:cs="Arial"/>
          <w:sz w:val="20"/>
          <w:szCs w:val="20"/>
        </w:rPr>
        <w:t xml:space="preserve">Civil Code </w:t>
      </w:r>
      <w:r w:rsidR="00A13011">
        <w:rPr>
          <w:rFonts w:ascii="Arial" w:hAnsi="Arial" w:cs="Arial"/>
          <w:sz w:val="20"/>
          <w:szCs w:val="20"/>
        </w:rPr>
        <w:t>(</w:t>
      </w:r>
      <w:r w:rsidR="0091240C">
        <w:rPr>
          <w:rFonts w:ascii="Arial" w:hAnsi="Arial" w:cs="Arial"/>
          <w:sz w:val="20"/>
          <w:szCs w:val="20"/>
        </w:rPr>
        <w:t>TCC</w:t>
      </w:r>
      <w:r w:rsidR="00A13011">
        <w:rPr>
          <w:rFonts w:ascii="Arial" w:hAnsi="Arial" w:cs="Arial"/>
          <w:sz w:val="20"/>
          <w:szCs w:val="20"/>
        </w:rPr>
        <w:t xml:space="preserve">) </w:t>
      </w:r>
      <w:r>
        <w:rPr>
          <w:rFonts w:ascii="Arial" w:hAnsi="Arial" w:cs="Arial"/>
          <w:sz w:val="20"/>
          <w:szCs w:val="20"/>
        </w:rPr>
        <w:t>provides that the ‘wife shall take on her husband’s surname after marriage’</w:t>
      </w:r>
      <w:r w:rsidR="00A2661F">
        <w:rPr>
          <w:rFonts w:ascii="Arial" w:hAnsi="Arial" w:cs="Arial"/>
          <w:sz w:val="20"/>
          <w:szCs w:val="20"/>
        </w:rPr>
        <w:t>.</w:t>
      </w:r>
      <w:r>
        <w:rPr>
          <w:rStyle w:val="FootnoteReference"/>
          <w:rFonts w:ascii="Arial" w:hAnsi="Arial" w:cs="Arial"/>
          <w:sz w:val="20"/>
          <w:szCs w:val="20"/>
        </w:rPr>
        <w:footnoteReference w:id="36"/>
      </w:r>
      <w:r>
        <w:rPr>
          <w:rFonts w:ascii="Arial" w:hAnsi="Arial" w:cs="Arial"/>
          <w:sz w:val="20"/>
          <w:szCs w:val="20"/>
        </w:rPr>
        <w:t xml:space="preserve"> </w:t>
      </w:r>
      <w:r w:rsidR="001E0C0E">
        <w:rPr>
          <w:rFonts w:ascii="Arial" w:hAnsi="Arial" w:cs="Arial"/>
          <w:sz w:val="20"/>
          <w:szCs w:val="20"/>
        </w:rPr>
        <w:t>Since this Article is a mandatory rule, spouses cannot deviate from it.</w:t>
      </w:r>
      <w:r w:rsidR="001E0C0E">
        <w:rPr>
          <w:rStyle w:val="FootnoteReference"/>
          <w:rFonts w:ascii="Arial" w:hAnsi="Arial" w:cs="Arial"/>
          <w:sz w:val="20"/>
          <w:szCs w:val="20"/>
        </w:rPr>
        <w:footnoteReference w:id="37"/>
      </w:r>
    </w:p>
    <w:p w14:paraId="652EE755" w14:textId="77777777" w:rsidR="001E0C0E" w:rsidRDefault="001E0C0E" w:rsidP="0098742A">
      <w:pPr>
        <w:autoSpaceDE w:val="0"/>
        <w:autoSpaceDN w:val="0"/>
        <w:adjustRightInd w:val="0"/>
        <w:jc w:val="both"/>
        <w:rPr>
          <w:rFonts w:ascii="Arial" w:hAnsi="Arial" w:cs="Arial"/>
          <w:sz w:val="20"/>
          <w:szCs w:val="20"/>
        </w:rPr>
      </w:pPr>
    </w:p>
    <w:p w14:paraId="35470E4B" w14:textId="562C4461" w:rsidR="00C558C2" w:rsidRDefault="00C558C2" w:rsidP="0098742A">
      <w:pPr>
        <w:autoSpaceDE w:val="0"/>
        <w:autoSpaceDN w:val="0"/>
        <w:adjustRightInd w:val="0"/>
        <w:jc w:val="both"/>
        <w:rPr>
          <w:rFonts w:ascii="Arial" w:hAnsi="Arial" w:cs="Arial"/>
          <w:sz w:val="20"/>
          <w:szCs w:val="20"/>
        </w:rPr>
      </w:pPr>
      <w:r>
        <w:rPr>
          <w:rFonts w:ascii="Arial" w:hAnsi="Arial" w:cs="Arial"/>
          <w:sz w:val="20"/>
          <w:szCs w:val="20"/>
        </w:rPr>
        <w:t xml:space="preserve">While this remains a requirement, </w:t>
      </w:r>
      <w:r w:rsidR="00A2661F">
        <w:rPr>
          <w:rFonts w:ascii="Arial" w:hAnsi="Arial" w:cs="Arial"/>
          <w:sz w:val="20"/>
          <w:szCs w:val="20"/>
        </w:rPr>
        <w:t xml:space="preserve">the </w:t>
      </w:r>
      <w:r w:rsidR="0091240C">
        <w:rPr>
          <w:rFonts w:ascii="Arial" w:hAnsi="Arial" w:cs="Arial"/>
          <w:sz w:val="20"/>
          <w:szCs w:val="20"/>
        </w:rPr>
        <w:t xml:space="preserve">TCC </w:t>
      </w:r>
      <w:r>
        <w:rPr>
          <w:rFonts w:ascii="Arial" w:hAnsi="Arial" w:cs="Arial"/>
          <w:sz w:val="20"/>
          <w:szCs w:val="20"/>
        </w:rPr>
        <w:t>goes on to state that ‘</w:t>
      </w:r>
      <w:r w:rsidRPr="00C558C2">
        <w:rPr>
          <w:rFonts w:ascii="Arial" w:hAnsi="Arial" w:cs="Arial"/>
          <w:sz w:val="20"/>
          <w:szCs w:val="20"/>
        </w:rPr>
        <w:t>through a written application made to the marriage officer or civil registry office later on, the wife can also use her own surname preceding that of her husband</w:t>
      </w:r>
      <w:r>
        <w:rPr>
          <w:rFonts w:ascii="Arial" w:hAnsi="Arial" w:cs="Arial"/>
          <w:sz w:val="20"/>
          <w:szCs w:val="20"/>
        </w:rPr>
        <w:t>’</w:t>
      </w:r>
      <w:r w:rsidR="00AC04AC">
        <w:rPr>
          <w:rFonts w:ascii="Arial" w:hAnsi="Arial" w:cs="Arial"/>
          <w:sz w:val="20"/>
          <w:szCs w:val="20"/>
        </w:rPr>
        <w:t>.</w:t>
      </w:r>
      <w:r>
        <w:rPr>
          <w:rStyle w:val="FootnoteReference"/>
          <w:rFonts w:ascii="Arial" w:hAnsi="Arial" w:cs="Arial"/>
          <w:sz w:val="20"/>
          <w:szCs w:val="20"/>
        </w:rPr>
        <w:footnoteReference w:id="38"/>
      </w:r>
      <w:r w:rsidRPr="00C558C2">
        <w:rPr>
          <w:rFonts w:ascii="Arial" w:hAnsi="Arial" w:cs="Arial"/>
          <w:sz w:val="20"/>
          <w:szCs w:val="20"/>
        </w:rPr>
        <w:t xml:space="preserve"> </w:t>
      </w:r>
      <w:r w:rsidR="00422E37">
        <w:rPr>
          <w:rFonts w:ascii="Arial" w:hAnsi="Arial" w:cs="Arial"/>
          <w:sz w:val="20"/>
          <w:szCs w:val="20"/>
        </w:rPr>
        <w:t>In practice, t</w:t>
      </w:r>
      <w:r w:rsidR="00422E37" w:rsidRPr="00422E37">
        <w:rPr>
          <w:rFonts w:ascii="Arial" w:hAnsi="Arial" w:cs="Arial"/>
          <w:sz w:val="20"/>
          <w:szCs w:val="20"/>
        </w:rPr>
        <w:t>he Turkish courts have changed their application of Article 187 in the last years.</w:t>
      </w:r>
      <w:r w:rsidR="00422E37">
        <w:rPr>
          <w:rStyle w:val="FootnoteReference"/>
          <w:rFonts w:ascii="Arial" w:hAnsi="Arial" w:cs="Arial"/>
          <w:sz w:val="20"/>
          <w:szCs w:val="20"/>
        </w:rPr>
        <w:footnoteReference w:id="39"/>
      </w:r>
      <w:r w:rsidR="00422E37" w:rsidRPr="00422E37">
        <w:rPr>
          <w:rFonts w:ascii="Arial" w:hAnsi="Arial" w:cs="Arial"/>
          <w:sz w:val="20"/>
          <w:szCs w:val="20"/>
        </w:rPr>
        <w:t xml:space="preserve"> </w:t>
      </w:r>
      <w:r w:rsidR="001E0C0E">
        <w:rPr>
          <w:rFonts w:ascii="Arial" w:hAnsi="Arial" w:cs="Arial"/>
          <w:sz w:val="20"/>
          <w:szCs w:val="20"/>
        </w:rPr>
        <w:t xml:space="preserve">While </w:t>
      </w:r>
      <w:r w:rsidR="00422E37" w:rsidRPr="00422E37">
        <w:rPr>
          <w:rFonts w:ascii="Arial" w:hAnsi="Arial" w:cs="Arial"/>
          <w:sz w:val="20"/>
          <w:szCs w:val="20"/>
        </w:rPr>
        <w:t xml:space="preserve">Article 187 is </w:t>
      </w:r>
      <w:r w:rsidR="001E0C0E">
        <w:rPr>
          <w:rFonts w:ascii="Arial" w:hAnsi="Arial" w:cs="Arial"/>
          <w:sz w:val="20"/>
          <w:szCs w:val="20"/>
        </w:rPr>
        <w:t xml:space="preserve">practically </w:t>
      </w:r>
      <w:r w:rsidR="00422E37" w:rsidRPr="00422E37">
        <w:rPr>
          <w:rFonts w:ascii="Arial" w:hAnsi="Arial" w:cs="Arial"/>
          <w:sz w:val="20"/>
          <w:szCs w:val="20"/>
        </w:rPr>
        <w:t>considered void by the courts</w:t>
      </w:r>
      <w:r w:rsidR="001E0C0E">
        <w:rPr>
          <w:rFonts w:ascii="Arial" w:hAnsi="Arial" w:cs="Arial"/>
          <w:sz w:val="20"/>
          <w:szCs w:val="20"/>
        </w:rPr>
        <w:t xml:space="preserve">, </w:t>
      </w:r>
      <w:r w:rsidR="00422E37" w:rsidRPr="00422E37">
        <w:rPr>
          <w:rFonts w:ascii="Arial" w:hAnsi="Arial" w:cs="Arial"/>
          <w:sz w:val="20"/>
          <w:szCs w:val="20"/>
        </w:rPr>
        <w:t xml:space="preserve">there is no amendment to the </w:t>
      </w:r>
      <w:r w:rsidR="001E0C0E">
        <w:rPr>
          <w:rFonts w:ascii="Arial" w:hAnsi="Arial" w:cs="Arial"/>
          <w:sz w:val="20"/>
          <w:szCs w:val="20"/>
        </w:rPr>
        <w:t xml:space="preserve">relevant Article in </w:t>
      </w:r>
      <w:r w:rsidR="00A2661F">
        <w:rPr>
          <w:rFonts w:ascii="Arial" w:hAnsi="Arial" w:cs="Arial"/>
          <w:sz w:val="20"/>
          <w:szCs w:val="20"/>
        </w:rPr>
        <w:t xml:space="preserve">the </w:t>
      </w:r>
      <w:r w:rsidR="0091240C">
        <w:rPr>
          <w:rFonts w:ascii="Arial" w:hAnsi="Arial" w:cs="Arial"/>
          <w:sz w:val="20"/>
          <w:szCs w:val="20"/>
        </w:rPr>
        <w:t xml:space="preserve">TCC </w:t>
      </w:r>
      <w:r w:rsidR="00422E37" w:rsidRPr="00422E37">
        <w:rPr>
          <w:rFonts w:ascii="Arial" w:hAnsi="Arial" w:cs="Arial"/>
          <w:sz w:val="20"/>
          <w:szCs w:val="20"/>
        </w:rPr>
        <w:t>so far. Even though the courts do not apply Article 187, administrative authorities adhere to it</w:t>
      </w:r>
      <w:r w:rsidR="001E0C0E">
        <w:rPr>
          <w:rFonts w:ascii="Arial" w:hAnsi="Arial" w:cs="Arial"/>
          <w:sz w:val="20"/>
          <w:szCs w:val="20"/>
        </w:rPr>
        <w:t xml:space="preserve">, </w:t>
      </w:r>
      <w:r w:rsidR="00AC04AC">
        <w:rPr>
          <w:rFonts w:ascii="Arial" w:hAnsi="Arial" w:cs="Arial"/>
          <w:sz w:val="20"/>
          <w:szCs w:val="20"/>
        </w:rPr>
        <w:t>so</w:t>
      </w:r>
      <w:r w:rsidR="001E0C0E">
        <w:rPr>
          <w:rFonts w:ascii="Arial" w:hAnsi="Arial" w:cs="Arial"/>
          <w:sz w:val="20"/>
          <w:szCs w:val="20"/>
        </w:rPr>
        <w:t xml:space="preserve"> </w:t>
      </w:r>
      <w:r w:rsidR="00422E37" w:rsidRPr="00422E37">
        <w:rPr>
          <w:rFonts w:ascii="Arial" w:hAnsi="Arial" w:cs="Arial"/>
          <w:sz w:val="20"/>
          <w:szCs w:val="20"/>
        </w:rPr>
        <w:t xml:space="preserve">a woman who does not wish to bear a family name is forced to file a lawsuit to use </w:t>
      </w:r>
      <w:r w:rsidR="00AC04AC">
        <w:rPr>
          <w:rFonts w:ascii="Arial" w:hAnsi="Arial" w:cs="Arial"/>
          <w:sz w:val="20"/>
          <w:szCs w:val="20"/>
        </w:rPr>
        <w:t>her own surname</w:t>
      </w:r>
      <w:r w:rsidR="00422E37" w:rsidRPr="00422E37">
        <w:rPr>
          <w:rFonts w:ascii="Arial" w:hAnsi="Arial" w:cs="Arial"/>
          <w:sz w:val="20"/>
          <w:szCs w:val="20"/>
        </w:rPr>
        <w:t>.</w:t>
      </w:r>
      <w:r w:rsidR="001E0C0E">
        <w:rPr>
          <w:rStyle w:val="FootnoteReference"/>
          <w:rFonts w:ascii="Arial" w:hAnsi="Arial" w:cs="Arial"/>
          <w:sz w:val="20"/>
          <w:szCs w:val="20"/>
        </w:rPr>
        <w:footnoteReference w:id="40"/>
      </w:r>
      <w:r w:rsidR="00422E37" w:rsidRPr="00422E37">
        <w:rPr>
          <w:rFonts w:ascii="Arial" w:hAnsi="Arial" w:cs="Arial"/>
          <w:sz w:val="20"/>
          <w:szCs w:val="20"/>
        </w:rPr>
        <w:t xml:space="preserve"> </w:t>
      </w:r>
    </w:p>
    <w:p w14:paraId="3C27F09E" w14:textId="6346B044" w:rsidR="00016E0A" w:rsidRDefault="00016E0A" w:rsidP="0098742A">
      <w:pPr>
        <w:autoSpaceDE w:val="0"/>
        <w:autoSpaceDN w:val="0"/>
        <w:adjustRightInd w:val="0"/>
        <w:jc w:val="both"/>
        <w:rPr>
          <w:rFonts w:ascii="Arial" w:hAnsi="Arial" w:cs="Arial"/>
          <w:sz w:val="20"/>
          <w:szCs w:val="20"/>
        </w:rPr>
      </w:pPr>
    </w:p>
    <w:p w14:paraId="74B54441" w14:textId="17366C64" w:rsidR="001E0C0E" w:rsidRDefault="00A13011" w:rsidP="0098742A">
      <w:pPr>
        <w:autoSpaceDE w:val="0"/>
        <w:autoSpaceDN w:val="0"/>
        <w:adjustRightInd w:val="0"/>
        <w:jc w:val="both"/>
        <w:rPr>
          <w:rFonts w:ascii="Arial" w:hAnsi="Arial" w:cs="Arial"/>
          <w:sz w:val="20"/>
          <w:szCs w:val="20"/>
        </w:rPr>
      </w:pPr>
      <w:r>
        <w:rPr>
          <w:rFonts w:ascii="Arial" w:hAnsi="Arial" w:cs="Arial"/>
          <w:sz w:val="20"/>
          <w:szCs w:val="20"/>
        </w:rPr>
        <w:t>The</w:t>
      </w:r>
      <w:r w:rsidR="001E0C0E">
        <w:rPr>
          <w:rFonts w:ascii="Arial" w:hAnsi="Arial" w:cs="Arial"/>
          <w:sz w:val="20"/>
          <w:szCs w:val="20"/>
        </w:rPr>
        <w:t xml:space="preserve"> </w:t>
      </w:r>
      <w:r w:rsidR="0091240C">
        <w:rPr>
          <w:rFonts w:ascii="Arial" w:hAnsi="Arial" w:cs="Arial"/>
          <w:sz w:val="20"/>
          <w:szCs w:val="20"/>
        </w:rPr>
        <w:t>TCC</w:t>
      </w:r>
      <w:r w:rsidR="001E0C0E">
        <w:rPr>
          <w:rFonts w:ascii="Arial" w:hAnsi="Arial" w:cs="Arial"/>
          <w:sz w:val="20"/>
          <w:szCs w:val="20"/>
        </w:rPr>
        <w:t xml:space="preserve"> also provides further restrictions upon the divorce of a woman. Article 173 provides that ‘i</w:t>
      </w:r>
      <w:r w:rsidR="001E0C0E" w:rsidRPr="001E0C0E">
        <w:rPr>
          <w:rFonts w:ascii="Arial" w:hAnsi="Arial" w:cs="Arial"/>
          <w:sz w:val="20"/>
          <w:szCs w:val="20"/>
        </w:rPr>
        <w:t>n case of divorce</w:t>
      </w:r>
      <w:r w:rsidR="00D033C1">
        <w:rPr>
          <w:rFonts w:ascii="Arial" w:hAnsi="Arial" w:cs="Arial"/>
          <w:sz w:val="20"/>
          <w:szCs w:val="20"/>
        </w:rPr>
        <w:t xml:space="preserve">…she </w:t>
      </w:r>
      <w:r w:rsidR="001E0C0E" w:rsidRPr="001E0C0E">
        <w:rPr>
          <w:rFonts w:ascii="Arial" w:hAnsi="Arial" w:cs="Arial"/>
          <w:sz w:val="20"/>
          <w:szCs w:val="20"/>
        </w:rPr>
        <w:t>shall take her maiden name as her surname</w:t>
      </w:r>
      <w:r w:rsidR="00F579A8">
        <w:rPr>
          <w:rFonts w:ascii="Arial" w:hAnsi="Arial" w:cs="Arial"/>
          <w:sz w:val="20"/>
          <w:szCs w:val="20"/>
        </w:rPr>
        <w:t>…</w:t>
      </w:r>
      <w:r w:rsidR="00A2661F">
        <w:rPr>
          <w:rFonts w:ascii="Arial" w:hAnsi="Arial" w:cs="Arial"/>
          <w:sz w:val="20"/>
          <w:szCs w:val="20"/>
        </w:rPr>
        <w:t xml:space="preserve"> </w:t>
      </w:r>
      <w:r w:rsidR="001E0C0E" w:rsidRPr="001E0C0E">
        <w:rPr>
          <w:rFonts w:ascii="Arial" w:hAnsi="Arial" w:cs="Arial"/>
          <w:sz w:val="20"/>
          <w:szCs w:val="20"/>
        </w:rPr>
        <w:t>She can keep the family name of the husband if she convinces the judge that she has an interest in using this name and if this does not damage the interest of the husband. The husband can ask that this permission be revoked if the conditions change.</w:t>
      </w:r>
      <w:r w:rsidR="001E0C0E">
        <w:rPr>
          <w:rFonts w:ascii="Arial" w:hAnsi="Arial" w:cs="Arial"/>
          <w:sz w:val="20"/>
          <w:szCs w:val="20"/>
        </w:rPr>
        <w:t>’</w:t>
      </w:r>
      <w:r w:rsidR="001E0C0E">
        <w:rPr>
          <w:rStyle w:val="FootnoteReference"/>
          <w:rFonts w:ascii="Arial" w:hAnsi="Arial" w:cs="Arial"/>
          <w:sz w:val="20"/>
          <w:szCs w:val="20"/>
        </w:rPr>
        <w:footnoteReference w:id="41"/>
      </w:r>
      <w:r w:rsidR="00573219">
        <w:rPr>
          <w:rFonts w:ascii="Arial" w:hAnsi="Arial" w:cs="Arial"/>
          <w:sz w:val="20"/>
          <w:szCs w:val="20"/>
        </w:rPr>
        <w:t xml:space="preserve"> </w:t>
      </w:r>
    </w:p>
    <w:p w14:paraId="054AE1EF" w14:textId="039FE160" w:rsidR="001E0C0E" w:rsidRDefault="001E0C0E" w:rsidP="0098742A">
      <w:pPr>
        <w:autoSpaceDE w:val="0"/>
        <w:autoSpaceDN w:val="0"/>
        <w:adjustRightInd w:val="0"/>
        <w:jc w:val="both"/>
        <w:rPr>
          <w:rFonts w:ascii="Arial" w:hAnsi="Arial" w:cs="Arial"/>
          <w:sz w:val="20"/>
          <w:szCs w:val="20"/>
        </w:rPr>
      </w:pPr>
    </w:p>
    <w:p w14:paraId="2CC734DE" w14:textId="1DE902BC" w:rsidR="009F4228" w:rsidRPr="0017404F" w:rsidRDefault="009F4228" w:rsidP="0098742A">
      <w:pPr>
        <w:autoSpaceDE w:val="0"/>
        <w:autoSpaceDN w:val="0"/>
        <w:adjustRightInd w:val="0"/>
        <w:jc w:val="both"/>
        <w:rPr>
          <w:rFonts w:ascii="Arial" w:hAnsi="Arial" w:cs="Arial"/>
          <w:b/>
          <w:bCs/>
          <w:sz w:val="20"/>
          <w:szCs w:val="20"/>
          <w:u w:val="single"/>
        </w:rPr>
      </w:pPr>
      <w:r w:rsidRPr="0017404F">
        <w:rPr>
          <w:rFonts w:ascii="Arial" w:hAnsi="Arial" w:cs="Arial"/>
          <w:b/>
          <w:bCs/>
          <w:sz w:val="20"/>
          <w:szCs w:val="20"/>
          <w:u w:val="single"/>
        </w:rPr>
        <w:t>Examination of the Law in Light of</w:t>
      </w:r>
      <w:r w:rsidR="006065EB">
        <w:rPr>
          <w:rFonts w:ascii="Arial" w:hAnsi="Arial" w:cs="Arial"/>
          <w:b/>
          <w:bCs/>
          <w:sz w:val="20"/>
          <w:szCs w:val="20"/>
          <w:u w:val="single"/>
        </w:rPr>
        <w:t xml:space="preserve"> Domestic and</w:t>
      </w:r>
      <w:r w:rsidRPr="0017404F">
        <w:rPr>
          <w:rFonts w:ascii="Arial" w:hAnsi="Arial" w:cs="Arial"/>
          <w:b/>
          <w:bCs/>
          <w:sz w:val="20"/>
          <w:szCs w:val="20"/>
          <w:u w:val="single"/>
        </w:rPr>
        <w:t xml:space="preserve"> International Law</w:t>
      </w:r>
    </w:p>
    <w:p w14:paraId="544E7D47" w14:textId="77777777" w:rsidR="006B6B24" w:rsidRDefault="006B6B24" w:rsidP="0098742A">
      <w:pPr>
        <w:autoSpaceDE w:val="0"/>
        <w:autoSpaceDN w:val="0"/>
        <w:adjustRightInd w:val="0"/>
        <w:jc w:val="both"/>
        <w:rPr>
          <w:rFonts w:ascii="Arial" w:hAnsi="Arial" w:cs="Arial"/>
          <w:sz w:val="20"/>
          <w:szCs w:val="20"/>
        </w:rPr>
      </w:pPr>
    </w:p>
    <w:p w14:paraId="602AAFF4" w14:textId="724339FD" w:rsidR="005365E4" w:rsidRDefault="005365E4" w:rsidP="0098742A">
      <w:pPr>
        <w:autoSpaceDE w:val="0"/>
        <w:autoSpaceDN w:val="0"/>
        <w:adjustRightInd w:val="0"/>
        <w:jc w:val="both"/>
        <w:rPr>
          <w:rFonts w:ascii="Arial" w:hAnsi="Arial" w:cs="Arial"/>
          <w:sz w:val="20"/>
          <w:szCs w:val="20"/>
        </w:rPr>
      </w:pPr>
      <w:r>
        <w:rPr>
          <w:rFonts w:ascii="Arial" w:hAnsi="Arial" w:cs="Arial"/>
          <w:sz w:val="20"/>
          <w:szCs w:val="20"/>
        </w:rPr>
        <w:t xml:space="preserve">Turkey is </w:t>
      </w:r>
      <w:r w:rsidR="00710981">
        <w:rPr>
          <w:rFonts w:ascii="Arial" w:hAnsi="Arial" w:cs="Arial"/>
          <w:sz w:val="20"/>
          <w:szCs w:val="20"/>
        </w:rPr>
        <w:t xml:space="preserve">a </w:t>
      </w:r>
      <w:r w:rsidR="007F50B5">
        <w:rPr>
          <w:rFonts w:ascii="Arial" w:hAnsi="Arial" w:cs="Arial"/>
          <w:sz w:val="20"/>
          <w:szCs w:val="20"/>
        </w:rPr>
        <w:t>State P</w:t>
      </w:r>
      <w:r>
        <w:rPr>
          <w:rFonts w:ascii="Arial" w:hAnsi="Arial" w:cs="Arial"/>
          <w:sz w:val="20"/>
          <w:szCs w:val="20"/>
        </w:rPr>
        <w:t>arty to CEDAW, Article 16</w:t>
      </w:r>
      <w:r w:rsidR="00971100">
        <w:rPr>
          <w:rFonts w:ascii="Arial" w:hAnsi="Arial" w:cs="Arial"/>
          <w:sz w:val="20"/>
          <w:szCs w:val="20"/>
        </w:rPr>
        <w:t>(1)(g)</w:t>
      </w:r>
      <w:r>
        <w:rPr>
          <w:rFonts w:ascii="Arial" w:hAnsi="Arial" w:cs="Arial"/>
          <w:sz w:val="20"/>
          <w:szCs w:val="20"/>
        </w:rPr>
        <w:t xml:space="preserve"> of which </w:t>
      </w:r>
      <w:r w:rsidR="007F50B5">
        <w:rPr>
          <w:rFonts w:ascii="Arial" w:hAnsi="Arial" w:cs="Arial"/>
          <w:sz w:val="20"/>
          <w:szCs w:val="20"/>
        </w:rPr>
        <w:t>includes an equal right for husbands and wives ‘to choose a family name’</w:t>
      </w:r>
      <w:r w:rsidR="00A2661F">
        <w:rPr>
          <w:rFonts w:ascii="Arial" w:hAnsi="Arial" w:cs="Arial"/>
          <w:sz w:val="20"/>
          <w:szCs w:val="20"/>
        </w:rPr>
        <w:t>.</w:t>
      </w:r>
      <w:r w:rsidR="007F50B5">
        <w:rPr>
          <w:rFonts w:ascii="Arial" w:hAnsi="Arial" w:cs="Arial"/>
          <w:sz w:val="20"/>
          <w:szCs w:val="20"/>
        </w:rPr>
        <w:t xml:space="preserve"> </w:t>
      </w:r>
      <w:r>
        <w:rPr>
          <w:rFonts w:ascii="Arial" w:hAnsi="Arial" w:cs="Arial"/>
          <w:sz w:val="20"/>
          <w:szCs w:val="20"/>
        </w:rPr>
        <w:t>Turkey is also party to the European Convention on Human Rights, Article 14 of which requires that the rights in the Convention must be secured ‘without discrimination on</w:t>
      </w:r>
      <w:r w:rsidR="00CB0194">
        <w:rPr>
          <w:rFonts w:ascii="Arial" w:hAnsi="Arial" w:cs="Arial"/>
          <w:sz w:val="20"/>
          <w:szCs w:val="20"/>
        </w:rPr>
        <w:t>…</w:t>
      </w:r>
      <w:r>
        <w:rPr>
          <w:rFonts w:ascii="Arial" w:hAnsi="Arial" w:cs="Arial"/>
          <w:sz w:val="20"/>
          <w:szCs w:val="20"/>
        </w:rPr>
        <w:t xml:space="preserve">sex’. </w:t>
      </w:r>
    </w:p>
    <w:p w14:paraId="68EC7930" w14:textId="77777777" w:rsidR="005365E4" w:rsidRDefault="005365E4" w:rsidP="0098742A">
      <w:pPr>
        <w:autoSpaceDE w:val="0"/>
        <w:autoSpaceDN w:val="0"/>
        <w:adjustRightInd w:val="0"/>
        <w:jc w:val="both"/>
        <w:rPr>
          <w:rFonts w:ascii="Arial" w:hAnsi="Arial" w:cs="Arial"/>
          <w:sz w:val="20"/>
          <w:szCs w:val="20"/>
        </w:rPr>
      </w:pPr>
    </w:p>
    <w:p w14:paraId="579727C8" w14:textId="71BD0283" w:rsidR="007F50B5" w:rsidRDefault="00811032" w:rsidP="0098742A">
      <w:pPr>
        <w:widowControl w:val="0"/>
        <w:ind w:right="110"/>
        <w:jc w:val="both"/>
        <w:rPr>
          <w:rFonts w:ascii="Arial" w:eastAsia="Arial" w:hAnsi="Arial" w:cs="Arial"/>
          <w:sz w:val="20"/>
          <w:szCs w:val="20"/>
        </w:rPr>
      </w:pPr>
      <w:r>
        <w:rPr>
          <w:rFonts w:ascii="Arial" w:hAnsi="Arial" w:cs="Arial"/>
          <w:sz w:val="20"/>
          <w:szCs w:val="20"/>
        </w:rPr>
        <w:t>The European Court of Human Rights</w:t>
      </w:r>
      <w:r w:rsidR="006065EB">
        <w:rPr>
          <w:rFonts w:ascii="Arial" w:hAnsi="Arial" w:cs="Arial"/>
          <w:sz w:val="20"/>
          <w:szCs w:val="20"/>
        </w:rPr>
        <w:t xml:space="preserve"> (ECHR),</w:t>
      </w:r>
      <w:r>
        <w:rPr>
          <w:rFonts w:ascii="Arial" w:hAnsi="Arial" w:cs="Arial"/>
          <w:sz w:val="20"/>
          <w:szCs w:val="20"/>
        </w:rPr>
        <w:t xml:space="preserve"> </w:t>
      </w:r>
      <w:r w:rsidR="00CB0194">
        <w:rPr>
          <w:rFonts w:ascii="Arial" w:hAnsi="Arial" w:cs="Arial"/>
          <w:sz w:val="20"/>
          <w:szCs w:val="20"/>
        </w:rPr>
        <w:t xml:space="preserve">judgments </w:t>
      </w:r>
      <w:r>
        <w:rPr>
          <w:rFonts w:ascii="Arial" w:hAnsi="Arial" w:cs="Arial"/>
          <w:sz w:val="20"/>
          <w:szCs w:val="20"/>
        </w:rPr>
        <w:t>of which Turkey is bound by, has ruled multiple times in favour of women regarding the issue of surnames.</w:t>
      </w:r>
      <w:r>
        <w:rPr>
          <w:rStyle w:val="FootnoteReference"/>
          <w:rFonts w:ascii="Arial" w:hAnsi="Arial" w:cs="Arial"/>
          <w:sz w:val="20"/>
          <w:szCs w:val="20"/>
        </w:rPr>
        <w:footnoteReference w:id="42"/>
      </w:r>
      <w:r>
        <w:rPr>
          <w:rFonts w:ascii="Arial" w:hAnsi="Arial" w:cs="Arial"/>
          <w:sz w:val="20"/>
          <w:szCs w:val="20"/>
        </w:rPr>
        <w:t xml:space="preserve"> </w:t>
      </w:r>
      <w:r w:rsidR="00994DF5">
        <w:rPr>
          <w:rFonts w:ascii="Arial" w:hAnsi="Arial" w:cs="Arial"/>
          <w:sz w:val="20"/>
          <w:szCs w:val="20"/>
        </w:rPr>
        <w:t xml:space="preserve">The Court has found that refusing to allow women to use their </w:t>
      </w:r>
      <w:r w:rsidR="008E12A9">
        <w:rPr>
          <w:rFonts w:ascii="Arial" w:hAnsi="Arial" w:cs="Arial"/>
          <w:sz w:val="20"/>
          <w:szCs w:val="20"/>
        </w:rPr>
        <w:t xml:space="preserve">maiden </w:t>
      </w:r>
      <w:r w:rsidR="00994DF5">
        <w:rPr>
          <w:rFonts w:ascii="Arial" w:hAnsi="Arial" w:cs="Arial"/>
          <w:sz w:val="20"/>
          <w:szCs w:val="20"/>
        </w:rPr>
        <w:t>name</w:t>
      </w:r>
      <w:r w:rsidR="00A2661F">
        <w:rPr>
          <w:rFonts w:ascii="Arial" w:hAnsi="Arial" w:cs="Arial"/>
          <w:sz w:val="20"/>
          <w:szCs w:val="20"/>
        </w:rPr>
        <w:t>s</w:t>
      </w:r>
      <w:r w:rsidR="00994DF5">
        <w:rPr>
          <w:rFonts w:ascii="Arial" w:hAnsi="Arial" w:cs="Arial"/>
          <w:sz w:val="20"/>
          <w:szCs w:val="20"/>
        </w:rPr>
        <w:t xml:space="preserve"> is a difference in treatment based on gender</w:t>
      </w:r>
      <w:r w:rsidR="00A13011">
        <w:rPr>
          <w:rFonts w:ascii="Arial" w:hAnsi="Arial" w:cs="Arial"/>
          <w:sz w:val="20"/>
          <w:szCs w:val="20"/>
        </w:rPr>
        <w:t xml:space="preserve"> without any </w:t>
      </w:r>
      <w:r w:rsidR="00994DF5">
        <w:rPr>
          <w:rFonts w:ascii="Arial" w:hAnsi="Arial" w:cs="Arial"/>
          <w:sz w:val="20"/>
          <w:szCs w:val="20"/>
        </w:rPr>
        <w:t xml:space="preserve">reasonable justification, </w:t>
      </w:r>
      <w:r w:rsidR="00A13011">
        <w:rPr>
          <w:rFonts w:ascii="Arial" w:hAnsi="Arial" w:cs="Arial"/>
          <w:sz w:val="20"/>
          <w:szCs w:val="20"/>
        </w:rPr>
        <w:t xml:space="preserve">constituting </w:t>
      </w:r>
      <w:r w:rsidR="00994DF5">
        <w:rPr>
          <w:rFonts w:ascii="Arial" w:hAnsi="Arial" w:cs="Arial"/>
          <w:sz w:val="20"/>
          <w:szCs w:val="20"/>
        </w:rPr>
        <w:t>a violation of Article 14 in conjunction with Article 8</w:t>
      </w:r>
      <w:r w:rsidR="00994DF5">
        <w:rPr>
          <w:rStyle w:val="FootnoteReference"/>
          <w:rFonts w:ascii="Arial" w:hAnsi="Arial" w:cs="Arial"/>
          <w:sz w:val="20"/>
          <w:szCs w:val="20"/>
        </w:rPr>
        <w:footnoteReference w:id="43"/>
      </w:r>
      <w:r w:rsidR="00994DF5">
        <w:rPr>
          <w:rFonts w:ascii="Arial" w:hAnsi="Arial" w:cs="Arial"/>
          <w:sz w:val="20"/>
          <w:szCs w:val="20"/>
        </w:rPr>
        <w:t xml:space="preserve"> of the </w:t>
      </w:r>
      <w:r w:rsidR="00994DF5" w:rsidRPr="003E22FC">
        <w:rPr>
          <w:rFonts w:ascii="Arial" w:hAnsi="Arial" w:cs="Arial"/>
          <w:sz w:val="20"/>
          <w:szCs w:val="20"/>
        </w:rPr>
        <w:t>European Convention on Human Rights.</w:t>
      </w:r>
      <w:r w:rsidR="00994DF5" w:rsidRPr="003E22FC">
        <w:rPr>
          <w:rStyle w:val="FootnoteReference"/>
          <w:rFonts w:ascii="Arial" w:hAnsi="Arial" w:cs="Arial"/>
          <w:sz w:val="20"/>
          <w:szCs w:val="20"/>
        </w:rPr>
        <w:footnoteReference w:id="44"/>
      </w:r>
      <w:r w:rsidR="00994DF5" w:rsidRPr="003E22FC">
        <w:rPr>
          <w:rFonts w:ascii="Arial" w:hAnsi="Arial" w:cs="Arial"/>
          <w:sz w:val="20"/>
          <w:szCs w:val="20"/>
        </w:rPr>
        <w:t xml:space="preserve"> </w:t>
      </w:r>
      <w:r w:rsidR="000E7EA7" w:rsidRPr="003E22FC">
        <w:rPr>
          <w:rFonts w:ascii="Arial" w:eastAsia="Arial" w:hAnsi="Arial" w:cs="Arial"/>
          <w:sz w:val="20"/>
          <w:szCs w:val="20"/>
        </w:rPr>
        <w:t>In Ünal Tekeli v. Turkey,</w:t>
      </w:r>
      <w:r w:rsidR="000E7EA7" w:rsidRPr="003E22FC">
        <w:rPr>
          <w:rStyle w:val="FootnoteReference"/>
          <w:rFonts w:ascii="Arial" w:eastAsia="Arial" w:hAnsi="Arial" w:cs="Arial"/>
          <w:sz w:val="20"/>
          <w:szCs w:val="20"/>
        </w:rPr>
        <w:footnoteReference w:id="45"/>
      </w:r>
      <w:r w:rsidR="000E7EA7" w:rsidRPr="003E22FC">
        <w:rPr>
          <w:rFonts w:ascii="Arial" w:eastAsia="Arial" w:hAnsi="Arial" w:cs="Arial"/>
          <w:sz w:val="20"/>
          <w:szCs w:val="20"/>
        </w:rPr>
        <w:t xml:space="preserve"> the Court concluded that the prohibition of use of the surname Ünal had a negative impact on professional activities as well as on other social fields. The purpose of reflecting family unity with a common family name was not found as an adequate ground for the discrimination based on sex. </w:t>
      </w:r>
    </w:p>
    <w:p w14:paraId="48185AE8" w14:textId="77777777" w:rsidR="007F50B5" w:rsidRDefault="007F50B5" w:rsidP="0098742A">
      <w:pPr>
        <w:widowControl w:val="0"/>
        <w:ind w:right="110"/>
        <w:jc w:val="both"/>
        <w:rPr>
          <w:rFonts w:ascii="Arial" w:eastAsia="Arial" w:hAnsi="Arial" w:cs="Arial"/>
          <w:sz w:val="20"/>
          <w:szCs w:val="20"/>
        </w:rPr>
      </w:pPr>
    </w:p>
    <w:p w14:paraId="52FE0CA0" w14:textId="7781AAC2" w:rsidR="00CF6BB0" w:rsidRPr="00CF6BB0" w:rsidRDefault="00CF6BB0" w:rsidP="0017404F">
      <w:pPr>
        <w:widowControl w:val="0"/>
        <w:ind w:right="108"/>
        <w:jc w:val="both"/>
        <w:rPr>
          <w:rFonts w:ascii="Arial" w:eastAsia="Arial" w:hAnsi="Arial" w:cs="Arial"/>
          <w:sz w:val="20"/>
          <w:szCs w:val="20"/>
          <w:highlight w:val="yellow"/>
        </w:rPr>
      </w:pPr>
      <w:r w:rsidRPr="003E22FC">
        <w:rPr>
          <w:rFonts w:ascii="Arial" w:hAnsi="Arial" w:cs="Arial"/>
          <w:sz w:val="20"/>
          <w:szCs w:val="20"/>
        </w:rPr>
        <w:t xml:space="preserve">However, despite all these rulings of the </w:t>
      </w:r>
      <w:r w:rsidR="006065EB">
        <w:rPr>
          <w:rFonts w:ascii="Arial" w:hAnsi="Arial" w:cs="Arial"/>
          <w:sz w:val="20"/>
          <w:szCs w:val="20"/>
        </w:rPr>
        <w:t xml:space="preserve">ECHR, </w:t>
      </w:r>
      <w:r w:rsidRPr="003E22FC">
        <w:rPr>
          <w:rFonts w:ascii="Arial" w:hAnsi="Arial" w:cs="Arial"/>
          <w:sz w:val="20"/>
          <w:szCs w:val="20"/>
        </w:rPr>
        <w:t xml:space="preserve">Article 187 of the </w:t>
      </w:r>
      <w:r w:rsidR="0091240C">
        <w:rPr>
          <w:rFonts w:ascii="Arial" w:hAnsi="Arial" w:cs="Arial"/>
          <w:sz w:val="20"/>
          <w:szCs w:val="20"/>
        </w:rPr>
        <w:t>TCC</w:t>
      </w:r>
      <w:r w:rsidRPr="003E22FC">
        <w:rPr>
          <w:rFonts w:ascii="Arial" w:hAnsi="Arial" w:cs="Arial"/>
          <w:sz w:val="20"/>
          <w:szCs w:val="20"/>
        </w:rPr>
        <w:t xml:space="preserve"> remains in place, and married</w:t>
      </w:r>
      <w:r w:rsidRPr="00016E0A">
        <w:rPr>
          <w:rFonts w:ascii="Arial" w:hAnsi="Arial" w:cs="Arial"/>
          <w:sz w:val="20"/>
          <w:szCs w:val="20"/>
        </w:rPr>
        <w:t xml:space="preserve"> women must resort to court proceedings </w:t>
      </w:r>
      <w:r w:rsidR="006065EB">
        <w:rPr>
          <w:rFonts w:ascii="Arial" w:hAnsi="Arial" w:cs="Arial"/>
          <w:sz w:val="20"/>
          <w:szCs w:val="20"/>
        </w:rPr>
        <w:t xml:space="preserve">for </w:t>
      </w:r>
      <w:r w:rsidRPr="00016E0A">
        <w:rPr>
          <w:rFonts w:ascii="Arial" w:hAnsi="Arial" w:cs="Arial"/>
          <w:sz w:val="20"/>
          <w:szCs w:val="20"/>
        </w:rPr>
        <w:t>the right to maintain their own surname</w:t>
      </w:r>
      <w:r>
        <w:rPr>
          <w:rFonts w:ascii="Arial" w:hAnsi="Arial" w:cs="Arial"/>
          <w:sz w:val="20"/>
          <w:szCs w:val="20"/>
        </w:rPr>
        <w:t>.</w:t>
      </w:r>
    </w:p>
    <w:p w14:paraId="5F42F41D" w14:textId="77777777" w:rsidR="00CF6BB0" w:rsidRDefault="00CF6BB0" w:rsidP="0098742A">
      <w:pPr>
        <w:widowControl w:val="0"/>
        <w:ind w:right="110"/>
        <w:jc w:val="both"/>
        <w:rPr>
          <w:rFonts w:ascii="Arial" w:eastAsia="Arial" w:hAnsi="Arial" w:cs="Arial"/>
          <w:sz w:val="20"/>
          <w:szCs w:val="20"/>
          <w:highlight w:val="yellow"/>
        </w:rPr>
      </w:pPr>
    </w:p>
    <w:p w14:paraId="5C64E4F0" w14:textId="20EC49F3" w:rsidR="009F4228" w:rsidRDefault="00CF6BB0" w:rsidP="00971100">
      <w:pPr>
        <w:shd w:val="clear" w:color="auto" w:fill="FFFFFF"/>
        <w:jc w:val="both"/>
        <w:rPr>
          <w:rFonts w:ascii="Arial" w:eastAsia="Arial" w:hAnsi="Arial" w:cs="Arial"/>
          <w:sz w:val="20"/>
          <w:szCs w:val="20"/>
        </w:rPr>
      </w:pPr>
      <w:r w:rsidRPr="003E22FC">
        <w:rPr>
          <w:rFonts w:ascii="Arial" w:eastAsia="Arial" w:hAnsi="Arial" w:cs="Arial"/>
          <w:sz w:val="20"/>
          <w:szCs w:val="20"/>
        </w:rPr>
        <w:t>The surname issue was also brought before the Constitutional Court of Turkey</w:t>
      </w:r>
      <w:r w:rsidR="00AA50F8" w:rsidRPr="003E22FC">
        <w:rPr>
          <w:rFonts w:ascii="Arial" w:eastAsia="Arial" w:hAnsi="Arial" w:cs="Arial"/>
          <w:sz w:val="20"/>
          <w:szCs w:val="20"/>
        </w:rPr>
        <w:t xml:space="preserve"> in 2011,</w:t>
      </w:r>
      <w:r w:rsidR="00585F75" w:rsidRPr="003E22FC">
        <w:rPr>
          <w:rStyle w:val="FootnoteReference"/>
          <w:rFonts w:ascii="Arial" w:eastAsia="Arial" w:hAnsi="Arial" w:cs="Arial"/>
          <w:sz w:val="20"/>
          <w:szCs w:val="20"/>
        </w:rPr>
        <w:footnoteReference w:id="46"/>
      </w:r>
      <w:r w:rsidR="00AA50F8" w:rsidRPr="003E22FC">
        <w:rPr>
          <w:rFonts w:ascii="Arial" w:eastAsia="Arial" w:hAnsi="Arial" w:cs="Arial"/>
          <w:sz w:val="20"/>
          <w:szCs w:val="20"/>
        </w:rPr>
        <w:t xml:space="preserve"> </w:t>
      </w:r>
      <w:r w:rsidR="00657092">
        <w:rPr>
          <w:rFonts w:ascii="Arial" w:eastAsia="Arial" w:hAnsi="Arial" w:cs="Arial"/>
          <w:sz w:val="20"/>
          <w:szCs w:val="20"/>
        </w:rPr>
        <w:t xml:space="preserve">when applicants </w:t>
      </w:r>
      <w:r w:rsidR="00AA50F8" w:rsidRPr="00971100">
        <w:rPr>
          <w:rFonts w:ascii="Arial" w:eastAsia="Arial" w:hAnsi="Arial" w:cs="Arial"/>
          <w:sz w:val="20"/>
          <w:szCs w:val="20"/>
        </w:rPr>
        <w:t>sought</w:t>
      </w:r>
      <w:r w:rsidR="00657092">
        <w:rPr>
          <w:rFonts w:ascii="Arial" w:eastAsia="Arial" w:hAnsi="Arial" w:cs="Arial"/>
          <w:sz w:val="20"/>
          <w:szCs w:val="20"/>
        </w:rPr>
        <w:t xml:space="preserve"> permission</w:t>
      </w:r>
      <w:r w:rsidR="00AA50F8" w:rsidRPr="00971100">
        <w:rPr>
          <w:rFonts w:ascii="Arial" w:eastAsia="Arial" w:hAnsi="Arial" w:cs="Arial"/>
          <w:sz w:val="20"/>
          <w:szCs w:val="20"/>
        </w:rPr>
        <w:t xml:space="preserve"> to use their </w:t>
      </w:r>
      <w:r w:rsidR="008E12A9">
        <w:rPr>
          <w:rFonts w:ascii="Arial" w:eastAsia="Arial" w:hAnsi="Arial" w:cs="Arial"/>
          <w:sz w:val="20"/>
          <w:szCs w:val="20"/>
        </w:rPr>
        <w:t>maiden</w:t>
      </w:r>
      <w:r w:rsidR="009B01DF" w:rsidRPr="00971100">
        <w:rPr>
          <w:rFonts w:ascii="Arial" w:eastAsia="Arial" w:hAnsi="Arial" w:cs="Arial"/>
          <w:sz w:val="20"/>
          <w:szCs w:val="20"/>
        </w:rPr>
        <w:t xml:space="preserve"> </w:t>
      </w:r>
      <w:r w:rsidR="00AA50F8" w:rsidRPr="00971100">
        <w:rPr>
          <w:rFonts w:ascii="Arial" w:eastAsia="Arial" w:hAnsi="Arial" w:cs="Arial"/>
          <w:sz w:val="20"/>
          <w:szCs w:val="20"/>
        </w:rPr>
        <w:t xml:space="preserve">names. </w:t>
      </w:r>
      <w:r w:rsidR="00657092">
        <w:rPr>
          <w:rFonts w:ascii="Arial" w:eastAsia="Arial" w:hAnsi="Arial" w:cs="Arial"/>
          <w:sz w:val="20"/>
          <w:szCs w:val="20"/>
        </w:rPr>
        <w:t>The</w:t>
      </w:r>
      <w:r w:rsidR="00AA50F8" w:rsidRPr="00971100">
        <w:rPr>
          <w:rFonts w:ascii="Arial" w:eastAsia="Arial" w:hAnsi="Arial" w:cs="Arial"/>
          <w:sz w:val="20"/>
          <w:szCs w:val="20"/>
        </w:rPr>
        <w:t xml:space="preserve"> </w:t>
      </w:r>
      <w:r w:rsidR="00585F75" w:rsidRPr="00971100">
        <w:rPr>
          <w:rFonts w:ascii="Arial" w:eastAsia="Arial" w:hAnsi="Arial" w:cs="Arial"/>
          <w:sz w:val="20"/>
          <w:szCs w:val="20"/>
        </w:rPr>
        <w:t xml:space="preserve">Court denied the request and found that </w:t>
      </w:r>
      <w:r w:rsidR="00585F75" w:rsidRPr="00971100">
        <w:rPr>
          <w:rFonts w:ascii="Arial" w:eastAsia="Arial" w:hAnsi="Arial" w:cs="Arial"/>
          <w:sz w:val="20"/>
          <w:szCs w:val="20"/>
        </w:rPr>
        <w:lastRenderedPageBreak/>
        <w:t>the legislature did not abuse its discretion in determining that the husband’s surname should be the family name, because surnames are important to identify the family and ancestry, and that the law benefits public welfare and order. The Court also reasoned that the family is the foundation of the Turkish society and requires the State to promulgate necessary regulations to preserve the family.</w:t>
      </w:r>
      <w:r w:rsidR="00AA50F8" w:rsidRPr="00971100">
        <w:rPr>
          <w:rFonts w:ascii="Arial" w:eastAsia="Arial" w:hAnsi="Arial" w:cs="Arial"/>
          <w:sz w:val="20"/>
          <w:szCs w:val="20"/>
        </w:rPr>
        <w:t xml:space="preserve"> </w:t>
      </w:r>
      <w:r w:rsidR="00585F75" w:rsidRPr="00971100">
        <w:rPr>
          <w:rFonts w:ascii="Arial" w:eastAsia="Arial" w:hAnsi="Arial" w:cs="Arial"/>
          <w:sz w:val="20"/>
          <w:szCs w:val="20"/>
        </w:rPr>
        <w:t>However, the Constitutional Court did rule in its decision in 2015</w:t>
      </w:r>
      <w:r w:rsidR="00585F75" w:rsidRPr="00971100">
        <w:rPr>
          <w:rStyle w:val="FootnoteReference"/>
          <w:rFonts w:ascii="Arial" w:eastAsia="Arial" w:hAnsi="Arial" w:cs="Arial"/>
          <w:sz w:val="20"/>
          <w:szCs w:val="20"/>
        </w:rPr>
        <w:footnoteReference w:id="47"/>
      </w:r>
      <w:r w:rsidR="00585F75" w:rsidRPr="00971100">
        <w:rPr>
          <w:rFonts w:ascii="Arial" w:eastAsia="Arial" w:hAnsi="Arial" w:cs="Arial"/>
          <w:sz w:val="20"/>
          <w:szCs w:val="20"/>
        </w:rPr>
        <w:t xml:space="preserve"> that the woman's request to change the surname of the child whose right of parental custody was given to her is rightful and valid.</w:t>
      </w:r>
    </w:p>
    <w:p w14:paraId="411E506A" w14:textId="26255DB6" w:rsidR="006065EB" w:rsidRDefault="006065EB" w:rsidP="00971100">
      <w:pPr>
        <w:shd w:val="clear" w:color="auto" w:fill="FFFFFF"/>
        <w:jc w:val="both"/>
        <w:rPr>
          <w:rFonts w:ascii="Arial" w:eastAsia="Arial" w:hAnsi="Arial" w:cs="Arial"/>
          <w:sz w:val="20"/>
          <w:szCs w:val="20"/>
        </w:rPr>
      </w:pPr>
    </w:p>
    <w:p w14:paraId="0288DE78" w14:textId="3C63B45A" w:rsidR="006065EB" w:rsidRDefault="006065EB" w:rsidP="00971100">
      <w:pPr>
        <w:shd w:val="clear" w:color="auto" w:fill="FFFFFF"/>
        <w:jc w:val="both"/>
        <w:rPr>
          <w:rFonts w:ascii="Arial" w:eastAsia="Arial" w:hAnsi="Arial" w:cs="Arial"/>
          <w:sz w:val="20"/>
          <w:szCs w:val="20"/>
        </w:rPr>
      </w:pPr>
      <w:r>
        <w:rPr>
          <w:rFonts w:ascii="Arial" w:eastAsia="Arial" w:hAnsi="Arial" w:cs="Arial"/>
          <w:sz w:val="20"/>
          <w:szCs w:val="20"/>
        </w:rPr>
        <w:t xml:space="preserve">Therefore, the existing surname law not only contradicts </w:t>
      </w:r>
      <w:r w:rsidR="00635848">
        <w:rPr>
          <w:rFonts w:ascii="Arial" w:eastAsia="Arial" w:hAnsi="Arial" w:cs="Arial"/>
          <w:sz w:val="20"/>
          <w:szCs w:val="20"/>
        </w:rPr>
        <w:t>c</w:t>
      </w:r>
      <w:r>
        <w:rPr>
          <w:rFonts w:ascii="Arial" w:eastAsia="Arial" w:hAnsi="Arial" w:cs="Arial"/>
          <w:sz w:val="20"/>
          <w:szCs w:val="20"/>
        </w:rPr>
        <w:t xml:space="preserve">onstitutional provisions of equality between spouses, but also undermines the judgments of the ECHR. </w:t>
      </w:r>
    </w:p>
    <w:p w14:paraId="5FA9D57D" w14:textId="77777777" w:rsidR="00971100" w:rsidRPr="00971100" w:rsidRDefault="00971100" w:rsidP="0017404F">
      <w:pPr>
        <w:shd w:val="clear" w:color="auto" w:fill="FFFFFF"/>
        <w:jc w:val="both"/>
        <w:rPr>
          <w:rFonts w:ascii="Arial" w:eastAsia="Arial" w:hAnsi="Arial" w:cs="Arial"/>
          <w:sz w:val="20"/>
          <w:szCs w:val="20"/>
        </w:rPr>
      </w:pPr>
    </w:p>
    <w:p w14:paraId="293A8BF8" w14:textId="13902002" w:rsidR="00DF2C71" w:rsidRPr="0017404F" w:rsidRDefault="00573219" w:rsidP="00971100">
      <w:pPr>
        <w:autoSpaceDE w:val="0"/>
        <w:autoSpaceDN w:val="0"/>
        <w:adjustRightInd w:val="0"/>
        <w:rPr>
          <w:rFonts w:ascii="Arial" w:hAnsi="Arial" w:cs="Arial"/>
          <w:b/>
          <w:bCs/>
          <w:sz w:val="20"/>
          <w:szCs w:val="20"/>
          <w:u w:val="single"/>
        </w:rPr>
      </w:pPr>
      <w:r w:rsidRPr="0017404F">
        <w:rPr>
          <w:rFonts w:ascii="Arial" w:hAnsi="Arial" w:cs="Arial"/>
          <w:b/>
          <w:bCs/>
          <w:sz w:val="20"/>
          <w:szCs w:val="20"/>
          <w:u w:val="single"/>
        </w:rPr>
        <w:t>Practical Ramifications:</w:t>
      </w:r>
    </w:p>
    <w:p w14:paraId="4ED2A53A" w14:textId="02198880" w:rsidR="00573219" w:rsidRPr="0017404F" w:rsidRDefault="00573219" w:rsidP="00971100">
      <w:pPr>
        <w:autoSpaceDE w:val="0"/>
        <w:autoSpaceDN w:val="0"/>
        <w:adjustRightInd w:val="0"/>
        <w:rPr>
          <w:rFonts w:ascii="Arial" w:hAnsi="Arial" w:cs="Arial"/>
          <w:sz w:val="20"/>
          <w:szCs w:val="20"/>
        </w:rPr>
      </w:pPr>
    </w:p>
    <w:p w14:paraId="6A0CDAF7" w14:textId="23DDAEBE" w:rsidR="00D033C1" w:rsidRPr="00971100" w:rsidRDefault="00573219" w:rsidP="0098742A">
      <w:pPr>
        <w:autoSpaceDE w:val="0"/>
        <w:autoSpaceDN w:val="0"/>
        <w:adjustRightInd w:val="0"/>
        <w:jc w:val="both"/>
        <w:rPr>
          <w:rFonts w:ascii="Arial" w:hAnsi="Arial" w:cs="Arial"/>
          <w:sz w:val="20"/>
          <w:szCs w:val="20"/>
        </w:rPr>
      </w:pPr>
      <w:r w:rsidRPr="00971100">
        <w:rPr>
          <w:rFonts w:ascii="Arial" w:hAnsi="Arial" w:cs="Arial"/>
          <w:sz w:val="20"/>
          <w:szCs w:val="20"/>
        </w:rPr>
        <w:t>The requirement for women</w:t>
      </w:r>
      <w:r w:rsidR="00D033C1" w:rsidRPr="00971100">
        <w:rPr>
          <w:rFonts w:ascii="Arial" w:hAnsi="Arial" w:cs="Arial"/>
          <w:sz w:val="20"/>
          <w:szCs w:val="20"/>
        </w:rPr>
        <w:t xml:space="preserve"> </w:t>
      </w:r>
      <w:r w:rsidRPr="00971100">
        <w:rPr>
          <w:rFonts w:ascii="Arial" w:hAnsi="Arial" w:cs="Arial"/>
          <w:sz w:val="20"/>
          <w:szCs w:val="20"/>
        </w:rPr>
        <w:t xml:space="preserve">to change their surnames has many practical disadvantages for them. </w:t>
      </w:r>
      <w:r w:rsidR="00D033C1" w:rsidRPr="00971100">
        <w:rPr>
          <w:rFonts w:ascii="Arial" w:hAnsi="Arial" w:cs="Arial"/>
          <w:sz w:val="20"/>
          <w:szCs w:val="20"/>
        </w:rPr>
        <w:t>Firstly, they are required to amend their personal details on all of their official and non-</w:t>
      </w:r>
      <w:r w:rsidR="00635848" w:rsidRPr="00971100">
        <w:rPr>
          <w:rFonts w:ascii="Arial" w:hAnsi="Arial" w:cs="Arial"/>
          <w:sz w:val="20"/>
          <w:szCs w:val="20"/>
        </w:rPr>
        <w:t>official</w:t>
      </w:r>
      <w:r w:rsidR="00D033C1" w:rsidRPr="00971100">
        <w:rPr>
          <w:rFonts w:ascii="Arial" w:hAnsi="Arial" w:cs="Arial"/>
          <w:sz w:val="20"/>
          <w:szCs w:val="20"/>
        </w:rPr>
        <w:t xml:space="preserve"> documents including their passports, driver’s licenses, identity cards and credit cards.</w:t>
      </w:r>
      <w:r w:rsidR="00D033C1" w:rsidRPr="0017404F">
        <w:rPr>
          <w:rStyle w:val="FootnoteReference"/>
          <w:rFonts w:ascii="Arial" w:hAnsi="Arial" w:cs="Arial"/>
          <w:sz w:val="20"/>
          <w:szCs w:val="20"/>
        </w:rPr>
        <w:footnoteReference w:id="48"/>
      </w:r>
      <w:r w:rsidR="00D033C1" w:rsidRPr="0017404F">
        <w:rPr>
          <w:rStyle w:val="FootnoteReference"/>
          <w:rFonts w:ascii="Arial" w:hAnsi="Arial" w:cs="Arial"/>
        </w:rPr>
        <w:t xml:space="preserve"> </w:t>
      </w:r>
      <w:r w:rsidR="00D033C1" w:rsidRPr="00971100">
        <w:rPr>
          <w:rFonts w:ascii="Arial" w:hAnsi="Arial" w:cs="Arial"/>
          <w:sz w:val="20"/>
          <w:szCs w:val="20"/>
        </w:rPr>
        <w:t xml:space="preserve">This is applicable not just when women get married, but also upon divorce. </w:t>
      </w:r>
      <w:r w:rsidR="00677946" w:rsidRPr="00971100">
        <w:rPr>
          <w:rFonts w:ascii="Arial" w:hAnsi="Arial" w:cs="Arial"/>
          <w:sz w:val="20"/>
          <w:szCs w:val="20"/>
        </w:rPr>
        <w:t>Another effect of such a law is</w:t>
      </w:r>
      <w:r w:rsidR="00677946">
        <w:rPr>
          <w:rFonts w:ascii="Arial" w:hAnsi="Arial" w:cs="Arial"/>
          <w:sz w:val="20"/>
          <w:szCs w:val="20"/>
        </w:rPr>
        <w:t xml:space="preserve"> </w:t>
      </w:r>
      <w:r w:rsidR="00677946" w:rsidRPr="00971100">
        <w:rPr>
          <w:rFonts w:ascii="Arial" w:hAnsi="Arial" w:cs="Arial"/>
          <w:sz w:val="20"/>
          <w:szCs w:val="20"/>
        </w:rPr>
        <w:t>that women are compelled to announce their marital status or any change thereto immediately after such a change takes place. This also creates issues of identity for women, whose surnames continue to depend on their marital status, and hence, the will of the husband as well.</w:t>
      </w:r>
      <w:r w:rsidR="00A65505" w:rsidRPr="00971100">
        <w:rPr>
          <w:rStyle w:val="FootnoteReference"/>
          <w:rFonts w:ascii="Arial" w:hAnsi="Arial" w:cs="Arial"/>
          <w:sz w:val="20"/>
          <w:szCs w:val="20"/>
        </w:rPr>
        <w:footnoteReference w:id="49"/>
      </w:r>
      <w:r w:rsidR="00677946" w:rsidRPr="00971100">
        <w:rPr>
          <w:rFonts w:ascii="Arial" w:hAnsi="Arial" w:cs="Arial"/>
          <w:sz w:val="20"/>
          <w:szCs w:val="20"/>
        </w:rPr>
        <w:t xml:space="preserve"> </w:t>
      </w:r>
    </w:p>
    <w:p w14:paraId="6904A590" w14:textId="77777777" w:rsidR="00677946" w:rsidRPr="0017404F" w:rsidRDefault="00677946" w:rsidP="0098742A">
      <w:pPr>
        <w:rPr>
          <w:rFonts w:ascii="Arial" w:hAnsi="Arial" w:cs="Arial"/>
          <w:sz w:val="20"/>
          <w:szCs w:val="20"/>
        </w:rPr>
      </w:pPr>
    </w:p>
    <w:p w14:paraId="3C82D52E" w14:textId="716D51CF" w:rsidR="00D435A5" w:rsidRDefault="00DA0D51" w:rsidP="0098742A">
      <w:pPr>
        <w:jc w:val="both"/>
        <w:rPr>
          <w:rFonts w:ascii="Arial" w:hAnsi="Arial" w:cs="Arial"/>
          <w:sz w:val="20"/>
          <w:szCs w:val="20"/>
        </w:rPr>
      </w:pPr>
      <w:r w:rsidRPr="00971100">
        <w:rPr>
          <w:rFonts w:ascii="Arial" w:hAnsi="Arial" w:cs="Arial"/>
          <w:sz w:val="20"/>
          <w:szCs w:val="20"/>
        </w:rPr>
        <w:t xml:space="preserve">Moreover, if a man changes his surname on a justifiable cause in accordance with Article 27 of the </w:t>
      </w:r>
      <w:r w:rsidR="0091240C">
        <w:rPr>
          <w:rFonts w:ascii="Arial" w:hAnsi="Arial" w:cs="Arial"/>
          <w:sz w:val="20"/>
          <w:szCs w:val="20"/>
        </w:rPr>
        <w:t>TCC</w:t>
      </w:r>
      <w:r w:rsidRPr="00971100">
        <w:rPr>
          <w:rFonts w:ascii="Arial" w:hAnsi="Arial" w:cs="Arial"/>
          <w:sz w:val="20"/>
          <w:szCs w:val="20"/>
        </w:rPr>
        <w:t xml:space="preserve">, the wife also has to change her surname accordingly. On the contrary, if she can prove a justifiable cause, she still cannot change </w:t>
      </w:r>
      <w:r w:rsidR="00A2661F">
        <w:rPr>
          <w:rFonts w:ascii="Arial" w:hAnsi="Arial" w:cs="Arial"/>
          <w:sz w:val="20"/>
          <w:szCs w:val="20"/>
        </w:rPr>
        <w:t>t</w:t>
      </w:r>
      <w:r w:rsidRPr="00971100">
        <w:rPr>
          <w:rFonts w:ascii="Arial" w:hAnsi="Arial" w:cs="Arial"/>
          <w:sz w:val="20"/>
          <w:szCs w:val="20"/>
        </w:rPr>
        <w:t>he surname that she received from her husband.</w:t>
      </w:r>
      <w:r w:rsidRPr="00971100">
        <w:rPr>
          <w:rStyle w:val="FootnoteReference"/>
          <w:rFonts w:ascii="Arial" w:hAnsi="Arial" w:cs="Arial"/>
          <w:sz w:val="20"/>
          <w:szCs w:val="20"/>
        </w:rPr>
        <w:footnoteReference w:id="50"/>
      </w:r>
      <w:r w:rsidR="00B2700D" w:rsidRPr="00971100">
        <w:rPr>
          <w:rFonts w:ascii="Arial" w:hAnsi="Arial" w:cs="Arial"/>
          <w:sz w:val="20"/>
          <w:szCs w:val="20"/>
        </w:rPr>
        <w:t xml:space="preserve"> </w:t>
      </w:r>
      <w:r w:rsidR="00016E0A" w:rsidRPr="00971100">
        <w:rPr>
          <w:rFonts w:ascii="Arial" w:hAnsi="Arial" w:cs="Arial"/>
          <w:sz w:val="20"/>
          <w:szCs w:val="20"/>
        </w:rPr>
        <w:t>Such laws not only create inequalities between men and women, but also limit women from having</w:t>
      </w:r>
      <w:r w:rsidR="00B2700D" w:rsidRPr="00971100">
        <w:rPr>
          <w:rFonts w:ascii="Arial" w:hAnsi="Arial" w:cs="Arial"/>
          <w:sz w:val="20"/>
          <w:szCs w:val="20"/>
        </w:rPr>
        <w:t xml:space="preserve"> </w:t>
      </w:r>
      <w:r w:rsidR="00016E0A" w:rsidRPr="00971100">
        <w:rPr>
          <w:rFonts w:ascii="Arial" w:hAnsi="Arial" w:cs="Arial"/>
          <w:sz w:val="20"/>
          <w:szCs w:val="20"/>
        </w:rPr>
        <w:t>an identity independent of men.</w:t>
      </w:r>
      <w:r w:rsidR="00016E0A" w:rsidRPr="0017404F">
        <w:rPr>
          <w:rFonts w:ascii="Arial" w:hAnsi="Arial" w:cs="Arial"/>
          <w:sz w:val="20"/>
          <w:szCs w:val="20"/>
        </w:rPr>
        <w:t xml:space="preserve"> </w:t>
      </w:r>
    </w:p>
    <w:p w14:paraId="7BFB6F41" w14:textId="131AC29E" w:rsidR="00BA297F" w:rsidRDefault="00BA297F" w:rsidP="0098742A">
      <w:pPr>
        <w:jc w:val="both"/>
        <w:rPr>
          <w:rFonts w:ascii="Arial" w:hAnsi="Arial" w:cs="Arial"/>
          <w:sz w:val="20"/>
          <w:szCs w:val="20"/>
        </w:rPr>
      </w:pPr>
    </w:p>
    <w:p w14:paraId="04A8E871" w14:textId="67B48268" w:rsidR="00BA297F" w:rsidRDefault="00D6790F" w:rsidP="0098742A">
      <w:pPr>
        <w:jc w:val="both"/>
        <w:rPr>
          <w:rFonts w:ascii="Arial" w:hAnsi="Arial" w:cs="Arial"/>
          <w:b/>
          <w:bCs/>
          <w:sz w:val="20"/>
          <w:szCs w:val="20"/>
          <w:u w:val="single"/>
        </w:rPr>
      </w:pPr>
      <w:r>
        <w:rPr>
          <w:rFonts w:ascii="Arial" w:hAnsi="Arial" w:cs="Arial"/>
          <w:b/>
          <w:bCs/>
          <w:sz w:val="20"/>
          <w:szCs w:val="20"/>
          <w:u w:val="single"/>
        </w:rPr>
        <w:t>Positive Developments in Family Law:</w:t>
      </w:r>
    </w:p>
    <w:p w14:paraId="180E49C5" w14:textId="6959B975" w:rsidR="00BA297F" w:rsidRDefault="00BA297F" w:rsidP="0098742A">
      <w:pPr>
        <w:jc w:val="both"/>
        <w:rPr>
          <w:rFonts w:ascii="Arial" w:hAnsi="Arial" w:cs="Arial"/>
          <w:b/>
          <w:bCs/>
          <w:sz w:val="20"/>
          <w:szCs w:val="20"/>
          <w:u w:val="single"/>
        </w:rPr>
      </w:pPr>
    </w:p>
    <w:p w14:paraId="322CABB9" w14:textId="037838F7" w:rsidR="00BA297F" w:rsidRDefault="005B7A9D" w:rsidP="0098742A">
      <w:pPr>
        <w:jc w:val="both"/>
        <w:rPr>
          <w:rFonts w:ascii="Arial" w:hAnsi="Arial" w:cs="Arial"/>
          <w:sz w:val="20"/>
          <w:szCs w:val="20"/>
        </w:rPr>
      </w:pPr>
      <w:r w:rsidRPr="0017404F">
        <w:rPr>
          <w:rFonts w:ascii="Arial" w:hAnsi="Arial" w:cs="Arial"/>
          <w:sz w:val="20"/>
          <w:szCs w:val="20"/>
        </w:rPr>
        <w:t xml:space="preserve">Other Muslim majority countries do not require that the woman change her surname to that of the husband’s upon marriage, or </w:t>
      </w:r>
      <w:r w:rsidR="006065EB" w:rsidRPr="0017404F">
        <w:rPr>
          <w:rFonts w:ascii="Arial" w:hAnsi="Arial" w:cs="Arial"/>
          <w:sz w:val="20"/>
          <w:szCs w:val="20"/>
        </w:rPr>
        <w:t>to change</w:t>
      </w:r>
      <w:r w:rsidRPr="0017404F">
        <w:rPr>
          <w:rFonts w:ascii="Arial" w:hAnsi="Arial" w:cs="Arial"/>
          <w:sz w:val="20"/>
          <w:szCs w:val="20"/>
        </w:rPr>
        <w:t xml:space="preserve"> </w:t>
      </w:r>
      <w:r w:rsidR="006065EB" w:rsidRPr="0017404F">
        <w:rPr>
          <w:rFonts w:ascii="Arial" w:hAnsi="Arial" w:cs="Arial"/>
          <w:sz w:val="20"/>
          <w:szCs w:val="20"/>
        </w:rPr>
        <w:t>it back</w:t>
      </w:r>
      <w:r w:rsidR="00492D6E">
        <w:rPr>
          <w:rFonts w:ascii="Arial" w:hAnsi="Arial" w:cs="Arial"/>
          <w:sz w:val="20"/>
          <w:szCs w:val="20"/>
        </w:rPr>
        <w:t xml:space="preserve"> to</w:t>
      </w:r>
      <w:r w:rsidRPr="0017404F">
        <w:rPr>
          <w:rFonts w:ascii="Arial" w:hAnsi="Arial" w:cs="Arial"/>
          <w:sz w:val="20"/>
          <w:szCs w:val="20"/>
        </w:rPr>
        <w:t xml:space="preserve"> her maiden name upon divorce, even when the</w:t>
      </w:r>
      <w:r w:rsidR="00A2661F">
        <w:rPr>
          <w:rFonts w:ascii="Arial" w:hAnsi="Arial" w:cs="Arial"/>
          <w:sz w:val="20"/>
          <w:szCs w:val="20"/>
        </w:rPr>
        <w:t xml:space="preserve"> country’s laws</w:t>
      </w:r>
      <w:r w:rsidRPr="0017404F">
        <w:rPr>
          <w:rFonts w:ascii="Arial" w:hAnsi="Arial" w:cs="Arial"/>
          <w:sz w:val="20"/>
          <w:szCs w:val="20"/>
        </w:rPr>
        <w:t xml:space="preserve"> are built on the concept of Islam as the official religion of the State.</w:t>
      </w:r>
      <w:r w:rsidR="00E00D49" w:rsidRPr="00635848">
        <w:rPr>
          <w:rFonts w:ascii="Arial" w:hAnsi="Arial" w:cs="Arial"/>
          <w:sz w:val="20"/>
          <w:szCs w:val="20"/>
        </w:rPr>
        <w:t xml:space="preserve"> The following are some examples:</w:t>
      </w:r>
    </w:p>
    <w:p w14:paraId="18B13093" w14:textId="77777777" w:rsidR="00F579A8" w:rsidRPr="0017404F" w:rsidRDefault="00F579A8" w:rsidP="0098742A">
      <w:pPr>
        <w:jc w:val="both"/>
        <w:rPr>
          <w:rFonts w:ascii="Arial" w:hAnsi="Arial" w:cs="Arial"/>
          <w:sz w:val="20"/>
          <w:szCs w:val="20"/>
        </w:rPr>
      </w:pPr>
    </w:p>
    <w:p w14:paraId="5A648CB5" w14:textId="6E2C9C80" w:rsidR="00AA3D7A" w:rsidRDefault="00AA3D7A" w:rsidP="0098742A">
      <w:pPr>
        <w:jc w:val="both"/>
        <w:rPr>
          <w:rFonts w:ascii="Arial" w:hAnsi="Arial" w:cs="Arial"/>
          <w:sz w:val="20"/>
          <w:szCs w:val="20"/>
          <w:u w:val="single"/>
        </w:rPr>
      </w:pPr>
    </w:p>
    <w:p w14:paraId="407CC14D" w14:textId="38AD8DEE" w:rsidR="00AA3D7A" w:rsidRDefault="00F579A8" w:rsidP="0098742A">
      <w:pPr>
        <w:jc w:val="both"/>
        <w:rPr>
          <w:rFonts w:ascii="Arial" w:hAnsi="Arial" w:cs="Arial"/>
          <w:sz w:val="20"/>
          <w:szCs w:val="20"/>
          <w:u w:val="single"/>
        </w:rPr>
      </w:pPr>
      <w:r>
        <w:rPr>
          <w:rFonts w:ascii="Arial" w:hAnsi="Arial" w:cs="Arial"/>
          <w:noProof/>
          <w:sz w:val="20"/>
          <w:szCs w:val="20"/>
          <w:u w:val="single"/>
        </w:rPr>
        <w:drawing>
          <wp:inline distT="0" distB="0" distL="0" distR="0" wp14:anchorId="752AC22B" wp14:editId="6EC250BF">
            <wp:extent cx="5657850" cy="2145323"/>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6">
                      <a:extLst>
                        <a:ext uri="{28A0092B-C50C-407E-A947-70E740481C1C}">
                          <a14:useLocalDpi xmlns:a14="http://schemas.microsoft.com/office/drawing/2010/main" val="0"/>
                        </a:ext>
                      </a:extLst>
                    </a:blip>
                    <a:srcRect b="2610"/>
                    <a:stretch/>
                  </pic:blipFill>
                  <pic:spPr bwMode="auto">
                    <a:xfrm>
                      <a:off x="0" y="0"/>
                      <a:ext cx="5657850" cy="2145323"/>
                    </a:xfrm>
                    <a:prstGeom prst="rect">
                      <a:avLst/>
                    </a:prstGeom>
                    <a:ln>
                      <a:noFill/>
                    </a:ln>
                    <a:extLst>
                      <a:ext uri="{53640926-AAD7-44D8-BBD7-CCE9431645EC}">
                        <a14:shadowObscured xmlns:a14="http://schemas.microsoft.com/office/drawing/2010/main"/>
                      </a:ext>
                    </a:extLst>
                  </pic:spPr>
                </pic:pic>
              </a:graphicData>
            </a:graphic>
          </wp:inline>
        </w:drawing>
      </w:r>
    </w:p>
    <w:p w14:paraId="7CC02F76" w14:textId="77777777" w:rsidR="00AA3D7A" w:rsidRPr="0017404F" w:rsidRDefault="00AA3D7A" w:rsidP="0098742A">
      <w:pPr>
        <w:jc w:val="both"/>
        <w:rPr>
          <w:rFonts w:ascii="Arial" w:hAnsi="Arial" w:cs="Arial"/>
          <w:sz w:val="20"/>
          <w:szCs w:val="20"/>
          <w:u w:val="single"/>
        </w:rPr>
      </w:pPr>
    </w:p>
    <w:p w14:paraId="69AC063C" w14:textId="77777777" w:rsidR="00E81E4E" w:rsidRPr="00B2700D" w:rsidRDefault="00E81E4E" w:rsidP="0098742A">
      <w:pPr>
        <w:jc w:val="both"/>
        <w:rPr>
          <w:rFonts w:ascii="Arial" w:hAnsi="Arial" w:cs="Arial"/>
          <w:sz w:val="20"/>
          <w:szCs w:val="20"/>
        </w:rPr>
      </w:pPr>
    </w:p>
    <w:p w14:paraId="3BE63EF3" w14:textId="1E98C4F6" w:rsidR="00B2700D" w:rsidRDefault="00B2700D" w:rsidP="0098742A">
      <w:pPr>
        <w:autoSpaceDE w:val="0"/>
        <w:autoSpaceDN w:val="0"/>
        <w:adjustRightInd w:val="0"/>
        <w:rPr>
          <w:b/>
          <w:bCs/>
          <w:color w:val="000000"/>
          <w:sz w:val="20"/>
          <w:szCs w:val="20"/>
          <w:lang w:val="en-GB"/>
        </w:rPr>
      </w:pPr>
      <w:r>
        <w:rPr>
          <w:noProof/>
          <w:color w:val="000000"/>
        </w:rPr>
        <w:lastRenderedPageBreak/>
        <mc:AlternateContent>
          <mc:Choice Requires="wps">
            <w:drawing>
              <wp:inline distT="0" distB="0" distL="0" distR="0" wp14:anchorId="65C8C7D7" wp14:editId="2FA2143C">
                <wp:extent cx="5657850" cy="2636667"/>
                <wp:effectExtent l="0" t="0" r="6350" b="5080"/>
                <wp:docPr id="3" name="Rectangle 3"/>
                <wp:cNvGraphicFramePr/>
                <a:graphic xmlns:a="http://schemas.openxmlformats.org/drawingml/2006/main">
                  <a:graphicData uri="http://schemas.microsoft.com/office/word/2010/wordprocessingShape">
                    <wps:wsp>
                      <wps:cNvSpPr/>
                      <wps:spPr>
                        <a:xfrm>
                          <a:off x="0" y="0"/>
                          <a:ext cx="5657850" cy="2636667"/>
                        </a:xfrm>
                        <a:prstGeom prst="rect">
                          <a:avLst/>
                        </a:prstGeom>
                        <a:solidFill>
                          <a:srgbClr val="CACACA"/>
                        </a:solidFill>
                        <a:ln>
                          <a:noFill/>
                        </a:ln>
                      </wps:spPr>
                      <wps:txbx>
                        <w:txbxContent>
                          <w:p w14:paraId="38B7C62E" w14:textId="77777777" w:rsidR="00B2700D" w:rsidRPr="0017404F" w:rsidRDefault="00B2700D" w:rsidP="00B2700D">
                            <w:pPr>
                              <w:textDirection w:val="btLr"/>
                              <w:rPr>
                                <w:u w:val="single"/>
                              </w:rPr>
                            </w:pPr>
                            <w:r w:rsidRPr="0017404F">
                              <w:rPr>
                                <w:rFonts w:ascii="Arial" w:eastAsia="Arial" w:hAnsi="Arial" w:cs="Arial"/>
                                <w:b/>
                                <w:color w:val="000000"/>
                                <w:sz w:val="22"/>
                                <w:u w:val="single"/>
                              </w:rPr>
                              <w:t xml:space="preserve">RECOMMENDATIONS </w:t>
                            </w:r>
                          </w:p>
                          <w:p w14:paraId="7D3A9AF0" w14:textId="77777777" w:rsidR="00B2700D" w:rsidRDefault="00B2700D" w:rsidP="00B2700D">
                            <w:pPr>
                              <w:textDirection w:val="btLr"/>
                            </w:pPr>
                          </w:p>
                          <w:p w14:paraId="4C56ED49" w14:textId="3BDB94A5" w:rsidR="00B2700D" w:rsidRDefault="00B2700D" w:rsidP="00B2700D">
                            <w:pPr>
                              <w:textDirection w:val="btLr"/>
                              <w:rPr>
                                <w:rFonts w:ascii="Arial" w:eastAsia="Arial" w:hAnsi="Arial" w:cs="Arial"/>
                                <w:b/>
                                <w:color w:val="000000"/>
                                <w:sz w:val="20"/>
                              </w:rPr>
                            </w:pPr>
                            <w:r>
                              <w:rPr>
                                <w:rFonts w:ascii="Arial" w:eastAsia="Arial" w:hAnsi="Arial" w:cs="Arial"/>
                                <w:b/>
                                <w:color w:val="000000"/>
                                <w:sz w:val="20"/>
                              </w:rPr>
                              <w:t xml:space="preserve">We recommend the CEDAW </w:t>
                            </w:r>
                            <w:r w:rsidR="00AC04AC">
                              <w:rPr>
                                <w:rFonts w:ascii="Arial" w:eastAsia="Arial" w:hAnsi="Arial" w:cs="Arial"/>
                                <w:b/>
                                <w:color w:val="000000"/>
                                <w:sz w:val="20"/>
                              </w:rPr>
                              <w:t>C</w:t>
                            </w:r>
                            <w:r>
                              <w:rPr>
                                <w:rFonts w:ascii="Arial" w:eastAsia="Arial" w:hAnsi="Arial" w:cs="Arial"/>
                                <w:b/>
                                <w:color w:val="000000"/>
                                <w:sz w:val="20"/>
                              </w:rPr>
                              <w:t xml:space="preserve">ommittee to urge the State party to: </w:t>
                            </w:r>
                          </w:p>
                          <w:p w14:paraId="0F551E9F" w14:textId="77777777" w:rsidR="003056A0" w:rsidRDefault="003056A0" w:rsidP="00B2700D">
                            <w:pPr>
                              <w:textDirection w:val="btLr"/>
                            </w:pPr>
                          </w:p>
                          <w:p w14:paraId="48899CA5" w14:textId="13B300CE" w:rsidR="00B2700D" w:rsidRPr="0017404F" w:rsidRDefault="00B2700D" w:rsidP="0017404F">
                            <w:pPr>
                              <w:pStyle w:val="ListParagraph"/>
                              <w:numPr>
                                <w:ilvl w:val="0"/>
                                <w:numId w:val="16"/>
                              </w:numPr>
                              <w:ind w:left="360"/>
                              <w:textDirection w:val="btLr"/>
                              <w:rPr>
                                <w:rFonts w:ascii="Arial" w:eastAsia="Arial" w:hAnsi="Arial" w:cs="Arial"/>
                                <w:color w:val="000000"/>
                                <w:sz w:val="20"/>
                              </w:rPr>
                            </w:pPr>
                            <w:r w:rsidRPr="0017404F">
                              <w:rPr>
                                <w:rFonts w:ascii="Arial" w:eastAsia="Arial" w:hAnsi="Arial" w:cs="Arial"/>
                                <w:color w:val="000000"/>
                                <w:sz w:val="20"/>
                              </w:rPr>
                              <w:t>Amend Article 187 of the Turkish Civil Code</w:t>
                            </w:r>
                            <w:r w:rsidR="00BC457F">
                              <w:rPr>
                                <w:rFonts w:ascii="Arial" w:eastAsia="Arial" w:hAnsi="Arial" w:cs="Arial"/>
                                <w:color w:val="000000"/>
                                <w:sz w:val="20"/>
                              </w:rPr>
                              <w:t xml:space="preserve"> (TCC),</w:t>
                            </w:r>
                            <w:r w:rsidRPr="0017404F">
                              <w:rPr>
                                <w:rFonts w:ascii="Arial" w:eastAsia="Arial" w:hAnsi="Arial" w:cs="Arial"/>
                                <w:color w:val="000000"/>
                                <w:sz w:val="20"/>
                              </w:rPr>
                              <w:t xml:space="preserve"> in line with the ruling</w:t>
                            </w:r>
                            <w:r w:rsidR="00D73AAE" w:rsidRPr="0017404F">
                              <w:rPr>
                                <w:rFonts w:ascii="Arial" w:eastAsia="Arial" w:hAnsi="Arial" w:cs="Arial"/>
                                <w:color w:val="000000"/>
                                <w:sz w:val="20"/>
                              </w:rPr>
                              <w:t>s</w:t>
                            </w:r>
                            <w:r w:rsidRPr="0017404F">
                              <w:rPr>
                                <w:rFonts w:ascii="Arial" w:eastAsia="Arial" w:hAnsi="Arial" w:cs="Arial"/>
                                <w:color w:val="000000"/>
                                <w:sz w:val="20"/>
                              </w:rPr>
                              <w:t xml:space="preserve"> of the European Court of Human Rights and with Article 16 of </w:t>
                            </w:r>
                            <w:r w:rsidR="00D73AAE" w:rsidRPr="0017404F">
                              <w:rPr>
                                <w:rFonts w:ascii="Arial" w:eastAsia="Arial" w:hAnsi="Arial" w:cs="Arial"/>
                                <w:color w:val="000000"/>
                                <w:sz w:val="20"/>
                              </w:rPr>
                              <w:t>CEDAW</w:t>
                            </w:r>
                            <w:r w:rsidRPr="0017404F">
                              <w:rPr>
                                <w:rFonts w:ascii="Arial" w:eastAsia="Arial" w:hAnsi="Arial" w:cs="Arial"/>
                                <w:color w:val="000000"/>
                                <w:sz w:val="20"/>
                              </w:rPr>
                              <w:t>, to allow women to maintain their own surnames after marriage and give their surnames to their children if they choose to do so.</w:t>
                            </w:r>
                          </w:p>
                          <w:p w14:paraId="02541B6F" w14:textId="77777777" w:rsidR="003056A0" w:rsidRPr="00D73AAE" w:rsidRDefault="003056A0" w:rsidP="0017404F">
                            <w:pPr>
                              <w:ind w:firstLine="207"/>
                              <w:textDirection w:val="btLr"/>
                            </w:pPr>
                          </w:p>
                          <w:p w14:paraId="05A824CF" w14:textId="2EE1FE23" w:rsidR="00B2700D" w:rsidRPr="0017404F" w:rsidRDefault="00E81E4E" w:rsidP="0017404F">
                            <w:pPr>
                              <w:pStyle w:val="ListParagraph"/>
                              <w:numPr>
                                <w:ilvl w:val="0"/>
                                <w:numId w:val="16"/>
                              </w:numPr>
                              <w:ind w:left="360"/>
                              <w:textDirection w:val="btLr"/>
                              <w:rPr>
                                <w:rFonts w:ascii="Arial" w:eastAsia="Arial" w:hAnsi="Arial" w:cs="Arial"/>
                                <w:color w:val="000000"/>
                                <w:sz w:val="20"/>
                              </w:rPr>
                            </w:pPr>
                            <w:r w:rsidRPr="0017404F">
                              <w:rPr>
                                <w:rFonts w:ascii="Arial" w:eastAsia="Arial" w:hAnsi="Arial" w:cs="Arial"/>
                                <w:color w:val="000000"/>
                                <w:sz w:val="20"/>
                              </w:rPr>
                              <w:t xml:space="preserve">Provide training and information to </w:t>
                            </w:r>
                            <w:r w:rsidR="004B2BFE" w:rsidRPr="0017404F">
                              <w:rPr>
                                <w:rFonts w:ascii="Arial" w:eastAsia="Arial" w:hAnsi="Arial" w:cs="Arial"/>
                                <w:color w:val="000000"/>
                                <w:sz w:val="20"/>
                              </w:rPr>
                              <w:t>l</w:t>
                            </w:r>
                            <w:r w:rsidR="00D225B9">
                              <w:rPr>
                                <w:rFonts w:ascii="Arial" w:eastAsia="Arial" w:hAnsi="Arial" w:cs="Arial"/>
                                <w:color w:val="000000"/>
                                <w:sz w:val="20"/>
                              </w:rPr>
                              <w:t>awyers, judges</w:t>
                            </w:r>
                            <w:r w:rsidR="004B2BFE" w:rsidRPr="0017404F">
                              <w:rPr>
                                <w:rFonts w:ascii="Arial" w:eastAsia="Arial" w:hAnsi="Arial" w:cs="Arial"/>
                                <w:color w:val="000000"/>
                                <w:sz w:val="20"/>
                              </w:rPr>
                              <w:t xml:space="preserve">, </w:t>
                            </w:r>
                            <w:r w:rsidR="00D225B9">
                              <w:rPr>
                                <w:rFonts w:ascii="Arial" w:eastAsia="Arial" w:hAnsi="Arial" w:cs="Arial"/>
                                <w:color w:val="000000"/>
                                <w:sz w:val="20"/>
                              </w:rPr>
                              <w:t>and</w:t>
                            </w:r>
                            <w:r w:rsidRPr="0017404F">
                              <w:rPr>
                                <w:rFonts w:ascii="Arial" w:eastAsia="Arial" w:hAnsi="Arial" w:cs="Arial"/>
                                <w:color w:val="000000"/>
                                <w:sz w:val="20"/>
                              </w:rPr>
                              <w:t xml:space="preserve"> relevant stakeholders</w:t>
                            </w:r>
                            <w:r w:rsidR="00D225B9">
                              <w:rPr>
                                <w:rFonts w:ascii="Arial" w:eastAsia="Arial" w:hAnsi="Arial" w:cs="Arial"/>
                                <w:color w:val="000000"/>
                                <w:sz w:val="20"/>
                              </w:rPr>
                              <w:t xml:space="preserve"> </w:t>
                            </w:r>
                            <w:r w:rsidRPr="0017404F">
                              <w:rPr>
                                <w:rFonts w:ascii="Arial" w:eastAsia="Arial" w:hAnsi="Arial" w:cs="Arial"/>
                                <w:color w:val="000000"/>
                                <w:sz w:val="20"/>
                              </w:rPr>
                              <w:t xml:space="preserve">about the rulings of the European Court of Human Rights and the requirements of Article 16 of CEDAW that women be allowed to retain their maiden names upon marriage instead of changing it or adding the husband’s surname. </w:t>
                            </w:r>
                          </w:p>
                          <w:p w14:paraId="5D5BC152" w14:textId="77777777" w:rsidR="003056A0" w:rsidRDefault="003056A0" w:rsidP="0017404F">
                            <w:pPr>
                              <w:ind w:firstLine="207"/>
                              <w:textDirection w:val="btLr"/>
                              <w:rPr>
                                <w:rFonts w:ascii="Arial" w:eastAsia="Arial" w:hAnsi="Arial" w:cs="Arial"/>
                                <w:color w:val="000000"/>
                                <w:sz w:val="20"/>
                              </w:rPr>
                            </w:pPr>
                          </w:p>
                          <w:p w14:paraId="7DBF0F4E" w14:textId="5912E6BB" w:rsidR="00E81E4E" w:rsidRPr="0017404F" w:rsidRDefault="00E81E4E" w:rsidP="0017404F">
                            <w:pPr>
                              <w:pStyle w:val="ListParagraph"/>
                              <w:numPr>
                                <w:ilvl w:val="0"/>
                                <w:numId w:val="16"/>
                              </w:numPr>
                              <w:ind w:left="360"/>
                              <w:textDirection w:val="btLr"/>
                              <w:rPr>
                                <w:rFonts w:ascii="Arial" w:eastAsia="Arial" w:hAnsi="Arial" w:cs="Arial"/>
                                <w:color w:val="000000"/>
                                <w:sz w:val="20"/>
                              </w:rPr>
                            </w:pPr>
                            <w:r w:rsidRPr="0017404F">
                              <w:rPr>
                                <w:rFonts w:ascii="Arial" w:eastAsia="Arial" w:hAnsi="Arial" w:cs="Arial"/>
                                <w:color w:val="000000"/>
                                <w:sz w:val="20"/>
                              </w:rPr>
                              <w:t xml:space="preserve">Amend Article 183 of </w:t>
                            </w:r>
                            <w:r w:rsidR="00BC457F">
                              <w:rPr>
                                <w:rFonts w:ascii="Arial" w:eastAsia="Arial" w:hAnsi="Arial" w:cs="Arial"/>
                                <w:color w:val="000000"/>
                                <w:sz w:val="20"/>
                              </w:rPr>
                              <w:t>TCC</w:t>
                            </w:r>
                            <w:r w:rsidRPr="0017404F">
                              <w:rPr>
                                <w:rFonts w:ascii="Arial" w:eastAsia="Arial" w:hAnsi="Arial" w:cs="Arial"/>
                                <w:color w:val="000000"/>
                                <w:sz w:val="20"/>
                              </w:rPr>
                              <w:t xml:space="preserve"> to, upon divorce, allow women who had previously </w:t>
                            </w:r>
                            <w:r w:rsidR="00BC457F">
                              <w:rPr>
                                <w:rFonts w:ascii="Arial" w:eastAsia="Arial" w:hAnsi="Arial" w:cs="Arial"/>
                                <w:color w:val="000000"/>
                                <w:sz w:val="20"/>
                              </w:rPr>
                              <w:t xml:space="preserve">changed </w:t>
                            </w:r>
                            <w:r w:rsidRPr="0017404F">
                              <w:rPr>
                                <w:rFonts w:ascii="Arial" w:eastAsia="Arial" w:hAnsi="Arial" w:cs="Arial"/>
                                <w:color w:val="000000"/>
                                <w:sz w:val="20"/>
                              </w:rPr>
                              <w:t xml:space="preserve">their surname to their husband’s name, </w:t>
                            </w:r>
                            <w:r w:rsidR="00492D6E">
                              <w:rPr>
                                <w:rFonts w:ascii="Arial" w:eastAsia="Arial" w:hAnsi="Arial" w:cs="Arial"/>
                                <w:color w:val="000000"/>
                                <w:sz w:val="20"/>
                              </w:rPr>
                              <w:t xml:space="preserve">to </w:t>
                            </w:r>
                            <w:r w:rsidRPr="0017404F">
                              <w:rPr>
                                <w:rFonts w:ascii="Arial" w:eastAsia="Arial" w:hAnsi="Arial" w:cs="Arial"/>
                                <w:color w:val="000000"/>
                                <w:sz w:val="20"/>
                              </w:rPr>
                              <w:t xml:space="preserve">retain </w:t>
                            </w:r>
                            <w:r w:rsidR="00BC457F">
                              <w:rPr>
                                <w:rFonts w:ascii="Arial" w:eastAsia="Arial" w:hAnsi="Arial" w:cs="Arial"/>
                                <w:color w:val="000000"/>
                                <w:sz w:val="20"/>
                              </w:rPr>
                              <w:t>that surname</w:t>
                            </w:r>
                            <w:r w:rsidRPr="0017404F">
                              <w:rPr>
                                <w:rFonts w:ascii="Arial" w:eastAsia="Arial" w:hAnsi="Arial" w:cs="Arial"/>
                                <w:color w:val="000000"/>
                                <w:sz w:val="20"/>
                              </w:rPr>
                              <w:t xml:space="preserve"> if they choose to do so, instead of requiring them to change </w:t>
                            </w:r>
                            <w:r w:rsidR="00BC457F">
                              <w:rPr>
                                <w:rFonts w:ascii="Arial" w:eastAsia="Arial" w:hAnsi="Arial" w:cs="Arial"/>
                                <w:color w:val="000000"/>
                                <w:sz w:val="20"/>
                              </w:rPr>
                              <w:t>it back to their</w:t>
                            </w:r>
                            <w:r w:rsidRPr="0017404F">
                              <w:rPr>
                                <w:rFonts w:ascii="Arial" w:eastAsia="Arial" w:hAnsi="Arial" w:cs="Arial"/>
                                <w:color w:val="000000"/>
                                <w:sz w:val="20"/>
                              </w:rPr>
                              <w:t xml:space="preserve"> maiden name.</w:t>
                            </w:r>
                          </w:p>
                        </w:txbxContent>
                      </wps:txbx>
                      <wps:bodyPr spcFirstLastPara="1" wrap="square" lIns="91425" tIns="45700" rIns="91425" bIns="45700" anchor="t" anchorCtr="0">
                        <a:noAutofit/>
                      </wps:bodyPr>
                    </wps:wsp>
                  </a:graphicData>
                </a:graphic>
              </wp:inline>
            </w:drawing>
          </mc:Choice>
          <mc:Fallback>
            <w:pict>
              <v:rect w14:anchorId="65C8C7D7" id="Rectangle 3" o:spid="_x0000_s1027" style="width:445.5pt;height:20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" fillcolor="#cacaca" stroked="f">
                <v:textbox inset="2.53958mm,1.2694mm,2.53958mm,1.2694mm">
                  <w:txbxContent>
                    <w:p w14:paraId="38B7C62E" w14:textId="77777777" w:rsidR="00B2700D" w:rsidRPr="0017404F" w:rsidRDefault="00B2700D" w:rsidP="00B2700D">
                      <w:pPr>
                        <w:textDirection w:val="btLr"/>
                        <w:rPr>
                          <w:u w:val="single"/>
                        </w:rPr>
                      </w:pPr>
                      <w:r w:rsidRPr="0017404F">
                        <w:rPr>
                          <w:rFonts w:ascii="Arial" w:eastAsia="Arial" w:hAnsi="Arial" w:cs="Arial"/>
                          <w:b/>
                          <w:color w:val="000000"/>
                          <w:sz w:val="22"/>
                          <w:u w:val="single"/>
                        </w:rPr>
                        <w:t xml:space="preserve">RECOMMENDATIONS </w:t>
                      </w:r>
                    </w:p>
                    <w:p w14:paraId="7D3A9AF0" w14:textId="77777777" w:rsidR="00B2700D" w:rsidRDefault="00B2700D" w:rsidP="00B2700D">
                      <w:pPr>
                        <w:textDirection w:val="btLr"/>
                      </w:pPr>
                    </w:p>
                    <w:p w14:paraId="4C56ED49" w14:textId="3BDB94A5" w:rsidR="00B2700D" w:rsidRDefault="00B2700D" w:rsidP="00B2700D">
                      <w:pPr>
                        <w:textDirection w:val="btLr"/>
                        <w:rPr>
                          <w:rFonts w:ascii="Arial" w:eastAsia="Arial" w:hAnsi="Arial" w:cs="Arial"/>
                          <w:b/>
                          <w:color w:val="000000"/>
                          <w:sz w:val="20"/>
                        </w:rPr>
                      </w:pPr>
                      <w:r>
                        <w:rPr>
                          <w:rFonts w:ascii="Arial" w:eastAsia="Arial" w:hAnsi="Arial" w:cs="Arial"/>
                          <w:b/>
                          <w:color w:val="000000"/>
                          <w:sz w:val="20"/>
                        </w:rPr>
                        <w:t xml:space="preserve">We recommend the CEDAW </w:t>
                      </w:r>
                      <w:r w:rsidR="00AC04AC">
                        <w:rPr>
                          <w:rFonts w:ascii="Arial" w:eastAsia="Arial" w:hAnsi="Arial" w:cs="Arial"/>
                          <w:b/>
                          <w:color w:val="000000"/>
                          <w:sz w:val="20"/>
                        </w:rPr>
                        <w:t>C</w:t>
                      </w:r>
                      <w:r>
                        <w:rPr>
                          <w:rFonts w:ascii="Arial" w:eastAsia="Arial" w:hAnsi="Arial" w:cs="Arial"/>
                          <w:b/>
                          <w:color w:val="000000"/>
                          <w:sz w:val="20"/>
                        </w:rPr>
                        <w:t xml:space="preserve">ommittee to urge the State party to: </w:t>
                      </w:r>
                    </w:p>
                    <w:p w14:paraId="0F551E9F" w14:textId="77777777" w:rsidR="003056A0" w:rsidRDefault="003056A0" w:rsidP="00B2700D">
                      <w:pPr>
                        <w:textDirection w:val="btLr"/>
                      </w:pPr>
                    </w:p>
                    <w:p w14:paraId="48899CA5" w14:textId="13B300CE" w:rsidR="00B2700D" w:rsidRPr="0017404F" w:rsidRDefault="00B2700D" w:rsidP="0017404F">
                      <w:pPr>
                        <w:pStyle w:val="ListParagraph"/>
                        <w:numPr>
                          <w:ilvl w:val="0"/>
                          <w:numId w:val="16"/>
                        </w:numPr>
                        <w:ind w:left="360"/>
                        <w:textDirection w:val="btLr"/>
                        <w:rPr>
                          <w:rFonts w:ascii="Arial" w:eastAsia="Arial" w:hAnsi="Arial" w:cs="Arial"/>
                          <w:color w:val="000000"/>
                          <w:sz w:val="20"/>
                        </w:rPr>
                      </w:pPr>
                      <w:r w:rsidRPr="0017404F">
                        <w:rPr>
                          <w:rFonts w:ascii="Arial" w:eastAsia="Arial" w:hAnsi="Arial" w:cs="Arial"/>
                          <w:color w:val="000000"/>
                          <w:sz w:val="20"/>
                        </w:rPr>
                        <w:t>Amend Article 187 of the Turkish Civil Code</w:t>
                      </w:r>
                      <w:r w:rsidR="00BC457F">
                        <w:rPr>
                          <w:rFonts w:ascii="Arial" w:eastAsia="Arial" w:hAnsi="Arial" w:cs="Arial"/>
                          <w:color w:val="000000"/>
                          <w:sz w:val="20"/>
                        </w:rPr>
                        <w:t xml:space="preserve"> (TCC),</w:t>
                      </w:r>
                      <w:r w:rsidRPr="0017404F">
                        <w:rPr>
                          <w:rFonts w:ascii="Arial" w:eastAsia="Arial" w:hAnsi="Arial" w:cs="Arial"/>
                          <w:color w:val="000000"/>
                          <w:sz w:val="20"/>
                        </w:rPr>
                        <w:t xml:space="preserve"> in line with the ruling</w:t>
                      </w:r>
                      <w:r w:rsidR="00D73AAE" w:rsidRPr="0017404F">
                        <w:rPr>
                          <w:rFonts w:ascii="Arial" w:eastAsia="Arial" w:hAnsi="Arial" w:cs="Arial"/>
                          <w:color w:val="000000"/>
                          <w:sz w:val="20"/>
                        </w:rPr>
                        <w:t>s</w:t>
                      </w:r>
                      <w:r w:rsidRPr="0017404F">
                        <w:rPr>
                          <w:rFonts w:ascii="Arial" w:eastAsia="Arial" w:hAnsi="Arial" w:cs="Arial"/>
                          <w:color w:val="000000"/>
                          <w:sz w:val="20"/>
                        </w:rPr>
                        <w:t xml:space="preserve"> of the European Court of Human Rights and with Article 16 of </w:t>
                      </w:r>
                      <w:r w:rsidR="00D73AAE" w:rsidRPr="0017404F">
                        <w:rPr>
                          <w:rFonts w:ascii="Arial" w:eastAsia="Arial" w:hAnsi="Arial" w:cs="Arial"/>
                          <w:color w:val="000000"/>
                          <w:sz w:val="20"/>
                        </w:rPr>
                        <w:t>CEDAW</w:t>
                      </w:r>
                      <w:r w:rsidRPr="0017404F">
                        <w:rPr>
                          <w:rFonts w:ascii="Arial" w:eastAsia="Arial" w:hAnsi="Arial" w:cs="Arial"/>
                          <w:color w:val="000000"/>
                          <w:sz w:val="20"/>
                        </w:rPr>
                        <w:t>, to allow women to maintain their own surnames after marriage and give their surnames to their children if they choose to do so.</w:t>
                      </w:r>
                    </w:p>
                    <w:p w14:paraId="02541B6F" w14:textId="77777777" w:rsidR="003056A0" w:rsidRPr="00D73AAE" w:rsidRDefault="003056A0" w:rsidP="0017404F">
                      <w:pPr>
                        <w:ind w:firstLine="207"/>
                        <w:textDirection w:val="btLr"/>
                      </w:pPr>
                    </w:p>
                    <w:p w14:paraId="05A824CF" w14:textId="2EE1FE23" w:rsidR="00B2700D" w:rsidRPr="0017404F" w:rsidRDefault="00E81E4E" w:rsidP="0017404F">
                      <w:pPr>
                        <w:pStyle w:val="ListParagraph"/>
                        <w:numPr>
                          <w:ilvl w:val="0"/>
                          <w:numId w:val="16"/>
                        </w:numPr>
                        <w:ind w:left="360"/>
                        <w:textDirection w:val="btLr"/>
                        <w:rPr>
                          <w:rFonts w:ascii="Arial" w:eastAsia="Arial" w:hAnsi="Arial" w:cs="Arial"/>
                          <w:color w:val="000000"/>
                          <w:sz w:val="20"/>
                        </w:rPr>
                      </w:pPr>
                      <w:r w:rsidRPr="0017404F">
                        <w:rPr>
                          <w:rFonts w:ascii="Arial" w:eastAsia="Arial" w:hAnsi="Arial" w:cs="Arial"/>
                          <w:color w:val="000000"/>
                          <w:sz w:val="20"/>
                        </w:rPr>
                        <w:t xml:space="preserve">Provide training and information to </w:t>
                      </w:r>
                      <w:r w:rsidR="004B2BFE" w:rsidRPr="0017404F">
                        <w:rPr>
                          <w:rFonts w:ascii="Arial" w:eastAsia="Arial" w:hAnsi="Arial" w:cs="Arial"/>
                          <w:color w:val="000000"/>
                          <w:sz w:val="20"/>
                        </w:rPr>
                        <w:t>l</w:t>
                      </w:r>
                      <w:r w:rsidR="00D225B9">
                        <w:rPr>
                          <w:rFonts w:ascii="Arial" w:eastAsia="Arial" w:hAnsi="Arial" w:cs="Arial"/>
                          <w:color w:val="000000"/>
                          <w:sz w:val="20"/>
                        </w:rPr>
                        <w:t>awyers, judges</w:t>
                      </w:r>
                      <w:r w:rsidR="004B2BFE" w:rsidRPr="0017404F">
                        <w:rPr>
                          <w:rFonts w:ascii="Arial" w:eastAsia="Arial" w:hAnsi="Arial" w:cs="Arial"/>
                          <w:color w:val="000000"/>
                          <w:sz w:val="20"/>
                        </w:rPr>
                        <w:t xml:space="preserve">, </w:t>
                      </w:r>
                      <w:r w:rsidR="00D225B9">
                        <w:rPr>
                          <w:rFonts w:ascii="Arial" w:eastAsia="Arial" w:hAnsi="Arial" w:cs="Arial"/>
                          <w:color w:val="000000"/>
                          <w:sz w:val="20"/>
                        </w:rPr>
                        <w:t>and</w:t>
                      </w:r>
                      <w:r w:rsidRPr="0017404F">
                        <w:rPr>
                          <w:rFonts w:ascii="Arial" w:eastAsia="Arial" w:hAnsi="Arial" w:cs="Arial"/>
                          <w:color w:val="000000"/>
                          <w:sz w:val="20"/>
                        </w:rPr>
                        <w:t xml:space="preserve"> relevant stakeholders</w:t>
                      </w:r>
                      <w:r w:rsidR="00D225B9">
                        <w:rPr>
                          <w:rFonts w:ascii="Arial" w:eastAsia="Arial" w:hAnsi="Arial" w:cs="Arial"/>
                          <w:color w:val="000000"/>
                          <w:sz w:val="20"/>
                        </w:rPr>
                        <w:t xml:space="preserve"> </w:t>
                      </w:r>
                      <w:r w:rsidRPr="0017404F">
                        <w:rPr>
                          <w:rFonts w:ascii="Arial" w:eastAsia="Arial" w:hAnsi="Arial" w:cs="Arial"/>
                          <w:color w:val="000000"/>
                          <w:sz w:val="20"/>
                        </w:rPr>
                        <w:t xml:space="preserve">about the rulings of the European Court of Human Rights and the requirements of Article 16 of CEDAW that women be allowed to retain their maiden names upon marriage instead of changing it or adding the husband’s surname. </w:t>
                      </w:r>
                    </w:p>
                    <w:p w14:paraId="5D5BC152" w14:textId="77777777" w:rsidR="003056A0" w:rsidRDefault="003056A0" w:rsidP="0017404F">
                      <w:pPr>
                        <w:ind w:firstLine="207"/>
                        <w:textDirection w:val="btLr"/>
                        <w:rPr>
                          <w:rFonts w:ascii="Arial" w:eastAsia="Arial" w:hAnsi="Arial" w:cs="Arial"/>
                          <w:color w:val="000000"/>
                          <w:sz w:val="20"/>
                        </w:rPr>
                      </w:pPr>
                    </w:p>
                    <w:p w14:paraId="7DBF0F4E" w14:textId="5912E6BB" w:rsidR="00E81E4E" w:rsidRPr="0017404F" w:rsidRDefault="00E81E4E" w:rsidP="0017404F">
                      <w:pPr>
                        <w:pStyle w:val="ListParagraph"/>
                        <w:numPr>
                          <w:ilvl w:val="0"/>
                          <w:numId w:val="16"/>
                        </w:numPr>
                        <w:ind w:left="360"/>
                        <w:textDirection w:val="btLr"/>
                        <w:rPr>
                          <w:rFonts w:ascii="Arial" w:eastAsia="Arial" w:hAnsi="Arial" w:cs="Arial"/>
                          <w:color w:val="000000"/>
                          <w:sz w:val="20"/>
                        </w:rPr>
                      </w:pPr>
                      <w:r w:rsidRPr="0017404F">
                        <w:rPr>
                          <w:rFonts w:ascii="Arial" w:eastAsia="Arial" w:hAnsi="Arial" w:cs="Arial"/>
                          <w:color w:val="000000"/>
                          <w:sz w:val="20"/>
                        </w:rPr>
                        <w:t xml:space="preserve">Amend Article 183 of </w:t>
                      </w:r>
                      <w:r w:rsidR="00BC457F">
                        <w:rPr>
                          <w:rFonts w:ascii="Arial" w:eastAsia="Arial" w:hAnsi="Arial" w:cs="Arial"/>
                          <w:color w:val="000000"/>
                          <w:sz w:val="20"/>
                        </w:rPr>
                        <w:t>TCC</w:t>
                      </w:r>
                      <w:r w:rsidRPr="0017404F">
                        <w:rPr>
                          <w:rFonts w:ascii="Arial" w:eastAsia="Arial" w:hAnsi="Arial" w:cs="Arial"/>
                          <w:color w:val="000000"/>
                          <w:sz w:val="20"/>
                        </w:rPr>
                        <w:t xml:space="preserve"> to, upon divorce, allow women who had previously </w:t>
                      </w:r>
                      <w:r w:rsidR="00BC457F">
                        <w:rPr>
                          <w:rFonts w:ascii="Arial" w:eastAsia="Arial" w:hAnsi="Arial" w:cs="Arial"/>
                          <w:color w:val="000000"/>
                          <w:sz w:val="20"/>
                        </w:rPr>
                        <w:t xml:space="preserve">changed </w:t>
                      </w:r>
                      <w:r w:rsidRPr="0017404F">
                        <w:rPr>
                          <w:rFonts w:ascii="Arial" w:eastAsia="Arial" w:hAnsi="Arial" w:cs="Arial"/>
                          <w:color w:val="000000"/>
                          <w:sz w:val="20"/>
                        </w:rPr>
                        <w:t xml:space="preserve">their surname to their husband’s name, </w:t>
                      </w:r>
                      <w:r w:rsidR="00492D6E">
                        <w:rPr>
                          <w:rFonts w:ascii="Arial" w:eastAsia="Arial" w:hAnsi="Arial" w:cs="Arial"/>
                          <w:color w:val="000000"/>
                          <w:sz w:val="20"/>
                        </w:rPr>
                        <w:t xml:space="preserve">to </w:t>
                      </w:r>
                      <w:r w:rsidRPr="0017404F">
                        <w:rPr>
                          <w:rFonts w:ascii="Arial" w:eastAsia="Arial" w:hAnsi="Arial" w:cs="Arial"/>
                          <w:color w:val="000000"/>
                          <w:sz w:val="20"/>
                        </w:rPr>
                        <w:t xml:space="preserve">retain </w:t>
                      </w:r>
                      <w:r w:rsidR="00BC457F">
                        <w:rPr>
                          <w:rFonts w:ascii="Arial" w:eastAsia="Arial" w:hAnsi="Arial" w:cs="Arial"/>
                          <w:color w:val="000000"/>
                          <w:sz w:val="20"/>
                        </w:rPr>
                        <w:t>that surname</w:t>
                      </w:r>
                      <w:r w:rsidRPr="0017404F">
                        <w:rPr>
                          <w:rFonts w:ascii="Arial" w:eastAsia="Arial" w:hAnsi="Arial" w:cs="Arial"/>
                          <w:color w:val="000000"/>
                          <w:sz w:val="20"/>
                        </w:rPr>
                        <w:t xml:space="preserve"> if they choose to do so, instead of requiring them to change </w:t>
                      </w:r>
                      <w:r w:rsidR="00BC457F">
                        <w:rPr>
                          <w:rFonts w:ascii="Arial" w:eastAsia="Arial" w:hAnsi="Arial" w:cs="Arial"/>
                          <w:color w:val="000000"/>
                          <w:sz w:val="20"/>
                        </w:rPr>
                        <w:t>it back to their</w:t>
                      </w:r>
                      <w:r w:rsidRPr="0017404F">
                        <w:rPr>
                          <w:rFonts w:ascii="Arial" w:eastAsia="Arial" w:hAnsi="Arial" w:cs="Arial"/>
                          <w:color w:val="000000"/>
                          <w:sz w:val="20"/>
                        </w:rPr>
                        <w:t xml:space="preserve"> maiden name.</w:t>
                      </w:r>
                    </w:p>
                  </w:txbxContent>
                </v:textbox>
                <w10:anchorlock/>
              </v:rect>
            </w:pict>
          </mc:Fallback>
        </mc:AlternateContent>
      </w:r>
    </w:p>
    <w:p w14:paraId="116DB4A5" w14:textId="77777777" w:rsidR="00B2700D" w:rsidRDefault="00B2700D" w:rsidP="0098742A">
      <w:pPr>
        <w:autoSpaceDE w:val="0"/>
        <w:autoSpaceDN w:val="0"/>
        <w:adjustRightInd w:val="0"/>
        <w:rPr>
          <w:b/>
          <w:bCs/>
          <w:color w:val="000000"/>
          <w:sz w:val="20"/>
          <w:szCs w:val="20"/>
          <w:lang w:val="en-GB"/>
        </w:rPr>
      </w:pPr>
    </w:p>
    <w:p w14:paraId="19116825" w14:textId="77777777" w:rsidR="009F7497" w:rsidRDefault="009F7497" w:rsidP="0017404F">
      <w:pPr>
        <w:autoSpaceDE w:val="0"/>
        <w:autoSpaceDN w:val="0"/>
        <w:adjustRightInd w:val="0"/>
        <w:rPr>
          <w:rFonts w:ascii="Arial" w:eastAsia="Arial" w:hAnsi="Arial" w:cs="Arial"/>
        </w:rPr>
      </w:pPr>
    </w:p>
    <w:p w14:paraId="17C583BB" w14:textId="77777777" w:rsidR="009F7497" w:rsidRDefault="009F7497"/>
    <w:sectPr w:rsidR="009F7497">
      <w:headerReference w:type="default" r:id="rId17"/>
      <w:footerReference w:type="even" r:id="rId18"/>
      <w:footerReference w:type="default" r:id="rId19"/>
      <w:headerReference w:type="first" r:id="rId20"/>
      <w:pgSz w:w="11900" w:h="16820"/>
      <w:pgMar w:top="1260" w:right="1460" w:bottom="983" w:left="153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9AC4D" w14:textId="77777777" w:rsidR="00C03B93" w:rsidRDefault="00C03B93">
      <w:r>
        <w:separator/>
      </w:r>
    </w:p>
  </w:endnote>
  <w:endnote w:type="continuationSeparator" w:id="0">
    <w:p w14:paraId="56585732" w14:textId="77777777" w:rsidR="00C03B93" w:rsidRDefault="00C03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Fedra Sans Std Norm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43BAC" w14:textId="77777777" w:rsidR="009F7497" w:rsidRDefault="00D50095">
    <w:pPr>
      <w:pBdr>
        <w:top w:val="nil"/>
        <w:left w:val="nil"/>
        <w:bottom w:val="nil"/>
        <w:right w:val="nil"/>
        <w:between w:val="nil"/>
      </w:pBdr>
      <w:jc w:val="right"/>
      <w:rPr>
        <w:color w:val="000000"/>
      </w:rPr>
    </w:pPr>
    <w:r>
      <w:rPr>
        <w:color w:val="000000"/>
      </w:rPr>
      <w:fldChar w:fldCharType="begin"/>
    </w:r>
    <w:r>
      <w:rPr>
        <w:color w:val="000000"/>
      </w:rPr>
      <w:instrText>PAGE</w:instrText>
    </w:r>
    <w:r w:rsidR="00C03B93">
      <w:rPr>
        <w:color w:val="000000"/>
      </w:rPr>
      <w:fldChar w:fldCharType="separate"/>
    </w:r>
    <w:r>
      <w:rPr>
        <w:color w:val="000000"/>
      </w:rPr>
      <w:fldChar w:fldCharType="end"/>
    </w:r>
  </w:p>
  <w:p w14:paraId="63C20249" w14:textId="77777777" w:rsidR="009F7497" w:rsidRDefault="009F7497">
    <w:pPr>
      <w:pBdr>
        <w:top w:val="nil"/>
        <w:left w:val="nil"/>
        <w:bottom w:val="nil"/>
        <w:right w:val="nil"/>
        <w:between w:val="nil"/>
      </w:pBdr>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E312" w14:textId="6BC09D29" w:rsidR="009F7497" w:rsidRDefault="00D50095">
    <w:pPr>
      <w:pBdr>
        <w:top w:val="nil"/>
        <w:left w:val="nil"/>
        <w:bottom w:val="nil"/>
        <w:right w:val="nil"/>
        <w:between w:val="nil"/>
      </w:pBdr>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A83401">
      <w:rPr>
        <w:noProof/>
        <w:color w:val="000000"/>
        <w:sz w:val="18"/>
        <w:szCs w:val="18"/>
      </w:rPr>
      <w:t>2</w:t>
    </w:r>
    <w:r>
      <w:rPr>
        <w:color w:val="000000"/>
        <w:sz w:val="18"/>
        <w:szCs w:val="18"/>
      </w:rPr>
      <w:fldChar w:fldCharType="end"/>
    </w:r>
  </w:p>
  <w:p w14:paraId="2C7ADCF1" w14:textId="77777777" w:rsidR="009F7497" w:rsidRDefault="009F7497">
    <w:pPr>
      <w:pBdr>
        <w:top w:val="nil"/>
        <w:left w:val="nil"/>
        <w:bottom w:val="nil"/>
        <w:right w:val="nil"/>
        <w:between w:val="nil"/>
      </w:pBdr>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AF588" w14:textId="77777777" w:rsidR="00C03B93" w:rsidRDefault="00C03B93">
      <w:r>
        <w:separator/>
      </w:r>
    </w:p>
  </w:footnote>
  <w:footnote w:type="continuationSeparator" w:id="0">
    <w:p w14:paraId="6CCD32E1" w14:textId="77777777" w:rsidR="00C03B93" w:rsidRDefault="00C03B93">
      <w:r>
        <w:continuationSeparator/>
      </w:r>
    </w:p>
  </w:footnote>
  <w:footnote w:id="1">
    <w:p w14:paraId="5A171FA4" w14:textId="5C9566AE" w:rsidR="008F30F9" w:rsidRPr="009A6395" w:rsidRDefault="008F30F9" w:rsidP="00D90C8F">
      <w:pPr>
        <w:pStyle w:val="FootnoteText"/>
        <w:rPr>
          <w:rFonts w:cs="Arial"/>
          <w:szCs w:val="18"/>
        </w:rPr>
      </w:pPr>
      <w:r w:rsidRPr="009A6395">
        <w:rPr>
          <w:rStyle w:val="FootnoteReference"/>
          <w:rFonts w:cs="Arial"/>
          <w:szCs w:val="18"/>
        </w:rPr>
        <w:footnoteRef/>
      </w:r>
      <w:r w:rsidRPr="009A6395">
        <w:rPr>
          <w:rFonts w:cs="Arial"/>
          <w:szCs w:val="18"/>
        </w:rPr>
        <w:t xml:space="preserve"> We would also like to acknowledge the inputs and information provided by Women for Women's Human Rights-New Ways (WWHR-New Ways)</w:t>
      </w:r>
      <w:r w:rsidR="00F36765" w:rsidRPr="009A6395">
        <w:rPr>
          <w:rFonts w:cs="Arial"/>
          <w:szCs w:val="18"/>
        </w:rPr>
        <w:t xml:space="preserve"> in the preparation of this thematic report.</w:t>
      </w:r>
    </w:p>
  </w:footnote>
  <w:footnote w:id="2">
    <w:p w14:paraId="4D8D344D" w14:textId="0C1A299E" w:rsidR="00867801" w:rsidRPr="009A6395" w:rsidRDefault="00867801"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4D7ADA" w:rsidRPr="009A6395">
        <w:rPr>
          <w:rFonts w:cs="Arial"/>
          <w:szCs w:val="18"/>
        </w:rPr>
        <w:t>Turkey 7</w:t>
      </w:r>
      <w:r w:rsidR="004D7ADA" w:rsidRPr="009A6395">
        <w:rPr>
          <w:rFonts w:cs="Arial"/>
          <w:szCs w:val="18"/>
          <w:vertAlign w:val="superscript"/>
        </w:rPr>
        <w:t>th</w:t>
      </w:r>
      <w:r w:rsidR="004D7ADA" w:rsidRPr="009A6395">
        <w:rPr>
          <w:rFonts w:cs="Arial"/>
          <w:szCs w:val="18"/>
        </w:rPr>
        <w:t xml:space="preserve"> </w:t>
      </w:r>
      <w:r w:rsidR="00636A6F" w:rsidRPr="009A6395">
        <w:rPr>
          <w:rFonts w:cs="Arial"/>
          <w:szCs w:val="18"/>
        </w:rPr>
        <w:t xml:space="preserve">State Party </w:t>
      </w:r>
      <w:r w:rsidRPr="009A6395">
        <w:rPr>
          <w:rFonts w:cs="Arial"/>
          <w:szCs w:val="18"/>
        </w:rPr>
        <w:t xml:space="preserve">Report </w:t>
      </w:r>
      <w:r w:rsidR="004D7ADA" w:rsidRPr="009A6395">
        <w:rPr>
          <w:rFonts w:cs="Arial"/>
          <w:szCs w:val="18"/>
        </w:rPr>
        <w:t>2014 (</w:t>
      </w:r>
      <w:r w:rsidR="00A2661F" w:rsidRPr="009A6395">
        <w:rPr>
          <w:rFonts w:cs="Arial"/>
          <w:szCs w:val="18"/>
        </w:rPr>
        <w:t>hereinafter ‘</w:t>
      </w:r>
      <w:r w:rsidR="00636A6F" w:rsidRPr="009A6395">
        <w:rPr>
          <w:rFonts w:cs="Arial"/>
          <w:szCs w:val="18"/>
        </w:rPr>
        <w:t xml:space="preserve">Turkey </w:t>
      </w:r>
      <w:r w:rsidR="004D7ADA" w:rsidRPr="009A6395">
        <w:rPr>
          <w:rFonts w:cs="Arial"/>
          <w:szCs w:val="18"/>
        </w:rPr>
        <w:t>SPR 2014</w:t>
      </w:r>
      <w:r w:rsidR="00A2661F" w:rsidRPr="009A6395">
        <w:rPr>
          <w:rFonts w:cs="Arial"/>
          <w:szCs w:val="18"/>
        </w:rPr>
        <w:t>’</w:t>
      </w:r>
      <w:r w:rsidR="004D7ADA" w:rsidRPr="009A6395">
        <w:rPr>
          <w:rFonts w:cs="Arial"/>
          <w:szCs w:val="18"/>
        </w:rPr>
        <w:t>)</w:t>
      </w:r>
      <w:r w:rsidR="00A2661F" w:rsidRPr="009A6395">
        <w:rPr>
          <w:rFonts w:cs="Arial"/>
          <w:szCs w:val="18"/>
        </w:rPr>
        <w:t>, para. 7.</w:t>
      </w:r>
    </w:p>
  </w:footnote>
  <w:footnote w:id="3">
    <w:p w14:paraId="2F6EBE74" w14:textId="0F5EBE4C" w:rsidR="00F36765" w:rsidRPr="009A6395" w:rsidRDefault="00F36765" w:rsidP="0017404F">
      <w:pPr>
        <w:autoSpaceDE w:val="0"/>
        <w:autoSpaceDN w:val="0"/>
        <w:adjustRightInd w:val="0"/>
        <w:rPr>
          <w:rFonts w:ascii="Arial" w:hAnsi="Arial" w:cs="Arial"/>
          <w:sz w:val="18"/>
          <w:szCs w:val="18"/>
        </w:rPr>
      </w:pPr>
      <w:r w:rsidRPr="009A6395">
        <w:rPr>
          <w:rStyle w:val="FootnoteReference"/>
          <w:rFonts w:ascii="Arial" w:hAnsi="Arial" w:cs="Arial"/>
          <w:sz w:val="18"/>
          <w:szCs w:val="18"/>
        </w:rPr>
        <w:footnoteRef/>
      </w:r>
      <w:r w:rsidRPr="009A6395">
        <w:rPr>
          <w:rFonts w:ascii="Arial" w:hAnsi="Arial" w:cs="Arial"/>
          <w:sz w:val="18"/>
          <w:szCs w:val="18"/>
        </w:rPr>
        <w:t xml:space="preserve"> </w:t>
      </w:r>
      <w:r w:rsidR="00D90C8F" w:rsidRPr="009A6395">
        <w:rPr>
          <w:rFonts w:ascii="Arial" w:hAnsi="Arial" w:cs="Arial"/>
          <w:sz w:val="18"/>
          <w:szCs w:val="18"/>
        </w:rPr>
        <w:t>Turkey’s Constitution</w:t>
      </w:r>
      <w:r w:rsidR="00DC6D0A">
        <w:rPr>
          <w:rFonts w:ascii="Arial" w:hAnsi="Arial" w:cs="Arial"/>
          <w:sz w:val="18"/>
          <w:szCs w:val="18"/>
        </w:rPr>
        <w:t xml:space="preserve"> (1982)</w:t>
      </w:r>
      <w:r w:rsidR="00194384" w:rsidRPr="009A6395">
        <w:rPr>
          <w:rFonts w:ascii="Arial" w:hAnsi="Arial" w:cs="Arial"/>
          <w:sz w:val="18"/>
          <w:szCs w:val="18"/>
        </w:rPr>
        <w:t>,</w:t>
      </w:r>
      <w:r w:rsidR="00194384" w:rsidRPr="009A6395">
        <w:rPr>
          <w:rFonts w:ascii="Arial" w:hAnsi="Arial" w:cs="Arial"/>
          <w:color w:val="000000"/>
          <w:sz w:val="18"/>
          <w:szCs w:val="18"/>
          <w:lang w:val="en-GB"/>
        </w:rPr>
        <w:t xml:space="preserve"> </w:t>
      </w:r>
      <w:hyperlink r:id="rId1" w:history="1">
        <w:r w:rsidR="00194384" w:rsidRPr="009A6395">
          <w:rPr>
            <w:rStyle w:val="Hyperlink"/>
            <w:rFonts w:ascii="Arial" w:hAnsi="Arial" w:cs="Arial"/>
            <w:sz w:val="18"/>
            <w:szCs w:val="18"/>
            <w:lang w:val="en-GB"/>
          </w:rPr>
          <w:t>https://global.tbmm.gov.tr/docs/constitution_en.pdf</w:t>
        </w:r>
      </w:hyperlink>
    </w:p>
  </w:footnote>
  <w:footnote w:id="4">
    <w:p w14:paraId="79072C01" w14:textId="24DCB841" w:rsidR="004D7ADA" w:rsidRPr="009A6395" w:rsidRDefault="004D7ADA"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636A6F" w:rsidRPr="009A6395">
        <w:rPr>
          <w:rFonts w:cs="Arial"/>
          <w:szCs w:val="18"/>
        </w:rPr>
        <w:t xml:space="preserve">Turkey </w:t>
      </w:r>
      <w:r w:rsidRPr="009A6395">
        <w:rPr>
          <w:rFonts w:cs="Arial"/>
          <w:szCs w:val="18"/>
        </w:rPr>
        <w:t>SPR 2014, paras. 10, 19.</w:t>
      </w:r>
    </w:p>
  </w:footnote>
  <w:footnote w:id="5">
    <w:p w14:paraId="5A6C7EF8" w14:textId="6B10B188" w:rsidR="00E803F3" w:rsidRPr="009A6395" w:rsidRDefault="00E803F3" w:rsidP="00D90C8F">
      <w:pPr>
        <w:pStyle w:val="FootnoteText"/>
        <w:rPr>
          <w:rFonts w:cs="Arial"/>
          <w:szCs w:val="18"/>
        </w:rPr>
      </w:pPr>
      <w:r w:rsidRPr="009A6395">
        <w:rPr>
          <w:rStyle w:val="FootnoteReference"/>
          <w:rFonts w:cs="Arial"/>
          <w:szCs w:val="18"/>
        </w:rPr>
        <w:footnoteRef/>
      </w:r>
      <w:r w:rsidRPr="009A6395">
        <w:rPr>
          <w:rFonts w:cs="Arial"/>
          <w:szCs w:val="18"/>
        </w:rPr>
        <w:t xml:space="preserve"> These treaties include CEDAW, CAT, CRC, and ICCPR among others.</w:t>
      </w:r>
    </w:p>
  </w:footnote>
  <w:footnote w:id="6">
    <w:p w14:paraId="2EAF7885" w14:textId="19D89B2F" w:rsidR="00E3207D" w:rsidRPr="009A6395" w:rsidRDefault="00E3207D" w:rsidP="00D90C8F">
      <w:pPr>
        <w:pStyle w:val="FootnoteText"/>
        <w:rPr>
          <w:rFonts w:cs="Arial"/>
          <w:szCs w:val="18"/>
        </w:rPr>
      </w:pPr>
      <w:r w:rsidRPr="009A6395">
        <w:rPr>
          <w:rStyle w:val="FootnoteReference"/>
          <w:rFonts w:cs="Arial"/>
          <w:szCs w:val="18"/>
        </w:rPr>
        <w:footnoteRef/>
      </w:r>
      <w:r w:rsidRPr="009A6395">
        <w:rPr>
          <w:rFonts w:cs="Arial"/>
          <w:szCs w:val="18"/>
        </w:rPr>
        <w:t xml:space="preserve"> Turkey SPR 2014, para. 8.</w:t>
      </w:r>
    </w:p>
  </w:footnote>
  <w:footnote w:id="7">
    <w:p w14:paraId="0E858F9D" w14:textId="4062DDA4" w:rsidR="00C412A4" w:rsidRPr="009A6395" w:rsidRDefault="00C412A4"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343091" w:rsidRPr="009A6395">
        <w:rPr>
          <w:rFonts w:cs="Arial"/>
          <w:szCs w:val="18"/>
        </w:rPr>
        <w:t>Statement</w:t>
      </w:r>
      <w:r w:rsidR="00194384" w:rsidRPr="009A6395">
        <w:rPr>
          <w:rFonts w:cs="Arial"/>
          <w:szCs w:val="18"/>
        </w:rPr>
        <w:t xml:space="preserve"> (2021), </w:t>
      </w:r>
      <w:r w:rsidR="00194384" w:rsidRPr="009A6395">
        <w:rPr>
          <w:rFonts w:cs="Arial"/>
          <w:i/>
          <w:iCs/>
          <w:szCs w:val="18"/>
        </w:rPr>
        <w:t>Council of Europe</w:t>
      </w:r>
      <w:r w:rsidR="00194384" w:rsidRPr="009A6395">
        <w:rPr>
          <w:rFonts w:cs="Arial"/>
          <w:szCs w:val="18"/>
        </w:rPr>
        <w:t>,</w:t>
      </w:r>
      <w:r w:rsidR="009900D0">
        <w:rPr>
          <w:rFonts w:cs="Arial"/>
          <w:szCs w:val="18"/>
        </w:rPr>
        <w:t xml:space="preserve"> 22 March 2022,</w:t>
      </w:r>
      <w:r w:rsidR="00194384" w:rsidRPr="009A6395">
        <w:rPr>
          <w:rFonts w:cs="Arial"/>
          <w:szCs w:val="18"/>
        </w:rPr>
        <w:t xml:space="preserve"> </w:t>
      </w:r>
      <w:hyperlink r:id="rId2" w:history="1">
        <w:r w:rsidR="00194384" w:rsidRPr="009A6395">
          <w:rPr>
            <w:rStyle w:val="Hyperlink"/>
            <w:rFonts w:cs="Arial"/>
            <w:szCs w:val="18"/>
          </w:rPr>
          <w:t>https://www.coe.int/en/web/commissioner/-/turkey-s-announced-withdrawal-from-the-istanbul-convention-endangers-women-s-rights</w:t>
        </w:r>
      </w:hyperlink>
    </w:p>
  </w:footnote>
  <w:footnote w:id="8">
    <w:p w14:paraId="5651C1FB" w14:textId="5B690E10" w:rsidR="001118B1" w:rsidRPr="009A6395" w:rsidRDefault="001118B1" w:rsidP="00D90C8F">
      <w:pPr>
        <w:pStyle w:val="FootnoteText"/>
        <w:rPr>
          <w:rFonts w:cs="Arial"/>
          <w:szCs w:val="18"/>
        </w:rPr>
      </w:pPr>
      <w:r w:rsidRPr="009A6395">
        <w:rPr>
          <w:rStyle w:val="FootnoteReference"/>
          <w:rFonts w:cs="Arial"/>
          <w:szCs w:val="18"/>
        </w:rPr>
        <w:footnoteRef/>
      </w:r>
      <w:r w:rsidRPr="009A6395">
        <w:rPr>
          <w:rFonts w:cs="Arial"/>
          <w:szCs w:val="18"/>
        </w:rPr>
        <w:t xml:space="preserve"> Turkey SPR 2014, para</w:t>
      </w:r>
      <w:r w:rsidR="00B306CF" w:rsidRPr="009A6395">
        <w:rPr>
          <w:rFonts w:cs="Arial"/>
          <w:szCs w:val="18"/>
        </w:rPr>
        <w:t>.</w:t>
      </w:r>
      <w:r w:rsidRPr="009A6395">
        <w:rPr>
          <w:rFonts w:cs="Arial"/>
          <w:szCs w:val="18"/>
        </w:rPr>
        <w:t xml:space="preserve"> 30.</w:t>
      </w:r>
    </w:p>
  </w:footnote>
  <w:footnote w:id="9">
    <w:p w14:paraId="6837619B" w14:textId="3337C0DB" w:rsidR="00B306CF" w:rsidRPr="009A6395" w:rsidRDefault="00B306CF" w:rsidP="00D90C8F">
      <w:pPr>
        <w:pStyle w:val="FootnoteText"/>
        <w:rPr>
          <w:rFonts w:cs="Arial"/>
          <w:szCs w:val="18"/>
        </w:rPr>
      </w:pPr>
      <w:r w:rsidRPr="009A6395">
        <w:rPr>
          <w:rStyle w:val="FootnoteReference"/>
          <w:rFonts w:cs="Arial"/>
          <w:szCs w:val="18"/>
        </w:rPr>
        <w:footnoteRef/>
      </w:r>
      <w:r w:rsidRPr="009A6395">
        <w:rPr>
          <w:rFonts w:cs="Arial"/>
          <w:szCs w:val="18"/>
        </w:rPr>
        <w:t xml:space="preserve"> Turkey 8</w:t>
      </w:r>
      <w:r w:rsidRPr="009A6395">
        <w:rPr>
          <w:rFonts w:cs="Arial"/>
          <w:szCs w:val="18"/>
          <w:vertAlign w:val="superscript"/>
        </w:rPr>
        <w:t>th</w:t>
      </w:r>
      <w:r w:rsidRPr="009A6395">
        <w:rPr>
          <w:rFonts w:cs="Arial"/>
          <w:szCs w:val="18"/>
        </w:rPr>
        <w:t xml:space="preserve"> State Party Report 2020</w:t>
      </w:r>
      <w:r w:rsidR="000A6D41" w:rsidRPr="009A6395">
        <w:rPr>
          <w:rFonts w:cs="Arial"/>
          <w:szCs w:val="18"/>
        </w:rPr>
        <w:t xml:space="preserve"> (</w:t>
      </w:r>
      <w:r w:rsidR="00A2661F" w:rsidRPr="009A6395">
        <w:rPr>
          <w:rFonts w:cs="Arial"/>
          <w:szCs w:val="18"/>
        </w:rPr>
        <w:t>hereinafter ‘</w:t>
      </w:r>
      <w:r w:rsidR="000A6D41" w:rsidRPr="009A6395">
        <w:rPr>
          <w:rFonts w:cs="Arial"/>
          <w:szCs w:val="18"/>
        </w:rPr>
        <w:t>Turkey SPR 2020</w:t>
      </w:r>
      <w:r w:rsidR="00A2661F" w:rsidRPr="009A6395">
        <w:rPr>
          <w:rFonts w:cs="Arial"/>
          <w:szCs w:val="18"/>
        </w:rPr>
        <w:t>’</w:t>
      </w:r>
      <w:r w:rsidR="000A6D41" w:rsidRPr="009A6395">
        <w:rPr>
          <w:rFonts w:cs="Arial"/>
          <w:szCs w:val="18"/>
        </w:rPr>
        <w:t>)</w:t>
      </w:r>
      <w:r w:rsidR="00A2661F" w:rsidRPr="009A6395">
        <w:rPr>
          <w:rFonts w:cs="Arial"/>
          <w:szCs w:val="18"/>
        </w:rPr>
        <w:t>, para. 25.</w:t>
      </w:r>
    </w:p>
  </w:footnote>
  <w:footnote w:id="10">
    <w:p w14:paraId="09AFAEDE" w14:textId="118F5BE6" w:rsidR="00DC6D0A" w:rsidRPr="009A6395" w:rsidRDefault="0005203D" w:rsidP="00DC6D0A">
      <w:pPr>
        <w:widowControl w:val="0"/>
        <w:pBdr>
          <w:top w:val="nil"/>
          <w:left w:val="nil"/>
          <w:bottom w:val="nil"/>
          <w:right w:val="nil"/>
          <w:between w:val="nil"/>
        </w:pBdr>
        <w:rPr>
          <w:rFonts w:ascii="Arial" w:hAnsi="Arial" w:cs="Arial"/>
          <w:sz w:val="18"/>
          <w:szCs w:val="18"/>
        </w:rPr>
      </w:pPr>
      <w:r w:rsidRPr="009A6395">
        <w:rPr>
          <w:rFonts w:ascii="Arial" w:hAnsi="Arial" w:cs="Arial"/>
          <w:sz w:val="18"/>
          <w:szCs w:val="18"/>
          <w:vertAlign w:val="superscript"/>
        </w:rPr>
        <w:footnoteRef/>
      </w:r>
      <w:r w:rsidRPr="009A6395">
        <w:rPr>
          <w:rFonts w:ascii="Arial" w:eastAsia="Arial" w:hAnsi="Arial" w:cs="Arial"/>
          <w:color w:val="000000"/>
          <w:sz w:val="18"/>
          <w:szCs w:val="18"/>
        </w:rPr>
        <w:t xml:space="preserve"> Turkey’s Constitution (1982)</w:t>
      </w:r>
      <w:r w:rsidR="00C466D5">
        <w:rPr>
          <w:rFonts w:ascii="Arial" w:eastAsia="Arial" w:hAnsi="Arial" w:cs="Arial"/>
          <w:color w:val="000000"/>
          <w:sz w:val="18"/>
          <w:szCs w:val="18"/>
        </w:rPr>
        <w:t>, art. 174</w:t>
      </w:r>
      <w:r w:rsidRPr="009A6395">
        <w:rPr>
          <w:rFonts w:ascii="Arial" w:eastAsia="Arial" w:hAnsi="Arial" w:cs="Arial"/>
          <w:color w:val="000000"/>
          <w:sz w:val="18"/>
          <w:szCs w:val="18"/>
        </w:rPr>
        <w:t xml:space="preserve">; </w:t>
      </w:r>
      <w:r w:rsidR="000A6D41" w:rsidRPr="009A6395">
        <w:rPr>
          <w:rFonts w:ascii="Arial" w:eastAsia="Arial" w:hAnsi="Arial" w:cs="Arial"/>
          <w:color w:val="000000"/>
          <w:sz w:val="18"/>
          <w:szCs w:val="18"/>
        </w:rPr>
        <w:t xml:space="preserve">Turkish </w:t>
      </w:r>
      <w:r w:rsidRPr="009A6395">
        <w:rPr>
          <w:rFonts w:ascii="Arial" w:eastAsia="Arial" w:hAnsi="Arial" w:cs="Arial"/>
          <w:color w:val="000000"/>
          <w:sz w:val="18"/>
          <w:szCs w:val="18"/>
        </w:rPr>
        <w:t>Civil Code (1926),</w:t>
      </w:r>
      <w:r w:rsidR="00C466D5">
        <w:rPr>
          <w:rFonts w:ascii="Arial" w:eastAsia="Arial" w:hAnsi="Arial" w:cs="Arial"/>
          <w:color w:val="000000"/>
          <w:sz w:val="18"/>
          <w:szCs w:val="18"/>
        </w:rPr>
        <w:t xml:space="preserve"> art. 143.</w:t>
      </w:r>
      <w:r w:rsidR="00120B35">
        <w:rPr>
          <w:rFonts w:ascii="Arial" w:eastAsia="Arial" w:hAnsi="Arial" w:cs="Arial"/>
          <w:color w:val="000000"/>
          <w:sz w:val="18"/>
          <w:szCs w:val="18"/>
        </w:rPr>
        <w:t xml:space="preserve"> (Hereinafter “TCC”)</w:t>
      </w:r>
      <w:r w:rsidRPr="009A6395">
        <w:rPr>
          <w:rFonts w:ascii="Arial" w:eastAsia="Arial" w:hAnsi="Arial" w:cs="Arial"/>
          <w:color w:val="000000"/>
          <w:sz w:val="18"/>
          <w:szCs w:val="18"/>
        </w:rPr>
        <w:t xml:space="preserve"> </w:t>
      </w:r>
      <w:hyperlink r:id="rId3" w:history="1">
        <w:r w:rsidR="00DC6D0A" w:rsidRPr="001D46CF">
          <w:rPr>
            <w:rStyle w:val="Hyperlink"/>
            <w:rFonts w:ascii="Arial" w:hAnsi="Arial" w:cs="Arial"/>
            <w:sz w:val="18"/>
            <w:szCs w:val="18"/>
          </w:rPr>
          <w:t>https://rm.coe.int/turkish-civil-code-family-law-book/1680a3bcd4</w:t>
        </w:r>
      </w:hyperlink>
    </w:p>
  </w:footnote>
  <w:footnote w:id="11">
    <w:p w14:paraId="179638F0" w14:textId="77777777" w:rsidR="00BD38D6" w:rsidRPr="009A6395" w:rsidRDefault="00BD38D6" w:rsidP="00D90C8F">
      <w:pPr>
        <w:pStyle w:val="FootnoteText"/>
        <w:rPr>
          <w:rFonts w:cs="Arial"/>
          <w:szCs w:val="18"/>
        </w:rPr>
      </w:pPr>
      <w:r w:rsidRPr="009A6395">
        <w:rPr>
          <w:rStyle w:val="FootnoteReference"/>
          <w:rFonts w:cs="Arial"/>
          <w:szCs w:val="18"/>
        </w:rPr>
        <w:footnoteRef/>
      </w:r>
      <w:r w:rsidRPr="009A6395">
        <w:rPr>
          <w:rFonts w:cs="Arial"/>
          <w:szCs w:val="18"/>
        </w:rPr>
        <w:t xml:space="preserve"> Turkey SPR 2020, para. 243; </w:t>
      </w:r>
      <w:r w:rsidRPr="009A6395">
        <w:rPr>
          <w:rFonts w:eastAsia="Arial" w:cs="Arial"/>
          <w:color w:val="000000"/>
          <w:szCs w:val="18"/>
        </w:rPr>
        <w:t xml:space="preserve">Esrin Orucu, “Recent Developments in Turkish Family Law”, (Recht van de Islam, 21, 2004), p. 2, </w:t>
      </w:r>
      <w:hyperlink r:id="rId4">
        <w:r w:rsidRPr="009A6395">
          <w:rPr>
            <w:rFonts w:eastAsia="Arial" w:cs="Arial"/>
            <w:color w:val="0563C1"/>
            <w:szCs w:val="18"/>
            <w:u w:val="single"/>
          </w:rPr>
          <w:t>http://www.verenigingrimo.nl/wp/wp-content/uploads/recht21_orucu.pdf</w:t>
        </w:r>
      </w:hyperlink>
    </w:p>
  </w:footnote>
  <w:footnote w:id="12">
    <w:p w14:paraId="4A0536EF" w14:textId="1B29981A" w:rsidR="00A26432" w:rsidRPr="009A6395" w:rsidRDefault="00A26432"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120B35">
        <w:rPr>
          <w:rFonts w:cs="Arial"/>
          <w:szCs w:val="18"/>
        </w:rPr>
        <w:t>TCC</w:t>
      </w:r>
      <w:r w:rsidR="000C5067">
        <w:rPr>
          <w:rFonts w:cs="Arial"/>
          <w:szCs w:val="18"/>
        </w:rPr>
        <w:t>, art. 124.</w:t>
      </w:r>
    </w:p>
  </w:footnote>
  <w:footnote w:id="13">
    <w:p w14:paraId="3964ADCA" w14:textId="325180A8" w:rsidR="001D2EF1" w:rsidRPr="009A6395" w:rsidRDefault="001D2EF1"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CA454A">
        <w:rPr>
          <w:rFonts w:cs="Arial"/>
          <w:szCs w:val="18"/>
        </w:rPr>
        <w:t xml:space="preserve">Personal Communication, </w:t>
      </w:r>
      <w:r w:rsidRPr="00CA454A">
        <w:rPr>
          <w:rFonts w:cs="Arial"/>
          <w:i/>
          <w:iCs/>
          <w:szCs w:val="18"/>
        </w:rPr>
        <w:t>ECPAT Turkey/NGOs Network Against CSEC Turkey</w:t>
      </w:r>
      <w:r w:rsidR="000C5067">
        <w:rPr>
          <w:rFonts w:cs="Arial"/>
          <w:szCs w:val="18"/>
        </w:rPr>
        <w:t xml:space="preserve">, </w:t>
      </w:r>
      <w:r w:rsidRPr="009A6395">
        <w:rPr>
          <w:rFonts w:cs="Arial"/>
          <w:szCs w:val="18"/>
        </w:rPr>
        <w:t>January</w:t>
      </w:r>
      <w:r w:rsidR="000C5067">
        <w:rPr>
          <w:rFonts w:cs="Arial"/>
          <w:szCs w:val="18"/>
        </w:rPr>
        <w:t xml:space="preserve"> 2020,</w:t>
      </w:r>
      <w:r w:rsidRPr="009A6395">
        <w:rPr>
          <w:rFonts w:cs="Arial"/>
          <w:szCs w:val="18"/>
        </w:rPr>
        <w:t xml:space="preserve"> as cited in </w:t>
      </w:r>
      <w:r w:rsidR="003C4A62" w:rsidRPr="009A6395">
        <w:rPr>
          <w:rFonts w:cs="Arial"/>
          <w:szCs w:val="18"/>
        </w:rPr>
        <w:t>FN</w:t>
      </w:r>
      <w:r w:rsidRPr="009A6395">
        <w:rPr>
          <w:rFonts w:cs="Arial"/>
          <w:szCs w:val="18"/>
        </w:rPr>
        <w:t xml:space="preserve">98 of </w:t>
      </w:r>
      <w:hyperlink r:id="rId5" w:history="1">
        <w:r w:rsidRPr="009A6395">
          <w:rPr>
            <w:rStyle w:val="Hyperlink"/>
            <w:rFonts w:cs="Arial"/>
            <w:szCs w:val="18"/>
          </w:rPr>
          <w:t>https://ecpat.org/wp-content/uploads/2021/05/ECPAT-Country-Overview-Report-Sexual-Exploitation-of-Children-inTurkey-July-2020-ENGLISH.pdf</w:t>
        </w:r>
      </w:hyperlink>
    </w:p>
  </w:footnote>
  <w:footnote w:id="14">
    <w:p w14:paraId="4850A019" w14:textId="4067F23A" w:rsidR="00C436FF" w:rsidRPr="009A6395" w:rsidRDefault="00C436FF"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120B35">
        <w:rPr>
          <w:rFonts w:cs="Arial"/>
          <w:szCs w:val="18"/>
        </w:rPr>
        <w:t>TCC</w:t>
      </w:r>
      <w:r w:rsidR="00EE334A">
        <w:rPr>
          <w:rFonts w:cs="Arial"/>
          <w:szCs w:val="18"/>
        </w:rPr>
        <w:t>, art. 124</w:t>
      </w:r>
      <w:r w:rsidR="00CB68CF" w:rsidRPr="009A6395">
        <w:rPr>
          <w:rFonts w:cs="Arial"/>
          <w:szCs w:val="18"/>
        </w:rPr>
        <w:t>;</w:t>
      </w:r>
      <w:r w:rsidR="00AA52DD" w:rsidRPr="009A6395">
        <w:rPr>
          <w:rFonts w:cs="Arial"/>
          <w:szCs w:val="18"/>
        </w:rPr>
        <w:t xml:space="preserve"> Turkey </w:t>
      </w:r>
      <w:r w:rsidR="0052535A" w:rsidRPr="009A6395">
        <w:rPr>
          <w:rFonts w:cs="Arial"/>
          <w:szCs w:val="18"/>
        </w:rPr>
        <w:t>SPR 2020,</w:t>
      </w:r>
      <w:r w:rsidR="00AA52DD" w:rsidRPr="009A6395">
        <w:rPr>
          <w:rFonts w:cs="Arial"/>
          <w:szCs w:val="18"/>
        </w:rPr>
        <w:t xml:space="preserve"> </w:t>
      </w:r>
      <w:r w:rsidR="0052535A" w:rsidRPr="009A6395">
        <w:rPr>
          <w:rFonts w:cs="Arial"/>
          <w:szCs w:val="18"/>
        </w:rPr>
        <w:t>pa</w:t>
      </w:r>
      <w:r w:rsidR="00AA52DD" w:rsidRPr="009A6395">
        <w:rPr>
          <w:rFonts w:cs="Arial"/>
          <w:szCs w:val="18"/>
        </w:rPr>
        <w:t>ra</w:t>
      </w:r>
      <w:r w:rsidR="0052535A" w:rsidRPr="009A6395">
        <w:rPr>
          <w:rFonts w:cs="Arial"/>
          <w:szCs w:val="18"/>
        </w:rPr>
        <w:t>.</w:t>
      </w:r>
      <w:r w:rsidR="00AA52DD" w:rsidRPr="009A6395">
        <w:rPr>
          <w:rFonts w:cs="Arial"/>
          <w:szCs w:val="18"/>
        </w:rPr>
        <w:t xml:space="preserve"> 243</w:t>
      </w:r>
    </w:p>
  </w:footnote>
  <w:footnote w:id="15">
    <w:p w14:paraId="2284CFE3" w14:textId="019ABFDA" w:rsidR="00AF01BB" w:rsidRPr="009A6395" w:rsidRDefault="00AF01BB" w:rsidP="00D90C8F">
      <w:pPr>
        <w:pStyle w:val="FootnoteText"/>
        <w:rPr>
          <w:rFonts w:cs="Arial"/>
          <w:szCs w:val="18"/>
        </w:rPr>
      </w:pPr>
      <w:r w:rsidRPr="009A6395">
        <w:rPr>
          <w:rStyle w:val="FootnoteReference"/>
          <w:rFonts w:cs="Arial"/>
          <w:szCs w:val="18"/>
        </w:rPr>
        <w:footnoteRef/>
      </w:r>
      <w:r w:rsidR="003C4A62" w:rsidRPr="009A6395">
        <w:rPr>
          <w:rFonts w:cs="Arial"/>
          <w:szCs w:val="18"/>
        </w:rPr>
        <w:t xml:space="preserve"> </w:t>
      </w:r>
      <w:r w:rsidR="00361F57" w:rsidRPr="009A6395">
        <w:rPr>
          <w:rFonts w:cs="Arial"/>
          <w:szCs w:val="18"/>
        </w:rPr>
        <w:t>Statement</w:t>
      </w:r>
      <w:r w:rsidR="00C67040" w:rsidRPr="009A6395">
        <w:rPr>
          <w:rFonts w:cs="Arial"/>
          <w:szCs w:val="18"/>
        </w:rPr>
        <w:t>,</w:t>
      </w:r>
      <w:r w:rsidR="00786560" w:rsidRPr="009A6395">
        <w:rPr>
          <w:rFonts w:cs="Arial"/>
          <w:szCs w:val="18"/>
        </w:rPr>
        <w:t xml:space="preserve"> </w:t>
      </w:r>
      <w:r w:rsidR="00C67040" w:rsidRPr="00CA454A">
        <w:rPr>
          <w:rFonts w:cs="Arial"/>
          <w:i/>
          <w:iCs/>
          <w:szCs w:val="18"/>
        </w:rPr>
        <w:t>Association for Struggle against Sexual Violence (ASSV)</w:t>
      </w:r>
      <w:r w:rsidR="00A2661F" w:rsidRPr="00CA454A">
        <w:rPr>
          <w:rFonts w:cs="Arial"/>
          <w:i/>
          <w:iCs/>
          <w:szCs w:val="18"/>
        </w:rPr>
        <w:t>,</w:t>
      </w:r>
      <w:r w:rsidRPr="009A6395">
        <w:rPr>
          <w:rFonts w:cs="Arial"/>
          <w:szCs w:val="18"/>
        </w:rPr>
        <w:t xml:space="preserve"> </w:t>
      </w:r>
      <w:r w:rsidR="00A2661F" w:rsidRPr="009A6395">
        <w:rPr>
          <w:rFonts w:cs="Arial"/>
          <w:szCs w:val="18"/>
        </w:rPr>
        <w:t xml:space="preserve">26 November 2016, </w:t>
      </w:r>
      <w:hyperlink r:id="rId6" w:history="1">
        <w:r w:rsidR="00A2661F" w:rsidRPr="009A6395">
          <w:rPr>
            <w:rStyle w:val="Hyperlink"/>
            <w:rFonts w:cs="Arial"/>
            <w:szCs w:val="18"/>
          </w:rPr>
          <w:t>https://cinselsiddetlemucadele.org/2016/11/26/article-103-of-the-turkish-penal-code-recently-amended-and-passed-through-parliament-runs-the-risk-of-seeking-consent-from-children-between-12-and-15-years-of-age/</w:t>
        </w:r>
      </w:hyperlink>
    </w:p>
  </w:footnote>
  <w:footnote w:id="16">
    <w:p w14:paraId="47DE7A66" w14:textId="3D0A72B9" w:rsidR="009900D0" w:rsidRPr="009A6395" w:rsidRDefault="00A57C0C" w:rsidP="009900D0">
      <w:pPr>
        <w:rPr>
          <w:rFonts w:ascii="Arial" w:hAnsi="Arial" w:cs="Arial"/>
          <w:sz w:val="18"/>
          <w:szCs w:val="18"/>
        </w:rPr>
      </w:pPr>
      <w:r w:rsidRPr="009A6395">
        <w:rPr>
          <w:rFonts w:ascii="Arial" w:hAnsi="Arial" w:cs="Arial"/>
          <w:sz w:val="18"/>
          <w:szCs w:val="18"/>
          <w:vertAlign w:val="superscript"/>
        </w:rPr>
        <w:footnoteRef/>
      </w:r>
      <w:r w:rsidRPr="009A6395">
        <w:rPr>
          <w:rFonts w:ascii="Arial" w:hAnsi="Arial" w:cs="Arial"/>
          <w:sz w:val="18"/>
          <w:szCs w:val="18"/>
        </w:rPr>
        <w:t xml:space="preserve"> </w:t>
      </w:r>
      <w:r w:rsidR="00A2661F" w:rsidRPr="009A6395">
        <w:rPr>
          <w:rFonts w:ascii="Arial" w:hAnsi="Arial" w:cs="Arial"/>
          <w:sz w:val="18"/>
          <w:szCs w:val="18"/>
        </w:rPr>
        <w:t>‘</w:t>
      </w:r>
      <w:r w:rsidR="00361F57" w:rsidRPr="009A6395">
        <w:rPr>
          <w:rFonts w:ascii="Arial" w:hAnsi="Arial" w:cs="Arial"/>
          <w:sz w:val="18"/>
          <w:szCs w:val="18"/>
        </w:rPr>
        <w:t>Sexual behavior to every child under the age of 15 is not abuse</w:t>
      </w:r>
      <w:r w:rsidR="00A2661F" w:rsidRPr="009A6395">
        <w:rPr>
          <w:rFonts w:ascii="Arial" w:hAnsi="Arial" w:cs="Arial"/>
          <w:sz w:val="18"/>
          <w:szCs w:val="18"/>
        </w:rPr>
        <w:t>’</w:t>
      </w:r>
      <w:r w:rsidR="00361F57" w:rsidRPr="009A6395">
        <w:rPr>
          <w:rFonts w:ascii="Arial" w:hAnsi="Arial" w:cs="Arial"/>
          <w:sz w:val="18"/>
          <w:szCs w:val="18"/>
        </w:rPr>
        <w:t xml:space="preserve">, </w:t>
      </w:r>
      <w:r w:rsidR="00361F57" w:rsidRPr="009A6395">
        <w:rPr>
          <w:rFonts w:ascii="Arial" w:hAnsi="Arial" w:cs="Arial"/>
          <w:i/>
          <w:iCs/>
          <w:sz w:val="18"/>
          <w:szCs w:val="18"/>
        </w:rPr>
        <w:t>BBC Turkey</w:t>
      </w:r>
      <w:r w:rsidR="00A2661F" w:rsidRPr="009A6395">
        <w:rPr>
          <w:rFonts w:ascii="Arial" w:hAnsi="Arial" w:cs="Arial"/>
          <w:sz w:val="18"/>
          <w:szCs w:val="18"/>
        </w:rPr>
        <w:t>, 14 July 2016,</w:t>
      </w:r>
      <w:r w:rsidR="00361F57" w:rsidRPr="009A6395">
        <w:rPr>
          <w:rFonts w:ascii="Arial" w:hAnsi="Arial" w:cs="Arial"/>
          <w:sz w:val="18"/>
          <w:szCs w:val="18"/>
        </w:rPr>
        <w:t xml:space="preserve"> </w:t>
      </w:r>
      <w:hyperlink r:id="rId7" w:history="1">
        <w:r w:rsidR="009900D0" w:rsidRPr="001D46CF">
          <w:rPr>
            <w:rStyle w:val="Hyperlink"/>
            <w:rFonts w:ascii="Arial" w:hAnsi="Arial" w:cs="Arial"/>
            <w:sz w:val="18"/>
            <w:szCs w:val="18"/>
          </w:rPr>
          <w:t>https://www.bbc.com/turkce/haberler-turkiye-36798378</w:t>
        </w:r>
      </w:hyperlink>
    </w:p>
  </w:footnote>
  <w:footnote w:id="17">
    <w:p w14:paraId="1571D4BF" w14:textId="16DE11C5" w:rsidR="00743CC7" w:rsidRPr="009A6395" w:rsidRDefault="00162550" w:rsidP="0098742A">
      <w:pPr>
        <w:rPr>
          <w:rFonts w:ascii="Arial" w:hAnsi="Arial" w:cs="Arial"/>
          <w:sz w:val="18"/>
          <w:szCs w:val="18"/>
        </w:rPr>
      </w:pPr>
      <w:r w:rsidRPr="009A6395">
        <w:rPr>
          <w:rFonts w:ascii="Arial" w:hAnsi="Arial" w:cs="Arial"/>
          <w:sz w:val="18"/>
          <w:szCs w:val="18"/>
          <w:vertAlign w:val="superscript"/>
        </w:rPr>
        <w:footnoteRef/>
      </w:r>
      <w:r w:rsidR="00AC04AC" w:rsidRPr="009A6395">
        <w:rPr>
          <w:rFonts w:ascii="Arial" w:hAnsi="Arial" w:cs="Arial"/>
          <w:sz w:val="18"/>
          <w:szCs w:val="18"/>
        </w:rPr>
        <w:t xml:space="preserve"> </w:t>
      </w:r>
      <w:r w:rsidR="00361F57" w:rsidRPr="009A6395">
        <w:rPr>
          <w:rFonts w:ascii="Arial" w:hAnsi="Arial" w:cs="Arial"/>
          <w:sz w:val="18"/>
          <w:szCs w:val="18"/>
        </w:rPr>
        <w:t>ASSV Statement, supra note 1</w:t>
      </w:r>
      <w:r w:rsidR="00EE334A">
        <w:rPr>
          <w:rFonts w:ascii="Arial" w:hAnsi="Arial" w:cs="Arial"/>
          <w:sz w:val="18"/>
          <w:szCs w:val="18"/>
        </w:rPr>
        <w:t>5</w:t>
      </w:r>
      <w:r w:rsidR="00361F57" w:rsidRPr="009A6395">
        <w:rPr>
          <w:rFonts w:ascii="Arial" w:hAnsi="Arial" w:cs="Arial"/>
          <w:sz w:val="18"/>
          <w:szCs w:val="18"/>
        </w:rPr>
        <w:t>.</w:t>
      </w:r>
    </w:p>
  </w:footnote>
  <w:footnote w:id="18">
    <w:p w14:paraId="1541FC18" w14:textId="774C4F60" w:rsidR="0051674D" w:rsidRPr="009A6395" w:rsidRDefault="0051674D" w:rsidP="00D90C8F">
      <w:pPr>
        <w:pStyle w:val="FootnoteText"/>
        <w:rPr>
          <w:rFonts w:cs="Arial"/>
          <w:szCs w:val="18"/>
        </w:rPr>
      </w:pPr>
      <w:r w:rsidRPr="009A6395">
        <w:rPr>
          <w:rStyle w:val="FootnoteReference"/>
          <w:rFonts w:cs="Arial"/>
          <w:szCs w:val="18"/>
        </w:rPr>
        <w:footnoteRef/>
      </w:r>
      <w:r w:rsidRPr="009A6395">
        <w:rPr>
          <w:rFonts w:cs="Arial"/>
          <w:szCs w:val="18"/>
        </w:rPr>
        <w:t xml:space="preserve"> Turkey SPR 2020, para. 81.</w:t>
      </w:r>
    </w:p>
  </w:footnote>
  <w:footnote w:id="19">
    <w:p w14:paraId="05D5EB73" w14:textId="54DFEA9D" w:rsidR="00C67040" w:rsidRPr="009A6395" w:rsidRDefault="003B3072" w:rsidP="009900D0">
      <w:pPr>
        <w:rPr>
          <w:rFonts w:ascii="Arial" w:hAnsi="Arial" w:cs="Arial"/>
          <w:sz w:val="18"/>
          <w:szCs w:val="18"/>
        </w:rPr>
      </w:pPr>
      <w:r w:rsidRPr="009A6395">
        <w:rPr>
          <w:rFonts w:ascii="Arial" w:hAnsi="Arial" w:cs="Arial"/>
          <w:sz w:val="18"/>
          <w:szCs w:val="18"/>
          <w:vertAlign w:val="superscript"/>
        </w:rPr>
        <w:footnoteRef/>
      </w:r>
      <w:r w:rsidRPr="009A6395">
        <w:rPr>
          <w:rFonts w:ascii="Arial" w:hAnsi="Arial" w:cs="Arial"/>
          <w:sz w:val="18"/>
          <w:szCs w:val="18"/>
        </w:rPr>
        <w:t xml:space="preserve"> </w:t>
      </w:r>
      <w:r w:rsidR="00786560" w:rsidRPr="009A6395">
        <w:rPr>
          <w:rFonts w:ascii="Arial" w:hAnsi="Arial" w:cs="Arial"/>
          <w:sz w:val="18"/>
          <w:szCs w:val="18"/>
        </w:rPr>
        <w:t>‘</w:t>
      </w:r>
      <w:r w:rsidR="00A2661F" w:rsidRPr="009A6395">
        <w:rPr>
          <w:rFonts w:ascii="Arial" w:hAnsi="Arial" w:cs="Arial"/>
          <w:sz w:val="18"/>
          <w:szCs w:val="18"/>
        </w:rPr>
        <w:t>“</w:t>
      </w:r>
      <w:r w:rsidR="00C67040" w:rsidRPr="009A6395">
        <w:rPr>
          <w:rFonts w:ascii="Arial" w:hAnsi="Arial" w:cs="Arial"/>
          <w:sz w:val="18"/>
          <w:szCs w:val="18"/>
        </w:rPr>
        <w:t>Marry-your-rapist</w:t>
      </w:r>
      <w:r w:rsidR="00A2661F" w:rsidRPr="009A6395">
        <w:rPr>
          <w:rFonts w:ascii="Arial" w:hAnsi="Arial" w:cs="Arial"/>
          <w:sz w:val="18"/>
          <w:szCs w:val="18"/>
        </w:rPr>
        <w:t>”</w:t>
      </w:r>
      <w:r w:rsidR="00C67040" w:rsidRPr="009A6395">
        <w:rPr>
          <w:rFonts w:ascii="Arial" w:hAnsi="Arial" w:cs="Arial"/>
          <w:sz w:val="18"/>
          <w:szCs w:val="18"/>
        </w:rPr>
        <w:t xml:space="preserve"> bill proposed to be introduced by lawmakers in Turkey’, </w:t>
      </w:r>
      <w:r w:rsidR="00C67040" w:rsidRPr="009A6395">
        <w:rPr>
          <w:rFonts w:ascii="Arial" w:hAnsi="Arial" w:cs="Arial"/>
          <w:i/>
          <w:iCs/>
          <w:sz w:val="18"/>
          <w:szCs w:val="18"/>
        </w:rPr>
        <w:t xml:space="preserve">Independent, </w:t>
      </w:r>
      <w:r w:rsidR="009900D0">
        <w:rPr>
          <w:rFonts w:ascii="Arial" w:hAnsi="Arial" w:cs="Arial"/>
          <w:sz w:val="18"/>
          <w:szCs w:val="18"/>
        </w:rPr>
        <w:t xml:space="preserve">22 </w:t>
      </w:r>
      <w:r w:rsidR="009900D0" w:rsidRPr="009A6395">
        <w:rPr>
          <w:rFonts w:ascii="Arial" w:hAnsi="Arial" w:cs="Arial"/>
          <w:sz w:val="18"/>
          <w:szCs w:val="18"/>
        </w:rPr>
        <w:t>January 2020</w:t>
      </w:r>
      <w:r w:rsidR="009900D0">
        <w:rPr>
          <w:rFonts w:ascii="Arial" w:hAnsi="Arial" w:cs="Arial"/>
          <w:sz w:val="18"/>
          <w:szCs w:val="18"/>
        </w:rPr>
        <w:t xml:space="preserve">, </w:t>
      </w:r>
      <w:hyperlink r:id="rId8" w:history="1">
        <w:r w:rsidR="009900D0" w:rsidRPr="001D46CF">
          <w:rPr>
            <w:rStyle w:val="Hyperlink"/>
            <w:rFonts w:ascii="Arial" w:hAnsi="Arial" w:cs="Arial"/>
            <w:sz w:val="18"/>
            <w:szCs w:val="18"/>
          </w:rPr>
          <w:t>https://www.independent.co.uk/news/world/europe/turkey-marry-rapist-bill-child-marriage-a9296681.html</w:t>
        </w:r>
      </w:hyperlink>
    </w:p>
  </w:footnote>
  <w:footnote w:id="20">
    <w:p w14:paraId="49A78C61" w14:textId="6E94F259" w:rsidR="00840E34" w:rsidRPr="009A6395" w:rsidRDefault="00840E34" w:rsidP="0098742A">
      <w:pPr>
        <w:rPr>
          <w:rFonts w:ascii="Arial" w:hAnsi="Arial" w:cs="Arial"/>
          <w:sz w:val="18"/>
          <w:szCs w:val="18"/>
        </w:rPr>
      </w:pPr>
      <w:r w:rsidRPr="009A6395">
        <w:rPr>
          <w:rFonts w:ascii="Arial" w:hAnsi="Arial" w:cs="Arial"/>
          <w:sz w:val="18"/>
          <w:szCs w:val="18"/>
          <w:vertAlign w:val="superscript"/>
        </w:rPr>
        <w:footnoteRef/>
      </w:r>
      <w:r w:rsidRPr="009A6395">
        <w:rPr>
          <w:rFonts w:ascii="Arial" w:hAnsi="Arial" w:cs="Arial"/>
          <w:sz w:val="18"/>
          <w:szCs w:val="18"/>
        </w:rPr>
        <w:t xml:space="preserve"> Girls Not Brides, </w:t>
      </w:r>
      <w:r w:rsidRPr="00116E0A">
        <w:rPr>
          <w:rFonts w:ascii="Arial" w:hAnsi="Arial" w:cs="Arial"/>
          <w:i/>
          <w:iCs/>
          <w:sz w:val="18"/>
          <w:szCs w:val="18"/>
        </w:rPr>
        <w:t>Heinrich Böll Stiftung</w:t>
      </w:r>
      <w:r w:rsidR="00116E0A">
        <w:rPr>
          <w:rFonts w:ascii="Arial" w:hAnsi="Arial" w:cs="Arial"/>
          <w:sz w:val="18"/>
          <w:szCs w:val="18"/>
        </w:rPr>
        <w:t>,</w:t>
      </w:r>
      <w:r w:rsidRPr="009A6395">
        <w:rPr>
          <w:rFonts w:ascii="Arial" w:hAnsi="Arial" w:cs="Arial"/>
          <w:sz w:val="18"/>
          <w:szCs w:val="18"/>
        </w:rPr>
        <w:t xml:space="preserve"> </w:t>
      </w:r>
      <w:hyperlink r:id="rId9">
        <w:r w:rsidRPr="009A6395">
          <w:rPr>
            <w:rFonts w:ascii="Arial" w:hAnsi="Arial" w:cs="Arial"/>
            <w:color w:val="1155CC"/>
            <w:sz w:val="18"/>
            <w:szCs w:val="18"/>
            <w:u w:val="single"/>
          </w:rPr>
          <w:t>https://atlas.girlsnotbrides.org/map/turkey/</w:t>
        </w:r>
      </w:hyperlink>
      <w:r w:rsidRPr="009A6395">
        <w:rPr>
          <w:rFonts w:ascii="Arial" w:hAnsi="Arial" w:cs="Arial"/>
          <w:sz w:val="18"/>
          <w:szCs w:val="18"/>
        </w:rPr>
        <w:t xml:space="preserve">  </w:t>
      </w:r>
    </w:p>
  </w:footnote>
  <w:footnote w:id="21">
    <w:p w14:paraId="0A470813" w14:textId="4583CECF" w:rsidR="00937009" w:rsidRPr="009A6395" w:rsidRDefault="00937009"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8B0947" w:rsidRPr="009A6395">
        <w:rPr>
          <w:rFonts w:cs="Arial"/>
          <w:szCs w:val="18"/>
        </w:rPr>
        <w:t xml:space="preserve">‘Child Marriage Is on the Rise in Turkey as Syrian Refugees Struggle During COVID-19’, </w:t>
      </w:r>
      <w:r w:rsidR="008B0947" w:rsidRPr="009A6395">
        <w:rPr>
          <w:rFonts w:cs="Arial"/>
          <w:i/>
          <w:iCs/>
          <w:szCs w:val="18"/>
        </w:rPr>
        <w:t xml:space="preserve">Global Citizen, </w:t>
      </w:r>
      <w:r w:rsidR="009900D0">
        <w:rPr>
          <w:rFonts w:cs="Arial"/>
          <w:szCs w:val="18"/>
        </w:rPr>
        <w:t>9 July 2020,</w:t>
      </w:r>
      <w:r w:rsidR="008B0947" w:rsidRPr="009A6395">
        <w:rPr>
          <w:rFonts w:cs="Arial"/>
          <w:szCs w:val="18"/>
        </w:rPr>
        <w:t xml:space="preserve"> </w:t>
      </w:r>
      <w:hyperlink r:id="rId10" w:history="1">
        <w:r w:rsidR="008B0947" w:rsidRPr="009A6395">
          <w:rPr>
            <w:rStyle w:val="Hyperlink"/>
            <w:rFonts w:cs="Arial"/>
            <w:szCs w:val="18"/>
          </w:rPr>
          <w:t>https://www.globalcitizen.org/en/content/child-marriage-syrian-refugees-turkey-covid-19/</w:t>
        </w:r>
      </w:hyperlink>
    </w:p>
  </w:footnote>
  <w:footnote w:id="22">
    <w:p w14:paraId="620D8A55" w14:textId="5BAC6D2E" w:rsidR="00937009" w:rsidRPr="009A6395" w:rsidRDefault="00937009" w:rsidP="0098742A">
      <w:pPr>
        <w:rPr>
          <w:rFonts w:ascii="Arial" w:eastAsia="Arial" w:hAnsi="Arial" w:cs="Arial"/>
          <w:sz w:val="18"/>
          <w:szCs w:val="18"/>
        </w:rPr>
      </w:pPr>
      <w:r w:rsidRPr="009A6395">
        <w:rPr>
          <w:rFonts w:ascii="Arial" w:hAnsi="Arial" w:cs="Arial"/>
          <w:sz w:val="18"/>
          <w:szCs w:val="18"/>
          <w:vertAlign w:val="superscript"/>
        </w:rPr>
        <w:footnoteRef/>
      </w:r>
      <w:r w:rsidRPr="009A6395">
        <w:rPr>
          <w:rFonts w:ascii="Arial" w:eastAsia="Arial" w:hAnsi="Arial" w:cs="Arial"/>
          <w:sz w:val="18"/>
          <w:szCs w:val="18"/>
        </w:rPr>
        <w:t xml:space="preserve"> Child, Early and Forced Marriage in Turkey</w:t>
      </w:r>
      <w:r w:rsidR="00FD379D">
        <w:rPr>
          <w:rFonts w:ascii="Arial" w:eastAsia="Arial" w:hAnsi="Arial" w:cs="Arial"/>
          <w:sz w:val="18"/>
          <w:szCs w:val="18"/>
        </w:rPr>
        <w:t xml:space="preserve"> 1993-2018</w:t>
      </w:r>
      <w:r w:rsidRPr="009A6395">
        <w:rPr>
          <w:rFonts w:ascii="Arial" w:eastAsia="Arial" w:hAnsi="Arial" w:cs="Arial"/>
          <w:sz w:val="18"/>
          <w:szCs w:val="18"/>
        </w:rPr>
        <w:t xml:space="preserve">, </w:t>
      </w:r>
      <w:r w:rsidR="00116E0A" w:rsidRPr="00116E0A">
        <w:rPr>
          <w:rFonts w:ascii="Arial" w:eastAsia="Arial" w:hAnsi="Arial" w:cs="Arial"/>
          <w:i/>
          <w:iCs/>
          <w:sz w:val="18"/>
          <w:szCs w:val="18"/>
        </w:rPr>
        <w:t>Hacettepe University and UNFPA,</w:t>
      </w:r>
      <w:r w:rsidR="00116E0A" w:rsidRPr="009A6395">
        <w:rPr>
          <w:rFonts w:ascii="Arial" w:eastAsia="Arial" w:hAnsi="Arial" w:cs="Arial"/>
          <w:sz w:val="18"/>
          <w:szCs w:val="18"/>
        </w:rPr>
        <w:t xml:space="preserve"> </w:t>
      </w:r>
      <w:r w:rsidR="0007008F" w:rsidRPr="009A6395">
        <w:rPr>
          <w:rFonts w:ascii="Arial" w:eastAsia="Arial" w:hAnsi="Arial" w:cs="Arial"/>
          <w:sz w:val="18"/>
          <w:szCs w:val="18"/>
        </w:rPr>
        <w:t>Fi</w:t>
      </w:r>
      <w:r w:rsidRPr="009A6395">
        <w:rPr>
          <w:rFonts w:ascii="Arial" w:eastAsia="Arial" w:hAnsi="Arial" w:cs="Arial"/>
          <w:sz w:val="18"/>
          <w:szCs w:val="18"/>
        </w:rPr>
        <w:t xml:space="preserve">gure 33, </w:t>
      </w:r>
      <w:hyperlink r:id="rId11">
        <w:r w:rsidRPr="009A6395">
          <w:rPr>
            <w:rFonts w:ascii="Arial" w:eastAsia="Arial" w:hAnsi="Arial" w:cs="Arial"/>
            <w:color w:val="1155CC"/>
            <w:sz w:val="18"/>
            <w:szCs w:val="18"/>
            <w:u w:val="single"/>
          </w:rPr>
          <w:t>p://fs.hacettepe.edu.tr/hips/dosyalar/yayinlar/ENG/eng_tdhs_cefm_findings_report_ENG.pdf</w:t>
        </w:r>
      </w:hyperlink>
    </w:p>
  </w:footnote>
  <w:footnote w:id="23">
    <w:p w14:paraId="3C80B905" w14:textId="217C0734" w:rsidR="00937009" w:rsidRPr="009A6395" w:rsidRDefault="00937009" w:rsidP="0098742A">
      <w:pPr>
        <w:rPr>
          <w:rFonts w:ascii="Arial" w:eastAsia="Arial" w:hAnsi="Arial" w:cs="Arial"/>
          <w:sz w:val="18"/>
          <w:szCs w:val="18"/>
        </w:rPr>
      </w:pPr>
      <w:r w:rsidRPr="009A6395">
        <w:rPr>
          <w:rFonts w:ascii="Arial" w:hAnsi="Arial" w:cs="Arial"/>
          <w:sz w:val="18"/>
          <w:szCs w:val="18"/>
          <w:vertAlign w:val="superscript"/>
        </w:rPr>
        <w:footnoteRef/>
      </w:r>
      <w:r w:rsidRPr="009A6395">
        <w:rPr>
          <w:rFonts w:ascii="Arial" w:eastAsia="Arial" w:hAnsi="Arial" w:cs="Arial"/>
          <w:sz w:val="18"/>
          <w:szCs w:val="18"/>
        </w:rPr>
        <w:t xml:space="preserve"> </w:t>
      </w:r>
      <w:r w:rsidR="00C32EA2" w:rsidRPr="009A6395">
        <w:rPr>
          <w:rFonts w:ascii="Arial" w:eastAsia="Arial" w:hAnsi="Arial" w:cs="Arial"/>
          <w:sz w:val="18"/>
          <w:szCs w:val="18"/>
        </w:rPr>
        <w:t>Ibid</w:t>
      </w:r>
      <w:r w:rsidRPr="009A6395">
        <w:rPr>
          <w:rFonts w:ascii="Arial" w:eastAsia="Arial" w:hAnsi="Arial" w:cs="Arial"/>
          <w:sz w:val="18"/>
          <w:szCs w:val="18"/>
        </w:rPr>
        <w:t xml:space="preserve">, p29, </w:t>
      </w:r>
      <w:r w:rsidR="00C32EA2" w:rsidRPr="009A6395">
        <w:rPr>
          <w:rFonts w:ascii="Arial" w:eastAsia="Arial" w:hAnsi="Arial" w:cs="Arial"/>
          <w:sz w:val="18"/>
          <w:szCs w:val="18"/>
        </w:rPr>
        <w:t>Fi</w:t>
      </w:r>
      <w:r w:rsidRPr="009A6395">
        <w:rPr>
          <w:rFonts w:ascii="Arial" w:eastAsia="Arial" w:hAnsi="Arial" w:cs="Arial"/>
          <w:sz w:val="18"/>
          <w:szCs w:val="18"/>
        </w:rPr>
        <w:t>gure 6</w:t>
      </w:r>
      <w:r w:rsidR="00C32EA2" w:rsidRPr="009A6395">
        <w:rPr>
          <w:rFonts w:ascii="Arial" w:eastAsia="Arial" w:hAnsi="Arial" w:cs="Arial"/>
          <w:sz w:val="18"/>
          <w:szCs w:val="18"/>
        </w:rPr>
        <w:t>.</w:t>
      </w:r>
    </w:p>
  </w:footnote>
  <w:footnote w:id="24">
    <w:p w14:paraId="01A714E9" w14:textId="476DBEEA" w:rsidR="00937009" w:rsidRPr="009A6395" w:rsidRDefault="00937009" w:rsidP="0098742A">
      <w:pPr>
        <w:rPr>
          <w:rFonts w:ascii="Arial" w:eastAsia="Arial" w:hAnsi="Arial" w:cs="Arial"/>
          <w:sz w:val="18"/>
          <w:szCs w:val="18"/>
        </w:rPr>
      </w:pPr>
      <w:r w:rsidRPr="009A6395">
        <w:rPr>
          <w:rFonts w:ascii="Arial" w:hAnsi="Arial" w:cs="Arial"/>
          <w:sz w:val="18"/>
          <w:szCs w:val="18"/>
          <w:vertAlign w:val="superscript"/>
        </w:rPr>
        <w:footnoteRef/>
      </w:r>
      <w:r w:rsidRPr="009A6395">
        <w:rPr>
          <w:rFonts w:ascii="Arial" w:eastAsia="Arial" w:hAnsi="Arial" w:cs="Arial"/>
          <w:sz w:val="18"/>
          <w:szCs w:val="18"/>
        </w:rPr>
        <w:t xml:space="preserve"> Turkey Demographic and Health Survey 2018,</w:t>
      </w:r>
      <w:r w:rsidR="00FD379D">
        <w:rPr>
          <w:rFonts w:ascii="Arial" w:eastAsia="Arial" w:hAnsi="Arial" w:cs="Arial"/>
          <w:sz w:val="18"/>
          <w:szCs w:val="18"/>
        </w:rPr>
        <w:t xml:space="preserve"> </w:t>
      </w:r>
      <w:r w:rsidR="00FD379D" w:rsidRPr="00FD379D">
        <w:rPr>
          <w:rFonts w:ascii="Arial" w:eastAsia="Arial" w:hAnsi="Arial" w:cs="Arial"/>
          <w:i/>
          <w:iCs/>
          <w:sz w:val="18"/>
          <w:szCs w:val="18"/>
        </w:rPr>
        <w:t>Ministry of Family and Social Policies and Hacettepe University,</w:t>
      </w:r>
      <w:r w:rsidRPr="009A6395">
        <w:rPr>
          <w:rFonts w:ascii="Arial" w:eastAsia="Arial" w:hAnsi="Arial" w:cs="Arial"/>
          <w:sz w:val="18"/>
          <w:szCs w:val="18"/>
        </w:rPr>
        <w:t xml:space="preserve"> </w:t>
      </w:r>
      <w:r w:rsidR="0007008F" w:rsidRPr="009A6395">
        <w:rPr>
          <w:rFonts w:ascii="Arial" w:eastAsia="Arial" w:hAnsi="Arial" w:cs="Arial"/>
          <w:sz w:val="18"/>
          <w:szCs w:val="18"/>
        </w:rPr>
        <w:t>F</w:t>
      </w:r>
      <w:r w:rsidRPr="009A6395">
        <w:rPr>
          <w:rFonts w:ascii="Arial" w:eastAsia="Arial" w:hAnsi="Arial" w:cs="Arial"/>
          <w:sz w:val="18"/>
          <w:szCs w:val="18"/>
        </w:rPr>
        <w:t xml:space="preserve">igure 4.2, </w:t>
      </w:r>
      <w:hyperlink r:id="rId12">
        <w:r w:rsidRPr="009A6395">
          <w:rPr>
            <w:rFonts w:ascii="Arial" w:eastAsia="Arial" w:hAnsi="Arial" w:cs="Arial"/>
            <w:color w:val="1155CC"/>
            <w:sz w:val="18"/>
            <w:szCs w:val="18"/>
            <w:u w:val="single"/>
          </w:rPr>
          <w:t>https://fs.hacettepe.edu.tr/hips/dosyalar/Ara%C5%9Ft%C4%B1rmalar%20-%20raporlar/2018%20TNSA/TDHS2018_mainReport_compressed.pdf</w:t>
        </w:r>
      </w:hyperlink>
    </w:p>
  </w:footnote>
  <w:footnote w:id="25">
    <w:p w14:paraId="0EFD0716" w14:textId="11506524" w:rsidR="00116DB5" w:rsidRPr="009A6395" w:rsidRDefault="00116DB5"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8B0947" w:rsidRPr="009A6395">
        <w:rPr>
          <w:rFonts w:cs="Arial"/>
          <w:szCs w:val="18"/>
        </w:rPr>
        <w:t>Turkey Country Overview Report on Sexual Exploitation of Children</w:t>
      </w:r>
      <w:r w:rsidR="00FD379D">
        <w:rPr>
          <w:rFonts w:cs="Arial"/>
          <w:szCs w:val="18"/>
        </w:rPr>
        <w:t xml:space="preserve"> </w:t>
      </w:r>
      <w:r w:rsidR="00FD379D" w:rsidRPr="009A6395">
        <w:rPr>
          <w:rFonts w:cs="Arial"/>
          <w:szCs w:val="18"/>
        </w:rPr>
        <w:t>2020</w:t>
      </w:r>
      <w:r w:rsidR="008B0947" w:rsidRPr="009A6395">
        <w:rPr>
          <w:rFonts w:cs="Arial"/>
          <w:szCs w:val="18"/>
        </w:rPr>
        <w:t xml:space="preserve">, </w:t>
      </w:r>
      <w:r w:rsidR="008B0947" w:rsidRPr="009A6395">
        <w:rPr>
          <w:rFonts w:cs="Arial"/>
          <w:i/>
          <w:iCs/>
          <w:szCs w:val="18"/>
        </w:rPr>
        <w:t xml:space="preserve">ECPAT International, </w:t>
      </w:r>
      <w:hyperlink r:id="rId13" w:history="1">
        <w:r w:rsidR="008B0947" w:rsidRPr="009A6395">
          <w:rPr>
            <w:rStyle w:val="Hyperlink"/>
            <w:rFonts w:cs="Arial"/>
            <w:szCs w:val="18"/>
          </w:rPr>
          <w:t>https://ecpat.org/wp-content/uploads/2021/05/ECPAT-Country-Overview-Report-Sexual-Exploitation-of-Children-inTurkey-July-2020-ENGLISH.pdf</w:t>
        </w:r>
      </w:hyperlink>
      <w:r w:rsidR="008B0947" w:rsidRPr="009A6395">
        <w:rPr>
          <w:rFonts w:cs="Arial"/>
          <w:szCs w:val="18"/>
        </w:rPr>
        <w:t xml:space="preserve"> </w:t>
      </w:r>
    </w:p>
  </w:footnote>
  <w:footnote w:id="26">
    <w:p w14:paraId="71A55F4E" w14:textId="2D343F3B" w:rsidR="00116DB5" w:rsidRPr="009A6395" w:rsidRDefault="00116DB5"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8B0947" w:rsidRPr="009A6395">
        <w:rPr>
          <w:rFonts w:cs="Arial"/>
          <w:szCs w:val="18"/>
        </w:rPr>
        <w:t>Ibid.</w:t>
      </w:r>
    </w:p>
  </w:footnote>
  <w:footnote w:id="27">
    <w:p w14:paraId="5E3D17E4" w14:textId="705962B5" w:rsidR="00D96021" w:rsidRPr="009A6395" w:rsidRDefault="00D96021" w:rsidP="00D96021">
      <w:pPr>
        <w:rPr>
          <w:rFonts w:ascii="Arial" w:eastAsia="Arial" w:hAnsi="Arial" w:cs="Arial"/>
          <w:sz w:val="18"/>
          <w:szCs w:val="18"/>
        </w:rPr>
      </w:pPr>
      <w:r w:rsidRPr="009A6395">
        <w:rPr>
          <w:rFonts w:ascii="Arial" w:hAnsi="Arial" w:cs="Arial"/>
          <w:sz w:val="18"/>
          <w:szCs w:val="18"/>
          <w:vertAlign w:val="superscript"/>
        </w:rPr>
        <w:footnoteRef/>
      </w:r>
      <w:r w:rsidR="008B0947" w:rsidRPr="009A6395">
        <w:rPr>
          <w:rFonts w:ascii="Arial" w:eastAsia="Arial" w:hAnsi="Arial" w:cs="Arial"/>
          <w:sz w:val="18"/>
          <w:szCs w:val="18"/>
        </w:rPr>
        <w:t xml:space="preserve"> UNFPA Report</w:t>
      </w:r>
      <w:r w:rsidR="005A342E" w:rsidRPr="009A6395">
        <w:rPr>
          <w:rFonts w:ascii="Arial" w:eastAsia="Arial" w:hAnsi="Arial" w:cs="Arial"/>
          <w:sz w:val="18"/>
          <w:szCs w:val="18"/>
        </w:rPr>
        <w:t>,</w:t>
      </w:r>
      <w:r w:rsidR="008B0947" w:rsidRPr="009A6395">
        <w:rPr>
          <w:rFonts w:ascii="Arial" w:eastAsia="Arial" w:hAnsi="Arial" w:cs="Arial"/>
          <w:sz w:val="18"/>
          <w:szCs w:val="18"/>
        </w:rPr>
        <w:t xml:space="preserve"> supra note 2</w:t>
      </w:r>
      <w:r w:rsidR="00FD379D">
        <w:rPr>
          <w:rFonts w:ascii="Arial" w:eastAsia="Arial" w:hAnsi="Arial" w:cs="Arial"/>
          <w:sz w:val="18"/>
          <w:szCs w:val="18"/>
        </w:rPr>
        <w:t>2</w:t>
      </w:r>
      <w:r w:rsidRPr="009A6395">
        <w:rPr>
          <w:rFonts w:ascii="Arial" w:eastAsia="Arial" w:hAnsi="Arial" w:cs="Arial"/>
          <w:sz w:val="18"/>
          <w:szCs w:val="18"/>
        </w:rPr>
        <w:t>, p28</w:t>
      </w:r>
      <w:r w:rsidR="008B0947" w:rsidRPr="009A6395">
        <w:rPr>
          <w:rFonts w:ascii="Arial" w:eastAsia="Arial" w:hAnsi="Arial" w:cs="Arial"/>
          <w:sz w:val="18"/>
          <w:szCs w:val="18"/>
        </w:rPr>
        <w:t>.</w:t>
      </w:r>
    </w:p>
  </w:footnote>
  <w:footnote w:id="28">
    <w:p w14:paraId="2F9150AD" w14:textId="0B355453" w:rsidR="00DA2F55" w:rsidRPr="009A6395" w:rsidRDefault="00DA2F55"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bookmarkStart w:id="3" w:name="OLE_LINK1"/>
      <w:r w:rsidR="008B0947" w:rsidRPr="009A6395">
        <w:rPr>
          <w:rFonts w:cs="Arial"/>
          <w:szCs w:val="18"/>
        </w:rPr>
        <w:t xml:space="preserve">Turkey ECPAT Report, supra note </w:t>
      </w:r>
      <w:r w:rsidR="00FD379D">
        <w:rPr>
          <w:rFonts w:cs="Arial"/>
          <w:szCs w:val="18"/>
        </w:rPr>
        <w:t>25</w:t>
      </w:r>
      <w:r w:rsidR="008B0947" w:rsidRPr="009A6395">
        <w:rPr>
          <w:rFonts w:cs="Arial"/>
          <w:szCs w:val="18"/>
        </w:rPr>
        <w:t>.</w:t>
      </w:r>
      <w:bookmarkEnd w:id="3"/>
    </w:p>
  </w:footnote>
  <w:footnote w:id="29">
    <w:p w14:paraId="3C634883" w14:textId="381E9C1D" w:rsidR="00330D8F" w:rsidRPr="009A6395" w:rsidRDefault="00330D8F"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AC010D" w:rsidRPr="009A6395">
        <w:rPr>
          <w:rFonts w:cs="Arial"/>
          <w:szCs w:val="18"/>
        </w:rPr>
        <w:t xml:space="preserve">‘Syrian refugees married early face isolation and domestic violence’, </w:t>
      </w:r>
      <w:r w:rsidR="00AC010D" w:rsidRPr="009A6395">
        <w:rPr>
          <w:rFonts w:cs="Arial"/>
          <w:i/>
          <w:iCs/>
          <w:szCs w:val="18"/>
        </w:rPr>
        <w:t>Financial Times</w:t>
      </w:r>
      <w:r w:rsidR="00AC010D" w:rsidRPr="009A6395">
        <w:rPr>
          <w:rFonts w:cs="Arial"/>
          <w:szCs w:val="18"/>
        </w:rPr>
        <w:t>,</w:t>
      </w:r>
      <w:r w:rsidR="00A2661F" w:rsidRPr="009A6395">
        <w:rPr>
          <w:rFonts w:cs="Arial"/>
          <w:szCs w:val="18"/>
        </w:rPr>
        <w:t xml:space="preserve"> 11 October 2017,</w:t>
      </w:r>
      <w:r w:rsidR="00AC010D" w:rsidRPr="009A6395">
        <w:rPr>
          <w:rFonts w:cs="Arial"/>
          <w:szCs w:val="18"/>
        </w:rPr>
        <w:t xml:space="preserve"> </w:t>
      </w:r>
      <w:hyperlink r:id="rId14" w:history="1">
        <w:r w:rsidR="00AC010D" w:rsidRPr="009A6395">
          <w:rPr>
            <w:rStyle w:val="Hyperlink"/>
            <w:rFonts w:cs="Arial"/>
            <w:szCs w:val="18"/>
          </w:rPr>
          <w:t>https://www.ft.com/content/3754ce46-7204-11e7-93ff-99f383b09ff9</w:t>
        </w:r>
      </w:hyperlink>
    </w:p>
  </w:footnote>
  <w:footnote w:id="30">
    <w:p w14:paraId="21F45CE6" w14:textId="76AF66DC" w:rsidR="006C684B" w:rsidRPr="009A6395" w:rsidRDefault="006C684B" w:rsidP="00D90C8F">
      <w:pPr>
        <w:pStyle w:val="FootnoteText"/>
        <w:rPr>
          <w:rFonts w:cs="Arial"/>
          <w:szCs w:val="18"/>
        </w:rPr>
      </w:pPr>
      <w:r w:rsidRPr="009A6395">
        <w:rPr>
          <w:rStyle w:val="FootnoteReference"/>
          <w:rFonts w:cs="Arial"/>
          <w:szCs w:val="18"/>
        </w:rPr>
        <w:footnoteRef/>
      </w:r>
      <w:r w:rsidR="00AC010D" w:rsidRPr="009A6395">
        <w:rPr>
          <w:rFonts w:cs="Arial"/>
          <w:i/>
          <w:iCs/>
          <w:szCs w:val="18"/>
        </w:rPr>
        <w:t xml:space="preserve"> </w:t>
      </w:r>
      <w:r w:rsidR="00AC010D" w:rsidRPr="009A6395">
        <w:rPr>
          <w:rFonts w:cs="Arial"/>
          <w:szCs w:val="18"/>
        </w:rPr>
        <w:t xml:space="preserve">Global Citizen Report supra note </w:t>
      </w:r>
      <w:r w:rsidR="00FD379D">
        <w:rPr>
          <w:rFonts w:cs="Arial"/>
          <w:szCs w:val="18"/>
        </w:rPr>
        <w:t xml:space="preserve">21; </w:t>
      </w:r>
      <w:r w:rsidR="00AC010D" w:rsidRPr="009A6395">
        <w:rPr>
          <w:rFonts w:cs="Arial"/>
          <w:szCs w:val="18"/>
        </w:rPr>
        <w:t>‘Syrian families in Turkey marrying off ‘underage daughters for money amid coronavirus crisis’</w:t>
      </w:r>
      <w:r w:rsidR="00FD379D">
        <w:rPr>
          <w:rFonts w:cs="Arial"/>
          <w:szCs w:val="18"/>
        </w:rPr>
        <w:t>’</w:t>
      </w:r>
      <w:r w:rsidR="00AC010D" w:rsidRPr="009A6395">
        <w:rPr>
          <w:rFonts w:cs="Arial"/>
          <w:szCs w:val="18"/>
        </w:rPr>
        <w:t xml:space="preserve"> </w:t>
      </w:r>
      <w:r w:rsidR="00AC010D" w:rsidRPr="009A6395">
        <w:rPr>
          <w:rFonts w:cs="Arial"/>
          <w:i/>
          <w:iCs/>
          <w:szCs w:val="18"/>
        </w:rPr>
        <w:t>Independent</w:t>
      </w:r>
      <w:r w:rsidR="00AC010D" w:rsidRPr="009A6395">
        <w:rPr>
          <w:rFonts w:cs="Arial"/>
          <w:szCs w:val="18"/>
        </w:rPr>
        <w:t>,</w:t>
      </w:r>
      <w:r w:rsidR="00A2661F" w:rsidRPr="009A6395">
        <w:rPr>
          <w:rFonts w:cs="Arial"/>
          <w:szCs w:val="18"/>
        </w:rPr>
        <w:t xml:space="preserve"> 8 July 2020,</w:t>
      </w:r>
      <w:r w:rsidR="00AC010D" w:rsidRPr="009A6395">
        <w:rPr>
          <w:rFonts w:cs="Arial"/>
          <w:i/>
          <w:iCs/>
          <w:szCs w:val="18"/>
        </w:rPr>
        <w:t xml:space="preserve"> </w:t>
      </w:r>
      <w:hyperlink r:id="rId15" w:history="1">
        <w:r w:rsidR="00FD379D" w:rsidRPr="001D46CF">
          <w:rPr>
            <w:rStyle w:val="Hyperlink"/>
            <w:rFonts w:cs="Arial"/>
            <w:szCs w:val="18"/>
          </w:rPr>
          <w:t>https://www.independent.co.uk/news/world/europe/syria-underage-daughters-marriage-coronavirus-turkish-men-a9606706.html</w:t>
        </w:r>
      </w:hyperlink>
      <w:r w:rsidR="00AC010D" w:rsidRPr="009A6395">
        <w:rPr>
          <w:rFonts w:cs="Arial"/>
          <w:szCs w:val="18"/>
        </w:rPr>
        <w:t xml:space="preserve"> </w:t>
      </w:r>
    </w:p>
  </w:footnote>
  <w:footnote w:id="31">
    <w:p w14:paraId="2EA366B8" w14:textId="3EF1DE43" w:rsidR="00116DB5" w:rsidRPr="009A6395" w:rsidRDefault="00116DB5"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AC010D" w:rsidRPr="009A6395">
        <w:rPr>
          <w:rFonts w:cs="Arial"/>
          <w:szCs w:val="18"/>
        </w:rPr>
        <w:t xml:space="preserve">Turkey ECPAT Report, supra note </w:t>
      </w:r>
      <w:r w:rsidR="00FD379D">
        <w:rPr>
          <w:rFonts w:cs="Arial"/>
          <w:szCs w:val="18"/>
        </w:rPr>
        <w:t>25</w:t>
      </w:r>
      <w:r w:rsidR="00AC010D" w:rsidRPr="009A6395">
        <w:rPr>
          <w:rFonts w:cs="Arial"/>
          <w:szCs w:val="18"/>
        </w:rPr>
        <w:t>.</w:t>
      </w:r>
    </w:p>
  </w:footnote>
  <w:footnote w:id="32">
    <w:p w14:paraId="54B638E1" w14:textId="1F5DBAAE" w:rsidR="00D60868" w:rsidRPr="009A6395" w:rsidRDefault="00086536"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F92A5E" w:rsidRPr="009A6395">
        <w:rPr>
          <w:rFonts w:cs="Arial"/>
          <w:szCs w:val="18"/>
        </w:rPr>
        <w:t xml:space="preserve">Musawah Thematic </w:t>
      </w:r>
      <w:r w:rsidR="00D60868" w:rsidRPr="009A6395">
        <w:rPr>
          <w:rFonts w:cs="Arial"/>
          <w:szCs w:val="18"/>
        </w:rPr>
        <w:t>Report on Article 16 and Muslim Family Law: Turkey, 64</w:t>
      </w:r>
      <w:r w:rsidR="00D60868" w:rsidRPr="009A6395">
        <w:rPr>
          <w:rFonts w:cs="Arial"/>
          <w:szCs w:val="18"/>
          <w:vertAlign w:val="superscript"/>
        </w:rPr>
        <w:t>th</w:t>
      </w:r>
      <w:r w:rsidR="00D60868" w:rsidRPr="009A6395">
        <w:rPr>
          <w:rFonts w:cs="Arial"/>
          <w:szCs w:val="18"/>
        </w:rPr>
        <w:t xml:space="preserve"> CEDAW Session, July 2016</w:t>
      </w:r>
      <w:r w:rsidR="00A2661F" w:rsidRPr="009A6395">
        <w:rPr>
          <w:rFonts w:cs="Arial"/>
          <w:szCs w:val="18"/>
        </w:rPr>
        <w:t xml:space="preserve">, </w:t>
      </w:r>
      <w:hyperlink r:id="rId16" w:history="1">
        <w:r w:rsidR="00D60868" w:rsidRPr="009A6395">
          <w:rPr>
            <w:rStyle w:val="Hyperlink"/>
            <w:rFonts w:cs="Arial"/>
            <w:szCs w:val="18"/>
          </w:rPr>
          <w:t>https://www.musawah.org/resources/musawah-thematic-report-on-turkey-2016/</w:t>
        </w:r>
      </w:hyperlink>
    </w:p>
  </w:footnote>
  <w:footnote w:id="33">
    <w:p w14:paraId="57F18A7D" w14:textId="719831C4" w:rsidR="008944FD" w:rsidRPr="009A6395" w:rsidRDefault="008944FD"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640F4A" w:rsidRPr="009A6395">
        <w:rPr>
          <w:rFonts w:cs="Arial"/>
          <w:szCs w:val="18"/>
        </w:rPr>
        <w:t xml:space="preserve">‘Turkish government's human rights institution defends child marriages’ </w:t>
      </w:r>
      <w:r w:rsidR="00640F4A" w:rsidRPr="009A6395">
        <w:rPr>
          <w:rFonts w:cs="Arial"/>
          <w:i/>
          <w:iCs/>
          <w:szCs w:val="18"/>
        </w:rPr>
        <w:t>DuvaR</w:t>
      </w:r>
      <w:r w:rsidR="00640F4A" w:rsidRPr="009A6395">
        <w:rPr>
          <w:rFonts w:cs="Arial"/>
          <w:szCs w:val="18"/>
        </w:rPr>
        <w:t xml:space="preserve">, </w:t>
      </w:r>
      <w:r w:rsidR="00FD379D">
        <w:rPr>
          <w:rFonts w:cs="Arial"/>
          <w:szCs w:val="18"/>
        </w:rPr>
        <w:t xml:space="preserve">01 </w:t>
      </w:r>
      <w:r w:rsidR="00FD379D" w:rsidRPr="009A6395">
        <w:rPr>
          <w:rFonts w:cs="Arial"/>
          <w:szCs w:val="18"/>
        </w:rPr>
        <w:t>October 2020</w:t>
      </w:r>
      <w:r w:rsidR="00FD379D">
        <w:rPr>
          <w:rFonts w:cs="Arial"/>
          <w:szCs w:val="18"/>
        </w:rPr>
        <w:t xml:space="preserve">, </w:t>
      </w:r>
      <w:hyperlink r:id="rId17" w:history="1">
        <w:r w:rsidR="00FD379D" w:rsidRPr="001D46CF">
          <w:rPr>
            <w:rStyle w:val="Hyperlink"/>
            <w:rFonts w:cs="Arial"/>
            <w:szCs w:val="18"/>
          </w:rPr>
          <w:t>https://www.duvarenglish.com/human-rights/2020/10/01/turkish-governments-human-rights-institution-defends-child-marriages</w:t>
        </w:r>
      </w:hyperlink>
      <w:r w:rsidR="00640F4A" w:rsidRPr="009A6395">
        <w:rPr>
          <w:rFonts w:cs="Arial"/>
          <w:szCs w:val="18"/>
        </w:rPr>
        <w:t xml:space="preserve"> </w:t>
      </w:r>
    </w:p>
  </w:footnote>
  <w:footnote w:id="34">
    <w:p w14:paraId="0E0E5D82" w14:textId="24B55A57" w:rsidR="00D02E8F" w:rsidRPr="009A6395" w:rsidRDefault="00D02E8F"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640F4A" w:rsidRPr="009A6395">
        <w:rPr>
          <w:rFonts w:cs="Arial"/>
          <w:szCs w:val="18"/>
        </w:rPr>
        <w:t>Ibid.</w:t>
      </w:r>
    </w:p>
  </w:footnote>
  <w:footnote w:id="35">
    <w:p w14:paraId="3143A606" w14:textId="774F3B9E" w:rsidR="0018765E" w:rsidRPr="009A6395" w:rsidRDefault="0018765E" w:rsidP="00D90C8F">
      <w:pPr>
        <w:pStyle w:val="FootnoteText"/>
        <w:rPr>
          <w:rFonts w:cs="Arial"/>
          <w:i/>
          <w:iCs/>
          <w:szCs w:val="18"/>
        </w:rPr>
      </w:pPr>
      <w:r w:rsidRPr="009A6395">
        <w:rPr>
          <w:rStyle w:val="FootnoteReference"/>
          <w:rFonts w:cs="Arial"/>
          <w:szCs w:val="18"/>
        </w:rPr>
        <w:footnoteRef/>
      </w:r>
      <w:r w:rsidRPr="009A6395">
        <w:rPr>
          <w:rFonts w:cs="Arial"/>
          <w:szCs w:val="18"/>
        </w:rPr>
        <w:t xml:space="preserve"> Early Marriage Experiences and Perceptions Report</w:t>
      </w:r>
      <w:r w:rsidR="00FD379D">
        <w:rPr>
          <w:rFonts w:cs="Arial"/>
          <w:szCs w:val="18"/>
        </w:rPr>
        <w:t xml:space="preserve"> 2021</w:t>
      </w:r>
      <w:r w:rsidRPr="009A6395">
        <w:rPr>
          <w:rFonts w:cs="Arial"/>
          <w:szCs w:val="18"/>
        </w:rPr>
        <w:t xml:space="preserve">, </w:t>
      </w:r>
      <w:r w:rsidRPr="009A6395">
        <w:rPr>
          <w:rFonts w:cs="Arial"/>
          <w:i/>
          <w:iCs/>
          <w:szCs w:val="18"/>
        </w:rPr>
        <w:t>Havle Women’s Association</w:t>
      </w:r>
      <w:r w:rsidRPr="009A6395">
        <w:rPr>
          <w:rFonts w:cs="Arial"/>
          <w:szCs w:val="18"/>
        </w:rPr>
        <w:t xml:space="preserve">, </w:t>
      </w:r>
      <w:hyperlink r:id="rId18" w:history="1">
        <w:r w:rsidRPr="009A6395">
          <w:rPr>
            <w:rStyle w:val="Hyperlink"/>
            <w:rFonts w:cs="Arial"/>
            <w:szCs w:val="18"/>
          </w:rPr>
          <w:t>https://www.havlekadin.com/wp-content/uploads/2021/09/ERKENEVLILIKLER_ING.pdf</w:t>
        </w:r>
      </w:hyperlink>
    </w:p>
    <w:p w14:paraId="14F8909A" w14:textId="77777777" w:rsidR="0018765E" w:rsidRPr="009A6395" w:rsidRDefault="0018765E" w:rsidP="00D90C8F">
      <w:pPr>
        <w:pStyle w:val="FootnoteText"/>
        <w:rPr>
          <w:rFonts w:cs="Arial"/>
          <w:szCs w:val="18"/>
        </w:rPr>
      </w:pPr>
    </w:p>
  </w:footnote>
  <w:footnote w:id="36">
    <w:p w14:paraId="01153B01" w14:textId="62F405B3" w:rsidR="00DF2C71" w:rsidRPr="009A6395" w:rsidRDefault="00DF2C71"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120B35">
        <w:rPr>
          <w:rFonts w:cs="Arial"/>
          <w:szCs w:val="18"/>
        </w:rPr>
        <w:t>TCC</w:t>
      </w:r>
      <w:r w:rsidR="0029012A">
        <w:rPr>
          <w:rFonts w:cs="Arial"/>
          <w:szCs w:val="18"/>
        </w:rPr>
        <w:t>, art. 187.</w:t>
      </w:r>
    </w:p>
  </w:footnote>
  <w:footnote w:id="37">
    <w:p w14:paraId="1B95D14E" w14:textId="3346C2AD" w:rsidR="003830CF" w:rsidRPr="009A6395" w:rsidRDefault="001E0C0E" w:rsidP="003830CF">
      <w:pPr>
        <w:pStyle w:val="FootnoteText"/>
        <w:rPr>
          <w:rFonts w:cs="Arial"/>
          <w:szCs w:val="18"/>
        </w:rPr>
      </w:pPr>
      <w:r w:rsidRPr="009A6395">
        <w:rPr>
          <w:rStyle w:val="FootnoteReference"/>
          <w:rFonts w:cs="Arial"/>
          <w:szCs w:val="18"/>
        </w:rPr>
        <w:footnoteRef/>
      </w:r>
      <w:r w:rsidRPr="009A6395">
        <w:rPr>
          <w:rFonts w:cs="Arial"/>
          <w:szCs w:val="18"/>
        </w:rPr>
        <w:t xml:space="preserve"> </w:t>
      </w:r>
      <w:r w:rsidRPr="009A6395">
        <w:rPr>
          <w:rFonts w:cs="Arial"/>
          <w:i/>
          <w:iCs/>
          <w:szCs w:val="18"/>
        </w:rPr>
        <w:t>Dilsah Busra Kartal</w:t>
      </w:r>
      <w:r w:rsidRPr="009A6395">
        <w:rPr>
          <w:rFonts w:cs="Arial"/>
          <w:szCs w:val="18"/>
        </w:rPr>
        <w:t>, "</w:t>
      </w:r>
      <w:r w:rsidRPr="003830CF">
        <w:rPr>
          <w:rFonts w:cs="Arial"/>
          <w:szCs w:val="18"/>
        </w:rPr>
        <w:t>Recent Developments In Turkish Law Regarding The Surname Of A Married Woman</w:t>
      </w:r>
      <w:r w:rsidRPr="009A6395">
        <w:rPr>
          <w:rFonts w:cs="Arial"/>
          <w:szCs w:val="18"/>
        </w:rPr>
        <w:t>,"</w:t>
      </w:r>
      <w:r w:rsidR="003830CF">
        <w:rPr>
          <w:rFonts w:cs="Arial"/>
          <w:szCs w:val="18"/>
        </w:rPr>
        <w:t xml:space="preserve"> </w:t>
      </w:r>
      <w:r w:rsidRPr="003830CF">
        <w:rPr>
          <w:rFonts w:cs="Arial"/>
          <w:i/>
          <w:iCs/>
          <w:szCs w:val="18"/>
        </w:rPr>
        <w:t>Proceedings of International Academic Conferences</w:t>
      </w:r>
      <w:r w:rsidRPr="009A6395">
        <w:rPr>
          <w:rFonts w:cs="Arial"/>
          <w:szCs w:val="18"/>
        </w:rPr>
        <w:t>,</w:t>
      </w:r>
      <w:r w:rsidRPr="003830CF">
        <w:rPr>
          <w:rFonts w:cs="Arial"/>
          <w:i/>
          <w:iCs/>
          <w:szCs w:val="18"/>
        </w:rPr>
        <w:t xml:space="preserve"> International Institute of Social and Economic Sciences</w:t>
      </w:r>
      <w:r w:rsidR="003830CF">
        <w:rPr>
          <w:rFonts w:cs="Arial"/>
          <w:szCs w:val="18"/>
        </w:rPr>
        <w:t xml:space="preserve">, 2020, </w:t>
      </w:r>
      <w:hyperlink r:id="rId19" w:history="1">
        <w:r w:rsidR="003830CF" w:rsidRPr="001D46CF">
          <w:rPr>
            <w:rStyle w:val="Hyperlink"/>
            <w:rFonts w:cs="Arial"/>
            <w:szCs w:val="18"/>
          </w:rPr>
          <w:t>https://ideas.repec.org/p/sek/iacpro/10212734.html</w:t>
        </w:r>
      </w:hyperlink>
    </w:p>
  </w:footnote>
  <w:footnote w:id="38">
    <w:p w14:paraId="1C612430" w14:textId="3BDCF63B" w:rsidR="00C558C2" w:rsidRPr="009A6395" w:rsidRDefault="00C558C2"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120B35">
        <w:rPr>
          <w:rFonts w:cs="Arial"/>
          <w:szCs w:val="18"/>
        </w:rPr>
        <w:t>TCC, art. 187.</w:t>
      </w:r>
    </w:p>
  </w:footnote>
  <w:footnote w:id="39">
    <w:p w14:paraId="66F9D502" w14:textId="3FE99777" w:rsidR="00422E37" w:rsidRPr="009A6395" w:rsidRDefault="00422E37"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F579A8" w:rsidRPr="009A6395">
        <w:rPr>
          <w:rFonts w:cs="Arial"/>
          <w:i/>
          <w:iCs/>
          <w:szCs w:val="18"/>
        </w:rPr>
        <w:t>Kartal</w:t>
      </w:r>
      <w:r w:rsidR="00F579A8" w:rsidRPr="009A6395">
        <w:rPr>
          <w:rFonts w:cs="Arial"/>
          <w:szCs w:val="18"/>
        </w:rPr>
        <w:t xml:space="preserve">, supra note </w:t>
      </w:r>
      <w:r w:rsidR="00120B35">
        <w:rPr>
          <w:rFonts w:cs="Arial"/>
          <w:szCs w:val="18"/>
        </w:rPr>
        <w:t>37</w:t>
      </w:r>
      <w:r w:rsidR="00F579A8" w:rsidRPr="009A6395">
        <w:rPr>
          <w:rFonts w:cs="Arial"/>
          <w:szCs w:val="18"/>
        </w:rPr>
        <w:t>.</w:t>
      </w:r>
    </w:p>
  </w:footnote>
  <w:footnote w:id="40">
    <w:p w14:paraId="49AF0354" w14:textId="4DBD5CD6" w:rsidR="001E0C0E" w:rsidRPr="009A6395" w:rsidRDefault="001E0C0E"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F579A8" w:rsidRPr="009A6395">
        <w:rPr>
          <w:rFonts w:cs="Arial"/>
          <w:szCs w:val="18"/>
        </w:rPr>
        <w:t>Ibid.</w:t>
      </w:r>
    </w:p>
  </w:footnote>
  <w:footnote w:id="41">
    <w:p w14:paraId="316C7489" w14:textId="401CCB94" w:rsidR="001E0C0E" w:rsidRPr="009A6395" w:rsidRDefault="001E0C0E"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120B35">
        <w:rPr>
          <w:rFonts w:cs="Arial"/>
          <w:szCs w:val="18"/>
        </w:rPr>
        <w:t>TCC, art. 173.</w:t>
      </w:r>
    </w:p>
  </w:footnote>
  <w:footnote w:id="42">
    <w:p w14:paraId="7DC1576A" w14:textId="35CE2C99" w:rsidR="00811032" w:rsidRPr="009A6395" w:rsidRDefault="00811032" w:rsidP="0098742A">
      <w:pPr>
        <w:rPr>
          <w:rFonts w:ascii="Arial" w:hAnsi="Arial" w:cs="Arial"/>
          <w:sz w:val="18"/>
          <w:szCs w:val="18"/>
        </w:rPr>
      </w:pPr>
      <w:r w:rsidRPr="009A6395">
        <w:rPr>
          <w:rStyle w:val="FootnoteReference"/>
          <w:rFonts w:ascii="Arial" w:hAnsi="Arial" w:cs="Arial"/>
          <w:sz w:val="18"/>
          <w:szCs w:val="18"/>
        </w:rPr>
        <w:footnoteRef/>
      </w:r>
      <w:r w:rsidRPr="009A6395">
        <w:rPr>
          <w:rFonts w:ascii="Arial" w:hAnsi="Arial" w:cs="Arial"/>
          <w:sz w:val="18"/>
          <w:szCs w:val="18"/>
        </w:rPr>
        <w:t xml:space="preserve"> </w:t>
      </w:r>
      <w:r w:rsidR="00F579A8" w:rsidRPr="009A6395">
        <w:rPr>
          <w:rFonts w:ascii="Arial" w:hAnsi="Arial" w:cs="Arial"/>
          <w:i/>
          <w:iCs/>
          <w:sz w:val="18"/>
          <w:szCs w:val="18"/>
        </w:rPr>
        <w:t xml:space="preserve">See: </w:t>
      </w:r>
      <w:r w:rsidRPr="009A6395">
        <w:rPr>
          <w:rFonts w:ascii="Arial" w:hAnsi="Arial" w:cs="Arial"/>
          <w:sz w:val="18"/>
          <w:szCs w:val="18"/>
        </w:rPr>
        <w:t>Case of ÜnalTekeli vs. Turkey. Application No: 29865/96 dated 16/11/2004; Case of LeventoğluAbdulkadiroğlu vs. Turkey. Application No: 7971/07 dated 28/5/2013; Case of TuncerGüneş vs. Turkey. Application No: 26268/08 dated 3/09/2013; Case of TanbayTüten vs. Turkey. Application No: 38249/09 dated 10/12/2013</w:t>
      </w:r>
    </w:p>
  </w:footnote>
  <w:footnote w:id="43">
    <w:p w14:paraId="23366E17" w14:textId="7AEB74D3" w:rsidR="00994DF5" w:rsidRPr="009A6395" w:rsidRDefault="00994DF5" w:rsidP="0098742A">
      <w:pPr>
        <w:rPr>
          <w:rFonts w:ascii="Arial" w:hAnsi="Arial" w:cs="Arial"/>
          <w:sz w:val="18"/>
          <w:szCs w:val="18"/>
        </w:rPr>
      </w:pPr>
      <w:r w:rsidRPr="009A6395">
        <w:rPr>
          <w:rStyle w:val="FootnoteReference"/>
          <w:rFonts w:ascii="Arial" w:hAnsi="Arial" w:cs="Arial"/>
          <w:sz w:val="18"/>
          <w:szCs w:val="18"/>
        </w:rPr>
        <w:footnoteRef/>
      </w:r>
      <w:r w:rsidRPr="009A6395">
        <w:rPr>
          <w:rFonts w:ascii="Arial" w:hAnsi="Arial" w:cs="Arial"/>
          <w:sz w:val="18"/>
          <w:szCs w:val="18"/>
        </w:rPr>
        <w:t xml:space="preserve"> ECHR</w:t>
      </w:r>
      <w:r w:rsidR="0090013D">
        <w:rPr>
          <w:rFonts w:ascii="Arial" w:hAnsi="Arial" w:cs="Arial"/>
          <w:sz w:val="18"/>
          <w:szCs w:val="18"/>
        </w:rPr>
        <w:t>, art. 8</w:t>
      </w:r>
      <w:r w:rsidR="000A6D41" w:rsidRPr="009A6395">
        <w:rPr>
          <w:rFonts w:ascii="Arial" w:hAnsi="Arial" w:cs="Arial"/>
          <w:sz w:val="18"/>
          <w:szCs w:val="18"/>
        </w:rPr>
        <w:t xml:space="preserve"> relates </w:t>
      </w:r>
      <w:r w:rsidR="00120B35">
        <w:rPr>
          <w:rFonts w:ascii="Arial" w:hAnsi="Arial" w:cs="Arial"/>
          <w:sz w:val="18"/>
          <w:szCs w:val="18"/>
        </w:rPr>
        <w:t xml:space="preserve">to </w:t>
      </w:r>
      <w:r w:rsidR="000A6D41" w:rsidRPr="009A6395">
        <w:rPr>
          <w:rFonts w:ascii="Arial" w:hAnsi="Arial" w:cs="Arial"/>
          <w:sz w:val="18"/>
          <w:szCs w:val="18"/>
        </w:rPr>
        <w:t>the protection from interference by a public authority in the exercise of one’s right to privacy of family life, except in accordance with law.</w:t>
      </w:r>
    </w:p>
  </w:footnote>
  <w:footnote w:id="44">
    <w:p w14:paraId="538D3AF3" w14:textId="749ABF7E" w:rsidR="00994DF5" w:rsidRPr="009A6395" w:rsidRDefault="00994DF5"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F579A8" w:rsidRPr="009A6395">
        <w:rPr>
          <w:rFonts w:cs="Arial"/>
          <w:i/>
          <w:iCs/>
          <w:szCs w:val="18"/>
        </w:rPr>
        <w:t>Kartal</w:t>
      </w:r>
      <w:r w:rsidR="00F579A8" w:rsidRPr="009A6395">
        <w:rPr>
          <w:rFonts w:cs="Arial"/>
          <w:szCs w:val="18"/>
        </w:rPr>
        <w:t xml:space="preserve">, supra note </w:t>
      </w:r>
      <w:r w:rsidR="00120B35">
        <w:rPr>
          <w:rFonts w:cs="Arial"/>
          <w:szCs w:val="18"/>
        </w:rPr>
        <w:t>37</w:t>
      </w:r>
      <w:r w:rsidR="00F579A8" w:rsidRPr="009A6395">
        <w:rPr>
          <w:rFonts w:cs="Arial"/>
          <w:szCs w:val="18"/>
        </w:rPr>
        <w:t>.</w:t>
      </w:r>
    </w:p>
  </w:footnote>
  <w:footnote w:id="45">
    <w:p w14:paraId="0BF01D77" w14:textId="76D7B627" w:rsidR="000E7EA7" w:rsidRPr="009A6395" w:rsidRDefault="000E7EA7" w:rsidP="00D90C8F">
      <w:pPr>
        <w:pStyle w:val="FootnoteText"/>
        <w:rPr>
          <w:rFonts w:cs="Arial"/>
          <w:szCs w:val="18"/>
        </w:rPr>
      </w:pPr>
      <w:r w:rsidRPr="009A6395">
        <w:rPr>
          <w:rStyle w:val="FootnoteReference"/>
          <w:rFonts w:cs="Arial"/>
          <w:szCs w:val="18"/>
        </w:rPr>
        <w:footnoteRef/>
      </w:r>
      <w:r w:rsidRPr="009A6395">
        <w:rPr>
          <w:rFonts w:cs="Arial"/>
          <w:szCs w:val="18"/>
        </w:rPr>
        <w:t xml:space="preserve"> ÜnalTekeli vs. Turkey</w:t>
      </w:r>
      <w:r w:rsidR="00BD38D6" w:rsidRPr="009A6395">
        <w:rPr>
          <w:rFonts w:cs="Arial"/>
          <w:szCs w:val="18"/>
        </w:rPr>
        <w:t xml:space="preserve">, supra note </w:t>
      </w:r>
      <w:r w:rsidR="00575E51">
        <w:rPr>
          <w:rFonts w:cs="Arial"/>
          <w:szCs w:val="18"/>
        </w:rPr>
        <w:t>42</w:t>
      </w:r>
      <w:r w:rsidR="00BD38D6" w:rsidRPr="009A6395">
        <w:rPr>
          <w:rFonts w:cs="Arial"/>
          <w:szCs w:val="18"/>
        </w:rPr>
        <w:t>.</w:t>
      </w:r>
    </w:p>
  </w:footnote>
  <w:footnote w:id="46">
    <w:p w14:paraId="05D174E2" w14:textId="0BBF0679" w:rsidR="00575E51" w:rsidRPr="00575E51" w:rsidRDefault="00585F75" w:rsidP="00575E51">
      <w:pPr>
        <w:rPr>
          <w:rFonts w:ascii="Arial" w:eastAsiaTheme="majorEastAsia" w:hAnsi="Arial" w:cs="Arial"/>
          <w:color w:val="333333"/>
          <w:sz w:val="18"/>
          <w:szCs w:val="18"/>
          <w:shd w:val="clear" w:color="auto" w:fill="FFFFFF"/>
        </w:rPr>
      </w:pPr>
      <w:r w:rsidRPr="009A6395">
        <w:rPr>
          <w:rStyle w:val="FootnoteReference"/>
          <w:rFonts w:ascii="Arial" w:hAnsi="Arial" w:cs="Arial"/>
          <w:sz w:val="18"/>
          <w:szCs w:val="18"/>
        </w:rPr>
        <w:footnoteRef/>
      </w:r>
      <w:r w:rsidRPr="009A6395">
        <w:rPr>
          <w:rFonts w:ascii="Arial" w:hAnsi="Arial" w:cs="Arial"/>
          <w:sz w:val="18"/>
          <w:szCs w:val="18"/>
        </w:rPr>
        <w:t xml:space="preserve"> </w:t>
      </w:r>
      <w:r w:rsidRPr="00575E51">
        <w:rPr>
          <w:rFonts w:ascii="Arial" w:hAnsi="Arial" w:cs="Arial"/>
          <w:sz w:val="18"/>
          <w:szCs w:val="18"/>
        </w:rPr>
        <w:t>Applications by Various Courts of First Instance to Annul a Certain Civil Law</w:t>
      </w:r>
      <w:r w:rsidR="00575E51">
        <w:rPr>
          <w:rFonts w:ascii="Arial" w:hAnsi="Arial" w:cs="Arial"/>
          <w:sz w:val="18"/>
          <w:szCs w:val="18"/>
        </w:rPr>
        <w:t>,</w:t>
      </w:r>
      <w:r w:rsidR="00575E51" w:rsidRPr="009A6395">
        <w:rPr>
          <w:rStyle w:val="date-display-single"/>
          <w:rFonts w:ascii="Arial" w:hAnsi="Arial" w:cs="Arial"/>
          <w:color w:val="333333"/>
          <w:sz w:val="18"/>
          <w:szCs w:val="18"/>
          <w:shd w:val="clear" w:color="auto" w:fill="FFFFFF"/>
        </w:rPr>
        <w:t xml:space="preserve"> </w:t>
      </w:r>
      <w:r w:rsidRPr="009A6395">
        <w:rPr>
          <w:rStyle w:val="date-display-single"/>
          <w:rFonts w:ascii="Arial" w:hAnsi="Arial" w:cs="Arial"/>
          <w:color w:val="333333"/>
          <w:sz w:val="18"/>
          <w:szCs w:val="18"/>
          <w:shd w:val="clear" w:color="auto" w:fill="FFFFFF"/>
        </w:rPr>
        <w:t>2011</w:t>
      </w:r>
      <w:r w:rsidR="00575E51">
        <w:rPr>
          <w:rStyle w:val="field-content"/>
          <w:rFonts w:ascii="Arial" w:eastAsiaTheme="majorEastAsia" w:hAnsi="Arial" w:cs="Arial"/>
          <w:color w:val="333333"/>
          <w:sz w:val="18"/>
          <w:szCs w:val="18"/>
          <w:shd w:val="clear" w:color="auto" w:fill="FFFFFF"/>
        </w:rPr>
        <w:t xml:space="preserve">, </w:t>
      </w:r>
      <w:r w:rsidR="00C160BD">
        <w:rPr>
          <w:rStyle w:val="field-content"/>
          <w:rFonts w:ascii="Arial" w:eastAsiaTheme="majorEastAsia" w:hAnsi="Arial" w:cs="Arial"/>
          <w:i/>
          <w:iCs/>
          <w:color w:val="333333"/>
          <w:sz w:val="18"/>
          <w:szCs w:val="18"/>
          <w:shd w:val="clear" w:color="auto" w:fill="FFFFFF"/>
        </w:rPr>
        <w:t xml:space="preserve">Cornell Legal Information Institute, </w:t>
      </w:r>
      <w:hyperlink r:id="rId20" w:history="1">
        <w:r w:rsidR="00C160BD" w:rsidRPr="001D46CF">
          <w:rPr>
            <w:rStyle w:val="Hyperlink"/>
            <w:rFonts w:ascii="Arial" w:eastAsiaTheme="majorEastAsia" w:hAnsi="Arial" w:cs="Arial"/>
            <w:sz w:val="18"/>
            <w:szCs w:val="18"/>
            <w:shd w:val="clear" w:color="auto" w:fill="FFFFFF"/>
          </w:rPr>
          <w:t>https://www.law.cornell.edu/women-and-justice/resource/applications_by_various_courts_of_first_instance_to_annul_a_certain_civil_law</w:t>
        </w:r>
      </w:hyperlink>
    </w:p>
  </w:footnote>
  <w:footnote w:id="47">
    <w:p w14:paraId="2B292480" w14:textId="646A13A5" w:rsidR="00401A07" w:rsidRPr="00401A07" w:rsidRDefault="00585F75" w:rsidP="00401A07">
      <w:pPr>
        <w:pStyle w:val="FootnoteText"/>
        <w:rPr>
          <w:rFonts w:eastAsia="Arial" w:cs="Arial"/>
          <w:szCs w:val="18"/>
        </w:rPr>
      </w:pPr>
      <w:r w:rsidRPr="009A6395">
        <w:rPr>
          <w:rStyle w:val="FootnoteReference"/>
          <w:rFonts w:cs="Arial"/>
          <w:szCs w:val="18"/>
        </w:rPr>
        <w:footnoteRef/>
      </w:r>
      <w:r w:rsidRPr="009A6395">
        <w:rPr>
          <w:rFonts w:cs="Arial"/>
          <w:szCs w:val="18"/>
        </w:rPr>
        <w:t xml:space="preserve"> </w:t>
      </w:r>
      <w:r w:rsidR="00401A07">
        <w:rPr>
          <w:rFonts w:cs="Arial"/>
          <w:szCs w:val="18"/>
        </w:rPr>
        <w:t xml:space="preserve">Case of </w:t>
      </w:r>
      <w:r w:rsidR="00401A07" w:rsidRPr="00401A07">
        <w:rPr>
          <w:rFonts w:cs="Arial"/>
          <w:szCs w:val="18"/>
        </w:rPr>
        <w:t>Hayriye Özdemir</w:t>
      </w:r>
      <w:r w:rsidR="00401A07">
        <w:rPr>
          <w:rFonts w:cs="Arial"/>
          <w:szCs w:val="18"/>
        </w:rPr>
        <w:t>,</w:t>
      </w:r>
      <w:r w:rsidR="00401A07" w:rsidRPr="00401A07">
        <w:rPr>
          <w:rFonts w:cs="Arial"/>
          <w:szCs w:val="18"/>
        </w:rPr>
        <w:t xml:space="preserve"> </w:t>
      </w:r>
      <w:r w:rsidR="00401A07">
        <w:rPr>
          <w:rFonts w:cs="Arial"/>
          <w:szCs w:val="18"/>
        </w:rPr>
        <w:t xml:space="preserve">Application No. 2013/3434 dated 25.6.2015, </w:t>
      </w:r>
      <w:r w:rsidRPr="009A6395">
        <w:rPr>
          <w:rFonts w:eastAsia="Arial" w:cs="Arial"/>
          <w:szCs w:val="18"/>
        </w:rPr>
        <w:t>Turkish Constitutional Court</w:t>
      </w:r>
      <w:r w:rsidR="00401A07">
        <w:rPr>
          <w:rFonts w:eastAsia="Arial" w:cs="Arial"/>
          <w:szCs w:val="18"/>
        </w:rPr>
        <w:t xml:space="preserve">, </w:t>
      </w:r>
      <w:hyperlink r:id="rId21" w:history="1">
        <w:r w:rsidR="00401A07" w:rsidRPr="001D46CF">
          <w:rPr>
            <w:rStyle w:val="Hyperlink"/>
            <w:rFonts w:eastAsia="Arial" w:cs="Arial"/>
            <w:szCs w:val="18"/>
          </w:rPr>
          <w:t>https://ayam.anayasa.gov.tr/media/2697/2013-3434.pdf</w:t>
        </w:r>
      </w:hyperlink>
    </w:p>
  </w:footnote>
  <w:footnote w:id="48">
    <w:p w14:paraId="7CE38466" w14:textId="6F00A796" w:rsidR="00D033C1" w:rsidRPr="009A6395" w:rsidRDefault="00D033C1"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F579A8" w:rsidRPr="009A6395">
        <w:rPr>
          <w:rFonts w:cs="Arial"/>
          <w:i/>
          <w:iCs/>
          <w:szCs w:val="18"/>
        </w:rPr>
        <w:t>Kartal</w:t>
      </w:r>
      <w:r w:rsidR="00F579A8" w:rsidRPr="009A6395">
        <w:rPr>
          <w:rFonts w:cs="Arial"/>
          <w:szCs w:val="18"/>
        </w:rPr>
        <w:t xml:space="preserve">, supra note </w:t>
      </w:r>
      <w:r w:rsidR="000622C1">
        <w:rPr>
          <w:rFonts w:cs="Arial"/>
          <w:szCs w:val="18"/>
        </w:rPr>
        <w:t>37</w:t>
      </w:r>
      <w:r w:rsidR="00677946" w:rsidRPr="009A6395">
        <w:rPr>
          <w:rFonts w:cs="Arial"/>
          <w:szCs w:val="18"/>
        </w:rPr>
        <w:t>.</w:t>
      </w:r>
    </w:p>
  </w:footnote>
  <w:footnote w:id="49">
    <w:p w14:paraId="3C8327BC" w14:textId="6F9FD718" w:rsidR="00A65505" w:rsidRPr="009A6395" w:rsidRDefault="00A65505"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F579A8" w:rsidRPr="009A6395">
        <w:rPr>
          <w:rFonts w:cs="Arial"/>
          <w:szCs w:val="18"/>
        </w:rPr>
        <w:t>Ibid.</w:t>
      </w:r>
    </w:p>
  </w:footnote>
  <w:footnote w:id="50">
    <w:p w14:paraId="0D947EAA" w14:textId="1F5A61E8" w:rsidR="00DA0D51" w:rsidRPr="009A6395" w:rsidRDefault="00DA0D51" w:rsidP="00D90C8F">
      <w:pPr>
        <w:pStyle w:val="FootnoteText"/>
        <w:rPr>
          <w:rFonts w:cs="Arial"/>
          <w:szCs w:val="18"/>
        </w:rPr>
      </w:pPr>
      <w:r w:rsidRPr="009A6395">
        <w:rPr>
          <w:rStyle w:val="FootnoteReference"/>
          <w:rFonts w:cs="Arial"/>
          <w:szCs w:val="18"/>
        </w:rPr>
        <w:footnoteRef/>
      </w:r>
      <w:r w:rsidRPr="009A6395">
        <w:rPr>
          <w:rFonts w:cs="Arial"/>
          <w:szCs w:val="18"/>
        </w:rPr>
        <w:t xml:space="preserve"> </w:t>
      </w:r>
      <w:r w:rsidR="00F579A8" w:rsidRPr="009A6395">
        <w:rPr>
          <w:rFonts w:cs="Arial"/>
          <w:szCs w:val="18"/>
        </w:rPr>
        <w:t>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22EA5" w14:textId="77777777" w:rsidR="009F7497" w:rsidRDefault="009F7497">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D9F21" w14:textId="77777777" w:rsidR="009F7497" w:rsidRDefault="009F7497">
    <w:pPr>
      <w:pBdr>
        <w:top w:val="nil"/>
        <w:left w:val="nil"/>
        <w:bottom w:val="nil"/>
        <w:right w:val="nil"/>
        <w:between w:val="nil"/>
      </w:pBdr>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CD88E2C"/>
    <w:lvl w:ilvl="0">
      <w:numFmt w:val="bullet"/>
      <w:lvlText w:val=""/>
      <w:lvlJc w:val="left"/>
      <w:pPr>
        <w:ind w:left="462" w:hanging="360"/>
      </w:pPr>
      <w:rPr>
        <w:rFonts w:ascii="Wingdings" w:hAnsi="Wingdings" w:cs="Wingdings"/>
        <w:b w:val="0"/>
        <w:bCs w:val="0"/>
        <w:i w:val="0"/>
        <w:iCs w:val="0"/>
        <w:w w:val="102"/>
        <w:sz w:val="21"/>
        <w:szCs w:val="21"/>
        <w:vertAlign w:val="baseline"/>
      </w:rPr>
    </w:lvl>
    <w:lvl w:ilvl="1">
      <w:numFmt w:val="bullet"/>
      <w:lvlText w:val="ï"/>
      <w:lvlJc w:val="left"/>
      <w:pPr>
        <w:ind w:left="1362" w:hanging="360"/>
      </w:pPr>
    </w:lvl>
    <w:lvl w:ilvl="2">
      <w:numFmt w:val="bullet"/>
      <w:lvlText w:val="ï"/>
      <w:lvlJc w:val="left"/>
      <w:pPr>
        <w:ind w:left="2265" w:hanging="360"/>
      </w:pPr>
    </w:lvl>
    <w:lvl w:ilvl="3">
      <w:numFmt w:val="bullet"/>
      <w:lvlText w:val="ï"/>
      <w:lvlJc w:val="left"/>
      <w:pPr>
        <w:ind w:left="3167" w:hanging="360"/>
      </w:pPr>
    </w:lvl>
    <w:lvl w:ilvl="4">
      <w:numFmt w:val="bullet"/>
      <w:lvlText w:val="ï"/>
      <w:lvlJc w:val="left"/>
      <w:pPr>
        <w:ind w:left="4070" w:hanging="360"/>
      </w:pPr>
    </w:lvl>
    <w:lvl w:ilvl="5">
      <w:numFmt w:val="bullet"/>
      <w:lvlText w:val="ï"/>
      <w:lvlJc w:val="left"/>
      <w:pPr>
        <w:ind w:left="4972" w:hanging="360"/>
      </w:pPr>
    </w:lvl>
    <w:lvl w:ilvl="6">
      <w:numFmt w:val="bullet"/>
      <w:lvlText w:val="ï"/>
      <w:lvlJc w:val="left"/>
      <w:pPr>
        <w:ind w:left="5875" w:hanging="360"/>
      </w:pPr>
    </w:lvl>
    <w:lvl w:ilvl="7">
      <w:numFmt w:val="bullet"/>
      <w:lvlText w:val="ï"/>
      <w:lvlJc w:val="left"/>
      <w:pPr>
        <w:ind w:left="6777" w:hanging="360"/>
      </w:pPr>
    </w:lvl>
    <w:lvl w:ilvl="8">
      <w:numFmt w:val="bullet"/>
      <w:lvlText w:val="ï"/>
      <w:lvlJc w:val="left"/>
      <w:pPr>
        <w:ind w:left="7680" w:hanging="360"/>
      </w:pPr>
    </w:lvl>
  </w:abstractNum>
  <w:abstractNum w:abstractNumId="1" w15:restartNumberingAfterBreak="0">
    <w:nsid w:val="13C777E8"/>
    <w:multiLevelType w:val="hybridMultilevel"/>
    <w:tmpl w:val="94D098E0"/>
    <w:lvl w:ilvl="0" w:tplc="7E1C69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C01FF"/>
    <w:multiLevelType w:val="multilevel"/>
    <w:tmpl w:val="AA169E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C5B7C8A"/>
    <w:multiLevelType w:val="hybridMultilevel"/>
    <w:tmpl w:val="3092B502"/>
    <w:lvl w:ilvl="0" w:tplc="08090001">
      <w:start w:val="1"/>
      <w:numFmt w:val="bullet"/>
      <w:lvlText w:val=""/>
      <w:lvlJc w:val="left"/>
      <w:pPr>
        <w:ind w:left="1334" w:hanging="360"/>
      </w:pPr>
      <w:rPr>
        <w:rFonts w:ascii="Symbol" w:hAnsi="Symbol" w:hint="default"/>
      </w:rPr>
    </w:lvl>
    <w:lvl w:ilvl="1" w:tplc="08090003" w:tentative="1">
      <w:start w:val="1"/>
      <w:numFmt w:val="bullet"/>
      <w:lvlText w:val="o"/>
      <w:lvlJc w:val="left"/>
      <w:pPr>
        <w:ind w:left="2054" w:hanging="360"/>
      </w:pPr>
      <w:rPr>
        <w:rFonts w:ascii="Courier New" w:hAnsi="Courier New" w:cs="Courier New" w:hint="default"/>
      </w:rPr>
    </w:lvl>
    <w:lvl w:ilvl="2" w:tplc="08090005" w:tentative="1">
      <w:start w:val="1"/>
      <w:numFmt w:val="bullet"/>
      <w:lvlText w:val=""/>
      <w:lvlJc w:val="left"/>
      <w:pPr>
        <w:ind w:left="2774" w:hanging="360"/>
      </w:pPr>
      <w:rPr>
        <w:rFonts w:ascii="Wingdings" w:hAnsi="Wingdings" w:hint="default"/>
      </w:rPr>
    </w:lvl>
    <w:lvl w:ilvl="3" w:tplc="08090001" w:tentative="1">
      <w:start w:val="1"/>
      <w:numFmt w:val="bullet"/>
      <w:lvlText w:val=""/>
      <w:lvlJc w:val="left"/>
      <w:pPr>
        <w:ind w:left="3494" w:hanging="360"/>
      </w:pPr>
      <w:rPr>
        <w:rFonts w:ascii="Symbol" w:hAnsi="Symbol" w:hint="default"/>
      </w:rPr>
    </w:lvl>
    <w:lvl w:ilvl="4" w:tplc="08090003" w:tentative="1">
      <w:start w:val="1"/>
      <w:numFmt w:val="bullet"/>
      <w:lvlText w:val="o"/>
      <w:lvlJc w:val="left"/>
      <w:pPr>
        <w:ind w:left="4214" w:hanging="360"/>
      </w:pPr>
      <w:rPr>
        <w:rFonts w:ascii="Courier New" w:hAnsi="Courier New" w:cs="Courier New" w:hint="default"/>
      </w:rPr>
    </w:lvl>
    <w:lvl w:ilvl="5" w:tplc="08090005" w:tentative="1">
      <w:start w:val="1"/>
      <w:numFmt w:val="bullet"/>
      <w:lvlText w:val=""/>
      <w:lvlJc w:val="left"/>
      <w:pPr>
        <w:ind w:left="4934" w:hanging="360"/>
      </w:pPr>
      <w:rPr>
        <w:rFonts w:ascii="Wingdings" w:hAnsi="Wingdings" w:hint="default"/>
      </w:rPr>
    </w:lvl>
    <w:lvl w:ilvl="6" w:tplc="08090001" w:tentative="1">
      <w:start w:val="1"/>
      <w:numFmt w:val="bullet"/>
      <w:lvlText w:val=""/>
      <w:lvlJc w:val="left"/>
      <w:pPr>
        <w:ind w:left="5654" w:hanging="360"/>
      </w:pPr>
      <w:rPr>
        <w:rFonts w:ascii="Symbol" w:hAnsi="Symbol" w:hint="default"/>
      </w:rPr>
    </w:lvl>
    <w:lvl w:ilvl="7" w:tplc="08090003" w:tentative="1">
      <w:start w:val="1"/>
      <w:numFmt w:val="bullet"/>
      <w:lvlText w:val="o"/>
      <w:lvlJc w:val="left"/>
      <w:pPr>
        <w:ind w:left="6374" w:hanging="360"/>
      </w:pPr>
      <w:rPr>
        <w:rFonts w:ascii="Courier New" w:hAnsi="Courier New" w:cs="Courier New" w:hint="default"/>
      </w:rPr>
    </w:lvl>
    <w:lvl w:ilvl="8" w:tplc="08090005" w:tentative="1">
      <w:start w:val="1"/>
      <w:numFmt w:val="bullet"/>
      <w:lvlText w:val=""/>
      <w:lvlJc w:val="left"/>
      <w:pPr>
        <w:ind w:left="7094" w:hanging="360"/>
      </w:pPr>
      <w:rPr>
        <w:rFonts w:ascii="Wingdings" w:hAnsi="Wingdings" w:hint="default"/>
      </w:rPr>
    </w:lvl>
  </w:abstractNum>
  <w:abstractNum w:abstractNumId="4" w15:restartNumberingAfterBreak="0">
    <w:nsid w:val="267347BB"/>
    <w:multiLevelType w:val="multilevel"/>
    <w:tmpl w:val="093A47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B395B42"/>
    <w:multiLevelType w:val="hybridMultilevel"/>
    <w:tmpl w:val="7FBA7CC4"/>
    <w:lvl w:ilvl="0" w:tplc="EBF0EFBA">
      <w:start w:val="1"/>
      <w:numFmt w:val="bullet"/>
      <w:lvlText w:val=""/>
      <w:lvlJc w:val="left"/>
      <w:pPr>
        <w:ind w:left="1146" w:hanging="360"/>
      </w:pPr>
      <w:rPr>
        <w:rFonts w:ascii="Symbol" w:hAnsi="Symbol" w:hint="default"/>
      </w:rPr>
    </w:lvl>
    <w:lvl w:ilvl="1" w:tplc="4350C23E">
      <w:start w:val="1"/>
      <w:numFmt w:val="bullet"/>
      <w:lvlText w:val="o"/>
      <w:lvlJc w:val="left"/>
      <w:pPr>
        <w:ind w:left="1866" w:hanging="360"/>
      </w:pPr>
      <w:rPr>
        <w:rFonts w:ascii="Courier New" w:hAnsi="Courier New" w:cs="Courier New" w:hint="default"/>
      </w:rPr>
    </w:lvl>
    <w:lvl w:ilvl="2" w:tplc="3C2262EE" w:tentative="1">
      <w:start w:val="1"/>
      <w:numFmt w:val="bullet"/>
      <w:lvlText w:val=""/>
      <w:lvlJc w:val="left"/>
      <w:pPr>
        <w:ind w:left="2586" w:hanging="360"/>
      </w:pPr>
      <w:rPr>
        <w:rFonts w:ascii="Wingdings" w:hAnsi="Wingdings" w:hint="default"/>
      </w:rPr>
    </w:lvl>
    <w:lvl w:ilvl="3" w:tplc="D1C29C96" w:tentative="1">
      <w:start w:val="1"/>
      <w:numFmt w:val="bullet"/>
      <w:lvlText w:val=""/>
      <w:lvlJc w:val="left"/>
      <w:pPr>
        <w:ind w:left="3306" w:hanging="360"/>
      </w:pPr>
      <w:rPr>
        <w:rFonts w:ascii="Symbol" w:hAnsi="Symbol" w:hint="default"/>
      </w:rPr>
    </w:lvl>
    <w:lvl w:ilvl="4" w:tplc="9CCA9474" w:tentative="1">
      <w:start w:val="1"/>
      <w:numFmt w:val="bullet"/>
      <w:lvlText w:val="o"/>
      <w:lvlJc w:val="left"/>
      <w:pPr>
        <w:ind w:left="4026" w:hanging="360"/>
      </w:pPr>
      <w:rPr>
        <w:rFonts w:ascii="Courier New" w:hAnsi="Courier New" w:cs="Courier New" w:hint="default"/>
      </w:rPr>
    </w:lvl>
    <w:lvl w:ilvl="5" w:tplc="984E8464" w:tentative="1">
      <w:start w:val="1"/>
      <w:numFmt w:val="bullet"/>
      <w:lvlText w:val=""/>
      <w:lvlJc w:val="left"/>
      <w:pPr>
        <w:ind w:left="4746" w:hanging="360"/>
      </w:pPr>
      <w:rPr>
        <w:rFonts w:ascii="Wingdings" w:hAnsi="Wingdings" w:hint="default"/>
      </w:rPr>
    </w:lvl>
    <w:lvl w:ilvl="6" w:tplc="5F606FD2" w:tentative="1">
      <w:start w:val="1"/>
      <w:numFmt w:val="bullet"/>
      <w:lvlText w:val=""/>
      <w:lvlJc w:val="left"/>
      <w:pPr>
        <w:ind w:left="5466" w:hanging="360"/>
      </w:pPr>
      <w:rPr>
        <w:rFonts w:ascii="Symbol" w:hAnsi="Symbol" w:hint="default"/>
      </w:rPr>
    </w:lvl>
    <w:lvl w:ilvl="7" w:tplc="2D42BF5A" w:tentative="1">
      <w:start w:val="1"/>
      <w:numFmt w:val="bullet"/>
      <w:lvlText w:val="o"/>
      <w:lvlJc w:val="left"/>
      <w:pPr>
        <w:ind w:left="6186" w:hanging="360"/>
      </w:pPr>
      <w:rPr>
        <w:rFonts w:ascii="Courier New" w:hAnsi="Courier New" w:cs="Courier New" w:hint="default"/>
      </w:rPr>
    </w:lvl>
    <w:lvl w:ilvl="8" w:tplc="53CE7B46" w:tentative="1">
      <w:start w:val="1"/>
      <w:numFmt w:val="bullet"/>
      <w:lvlText w:val=""/>
      <w:lvlJc w:val="left"/>
      <w:pPr>
        <w:ind w:left="6906" w:hanging="360"/>
      </w:pPr>
      <w:rPr>
        <w:rFonts w:ascii="Wingdings" w:hAnsi="Wingdings" w:hint="default"/>
      </w:rPr>
    </w:lvl>
  </w:abstractNum>
  <w:abstractNum w:abstractNumId="6" w15:restartNumberingAfterBreak="0">
    <w:nsid w:val="313E440E"/>
    <w:multiLevelType w:val="multilevel"/>
    <w:tmpl w:val="141826A0"/>
    <w:lvl w:ilvl="0">
      <w:start w:val="166"/>
      <w:numFmt w:val="bullet"/>
      <w:lvlText w:val="-"/>
      <w:lvlJc w:val="left"/>
      <w:pPr>
        <w:ind w:left="678" w:hanging="360"/>
      </w:pPr>
      <w:rPr>
        <w:rFonts w:ascii="Arial" w:eastAsia="Arial" w:hAnsi="Arial" w:cs="Arial"/>
      </w:rPr>
    </w:lvl>
    <w:lvl w:ilvl="1">
      <w:start w:val="1"/>
      <w:numFmt w:val="bullet"/>
      <w:lvlText w:val="o"/>
      <w:lvlJc w:val="left"/>
      <w:pPr>
        <w:ind w:left="1398" w:hanging="360"/>
      </w:pPr>
      <w:rPr>
        <w:rFonts w:ascii="Courier New" w:eastAsia="Courier New" w:hAnsi="Courier New" w:cs="Courier New"/>
      </w:rPr>
    </w:lvl>
    <w:lvl w:ilvl="2">
      <w:start w:val="1"/>
      <w:numFmt w:val="bullet"/>
      <w:lvlText w:val="▪"/>
      <w:lvlJc w:val="left"/>
      <w:pPr>
        <w:ind w:left="2118" w:hanging="360"/>
      </w:pPr>
      <w:rPr>
        <w:rFonts w:ascii="Noto Sans Symbols" w:eastAsia="Noto Sans Symbols" w:hAnsi="Noto Sans Symbols" w:cs="Noto Sans Symbols"/>
      </w:rPr>
    </w:lvl>
    <w:lvl w:ilvl="3">
      <w:start w:val="1"/>
      <w:numFmt w:val="bullet"/>
      <w:lvlText w:val="●"/>
      <w:lvlJc w:val="left"/>
      <w:pPr>
        <w:ind w:left="2838" w:hanging="360"/>
      </w:pPr>
      <w:rPr>
        <w:rFonts w:ascii="Noto Sans Symbols" w:eastAsia="Noto Sans Symbols" w:hAnsi="Noto Sans Symbols" w:cs="Noto Sans Symbols"/>
      </w:rPr>
    </w:lvl>
    <w:lvl w:ilvl="4">
      <w:start w:val="1"/>
      <w:numFmt w:val="bullet"/>
      <w:lvlText w:val="o"/>
      <w:lvlJc w:val="left"/>
      <w:pPr>
        <w:ind w:left="3558" w:hanging="360"/>
      </w:pPr>
      <w:rPr>
        <w:rFonts w:ascii="Courier New" w:eastAsia="Courier New" w:hAnsi="Courier New" w:cs="Courier New"/>
      </w:rPr>
    </w:lvl>
    <w:lvl w:ilvl="5">
      <w:start w:val="1"/>
      <w:numFmt w:val="bullet"/>
      <w:lvlText w:val="▪"/>
      <w:lvlJc w:val="left"/>
      <w:pPr>
        <w:ind w:left="4278" w:hanging="360"/>
      </w:pPr>
      <w:rPr>
        <w:rFonts w:ascii="Noto Sans Symbols" w:eastAsia="Noto Sans Symbols" w:hAnsi="Noto Sans Symbols" w:cs="Noto Sans Symbols"/>
      </w:rPr>
    </w:lvl>
    <w:lvl w:ilvl="6">
      <w:start w:val="1"/>
      <w:numFmt w:val="bullet"/>
      <w:lvlText w:val="●"/>
      <w:lvlJc w:val="left"/>
      <w:pPr>
        <w:ind w:left="4998" w:hanging="360"/>
      </w:pPr>
      <w:rPr>
        <w:rFonts w:ascii="Noto Sans Symbols" w:eastAsia="Noto Sans Symbols" w:hAnsi="Noto Sans Symbols" w:cs="Noto Sans Symbols"/>
      </w:rPr>
    </w:lvl>
    <w:lvl w:ilvl="7">
      <w:start w:val="1"/>
      <w:numFmt w:val="bullet"/>
      <w:lvlText w:val="o"/>
      <w:lvlJc w:val="left"/>
      <w:pPr>
        <w:ind w:left="5718" w:hanging="360"/>
      </w:pPr>
      <w:rPr>
        <w:rFonts w:ascii="Courier New" w:eastAsia="Courier New" w:hAnsi="Courier New" w:cs="Courier New"/>
      </w:rPr>
    </w:lvl>
    <w:lvl w:ilvl="8">
      <w:start w:val="1"/>
      <w:numFmt w:val="bullet"/>
      <w:lvlText w:val="▪"/>
      <w:lvlJc w:val="left"/>
      <w:pPr>
        <w:ind w:left="6438" w:hanging="360"/>
      </w:pPr>
      <w:rPr>
        <w:rFonts w:ascii="Noto Sans Symbols" w:eastAsia="Noto Sans Symbols" w:hAnsi="Noto Sans Symbols" w:cs="Noto Sans Symbols"/>
      </w:rPr>
    </w:lvl>
  </w:abstractNum>
  <w:abstractNum w:abstractNumId="7" w15:restartNumberingAfterBreak="0">
    <w:nsid w:val="38EB5B31"/>
    <w:multiLevelType w:val="multilevel"/>
    <w:tmpl w:val="597E9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9CE55C8"/>
    <w:multiLevelType w:val="multilevel"/>
    <w:tmpl w:val="50205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A0A420D"/>
    <w:multiLevelType w:val="hybridMultilevel"/>
    <w:tmpl w:val="45EE0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0B224C"/>
    <w:multiLevelType w:val="multilevel"/>
    <w:tmpl w:val="ED22F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87A3FEF"/>
    <w:multiLevelType w:val="multilevel"/>
    <w:tmpl w:val="E95061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CAC00F5"/>
    <w:multiLevelType w:val="multilevel"/>
    <w:tmpl w:val="C87E3FC2"/>
    <w:lvl w:ilvl="0">
      <w:start w:val="1"/>
      <w:numFmt w:val="decimal"/>
      <w:lvlText w:val="%1."/>
      <w:lvlJc w:val="left"/>
      <w:pPr>
        <w:ind w:left="400" w:hanging="40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5D7F0B22"/>
    <w:multiLevelType w:val="hybridMultilevel"/>
    <w:tmpl w:val="3EF6D180"/>
    <w:lvl w:ilvl="0" w:tplc="2DB003D4">
      <w:start w:val="1"/>
      <w:numFmt w:val="lowerRoman"/>
      <w:lvlText w:val="%1."/>
      <w:lvlJc w:val="left"/>
      <w:pPr>
        <w:ind w:left="1080" w:hanging="720"/>
      </w:pPr>
      <w:rPr>
        <w:rFonts w:hint="default"/>
        <w:color w:val="1E1E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D7083B"/>
    <w:multiLevelType w:val="hybridMultilevel"/>
    <w:tmpl w:val="D19039B0"/>
    <w:lvl w:ilvl="0" w:tplc="08090001">
      <w:start w:val="1"/>
      <w:numFmt w:val="bullet"/>
      <w:lvlText w:val=""/>
      <w:lvlJc w:val="left"/>
      <w:pPr>
        <w:ind w:left="1334" w:hanging="360"/>
      </w:pPr>
      <w:rPr>
        <w:rFonts w:ascii="Symbol" w:hAnsi="Symbol" w:hint="default"/>
      </w:rPr>
    </w:lvl>
    <w:lvl w:ilvl="1" w:tplc="08090003" w:tentative="1">
      <w:start w:val="1"/>
      <w:numFmt w:val="bullet"/>
      <w:lvlText w:val="o"/>
      <w:lvlJc w:val="left"/>
      <w:pPr>
        <w:ind w:left="2054" w:hanging="360"/>
      </w:pPr>
      <w:rPr>
        <w:rFonts w:ascii="Courier New" w:hAnsi="Courier New" w:cs="Courier New" w:hint="default"/>
      </w:rPr>
    </w:lvl>
    <w:lvl w:ilvl="2" w:tplc="08090005" w:tentative="1">
      <w:start w:val="1"/>
      <w:numFmt w:val="bullet"/>
      <w:lvlText w:val=""/>
      <w:lvlJc w:val="left"/>
      <w:pPr>
        <w:ind w:left="2774" w:hanging="360"/>
      </w:pPr>
      <w:rPr>
        <w:rFonts w:ascii="Wingdings" w:hAnsi="Wingdings" w:hint="default"/>
      </w:rPr>
    </w:lvl>
    <w:lvl w:ilvl="3" w:tplc="08090001" w:tentative="1">
      <w:start w:val="1"/>
      <w:numFmt w:val="bullet"/>
      <w:lvlText w:val=""/>
      <w:lvlJc w:val="left"/>
      <w:pPr>
        <w:ind w:left="3494" w:hanging="360"/>
      </w:pPr>
      <w:rPr>
        <w:rFonts w:ascii="Symbol" w:hAnsi="Symbol" w:hint="default"/>
      </w:rPr>
    </w:lvl>
    <w:lvl w:ilvl="4" w:tplc="08090003" w:tentative="1">
      <w:start w:val="1"/>
      <w:numFmt w:val="bullet"/>
      <w:lvlText w:val="o"/>
      <w:lvlJc w:val="left"/>
      <w:pPr>
        <w:ind w:left="4214" w:hanging="360"/>
      </w:pPr>
      <w:rPr>
        <w:rFonts w:ascii="Courier New" w:hAnsi="Courier New" w:cs="Courier New" w:hint="default"/>
      </w:rPr>
    </w:lvl>
    <w:lvl w:ilvl="5" w:tplc="08090005" w:tentative="1">
      <w:start w:val="1"/>
      <w:numFmt w:val="bullet"/>
      <w:lvlText w:val=""/>
      <w:lvlJc w:val="left"/>
      <w:pPr>
        <w:ind w:left="4934" w:hanging="360"/>
      </w:pPr>
      <w:rPr>
        <w:rFonts w:ascii="Wingdings" w:hAnsi="Wingdings" w:hint="default"/>
      </w:rPr>
    </w:lvl>
    <w:lvl w:ilvl="6" w:tplc="08090001" w:tentative="1">
      <w:start w:val="1"/>
      <w:numFmt w:val="bullet"/>
      <w:lvlText w:val=""/>
      <w:lvlJc w:val="left"/>
      <w:pPr>
        <w:ind w:left="5654" w:hanging="360"/>
      </w:pPr>
      <w:rPr>
        <w:rFonts w:ascii="Symbol" w:hAnsi="Symbol" w:hint="default"/>
      </w:rPr>
    </w:lvl>
    <w:lvl w:ilvl="7" w:tplc="08090003" w:tentative="1">
      <w:start w:val="1"/>
      <w:numFmt w:val="bullet"/>
      <w:lvlText w:val="o"/>
      <w:lvlJc w:val="left"/>
      <w:pPr>
        <w:ind w:left="6374" w:hanging="360"/>
      </w:pPr>
      <w:rPr>
        <w:rFonts w:ascii="Courier New" w:hAnsi="Courier New" w:cs="Courier New" w:hint="default"/>
      </w:rPr>
    </w:lvl>
    <w:lvl w:ilvl="8" w:tplc="08090005" w:tentative="1">
      <w:start w:val="1"/>
      <w:numFmt w:val="bullet"/>
      <w:lvlText w:val=""/>
      <w:lvlJc w:val="left"/>
      <w:pPr>
        <w:ind w:left="7094" w:hanging="360"/>
      </w:pPr>
      <w:rPr>
        <w:rFonts w:ascii="Wingdings" w:hAnsi="Wingdings" w:hint="default"/>
      </w:rPr>
    </w:lvl>
  </w:abstractNum>
  <w:abstractNum w:abstractNumId="15" w15:restartNumberingAfterBreak="0">
    <w:nsid w:val="6FD179F9"/>
    <w:multiLevelType w:val="multilevel"/>
    <w:tmpl w:val="5484A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2182543">
    <w:abstractNumId w:val="2"/>
  </w:num>
  <w:num w:numId="2" w16cid:durableId="1841195735">
    <w:abstractNumId w:val="11"/>
  </w:num>
  <w:num w:numId="3" w16cid:durableId="1865440940">
    <w:abstractNumId w:val="4"/>
  </w:num>
  <w:num w:numId="4" w16cid:durableId="1969966932">
    <w:abstractNumId w:val="12"/>
  </w:num>
  <w:num w:numId="5" w16cid:durableId="605695350">
    <w:abstractNumId w:val="8"/>
  </w:num>
  <w:num w:numId="6" w16cid:durableId="1261837168">
    <w:abstractNumId w:val="10"/>
  </w:num>
  <w:num w:numId="7" w16cid:durableId="182478994">
    <w:abstractNumId w:val="0"/>
  </w:num>
  <w:num w:numId="8" w16cid:durableId="1012419626">
    <w:abstractNumId w:val="7"/>
  </w:num>
  <w:num w:numId="9" w16cid:durableId="1708480400">
    <w:abstractNumId w:val="15"/>
  </w:num>
  <w:num w:numId="10" w16cid:durableId="1887718070">
    <w:abstractNumId w:val="5"/>
  </w:num>
  <w:num w:numId="11" w16cid:durableId="1478185143">
    <w:abstractNumId w:val="9"/>
  </w:num>
  <w:num w:numId="12" w16cid:durableId="827087675">
    <w:abstractNumId w:val="1"/>
  </w:num>
  <w:num w:numId="13" w16cid:durableId="501504261">
    <w:abstractNumId w:val="6"/>
  </w:num>
  <w:num w:numId="14" w16cid:durableId="527522318">
    <w:abstractNumId w:val="13"/>
  </w:num>
  <w:num w:numId="15" w16cid:durableId="1380282626">
    <w:abstractNumId w:val="3"/>
  </w:num>
  <w:num w:numId="16" w16cid:durableId="6953493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497"/>
    <w:rsid w:val="00001955"/>
    <w:rsid w:val="00007B81"/>
    <w:rsid w:val="00016E0A"/>
    <w:rsid w:val="0002761B"/>
    <w:rsid w:val="0005203D"/>
    <w:rsid w:val="0005684F"/>
    <w:rsid w:val="000622C1"/>
    <w:rsid w:val="0007008F"/>
    <w:rsid w:val="000827C9"/>
    <w:rsid w:val="00086536"/>
    <w:rsid w:val="00091779"/>
    <w:rsid w:val="000A1E07"/>
    <w:rsid w:val="000A5BCA"/>
    <w:rsid w:val="000A6D41"/>
    <w:rsid w:val="000B034A"/>
    <w:rsid w:val="000B050F"/>
    <w:rsid w:val="000B3021"/>
    <w:rsid w:val="000B71AD"/>
    <w:rsid w:val="000C5067"/>
    <w:rsid w:val="000D1BF2"/>
    <w:rsid w:val="000E368F"/>
    <w:rsid w:val="000E7EA7"/>
    <w:rsid w:val="001118B1"/>
    <w:rsid w:val="001125CE"/>
    <w:rsid w:val="00116DB5"/>
    <w:rsid w:val="00116E0A"/>
    <w:rsid w:val="00120B35"/>
    <w:rsid w:val="00137A94"/>
    <w:rsid w:val="001565DC"/>
    <w:rsid w:val="00162550"/>
    <w:rsid w:val="0016756E"/>
    <w:rsid w:val="001706E8"/>
    <w:rsid w:val="0017404F"/>
    <w:rsid w:val="00183D89"/>
    <w:rsid w:val="0018765E"/>
    <w:rsid w:val="00194384"/>
    <w:rsid w:val="001A7A65"/>
    <w:rsid w:val="001B1A8D"/>
    <w:rsid w:val="001B5313"/>
    <w:rsid w:val="001C20FF"/>
    <w:rsid w:val="001C22EB"/>
    <w:rsid w:val="001D2EF1"/>
    <w:rsid w:val="001D6A72"/>
    <w:rsid w:val="001D7466"/>
    <w:rsid w:val="001E0C0E"/>
    <w:rsid w:val="001E0EF0"/>
    <w:rsid w:val="0020166F"/>
    <w:rsid w:val="00210FFD"/>
    <w:rsid w:val="00221E0D"/>
    <w:rsid w:val="00225301"/>
    <w:rsid w:val="00250D8A"/>
    <w:rsid w:val="00281E76"/>
    <w:rsid w:val="00285BE2"/>
    <w:rsid w:val="0029012A"/>
    <w:rsid w:val="00290374"/>
    <w:rsid w:val="002F1FD6"/>
    <w:rsid w:val="002F54EB"/>
    <w:rsid w:val="003056A0"/>
    <w:rsid w:val="003102FF"/>
    <w:rsid w:val="00330D8F"/>
    <w:rsid w:val="00335BAC"/>
    <w:rsid w:val="00343091"/>
    <w:rsid w:val="00361BEF"/>
    <w:rsid w:val="00361F57"/>
    <w:rsid w:val="003830CF"/>
    <w:rsid w:val="003B0226"/>
    <w:rsid w:val="003B3072"/>
    <w:rsid w:val="003C12C9"/>
    <w:rsid w:val="003C4A62"/>
    <w:rsid w:val="003E22FC"/>
    <w:rsid w:val="00401A07"/>
    <w:rsid w:val="00406FE8"/>
    <w:rsid w:val="00422E37"/>
    <w:rsid w:val="00483CA4"/>
    <w:rsid w:val="00492D6E"/>
    <w:rsid w:val="004A185D"/>
    <w:rsid w:val="004B2BFE"/>
    <w:rsid w:val="004C4475"/>
    <w:rsid w:val="004D7ADA"/>
    <w:rsid w:val="004F287E"/>
    <w:rsid w:val="0051674D"/>
    <w:rsid w:val="0052535A"/>
    <w:rsid w:val="005365E4"/>
    <w:rsid w:val="0054790E"/>
    <w:rsid w:val="00573219"/>
    <w:rsid w:val="00574ACE"/>
    <w:rsid w:val="00575E51"/>
    <w:rsid w:val="005774FA"/>
    <w:rsid w:val="0058288F"/>
    <w:rsid w:val="00585F75"/>
    <w:rsid w:val="00594605"/>
    <w:rsid w:val="00596FBB"/>
    <w:rsid w:val="005A342E"/>
    <w:rsid w:val="005A35D9"/>
    <w:rsid w:val="005B7A9D"/>
    <w:rsid w:val="005D043D"/>
    <w:rsid w:val="00603206"/>
    <w:rsid w:val="0060553A"/>
    <w:rsid w:val="006065EB"/>
    <w:rsid w:val="00635848"/>
    <w:rsid w:val="00636A6F"/>
    <w:rsid w:val="00640F4A"/>
    <w:rsid w:val="0064445C"/>
    <w:rsid w:val="00656080"/>
    <w:rsid w:val="00657092"/>
    <w:rsid w:val="00675278"/>
    <w:rsid w:val="00677946"/>
    <w:rsid w:val="0068678C"/>
    <w:rsid w:val="006A3D8A"/>
    <w:rsid w:val="006B6B24"/>
    <w:rsid w:val="006C684B"/>
    <w:rsid w:val="006C75C3"/>
    <w:rsid w:val="006E4A77"/>
    <w:rsid w:val="006E676A"/>
    <w:rsid w:val="00710981"/>
    <w:rsid w:val="00743CC7"/>
    <w:rsid w:val="007538AA"/>
    <w:rsid w:val="00764F8D"/>
    <w:rsid w:val="007820C6"/>
    <w:rsid w:val="00786560"/>
    <w:rsid w:val="00793522"/>
    <w:rsid w:val="007D1E5C"/>
    <w:rsid w:val="007E4633"/>
    <w:rsid w:val="007F50B5"/>
    <w:rsid w:val="00811032"/>
    <w:rsid w:val="00822BAC"/>
    <w:rsid w:val="00833FBB"/>
    <w:rsid w:val="00840E34"/>
    <w:rsid w:val="00867801"/>
    <w:rsid w:val="00874F4B"/>
    <w:rsid w:val="008944FD"/>
    <w:rsid w:val="00894B29"/>
    <w:rsid w:val="008B0947"/>
    <w:rsid w:val="008D0F20"/>
    <w:rsid w:val="008D1129"/>
    <w:rsid w:val="008E12A9"/>
    <w:rsid w:val="008F30F9"/>
    <w:rsid w:val="0090013D"/>
    <w:rsid w:val="0091240C"/>
    <w:rsid w:val="0093162E"/>
    <w:rsid w:val="009340CF"/>
    <w:rsid w:val="00937009"/>
    <w:rsid w:val="00952E4B"/>
    <w:rsid w:val="00962576"/>
    <w:rsid w:val="00971100"/>
    <w:rsid w:val="009719CE"/>
    <w:rsid w:val="0098742A"/>
    <w:rsid w:val="009900D0"/>
    <w:rsid w:val="00994DF5"/>
    <w:rsid w:val="009961A0"/>
    <w:rsid w:val="009A2EC4"/>
    <w:rsid w:val="009A6395"/>
    <w:rsid w:val="009B01DF"/>
    <w:rsid w:val="009F26DB"/>
    <w:rsid w:val="009F4228"/>
    <w:rsid w:val="009F7497"/>
    <w:rsid w:val="00A13011"/>
    <w:rsid w:val="00A241E0"/>
    <w:rsid w:val="00A26432"/>
    <w:rsid w:val="00A2661F"/>
    <w:rsid w:val="00A27CC4"/>
    <w:rsid w:val="00A349A5"/>
    <w:rsid w:val="00A47B91"/>
    <w:rsid w:val="00A57C0C"/>
    <w:rsid w:val="00A60F98"/>
    <w:rsid w:val="00A65505"/>
    <w:rsid w:val="00A70AB1"/>
    <w:rsid w:val="00A83401"/>
    <w:rsid w:val="00AA1947"/>
    <w:rsid w:val="00AA1992"/>
    <w:rsid w:val="00AA3D7A"/>
    <w:rsid w:val="00AA50F8"/>
    <w:rsid w:val="00AA52DD"/>
    <w:rsid w:val="00AB0955"/>
    <w:rsid w:val="00AC010D"/>
    <w:rsid w:val="00AC04AC"/>
    <w:rsid w:val="00AD0D31"/>
    <w:rsid w:val="00AD27E7"/>
    <w:rsid w:val="00AE07A3"/>
    <w:rsid w:val="00AF01BB"/>
    <w:rsid w:val="00AF510C"/>
    <w:rsid w:val="00B0456E"/>
    <w:rsid w:val="00B15E58"/>
    <w:rsid w:val="00B2700D"/>
    <w:rsid w:val="00B306CF"/>
    <w:rsid w:val="00B44D6F"/>
    <w:rsid w:val="00B653FB"/>
    <w:rsid w:val="00BA297F"/>
    <w:rsid w:val="00BC457F"/>
    <w:rsid w:val="00BD38D6"/>
    <w:rsid w:val="00BD551B"/>
    <w:rsid w:val="00BD6BA5"/>
    <w:rsid w:val="00BE52D8"/>
    <w:rsid w:val="00BE5F03"/>
    <w:rsid w:val="00C03B93"/>
    <w:rsid w:val="00C160BD"/>
    <w:rsid w:val="00C308E1"/>
    <w:rsid w:val="00C32EA2"/>
    <w:rsid w:val="00C412A4"/>
    <w:rsid w:val="00C43177"/>
    <w:rsid w:val="00C436FF"/>
    <w:rsid w:val="00C466D5"/>
    <w:rsid w:val="00C520D9"/>
    <w:rsid w:val="00C558C2"/>
    <w:rsid w:val="00C648ED"/>
    <w:rsid w:val="00C67040"/>
    <w:rsid w:val="00CA454A"/>
    <w:rsid w:val="00CB0194"/>
    <w:rsid w:val="00CB68CF"/>
    <w:rsid w:val="00CC199C"/>
    <w:rsid w:val="00CC31CC"/>
    <w:rsid w:val="00CD216B"/>
    <w:rsid w:val="00CD5EDE"/>
    <w:rsid w:val="00CF4508"/>
    <w:rsid w:val="00CF6BB0"/>
    <w:rsid w:val="00D02E8F"/>
    <w:rsid w:val="00D033C1"/>
    <w:rsid w:val="00D117D4"/>
    <w:rsid w:val="00D225B9"/>
    <w:rsid w:val="00D241D2"/>
    <w:rsid w:val="00D435A5"/>
    <w:rsid w:val="00D50095"/>
    <w:rsid w:val="00D60868"/>
    <w:rsid w:val="00D6790F"/>
    <w:rsid w:val="00D70039"/>
    <w:rsid w:val="00D73AAE"/>
    <w:rsid w:val="00D84EA0"/>
    <w:rsid w:val="00D90C8F"/>
    <w:rsid w:val="00D96021"/>
    <w:rsid w:val="00DA0D51"/>
    <w:rsid w:val="00DA2F55"/>
    <w:rsid w:val="00DA6D33"/>
    <w:rsid w:val="00DB5556"/>
    <w:rsid w:val="00DB6E2D"/>
    <w:rsid w:val="00DC6D0A"/>
    <w:rsid w:val="00DF2C71"/>
    <w:rsid w:val="00E00D49"/>
    <w:rsid w:val="00E048D8"/>
    <w:rsid w:val="00E17C2A"/>
    <w:rsid w:val="00E20110"/>
    <w:rsid w:val="00E3207D"/>
    <w:rsid w:val="00E34A99"/>
    <w:rsid w:val="00E35824"/>
    <w:rsid w:val="00E5130B"/>
    <w:rsid w:val="00E632B8"/>
    <w:rsid w:val="00E72A1C"/>
    <w:rsid w:val="00E73F18"/>
    <w:rsid w:val="00E803F3"/>
    <w:rsid w:val="00E81E4E"/>
    <w:rsid w:val="00E83213"/>
    <w:rsid w:val="00E86D75"/>
    <w:rsid w:val="00E86E27"/>
    <w:rsid w:val="00EA47AD"/>
    <w:rsid w:val="00EA48A1"/>
    <w:rsid w:val="00EC4AEC"/>
    <w:rsid w:val="00ED7797"/>
    <w:rsid w:val="00EE334A"/>
    <w:rsid w:val="00EE3BEB"/>
    <w:rsid w:val="00F049F3"/>
    <w:rsid w:val="00F26604"/>
    <w:rsid w:val="00F34B3D"/>
    <w:rsid w:val="00F34B4D"/>
    <w:rsid w:val="00F36765"/>
    <w:rsid w:val="00F579A8"/>
    <w:rsid w:val="00F715BA"/>
    <w:rsid w:val="00F92A5E"/>
    <w:rsid w:val="00FB6044"/>
    <w:rsid w:val="00FB66F5"/>
    <w:rsid w:val="00FC20E5"/>
    <w:rsid w:val="00FD379D"/>
    <w:rsid w:val="00FE0A9E"/>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467D7"/>
  <w15:docId w15:val="{9BA0A6CB-20CE-E441-B2CB-D428F692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F6A"/>
  </w:style>
  <w:style w:type="paragraph" w:styleId="Heading1">
    <w:name w:val="heading 1"/>
    <w:basedOn w:val="Normal"/>
    <w:next w:val="Normal"/>
    <w:link w:val="Heading1Char"/>
    <w:uiPriority w:val="9"/>
    <w:qFormat/>
    <w:rsid w:val="001E60E6"/>
    <w:pPr>
      <w:shd w:val="clear" w:color="auto" w:fill="BD0014"/>
      <w:outlineLvl w:val="0"/>
    </w:pPr>
    <w:rPr>
      <w:rFonts w:ascii="Trebuchet MS" w:eastAsiaTheme="majorEastAsia" w:hAnsi="Trebuchet MS" w:cs="Arial"/>
      <w:b/>
      <w:caps/>
      <w:spacing w:val="15"/>
      <w:sz w:val="28"/>
      <w:szCs w:val="28"/>
    </w:rPr>
  </w:style>
  <w:style w:type="paragraph" w:styleId="Heading2">
    <w:name w:val="heading 2"/>
    <w:basedOn w:val="Normal"/>
    <w:next w:val="Normal"/>
    <w:link w:val="Heading2Char"/>
    <w:uiPriority w:val="9"/>
    <w:unhideWhenUsed/>
    <w:qFormat/>
    <w:rsid w:val="00996425"/>
    <w:pPr>
      <w:shd w:val="clear" w:color="auto" w:fill="FCB040"/>
      <w:outlineLvl w:val="1"/>
    </w:pPr>
    <w:rPr>
      <w:rFonts w:ascii="Trebuchet MS" w:eastAsiaTheme="majorEastAsia" w:hAnsi="Trebuchet MS" w:cs="Arial"/>
      <w:b/>
      <w:caps/>
      <w:spacing w:val="15"/>
      <w:sz w:val="26"/>
      <w:szCs w:val="26"/>
    </w:rPr>
  </w:style>
  <w:style w:type="paragraph" w:styleId="Heading3">
    <w:name w:val="heading 3"/>
    <w:basedOn w:val="Normal"/>
    <w:next w:val="Normal"/>
    <w:link w:val="Heading3Char"/>
    <w:uiPriority w:val="9"/>
    <w:semiHidden/>
    <w:unhideWhenUsed/>
    <w:qFormat/>
    <w:rsid w:val="003E45B7"/>
    <w:pPr>
      <w:outlineLvl w:val="2"/>
    </w:pPr>
    <w:rPr>
      <w:rFonts w:ascii="Arial" w:hAnsi="Arial"/>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A1310C"/>
    <w:rPr>
      <w:rFonts w:asciiTheme="majorHAnsi" w:eastAsiaTheme="majorEastAsia" w:hAnsiTheme="majorHAnsi" w:cstheme="majorBidi"/>
      <w:caps/>
      <w:color w:val="0673A5" w:themeColor="text2" w:themeShade="BF"/>
      <w:spacing w:val="10"/>
      <w:sz w:val="52"/>
      <w:szCs w:val="52"/>
    </w:rPr>
  </w:style>
  <w:style w:type="character" w:customStyle="1" w:styleId="Heading1Char">
    <w:name w:val="Heading 1 Char"/>
    <w:basedOn w:val="DefaultParagraphFont"/>
    <w:link w:val="Heading1"/>
    <w:uiPriority w:val="9"/>
    <w:rsid w:val="001E60E6"/>
    <w:rPr>
      <w:rFonts w:ascii="Trebuchet MS" w:eastAsiaTheme="majorEastAsia" w:hAnsi="Trebuchet MS" w:cs="Arial"/>
      <w:b/>
      <w:caps/>
      <w:spacing w:val="15"/>
      <w:sz w:val="28"/>
      <w:szCs w:val="28"/>
      <w:shd w:val="clear" w:color="auto" w:fill="BD0014"/>
    </w:rPr>
  </w:style>
  <w:style w:type="character" w:customStyle="1" w:styleId="Heading2Char">
    <w:name w:val="Heading 2 Char"/>
    <w:basedOn w:val="DefaultParagraphFont"/>
    <w:link w:val="Heading2"/>
    <w:uiPriority w:val="9"/>
    <w:rsid w:val="00996425"/>
    <w:rPr>
      <w:rFonts w:ascii="Trebuchet MS" w:eastAsiaTheme="majorEastAsia" w:hAnsi="Trebuchet MS" w:cs="Arial"/>
      <w:b/>
      <w:caps/>
      <w:spacing w:val="15"/>
      <w:sz w:val="26"/>
      <w:szCs w:val="26"/>
      <w:shd w:val="clear" w:color="auto" w:fill="FCB040"/>
    </w:rPr>
  </w:style>
  <w:style w:type="character" w:customStyle="1" w:styleId="Heading3Char">
    <w:name w:val="Heading 3 Char"/>
    <w:basedOn w:val="DefaultParagraphFont"/>
    <w:link w:val="Heading3"/>
    <w:uiPriority w:val="9"/>
    <w:rsid w:val="003E45B7"/>
    <w:rPr>
      <w:rFonts w:ascii="Arial" w:hAnsi="Arial"/>
      <w:sz w:val="24"/>
      <w:szCs w:val="24"/>
    </w:rPr>
  </w:style>
  <w:style w:type="table" w:styleId="TableGrid">
    <w:name w:val="Table Grid"/>
    <w:basedOn w:val="TableNormal"/>
    <w:uiPriority w:val="39"/>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qFormat/>
    <w:pPr>
      <w:spacing w:after="160"/>
    </w:pPr>
    <w:rPr>
      <w:color w:val="404040"/>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D47A97"/>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unhideWhenUsed/>
    <w:rsid w:val="00D47A97"/>
    <w:rPr>
      <w:szCs w:val="20"/>
    </w:rPr>
  </w:style>
  <w:style w:type="character" w:customStyle="1" w:styleId="CommentTextChar">
    <w:name w:val="Comment Text Char"/>
    <w:basedOn w:val="DefaultParagraphFont"/>
    <w:link w:val="CommentText"/>
    <w:uiPriority w:val="99"/>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unhideWhenUsed/>
    <w:rsid w:val="00D47A97"/>
    <w:rPr>
      <w:szCs w:val="20"/>
    </w:rPr>
  </w:style>
  <w:style w:type="character" w:customStyle="1" w:styleId="EndnoteTextChar">
    <w:name w:val="Endnote Text Char"/>
    <w:basedOn w:val="DefaultParagraphFont"/>
    <w:link w:val="EndnoteText"/>
    <w:uiPriority w:val="99"/>
    <w:rsid w:val="00D47A97"/>
    <w:rPr>
      <w:szCs w:val="20"/>
    </w:rPr>
  </w:style>
  <w:style w:type="paragraph" w:styleId="EnvelopeReturn">
    <w:name w:val="envelope return"/>
    <w:basedOn w:val="Normal"/>
    <w:uiPriority w:val="99"/>
    <w:semiHidden/>
    <w:unhideWhenUsed/>
    <w:rsid w:val="00D47A97"/>
    <w:rPr>
      <w:rFonts w:asciiTheme="majorHAnsi" w:eastAsiaTheme="majorEastAsia" w:hAnsiTheme="majorHAnsi" w:cstheme="majorBidi"/>
      <w:szCs w:val="20"/>
    </w:rPr>
  </w:style>
  <w:style w:type="paragraph" w:styleId="FootnoteText">
    <w:name w:val="footnote text"/>
    <w:aliases w:val="5_G,Char"/>
    <w:basedOn w:val="Normal"/>
    <w:link w:val="FootnoteTextChar"/>
    <w:autoRedefine/>
    <w:uiPriority w:val="99"/>
    <w:unhideWhenUsed/>
    <w:qFormat/>
    <w:rsid w:val="00D90C8F"/>
    <w:rPr>
      <w:rFonts w:ascii="Arial" w:hAnsi="Arial"/>
      <w:sz w:val="18"/>
      <w:szCs w:val="20"/>
    </w:rPr>
  </w:style>
  <w:style w:type="character" w:customStyle="1" w:styleId="FootnoteTextChar">
    <w:name w:val="Footnote Text Char"/>
    <w:aliases w:val="5_G Char,Char Char"/>
    <w:basedOn w:val="DefaultParagraphFont"/>
    <w:link w:val="FootnoteText"/>
    <w:uiPriority w:val="99"/>
    <w:rsid w:val="00D90C8F"/>
    <w:rPr>
      <w:rFonts w:ascii="Arial" w:hAnsi="Arial"/>
      <w:sz w:val="18"/>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nhideWhenUsed/>
    <w:rsid w:val="004E1AED"/>
  </w:style>
  <w:style w:type="character" w:customStyle="1" w:styleId="HeaderChar">
    <w:name w:val="Header Char"/>
    <w:basedOn w:val="DefaultParagraphFont"/>
    <w:link w:val="Header"/>
    <w:rsid w:val="004E1AED"/>
  </w:style>
  <w:style w:type="paragraph" w:styleId="Footer">
    <w:name w:val="footer"/>
    <w:basedOn w:val="Normal"/>
    <w:link w:val="FooterChar"/>
    <w:uiPriority w:val="99"/>
    <w:unhideWhenUsed/>
    <w:rsid w:val="004E1AED"/>
  </w:style>
  <w:style w:type="character" w:customStyle="1" w:styleId="FooterChar">
    <w:name w:val="Footer Char"/>
    <w:basedOn w:val="DefaultParagraphFont"/>
    <w:link w:val="Footer"/>
    <w:uiPriority w:val="99"/>
    <w:rsid w:val="004E1AED"/>
  </w:style>
  <w:style w:type="character" w:styleId="Hyperlink">
    <w:name w:val="Hyperlink"/>
    <w:uiPriority w:val="99"/>
    <w:unhideWhenUsed/>
    <w:rsid w:val="00A03711"/>
    <w:rPr>
      <w:color w:val="0563C1"/>
      <w:u w:val="single"/>
    </w:rPr>
  </w:style>
  <w:style w:type="character" w:customStyle="1" w:styleId="apple-converted-space">
    <w:name w:val="apple-converted-space"/>
    <w:basedOn w:val="DefaultParagraphFont"/>
    <w:rsid w:val="00A03711"/>
  </w:style>
  <w:style w:type="paragraph" w:styleId="ListParagraph">
    <w:name w:val="List Paragraph"/>
    <w:basedOn w:val="Normal"/>
    <w:link w:val="ListParagraphChar"/>
    <w:uiPriority w:val="34"/>
    <w:qFormat/>
    <w:rsid w:val="00A03711"/>
    <w:pPr>
      <w:ind w:left="720"/>
      <w:contextualSpacing/>
    </w:pPr>
    <w:rPr>
      <w:rFonts w:ascii="Calibri" w:eastAsia="Calibri" w:hAnsi="Calibri"/>
    </w:rPr>
  </w:style>
  <w:style w:type="character" w:styleId="FootnoteReference">
    <w:name w:val="footnote reference"/>
    <w:aliases w:val="4_G"/>
    <w:uiPriority w:val="99"/>
    <w:unhideWhenUsed/>
    <w:qFormat/>
    <w:rsid w:val="00A03711"/>
    <w:rPr>
      <w:vertAlign w:val="superscript"/>
    </w:rPr>
  </w:style>
  <w:style w:type="character" w:styleId="PageNumber">
    <w:name w:val="page number"/>
    <w:basedOn w:val="DefaultParagraphFont"/>
    <w:uiPriority w:val="99"/>
    <w:semiHidden/>
    <w:unhideWhenUsed/>
    <w:rsid w:val="00F65380"/>
  </w:style>
  <w:style w:type="paragraph" w:customStyle="1" w:styleId="header2">
    <w:name w:val="header2"/>
    <w:basedOn w:val="Normal"/>
    <w:uiPriority w:val="99"/>
    <w:rsid w:val="00CA2ADB"/>
    <w:pPr>
      <w:shd w:val="clear" w:color="auto" w:fill="D6E3BC"/>
      <w:ind w:left="284" w:hanging="425"/>
    </w:pPr>
    <w:rPr>
      <w:rFonts w:ascii="Arial" w:hAnsi="Arial"/>
      <w:b/>
      <w:i/>
      <w:szCs w:val="32"/>
    </w:rPr>
  </w:style>
  <w:style w:type="character" w:styleId="Strong">
    <w:name w:val="Strong"/>
    <w:basedOn w:val="DefaultParagraphFont"/>
    <w:uiPriority w:val="22"/>
    <w:qFormat/>
    <w:rsid w:val="00442D1D"/>
    <w:rPr>
      <w:b/>
      <w:bCs/>
    </w:rPr>
  </w:style>
  <w:style w:type="paragraph" w:customStyle="1" w:styleId="Default">
    <w:name w:val="Default"/>
    <w:rsid w:val="00442D1D"/>
    <w:pPr>
      <w:autoSpaceDE w:val="0"/>
      <w:autoSpaceDN w:val="0"/>
      <w:adjustRightInd w:val="0"/>
    </w:pPr>
    <w:rPr>
      <w:rFonts w:eastAsiaTheme="minorHAnsi"/>
      <w:color w:val="000000"/>
      <w:lang w:val="en-MY"/>
    </w:rPr>
  </w:style>
  <w:style w:type="paragraph" w:customStyle="1" w:styleId="Pa6">
    <w:name w:val="Pa6"/>
    <w:basedOn w:val="Default"/>
    <w:next w:val="Default"/>
    <w:uiPriority w:val="99"/>
    <w:rsid w:val="00442D1D"/>
    <w:pPr>
      <w:spacing w:line="201" w:lineRule="atLeast"/>
    </w:pPr>
    <w:rPr>
      <w:rFonts w:ascii="Times" w:hAnsi="Times" w:cs="Times"/>
      <w:color w:val="auto"/>
    </w:rPr>
  </w:style>
  <w:style w:type="paragraph" w:customStyle="1" w:styleId="Pa17">
    <w:name w:val="Pa17"/>
    <w:basedOn w:val="Default"/>
    <w:next w:val="Default"/>
    <w:uiPriority w:val="99"/>
    <w:rsid w:val="00442D1D"/>
    <w:pPr>
      <w:spacing w:line="201" w:lineRule="atLeast"/>
    </w:pPr>
    <w:rPr>
      <w:rFonts w:ascii="Times" w:hAnsi="Times" w:cs="Times"/>
      <w:color w:val="auto"/>
    </w:rPr>
  </w:style>
  <w:style w:type="paragraph" w:styleId="NormalWeb">
    <w:name w:val="Normal (Web)"/>
    <w:basedOn w:val="Normal"/>
    <w:uiPriority w:val="99"/>
    <w:unhideWhenUsed/>
    <w:rsid w:val="000C7BB7"/>
    <w:pPr>
      <w:spacing w:before="100" w:beforeAutospacing="1" w:after="100" w:afterAutospacing="1"/>
    </w:pPr>
    <w:rPr>
      <w:rFonts w:ascii="Times" w:hAnsi="Times"/>
      <w:sz w:val="20"/>
      <w:szCs w:val="20"/>
    </w:rPr>
  </w:style>
  <w:style w:type="paragraph" w:customStyle="1" w:styleId="Pa3">
    <w:name w:val="Pa3"/>
    <w:basedOn w:val="Default"/>
    <w:next w:val="Default"/>
    <w:uiPriority w:val="99"/>
    <w:rsid w:val="000C7BB7"/>
    <w:pPr>
      <w:widowControl w:val="0"/>
      <w:spacing w:line="161" w:lineRule="atLeast"/>
    </w:pPr>
    <w:rPr>
      <w:rFonts w:ascii="Fedra Sans Std Normal" w:eastAsiaTheme="minorEastAsia" w:hAnsi="Fedra Sans Std Normal"/>
      <w:color w:val="auto"/>
      <w:lang w:val="en-US" w:eastAsia="ja-JP"/>
    </w:rPr>
  </w:style>
  <w:style w:type="character" w:customStyle="1" w:styleId="A3">
    <w:name w:val="A3"/>
    <w:uiPriority w:val="99"/>
    <w:rsid w:val="000C7BB7"/>
    <w:rPr>
      <w:rFonts w:cs="Fedra Sans Std Normal"/>
      <w:color w:val="000000"/>
      <w:sz w:val="22"/>
      <w:szCs w:val="22"/>
    </w:rPr>
  </w:style>
  <w:style w:type="paragraph" w:customStyle="1" w:styleId="SingleTxt">
    <w:name w:val="__Single Txt"/>
    <w:basedOn w:val="Normal"/>
    <w:rsid w:val="00465D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 w:val="20"/>
      <w:szCs w:val="20"/>
      <w:lang w:val="en-GB"/>
    </w:rPr>
  </w:style>
  <w:style w:type="character" w:styleId="FollowedHyperlink">
    <w:name w:val="FollowedHyperlink"/>
    <w:basedOn w:val="DefaultParagraphFont"/>
    <w:uiPriority w:val="99"/>
    <w:semiHidden/>
    <w:unhideWhenUsed/>
    <w:rsid w:val="00134B15"/>
    <w:rPr>
      <w:color w:val="6C606A" w:themeColor="followedHyperlink"/>
      <w:u w:val="single"/>
    </w:rPr>
  </w:style>
  <w:style w:type="paragraph" w:styleId="NoSpacing">
    <w:name w:val="No Spacing"/>
    <w:uiPriority w:val="1"/>
    <w:qFormat/>
    <w:rsid w:val="00A801B1"/>
    <w:rPr>
      <w:rFonts w:eastAsia="Calibri"/>
      <w:lang w:val="en-GB"/>
    </w:rPr>
  </w:style>
  <w:style w:type="paragraph" w:styleId="TOC1">
    <w:name w:val="toc 1"/>
    <w:basedOn w:val="Normal"/>
    <w:next w:val="Normal"/>
    <w:autoRedefine/>
    <w:uiPriority w:val="39"/>
    <w:unhideWhenUsed/>
    <w:rsid w:val="001C012E"/>
    <w:pPr>
      <w:spacing w:before="120"/>
    </w:pPr>
    <w:rPr>
      <w:rFonts w:asciiTheme="minorHAnsi" w:hAnsiTheme="minorHAnsi"/>
      <w:b/>
      <w:bCs/>
      <w:i/>
      <w:iCs/>
    </w:rPr>
  </w:style>
  <w:style w:type="paragraph" w:styleId="TOC3">
    <w:name w:val="toc 3"/>
    <w:basedOn w:val="Normal"/>
    <w:next w:val="Normal"/>
    <w:autoRedefine/>
    <w:uiPriority w:val="39"/>
    <w:unhideWhenUsed/>
    <w:rsid w:val="001C012E"/>
    <w:pPr>
      <w:ind w:left="480"/>
    </w:pPr>
    <w:rPr>
      <w:rFonts w:asciiTheme="minorHAnsi" w:hAnsiTheme="minorHAnsi"/>
      <w:sz w:val="20"/>
      <w:szCs w:val="20"/>
    </w:rPr>
  </w:style>
  <w:style w:type="paragraph" w:styleId="TOC2">
    <w:name w:val="toc 2"/>
    <w:basedOn w:val="Normal"/>
    <w:next w:val="Normal"/>
    <w:autoRedefine/>
    <w:uiPriority w:val="39"/>
    <w:unhideWhenUsed/>
    <w:rsid w:val="001C012E"/>
    <w:pPr>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1C012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C012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C012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C012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C012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C012E"/>
    <w:pPr>
      <w:ind w:left="1920"/>
    </w:pPr>
    <w:rPr>
      <w:rFonts w:asciiTheme="minorHAnsi" w:hAnsiTheme="minorHAnsi"/>
      <w:sz w:val="20"/>
      <w:szCs w:val="20"/>
    </w:rPr>
  </w:style>
  <w:style w:type="character" w:customStyle="1" w:styleId="ListParagraphChar">
    <w:name w:val="List Paragraph Char"/>
    <w:basedOn w:val="DefaultParagraphFont"/>
    <w:link w:val="ListParagraph"/>
    <w:uiPriority w:val="34"/>
    <w:locked/>
    <w:rsid w:val="002860A4"/>
    <w:rPr>
      <w:rFonts w:ascii="Calibri" w:eastAsia="Calibri" w:hAnsi="Calibri" w:cs="Times New Roman"/>
      <w:sz w:val="24"/>
      <w:szCs w:val="24"/>
      <w:lang w:eastAsia="en-US"/>
    </w:rPr>
  </w:style>
  <w:style w:type="paragraph" w:customStyle="1" w:styleId="m13417535960107859gmail-msonormal">
    <w:name w:val="m_13417535960107859gmail-msonormal"/>
    <w:basedOn w:val="Normal"/>
    <w:rsid w:val="005A662D"/>
    <w:pPr>
      <w:spacing w:before="100" w:beforeAutospacing="1" w:after="100" w:afterAutospacing="1"/>
    </w:pPr>
    <w:rPr>
      <w:rFonts w:ascii="Times" w:hAnsi="Times"/>
      <w:sz w:val="20"/>
      <w:szCs w:val="20"/>
    </w:rPr>
  </w:style>
  <w:style w:type="character" w:customStyle="1" w:styleId="m13417535960107859gmail-msofootnotereference">
    <w:name w:val="m_13417535960107859gmail-msofootnotereference"/>
    <w:basedOn w:val="DefaultParagraphFont"/>
    <w:rsid w:val="005A662D"/>
  </w:style>
  <w:style w:type="character" w:customStyle="1" w:styleId="UnresolvedMention1">
    <w:name w:val="Unresolved Mention1"/>
    <w:basedOn w:val="DefaultParagraphFont"/>
    <w:uiPriority w:val="99"/>
    <w:semiHidden/>
    <w:unhideWhenUsed/>
    <w:rsid w:val="00A23ACD"/>
    <w:rPr>
      <w:color w:val="605E5C"/>
      <w:shd w:val="clear" w:color="auto" w:fill="E1DFDD"/>
    </w:rPr>
  </w:style>
  <w:style w:type="paragraph" w:customStyle="1" w:styleId="Normal1">
    <w:name w:val="Normal1"/>
    <w:rsid w:val="00502C8E"/>
    <w:pPr>
      <w:pBdr>
        <w:top w:val="nil"/>
        <w:left w:val="nil"/>
        <w:bottom w:val="nil"/>
        <w:right w:val="nil"/>
        <w:between w:val="nil"/>
      </w:pBdr>
    </w:pPr>
    <w:rPr>
      <w:rFonts w:ascii="Corbel" w:eastAsia="Corbel" w:hAnsi="Corbel" w:cs="Corbel"/>
      <w:color w:val="000000"/>
    </w:rPr>
  </w:style>
  <w:style w:type="character" w:customStyle="1" w:styleId="apple-tab-span">
    <w:name w:val="apple-tab-span"/>
    <w:basedOn w:val="DefaultParagraphFont"/>
    <w:rsid w:val="005D1F6A"/>
  </w:style>
  <w:style w:type="character" w:styleId="UnresolvedMention">
    <w:name w:val="Unresolved Mention"/>
    <w:basedOn w:val="DefaultParagraphFont"/>
    <w:uiPriority w:val="99"/>
    <w:semiHidden/>
    <w:unhideWhenUsed/>
    <w:rsid w:val="004E03C4"/>
    <w:rPr>
      <w:color w:val="605E5C"/>
      <w:shd w:val="clear" w:color="auto" w:fill="E1DFDD"/>
    </w:rPr>
  </w:style>
  <w:style w:type="character" w:styleId="EndnoteReference">
    <w:name w:val="endnote reference"/>
    <w:basedOn w:val="DefaultParagraphFont"/>
    <w:uiPriority w:val="99"/>
    <w:semiHidden/>
    <w:unhideWhenUsed/>
    <w:rsid w:val="00BE5683"/>
    <w:rPr>
      <w:vertAlign w:val="superscript"/>
    </w:rPr>
  </w:style>
  <w:style w:type="paragraph" w:styleId="BodyText">
    <w:name w:val="Body Text"/>
    <w:basedOn w:val="Normal"/>
    <w:link w:val="BodyTextChar"/>
    <w:uiPriority w:val="99"/>
    <w:semiHidden/>
    <w:unhideWhenUsed/>
    <w:rsid w:val="00EC4AEC"/>
    <w:pPr>
      <w:spacing w:after="120"/>
    </w:pPr>
  </w:style>
  <w:style w:type="character" w:customStyle="1" w:styleId="BodyTextChar">
    <w:name w:val="Body Text Char"/>
    <w:basedOn w:val="DefaultParagraphFont"/>
    <w:link w:val="BodyText"/>
    <w:uiPriority w:val="99"/>
    <w:semiHidden/>
    <w:rsid w:val="00EC4AEC"/>
  </w:style>
  <w:style w:type="character" w:customStyle="1" w:styleId="views-field">
    <w:name w:val="views-field"/>
    <w:basedOn w:val="DefaultParagraphFont"/>
    <w:rsid w:val="00585F75"/>
  </w:style>
  <w:style w:type="character" w:customStyle="1" w:styleId="field-content">
    <w:name w:val="field-content"/>
    <w:basedOn w:val="DefaultParagraphFont"/>
    <w:rsid w:val="00585F75"/>
  </w:style>
  <w:style w:type="character" w:customStyle="1" w:styleId="date-display-single">
    <w:name w:val="date-display-single"/>
    <w:basedOn w:val="DefaultParagraphFont"/>
    <w:rsid w:val="00585F75"/>
  </w:style>
  <w:style w:type="paragraph" w:styleId="Revision">
    <w:name w:val="Revision"/>
    <w:hidden/>
    <w:uiPriority w:val="99"/>
    <w:semiHidden/>
    <w:rsid w:val="00406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3744">
      <w:bodyDiv w:val="1"/>
      <w:marLeft w:val="0"/>
      <w:marRight w:val="0"/>
      <w:marTop w:val="0"/>
      <w:marBottom w:val="0"/>
      <w:divBdr>
        <w:top w:val="none" w:sz="0" w:space="0" w:color="auto"/>
        <w:left w:val="none" w:sz="0" w:space="0" w:color="auto"/>
        <w:bottom w:val="none" w:sz="0" w:space="0" w:color="auto"/>
        <w:right w:val="none" w:sz="0" w:space="0" w:color="auto"/>
      </w:divBdr>
    </w:div>
    <w:div w:id="147937751">
      <w:bodyDiv w:val="1"/>
      <w:marLeft w:val="0"/>
      <w:marRight w:val="0"/>
      <w:marTop w:val="0"/>
      <w:marBottom w:val="0"/>
      <w:divBdr>
        <w:top w:val="none" w:sz="0" w:space="0" w:color="auto"/>
        <w:left w:val="none" w:sz="0" w:space="0" w:color="auto"/>
        <w:bottom w:val="none" w:sz="0" w:space="0" w:color="auto"/>
        <w:right w:val="none" w:sz="0" w:space="0" w:color="auto"/>
      </w:divBdr>
    </w:div>
    <w:div w:id="176508256">
      <w:bodyDiv w:val="1"/>
      <w:marLeft w:val="0"/>
      <w:marRight w:val="0"/>
      <w:marTop w:val="0"/>
      <w:marBottom w:val="0"/>
      <w:divBdr>
        <w:top w:val="none" w:sz="0" w:space="0" w:color="auto"/>
        <w:left w:val="none" w:sz="0" w:space="0" w:color="auto"/>
        <w:bottom w:val="none" w:sz="0" w:space="0" w:color="auto"/>
        <w:right w:val="none" w:sz="0" w:space="0" w:color="auto"/>
      </w:divBdr>
    </w:div>
    <w:div w:id="184175941">
      <w:bodyDiv w:val="1"/>
      <w:marLeft w:val="0"/>
      <w:marRight w:val="0"/>
      <w:marTop w:val="0"/>
      <w:marBottom w:val="0"/>
      <w:divBdr>
        <w:top w:val="none" w:sz="0" w:space="0" w:color="auto"/>
        <w:left w:val="none" w:sz="0" w:space="0" w:color="auto"/>
        <w:bottom w:val="none" w:sz="0" w:space="0" w:color="auto"/>
        <w:right w:val="none" w:sz="0" w:space="0" w:color="auto"/>
      </w:divBdr>
    </w:div>
    <w:div w:id="240720620">
      <w:bodyDiv w:val="1"/>
      <w:marLeft w:val="0"/>
      <w:marRight w:val="0"/>
      <w:marTop w:val="0"/>
      <w:marBottom w:val="0"/>
      <w:divBdr>
        <w:top w:val="none" w:sz="0" w:space="0" w:color="auto"/>
        <w:left w:val="none" w:sz="0" w:space="0" w:color="auto"/>
        <w:bottom w:val="none" w:sz="0" w:space="0" w:color="auto"/>
        <w:right w:val="none" w:sz="0" w:space="0" w:color="auto"/>
      </w:divBdr>
    </w:div>
    <w:div w:id="269898550">
      <w:bodyDiv w:val="1"/>
      <w:marLeft w:val="0"/>
      <w:marRight w:val="0"/>
      <w:marTop w:val="0"/>
      <w:marBottom w:val="0"/>
      <w:divBdr>
        <w:top w:val="none" w:sz="0" w:space="0" w:color="auto"/>
        <w:left w:val="none" w:sz="0" w:space="0" w:color="auto"/>
        <w:bottom w:val="none" w:sz="0" w:space="0" w:color="auto"/>
        <w:right w:val="none" w:sz="0" w:space="0" w:color="auto"/>
      </w:divBdr>
    </w:div>
    <w:div w:id="379017555">
      <w:bodyDiv w:val="1"/>
      <w:marLeft w:val="0"/>
      <w:marRight w:val="0"/>
      <w:marTop w:val="0"/>
      <w:marBottom w:val="0"/>
      <w:divBdr>
        <w:top w:val="none" w:sz="0" w:space="0" w:color="auto"/>
        <w:left w:val="none" w:sz="0" w:space="0" w:color="auto"/>
        <w:bottom w:val="none" w:sz="0" w:space="0" w:color="auto"/>
        <w:right w:val="none" w:sz="0" w:space="0" w:color="auto"/>
      </w:divBdr>
    </w:div>
    <w:div w:id="515270967">
      <w:bodyDiv w:val="1"/>
      <w:marLeft w:val="0"/>
      <w:marRight w:val="0"/>
      <w:marTop w:val="0"/>
      <w:marBottom w:val="0"/>
      <w:divBdr>
        <w:top w:val="none" w:sz="0" w:space="0" w:color="auto"/>
        <w:left w:val="none" w:sz="0" w:space="0" w:color="auto"/>
        <w:bottom w:val="none" w:sz="0" w:space="0" w:color="auto"/>
        <w:right w:val="none" w:sz="0" w:space="0" w:color="auto"/>
      </w:divBdr>
    </w:div>
    <w:div w:id="518472380">
      <w:bodyDiv w:val="1"/>
      <w:marLeft w:val="0"/>
      <w:marRight w:val="0"/>
      <w:marTop w:val="0"/>
      <w:marBottom w:val="0"/>
      <w:divBdr>
        <w:top w:val="none" w:sz="0" w:space="0" w:color="auto"/>
        <w:left w:val="none" w:sz="0" w:space="0" w:color="auto"/>
        <w:bottom w:val="none" w:sz="0" w:space="0" w:color="auto"/>
        <w:right w:val="none" w:sz="0" w:space="0" w:color="auto"/>
      </w:divBdr>
    </w:div>
    <w:div w:id="519010751">
      <w:bodyDiv w:val="1"/>
      <w:marLeft w:val="0"/>
      <w:marRight w:val="0"/>
      <w:marTop w:val="0"/>
      <w:marBottom w:val="0"/>
      <w:divBdr>
        <w:top w:val="none" w:sz="0" w:space="0" w:color="auto"/>
        <w:left w:val="none" w:sz="0" w:space="0" w:color="auto"/>
        <w:bottom w:val="none" w:sz="0" w:space="0" w:color="auto"/>
        <w:right w:val="none" w:sz="0" w:space="0" w:color="auto"/>
      </w:divBdr>
    </w:div>
    <w:div w:id="561254476">
      <w:bodyDiv w:val="1"/>
      <w:marLeft w:val="0"/>
      <w:marRight w:val="0"/>
      <w:marTop w:val="0"/>
      <w:marBottom w:val="0"/>
      <w:divBdr>
        <w:top w:val="none" w:sz="0" w:space="0" w:color="auto"/>
        <w:left w:val="none" w:sz="0" w:space="0" w:color="auto"/>
        <w:bottom w:val="none" w:sz="0" w:space="0" w:color="auto"/>
        <w:right w:val="none" w:sz="0" w:space="0" w:color="auto"/>
      </w:divBdr>
    </w:div>
    <w:div w:id="601499110">
      <w:bodyDiv w:val="1"/>
      <w:marLeft w:val="0"/>
      <w:marRight w:val="0"/>
      <w:marTop w:val="0"/>
      <w:marBottom w:val="0"/>
      <w:divBdr>
        <w:top w:val="none" w:sz="0" w:space="0" w:color="auto"/>
        <w:left w:val="none" w:sz="0" w:space="0" w:color="auto"/>
        <w:bottom w:val="none" w:sz="0" w:space="0" w:color="auto"/>
        <w:right w:val="none" w:sz="0" w:space="0" w:color="auto"/>
      </w:divBdr>
    </w:div>
    <w:div w:id="718016429">
      <w:bodyDiv w:val="1"/>
      <w:marLeft w:val="0"/>
      <w:marRight w:val="0"/>
      <w:marTop w:val="0"/>
      <w:marBottom w:val="0"/>
      <w:divBdr>
        <w:top w:val="none" w:sz="0" w:space="0" w:color="auto"/>
        <w:left w:val="none" w:sz="0" w:space="0" w:color="auto"/>
        <w:bottom w:val="none" w:sz="0" w:space="0" w:color="auto"/>
        <w:right w:val="none" w:sz="0" w:space="0" w:color="auto"/>
      </w:divBdr>
    </w:div>
    <w:div w:id="766584672">
      <w:bodyDiv w:val="1"/>
      <w:marLeft w:val="0"/>
      <w:marRight w:val="0"/>
      <w:marTop w:val="0"/>
      <w:marBottom w:val="0"/>
      <w:divBdr>
        <w:top w:val="none" w:sz="0" w:space="0" w:color="auto"/>
        <w:left w:val="none" w:sz="0" w:space="0" w:color="auto"/>
        <w:bottom w:val="none" w:sz="0" w:space="0" w:color="auto"/>
        <w:right w:val="none" w:sz="0" w:space="0" w:color="auto"/>
      </w:divBdr>
    </w:div>
    <w:div w:id="806509604">
      <w:bodyDiv w:val="1"/>
      <w:marLeft w:val="0"/>
      <w:marRight w:val="0"/>
      <w:marTop w:val="0"/>
      <w:marBottom w:val="0"/>
      <w:divBdr>
        <w:top w:val="none" w:sz="0" w:space="0" w:color="auto"/>
        <w:left w:val="none" w:sz="0" w:space="0" w:color="auto"/>
        <w:bottom w:val="none" w:sz="0" w:space="0" w:color="auto"/>
        <w:right w:val="none" w:sz="0" w:space="0" w:color="auto"/>
      </w:divBdr>
    </w:div>
    <w:div w:id="917135286">
      <w:bodyDiv w:val="1"/>
      <w:marLeft w:val="0"/>
      <w:marRight w:val="0"/>
      <w:marTop w:val="0"/>
      <w:marBottom w:val="0"/>
      <w:divBdr>
        <w:top w:val="none" w:sz="0" w:space="0" w:color="auto"/>
        <w:left w:val="none" w:sz="0" w:space="0" w:color="auto"/>
        <w:bottom w:val="none" w:sz="0" w:space="0" w:color="auto"/>
        <w:right w:val="none" w:sz="0" w:space="0" w:color="auto"/>
      </w:divBdr>
    </w:div>
    <w:div w:id="1016539386">
      <w:bodyDiv w:val="1"/>
      <w:marLeft w:val="0"/>
      <w:marRight w:val="0"/>
      <w:marTop w:val="0"/>
      <w:marBottom w:val="0"/>
      <w:divBdr>
        <w:top w:val="none" w:sz="0" w:space="0" w:color="auto"/>
        <w:left w:val="none" w:sz="0" w:space="0" w:color="auto"/>
        <w:bottom w:val="none" w:sz="0" w:space="0" w:color="auto"/>
        <w:right w:val="none" w:sz="0" w:space="0" w:color="auto"/>
      </w:divBdr>
    </w:div>
    <w:div w:id="1057633461">
      <w:bodyDiv w:val="1"/>
      <w:marLeft w:val="0"/>
      <w:marRight w:val="0"/>
      <w:marTop w:val="0"/>
      <w:marBottom w:val="0"/>
      <w:divBdr>
        <w:top w:val="none" w:sz="0" w:space="0" w:color="auto"/>
        <w:left w:val="none" w:sz="0" w:space="0" w:color="auto"/>
        <w:bottom w:val="none" w:sz="0" w:space="0" w:color="auto"/>
        <w:right w:val="none" w:sz="0" w:space="0" w:color="auto"/>
      </w:divBdr>
    </w:div>
    <w:div w:id="1122462236">
      <w:bodyDiv w:val="1"/>
      <w:marLeft w:val="0"/>
      <w:marRight w:val="0"/>
      <w:marTop w:val="0"/>
      <w:marBottom w:val="0"/>
      <w:divBdr>
        <w:top w:val="none" w:sz="0" w:space="0" w:color="auto"/>
        <w:left w:val="none" w:sz="0" w:space="0" w:color="auto"/>
        <w:bottom w:val="none" w:sz="0" w:space="0" w:color="auto"/>
        <w:right w:val="none" w:sz="0" w:space="0" w:color="auto"/>
      </w:divBdr>
    </w:div>
    <w:div w:id="1131945357">
      <w:bodyDiv w:val="1"/>
      <w:marLeft w:val="0"/>
      <w:marRight w:val="0"/>
      <w:marTop w:val="0"/>
      <w:marBottom w:val="0"/>
      <w:divBdr>
        <w:top w:val="none" w:sz="0" w:space="0" w:color="auto"/>
        <w:left w:val="none" w:sz="0" w:space="0" w:color="auto"/>
        <w:bottom w:val="none" w:sz="0" w:space="0" w:color="auto"/>
        <w:right w:val="none" w:sz="0" w:space="0" w:color="auto"/>
      </w:divBdr>
    </w:div>
    <w:div w:id="1179079081">
      <w:bodyDiv w:val="1"/>
      <w:marLeft w:val="0"/>
      <w:marRight w:val="0"/>
      <w:marTop w:val="0"/>
      <w:marBottom w:val="0"/>
      <w:divBdr>
        <w:top w:val="none" w:sz="0" w:space="0" w:color="auto"/>
        <w:left w:val="none" w:sz="0" w:space="0" w:color="auto"/>
        <w:bottom w:val="none" w:sz="0" w:space="0" w:color="auto"/>
        <w:right w:val="none" w:sz="0" w:space="0" w:color="auto"/>
      </w:divBdr>
    </w:div>
    <w:div w:id="1227834309">
      <w:bodyDiv w:val="1"/>
      <w:marLeft w:val="0"/>
      <w:marRight w:val="0"/>
      <w:marTop w:val="0"/>
      <w:marBottom w:val="0"/>
      <w:divBdr>
        <w:top w:val="none" w:sz="0" w:space="0" w:color="auto"/>
        <w:left w:val="none" w:sz="0" w:space="0" w:color="auto"/>
        <w:bottom w:val="none" w:sz="0" w:space="0" w:color="auto"/>
        <w:right w:val="none" w:sz="0" w:space="0" w:color="auto"/>
      </w:divBdr>
    </w:div>
    <w:div w:id="1275288179">
      <w:bodyDiv w:val="1"/>
      <w:marLeft w:val="0"/>
      <w:marRight w:val="0"/>
      <w:marTop w:val="0"/>
      <w:marBottom w:val="0"/>
      <w:divBdr>
        <w:top w:val="none" w:sz="0" w:space="0" w:color="auto"/>
        <w:left w:val="none" w:sz="0" w:space="0" w:color="auto"/>
        <w:bottom w:val="none" w:sz="0" w:space="0" w:color="auto"/>
        <w:right w:val="none" w:sz="0" w:space="0" w:color="auto"/>
      </w:divBdr>
    </w:div>
    <w:div w:id="1295138117">
      <w:bodyDiv w:val="1"/>
      <w:marLeft w:val="0"/>
      <w:marRight w:val="0"/>
      <w:marTop w:val="0"/>
      <w:marBottom w:val="0"/>
      <w:divBdr>
        <w:top w:val="none" w:sz="0" w:space="0" w:color="auto"/>
        <w:left w:val="none" w:sz="0" w:space="0" w:color="auto"/>
        <w:bottom w:val="none" w:sz="0" w:space="0" w:color="auto"/>
        <w:right w:val="none" w:sz="0" w:space="0" w:color="auto"/>
      </w:divBdr>
    </w:div>
    <w:div w:id="1364016868">
      <w:bodyDiv w:val="1"/>
      <w:marLeft w:val="0"/>
      <w:marRight w:val="0"/>
      <w:marTop w:val="0"/>
      <w:marBottom w:val="0"/>
      <w:divBdr>
        <w:top w:val="none" w:sz="0" w:space="0" w:color="auto"/>
        <w:left w:val="none" w:sz="0" w:space="0" w:color="auto"/>
        <w:bottom w:val="none" w:sz="0" w:space="0" w:color="auto"/>
        <w:right w:val="none" w:sz="0" w:space="0" w:color="auto"/>
      </w:divBdr>
    </w:div>
    <w:div w:id="1375495667">
      <w:bodyDiv w:val="1"/>
      <w:marLeft w:val="0"/>
      <w:marRight w:val="0"/>
      <w:marTop w:val="0"/>
      <w:marBottom w:val="0"/>
      <w:divBdr>
        <w:top w:val="none" w:sz="0" w:space="0" w:color="auto"/>
        <w:left w:val="none" w:sz="0" w:space="0" w:color="auto"/>
        <w:bottom w:val="none" w:sz="0" w:space="0" w:color="auto"/>
        <w:right w:val="none" w:sz="0" w:space="0" w:color="auto"/>
      </w:divBdr>
    </w:div>
    <w:div w:id="1457290630">
      <w:bodyDiv w:val="1"/>
      <w:marLeft w:val="0"/>
      <w:marRight w:val="0"/>
      <w:marTop w:val="0"/>
      <w:marBottom w:val="0"/>
      <w:divBdr>
        <w:top w:val="none" w:sz="0" w:space="0" w:color="auto"/>
        <w:left w:val="none" w:sz="0" w:space="0" w:color="auto"/>
        <w:bottom w:val="none" w:sz="0" w:space="0" w:color="auto"/>
        <w:right w:val="none" w:sz="0" w:space="0" w:color="auto"/>
      </w:divBdr>
    </w:div>
    <w:div w:id="1466194271">
      <w:bodyDiv w:val="1"/>
      <w:marLeft w:val="0"/>
      <w:marRight w:val="0"/>
      <w:marTop w:val="0"/>
      <w:marBottom w:val="0"/>
      <w:divBdr>
        <w:top w:val="none" w:sz="0" w:space="0" w:color="auto"/>
        <w:left w:val="none" w:sz="0" w:space="0" w:color="auto"/>
        <w:bottom w:val="none" w:sz="0" w:space="0" w:color="auto"/>
        <w:right w:val="none" w:sz="0" w:space="0" w:color="auto"/>
      </w:divBdr>
    </w:div>
    <w:div w:id="1508522593">
      <w:bodyDiv w:val="1"/>
      <w:marLeft w:val="0"/>
      <w:marRight w:val="0"/>
      <w:marTop w:val="0"/>
      <w:marBottom w:val="0"/>
      <w:divBdr>
        <w:top w:val="none" w:sz="0" w:space="0" w:color="auto"/>
        <w:left w:val="none" w:sz="0" w:space="0" w:color="auto"/>
        <w:bottom w:val="none" w:sz="0" w:space="0" w:color="auto"/>
        <w:right w:val="none" w:sz="0" w:space="0" w:color="auto"/>
      </w:divBdr>
    </w:div>
    <w:div w:id="1706102657">
      <w:bodyDiv w:val="1"/>
      <w:marLeft w:val="0"/>
      <w:marRight w:val="0"/>
      <w:marTop w:val="0"/>
      <w:marBottom w:val="0"/>
      <w:divBdr>
        <w:top w:val="none" w:sz="0" w:space="0" w:color="auto"/>
        <w:left w:val="none" w:sz="0" w:space="0" w:color="auto"/>
        <w:bottom w:val="none" w:sz="0" w:space="0" w:color="auto"/>
        <w:right w:val="none" w:sz="0" w:space="0" w:color="auto"/>
      </w:divBdr>
    </w:div>
    <w:div w:id="1720547302">
      <w:bodyDiv w:val="1"/>
      <w:marLeft w:val="0"/>
      <w:marRight w:val="0"/>
      <w:marTop w:val="0"/>
      <w:marBottom w:val="0"/>
      <w:divBdr>
        <w:top w:val="none" w:sz="0" w:space="0" w:color="auto"/>
        <w:left w:val="none" w:sz="0" w:space="0" w:color="auto"/>
        <w:bottom w:val="none" w:sz="0" w:space="0" w:color="auto"/>
        <w:right w:val="none" w:sz="0" w:space="0" w:color="auto"/>
      </w:divBdr>
    </w:div>
    <w:div w:id="1736662094">
      <w:bodyDiv w:val="1"/>
      <w:marLeft w:val="0"/>
      <w:marRight w:val="0"/>
      <w:marTop w:val="0"/>
      <w:marBottom w:val="0"/>
      <w:divBdr>
        <w:top w:val="none" w:sz="0" w:space="0" w:color="auto"/>
        <w:left w:val="none" w:sz="0" w:space="0" w:color="auto"/>
        <w:bottom w:val="none" w:sz="0" w:space="0" w:color="auto"/>
        <w:right w:val="none" w:sz="0" w:space="0" w:color="auto"/>
      </w:divBdr>
    </w:div>
    <w:div w:id="1788430318">
      <w:bodyDiv w:val="1"/>
      <w:marLeft w:val="0"/>
      <w:marRight w:val="0"/>
      <w:marTop w:val="0"/>
      <w:marBottom w:val="0"/>
      <w:divBdr>
        <w:top w:val="none" w:sz="0" w:space="0" w:color="auto"/>
        <w:left w:val="none" w:sz="0" w:space="0" w:color="auto"/>
        <w:bottom w:val="none" w:sz="0" w:space="0" w:color="auto"/>
        <w:right w:val="none" w:sz="0" w:space="0" w:color="auto"/>
      </w:divBdr>
    </w:div>
    <w:div w:id="1796872410">
      <w:bodyDiv w:val="1"/>
      <w:marLeft w:val="0"/>
      <w:marRight w:val="0"/>
      <w:marTop w:val="0"/>
      <w:marBottom w:val="0"/>
      <w:divBdr>
        <w:top w:val="none" w:sz="0" w:space="0" w:color="auto"/>
        <w:left w:val="none" w:sz="0" w:space="0" w:color="auto"/>
        <w:bottom w:val="none" w:sz="0" w:space="0" w:color="auto"/>
        <w:right w:val="none" w:sz="0" w:space="0" w:color="auto"/>
      </w:divBdr>
    </w:div>
    <w:div w:id="1846089155">
      <w:bodyDiv w:val="1"/>
      <w:marLeft w:val="0"/>
      <w:marRight w:val="0"/>
      <w:marTop w:val="0"/>
      <w:marBottom w:val="0"/>
      <w:divBdr>
        <w:top w:val="none" w:sz="0" w:space="0" w:color="auto"/>
        <w:left w:val="none" w:sz="0" w:space="0" w:color="auto"/>
        <w:bottom w:val="none" w:sz="0" w:space="0" w:color="auto"/>
        <w:right w:val="none" w:sz="0" w:space="0" w:color="auto"/>
      </w:divBdr>
    </w:div>
    <w:div w:id="1974484886">
      <w:bodyDiv w:val="1"/>
      <w:marLeft w:val="0"/>
      <w:marRight w:val="0"/>
      <w:marTop w:val="0"/>
      <w:marBottom w:val="0"/>
      <w:divBdr>
        <w:top w:val="none" w:sz="0" w:space="0" w:color="auto"/>
        <w:left w:val="none" w:sz="0" w:space="0" w:color="auto"/>
        <w:bottom w:val="none" w:sz="0" w:space="0" w:color="auto"/>
        <w:right w:val="none" w:sz="0" w:space="0" w:color="auto"/>
      </w:divBdr>
    </w:div>
    <w:div w:id="2028293021">
      <w:bodyDiv w:val="1"/>
      <w:marLeft w:val="0"/>
      <w:marRight w:val="0"/>
      <w:marTop w:val="0"/>
      <w:marBottom w:val="0"/>
      <w:divBdr>
        <w:top w:val="none" w:sz="0" w:space="0" w:color="auto"/>
        <w:left w:val="none" w:sz="0" w:space="0" w:color="auto"/>
        <w:bottom w:val="none" w:sz="0" w:space="0" w:color="auto"/>
        <w:right w:val="none" w:sz="0" w:space="0" w:color="auto"/>
      </w:divBdr>
    </w:div>
    <w:div w:id="2073430364">
      <w:bodyDiv w:val="1"/>
      <w:marLeft w:val="0"/>
      <w:marRight w:val="0"/>
      <w:marTop w:val="0"/>
      <w:marBottom w:val="0"/>
      <w:divBdr>
        <w:top w:val="none" w:sz="0" w:space="0" w:color="auto"/>
        <w:left w:val="none" w:sz="0" w:space="0" w:color="auto"/>
        <w:bottom w:val="none" w:sz="0" w:space="0" w:color="auto"/>
        <w:right w:val="none" w:sz="0" w:space="0" w:color="auto"/>
      </w:divBdr>
    </w:div>
    <w:div w:id="2137680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usawah@musawah.org"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avlekadin.com"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customXml" Target="../customXml/item3.xml"/><Relationship Id="rId10" Type="http://schemas.openxmlformats.org/officeDocument/2006/relationships/hyperlink" Target="mailto:havle@havlekadin.com"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musawah.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ndependent.co.uk/news/world/europe/turkey-marry-rapist-bill-child-marriage-a9296681.html" TargetMode="External"/><Relationship Id="rId13" Type="http://schemas.openxmlformats.org/officeDocument/2006/relationships/hyperlink" Target="https://ecpat.org/wp-content/uploads/2021/05/ECPAT-Country-Overview-Report-Sexual-Exploitation-of-Children-inTurkey-July-2020-ENGLISH.pdf" TargetMode="External"/><Relationship Id="rId18" Type="http://schemas.openxmlformats.org/officeDocument/2006/relationships/hyperlink" Target="https://www.havlekadin.com/wp-content/uploads/2021/09/ERKENEVLILIKLER_ING.pdf" TargetMode="External"/><Relationship Id="rId3" Type="http://schemas.openxmlformats.org/officeDocument/2006/relationships/hyperlink" Target="https://rm.coe.int/turkish-civil-code-family-law-book/1680a3bcd4" TargetMode="External"/><Relationship Id="rId21" Type="http://schemas.openxmlformats.org/officeDocument/2006/relationships/hyperlink" Target="https://ayam.anayasa.gov.tr/media/2697/2013-3434.pdf" TargetMode="External"/><Relationship Id="rId7" Type="http://schemas.openxmlformats.org/officeDocument/2006/relationships/hyperlink" Target="https://www.bbc.com/turkce/haberler-turkiye-36798378" TargetMode="External"/><Relationship Id="rId12" Type="http://schemas.openxmlformats.org/officeDocument/2006/relationships/hyperlink" Target="https://fs.hacettepe.edu.tr/hips/dosyalar/Ara%C5%9Ft%C4%B1rmalar%20-%20raporlar/2018%20TNSA/TDHS2018_mainReport_compressed.pdf" TargetMode="External"/><Relationship Id="rId17" Type="http://schemas.openxmlformats.org/officeDocument/2006/relationships/hyperlink" Target="https://www.duvarenglish.com/human-rights/2020/10/01/turkish-governments-human-rights-institution-defends-child-marriages" TargetMode="External"/><Relationship Id="rId2" Type="http://schemas.openxmlformats.org/officeDocument/2006/relationships/hyperlink" Target="https://www.coe.int/en/web/commissioner/-/turkey-s-announced-withdrawal-from-the-istanbul-convention-endangers-women-s-rights" TargetMode="External"/><Relationship Id="rId16" Type="http://schemas.openxmlformats.org/officeDocument/2006/relationships/hyperlink" Target="https://www.musawah.org/resources/musawah-thematic-report-on-turkey-2016/" TargetMode="External"/><Relationship Id="rId20" Type="http://schemas.openxmlformats.org/officeDocument/2006/relationships/hyperlink" Target="https://www.law.cornell.edu/women-and-justice/resource/applications_by_various_courts_of_first_instance_to_annul_a_certain_civil_law" TargetMode="External"/><Relationship Id="rId1" Type="http://schemas.openxmlformats.org/officeDocument/2006/relationships/hyperlink" Target="https://global.tbmm.gov.tr/docs/constitution_en.pdf" TargetMode="External"/><Relationship Id="rId6" Type="http://schemas.openxmlformats.org/officeDocument/2006/relationships/hyperlink" Target="https://cinselsiddetlemucadele.org/2016/11/26/article-103-of-the-turkish-penal-code-recently-amended-and-passed-through-parliament-runs-the-risk-of-seeking-consent-from-children-between-12-and-15-years-of-age/" TargetMode="External"/><Relationship Id="rId11" Type="http://schemas.openxmlformats.org/officeDocument/2006/relationships/hyperlink" Target="http://fs.hacettepe.edu.tr/hips/dosyalar/yayinlar/ENG/eng_tdhs_cefm_findings_report_ENG.pdf" TargetMode="External"/><Relationship Id="rId5" Type="http://schemas.openxmlformats.org/officeDocument/2006/relationships/hyperlink" Target="https://ecpat.org/wp-content/uploads/2021/05/ECPAT-Country-Overview-Report-Sexual-Exploitation-of-Children-inTurkey-July-2020-ENGLISH.pdf" TargetMode="External"/><Relationship Id="rId15" Type="http://schemas.openxmlformats.org/officeDocument/2006/relationships/hyperlink" Target="https://www.independent.co.uk/news/world/europe/syria-underage-daughters-marriage-coronavirus-turkish-men-a9606706.html" TargetMode="External"/><Relationship Id="rId10" Type="http://schemas.openxmlformats.org/officeDocument/2006/relationships/hyperlink" Target="https://www.globalcitizen.org/en/content/child-marriage-syrian-refugees-turkey-covid-19/" TargetMode="External"/><Relationship Id="rId19" Type="http://schemas.openxmlformats.org/officeDocument/2006/relationships/hyperlink" Target="https://ideas.repec.org/p/sek/iacpro/10212734.html" TargetMode="External"/><Relationship Id="rId4" Type="http://schemas.openxmlformats.org/officeDocument/2006/relationships/hyperlink" Target="http://www.verenigingrimo.nl/wp/wp-content/uploads/recht21_orucu.pdf" TargetMode="External"/><Relationship Id="rId9" Type="http://schemas.openxmlformats.org/officeDocument/2006/relationships/hyperlink" Target="https://atlas.girlsnotbrides.org/map/turkey/" TargetMode="External"/><Relationship Id="rId14" Type="http://schemas.openxmlformats.org/officeDocument/2006/relationships/hyperlink" Target="https://www.ft.com/content/3754ce46-7204-11e7-93ff-99f383b09ff9"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3T9VzCDamg4PlvRmf+4s6mupSg==">AMUW2mW6MToQWe+VVOjUoppbXWGypBRTfEsyTU/6f76lO3/zFOL4lqXLknaKIgOARA3vfHaCo/7X0Rg/jIbb3zDk34JrcxsDCHTEOmk8LR70qhQc53SyDn2LzUWI0xu2aCR35MSBFyWaxaEHF2N3H/e+Q5Ftex7PRg4BWB+6EuL1koOQ/oXWQyI+Om0/vGfw6lZAeqTPo7DANuhrmBqnLWjTZ6OqLMvz8A==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A0D74B5-AB06-A34B-A5A6-507E9C3FC877}">
  <ds:schemaRefs>
    <ds:schemaRef ds:uri="http://schemas.openxmlformats.org/officeDocument/2006/bibliography"/>
  </ds:schemaRefs>
</ds:datastoreItem>
</file>

<file path=customXml/itemProps3.xml><?xml version="1.0" encoding="utf-8"?>
<ds:datastoreItem xmlns:ds="http://schemas.openxmlformats.org/officeDocument/2006/customXml" ds:itemID="{FBDAF75D-A66D-467F-B334-A1F097843A66}"/>
</file>

<file path=customXml/itemProps4.xml><?xml version="1.0" encoding="utf-8"?>
<ds:datastoreItem xmlns:ds="http://schemas.openxmlformats.org/officeDocument/2006/customXml" ds:itemID="{30B67EB1-5D1B-49C3-96F1-4CD9DF046CAC}"/>
</file>

<file path=customXml/itemProps5.xml><?xml version="1.0" encoding="utf-8"?>
<ds:datastoreItem xmlns:ds="http://schemas.openxmlformats.org/officeDocument/2006/customXml" ds:itemID="{84FA8489-FDC6-45C9-9BBD-BCC08DE6428D}"/>
</file>

<file path=docProps/app.xml><?xml version="1.0" encoding="utf-8"?>
<Properties xmlns="http://schemas.openxmlformats.org/officeDocument/2006/extended-properties" xmlns:vt="http://schemas.openxmlformats.org/officeDocument/2006/docPropsVTypes">
  <Template>Normal.dotm</Template>
  <TotalTime>62</TotalTime>
  <Pages>8</Pages>
  <Words>2352</Words>
  <Characters>13410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R</dc:creator>
  <cp:lastModifiedBy>Ansari, Fer Ghanaa-HLSCLINICS</cp:lastModifiedBy>
  <cp:revision>33</cp:revision>
  <dcterms:created xsi:type="dcterms:W3CDTF">2022-05-16T02:10:00Z</dcterms:created>
  <dcterms:modified xsi:type="dcterms:W3CDTF">2022-05-16T07:07:00Z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