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1688" w:rsidRDefault="000C1688" w:rsidP="00B42AC2">
      <w:pPr>
        <w:spacing w:after="0" w:line="276" w:lineRule="auto"/>
        <w:jc w:val="center"/>
        <w:rPr>
          <w:rFonts w:asciiTheme="majorBidi" w:eastAsia="Times New Roman" w:hAnsiTheme="majorBidi" w:cstheme="majorBidi"/>
          <w:b/>
          <w:bCs/>
          <w:color w:val="000000" w:themeColor="text1"/>
          <w:sz w:val="24"/>
          <w:szCs w:val="24"/>
        </w:rPr>
      </w:pPr>
    </w:p>
    <w:p w:rsidR="000C1688" w:rsidRPr="001D6F92" w:rsidRDefault="00AA39FC" w:rsidP="00B42AC2">
      <w:pPr>
        <w:spacing w:after="0" w:line="276" w:lineRule="auto"/>
        <w:jc w:val="center"/>
        <w:rPr>
          <w:rFonts w:asciiTheme="majorBidi" w:eastAsia="Times New Roman" w:hAnsiTheme="majorBidi" w:cstheme="majorBidi"/>
          <w:color w:val="000000" w:themeColor="text1"/>
          <w:sz w:val="32"/>
          <w:szCs w:val="32"/>
        </w:rPr>
      </w:pPr>
      <w:r w:rsidRPr="001D6F92">
        <w:rPr>
          <w:rFonts w:asciiTheme="majorBidi" w:eastAsia="Times New Roman" w:hAnsiTheme="majorBidi" w:cstheme="majorBidi"/>
          <w:b/>
          <w:bCs/>
          <w:color w:val="000000" w:themeColor="text1"/>
          <w:sz w:val="28"/>
          <w:szCs w:val="28"/>
        </w:rPr>
        <w:t>The Committee on Economic, Social and Cultural Rights (CESCR)</w:t>
      </w:r>
    </w:p>
    <w:p w:rsidR="000C1688" w:rsidRPr="001D6F92" w:rsidRDefault="00661B8F" w:rsidP="00B42AC2">
      <w:pPr>
        <w:spacing w:after="0" w:line="276" w:lineRule="auto"/>
        <w:jc w:val="center"/>
        <w:rPr>
          <w:rFonts w:asciiTheme="majorBidi" w:eastAsia="Times New Roman" w:hAnsiTheme="majorBidi" w:cstheme="majorBidi"/>
          <w:b/>
          <w:bCs/>
          <w:color w:val="000000" w:themeColor="text1"/>
          <w:sz w:val="28"/>
          <w:szCs w:val="28"/>
        </w:rPr>
      </w:pPr>
      <w:r w:rsidRPr="001D6F92">
        <w:rPr>
          <w:rFonts w:asciiTheme="majorBidi" w:eastAsia="Times New Roman" w:hAnsiTheme="majorBidi" w:cstheme="majorBidi"/>
          <w:b/>
          <w:bCs/>
          <w:color w:val="000000" w:themeColor="text1"/>
          <w:sz w:val="28"/>
          <w:szCs w:val="28"/>
        </w:rPr>
        <w:t xml:space="preserve"> </w:t>
      </w:r>
    </w:p>
    <w:p w:rsidR="00661B8F" w:rsidRPr="001D6F92" w:rsidRDefault="00661B8F" w:rsidP="00B42AC2">
      <w:pPr>
        <w:spacing w:after="0" w:line="276" w:lineRule="auto"/>
        <w:jc w:val="center"/>
        <w:rPr>
          <w:rFonts w:asciiTheme="majorBidi" w:eastAsia="Times New Roman" w:hAnsiTheme="majorBidi" w:cstheme="majorBidi"/>
          <w:b/>
          <w:bCs/>
          <w:color w:val="000000" w:themeColor="text1"/>
          <w:sz w:val="28"/>
          <w:szCs w:val="28"/>
        </w:rPr>
      </w:pPr>
      <w:r w:rsidRPr="001D6F92">
        <w:rPr>
          <w:rFonts w:asciiTheme="majorBidi" w:eastAsia="Times New Roman" w:hAnsiTheme="majorBidi" w:cstheme="majorBidi"/>
          <w:b/>
          <w:bCs/>
          <w:color w:val="000000" w:themeColor="text1"/>
          <w:sz w:val="28"/>
          <w:szCs w:val="28"/>
        </w:rPr>
        <w:t>74t Session Working Group for the</w:t>
      </w:r>
    </w:p>
    <w:p w:rsidR="000C1688" w:rsidRPr="001D6F92" w:rsidRDefault="00661B8F" w:rsidP="00B42AC2">
      <w:pPr>
        <w:spacing w:after="0" w:line="276" w:lineRule="auto"/>
        <w:jc w:val="center"/>
        <w:rPr>
          <w:rFonts w:asciiTheme="majorBidi" w:eastAsia="Times New Roman" w:hAnsiTheme="majorBidi" w:cstheme="majorBidi"/>
          <w:b/>
          <w:bCs/>
          <w:color w:val="000000" w:themeColor="text1"/>
          <w:sz w:val="28"/>
          <w:szCs w:val="28"/>
        </w:rPr>
      </w:pPr>
      <w:r w:rsidRPr="001D6F92">
        <w:rPr>
          <w:rFonts w:asciiTheme="majorBidi" w:eastAsia="Times New Roman" w:hAnsiTheme="majorBidi" w:cstheme="majorBidi"/>
          <w:b/>
          <w:bCs/>
          <w:color w:val="000000" w:themeColor="text1"/>
          <w:sz w:val="28"/>
          <w:szCs w:val="28"/>
        </w:rPr>
        <w:t>Review of the “State of Palestine”</w:t>
      </w:r>
    </w:p>
    <w:p w:rsidR="000C1688" w:rsidRPr="001D6F92" w:rsidRDefault="000C1688" w:rsidP="00B42AC2">
      <w:pPr>
        <w:spacing w:after="0" w:line="276" w:lineRule="auto"/>
        <w:jc w:val="center"/>
        <w:rPr>
          <w:rFonts w:asciiTheme="majorBidi" w:eastAsia="Times New Roman" w:hAnsiTheme="majorBidi" w:cstheme="majorBidi"/>
          <w:b/>
          <w:bCs/>
          <w:color w:val="000000" w:themeColor="text1"/>
          <w:sz w:val="28"/>
          <w:szCs w:val="28"/>
        </w:rPr>
      </w:pPr>
    </w:p>
    <w:p w:rsidR="000C1688" w:rsidRPr="001D6F92" w:rsidRDefault="000C1688" w:rsidP="00B42AC2">
      <w:pPr>
        <w:spacing w:after="0" w:line="276" w:lineRule="auto"/>
        <w:jc w:val="center"/>
        <w:rPr>
          <w:rFonts w:asciiTheme="majorBidi" w:eastAsia="Times New Roman" w:hAnsiTheme="majorBidi" w:cstheme="majorBidi"/>
          <w:color w:val="000000" w:themeColor="text1"/>
        </w:rPr>
      </w:pPr>
    </w:p>
    <w:p w:rsidR="000C1688" w:rsidRPr="001D6F92" w:rsidRDefault="000C1688" w:rsidP="00B42AC2">
      <w:pPr>
        <w:spacing w:line="276" w:lineRule="auto"/>
        <w:jc w:val="center"/>
      </w:pPr>
      <w:r w:rsidRPr="001D6F92">
        <w:rPr>
          <w:noProof/>
        </w:rPr>
        <w:drawing>
          <wp:inline distT="0" distB="0" distL="0" distR="0" wp14:anchorId="01364474" wp14:editId="19ECC7E5">
            <wp:extent cx="1188518"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92374" cy="1433386"/>
                    </a:xfrm>
                    <a:prstGeom prst="rect">
                      <a:avLst/>
                    </a:prstGeom>
                  </pic:spPr>
                </pic:pic>
              </a:graphicData>
            </a:graphic>
          </wp:inline>
        </w:drawing>
      </w:r>
    </w:p>
    <w:p w:rsidR="000C1688" w:rsidRPr="001D6F92" w:rsidRDefault="000C1688" w:rsidP="00B42AC2">
      <w:pPr>
        <w:spacing w:line="276" w:lineRule="auto"/>
        <w:jc w:val="both"/>
        <w:rPr>
          <w:rFonts w:asciiTheme="majorBidi" w:hAnsiTheme="majorBidi" w:cstheme="majorBidi"/>
        </w:rPr>
      </w:pPr>
    </w:p>
    <w:p w:rsidR="000C1688" w:rsidRPr="00DA37B7" w:rsidRDefault="000C1688" w:rsidP="00DA37B7">
      <w:pPr>
        <w:spacing w:line="276" w:lineRule="auto"/>
        <w:jc w:val="center"/>
        <w:rPr>
          <w:rFonts w:asciiTheme="majorBidi" w:hAnsiTheme="majorBidi" w:cstheme="majorBidi"/>
          <w:b/>
          <w:bCs/>
        </w:rPr>
      </w:pPr>
      <w:r w:rsidRPr="001D6F92">
        <w:rPr>
          <w:rFonts w:asciiTheme="majorBidi" w:hAnsiTheme="majorBidi" w:cstheme="majorBidi"/>
          <w:b/>
          <w:bCs/>
        </w:rPr>
        <w:t>The Institute for the Protection of Women's</w:t>
      </w:r>
      <w:r w:rsidRPr="001D6F92">
        <w:rPr>
          <w:b/>
          <w:bCs/>
        </w:rPr>
        <w:t xml:space="preserve"> </w:t>
      </w:r>
      <w:r w:rsidRPr="001D6F92">
        <w:rPr>
          <w:rFonts w:asciiTheme="majorBidi" w:hAnsiTheme="majorBidi" w:cstheme="majorBidi"/>
          <w:b/>
          <w:bCs/>
        </w:rPr>
        <w:t>Rights</w:t>
      </w:r>
      <w:r w:rsidR="00687229">
        <w:rPr>
          <w:rStyle w:val="FootnoteReference"/>
          <w:rFonts w:asciiTheme="majorBidi" w:hAnsiTheme="majorBidi" w:cstheme="majorBidi"/>
          <w:b/>
          <w:bCs/>
        </w:rPr>
        <w:footnoteReference w:id="1"/>
      </w:r>
    </w:p>
    <w:p w:rsidR="000C1688" w:rsidRPr="001D6F92" w:rsidRDefault="000C1688" w:rsidP="00B42AC2">
      <w:pPr>
        <w:spacing w:line="276" w:lineRule="auto"/>
        <w:jc w:val="center"/>
        <w:rPr>
          <w:rFonts w:asciiTheme="majorBidi" w:hAnsiTheme="majorBidi" w:cstheme="majorBidi"/>
          <w:b/>
          <w:bCs/>
        </w:rPr>
      </w:pPr>
    </w:p>
    <w:tbl>
      <w:tblPr>
        <w:tblStyle w:val="TableGrid"/>
        <w:tblW w:w="8910" w:type="dxa"/>
        <w:tblInd w:w="625" w:type="dxa"/>
        <w:tblLook w:val="04A0" w:firstRow="1" w:lastRow="0" w:firstColumn="1" w:lastColumn="0" w:noHBand="0" w:noVBand="1"/>
      </w:tblPr>
      <w:tblGrid>
        <w:gridCol w:w="8910"/>
      </w:tblGrid>
      <w:tr w:rsidR="00933132" w:rsidRPr="001D6F92" w:rsidTr="00627681">
        <w:tc>
          <w:tcPr>
            <w:tcW w:w="8910" w:type="dxa"/>
            <w:shd w:val="clear" w:color="auto" w:fill="F2F2F2" w:themeFill="background1" w:themeFillShade="F2"/>
          </w:tcPr>
          <w:p w:rsidR="00CE1B3A" w:rsidRPr="00CE1B3A" w:rsidRDefault="00CE1B3A" w:rsidP="00CE1B3A">
            <w:pPr>
              <w:spacing w:line="276" w:lineRule="auto"/>
              <w:jc w:val="both"/>
              <w:rPr>
                <w:rFonts w:asciiTheme="majorBidi" w:hAnsiTheme="majorBidi" w:cstheme="majorBidi"/>
                <w:b/>
                <w:bCs/>
                <w:color w:val="000000" w:themeColor="text1"/>
                <w:sz w:val="28"/>
                <w:szCs w:val="28"/>
                <w:lang w:bidi="fa-IR"/>
              </w:rPr>
            </w:pPr>
            <w:r w:rsidRPr="00CE1B3A">
              <w:rPr>
                <w:rFonts w:asciiTheme="majorBidi" w:hAnsiTheme="majorBidi" w:cstheme="majorBidi"/>
                <w:b/>
                <w:bCs/>
                <w:color w:val="000000" w:themeColor="text1"/>
                <w:sz w:val="28"/>
                <w:szCs w:val="28"/>
                <w:lang w:bidi="fa-IR"/>
              </w:rPr>
              <w:t>The occupying power is not fulfilling its legal obligations under the ICESCR with respect to the 1967 occupied Palestinian territories (oPt).</w:t>
            </w:r>
          </w:p>
          <w:p w:rsidR="00CE1B3A" w:rsidRPr="00CE1B3A" w:rsidRDefault="00FB5AE7" w:rsidP="00CE1B3A">
            <w:pPr>
              <w:spacing w:line="276" w:lineRule="auto"/>
              <w:jc w:val="both"/>
              <w:rPr>
                <w:rFonts w:asciiTheme="majorBidi" w:hAnsiTheme="majorBidi" w:cstheme="majorBidi"/>
                <w:b/>
                <w:bCs/>
                <w:color w:val="000000" w:themeColor="text1"/>
                <w:sz w:val="28"/>
                <w:szCs w:val="28"/>
                <w:lang w:bidi="fa-IR"/>
              </w:rPr>
            </w:pPr>
            <w:r w:rsidRPr="00CE1B3A">
              <w:rPr>
                <w:rFonts w:asciiTheme="majorBidi" w:hAnsiTheme="majorBidi" w:cstheme="majorBidi"/>
                <w:b/>
                <w:bCs/>
                <w:color w:val="000000" w:themeColor="text1"/>
                <w:sz w:val="28"/>
                <w:szCs w:val="28"/>
                <w:lang w:bidi="fa-IR"/>
              </w:rPr>
              <w:t>It’s</w:t>
            </w:r>
            <w:r w:rsidR="00CE1B3A" w:rsidRPr="00CE1B3A">
              <w:rPr>
                <w:rFonts w:asciiTheme="majorBidi" w:hAnsiTheme="majorBidi" w:cstheme="majorBidi"/>
                <w:b/>
                <w:bCs/>
                <w:color w:val="000000" w:themeColor="text1"/>
                <w:sz w:val="28"/>
                <w:szCs w:val="28"/>
                <w:lang w:bidi="fa-IR"/>
              </w:rPr>
              <w:t xml:space="preserve"> Committee and other human rights treaty bodies have confirmed that Palestinians' rights to work and to just and favorable working conditions continue to be violated to this day. Many statistical indicators show that many workers do not receive the minimum level of rights, including wages, leave, end-of-life compensation, social security and pension rights.</w:t>
            </w:r>
          </w:p>
          <w:p w:rsidR="00933132" w:rsidRPr="001D6F92" w:rsidRDefault="00CE1B3A" w:rsidP="00CE1B3A">
            <w:pPr>
              <w:spacing w:line="276" w:lineRule="auto"/>
              <w:jc w:val="both"/>
              <w:rPr>
                <w:rFonts w:cstheme="minorHAnsi"/>
                <w:b/>
                <w:bCs/>
                <w:sz w:val="21"/>
                <w:szCs w:val="21"/>
              </w:rPr>
            </w:pPr>
            <w:r w:rsidRPr="00CE1B3A">
              <w:rPr>
                <w:rFonts w:asciiTheme="majorBidi" w:hAnsiTheme="majorBidi" w:cstheme="majorBidi"/>
                <w:b/>
                <w:bCs/>
                <w:color w:val="000000" w:themeColor="text1"/>
                <w:sz w:val="28"/>
                <w:szCs w:val="28"/>
                <w:lang w:bidi="fa-IR"/>
              </w:rPr>
              <w:t>Therefore, we emphasize the need not to allow the occupying power to evade its legal obligations under the provisions of international humanitarian law and international human rights law.</w:t>
            </w:r>
          </w:p>
        </w:tc>
      </w:tr>
    </w:tbl>
    <w:p w:rsidR="000C1688" w:rsidRPr="001D6F92" w:rsidRDefault="000C1688" w:rsidP="00B42AC2">
      <w:pPr>
        <w:spacing w:line="276" w:lineRule="auto"/>
        <w:rPr>
          <w:rStyle w:val="Hyperlink"/>
          <w:color w:val="auto"/>
          <w:u w:val="none"/>
        </w:rPr>
      </w:pPr>
      <w:r w:rsidRPr="001D6F92">
        <w:rPr>
          <w:rFonts w:asciiTheme="majorBidi" w:hAnsiTheme="majorBidi" w:cstheme="majorBidi"/>
          <w:color w:val="000000" w:themeColor="text1"/>
          <w:lang w:bidi="fa-IR"/>
        </w:rPr>
        <w:fldChar w:fldCharType="begin"/>
      </w:r>
      <w:r w:rsidRPr="001D6F92">
        <w:rPr>
          <w:rFonts w:asciiTheme="majorBidi" w:hAnsiTheme="majorBidi" w:cstheme="majorBidi"/>
          <w:color w:val="000000" w:themeColor="text1"/>
          <w:lang w:bidi="fa-IR"/>
        </w:rPr>
        <w:instrText xml:space="preserve"> HYPERLINK "https://docstore.ohchr.org/SelfServices/FilesHandler.ashx?enc=4slQ6QSmlBEDzFEovLCuW1a0Szab0oXTdImnsJZZVQfoUYY19kME5pOqRbao%2BukB1Kzn1MMnQL24FFvtIIdk%2F%2FR%2FF0GthE%2BTiGSATb%2BUa3WMs0%2F%2BfVfQFg02%2BY%2FTVuqU" </w:instrText>
      </w:r>
      <w:r w:rsidRPr="001D6F92">
        <w:rPr>
          <w:rFonts w:asciiTheme="majorBidi" w:hAnsiTheme="majorBidi" w:cstheme="majorBidi"/>
          <w:color w:val="000000" w:themeColor="text1"/>
          <w:lang w:bidi="fa-IR"/>
        </w:rPr>
      </w:r>
      <w:r w:rsidRPr="001D6F92">
        <w:rPr>
          <w:rFonts w:asciiTheme="majorBidi" w:hAnsiTheme="majorBidi" w:cstheme="majorBidi"/>
          <w:color w:val="000000" w:themeColor="text1"/>
          <w:lang w:bidi="fa-IR"/>
        </w:rPr>
        <w:fldChar w:fldCharType="separate"/>
      </w:r>
    </w:p>
    <w:p w:rsidR="000C1688" w:rsidRPr="001D6F92" w:rsidRDefault="000C1688" w:rsidP="00DF42FE">
      <w:pPr>
        <w:spacing w:line="276" w:lineRule="auto"/>
        <w:jc w:val="center"/>
        <w:rPr>
          <w:rStyle w:val="Hyperlink"/>
          <w:rFonts w:asciiTheme="majorBidi" w:hAnsiTheme="majorBidi" w:cstheme="majorBidi"/>
          <w:b/>
          <w:bCs/>
          <w:color w:val="000000" w:themeColor="text1"/>
          <w:sz w:val="24"/>
          <w:szCs w:val="24"/>
          <w:rtl/>
          <w:lang w:bidi="fa-IR"/>
        </w:rPr>
      </w:pPr>
      <w:r w:rsidRPr="001D6F92">
        <w:rPr>
          <w:rStyle w:val="Hyperlink"/>
          <w:rFonts w:asciiTheme="majorBidi" w:hAnsiTheme="majorBidi" w:cstheme="majorBidi"/>
          <w:b/>
          <w:bCs/>
          <w:color w:val="000000" w:themeColor="text1"/>
          <w:sz w:val="24"/>
          <w:szCs w:val="24"/>
          <w:lang w:bidi="fa-IR"/>
        </w:rPr>
        <w:t>Right to just and favorable conditions of work (Articles 6 -9)</w:t>
      </w:r>
    </w:p>
    <w:p w:rsidR="00665F14" w:rsidRPr="001D6F92" w:rsidRDefault="000C1688" w:rsidP="00B42AC2">
      <w:pPr>
        <w:spacing w:line="276" w:lineRule="auto"/>
        <w:jc w:val="both"/>
        <w:rPr>
          <w:rFonts w:asciiTheme="majorBidi" w:hAnsiTheme="majorBidi" w:cstheme="majorBidi"/>
          <w:lang w:bidi="fa-IR"/>
        </w:rPr>
      </w:pPr>
      <w:r w:rsidRPr="001D6F92">
        <w:rPr>
          <w:rFonts w:asciiTheme="majorBidi" w:hAnsiTheme="majorBidi" w:cstheme="majorBidi"/>
          <w:color w:val="000000" w:themeColor="text1"/>
          <w:lang w:bidi="fa-IR"/>
        </w:rPr>
        <w:lastRenderedPageBreak/>
        <w:fldChar w:fldCharType="end"/>
      </w:r>
    </w:p>
    <w:p w:rsidR="00F159FD" w:rsidRPr="001D6F92" w:rsidRDefault="00F159FD"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 xml:space="preserve">The current standard of minimum monthly wage in the SoP is NIS 1,450 (approximately USD 440). On 21 January 2021, the Palestinian Minister of Labor issued a decision raising the standard of minimum monthly wages to NIS 1950 (approximately USD 590) starting from 1 January 2022.  Nonetheless, the new standard is still below the absolute poverty line, which is 1974 NIS (approximately USD 600).  The minimum monthly wage is constantly ignored by employers, due to, as aforementioned, inter alia, weak inspection policies and lack of access to justice. In 2019, 30% of those working within the private sector did not meet the current standard of minimum wage. </w:t>
      </w:r>
      <w:r w:rsidR="00761387" w:rsidRPr="001D6F92">
        <w:rPr>
          <w:rStyle w:val="FootnoteReference"/>
          <w:rFonts w:asciiTheme="majorBidi" w:hAnsiTheme="majorBidi" w:cstheme="majorBidi"/>
          <w:sz w:val="28"/>
          <w:szCs w:val="28"/>
          <w:lang w:bidi="fa-IR"/>
        </w:rPr>
        <w:footnoteReference w:id="2"/>
      </w:r>
      <w:r w:rsidRPr="001D6F92">
        <w:rPr>
          <w:rFonts w:asciiTheme="majorBidi" w:hAnsiTheme="majorBidi" w:cstheme="majorBidi"/>
          <w:sz w:val="28"/>
          <w:szCs w:val="28"/>
          <w:lang w:bidi="fa-IR"/>
        </w:rPr>
        <w:t xml:space="preserve"> </w:t>
      </w:r>
    </w:p>
    <w:p w:rsidR="00761387" w:rsidRDefault="00761387"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number of employed persons (excluding workers abroad) increased from about 1.146 million in the 1st quarter of 2023 to about 1.151 million in the 2nd quarter of 2023, by 0.5%. This increase is due to the increase in the number of employed persons from the West Bank by 1.5% between the 1st and 2nd quarters 2023, while it decreased in Gaza Strip by 2.8% in the same period.</w:t>
      </w:r>
    </w:p>
    <w:p w:rsidR="00674275" w:rsidRPr="00674275" w:rsidRDefault="00674275" w:rsidP="00674275">
      <w:pPr>
        <w:pStyle w:val="ListParagraph"/>
        <w:numPr>
          <w:ilvl w:val="0"/>
          <w:numId w:val="1"/>
        </w:numPr>
        <w:spacing w:line="276" w:lineRule="auto"/>
        <w:jc w:val="both"/>
        <w:rPr>
          <w:rFonts w:asciiTheme="majorBidi" w:hAnsiTheme="majorBidi" w:cstheme="majorBidi"/>
          <w:sz w:val="28"/>
          <w:szCs w:val="28"/>
          <w:lang w:bidi="fa-IR"/>
        </w:rPr>
      </w:pPr>
      <w:r w:rsidRPr="00674275">
        <w:rPr>
          <w:rFonts w:asciiTheme="majorBidi" w:hAnsiTheme="majorBidi" w:cstheme="majorBidi"/>
          <w:sz w:val="28"/>
          <w:szCs w:val="28"/>
          <w:lang w:bidi="fa-IR"/>
        </w:rPr>
        <w:t>The number of employed persons in occupying power during the 1st quarter 2023 and 2nd quarter of 2023 i</w:t>
      </w:r>
      <w:r>
        <w:rPr>
          <w:rFonts w:asciiTheme="majorBidi" w:hAnsiTheme="majorBidi" w:cstheme="majorBidi"/>
          <w:sz w:val="28"/>
          <w:szCs w:val="28"/>
          <w:lang w:bidi="fa-IR"/>
        </w:rPr>
        <w:t xml:space="preserve">ncreased by about 14 thousands. </w:t>
      </w:r>
      <w:r w:rsidRPr="00674275">
        <w:rPr>
          <w:rFonts w:asciiTheme="majorBidi" w:hAnsiTheme="majorBidi" w:cstheme="majorBidi"/>
          <w:sz w:val="28"/>
          <w:szCs w:val="28"/>
          <w:lang w:bidi="fa-IR"/>
        </w:rPr>
        <w:t>The number of employed persons in Israeli regime reached about 139 thousand employed persons in the 2nd quarter of 2023 compared to about 125 thousand employed persons in the 1st quarter of 2023.  While the number of employed persons in Israeli settlements decreased from 28 thousands in the 1st quarter of 2023 to 25 thousands in the 2nd quarter of 2023.</w:t>
      </w:r>
    </w:p>
    <w:p w:rsidR="00761387" w:rsidRPr="001D6F92" w:rsidRDefault="00761387"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number of workers in Israel and the Israeli settlement</w:t>
      </w:r>
      <w:r w:rsidR="006F608E">
        <w:rPr>
          <w:rFonts w:asciiTheme="majorBidi" w:hAnsiTheme="majorBidi" w:cstheme="majorBidi"/>
          <w:sz w:val="28"/>
          <w:szCs w:val="28"/>
          <w:lang w:bidi="fa-IR"/>
        </w:rPr>
        <w:t>s increased in most activities;</w:t>
      </w:r>
      <w:r w:rsidRPr="001D6F92">
        <w:rPr>
          <w:rFonts w:asciiTheme="majorBidi" w:hAnsiTheme="majorBidi" w:cstheme="majorBidi"/>
          <w:sz w:val="28"/>
          <w:szCs w:val="28"/>
          <w:lang w:bidi="fa-IR"/>
        </w:rPr>
        <w:t xml:space="preserve"> it increased about 4 thousand in construction activity, about 3 thousand workers in the manufacturing activity, about 2 thousand workers in the activity of Commerce, Restaurants and Hotels, about 1 thousand workers in each of the activity of agriculture activity, and transport activity and storage </w:t>
      </w:r>
      <w:r w:rsidRPr="001D6F92">
        <w:rPr>
          <w:rFonts w:asciiTheme="majorBidi" w:hAnsiTheme="majorBidi" w:cstheme="majorBidi"/>
          <w:sz w:val="28"/>
          <w:szCs w:val="28"/>
          <w:lang w:bidi="fa-IR"/>
        </w:rPr>
        <w:lastRenderedPageBreak/>
        <w:t>and communications, while the number remains at the same level in the activity of services and other activities. The average daily wage for wage employees in Israel and Israeli settlements increased from 284 NIS in the 1st quarter of 2023 to 289 NIS in the 2nd quarter of 2023.</w:t>
      </w:r>
      <w:r w:rsidR="00485E1B" w:rsidRPr="001D6F92">
        <w:rPr>
          <w:rStyle w:val="FootnoteReference"/>
          <w:rFonts w:asciiTheme="majorBidi" w:hAnsiTheme="majorBidi" w:cstheme="majorBidi"/>
          <w:sz w:val="28"/>
          <w:szCs w:val="28"/>
          <w:lang w:bidi="fa-IR"/>
        </w:rPr>
        <w:footnoteReference w:id="3"/>
      </w:r>
    </w:p>
    <w:p w:rsidR="005A64F9" w:rsidRPr="001D6F92" w:rsidRDefault="005A64F9"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number of employed persons in the local market decreased from 993 thousand employed persons in the 1st quarter of 2023 to about 987 thousand employed persons in the 2nd quarter of 2023. It decreased by 2.8% in Gaza Strip, while it increased by 0.2% in the West Bank during the same period.</w:t>
      </w:r>
    </w:p>
    <w:p w:rsidR="005A64F9" w:rsidRPr="001D6F92" w:rsidRDefault="005A64F9"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Results showed that the decrease in the number of employed persons in the local market during the 2nd quarter of 2023 is due to the decrease in the number of employed persons in mining and manufacturing activity, followed by commerce and hotels activity, then by transportation and storage activity, fin</w:t>
      </w:r>
      <w:r w:rsidR="00D27A01" w:rsidRPr="001D6F92">
        <w:rPr>
          <w:rFonts w:asciiTheme="majorBidi" w:hAnsiTheme="majorBidi" w:cstheme="majorBidi"/>
          <w:sz w:val="28"/>
          <w:szCs w:val="28"/>
          <w:lang w:bidi="fa-IR"/>
        </w:rPr>
        <w:t>ally the construction activity.</w:t>
      </w:r>
      <w:r w:rsidRPr="001D6F92">
        <w:rPr>
          <w:rFonts w:asciiTheme="majorBidi" w:hAnsiTheme="majorBidi" w:cstheme="majorBidi"/>
          <w:sz w:val="28"/>
          <w:szCs w:val="28"/>
          <w:lang w:bidi="fa-IR"/>
        </w:rPr>
        <w:t xml:space="preserve"> While the number increased in agriculture activity and other services activity.</w:t>
      </w:r>
    </w:p>
    <w:p w:rsidR="005A64F9" w:rsidRPr="001D6F92" w:rsidRDefault="005A64F9"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average weekly working hours for wage employees in the West Bank was 43.3 hours per week compared to 36.4 hours in Gaza Strip. The average monthly working days was 23.0 working days in the West Bank compared to 22.8 working days in Gaza Strip.</w:t>
      </w:r>
      <w:r w:rsidR="000067C3" w:rsidRPr="001D6F92">
        <w:rPr>
          <w:rStyle w:val="FootnoteReference"/>
          <w:rFonts w:asciiTheme="majorBidi" w:hAnsiTheme="majorBidi" w:cstheme="majorBidi"/>
          <w:sz w:val="28"/>
          <w:szCs w:val="28"/>
          <w:lang w:bidi="fa-IR"/>
        </w:rPr>
        <w:footnoteReference w:id="4"/>
      </w:r>
    </w:p>
    <w:p w:rsidR="002C5151" w:rsidRPr="001D6F92" w:rsidRDefault="002C5151"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Currently, 29 percent of women workers in the private sector in the oPt are paid a monthly salary less than the minimum wage (1,450 shekels). The current wage gaps were among the critical priorities debated during the conference, in addition to the recognition and valuing of women’s unpaid domestic and care work, the role of men in sharing care responsibilities, and the necessity of investing in social infrastructure like healthcare and childcare.</w:t>
      </w:r>
    </w:p>
    <w:p w:rsidR="002C5151" w:rsidRPr="001D6F92" w:rsidRDefault="002C5151" w:rsidP="00B42AC2">
      <w:pPr>
        <w:pStyle w:val="ListParagraph"/>
        <w:numPr>
          <w:ilvl w:val="0"/>
          <w:numId w:val="1"/>
        </w:numPr>
        <w:spacing w:line="276" w:lineRule="auto"/>
        <w:jc w:val="both"/>
        <w:rPr>
          <w:rFonts w:asciiTheme="majorBidi" w:hAnsiTheme="majorBidi" w:cstheme="majorBidi"/>
          <w:sz w:val="28"/>
          <w:szCs w:val="28"/>
          <w:rtl/>
          <w:lang w:bidi="fa-IR"/>
        </w:rPr>
      </w:pPr>
      <w:r w:rsidRPr="001D6F92">
        <w:rPr>
          <w:rFonts w:asciiTheme="majorBidi" w:hAnsiTheme="majorBidi" w:cstheme="majorBidi"/>
          <w:sz w:val="28"/>
          <w:szCs w:val="28"/>
          <w:lang w:bidi="fa-IR"/>
        </w:rPr>
        <w:t xml:space="preserve">The time spent by women in care efforts affects the pattern of participation in the labor market, which returns to their labor income and their possibilities of affiliation to Social Security. The unequal distribution of women's care work translates into women’s time poverty, and largely explains the gender gap in </w:t>
      </w:r>
      <w:r w:rsidRPr="001D6F92">
        <w:rPr>
          <w:rFonts w:asciiTheme="majorBidi" w:hAnsiTheme="majorBidi" w:cstheme="majorBidi"/>
          <w:sz w:val="28"/>
          <w:szCs w:val="28"/>
          <w:lang w:bidi="fa-IR"/>
        </w:rPr>
        <w:lastRenderedPageBreak/>
        <w:t>labor work insertion where only 19 percent of women participated in the labor market in 2022, compared to 71 percent for men</w:t>
      </w:r>
      <w:r w:rsidRPr="001D6F92">
        <w:rPr>
          <w:rFonts w:asciiTheme="majorBidi" w:hAnsiTheme="majorBidi" w:cstheme="majorBidi"/>
          <w:sz w:val="28"/>
          <w:szCs w:val="28"/>
          <w:rtl/>
          <w:lang w:bidi="fa-IR"/>
        </w:rPr>
        <w:t>.</w:t>
      </w:r>
      <w:r w:rsidRPr="001D6F92">
        <w:rPr>
          <w:rStyle w:val="FootnoteReference"/>
          <w:rFonts w:asciiTheme="majorBidi" w:hAnsiTheme="majorBidi" w:cstheme="majorBidi"/>
          <w:sz w:val="28"/>
          <w:szCs w:val="28"/>
          <w:rtl/>
          <w:lang w:bidi="fa-IR"/>
        </w:rPr>
        <w:footnoteReference w:id="5"/>
      </w:r>
    </w:p>
    <w:p w:rsidR="000935E7" w:rsidRPr="001D6F92" w:rsidRDefault="003547BA"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 xml:space="preserve">According to the report of the United Nations Economic and Social Commission for Western Asia (ESCWA) in 2023, the economic activity of Palestinian women has faced many inequalities, </w:t>
      </w:r>
      <w:r w:rsidR="002749AC" w:rsidRPr="001D6F92">
        <w:rPr>
          <w:rFonts w:asciiTheme="majorBidi" w:hAnsiTheme="majorBidi" w:cstheme="majorBidi"/>
          <w:sz w:val="28"/>
          <w:szCs w:val="28"/>
          <w:lang w:bidi="fa-IR"/>
        </w:rPr>
        <w:t>the</w:t>
      </w:r>
      <w:r w:rsidRPr="001D6F92">
        <w:rPr>
          <w:rFonts w:asciiTheme="majorBidi" w:hAnsiTheme="majorBidi" w:cstheme="majorBidi"/>
          <w:sz w:val="28"/>
          <w:szCs w:val="28"/>
          <w:lang w:bidi="fa-IR"/>
        </w:rPr>
        <w:t xml:space="preserve"> unemployment rate and the duration of unemployment of women are high and their participation rate is lower. The unemployment rate, especially for young women (20 to 24 years old), was 59.2 percent, and the unemployment period of women (20.6 months) was more than twice that of men (9.6 months). In the first quarter of 2022, only 18.9 percent of Palestinian women participated in the labor market, compared to 70.5 percent of men, and female unemployment was almost double, at 40.6 percent, compared to 21.4 percent for men.</w:t>
      </w:r>
    </w:p>
    <w:p w:rsidR="00986F1E" w:rsidRPr="001D6F92" w:rsidRDefault="00986F1E"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In the first quarter of 2022, unemployment in Gaza reached 47 percent compared to 14 percent in the West Bank. It is worth noting that educated young women are the most vulnerable to unemployment in Gaza. Overall, there are clear regional disparities in employment, reflecting the wide economic differences between the West Bank and Gaza.</w:t>
      </w:r>
    </w:p>
    <w:p w:rsidR="00C429BB" w:rsidRPr="001D6F92" w:rsidRDefault="00986F1E"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According to the World Bank report in 2022, the country of Palestine has the lowest score in laws and regulations that affect women's economic opportunities and labor force participation, including freedom of movement, effective laws and policies for women in employment, etc. The world has won (26.3 out of 100).</w:t>
      </w:r>
      <w:r w:rsidR="00C27373" w:rsidRPr="001D6F92">
        <w:rPr>
          <w:rStyle w:val="FootnoteReference"/>
          <w:rFonts w:asciiTheme="majorBidi" w:hAnsiTheme="majorBidi" w:cstheme="majorBidi"/>
          <w:sz w:val="28"/>
          <w:szCs w:val="28"/>
          <w:lang w:bidi="fa-IR"/>
        </w:rPr>
        <w:footnoteReference w:id="6"/>
      </w:r>
      <w:r w:rsidR="00C429BB" w:rsidRPr="001D6F92">
        <w:rPr>
          <w:rFonts w:asciiTheme="majorBidi" w:hAnsiTheme="majorBidi" w:cstheme="majorBidi"/>
          <w:sz w:val="28"/>
          <w:szCs w:val="28"/>
          <w:lang w:bidi="fa-IR"/>
        </w:rPr>
        <w:t xml:space="preserve"> </w:t>
      </w:r>
    </w:p>
    <w:p w:rsidR="00C429BB" w:rsidRPr="001D6F92" w:rsidRDefault="00C429BB"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unemployment rate among labor force participants in Palestine reached 24% in 2022, compared to 26.4% in 2021, and the total labor underutilization reached 31%, according to the International Labor Organization standards, today said the Palestinian Central Bureau of Statistics (PCBS).</w:t>
      </w:r>
    </w:p>
    <w:p w:rsidR="00C429BB" w:rsidRPr="001D6F92" w:rsidRDefault="00C429BB"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 xml:space="preserve">There is still a wide gap in the unemployment rate between the West Bank and Gaza Strip, as this rate reached 45% in Gaza Strip compared to 13% in </w:t>
      </w:r>
      <w:r w:rsidRPr="001D6F92">
        <w:rPr>
          <w:rFonts w:asciiTheme="majorBidi" w:hAnsiTheme="majorBidi" w:cstheme="majorBidi"/>
          <w:sz w:val="28"/>
          <w:szCs w:val="28"/>
          <w:lang w:bidi="fa-IR"/>
        </w:rPr>
        <w:lastRenderedPageBreak/>
        <w:t>the West Bank, said the PCBS. On the gender level, the unemployment rate for females reached 40% compared to 20% for males in Palestine.</w:t>
      </w:r>
    </w:p>
    <w:p w:rsidR="00C429BB" w:rsidRPr="001D6F92" w:rsidRDefault="00C429BB"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number of unemployed was 367,000 in 2022 (239,000 in Gaza Strip and 128,000 in the West Bank), said the PCBS, adding that total labor underutilization was 500,000 persons including 56,000 discouraged jobseekers and 22,000 in time-related underemployment. Hebron governorate in the West Bank and Deir al-Balah governorate in Gaza Strip recorded the highest unemployment rates in 2022.</w:t>
      </w:r>
    </w:p>
    <w:p w:rsidR="003547BA" w:rsidRPr="001D6F92" w:rsidRDefault="00C429BB"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Hebron Governorate recorded a 16.9% unemployment rate followed by 16.8% in Jenin governorate while Jerusalem governorate recorded 3.2%, which is the lowest among the West Bank governorates. In the Gaza Strip, Deir al-Balah Governorate recorded a 54.8% unemployment rate followed by Khan Younis, 49.4%, while North Gaza governorate reached 38.4% which is the lowest among Gaza Strip governorates.</w:t>
      </w:r>
      <w:r w:rsidRPr="001D6F92">
        <w:rPr>
          <w:rStyle w:val="FootnoteReference"/>
          <w:rFonts w:asciiTheme="majorBidi" w:hAnsiTheme="majorBidi" w:cstheme="majorBidi"/>
          <w:sz w:val="28"/>
          <w:szCs w:val="28"/>
          <w:lang w:bidi="fa-IR"/>
        </w:rPr>
        <w:footnoteReference w:id="7"/>
      </w:r>
    </w:p>
    <w:p w:rsidR="002A01FF" w:rsidRPr="001D6F92" w:rsidRDefault="002A01FF"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The unemployment rate was the highest among youth graduates (19-29 years) holding an intermediate diploma or higher reaching 48.3% and representing 25.6% of total unemployed (61.3% for females compared to 34.3% for males). At the regional level, the unemployment rate for youth graduates in the West Bank reached 28.6% compared to 73.9% in Gaza Strip.</w:t>
      </w:r>
    </w:p>
    <w:p w:rsidR="000A2EA8" w:rsidRPr="001D6F92" w:rsidRDefault="000A2EA8"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 xml:space="preserve">Informal work, where many workers are exposed to blackmail from their employers or lose their jobs under different circumstances, is widely spread. The government, represented by the Ministry of Labor, for instance, signed an agreement with representatives of the private sector and trade unions in March to guarantee that wages for the months of March and April (50% per month) are paid to workers in this sector, with a minimum of NIS 1,000. As for the sectors that have not been affected, they will continue to pay wages in full. However, this agreement was unfair to wage workers, as it violated the Labor Law that guarantees full wages for their work. Also, the minimum wage set forth in the emergency plan is 1,000 NIS, which is less than the official </w:t>
      </w:r>
      <w:r w:rsidRPr="001D6F92">
        <w:rPr>
          <w:rFonts w:asciiTheme="majorBidi" w:hAnsiTheme="majorBidi" w:cstheme="majorBidi"/>
          <w:sz w:val="28"/>
          <w:szCs w:val="28"/>
          <w:lang w:bidi="fa-IR"/>
        </w:rPr>
        <w:lastRenderedPageBreak/>
        <w:t>minimum wage of 1,450 NIS, and even less than the extreme poverty line which is about 2,000 NIS.</w:t>
      </w:r>
    </w:p>
    <w:p w:rsidR="00B3462A" w:rsidRPr="002B7F70" w:rsidRDefault="000A2EA8"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 xml:space="preserve"> </w:t>
      </w:r>
      <w:r w:rsidR="005C5BA1" w:rsidRPr="001D6F92">
        <w:rPr>
          <w:rFonts w:asciiTheme="majorBidi" w:hAnsiTheme="majorBidi" w:cstheme="majorBidi"/>
          <w:sz w:val="28"/>
          <w:szCs w:val="28"/>
          <w:lang w:bidi="fa-IR"/>
        </w:rPr>
        <w:t>In October 2022, a bill was drafted and signed by the government, employers' representatives, and workers' representatives. The new text states that the end-of-service gratuity for private sector employees will not be transferred to the social security fund but will be paid directly to the beneficiaries, subject to an agreement between the employee and the employer, supervised by the Ministry of Labour.</w:t>
      </w:r>
      <w:r w:rsidR="005C5BA1" w:rsidRPr="001D6F92">
        <w:rPr>
          <w:rStyle w:val="FootnoteReference"/>
          <w:rFonts w:asciiTheme="majorBidi" w:hAnsiTheme="majorBidi" w:cstheme="majorBidi"/>
          <w:sz w:val="28"/>
          <w:szCs w:val="28"/>
          <w:lang w:bidi="fa-IR"/>
        </w:rPr>
        <w:footnoteReference w:id="8"/>
      </w:r>
    </w:p>
    <w:p w:rsidR="00332847" w:rsidRDefault="00B3462A" w:rsidP="000474C8">
      <w:pPr>
        <w:pStyle w:val="ListParagraph"/>
        <w:numPr>
          <w:ilvl w:val="0"/>
          <w:numId w:val="1"/>
        </w:numPr>
        <w:spacing w:line="276" w:lineRule="auto"/>
        <w:jc w:val="both"/>
        <w:rPr>
          <w:rFonts w:asciiTheme="majorBidi" w:hAnsiTheme="majorBidi" w:cstheme="majorBidi"/>
          <w:sz w:val="28"/>
          <w:szCs w:val="28"/>
          <w:lang w:bidi="fa-IR"/>
        </w:rPr>
      </w:pPr>
      <w:r w:rsidRPr="00B3462A">
        <w:rPr>
          <w:rFonts w:asciiTheme="majorBidi" w:hAnsiTheme="majorBidi" w:cstheme="majorBidi"/>
          <w:sz w:val="28"/>
          <w:szCs w:val="28"/>
          <w:lang w:bidi="fa-IR"/>
        </w:rPr>
        <w:t>75% of employed persons are wage employees, 16% of employed persons are self-employed, 5% of employed persons are employers, and 4% are unpaid family members. More than half of the wage employees in the private sector were hired without any employment contract. 52% of wage employees in the private sector were hired without any employment contract, and 32% of wage employees received a contribution to their pension fund/end-of-service compensation. Moreover, 50% of wage female employees receive paid maternity leave. 36% of wage employees in the private sector receive a monthly wage of less than the minimum wage (1,880 NIS) in Palestine The percentage of wage employees in the private sector who receive a monthly wage less than the minimum wage in the West Bank was 14% in the 2nd quarter of 2023 (about 43 thousand employees). It reached about 119 thousand in the Gaza Strip with a percentage of about 90% of wage employees in the private during the same period.</w:t>
      </w:r>
    </w:p>
    <w:p w:rsidR="004425DB" w:rsidRPr="004425DB" w:rsidRDefault="004425DB" w:rsidP="004425DB">
      <w:pPr>
        <w:pStyle w:val="ListParagraph"/>
        <w:numPr>
          <w:ilvl w:val="0"/>
          <w:numId w:val="1"/>
        </w:numPr>
        <w:spacing w:line="276" w:lineRule="auto"/>
        <w:jc w:val="both"/>
        <w:rPr>
          <w:rFonts w:asciiTheme="majorBidi" w:hAnsiTheme="majorBidi" w:cstheme="majorBidi"/>
          <w:sz w:val="28"/>
          <w:szCs w:val="28"/>
          <w:lang w:bidi="fa-IR"/>
        </w:rPr>
      </w:pPr>
      <w:r w:rsidRPr="004425DB">
        <w:rPr>
          <w:rFonts w:asciiTheme="majorBidi" w:hAnsiTheme="majorBidi" w:cstheme="majorBidi"/>
          <w:sz w:val="28"/>
          <w:szCs w:val="28"/>
          <w:lang w:bidi="fa-IR"/>
        </w:rPr>
        <w:t>The number of unemployed persons reached about 379 thousand in the 2nd quarter of 2023; of which 245 thousand persons were in the Gaza Strip and 134 thousand persons in the West Bank.</w:t>
      </w:r>
    </w:p>
    <w:p w:rsidR="001D090D" w:rsidRPr="001D6F92" w:rsidRDefault="004425DB" w:rsidP="004425DB">
      <w:pPr>
        <w:pStyle w:val="ListParagraph"/>
        <w:numPr>
          <w:ilvl w:val="0"/>
          <w:numId w:val="1"/>
        </w:numPr>
        <w:spacing w:line="276" w:lineRule="auto"/>
        <w:jc w:val="both"/>
        <w:rPr>
          <w:rFonts w:asciiTheme="majorBidi" w:hAnsiTheme="majorBidi" w:cstheme="majorBidi"/>
          <w:sz w:val="28"/>
          <w:szCs w:val="28"/>
          <w:lang w:bidi="fa-IR"/>
        </w:rPr>
      </w:pPr>
      <w:r w:rsidRPr="004425DB">
        <w:rPr>
          <w:rFonts w:asciiTheme="majorBidi" w:hAnsiTheme="majorBidi" w:cstheme="majorBidi"/>
          <w:sz w:val="28"/>
          <w:szCs w:val="28"/>
          <w:lang w:bidi="fa-IR"/>
        </w:rPr>
        <w:t xml:space="preserve">The number of persons who participated in the labor force in the 2nd quarter of 2023 reached 1.533 million persons; 1.005 million persons in the West Bank and 528 thousand persons in the Gaza Strip. In addition, the participation rate in the labor force remained at the same level of about 45% between the 1st and the 2nd quarter of 2023. It also remained at the same level of about </w:t>
      </w:r>
      <w:r w:rsidRPr="004425DB">
        <w:rPr>
          <w:rFonts w:asciiTheme="majorBidi" w:hAnsiTheme="majorBidi" w:cstheme="majorBidi"/>
          <w:sz w:val="28"/>
          <w:szCs w:val="28"/>
          <w:lang w:bidi="fa-IR"/>
        </w:rPr>
        <w:lastRenderedPageBreak/>
        <w:t>48% in the West Bank, while it increased from 40% to 41% in the Gaza Strip between the first and second quarters respectively. Within the same context, the total labor underutilization reached 479 thousand persons, as this number includes 42 thousand discouraged job seekers and 22 thousand in time-related underemployment.</w:t>
      </w:r>
      <w:r w:rsidR="000474C8" w:rsidRPr="000474C8">
        <w:rPr>
          <w:rStyle w:val="FootnoteReference"/>
          <w:rFonts w:asciiTheme="majorBidi" w:hAnsiTheme="majorBidi" w:cstheme="majorBidi"/>
          <w:sz w:val="28"/>
          <w:szCs w:val="28"/>
          <w:lang w:bidi="fa-IR"/>
        </w:rPr>
        <w:t xml:space="preserve"> </w:t>
      </w:r>
      <w:r w:rsidR="000474C8">
        <w:rPr>
          <w:rStyle w:val="FootnoteReference"/>
          <w:rFonts w:asciiTheme="majorBidi" w:hAnsiTheme="majorBidi" w:cstheme="majorBidi"/>
          <w:sz w:val="28"/>
          <w:szCs w:val="28"/>
          <w:lang w:bidi="fa-IR"/>
        </w:rPr>
        <w:footnoteReference w:id="9"/>
      </w:r>
    </w:p>
    <w:p w:rsidR="009162FA" w:rsidRPr="001D6F92" w:rsidRDefault="009162FA" w:rsidP="00FE6049">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rPr>
        <w:t xml:space="preserve">In 2022, the overarching impact of the occupation on the workers’ rights of Palestinians continued, whether they work in the West Bank, including East Jerusalem, and Gaza, or in </w:t>
      </w:r>
      <w:r w:rsidR="00FE6049" w:rsidRPr="00FE6049">
        <w:rPr>
          <w:rFonts w:asciiTheme="majorBidi" w:hAnsiTheme="majorBidi" w:cstheme="majorBidi"/>
          <w:sz w:val="28"/>
          <w:szCs w:val="28"/>
        </w:rPr>
        <w:t>Israeli regime</w:t>
      </w:r>
      <w:r w:rsidRPr="001D6F92">
        <w:rPr>
          <w:rFonts w:asciiTheme="majorBidi" w:hAnsiTheme="majorBidi" w:cstheme="majorBidi"/>
          <w:sz w:val="28"/>
          <w:szCs w:val="28"/>
        </w:rPr>
        <w:t xml:space="preserve"> and the settlements or are unemployed. Palestinian workers’ enjoyment of their rights, including those set out in the body of international labour standards, is impeded by the economic and social consequences of the occupation and settlement activity.</w:t>
      </w:r>
    </w:p>
    <w:p w:rsidR="009162FA" w:rsidRPr="001D6F92" w:rsidRDefault="009162FA" w:rsidP="00B42AC2">
      <w:pPr>
        <w:pStyle w:val="ListParagraph"/>
        <w:numPr>
          <w:ilvl w:val="0"/>
          <w:numId w:val="1"/>
        </w:numPr>
        <w:spacing w:line="276" w:lineRule="auto"/>
        <w:jc w:val="both"/>
        <w:rPr>
          <w:rFonts w:asciiTheme="majorBidi" w:hAnsiTheme="majorBidi" w:cstheme="majorBidi"/>
          <w:sz w:val="28"/>
          <w:szCs w:val="28"/>
          <w:lang w:bidi="fa-IR"/>
        </w:rPr>
      </w:pPr>
      <w:r w:rsidRPr="001D6F92">
        <w:rPr>
          <w:rFonts w:asciiTheme="majorBidi" w:hAnsiTheme="majorBidi" w:cstheme="majorBidi"/>
          <w:sz w:val="28"/>
          <w:szCs w:val="28"/>
          <w:lang w:bidi="fa-IR"/>
        </w:rPr>
        <w:t>In 2022, plans for 4,427 housing units in West Bank settlements passed a planning stage, an increase from 3,645 in 2021. The number of tenders announced accelerated in the first three months of 2023 to over 1,000. In February 2023, the Civil Administration’s Higher Planning Council approved the advancement of over 7,000 housing units in settlements, including 14 new neighborhoods, some of which could be considered to be illegal outposts; some of the approvals retroactively legalize existing construction.</w:t>
      </w:r>
      <w:r w:rsidRPr="001D6F92">
        <w:rPr>
          <w:rStyle w:val="FootnoteReference"/>
          <w:rFonts w:asciiTheme="majorBidi" w:hAnsiTheme="majorBidi" w:cstheme="majorBidi"/>
          <w:sz w:val="28"/>
          <w:szCs w:val="28"/>
        </w:rPr>
        <w:t xml:space="preserve"> </w:t>
      </w:r>
      <w:r w:rsidRPr="001D6F92">
        <w:rPr>
          <w:rStyle w:val="FootnoteReference"/>
          <w:rFonts w:asciiTheme="majorBidi" w:hAnsiTheme="majorBidi" w:cstheme="majorBidi"/>
          <w:sz w:val="28"/>
          <w:szCs w:val="28"/>
        </w:rPr>
        <w:footnoteReference w:id="10"/>
      </w:r>
    </w:p>
    <w:p w:rsidR="00714C18" w:rsidRPr="0061755F" w:rsidRDefault="00714C18" w:rsidP="0061755F">
      <w:pPr>
        <w:pStyle w:val="ListParagraph"/>
        <w:spacing w:line="276" w:lineRule="auto"/>
        <w:jc w:val="both"/>
        <w:rPr>
          <w:rFonts w:asciiTheme="majorBidi" w:hAnsiTheme="majorBidi" w:cstheme="majorBidi"/>
          <w:sz w:val="28"/>
          <w:szCs w:val="28"/>
          <w:lang w:bidi="fa-IR"/>
        </w:rPr>
      </w:pPr>
    </w:p>
    <w:sectPr w:rsidR="00714C18" w:rsidRPr="0061755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94C4F" w:rsidRDefault="00094C4F" w:rsidP="00EC1E60">
      <w:pPr>
        <w:spacing w:after="0" w:line="240" w:lineRule="auto"/>
      </w:pPr>
      <w:r>
        <w:separator/>
      </w:r>
    </w:p>
  </w:endnote>
  <w:endnote w:type="continuationSeparator" w:id="0">
    <w:p w:rsidR="00094C4F" w:rsidRDefault="00094C4F" w:rsidP="00EC1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94C4F" w:rsidRDefault="00094C4F" w:rsidP="00EC1E60">
      <w:pPr>
        <w:spacing w:after="0" w:line="240" w:lineRule="auto"/>
      </w:pPr>
      <w:r>
        <w:separator/>
      </w:r>
    </w:p>
  </w:footnote>
  <w:footnote w:type="continuationSeparator" w:id="0">
    <w:p w:rsidR="00094C4F" w:rsidRDefault="00094C4F" w:rsidP="00EC1E60">
      <w:pPr>
        <w:spacing w:after="0" w:line="240" w:lineRule="auto"/>
      </w:pPr>
      <w:r>
        <w:continuationSeparator/>
      </w:r>
    </w:p>
  </w:footnote>
  <w:footnote w:id="1">
    <w:p w:rsidR="00687229" w:rsidRPr="00983BF9" w:rsidRDefault="00687229" w:rsidP="00687229">
      <w:pPr>
        <w:spacing w:line="276" w:lineRule="auto"/>
        <w:rPr>
          <w:rFonts w:asciiTheme="majorBidi" w:hAnsiTheme="majorBidi" w:cstheme="majorBidi"/>
          <w:b/>
          <w:bCs/>
        </w:rPr>
      </w:pPr>
      <w:r w:rsidRPr="00983BF9">
        <w:rPr>
          <w:rStyle w:val="FootnoteReference"/>
          <w:vertAlign w:val="baseline"/>
        </w:rPr>
        <w:footnoteRef/>
      </w:r>
      <w:r w:rsidRPr="00983BF9">
        <w:t xml:space="preserve"> </w:t>
      </w:r>
      <w:hyperlink r:id="rId1" w:history="1">
        <w:r w:rsidRPr="00983BF9">
          <w:rPr>
            <w:rStyle w:val="Hyperlink"/>
            <w:rFonts w:asciiTheme="majorBidi" w:hAnsiTheme="majorBidi" w:cstheme="majorBidi"/>
            <w:b/>
            <w:bCs/>
          </w:rPr>
          <w:t>info@womenrightful.com</w:t>
        </w:r>
      </w:hyperlink>
      <w:r w:rsidRPr="00983BF9">
        <w:rPr>
          <w:rFonts w:asciiTheme="majorBidi" w:hAnsiTheme="majorBidi" w:cstheme="majorBidi"/>
          <w:b/>
          <w:bCs/>
        </w:rPr>
        <w:t xml:space="preserve"> // www.womenrightful.com</w:t>
      </w:r>
    </w:p>
  </w:footnote>
  <w:footnote w:id="2">
    <w:p w:rsidR="00761387" w:rsidRPr="00C4080E" w:rsidRDefault="00761387">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A40FA2" w:rsidRPr="00A40FA2">
        <w:rPr>
          <w:rFonts w:asciiTheme="majorBidi" w:hAnsiTheme="majorBidi" w:cstheme="majorBidi"/>
        </w:rPr>
        <w:t>https://www.alhaq.org/cached_uploads/download/2021/08/10/al-haq-parrallel-report-to-the-un-cescr-69th-pre-sessional-working-group-1628585015.pdf</w:t>
      </w:r>
    </w:p>
  </w:footnote>
  <w:footnote w:id="3">
    <w:p w:rsidR="005A64F9" w:rsidRPr="00C4080E" w:rsidRDefault="00485E1B" w:rsidP="003112DA">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4B0FD2" w:rsidRPr="00C4080E">
        <w:rPr>
          <w:rFonts w:asciiTheme="majorBidi" w:hAnsiTheme="majorBidi" w:cstheme="majorBidi"/>
        </w:rPr>
        <w:t>https://www.pcbs.gov.ps/post.aspx?lang=en&amp;ItemID=4559</w:t>
      </w:r>
    </w:p>
  </w:footnote>
  <w:footnote w:id="4">
    <w:p w:rsidR="000067C3" w:rsidRPr="00C4080E" w:rsidRDefault="000067C3">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3112DA" w:rsidRPr="00C4080E">
        <w:rPr>
          <w:rFonts w:asciiTheme="majorBidi" w:hAnsiTheme="majorBidi" w:cstheme="majorBidi"/>
        </w:rPr>
        <w:t>https://www.pcbs.gov.ps/portals/_pcbs/PressRelease/Press_En_LFSQ022023E.pdf</w:t>
      </w:r>
    </w:p>
  </w:footnote>
  <w:footnote w:id="5">
    <w:p w:rsidR="002C5151" w:rsidRPr="00C4080E" w:rsidRDefault="002C5151" w:rsidP="002C5151">
      <w:pPr>
        <w:pStyle w:val="FootnoteText"/>
        <w:rPr>
          <w:rFonts w:asciiTheme="majorBidi" w:hAnsiTheme="majorBidi" w:cstheme="majorBidi"/>
          <w:rtl/>
          <w:lang w:bidi="fa-IR"/>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https://reliefweb.int/report/occupied-palestinian-territory/valuing-womens-work-conference-statement-value-all-womens-work-deserves-be-recognized-fairly-measured-and-invested-part-economy</w:t>
      </w:r>
    </w:p>
  </w:footnote>
  <w:footnote w:id="6">
    <w:p w:rsidR="00C27373" w:rsidRPr="00C4080E" w:rsidRDefault="00C27373">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9667A8" w:rsidRPr="00C4080E">
        <w:rPr>
          <w:rFonts w:asciiTheme="majorBidi" w:hAnsiTheme="majorBidi" w:cstheme="majorBidi"/>
        </w:rPr>
        <w:t>https://www.unescwa.org/publications/social-economic-situation-palestinian-women-girls</w:t>
      </w:r>
    </w:p>
  </w:footnote>
  <w:footnote w:id="7">
    <w:p w:rsidR="00C429BB" w:rsidRPr="00C4080E" w:rsidRDefault="00C429BB">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353E6D" w:rsidRPr="00C4080E">
        <w:rPr>
          <w:rFonts w:asciiTheme="majorBidi" w:hAnsiTheme="majorBidi" w:cstheme="majorBidi"/>
        </w:rPr>
        <w:t>https://english.wafa.ps/Pages/Details/133389</w:t>
      </w:r>
    </w:p>
  </w:footnote>
  <w:footnote w:id="8">
    <w:p w:rsidR="005C5BA1" w:rsidRPr="00C4080E" w:rsidRDefault="005C5BA1">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00C2172F" w:rsidRPr="00C4080E">
        <w:rPr>
          <w:rFonts w:asciiTheme="majorBidi" w:hAnsiTheme="majorBidi" w:cstheme="majorBidi"/>
        </w:rPr>
        <w:t>https://arabtradeunion.org/news/palestine-a-high-tension-proposal-for-social-security</w:t>
      </w:r>
    </w:p>
  </w:footnote>
  <w:footnote w:id="9">
    <w:p w:rsidR="000474C8" w:rsidRPr="00C4080E" w:rsidRDefault="000474C8" w:rsidP="000474C8">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r w:rsidRPr="002C7464">
        <w:rPr>
          <w:rFonts w:asciiTheme="majorBidi" w:hAnsiTheme="majorBidi" w:cstheme="majorBidi"/>
        </w:rPr>
        <w:t>https://www.pcbs.gov.ps/portals/_pcbs/PressRelease/Press_En_LFSQ022023E.pdf</w:t>
      </w:r>
    </w:p>
  </w:footnote>
  <w:footnote w:id="10">
    <w:p w:rsidR="009162FA" w:rsidRPr="00C4080E" w:rsidRDefault="009162FA" w:rsidP="00C4080E">
      <w:pPr>
        <w:pStyle w:val="FootnoteText"/>
        <w:rPr>
          <w:rFonts w:asciiTheme="majorBidi" w:hAnsiTheme="majorBidi" w:cstheme="majorBidi"/>
        </w:rPr>
      </w:pPr>
      <w:r w:rsidRPr="00C4080E">
        <w:rPr>
          <w:rStyle w:val="FootnoteReference"/>
          <w:rFonts w:asciiTheme="majorBidi" w:hAnsiTheme="majorBidi" w:cstheme="majorBidi"/>
          <w:vertAlign w:val="baseline"/>
        </w:rPr>
        <w:footnoteRef/>
      </w:r>
      <w:r w:rsidRPr="00C4080E">
        <w:rPr>
          <w:rFonts w:asciiTheme="majorBidi" w:hAnsiTheme="majorBidi" w:cstheme="majorBidi"/>
        </w:rPr>
        <w:t xml:space="preserve"> </w:t>
      </w:r>
      <w:hyperlink r:id="rId2" w:history="1">
        <w:r w:rsidRPr="00C4080E">
          <w:rPr>
            <w:rStyle w:val="Hyperlink"/>
            <w:rFonts w:asciiTheme="majorBidi" w:hAnsiTheme="majorBidi" w:cstheme="majorBidi"/>
          </w:rPr>
          <w:t>https://www.ilo.org/wcmsp5/groups/public/---ed_norm/---</w:t>
        </w:r>
      </w:hyperlink>
      <w:r w:rsidRPr="00C4080E">
        <w:rPr>
          <w:rFonts w:asciiTheme="majorBidi" w:hAnsiTheme="majorBidi" w:cstheme="majorBidi"/>
        </w:rPr>
        <w:t>relconf/documents/meetingdocument/wcms_883198.pdf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47F9" w:rsidRDefault="003D47F9" w:rsidP="003D47F9">
    <w:pPr>
      <w:pStyle w:val="Header"/>
      <w:bidi/>
      <w:jc w:val="center"/>
    </w:pPr>
    <w:r>
      <w:rPr>
        <w:noProof/>
      </w:rPr>
      <w:drawing>
        <wp:inline distT="0" distB="0" distL="0" distR="0">
          <wp:extent cx="953549" cy="11462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pwr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390" cy="11689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62865"/>
    <w:multiLevelType w:val="hybridMultilevel"/>
    <w:tmpl w:val="CC8C90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090770"/>
    <w:multiLevelType w:val="hybridMultilevel"/>
    <w:tmpl w:val="4D5AF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1993474">
    <w:abstractNumId w:val="1"/>
  </w:num>
  <w:num w:numId="2" w16cid:durableId="622930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E8"/>
    <w:rsid w:val="000067C3"/>
    <w:rsid w:val="000474C8"/>
    <w:rsid w:val="00051268"/>
    <w:rsid w:val="00090231"/>
    <w:rsid w:val="000935E7"/>
    <w:rsid w:val="00094C4F"/>
    <w:rsid w:val="000A2EA8"/>
    <w:rsid w:val="000C1688"/>
    <w:rsid w:val="000C6770"/>
    <w:rsid w:val="0013604C"/>
    <w:rsid w:val="001409B9"/>
    <w:rsid w:val="001C5021"/>
    <w:rsid w:val="001D090D"/>
    <w:rsid w:val="001D3B25"/>
    <w:rsid w:val="001D6F92"/>
    <w:rsid w:val="001F5281"/>
    <w:rsid w:val="00202F96"/>
    <w:rsid w:val="00220F80"/>
    <w:rsid w:val="002749AC"/>
    <w:rsid w:val="0028384A"/>
    <w:rsid w:val="002A01FF"/>
    <w:rsid w:val="002B7F70"/>
    <w:rsid w:val="002C1FB1"/>
    <w:rsid w:val="002C5151"/>
    <w:rsid w:val="002C7464"/>
    <w:rsid w:val="002E5DBC"/>
    <w:rsid w:val="003112DA"/>
    <w:rsid w:val="00327A4F"/>
    <w:rsid w:val="00332847"/>
    <w:rsid w:val="00332DD3"/>
    <w:rsid w:val="00353E6D"/>
    <w:rsid w:val="003547BA"/>
    <w:rsid w:val="00381F5E"/>
    <w:rsid w:val="00391D7C"/>
    <w:rsid w:val="003C63A0"/>
    <w:rsid w:val="003D47F9"/>
    <w:rsid w:val="003F18C3"/>
    <w:rsid w:val="003F1C2C"/>
    <w:rsid w:val="00403B04"/>
    <w:rsid w:val="004340AB"/>
    <w:rsid w:val="00435E50"/>
    <w:rsid w:val="00440E73"/>
    <w:rsid w:val="004425DB"/>
    <w:rsid w:val="0048092F"/>
    <w:rsid w:val="00485E1B"/>
    <w:rsid w:val="004B0FD2"/>
    <w:rsid w:val="00504809"/>
    <w:rsid w:val="005A03BF"/>
    <w:rsid w:val="005A64F9"/>
    <w:rsid w:val="005C5BA1"/>
    <w:rsid w:val="00601424"/>
    <w:rsid w:val="0061755F"/>
    <w:rsid w:val="00632803"/>
    <w:rsid w:val="0065173E"/>
    <w:rsid w:val="00661B8F"/>
    <w:rsid w:val="00665F14"/>
    <w:rsid w:val="006672C1"/>
    <w:rsid w:val="00674275"/>
    <w:rsid w:val="00687229"/>
    <w:rsid w:val="006905FC"/>
    <w:rsid w:val="00694583"/>
    <w:rsid w:val="006C6011"/>
    <w:rsid w:val="006F608E"/>
    <w:rsid w:val="00700F24"/>
    <w:rsid w:val="007116F7"/>
    <w:rsid w:val="00714C18"/>
    <w:rsid w:val="007423A6"/>
    <w:rsid w:val="007500A7"/>
    <w:rsid w:val="00761387"/>
    <w:rsid w:val="00767931"/>
    <w:rsid w:val="0077779A"/>
    <w:rsid w:val="007B33BA"/>
    <w:rsid w:val="007C36F6"/>
    <w:rsid w:val="007F6BE0"/>
    <w:rsid w:val="008138A5"/>
    <w:rsid w:val="00863325"/>
    <w:rsid w:val="0087247C"/>
    <w:rsid w:val="008C09D4"/>
    <w:rsid w:val="00905C00"/>
    <w:rsid w:val="009162FA"/>
    <w:rsid w:val="00933132"/>
    <w:rsid w:val="00952661"/>
    <w:rsid w:val="009667A8"/>
    <w:rsid w:val="00982289"/>
    <w:rsid w:val="00983BF9"/>
    <w:rsid w:val="00986F1E"/>
    <w:rsid w:val="009D7AD1"/>
    <w:rsid w:val="00A40FA2"/>
    <w:rsid w:val="00AA09C2"/>
    <w:rsid w:val="00AA39FC"/>
    <w:rsid w:val="00B05FF4"/>
    <w:rsid w:val="00B3462A"/>
    <w:rsid w:val="00B42AC2"/>
    <w:rsid w:val="00B67CC1"/>
    <w:rsid w:val="00B8213B"/>
    <w:rsid w:val="00B83103"/>
    <w:rsid w:val="00BA56BD"/>
    <w:rsid w:val="00C107B2"/>
    <w:rsid w:val="00C2172F"/>
    <w:rsid w:val="00C27373"/>
    <w:rsid w:val="00C4080E"/>
    <w:rsid w:val="00C429BB"/>
    <w:rsid w:val="00C46545"/>
    <w:rsid w:val="00CA16D5"/>
    <w:rsid w:val="00CE1B3A"/>
    <w:rsid w:val="00CE57AA"/>
    <w:rsid w:val="00D27A01"/>
    <w:rsid w:val="00D8355E"/>
    <w:rsid w:val="00DA37B7"/>
    <w:rsid w:val="00DD69D7"/>
    <w:rsid w:val="00DF42FE"/>
    <w:rsid w:val="00E1240A"/>
    <w:rsid w:val="00E76C7D"/>
    <w:rsid w:val="00E95414"/>
    <w:rsid w:val="00EC1E60"/>
    <w:rsid w:val="00F131F5"/>
    <w:rsid w:val="00F159FD"/>
    <w:rsid w:val="00F26C3D"/>
    <w:rsid w:val="00F56EE8"/>
    <w:rsid w:val="00FA7132"/>
    <w:rsid w:val="00FB5AE7"/>
    <w:rsid w:val="00FE0017"/>
    <w:rsid w:val="00FE6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D234E9D-5A8A-49F6-AE93-D60EBCDDF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9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1E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1E60"/>
    <w:rPr>
      <w:sz w:val="20"/>
      <w:szCs w:val="20"/>
    </w:rPr>
  </w:style>
  <w:style w:type="character" w:styleId="FootnoteReference">
    <w:name w:val="footnote reference"/>
    <w:basedOn w:val="DefaultParagraphFont"/>
    <w:uiPriority w:val="99"/>
    <w:semiHidden/>
    <w:unhideWhenUsed/>
    <w:rsid w:val="00EC1E60"/>
    <w:rPr>
      <w:vertAlign w:val="superscript"/>
    </w:rPr>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2E5DBC"/>
    <w:pPr>
      <w:ind w:left="720"/>
      <w:contextualSpacing/>
    </w:pPr>
  </w:style>
  <w:style w:type="paragraph" w:styleId="NoSpacing">
    <w:name w:val="No Spacing"/>
    <w:uiPriority w:val="1"/>
    <w:qFormat/>
    <w:rsid w:val="00DD69D7"/>
    <w:pPr>
      <w:spacing w:after="0" w:line="240" w:lineRule="auto"/>
    </w:pPr>
  </w:style>
  <w:style w:type="character" w:customStyle="1" w:styleId="Heading1Char">
    <w:name w:val="Heading 1 Char"/>
    <w:basedOn w:val="DefaultParagraphFont"/>
    <w:link w:val="Heading1"/>
    <w:uiPriority w:val="9"/>
    <w:rsid w:val="00DD69D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BA56BD"/>
    <w:rPr>
      <w:color w:val="0563C1" w:themeColor="hyperlink"/>
      <w:u w:val="single"/>
    </w:rPr>
  </w:style>
  <w:style w:type="paragraph" w:styleId="Header">
    <w:name w:val="header"/>
    <w:basedOn w:val="Normal"/>
    <w:link w:val="HeaderChar"/>
    <w:uiPriority w:val="99"/>
    <w:unhideWhenUsed/>
    <w:rsid w:val="00480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92F"/>
  </w:style>
  <w:style w:type="paragraph" w:styleId="Footer">
    <w:name w:val="footer"/>
    <w:basedOn w:val="Normal"/>
    <w:link w:val="FooterChar"/>
    <w:uiPriority w:val="99"/>
    <w:unhideWhenUsed/>
    <w:rsid w:val="00480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92F"/>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link w:val="ListParagraph"/>
    <w:uiPriority w:val="34"/>
    <w:qFormat/>
    <w:locked/>
    <w:rsid w:val="00933132"/>
  </w:style>
  <w:style w:type="table" w:styleId="TableGrid">
    <w:name w:val="Table Grid"/>
    <w:basedOn w:val="TableNormal"/>
    <w:uiPriority w:val="59"/>
    <w:rsid w:val="0093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020427">
      <w:bodyDiv w:val="1"/>
      <w:marLeft w:val="0"/>
      <w:marRight w:val="0"/>
      <w:marTop w:val="0"/>
      <w:marBottom w:val="0"/>
      <w:divBdr>
        <w:top w:val="none" w:sz="0" w:space="0" w:color="auto"/>
        <w:left w:val="none" w:sz="0" w:space="0" w:color="auto"/>
        <w:bottom w:val="none" w:sz="0" w:space="0" w:color="auto"/>
        <w:right w:val="none" w:sz="0" w:space="0" w:color="auto"/>
      </w:divBdr>
    </w:div>
    <w:div w:id="190626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lo.org/wcmsp5/groups/public/---ed_norm/---" TargetMode="External"/><Relationship Id="rId1" Type="http://schemas.openxmlformats.org/officeDocument/2006/relationships/hyperlink" Target="mailto:info@womenrightfu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2025</Words>
  <Characters>10368</Characters>
  <Application>Microsoft Office Word</Application>
  <DocSecurity>0</DocSecurity>
  <Lines>188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Celine Reynaud</cp:lastModifiedBy>
  <cp:revision>2</cp:revision>
  <dcterms:created xsi:type="dcterms:W3CDTF">2023-08-28T12:49:00Z</dcterms:created>
  <dcterms:modified xsi:type="dcterms:W3CDTF">2023-08-28T12:49:00Z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820b413b1db38ffd0123f3d6cd2224048f4735f8767aa04100dcb1997c5a9d72</vt:lpwstr>
  </property>
</Properties>
</file>