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03768" w14:textId="77777777" w:rsidR="002404BC" w:rsidRDefault="002404BC" w:rsidP="00C814B1">
      <w:pPr>
        <w:bidi/>
        <w:jc w:val="center"/>
        <w:rPr>
          <w:rFonts w:asciiTheme="majorBidi" w:hAnsiTheme="majorBidi" w:cstheme="majorBidi"/>
          <w:b/>
          <w:bCs/>
          <w:sz w:val="26"/>
          <w:szCs w:val="26"/>
          <w:shd w:val="clear" w:color="auto" w:fill="FFFFFF"/>
        </w:rPr>
      </w:pPr>
    </w:p>
    <w:p w14:paraId="5451E2E3" w14:textId="77777777" w:rsidR="002404BC" w:rsidRDefault="002404BC" w:rsidP="002404BC">
      <w:pPr>
        <w:spacing w:after="0" w:line="360" w:lineRule="auto"/>
        <w:jc w:val="center"/>
        <w:rPr>
          <w:rFonts w:asciiTheme="minorBidi" w:hAnsiTheme="minorBidi"/>
          <w:b/>
          <w:bCs/>
          <w:sz w:val="24"/>
          <w:szCs w:val="24"/>
          <w:shd w:val="clear" w:color="auto" w:fill="FFFFFF"/>
        </w:rPr>
      </w:pPr>
      <w:r>
        <w:rPr>
          <w:rFonts w:asciiTheme="minorBidi" w:hAnsiTheme="minorBidi"/>
          <w:b/>
          <w:bCs/>
          <w:noProof/>
          <w:sz w:val="24"/>
          <w:szCs w:val="24"/>
          <w:shd w:val="clear" w:color="auto" w:fill="FFFFFF"/>
        </w:rPr>
        <w:drawing>
          <wp:inline distT="0" distB="0" distL="0" distR="0" wp14:anchorId="3E03C05D" wp14:editId="11E452CB">
            <wp:extent cx="1066800" cy="12824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pwr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2574" cy="1301393"/>
                    </a:xfrm>
                    <a:prstGeom prst="rect">
                      <a:avLst/>
                    </a:prstGeom>
                  </pic:spPr>
                </pic:pic>
              </a:graphicData>
            </a:graphic>
          </wp:inline>
        </w:drawing>
      </w:r>
    </w:p>
    <w:p w14:paraId="647A0484" w14:textId="77777777" w:rsidR="002404BC" w:rsidRDefault="002404BC" w:rsidP="002404BC">
      <w:pPr>
        <w:spacing w:after="0" w:line="360" w:lineRule="auto"/>
        <w:jc w:val="center"/>
        <w:rPr>
          <w:rFonts w:asciiTheme="minorBidi" w:hAnsiTheme="minorBidi"/>
          <w:b/>
          <w:bCs/>
          <w:sz w:val="24"/>
          <w:szCs w:val="24"/>
          <w:shd w:val="clear" w:color="auto" w:fill="FFFFFF"/>
        </w:rPr>
      </w:pPr>
    </w:p>
    <w:p w14:paraId="380C24EE" w14:textId="7DEA5CA1" w:rsidR="002404BC" w:rsidRDefault="002404BC" w:rsidP="002404BC">
      <w:pPr>
        <w:spacing w:after="0" w:line="360" w:lineRule="auto"/>
        <w:jc w:val="center"/>
        <w:rPr>
          <w:rFonts w:asciiTheme="minorBidi" w:hAnsiTheme="minorBidi"/>
          <w:b/>
          <w:bCs/>
          <w:sz w:val="24"/>
          <w:szCs w:val="24"/>
          <w:shd w:val="clear" w:color="auto" w:fill="FFFFFF"/>
          <w:rtl/>
        </w:rPr>
      </w:pPr>
      <w:r w:rsidRPr="0068451E">
        <w:rPr>
          <w:rFonts w:asciiTheme="minorBidi" w:hAnsiTheme="minorBidi"/>
          <w:b/>
          <w:bCs/>
          <w:sz w:val="24"/>
          <w:szCs w:val="24"/>
          <w:shd w:val="clear" w:color="auto" w:fill="FFFFFF"/>
        </w:rPr>
        <w:t xml:space="preserve">The report of </w:t>
      </w:r>
      <w:r>
        <w:rPr>
          <w:rFonts w:asciiTheme="minorBidi" w:hAnsiTheme="minorBidi"/>
          <w:b/>
          <w:bCs/>
          <w:sz w:val="24"/>
          <w:szCs w:val="24"/>
          <w:shd w:val="clear" w:color="auto" w:fill="FFFFFF"/>
        </w:rPr>
        <w:t xml:space="preserve">the </w:t>
      </w:r>
      <w:r w:rsidRPr="00122285">
        <w:rPr>
          <w:rFonts w:asciiTheme="minorBidi" w:hAnsiTheme="minorBidi"/>
          <w:b/>
          <w:bCs/>
          <w:sz w:val="24"/>
          <w:szCs w:val="24"/>
          <w:shd w:val="clear" w:color="auto" w:fill="FFFFFF"/>
        </w:rPr>
        <w:t>Institute for Protection of Women`s Rights (IPWR),</w:t>
      </w:r>
    </w:p>
    <w:p w14:paraId="44F1844B" w14:textId="77777777" w:rsidR="002404BC" w:rsidRDefault="002404BC" w:rsidP="002404BC">
      <w:pPr>
        <w:spacing w:after="0" w:line="360" w:lineRule="auto"/>
        <w:jc w:val="center"/>
        <w:rPr>
          <w:rFonts w:asciiTheme="minorBidi" w:hAnsiTheme="minorBidi"/>
          <w:b/>
          <w:bCs/>
          <w:sz w:val="24"/>
          <w:szCs w:val="24"/>
          <w:shd w:val="clear" w:color="auto" w:fill="FFFFFF"/>
        </w:rPr>
      </w:pPr>
      <w:r>
        <w:rPr>
          <w:rFonts w:asciiTheme="minorBidi" w:hAnsiTheme="minorBidi" w:hint="cs"/>
          <w:b/>
          <w:bCs/>
          <w:sz w:val="24"/>
          <w:szCs w:val="24"/>
          <w:shd w:val="clear" w:color="auto" w:fill="FFFFFF"/>
          <w:rtl/>
        </w:rPr>
        <w:t xml:space="preserve"> </w:t>
      </w:r>
      <w:r w:rsidRPr="00BF04A9">
        <w:rPr>
          <w:rFonts w:asciiTheme="minorBidi" w:hAnsiTheme="minorBidi"/>
          <w:b/>
          <w:bCs/>
          <w:sz w:val="24"/>
          <w:szCs w:val="24"/>
          <w:shd w:val="clear" w:color="auto" w:fill="FFFFFF"/>
        </w:rPr>
        <w:t>for the 139</w:t>
      </w:r>
      <w:r w:rsidRPr="00122285">
        <w:rPr>
          <w:rFonts w:asciiTheme="minorBidi" w:hAnsiTheme="minorBidi"/>
          <w:b/>
          <w:bCs/>
          <w:sz w:val="24"/>
          <w:szCs w:val="24"/>
          <w:shd w:val="clear" w:color="auto" w:fill="FFFFFF"/>
          <w:vertAlign w:val="superscript"/>
        </w:rPr>
        <w:t>th</w:t>
      </w:r>
      <w:r>
        <w:rPr>
          <w:rFonts w:asciiTheme="minorBidi" w:hAnsiTheme="minorBidi"/>
          <w:b/>
          <w:bCs/>
          <w:sz w:val="24"/>
          <w:szCs w:val="24"/>
          <w:shd w:val="clear" w:color="auto" w:fill="FFFFFF"/>
        </w:rPr>
        <w:t xml:space="preserve"> </w:t>
      </w:r>
      <w:r w:rsidRPr="00BF04A9">
        <w:rPr>
          <w:rFonts w:asciiTheme="minorBidi" w:hAnsiTheme="minorBidi"/>
          <w:b/>
          <w:bCs/>
          <w:sz w:val="24"/>
          <w:szCs w:val="24"/>
          <w:shd w:val="clear" w:color="auto" w:fill="FFFFFF"/>
        </w:rPr>
        <w:t xml:space="preserve">meeting of </w:t>
      </w:r>
      <w:r w:rsidRPr="00122285">
        <w:rPr>
          <w:rFonts w:asciiTheme="minorBidi" w:hAnsiTheme="minorBidi"/>
          <w:b/>
          <w:bCs/>
          <w:sz w:val="24"/>
          <w:szCs w:val="24"/>
          <w:shd w:val="clear" w:color="auto" w:fill="FFFFFF"/>
        </w:rPr>
        <w:t>The Human Rights Committee</w:t>
      </w:r>
    </w:p>
    <w:p w14:paraId="006D162E" w14:textId="3F71D080" w:rsidR="002404BC" w:rsidRPr="00CA49FC" w:rsidRDefault="00E8351A" w:rsidP="002404BC">
      <w:pPr>
        <w:spacing w:after="0" w:line="360" w:lineRule="auto"/>
        <w:jc w:val="center"/>
        <w:rPr>
          <w:rFonts w:asciiTheme="minorBidi" w:hAnsiTheme="minorBidi"/>
          <w:b/>
          <w:bCs/>
          <w:sz w:val="24"/>
          <w:szCs w:val="24"/>
          <w:u w:val="single"/>
          <w:shd w:val="clear" w:color="auto" w:fill="FFFFFF"/>
        </w:rPr>
      </w:pPr>
      <w:r>
        <w:rPr>
          <w:rFonts w:asciiTheme="minorBidi" w:hAnsiTheme="minorBidi"/>
          <w:b/>
          <w:bCs/>
          <w:sz w:val="24"/>
          <w:szCs w:val="24"/>
          <w:u w:val="single"/>
          <w:shd w:val="clear" w:color="auto" w:fill="FFFFFF"/>
        </w:rPr>
        <w:t xml:space="preserve">United States </w:t>
      </w:r>
    </w:p>
    <w:p w14:paraId="73F88985" w14:textId="77777777" w:rsidR="002404BC" w:rsidRDefault="002404BC" w:rsidP="002404BC">
      <w:pPr>
        <w:spacing w:line="240" w:lineRule="auto"/>
        <w:jc w:val="right"/>
        <w:rPr>
          <w:rFonts w:ascii="Times New Roman" w:eastAsia="Times New Roman" w:hAnsi="Times New Roman" w:cs="Times New Roman"/>
          <w:color w:val="222222"/>
          <w:sz w:val="24"/>
          <w:szCs w:val="24"/>
          <w:highlight w:val="white"/>
        </w:rPr>
      </w:pPr>
    </w:p>
    <w:p w14:paraId="20C0B6F8" w14:textId="77777777" w:rsidR="002404BC" w:rsidRDefault="002404BC" w:rsidP="002404B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Human Rights Committee Secretariat</w:t>
      </w:r>
    </w:p>
    <w:p w14:paraId="1C380CA8" w14:textId="77777777" w:rsidR="002404BC" w:rsidRDefault="002404BC" w:rsidP="002404B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8-14 Avenue de la </w:t>
      </w:r>
      <w:proofErr w:type="spellStart"/>
      <w:r>
        <w:rPr>
          <w:rFonts w:ascii="Times New Roman" w:eastAsia="Times New Roman" w:hAnsi="Times New Roman" w:cs="Times New Roman"/>
          <w:color w:val="222222"/>
          <w:sz w:val="24"/>
          <w:szCs w:val="24"/>
          <w:highlight w:val="white"/>
        </w:rPr>
        <w:t>Paix</w:t>
      </w:r>
      <w:proofErr w:type="spellEnd"/>
    </w:p>
    <w:p w14:paraId="2D4A443A" w14:textId="77777777" w:rsidR="002404BC" w:rsidRDefault="002404BC" w:rsidP="002404B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CH 1211 Geneva 10</w:t>
      </w:r>
    </w:p>
    <w:p w14:paraId="15282B95" w14:textId="77777777" w:rsidR="002404BC" w:rsidRDefault="002404BC" w:rsidP="002404B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Switzerland</w:t>
      </w:r>
    </w:p>
    <w:p w14:paraId="411CA3AF" w14:textId="77777777" w:rsidR="002404BC" w:rsidRDefault="002404BC" w:rsidP="002404B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Via Email</w:t>
      </w:r>
      <w:r>
        <w:rPr>
          <w:rFonts w:ascii="Times New Roman" w:eastAsia="Times New Roman" w:hAnsi="Times New Roman" w:cs="Times New Roman"/>
          <w:sz w:val="24"/>
          <w:szCs w:val="24"/>
        </w:rPr>
        <w:t xml:space="preserve">: </w:t>
      </w:r>
      <w:hyperlink r:id="rId9" w:history="1">
        <w:r w:rsidRPr="00F16FA8">
          <w:rPr>
            <w:rStyle w:val="Hyperlink"/>
            <w:rFonts w:ascii="Times New Roman" w:eastAsia="Times New Roman" w:hAnsi="Times New Roman" w:cs="Times New Roman"/>
            <w:sz w:val="24"/>
            <w:szCs w:val="24"/>
          </w:rPr>
          <w:t>OHCHR-CCPR@un.org</w:t>
        </w:r>
      </w:hyperlink>
      <w:r>
        <w:rPr>
          <w:rFonts w:ascii="Times New Roman" w:eastAsia="Times New Roman" w:hAnsi="Times New Roman" w:cs="Times New Roman"/>
          <w:sz w:val="24"/>
          <w:szCs w:val="24"/>
        </w:rPr>
        <w:t xml:space="preserve"> </w:t>
      </w:r>
    </w:p>
    <w:p w14:paraId="02C03F07" w14:textId="77777777" w:rsidR="002404BC" w:rsidRPr="006A0F42" w:rsidRDefault="002404BC" w:rsidP="002404BC">
      <w:pPr>
        <w:shd w:val="clear" w:color="auto" w:fill="FFFFFF"/>
        <w:spacing w:after="0"/>
        <w:jc w:val="both"/>
        <w:rPr>
          <w:rFonts w:ascii="Shabnam" w:eastAsia="Times New Roman" w:hAnsi="Shabnam" w:cs="Times New Roman"/>
          <w:sz w:val="26"/>
          <w:szCs w:val="30"/>
        </w:rPr>
      </w:pPr>
    </w:p>
    <w:p w14:paraId="243EA9D7" w14:textId="77777777" w:rsidR="002404BC" w:rsidRDefault="002404BC" w:rsidP="002404BC">
      <w:pPr>
        <w:jc w:val="center"/>
        <w:rPr>
          <w:rFonts w:asciiTheme="majorBidi" w:hAnsiTheme="majorBidi" w:cstheme="majorBidi"/>
          <w:b/>
          <w:bCs/>
        </w:rPr>
      </w:pPr>
    </w:p>
    <w:p w14:paraId="13065CBA" w14:textId="77777777" w:rsidR="002404BC" w:rsidRDefault="002404BC" w:rsidP="002404BC">
      <w:pPr>
        <w:jc w:val="center"/>
        <w:rPr>
          <w:rFonts w:asciiTheme="majorBidi" w:hAnsiTheme="majorBidi" w:cstheme="majorBidi"/>
          <w:b/>
          <w:bCs/>
        </w:rPr>
      </w:pPr>
      <w:r>
        <w:rPr>
          <w:noProof/>
        </w:rPr>
        <mc:AlternateContent>
          <mc:Choice Requires="wps">
            <w:drawing>
              <wp:anchor distT="0" distB="0" distL="114300" distR="114300" simplePos="0" relativeHeight="251659264" behindDoc="0" locked="0" layoutInCell="1" allowOverlap="1" wp14:anchorId="205F73B8" wp14:editId="08E70D06">
                <wp:simplePos x="0" y="0"/>
                <wp:positionH relativeFrom="column">
                  <wp:posOffset>-161925</wp:posOffset>
                </wp:positionH>
                <wp:positionV relativeFrom="paragraph">
                  <wp:posOffset>361316</wp:posOffset>
                </wp:positionV>
                <wp:extent cx="5924550" cy="2800350"/>
                <wp:effectExtent l="19050" t="19050" r="19050" b="19050"/>
                <wp:wrapNone/>
                <wp:docPr id="2" name="Rectangle 2"/>
                <wp:cNvGraphicFramePr/>
                <a:graphic xmlns:a="http://schemas.openxmlformats.org/drawingml/2006/main">
                  <a:graphicData uri="http://schemas.microsoft.com/office/word/2010/wordprocessingShape">
                    <wps:wsp>
                      <wps:cNvSpPr/>
                      <wps:spPr>
                        <a:xfrm>
                          <a:off x="0" y="0"/>
                          <a:ext cx="5924550" cy="2800350"/>
                        </a:xfrm>
                        <a:prstGeom prst="rect">
                          <a:avLst/>
                        </a:prstGeom>
                        <a:noFill/>
                        <a:ln w="28575" cap="flat" cmpd="sng" algn="ctr">
                          <a:solidFill>
                            <a:srgbClr val="4472C4"/>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2EE93A" id="Rectangle 2" o:spid="_x0000_s1026" style="position:absolute;margin-left:-12.75pt;margin-top:28.45pt;width:466.5pt;height:22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" filled="f" strokecolor="#4472c4" strokeweight="2.25pt">
                <v:stroke joinstyle="round"/>
              </v:rect>
            </w:pict>
          </mc:Fallback>
        </mc:AlternateContent>
      </w:r>
    </w:p>
    <w:p w14:paraId="761FF7DA" w14:textId="77777777" w:rsidR="002404BC" w:rsidRDefault="002404BC" w:rsidP="002404BC">
      <w:pPr>
        <w:jc w:val="center"/>
        <w:rPr>
          <w:rFonts w:asciiTheme="majorBidi" w:hAnsiTheme="majorBidi" w:cstheme="majorBidi"/>
          <w:b/>
          <w:bCs/>
        </w:rPr>
      </w:pPr>
    </w:p>
    <w:p w14:paraId="43744D72" w14:textId="77777777" w:rsidR="002404BC" w:rsidRPr="00DC7023" w:rsidRDefault="002404BC" w:rsidP="002404BC">
      <w:pPr>
        <w:jc w:val="center"/>
        <w:rPr>
          <w:rFonts w:asciiTheme="majorBidi" w:hAnsiTheme="majorBidi" w:cstheme="majorBidi"/>
          <w:b/>
          <w:bCs/>
        </w:rPr>
      </w:pPr>
      <w:r w:rsidRPr="00DC7023">
        <w:rPr>
          <w:rFonts w:asciiTheme="majorBidi" w:hAnsiTheme="majorBidi" w:cstheme="majorBidi"/>
          <w:b/>
          <w:bCs/>
        </w:rPr>
        <w:t>Submitted by:</w:t>
      </w:r>
    </w:p>
    <w:p w14:paraId="5FCBF3F1" w14:textId="77777777" w:rsidR="002404BC" w:rsidRPr="00DC7023" w:rsidRDefault="002404BC" w:rsidP="002404BC">
      <w:pPr>
        <w:jc w:val="center"/>
        <w:rPr>
          <w:rFonts w:asciiTheme="majorBidi" w:hAnsiTheme="majorBidi" w:cstheme="majorBidi"/>
          <w:b/>
          <w:bCs/>
        </w:rPr>
      </w:pPr>
      <w:r w:rsidRPr="00DC7023">
        <w:rPr>
          <w:rFonts w:asciiTheme="majorBidi" w:hAnsiTheme="majorBidi" w:cstheme="majorBidi"/>
          <w:b/>
          <w:bCs/>
        </w:rPr>
        <w:t>The Institute for the Protection of Women's Rights</w:t>
      </w:r>
    </w:p>
    <w:p w14:paraId="57CD6BDA" w14:textId="7399A814" w:rsidR="002404BC" w:rsidRPr="00DC7023" w:rsidRDefault="002404BC" w:rsidP="00E8351A">
      <w:pPr>
        <w:jc w:val="center"/>
        <w:rPr>
          <w:rFonts w:asciiTheme="majorBidi" w:hAnsiTheme="majorBidi" w:cstheme="majorBidi"/>
          <w:b/>
          <w:bCs/>
        </w:rPr>
      </w:pPr>
      <w:r w:rsidRPr="00DC7023">
        <w:rPr>
          <w:rFonts w:asciiTheme="majorBidi" w:hAnsiTheme="majorBidi" w:cstheme="majorBidi"/>
          <w:b/>
          <w:bCs/>
        </w:rPr>
        <w:t>info@womenrightful.com</w:t>
      </w:r>
    </w:p>
    <w:p w14:paraId="7EAF6C7F" w14:textId="230B788D" w:rsidR="002404BC" w:rsidRPr="00DC7023" w:rsidRDefault="002404BC" w:rsidP="00E8351A">
      <w:pPr>
        <w:jc w:val="center"/>
        <w:rPr>
          <w:rFonts w:asciiTheme="majorBidi" w:hAnsiTheme="majorBidi" w:cstheme="majorBidi"/>
          <w:b/>
          <w:bCs/>
        </w:rPr>
      </w:pPr>
      <w:r w:rsidRPr="00DC7023">
        <w:rPr>
          <w:rFonts w:asciiTheme="majorBidi" w:hAnsiTheme="majorBidi" w:cstheme="majorBidi"/>
          <w:b/>
          <w:bCs/>
        </w:rPr>
        <w:t>www.womenrightful.com</w:t>
      </w:r>
    </w:p>
    <w:p w14:paraId="2AE25054" w14:textId="77777777" w:rsidR="002404BC" w:rsidRDefault="002404BC" w:rsidP="002404BC">
      <w:pPr>
        <w:rPr>
          <w:rFonts w:ascii="Shabnam" w:eastAsia="Times New Roman" w:hAnsi="Shabnam" w:cs="Times New Roman"/>
          <w:b/>
          <w:bCs/>
          <w:sz w:val="26"/>
          <w:szCs w:val="30"/>
        </w:rPr>
      </w:pPr>
    </w:p>
    <w:p w14:paraId="47307AA9" w14:textId="77777777" w:rsidR="002404BC" w:rsidRDefault="002404BC" w:rsidP="002404BC">
      <w:pPr>
        <w:shd w:val="clear" w:color="auto" w:fill="FFFFFF"/>
        <w:spacing w:after="0"/>
        <w:jc w:val="both"/>
        <w:rPr>
          <w:rFonts w:ascii="Shabnam" w:eastAsia="Times New Roman" w:hAnsi="Shabnam" w:cs="Times New Roman"/>
          <w:b/>
          <w:bCs/>
          <w:sz w:val="26"/>
          <w:szCs w:val="30"/>
        </w:rPr>
      </w:pPr>
    </w:p>
    <w:p w14:paraId="29DE7E90" w14:textId="77777777" w:rsidR="002404BC" w:rsidRDefault="002404BC" w:rsidP="002404BC">
      <w:pPr>
        <w:shd w:val="clear" w:color="auto" w:fill="FFFFFF"/>
        <w:spacing w:after="0"/>
        <w:jc w:val="both"/>
        <w:rPr>
          <w:rFonts w:ascii="Shabnam" w:eastAsia="Times New Roman" w:hAnsi="Shabnam" w:cs="Times New Roman"/>
          <w:b/>
          <w:bCs/>
          <w:sz w:val="26"/>
          <w:szCs w:val="30"/>
        </w:rPr>
      </w:pPr>
    </w:p>
    <w:p w14:paraId="57AA13A2" w14:textId="77777777" w:rsidR="002404BC" w:rsidRDefault="002404BC" w:rsidP="002404BC">
      <w:pPr>
        <w:shd w:val="clear" w:color="auto" w:fill="FFFFFF"/>
        <w:spacing w:after="0"/>
        <w:jc w:val="both"/>
        <w:rPr>
          <w:rFonts w:ascii="Shabnam" w:eastAsia="Times New Roman" w:hAnsi="Shabnam" w:cs="Times New Roman"/>
          <w:b/>
          <w:bCs/>
          <w:sz w:val="26"/>
          <w:szCs w:val="30"/>
        </w:rPr>
      </w:pPr>
    </w:p>
    <w:p w14:paraId="32C005F8" w14:textId="77777777" w:rsidR="002404BC" w:rsidRDefault="002404BC" w:rsidP="002404BC">
      <w:pPr>
        <w:shd w:val="clear" w:color="auto" w:fill="FFFFFF"/>
        <w:spacing w:after="0"/>
        <w:jc w:val="both"/>
        <w:rPr>
          <w:rFonts w:ascii="Shabnam" w:eastAsia="Times New Roman" w:hAnsi="Shabnam" w:cs="Times New Roman"/>
          <w:b/>
          <w:bCs/>
          <w:sz w:val="26"/>
          <w:szCs w:val="30"/>
        </w:rPr>
      </w:pPr>
    </w:p>
    <w:p w14:paraId="0BB1C5F3" w14:textId="77777777" w:rsidR="002404BC" w:rsidRDefault="002404BC" w:rsidP="002404BC">
      <w:pPr>
        <w:shd w:val="clear" w:color="auto" w:fill="FFFFFF"/>
        <w:spacing w:after="0"/>
        <w:jc w:val="both"/>
        <w:rPr>
          <w:rFonts w:ascii="Shabnam" w:eastAsia="Times New Roman" w:hAnsi="Shabnam" w:cs="Times New Roman"/>
          <w:b/>
          <w:bCs/>
          <w:sz w:val="26"/>
          <w:szCs w:val="30"/>
        </w:rPr>
      </w:pPr>
    </w:p>
    <w:p w14:paraId="39047DAF" w14:textId="77777777" w:rsidR="002404BC" w:rsidRDefault="002404BC" w:rsidP="002404BC">
      <w:pPr>
        <w:bidi/>
        <w:jc w:val="center"/>
        <w:rPr>
          <w:rFonts w:asciiTheme="majorBidi" w:hAnsiTheme="majorBidi" w:cstheme="majorBidi"/>
          <w:b/>
          <w:bCs/>
          <w:sz w:val="26"/>
          <w:szCs w:val="26"/>
          <w:shd w:val="clear" w:color="auto" w:fill="FFFFFF"/>
        </w:rPr>
      </w:pPr>
    </w:p>
    <w:p w14:paraId="24E7C4F1" w14:textId="77777777" w:rsidR="002404BC" w:rsidRDefault="002404BC" w:rsidP="002404BC">
      <w:pPr>
        <w:bidi/>
        <w:jc w:val="center"/>
        <w:rPr>
          <w:rFonts w:asciiTheme="majorBidi" w:hAnsiTheme="majorBidi" w:cstheme="majorBidi"/>
          <w:b/>
          <w:bCs/>
          <w:sz w:val="26"/>
          <w:szCs w:val="26"/>
          <w:shd w:val="clear" w:color="auto" w:fill="FFFFFF"/>
        </w:rPr>
      </w:pPr>
    </w:p>
    <w:p w14:paraId="7C52729A" w14:textId="77777777" w:rsidR="00AB497A" w:rsidRPr="00915DA2" w:rsidRDefault="00AB497A" w:rsidP="008355B9">
      <w:pPr>
        <w:bidi/>
        <w:jc w:val="center"/>
        <w:rPr>
          <w:rFonts w:asciiTheme="majorBidi" w:hAnsiTheme="majorBidi" w:cstheme="majorBidi"/>
          <w:b/>
          <w:bCs/>
          <w:sz w:val="26"/>
          <w:szCs w:val="26"/>
          <w:shd w:val="clear" w:color="auto" w:fill="FFFFFF"/>
        </w:rPr>
      </w:pPr>
    </w:p>
    <w:p w14:paraId="0203771C" w14:textId="77777777" w:rsidR="00AB497A" w:rsidRPr="002404BC" w:rsidRDefault="00A65F77" w:rsidP="007C2EAD">
      <w:pPr>
        <w:spacing w:after="0" w:line="276" w:lineRule="auto"/>
        <w:jc w:val="both"/>
        <w:rPr>
          <w:rFonts w:asciiTheme="majorBidi" w:hAnsiTheme="majorBidi" w:cstheme="majorBidi"/>
          <w:b/>
          <w:bCs/>
          <w:sz w:val="26"/>
          <w:szCs w:val="26"/>
          <w:shd w:val="clear" w:color="auto" w:fill="FFFFFF"/>
        </w:rPr>
      </w:pPr>
      <w:r w:rsidRPr="002404BC">
        <w:rPr>
          <w:rFonts w:asciiTheme="majorBidi" w:hAnsiTheme="majorBidi" w:cstheme="majorBidi"/>
          <w:b/>
          <w:bCs/>
          <w:sz w:val="26"/>
          <w:szCs w:val="26"/>
          <w:shd w:val="clear" w:color="auto" w:fill="FFFFFF"/>
        </w:rPr>
        <w:lastRenderedPageBreak/>
        <w:t>Overview</w:t>
      </w:r>
    </w:p>
    <w:p w14:paraId="59FD15B5" w14:textId="77777777" w:rsidR="000647CF" w:rsidRPr="00915DA2" w:rsidRDefault="000647CF" w:rsidP="00F96928">
      <w:pPr>
        <w:spacing w:after="0" w:line="276" w:lineRule="auto"/>
        <w:jc w:val="both"/>
        <w:rPr>
          <w:rFonts w:asciiTheme="majorBidi" w:hAnsiTheme="majorBidi" w:cstheme="majorBidi"/>
          <w:sz w:val="26"/>
          <w:szCs w:val="26"/>
          <w:shd w:val="clear" w:color="auto" w:fill="FFFFFF"/>
        </w:rPr>
      </w:pPr>
      <w:r w:rsidRPr="00915DA2">
        <w:rPr>
          <w:rFonts w:asciiTheme="majorBidi" w:hAnsiTheme="majorBidi" w:cstheme="majorBidi"/>
          <w:sz w:val="26"/>
          <w:szCs w:val="26"/>
          <w:shd w:val="clear" w:color="auto" w:fill="FFFFFF"/>
        </w:rPr>
        <w:t xml:space="preserve">This report </w:t>
      </w:r>
      <w:r w:rsidR="00E56837" w:rsidRPr="00915DA2">
        <w:rPr>
          <w:rFonts w:asciiTheme="majorBidi" w:hAnsiTheme="majorBidi" w:cstheme="majorBidi"/>
          <w:sz w:val="26"/>
          <w:szCs w:val="26"/>
          <w:shd w:val="clear" w:color="auto" w:fill="FFFFFF"/>
        </w:rPr>
        <w:t>is</w:t>
      </w:r>
      <w:r w:rsidRPr="00915DA2">
        <w:rPr>
          <w:rFonts w:asciiTheme="majorBidi" w:hAnsiTheme="majorBidi" w:cstheme="majorBidi"/>
          <w:sz w:val="26"/>
          <w:szCs w:val="26"/>
          <w:shd w:val="clear" w:color="auto" w:fill="FFFFFF"/>
        </w:rPr>
        <w:t xml:space="preserve"> prepared by the </w:t>
      </w:r>
      <w:r w:rsidR="00F96928" w:rsidRPr="00915DA2">
        <w:rPr>
          <w:rFonts w:asciiTheme="majorBidi" w:hAnsiTheme="majorBidi" w:cstheme="majorBidi"/>
          <w:sz w:val="26"/>
          <w:szCs w:val="26"/>
          <w:shd w:val="clear" w:color="auto" w:fill="FFFFFF"/>
        </w:rPr>
        <w:t>Institute for Protection of Women’s Rights</w:t>
      </w:r>
      <w:r w:rsidRPr="00915DA2">
        <w:rPr>
          <w:rFonts w:asciiTheme="majorBidi" w:hAnsiTheme="majorBidi" w:cstheme="majorBidi"/>
          <w:sz w:val="26"/>
          <w:szCs w:val="26"/>
          <w:shd w:val="clear" w:color="auto" w:fill="FFFFFF"/>
        </w:rPr>
        <w:t xml:space="preserve"> on the issue of arms trade and violation of articles of the International Covenant of Political and Civil Rights to be presented at the 139th meeting of the Political and Civil Rights Committee.</w:t>
      </w:r>
    </w:p>
    <w:p w14:paraId="2C5F4989" w14:textId="03F646BA" w:rsidR="009061E9" w:rsidRPr="00915DA2" w:rsidRDefault="000647CF" w:rsidP="007C2EAD">
      <w:pPr>
        <w:spacing w:after="0" w:line="276" w:lineRule="auto"/>
        <w:jc w:val="both"/>
        <w:rPr>
          <w:rFonts w:asciiTheme="majorBidi" w:hAnsiTheme="majorBidi" w:cstheme="majorBidi"/>
          <w:sz w:val="26"/>
          <w:szCs w:val="26"/>
          <w:shd w:val="clear" w:color="auto" w:fill="FFFFFF"/>
        </w:rPr>
      </w:pPr>
      <w:r w:rsidRPr="00915DA2">
        <w:rPr>
          <w:rFonts w:asciiTheme="majorBidi" w:hAnsiTheme="majorBidi" w:cstheme="majorBidi"/>
          <w:sz w:val="26"/>
          <w:szCs w:val="26"/>
          <w:shd w:val="clear" w:color="auto" w:fill="FFFFFF"/>
        </w:rPr>
        <w:t xml:space="preserve">According to the general view of the Committee on Civil and Political Rights, </w:t>
      </w:r>
      <w:r w:rsidR="009061E9" w:rsidRPr="00915DA2">
        <w:rPr>
          <w:rFonts w:asciiTheme="majorBidi" w:hAnsiTheme="majorBidi" w:cstheme="majorBidi"/>
          <w:sz w:val="26"/>
          <w:szCs w:val="26"/>
          <w:shd w:val="clear" w:color="auto" w:fill="FFFFFF"/>
        </w:rPr>
        <w:t>it</w:t>
      </w:r>
      <w:r w:rsidRPr="00915DA2">
        <w:rPr>
          <w:rFonts w:asciiTheme="majorBidi" w:hAnsiTheme="majorBidi" w:cstheme="majorBidi"/>
          <w:sz w:val="26"/>
          <w:szCs w:val="26"/>
          <w:shd w:val="clear" w:color="auto" w:fill="FFFFFF"/>
        </w:rPr>
        <w:t xml:space="preserve"> means that a state party must respect and guarantee the rights </w:t>
      </w:r>
      <w:r w:rsidR="00BA2A41" w:rsidRPr="00915DA2">
        <w:rPr>
          <w:rFonts w:asciiTheme="majorBidi" w:hAnsiTheme="majorBidi" w:cstheme="majorBidi"/>
          <w:sz w:val="26"/>
          <w:szCs w:val="26"/>
          <w:shd w:val="clear" w:color="auto" w:fill="FFFFFF"/>
        </w:rPr>
        <w:t>outlined in</w:t>
      </w:r>
      <w:r w:rsidRPr="00915DA2">
        <w:rPr>
          <w:rFonts w:asciiTheme="majorBidi" w:hAnsiTheme="majorBidi" w:cstheme="majorBidi"/>
          <w:sz w:val="26"/>
          <w:szCs w:val="26"/>
          <w:shd w:val="clear" w:color="auto" w:fill="FFFFFF"/>
        </w:rPr>
        <w:t xml:space="preserve"> the Covenant to anyone within the possession or effective control of that state party, even if </w:t>
      </w:r>
      <w:r w:rsidR="009061E9" w:rsidRPr="00915DA2">
        <w:rPr>
          <w:rFonts w:asciiTheme="majorBidi" w:hAnsiTheme="majorBidi" w:cstheme="majorBidi"/>
          <w:sz w:val="26"/>
          <w:szCs w:val="26"/>
          <w:shd w:val="clear" w:color="auto" w:fill="FFFFFF"/>
        </w:rPr>
        <w:t xml:space="preserve">it is not </w:t>
      </w:r>
      <w:r w:rsidRPr="00915DA2">
        <w:rPr>
          <w:rFonts w:asciiTheme="majorBidi" w:hAnsiTheme="majorBidi" w:cstheme="majorBidi"/>
          <w:sz w:val="26"/>
          <w:szCs w:val="26"/>
          <w:shd w:val="clear" w:color="auto" w:fill="FFFFFF"/>
        </w:rPr>
        <w:t xml:space="preserve">on </w:t>
      </w:r>
      <w:r w:rsidR="009061E9" w:rsidRPr="00915DA2">
        <w:rPr>
          <w:rFonts w:asciiTheme="majorBidi" w:hAnsiTheme="majorBidi" w:cstheme="majorBidi"/>
          <w:sz w:val="26"/>
          <w:szCs w:val="26"/>
          <w:shd w:val="clear" w:color="auto" w:fill="FFFFFF"/>
        </w:rPr>
        <w:t>its</w:t>
      </w:r>
      <w:r w:rsidRPr="00915DA2">
        <w:rPr>
          <w:rFonts w:asciiTheme="majorBidi" w:hAnsiTheme="majorBidi" w:cstheme="majorBidi"/>
          <w:sz w:val="26"/>
          <w:szCs w:val="26"/>
          <w:shd w:val="clear" w:color="auto" w:fill="FFFFFF"/>
        </w:rPr>
        <w:t xml:space="preserve"> territory. Considering this, this report is based on the positive commitments of </w:t>
      </w:r>
      <w:r w:rsidR="00B8454E" w:rsidRPr="00915DA2">
        <w:rPr>
          <w:rFonts w:asciiTheme="majorBidi" w:hAnsiTheme="majorBidi" w:cstheme="majorBidi"/>
          <w:sz w:val="26"/>
          <w:szCs w:val="26"/>
          <w:shd w:val="clear" w:color="auto" w:fill="FFFFFF"/>
        </w:rPr>
        <w:t xml:space="preserve">the </w:t>
      </w:r>
      <w:r w:rsidR="00E56837" w:rsidRPr="00915DA2">
        <w:rPr>
          <w:rFonts w:asciiTheme="majorBidi" w:hAnsiTheme="majorBidi" w:cstheme="majorBidi"/>
          <w:sz w:val="26"/>
          <w:szCs w:val="26"/>
          <w:shd w:val="clear" w:color="auto" w:fill="FFFFFF"/>
        </w:rPr>
        <w:t>US</w:t>
      </w:r>
      <w:r w:rsidRPr="00915DA2">
        <w:rPr>
          <w:rFonts w:asciiTheme="majorBidi" w:hAnsiTheme="majorBidi" w:cstheme="majorBidi"/>
          <w:sz w:val="26"/>
          <w:szCs w:val="26"/>
          <w:shd w:val="clear" w:color="auto" w:fill="FFFFFF"/>
        </w:rPr>
        <w:t xml:space="preserve"> and the responsibility </w:t>
      </w:r>
      <w:r w:rsidR="00E56837" w:rsidRPr="00915DA2">
        <w:rPr>
          <w:rFonts w:asciiTheme="majorBidi" w:hAnsiTheme="majorBidi" w:cstheme="majorBidi"/>
          <w:sz w:val="26"/>
          <w:szCs w:val="26"/>
          <w:shd w:val="clear" w:color="auto" w:fill="FFFFFF"/>
        </w:rPr>
        <w:t>it bears</w:t>
      </w:r>
      <w:r w:rsidRPr="00915DA2">
        <w:rPr>
          <w:rFonts w:asciiTheme="majorBidi" w:hAnsiTheme="majorBidi" w:cstheme="majorBidi"/>
          <w:sz w:val="26"/>
          <w:szCs w:val="26"/>
          <w:shd w:val="clear" w:color="auto" w:fill="FFFFFF"/>
        </w:rPr>
        <w:t xml:space="preserve"> for its actions outside its </w:t>
      </w:r>
      <w:r w:rsidR="00E56837" w:rsidRPr="00915DA2">
        <w:rPr>
          <w:rFonts w:asciiTheme="majorBidi" w:hAnsiTheme="majorBidi" w:cstheme="majorBidi"/>
          <w:sz w:val="26"/>
          <w:szCs w:val="26"/>
          <w:shd w:val="clear" w:color="auto" w:fill="FFFFFF"/>
        </w:rPr>
        <w:t>borders</w:t>
      </w:r>
      <w:r w:rsidRPr="00915DA2">
        <w:rPr>
          <w:rFonts w:asciiTheme="majorBidi" w:hAnsiTheme="majorBidi" w:cstheme="majorBidi"/>
          <w:sz w:val="26"/>
          <w:szCs w:val="26"/>
          <w:shd w:val="clear" w:color="auto" w:fill="FFFFFF"/>
        </w:rPr>
        <w:t>.</w:t>
      </w:r>
    </w:p>
    <w:p w14:paraId="5E94E8C8" w14:textId="37138D64" w:rsidR="00AF7016" w:rsidRPr="00915DA2" w:rsidRDefault="00915DA2" w:rsidP="00C814B1">
      <w:pPr>
        <w:spacing w:after="0" w:line="276" w:lineRule="auto"/>
        <w:jc w:val="both"/>
        <w:rPr>
          <w:rFonts w:asciiTheme="majorBidi" w:hAnsiTheme="majorBidi" w:cstheme="majorBidi"/>
          <w:sz w:val="26"/>
          <w:szCs w:val="26"/>
          <w:shd w:val="clear" w:color="auto" w:fill="FFFFFF"/>
        </w:rPr>
      </w:pPr>
      <w:r w:rsidRPr="00915DA2">
        <w:rPr>
          <w:rStyle w:val="sw"/>
          <w:rFonts w:asciiTheme="majorBidi" w:hAnsiTheme="majorBidi" w:cstheme="majorBidi"/>
          <w:sz w:val="26"/>
          <w:szCs w:val="26"/>
          <w:shd w:val="clear" w:color="auto" w:fill="FFFFFF"/>
        </w:rPr>
        <w:t xml:space="preserve"> </w:t>
      </w:r>
    </w:p>
    <w:p w14:paraId="11B31C99" w14:textId="77777777" w:rsidR="00F96928" w:rsidRPr="00915DA2" w:rsidRDefault="00F96928" w:rsidP="007C2EAD">
      <w:pPr>
        <w:spacing w:after="0" w:line="276" w:lineRule="auto"/>
        <w:jc w:val="both"/>
        <w:rPr>
          <w:rFonts w:asciiTheme="majorBidi" w:hAnsiTheme="majorBidi" w:cstheme="majorBidi"/>
          <w:b/>
          <w:bCs/>
          <w:sz w:val="26"/>
          <w:szCs w:val="26"/>
          <w:shd w:val="clear" w:color="auto" w:fill="FFFFFF"/>
        </w:rPr>
      </w:pPr>
    </w:p>
    <w:p w14:paraId="1F5CC831" w14:textId="740DC039" w:rsidR="00C420EB" w:rsidRPr="00915DA2" w:rsidRDefault="00282331" w:rsidP="007C2EAD">
      <w:pPr>
        <w:spacing w:after="0" w:line="276" w:lineRule="auto"/>
        <w:jc w:val="both"/>
        <w:rPr>
          <w:rFonts w:asciiTheme="majorBidi" w:hAnsiTheme="majorBidi" w:cstheme="majorBidi"/>
          <w:b/>
          <w:bCs/>
          <w:sz w:val="26"/>
          <w:szCs w:val="26"/>
          <w:shd w:val="clear" w:color="auto" w:fill="FFFFFF"/>
        </w:rPr>
      </w:pPr>
      <w:r>
        <w:rPr>
          <w:rFonts w:asciiTheme="majorBidi" w:hAnsiTheme="majorBidi" w:cstheme="majorBidi"/>
          <w:b/>
          <w:bCs/>
          <w:sz w:val="26"/>
          <w:szCs w:val="26"/>
          <w:shd w:val="clear" w:color="auto" w:fill="FFFFFF"/>
        </w:rPr>
        <w:t>Introduction</w:t>
      </w:r>
    </w:p>
    <w:p w14:paraId="4265BDC2" w14:textId="21639E55" w:rsidR="00AF7016" w:rsidRPr="00915DA2" w:rsidRDefault="00AF7016" w:rsidP="00915DA2">
      <w:pPr>
        <w:spacing w:after="0" w:line="276" w:lineRule="auto"/>
        <w:jc w:val="both"/>
        <w:rPr>
          <w:rFonts w:asciiTheme="majorBidi" w:eastAsia="Times New Roman" w:hAnsiTheme="majorBidi" w:cstheme="majorBidi"/>
          <w:sz w:val="26"/>
          <w:szCs w:val="26"/>
        </w:rPr>
      </w:pPr>
      <w:r w:rsidRPr="00915DA2">
        <w:rPr>
          <w:rFonts w:asciiTheme="majorBidi" w:eastAsia="Times New Roman" w:hAnsiTheme="majorBidi" w:cstheme="majorBidi"/>
          <w:sz w:val="26"/>
          <w:szCs w:val="26"/>
        </w:rPr>
        <w:t>The arms trade is one of the most profitable businesses in the world, annually bringing huge profits to arms manufacturers and exporters in the US.</w:t>
      </w:r>
      <w:r w:rsidR="008355B9">
        <w:rPr>
          <w:rFonts w:asciiTheme="majorBidi" w:eastAsia="Times New Roman" w:hAnsiTheme="majorBidi" w:cstheme="majorBidi"/>
          <w:sz w:val="26"/>
          <w:szCs w:val="26"/>
        </w:rPr>
        <w:t xml:space="preserve"> </w:t>
      </w:r>
      <w:r w:rsidRPr="00915DA2">
        <w:rPr>
          <w:rFonts w:asciiTheme="majorBidi" w:eastAsia="Times New Roman" w:hAnsiTheme="majorBidi" w:cstheme="majorBidi"/>
          <w:sz w:val="26"/>
          <w:szCs w:val="26"/>
        </w:rPr>
        <w:t>What lies behind this incident is that it led to human suffering, political repression, crime, and terrorism among civilians. Irresponsible arms trade can destabilize a region of the world and contribute to human rights violations.</w:t>
      </w:r>
      <w:r w:rsidR="009554B6" w:rsidRPr="00915DA2">
        <w:rPr>
          <w:rFonts w:asciiTheme="majorBidi" w:eastAsia="Times New Roman" w:hAnsiTheme="majorBidi" w:cstheme="majorBidi"/>
          <w:sz w:val="26"/>
          <w:szCs w:val="26"/>
        </w:rPr>
        <w:t xml:space="preserve"> </w:t>
      </w:r>
    </w:p>
    <w:p w14:paraId="0A85E48B" w14:textId="77777777" w:rsidR="00B8454E" w:rsidRPr="00915DA2" w:rsidRDefault="009554B6" w:rsidP="00B8454E">
      <w:pPr>
        <w:spacing w:after="0" w:line="276" w:lineRule="auto"/>
        <w:jc w:val="both"/>
        <w:rPr>
          <w:rFonts w:asciiTheme="majorBidi" w:eastAsia="Times New Roman" w:hAnsiTheme="majorBidi" w:cstheme="majorBidi"/>
          <w:sz w:val="26"/>
          <w:szCs w:val="26"/>
        </w:rPr>
      </w:pPr>
      <w:r w:rsidRPr="00915DA2">
        <w:rPr>
          <w:rFonts w:asciiTheme="majorBidi" w:eastAsia="Times New Roman" w:hAnsiTheme="majorBidi" w:cstheme="majorBidi"/>
          <w:sz w:val="26"/>
          <w:szCs w:val="26"/>
        </w:rPr>
        <w:t xml:space="preserve">Development is hindered in countries with conflict and high levels of violence and those which are affected by conflict or widespread crime have </w:t>
      </w:r>
      <w:r w:rsidR="00F37C77" w:rsidRPr="00915DA2">
        <w:rPr>
          <w:rFonts w:asciiTheme="majorBidi" w:eastAsia="Times New Roman" w:hAnsiTheme="majorBidi" w:cstheme="majorBidi"/>
          <w:sz w:val="26"/>
          <w:szCs w:val="26"/>
        </w:rPr>
        <w:t>difficulties</w:t>
      </w:r>
      <w:r w:rsidRPr="00915DA2">
        <w:rPr>
          <w:rFonts w:asciiTheme="majorBidi" w:eastAsia="Times New Roman" w:hAnsiTheme="majorBidi" w:cstheme="majorBidi"/>
          <w:sz w:val="26"/>
          <w:szCs w:val="26"/>
        </w:rPr>
        <w:t xml:space="preserve"> in achieving internationally agreed development goals.</w:t>
      </w:r>
    </w:p>
    <w:p w14:paraId="5A17D2F9" w14:textId="608FDFB4" w:rsidR="005D1256" w:rsidRPr="00915DA2" w:rsidRDefault="00EF443A" w:rsidP="00B8454E">
      <w:pPr>
        <w:spacing w:after="0" w:line="276" w:lineRule="auto"/>
        <w:jc w:val="both"/>
        <w:rPr>
          <w:rFonts w:asciiTheme="majorBidi" w:eastAsia="Times New Roman" w:hAnsiTheme="majorBidi" w:cstheme="majorBidi"/>
          <w:sz w:val="26"/>
          <w:szCs w:val="26"/>
        </w:rPr>
      </w:pPr>
      <w:r w:rsidRPr="00915DA2">
        <w:rPr>
          <w:rFonts w:asciiTheme="majorBidi" w:hAnsiTheme="majorBidi" w:cstheme="majorBidi"/>
          <w:sz w:val="26"/>
          <w:szCs w:val="26"/>
        </w:rPr>
        <w:t xml:space="preserve">According to Article 20 of the International Covenant on Civil and Political Rights, </w:t>
      </w:r>
      <w:r w:rsidR="003577A2" w:rsidRPr="00915DA2">
        <w:rPr>
          <w:rFonts w:asciiTheme="majorBidi" w:hAnsiTheme="majorBidi" w:cstheme="majorBidi"/>
          <w:sz w:val="26"/>
          <w:szCs w:val="26"/>
        </w:rPr>
        <w:t xml:space="preserve">any propaganda for war shall be prohibited by law. Any advocacy of national, racial or religious hatred that constitutes incitement to discrimination, hostility or violence shall be prohibited by law, too. </w:t>
      </w:r>
      <w:r w:rsidR="003577A2" w:rsidRPr="00915DA2">
        <w:rPr>
          <w:rStyle w:val="sw"/>
          <w:rFonts w:asciiTheme="majorBidi" w:hAnsiTheme="majorBidi" w:cstheme="majorBidi"/>
          <w:sz w:val="26"/>
          <w:szCs w:val="26"/>
          <w:shd w:val="clear" w:color="auto" w:fill="FFFFFF"/>
        </w:rPr>
        <w:t>The</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US</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is</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one</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of</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the</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world's</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largest</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arms</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producers</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and</w:t>
      </w:r>
      <w:r w:rsidR="003577A2" w:rsidRPr="00915DA2">
        <w:rPr>
          <w:rFonts w:asciiTheme="majorBidi" w:hAnsiTheme="majorBidi" w:cstheme="majorBidi"/>
          <w:sz w:val="26"/>
          <w:szCs w:val="26"/>
          <w:shd w:val="clear" w:color="auto" w:fill="FFFFFF"/>
        </w:rPr>
        <w:t xml:space="preserve"> </w:t>
      </w:r>
      <w:r w:rsidR="003577A2" w:rsidRPr="00915DA2">
        <w:rPr>
          <w:rStyle w:val="sw"/>
          <w:rFonts w:asciiTheme="majorBidi" w:hAnsiTheme="majorBidi" w:cstheme="majorBidi"/>
          <w:sz w:val="26"/>
          <w:szCs w:val="26"/>
          <w:shd w:val="clear" w:color="auto" w:fill="FFFFFF"/>
        </w:rPr>
        <w:t xml:space="preserve">exporters. </w:t>
      </w:r>
      <w:r w:rsidR="00332957" w:rsidRPr="00915DA2">
        <w:rPr>
          <w:rFonts w:asciiTheme="majorBidi" w:hAnsiTheme="majorBidi" w:cstheme="majorBidi"/>
          <w:sz w:val="26"/>
          <w:szCs w:val="26"/>
          <w:lang w:bidi="fa-IR"/>
        </w:rPr>
        <w:t xml:space="preserve">The United States had a market share of 40 percent in international arms exports between 2018 and 2022. </w:t>
      </w:r>
      <w:r w:rsidR="00332957" w:rsidRPr="00915DA2">
        <w:rPr>
          <w:rStyle w:val="FootnoteReference"/>
          <w:rFonts w:asciiTheme="majorBidi" w:hAnsiTheme="majorBidi" w:cstheme="majorBidi"/>
          <w:sz w:val="26"/>
          <w:szCs w:val="26"/>
          <w:lang w:bidi="fa-IR"/>
        </w:rPr>
        <w:footnoteReference w:id="1"/>
      </w:r>
    </w:p>
    <w:p w14:paraId="5F0574BE" w14:textId="29C4263B" w:rsidR="009603B1" w:rsidRDefault="009603B1">
      <w:pPr>
        <w:rPr>
          <w:rFonts w:asciiTheme="majorBidi" w:hAnsiTheme="majorBidi" w:cstheme="majorBidi"/>
          <w:sz w:val="26"/>
          <w:szCs w:val="26"/>
          <w:lang w:bidi="fa-IR"/>
        </w:rPr>
      </w:pPr>
      <w:r>
        <w:rPr>
          <w:rFonts w:asciiTheme="majorBidi" w:hAnsiTheme="majorBidi" w:cstheme="majorBidi"/>
          <w:sz w:val="26"/>
          <w:szCs w:val="26"/>
          <w:lang w:bidi="fa-IR"/>
        </w:rPr>
        <w:br w:type="page"/>
      </w:r>
    </w:p>
    <w:p w14:paraId="4E5373E4" w14:textId="77777777" w:rsidR="00EF443A" w:rsidRPr="00915DA2" w:rsidRDefault="00EF443A" w:rsidP="007C2EAD">
      <w:pPr>
        <w:spacing w:line="276" w:lineRule="auto"/>
        <w:jc w:val="both"/>
        <w:rPr>
          <w:rFonts w:asciiTheme="majorBidi" w:hAnsiTheme="majorBidi" w:cstheme="majorBidi"/>
          <w:b/>
          <w:bCs/>
          <w:sz w:val="26"/>
          <w:szCs w:val="26"/>
          <w:lang w:bidi="fa-IR"/>
        </w:rPr>
      </w:pPr>
      <w:r w:rsidRPr="00915DA2">
        <w:rPr>
          <w:rFonts w:asciiTheme="majorBidi" w:hAnsiTheme="majorBidi" w:cstheme="majorBidi"/>
          <w:b/>
          <w:bCs/>
          <w:sz w:val="26"/>
          <w:szCs w:val="26"/>
          <w:lang w:bidi="fa-IR"/>
        </w:rPr>
        <w:lastRenderedPageBreak/>
        <w:t>A) Arms transfer and its effects on civil and political rights</w:t>
      </w:r>
    </w:p>
    <w:p w14:paraId="4323B48A" w14:textId="2A14B8F6" w:rsidR="005D1256" w:rsidRPr="00915DA2" w:rsidRDefault="003577A2" w:rsidP="002404BC">
      <w:pPr>
        <w:spacing w:after="0" w:line="276" w:lineRule="auto"/>
        <w:jc w:val="both"/>
        <w:rPr>
          <w:rFonts w:asciiTheme="majorBidi" w:hAnsiTheme="majorBidi" w:cstheme="majorBidi"/>
          <w:sz w:val="26"/>
          <w:szCs w:val="26"/>
          <w:lang w:bidi="fa-IR"/>
        </w:rPr>
      </w:pPr>
      <w:r w:rsidRPr="00915DA2">
        <w:rPr>
          <w:rFonts w:asciiTheme="majorBidi" w:eastAsia="Times New Roman" w:hAnsiTheme="majorBidi" w:cstheme="majorBidi"/>
          <w:sz w:val="26"/>
          <w:szCs w:val="26"/>
        </w:rPr>
        <w:t xml:space="preserve">The </w:t>
      </w:r>
      <w:r w:rsidR="002404BC">
        <w:rPr>
          <w:rFonts w:asciiTheme="majorBidi" w:eastAsia="Times New Roman" w:hAnsiTheme="majorBidi" w:cstheme="majorBidi"/>
          <w:sz w:val="26"/>
          <w:szCs w:val="26"/>
        </w:rPr>
        <w:t>A</w:t>
      </w:r>
      <w:r w:rsidRPr="00915DA2">
        <w:rPr>
          <w:rFonts w:asciiTheme="majorBidi" w:eastAsia="Times New Roman" w:hAnsiTheme="majorBidi" w:cstheme="majorBidi"/>
          <w:sz w:val="26"/>
          <w:szCs w:val="26"/>
        </w:rPr>
        <w:t>rm</w:t>
      </w:r>
      <w:r w:rsidR="002404BC">
        <w:rPr>
          <w:rFonts w:asciiTheme="majorBidi" w:eastAsia="Times New Roman" w:hAnsiTheme="majorBidi" w:cstheme="majorBidi"/>
          <w:sz w:val="26"/>
          <w:szCs w:val="26"/>
        </w:rPr>
        <w:t>s</w:t>
      </w:r>
      <w:r w:rsidRPr="00915DA2">
        <w:rPr>
          <w:rFonts w:asciiTheme="majorBidi" w:eastAsia="Times New Roman" w:hAnsiTheme="majorBidi" w:cstheme="majorBidi"/>
          <w:sz w:val="26"/>
          <w:szCs w:val="26"/>
        </w:rPr>
        <w:t xml:space="preserve"> </w:t>
      </w:r>
      <w:r w:rsidR="002404BC">
        <w:rPr>
          <w:rFonts w:asciiTheme="majorBidi" w:eastAsia="Times New Roman" w:hAnsiTheme="majorBidi" w:cstheme="majorBidi"/>
          <w:sz w:val="26"/>
          <w:szCs w:val="26"/>
        </w:rPr>
        <w:t>trade</w:t>
      </w:r>
      <w:r w:rsidRPr="00915DA2">
        <w:rPr>
          <w:rFonts w:asciiTheme="majorBidi" w:eastAsia="Times New Roman" w:hAnsiTheme="majorBidi" w:cstheme="majorBidi"/>
          <w:sz w:val="26"/>
          <w:szCs w:val="26"/>
        </w:rPr>
        <w:t xml:space="preserve"> to countries with conflicts and armed violence seriously affects the enjoyment of many internationally protected human rights.</w:t>
      </w:r>
      <w:r w:rsidR="00915DA2" w:rsidRPr="00915DA2">
        <w:rPr>
          <w:rFonts w:asciiTheme="majorBidi" w:eastAsia="Times New Roman" w:hAnsiTheme="majorBidi" w:cstheme="majorBidi"/>
          <w:sz w:val="26"/>
          <w:szCs w:val="26"/>
        </w:rPr>
        <w:t xml:space="preserve"> </w:t>
      </w:r>
      <w:r w:rsidRPr="00915DA2">
        <w:rPr>
          <w:rFonts w:asciiTheme="majorBidi" w:eastAsia="Times New Roman" w:hAnsiTheme="majorBidi" w:cstheme="majorBidi"/>
          <w:sz w:val="26"/>
          <w:szCs w:val="26"/>
        </w:rPr>
        <w:t>Weapons may be used to commit or facilitate violations of the right to life, liberty</w:t>
      </w:r>
      <w:r w:rsidR="002404BC">
        <w:rPr>
          <w:rFonts w:asciiTheme="majorBidi" w:eastAsia="Times New Roman" w:hAnsiTheme="majorBidi" w:cstheme="majorBidi"/>
          <w:sz w:val="26"/>
          <w:szCs w:val="26"/>
        </w:rPr>
        <w:t>,</w:t>
      </w:r>
      <w:r w:rsidRPr="00915DA2">
        <w:rPr>
          <w:rFonts w:asciiTheme="majorBidi" w:eastAsia="Times New Roman" w:hAnsiTheme="majorBidi" w:cstheme="majorBidi"/>
          <w:sz w:val="26"/>
          <w:szCs w:val="26"/>
        </w:rPr>
        <w:t xml:space="preserve"> and security of the person, the right to freedom from slavery, and other cruel and degrading treatment or punishment.</w:t>
      </w:r>
      <w:r w:rsidR="00915DA2" w:rsidRPr="00915DA2">
        <w:rPr>
          <w:rFonts w:asciiTheme="majorBidi" w:eastAsia="Times New Roman" w:hAnsiTheme="majorBidi" w:cstheme="majorBidi"/>
          <w:sz w:val="26"/>
          <w:szCs w:val="26"/>
        </w:rPr>
        <w:t xml:space="preserve"> </w:t>
      </w:r>
      <w:r w:rsidR="0044755A" w:rsidRPr="00915DA2">
        <w:rPr>
          <w:rFonts w:asciiTheme="majorBidi" w:hAnsiTheme="majorBidi" w:cstheme="majorBidi"/>
          <w:sz w:val="26"/>
          <w:szCs w:val="26"/>
          <w:lang w:bidi="fa-IR"/>
        </w:rPr>
        <w:t xml:space="preserve">According to the OHCHR report, </w:t>
      </w:r>
      <w:r w:rsidRPr="00915DA2">
        <w:rPr>
          <w:rFonts w:asciiTheme="majorBidi" w:hAnsiTheme="majorBidi" w:cstheme="majorBidi"/>
          <w:sz w:val="26"/>
          <w:szCs w:val="26"/>
          <w:lang w:bidi="fa-IR"/>
        </w:rPr>
        <w:t>the</w:t>
      </w:r>
      <w:r w:rsidR="0044755A" w:rsidRPr="00915DA2">
        <w:rPr>
          <w:rFonts w:asciiTheme="majorBidi" w:hAnsiTheme="majorBidi" w:cstheme="majorBidi"/>
          <w:sz w:val="26"/>
          <w:szCs w:val="26"/>
          <w:lang w:bidi="fa-IR"/>
        </w:rPr>
        <w:t xml:space="preserve"> use or threat of the use of arms may also undermine the realization of the rights to freedom of expression, association</w:t>
      </w:r>
      <w:r w:rsidR="00BA2A41" w:rsidRPr="00915DA2">
        <w:rPr>
          <w:rFonts w:asciiTheme="majorBidi" w:hAnsiTheme="majorBidi" w:cstheme="majorBidi"/>
          <w:sz w:val="26"/>
          <w:szCs w:val="26"/>
          <w:lang w:bidi="fa-IR"/>
        </w:rPr>
        <w:t>,</w:t>
      </w:r>
      <w:r w:rsidR="0044755A" w:rsidRPr="00915DA2">
        <w:rPr>
          <w:rFonts w:asciiTheme="majorBidi" w:hAnsiTheme="majorBidi" w:cstheme="majorBidi"/>
          <w:sz w:val="26"/>
          <w:szCs w:val="26"/>
          <w:lang w:bidi="fa-IR"/>
        </w:rPr>
        <w:t xml:space="preserve"> and peaceful assembly</w:t>
      </w:r>
      <w:r w:rsidR="00BA2A41" w:rsidRPr="00915DA2">
        <w:rPr>
          <w:rFonts w:asciiTheme="majorBidi" w:hAnsiTheme="majorBidi" w:cstheme="majorBidi"/>
          <w:sz w:val="26"/>
          <w:szCs w:val="26"/>
          <w:lang w:bidi="fa-IR"/>
        </w:rPr>
        <w:t>.</w:t>
      </w:r>
      <w:r w:rsidR="005D1256" w:rsidRPr="00915DA2">
        <w:rPr>
          <w:rStyle w:val="FootnoteReference"/>
          <w:rFonts w:asciiTheme="majorBidi" w:hAnsiTheme="majorBidi" w:cstheme="majorBidi"/>
          <w:sz w:val="26"/>
          <w:szCs w:val="26"/>
          <w:rtl/>
          <w:lang w:bidi="fa-IR"/>
        </w:rPr>
        <w:footnoteReference w:id="2"/>
      </w:r>
    </w:p>
    <w:p w14:paraId="2B746AC8" w14:textId="0A45B2D2" w:rsidR="003577A2" w:rsidRPr="00915DA2" w:rsidRDefault="005D1256" w:rsidP="009603B1">
      <w:pPr>
        <w:spacing w:line="276" w:lineRule="auto"/>
        <w:jc w:val="both"/>
        <w:rPr>
          <w:rFonts w:asciiTheme="majorBidi" w:eastAsia="Times New Roman" w:hAnsiTheme="majorBidi" w:cstheme="majorBidi"/>
          <w:sz w:val="26"/>
          <w:szCs w:val="26"/>
        </w:rPr>
      </w:pPr>
      <w:r w:rsidRPr="00915DA2">
        <w:rPr>
          <w:rFonts w:asciiTheme="majorBidi" w:hAnsiTheme="majorBidi" w:cstheme="majorBidi"/>
          <w:sz w:val="26"/>
          <w:szCs w:val="26"/>
        </w:rPr>
        <w:t>In resolution 32/12, the terms “arms” and “transfer” are used without qualification.</w:t>
      </w:r>
      <w:r w:rsidRPr="00915DA2">
        <w:rPr>
          <w:rStyle w:val="FootnoteReference"/>
          <w:rFonts w:asciiTheme="majorBidi" w:hAnsiTheme="majorBidi" w:cstheme="majorBidi"/>
          <w:sz w:val="26"/>
          <w:szCs w:val="26"/>
        </w:rPr>
        <w:footnoteReference w:id="3"/>
      </w:r>
      <w:r w:rsidRPr="00915DA2">
        <w:rPr>
          <w:rFonts w:asciiTheme="majorBidi" w:hAnsiTheme="majorBidi" w:cstheme="majorBidi"/>
          <w:sz w:val="26"/>
          <w:szCs w:val="26"/>
        </w:rPr>
        <w:t xml:space="preserve"> In paragraph 1 of the resolution, the Council expressed deep concern that arms transfers, particularly those that are illicit or unregulated, may seriously undermine th</w:t>
      </w:r>
      <w:r w:rsidR="00915DA2" w:rsidRPr="00915DA2">
        <w:rPr>
          <w:rFonts w:asciiTheme="majorBidi" w:hAnsiTheme="majorBidi" w:cstheme="majorBidi"/>
          <w:sz w:val="26"/>
          <w:szCs w:val="26"/>
        </w:rPr>
        <w:t xml:space="preserve">e human rights of individuals. </w:t>
      </w:r>
      <w:r w:rsidRPr="00915DA2">
        <w:rPr>
          <w:rFonts w:asciiTheme="majorBidi" w:hAnsiTheme="majorBidi" w:cstheme="majorBidi"/>
          <w:sz w:val="26"/>
          <w:szCs w:val="26"/>
        </w:rPr>
        <w:t>Arms transfers and the potential or actual use of transferred arms may have a direct or indirect, positive or negative, impact on the enjoyment of human rights. In a positive sense, States may acquire and/or deploy arms in the discharge of their responsibility to protect individuals in their jurisdictions and establish or re-establish peace and security.</w:t>
      </w:r>
      <w:r w:rsidRPr="00915DA2">
        <w:rPr>
          <w:rStyle w:val="FootnoteReference"/>
          <w:rFonts w:asciiTheme="majorBidi" w:hAnsiTheme="majorBidi" w:cstheme="majorBidi"/>
          <w:sz w:val="26"/>
          <w:szCs w:val="26"/>
        </w:rPr>
        <w:footnoteReference w:id="4"/>
      </w:r>
      <w:r w:rsidR="00332957" w:rsidRPr="00915DA2">
        <w:rPr>
          <w:rFonts w:asciiTheme="majorBidi" w:hAnsiTheme="majorBidi" w:cstheme="majorBidi"/>
          <w:sz w:val="26"/>
          <w:szCs w:val="26"/>
        </w:rPr>
        <w:t xml:space="preserve"> The statistic shows total U.S. arms exports in the years 2000 to 2022 exports totaled about 14.52 billion constant (1990) U.S. dollars.</w:t>
      </w:r>
      <w:r w:rsidR="00BA2A41" w:rsidRPr="00915DA2">
        <w:rPr>
          <w:rFonts w:asciiTheme="majorBidi" w:hAnsiTheme="majorBidi" w:cstheme="majorBidi"/>
          <w:sz w:val="26"/>
          <w:szCs w:val="26"/>
        </w:rPr>
        <w:t xml:space="preserve"> </w:t>
      </w:r>
      <w:r w:rsidR="00332957" w:rsidRPr="00915DA2">
        <w:rPr>
          <w:rFonts w:asciiTheme="majorBidi" w:hAnsiTheme="majorBidi" w:cstheme="majorBidi"/>
          <w:sz w:val="26"/>
          <w:szCs w:val="26"/>
        </w:rPr>
        <w:t>The depicted export value is only an indicator and does not correspond to the actual financial value of the transfers.</w:t>
      </w:r>
      <w:r w:rsidR="00C0023D">
        <w:rPr>
          <w:rFonts w:asciiTheme="majorBidi" w:hAnsiTheme="majorBidi" w:cstheme="majorBidi"/>
          <w:sz w:val="26"/>
          <w:szCs w:val="26"/>
        </w:rPr>
        <w:t xml:space="preserve"> </w:t>
      </w:r>
      <w:r w:rsidR="003577A2" w:rsidRPr="00915DA2">
        <w:rPr>
          <w:rFonts w:asciiTheme="majorBidi" w:eastAsia="Times New Roman" w:hAnsiTheme="majorBidi" w:cstheme="majorBidi"/>
          <w:sz w:val="26"/>
          <w:szCs w:val="26"/>
        </w:rPr>
        <w:t>According to global data, Saudi Arabia is one of the two largest customers of US weapons, marking one of the most important wars in Yemen's modern history in recent years.</w:t>
      </w:r>
      <w:r w:rsidR="009603B1">
        <w:rPr>
          <w:rFonts w:asciiTheme="majorBidi" w:eastAsia="Times New Roman" w:hAnsiTheme="majorBidi" w:cstheme="majorBidi"/>
          <w:sz w:val="26"/>
          <w:szCs w:val="26"/>
        </w:rPr>
        <w:t xml:space="preserve"> </w:t>
      </w:r>
      <w:r w:rsidR="003577A2" w:rsidRPr="00915DA2">
        <w:rPr>
          <w:rFonts w:asciiTheme="majorBidi" w:eastAsia="Times New Roman" w:hAnsiTheme="majorBidi" w:cstheme="majorBidi"/>
          <w:sz w:val="26"/>
          <w:szCs w:val="26"/>
        </w:rPr>
        <w:t xml:space="preserve">At this meeting, </w:t>
      </w:r>
      <w:r w:rsidR="00C814B1" w:rsidRPr="00915DA2">
        <w:rPr>
          <w:rFonts w:asciiTheme="majorBidi" w:hAnsiTheme="majorBidi" w:cstheme="majorBidi"/>
          <w:sz w:val="26"/>
          <w:szCs w:val="26"/>
          <w:shd w:val="clear" w:color="auto" w:fill="FFFFFF"/>
        </w:rPr>
        <w:t>Institute for Protection of Women’s Rights</w:t>
      </w:r>
      <w:r w:rsidR="003577A2" w:rsidRPr="00915DA2">
        <w:rPr>
          <w:rFonts w:asciiTheme="majorBidi" w:eastAsia="Times New Roman" w:hAnsiTheme="majorBidi" w:cstheme="majorBidi"/>
          <w:sz w:val="26"/>
          <w:szCs w:val="26"/>
        </w:rPr>
        <w:t>, in addressing the inhumane aspects of the arms trade in the United States, will address the implications of this practice for civil and political rights of countries in crisis-stricken ones.</w:t>
      </w:r>
    </w:p>
    <w:p w14:paraId="2C315459" w14:textId="3A4A259B" w:rsidR="008159B4" w:rsidRDefault="008159B4" w:rsidP="007C2EAD">
      <w:pPr>
        <w:spacing w:line="276" w:lineRule="auto"/>
        <w:jc w:val="both"/>
        <w:rPr>
          <w:rFonts w:asciiTheme="majorBidi" w:hAnsiTheme="majorBidi" w:cstheme="majorBidi"/>
          <w:sz w:val="26"/>
          <w:szCs w:val="26"/>
        </w:rPr>
      </w:pPr>
    </w:p>
    <w:p w14:paraId="4991891E" w14:textId="77777777" w:rsidR="00434AFE" w:rsidRPr="00915DA2" w:rsidRDefault="00434AFE" w:rsidP="007C2EAD">
      <w:pPr>
        <w:spacing w:line="276" w:lineRule="auto"/>
        <w:jc w:val="both"/>
        <w:rPr>
          <w:rFonts w:asciiTheme="majorBidi" w:hAnsiTheme="majorBidi" w:cstheme="majorBidi"/>
          <w:sz w:val="26"/>
          <w:szCs w:val="26"/>
        </w:rPr>
      </w:pPr>
    </w:p>
    <w:p w14:paraId="7B7D9E10" w14:textId="77777777" w:rsidR="006705EE" w:rsidRPr="00915DA2" w:rsidRDefault="006705EE" w:rsidP="007C2EAD">
      <w:pPr>
        <w:spacing w:line="276" w:lineRule="auto"/>
        <w:jc w:val="both"/>
        <w:rPr>
          <w:rFonts w:asciiTheme="majorBidi" w:hAnsiTheme="majorBidi" w:cstheme="majorBidi"/>
          <w:b/>
          <w:bCs/>
          <w:sz w:val="26"/>
          <w:szCs w:val="26"/>
          <w:lang w:bidi="fa-IR"/>
        </w:rPr>
      </w:pPr>
      <w:r w:rsidRPr="00915DA2">
        <w:rPr>
          <w:rFonts w:asciiTheme="majorBidi" w:hAnsiTheme="majorBidi" w:cstheme="majorBidi"/>
          <w:b/>
          <w:bCs/>
          <w:sz w:val="26"/>
          <w:szCs w:val="26"/>
          <w:lang w:bidi="fa-IR"/>
        </w:rPr>
        <w:lastRenderedPageBreak/>
        <w:t>B) The effect of the arms trade on Human Rights</w:t>
      </w:r>
    </w:p>
    <w:p w14:paraId="1D25D3CF" w14:textId="77777777" w:rsidR="00CF13DF" w:rsidRPr="00915DA2" w:rsidRDefault="0043165C" w:rsidP="007C2EAD">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The international trade in conventional arms affects a wide range of human rights protected under international agreements and customary international law. These include, but are not limited to: the rights to life; freedom from torture and other forms of cruel, inhuman</w:t>
      </w:r>
      <w:r w:rsidR="00BA2A41" w:rsidRPr="00915DA2">
        <w:rPr>
          <w:rFonts w:asciiTheme="majorBidi" w:hAnsiTheme="majorBidi" w:cstheme="majorBidi"/>
          <w:sz w:val="26"/>
          <w:szCs w:val="26"/>
        </w:rPr>
        <w:t>,</w:t>
      </w:r>
      <w:r w:rsidRPr="00915DA2">
        <w:rPr>
          <w:rFonts w:asciiTheme="majorBidi" w:hAnsiTheme="majorBidi" w:cstheme="majorBidi"/>
          <w:sz w:val="26"/>
          <w:szCs w:val="26"/>
        </w:rPr>
        <w:t xml:space="preserve"> or degrading treatment; liberty and security of person; freedom from slavery; freedom of thought, conscience</w:t>
      </w:r>
      <w:r w:rsidR="00BA2A41" w:rsidRPr="00915DA2">
        <w:rPr>
          <w:rFonts w:asciiTheme="majorBidi" w:hAnsiTheme="majorBidi" w:cstheme="majorBidi"/>
          <w:sz w:val="26"/>
          <w:szCs w:val="26"/>
        </w:rPr>
        <w:t>,</w:t>
      </w:r>
      <w:r w:rsidRPr="00915DA2">
        <w:rPr>
          <w:rFonts w:asciiTheme="majorBidi" w:hAnsiTheme="majorBidi" w:cstheme="majorBidi"/>
          <w:sz w:val="26"/>
          <w:szCs w:val="26"/>
        </w:rPr>
        <w:t xml:space="preserve"> and religion; freedom of assembly and expression, as well as the rights to health, education, food and housing</w:t>
      </w:r>
      <w:r w:rsidRPr="00915DA2">
        <w:rPr>
          <w:rStyle w:val="FootnoteReference"/>
          <w:rFonts w:asciiTheme="majorBidi" w:hAnsiTheme="majorBidi" w:cstheme="majorBidi"/>
          <w:sz w:val="26"/>
          <w:szCs w:val="26"/>
        </w:rPr>
        <w:footnoteReference w:id="5"/>
      </w:r>
      <w:r w:rsidRPr="00915DA2">
        <w:rPr>
          <w:rFonts w:asciiTheme="majorBidi" w:hAnsiTheme="majorBidi" w:cstheme="majorBidi"/>
          <w:sz w:val="26"/>
          <w:szCs w:val="26"/>
          <w:rtl/>
        </w:rPr>
        <w:t>.</w:t>
      </w:r>
    </w:p>
    <w:p w14:paraId="4F3B79C0" w14:textId="77777777" w:rsidR="00844ECF" w:rsidRPr="00915DA2" w:rsidRDefault="00844ECF" w:rsidP="007C2EAD">
      <w:pPr>
        <w:spacing w:line="276" w:lineRule="auto"/>
        <w:jc w:val="both"/>
        <w:rPr>
          <w:rFonts w:asciiTheme="majorBidi" w:hAnsiTheme="majorBidi" w:cstheme="majorBidi"/>
          <w:sz w:val="26"/>
          <w:szCs w:val="26"/>
          <w:lang w:val="en-GB"/>
        </w:rPr>
      </w:pPr>
      <w:r w:rsidRPr="00915DA2">
        <w:rPr>
          <w:rFonts w:asciiTheme="majorBidi" w:hAnsiTheme="majorBidi" w:cstheme="majorBidi"/>
          <w:sz w:val="26"/>
          <w:szCs w:val="26"/>
          <w:lang w:val="en-GB"/>
        </w:rPr>
        <w:t>Arms transfers and the potential or actual use of transferred arms may have a direct or indirect, positive or negative, impact on the enjoyment of human rights. In a positive sense, States may acquire and/or deploy arms in the discharge of their responsibility to protect individuals in their jurisdictions and establish or re-establish peace and security.</w:t>
      </w:r>
      <w:r w:rsidRPr="00915DA2">
        <w:rPr>
          <w:rStyle w:val="FootnoteReference"/>
          <w:rFonts w:asciiTheme="majorBidi" w:hAnsiTheme="majorBidi" w:cstheme="majorBidi"/>
          <w:sz w:val="26"/>
          <w:szCs w:val="26"/>
          <w:lang w:val="en-GB"/>
        </w:rPr>
        <w:footnoteReference w:id="6"/>
      </w:r>
    </w:p>
    <w:p w14:paraId="37BA9484" w14:textId="77777777" w:rsidR="00844ECF" w:rsidRPr="00915DA2" w:rsidRDefault="00844ECF" w:rsidP="007C2EAD">
      <w:pPr>
        <w:spacing w:line="276" w:lineRule="auto"/>
        <w:jc w:val="both"/>
        <w:rPr>
          <w:rFonts w:asciiTheme="majorBidi" w:hAnsiTheme="majorBidi" w:cstheme="majorBidi"/>
          <w:sz w:val="26"/>
          <w:szCs w:val="26"/>
        </w:rPr>
      </w:pPr>
      <w:r w:rsidRPr="00915DA2">
        <w:rPr>
          <w:rFonts w:asciiTheme="majorBidi" w:hAnsiTheme="majorBidi" w:cstheme="majorBidi"/>
          <w:sz w:val="26"/>
          <w:szCs w:val="26"/>
          <w:lang w:val="en-GB"/>
        </w:rPr>
        <w:t xml:space="preserve">However, arms transfers and their subsequent potential or actual use can also </w:t>
      </w:r>
      <w:r w:rsidR="00BA2A41" w:rsidRPr="00915DA2">
        <w:rPr>
          <w:rFonts w:asciiTheme="majorBidi" w:hAnsiTheme="majorBidi" w:cstheme="majorBidi"/>
          <w:sz w:val="26"/>
          <w:szCs w:val="26"/>
          <w:lang w:val="en-GB"/>
        </w:rPr>
        <w:t>hurt</w:t>
      </w:r>
      <w:r w:rsidRPr="00915DA2">
        <w:rPr>
          <w:rFonts w:asciiTheme="majorBidi" w:hAnsiTheme="majorBidi" w:cstheme="majorBidi"/>
          <w:sz w:val="26"/>
          <w:szCs w:val="26"/>
          <w:lang w:val="en-GB"/>
        </w:rPr>
        <w:t xml:space="preserve"> the enjoyment of human rights. In its resolution 32/12, the Human Rights Council acknowledged that millions of people </w:t>
      </w:r>
      <w:r w:rsidR="00BA2A41" w:rsidRPr="00915DA2">
        <w:rPr>
          <w:rFonts w:asciiTheme="majorBidi" w:hAnsiTheme="majorBidi" w:cstheme="majorBidi"/>
          <w:sz w:val="26"/>
          <w:szCs w:val="26"/>
          <w:lang w:val="en-GB"/>
        </w:rPr>
        <w:t>worldwide</w:t>
      </w:r>
      <w:r w:rsidRPr="00915DA2">
        <w:rPr>
          <w:rFonts w:asciiTheme="majorBidi" w:hAnsiTheme="majorBidi" w:cstheme="majorBidi"/>
          <w:sz w:val="26"/>
          <w:szCs w:val="26"/>
          <w:lang w:val="en-GB"/>
        </w:rPr>
        <w:t xml:space="preserve"> are affected by serious human rights violations and abuses committed or facilitated by the irresponsible use of arms. In their contributions to the present report, some States have noted that the </w:t>
      </w:r>
      <w:r w:rsidR="00BA2A41" w:rsidRPr="00915DA2">
        <w:rPr>
          <w:rFonts w:asciiTheme="majorBidi" w:hAnsiTheme="majorBidi" w:cstheme="majorBidi"/>
          <w:sz w:val="26"/>
          <w:szCs w:val="26"/>
          <w:lang w:val="en-GB"/>
        </w:rPr>
        <w:t>trade-in</w:t>
      </w:r>
      <w:r w:rsidRPr="00915DA2">
        <w:rPr>
          <w:rFonts w:asciiTheme="majorBidi" w:hAnsiTheme="majorBidi" w:cstheme="majorBidi"/>
          <w:sz w:val="26"/>
          <w:szCs w:val="26"/>
          <w:lang w:val="en-GB"/>
        </w:rPr>
        <w:t xml:space="preserve"> and the excessive and uncontrolled proliferation of arms have a direct negative impact on the enjoyment of human rights.</w:t>
      </w:r>
      <w:r w:rsidRPr="00915DA2">
        <w:rPr>
          <w:rStyle w:val="FootnoteReference"/>
          <w:rFonts w:asciiTheme="majorBidi" w:hAnsiTheme="majorBidi" w:cstheme="majorBidi"/>
          <w:sz w:val="26"/>
          <w:szCs w:val="26"/>
          <w:lang w:val="en-GB"/>
        </w:rPr>
        <w:footnoteReference w:id="7"/>
      </w:r>
    </w:p>
    <w:p w14:paraId="0BE056A9" w14:textId="77777777" w:rsidR="00CF13DF" w:rsidRPr="00915DA2" w:rsidRDefault="00CF13DF" w:rsidP="007C2EAD">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The International Covenant on Economic, Social</w:t>
      </w:r>
      <w:r w:rsidR="00BA2A41" w:rsidRPr="00915DA2">
        <w:rPr>
          <w:rFonts w:asciiTheme="majorBidi" w:hAnsiTheme="majorBidi" w:cstheme="majorBidi"/>
          <w:sz w:val="26"/>
          <w:szCs w:val="26"/>
        </w:rPr>
        <w:t>,</w:t>
      </w:r>
      <w:r w:rsidRPr="00915DA2">
        <w:rPr>
          <w:rFonts w:asciiTheme="majorBidi" w:hAnsiTheme="majorBidi" w:cstheme="majorBidi"/>
          <w:sz w:val="26"/>
          <w:szCs w:val="26"/>
        </w:rPr>
        <w:t xml:space="preserve"> and Cultural Rights protects the right to housing (Article 11), health (Article 12), and education (Article 13) among others. These are all further examples of human rights that can be affected by the supply of arms and ammunition. In Yemen, there is widespread credible documentation of armed attacks on residential areas, medical personnel and facilities, and educational establishments by all parties to the conflict that may constitute a violation of these rights.</w:t>
      </w:r>
      <w:r w:rsidRPr="00915DA2">
        <w:rPr>
          <w:rStyle w:val="FootnoteReference"/>
          <w:rFonts w:asciiTheme="majorBidi" w:hAnsiTheme="majorBidi" w:cstheme="majorBidi"/>
          <w:sz w:val="26"/>
          <w:szCs w:val="26"/>
        </w:rPr>
        <w:footnoteReference w:id="8"/>
      </w:r>
    </w:p>
    <w:p w14:paraId="3869488B" w14:textId="77777777" w:rsidR="00CF13DF" w:rsidRPr="00915DA2" w:rsidRDefault="00CF13DF" w:rsidP="007C2EAD">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 xml:space="preserve"> In January 2016 for example, a UN Panel of Experts documented 41 individual air attacks on residential areas and villages, as well as eight air attacks on schools, that may relate to violations of IHL.  UN OHCHR has reported nine incidents in which medical units in Yemen were damaged or destroyed by coalition air strikes or artillery shelling in attacks that the report says may amount to war crimes.  </w:t>
      </w:r>
    </w:p>
    <w:p w14:paraId="3A10CA59" w14:textId="77777777" w:rsidR="00CF13DF" w:rsidRPr="00915DA2" w:rsidRDefault="00CF13DF" w:rsidP="007C2EAD">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 xml:space="preserve">The supply of arms has also enabled the Saudi-led coalition to enforce a naval blockade of Yemeni ports, at various levels of intensity during the near-two years of the conflict. The </w:t>
      </w:r>
      <w:r w:rsidRPr="00915DA2">
        <w:rPr>
          <w:rFonts w:asciiTheme="majorBidi" w:hAnsiTheme="majorBidi" w:cstheme="majorBidi"/>
          <w:sz w:val="26"/>
          <w:szCs w:val="26"/>
        </w:rPr>
        <w:lastRenderedPageBreak/>
        <w:t>blockade of commercial goods has contributed to a nationwide shortage of vital supplies, including food, water</w:t>
      </w:r>
      <w:r w:rsidR="00BA2A41" w:rsidRPr="00915DA2">
        <w:rPr>
          <w:rFonts w:asciiTheme="majorBidi" w:hAnsiTheme="majorBidi" w:cstheme="majorBidi"/>
          <w:sz w:val="26"/>
          <w:szCs w:val="26"/>
        </w:rPr>
        <w:t>,</w:t>
      </w:r>
      <w:r w:rsidRPr="00915DA2">
        <w:rPr>
          <w:rFonts w:asciiTheme="majorBidi" w:hAnsiTheme="majorBidi" w:cstheme="majorBidi"/>
          <w:sz w:val="26"/>
          <w:szCs w:val="26"/>
        </w:rPr>
        <w:t xml:space="preserve"> and fuel.  Yemen has ratified the International Covenant on Economic, Social</w:t>
      </w:r>
      <w:r w:rsidR="00BA2A41" w:rsidRPr="00915DA2">
        <w:rPr>
          <w:rFonts w:asciiTheme="majorBidi" w:hAnsiTheme="majorBidi" w:cstheme="majorBidi"/>
          <w:sz w:val="26"/>
          <w:szCs w:val="26"/>
        </w:rPr>
        <w:t>,</w:t>
      </w:r>
      <w:r w:rsidRPr="00915DA2">
        <w:rPr>
          <w:rFonts w:asciiTheme="majorBidi" w:hAnsiTheme="majorBidi" w:cstheme="majorBidi"/>
          <w:sz w:val="26"/>
          <w:szCs w:val="26"/>
        </w:rPr>
        <w:t xml:space="preserve"> and Cultural Rights, Article 11 which specifies the right to food. The violation of this right may also be linked to the right to life in situations of famine or near famine.  The United Nations has described Yemen as “one step away from famine,” with more than seven million people severely food insecure and at least 370,000 children who are severely malnourished. </w:t>
      </w:r>
    </w:p>
    <w:p w14:paraId="312F879B" w14:textId="77777777" w:rsidR="00844ECF" w:rsidRPr="00915DA2" w:rsidRDefault="00844ECF" w:rsidP="007C2EAD">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 xml:space="preserve">The ongoing crisis in Yemen is an example of how arms transfers may fuel serious violations of human rights. Since a coalition of countries led by Saudi Arabia launched a military intervention in Yemen in March 2015 at the request of the government, thousands of civilians have been deprived of their right to life. All parties to the conflict have killed civilians with weapons largely supplied by/originating from external parties. Aerial bombing by the Saudi-led coalition has been responsible for 60 </w:t>
      </w:r>
      <w:r w:rsidR="00BA2A41" w:rsidRPr="00915DA2">
        <w:rPr>
          <w:rFonts w:asciiTheme="majorBidi" w:hAnsiTheme="majorBidi" w:cstheme="majorBidi"/>
          <w:sz w:val="26"/>
          <w:szCs w:val="26"/>
        </w:rPr>
        <w:t>percent</w:t>
      </w:r>
      <w:r w:rsidRPr="00915DA2">
        <w:rPr>
          <w:rFonts w:asciiTheme="majorBidi" w:hAnsiTheme="majorBidi" w:cstheme="majorBidi"/>
          <w:sz w:val="26"/>
          <w:szCs w:val="26"/>
        </w:rPr>
        <w:t xml:space="preserve"> of civilian deaths in the conflict.  Yemen has ratified the International Covenant on Civil and Political Rights, which protects the right to life in Article 6.</w:t>
      </w:r>
      <w:r w:rsidRPr="00915DA2">
        <w:rPr>
          <w:rFonts w:asciiTheme="majorBidi" w:hAnsiTheme="majorBidi" w:cstheme="majorBidi"/>
          <w:sz w:val="26"/>
          <w:szCs w:val="26"/>
          <w:vertAlign w:val="superscript"/>
        </w:rPr>
        <w:footnoteReference w:id="9"/>
      </w:r>
    </w:p>
    <w:p w14:paraId="2F8949DF" w14:textId="05BEAE03" w:rsidR="006705EE" w:rsidRPr="00915DA2" w:rsidRDefault="00CF13DF" w:rsidP="005F3C79">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 xml:space="preserve">While all parties to the conflict in Yemen have committed serious violations of IHL and IHRL, arms transfers by Saudi Arabia and other members of the international coalition have directly impacted the provision of these basic human rights to civilians in Yemen. </w:t>
      </w:r>
      <w:r w:rsidR="005F3C79" w:rsidRPr="00915DA2">
        <w:rPr>
          <w:rFonts w:asciiTheme="majorBidi" w:hAnsiTheme="majorBidi" w:cstheme="majorBidi"/>
          <w:sz w:val="26"/>
          <w:szCs w:val="26"/>
        </w:rPr>
        <w:t xml:space="preserve"> </w:t>
      </w:r>
      <w:r w:rsidR="006705EE" w:rsidRPr="00915DA2">
        <w:rPr>
          <w:rFonts w:asciiTheme="majorBidi" w:hAnsiTheme="majorBidi" w:cstheme="majorBidi"/>
          <w:sz w:val="26"/>
          <w:szCs w:val="26"/>
        </w:rPr>
        <w:t>According to the statistics cited in this report, the weapons were purchased from the United States and its allies</w:t>
      </w:r>
      <w:r w:rsidR="0082586D" w:rsidRPr="00915DA2">
        <w:rPr>
          <w:rStyle w:val="FootnoteReference"/>
          <w:rFonts w:asciiTheme="majorBidi" w:hAnsiTheme="majorBidi" w:cstheme="majorBidi"/>
          <w:sz w:val="26"/>
          <w:szCs w:val="26"/>
          <w:rtl/>
          <w:lang w:bidi="fa-IR"/>
        </w:rPr>
        <w:footnoteReference w:id="10"/>
      </w:r>
      <w:r w:rsidR="0082586D" w:rsidRPr="00915DA2">
        <w:rPr>
          <w:rFonts w:asciiTheme="majorBidi" w:hAnsiTheme="majorBidi" w:cstheme="majorBidi"/>
          <w:sz w:val="26"/>
          <w:szCs w:val="26"/>
        </w:rPr>
        <w:t>.</w:t>
      </w:r>
    </w:p>
    <w:p w14:paraId="7B53BDED" w14:textId="39D2EC77" w:rsidR="00F9794C" w:rsidRPr="00915DA2" w:rsidRDefault="00F9794C" w:rsidP="0055531D">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U.S. weapons manufacturers fueling the crisis in Yemen spend big money on lobbying but make even more selling arms.</w:t>
      </w:r>
      <w:r w:rsidR="0055531D">
        <w:rPr>
          <w:rFonts w:asciiTheme="majorBidi" w:hAnsiTheme="majorBidi" w:cstheme="majorBidi"/>
          <w:sz w:val="26"/>
          <w:szCs w:val="26"/>
        </w:rPr>
        <w:t xml:space="preserve"> </w:t>
      </w:r>
      <w:r w:rsidRPr="00915DA2">
        <w:rPr>
          <w:rFonts w:asciiTheme="majorBidi" w:hAnsiTheme="majorBidi" w:cstheme="majorBidi"/>
          <w:sz w:val="26"/>
          <w:szCs w:val="26"/>
        </w:rPr>
        <w:t xml:space="preserve">Over the last 20 years, defense companies and their affiliates have spent more than $2.6 billion on lobbying politicians and $300 million making contributions to support and influence their campaigns. Getting up to half of a Pentagon budget that is likely to top $800 billion next year makes it well worth the effort. </w:t>
      </w:r>
    </w:p>
    <w:p w14:paraId="5B5080DB" w14:textId="7F7915A9" w:rsidR="00F9794C" w:rsidRPr="00915DA2" w:rsidRDefault="00F9794C" w:rsidP="005F3C79">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U.S. manufacturers make billions from federal government contracts supplying weapons to the world’s most expensive and well-armed military, and billions more selling arms abroad. Over the last five years, the U.S. accounted for 39% of global arms exports according to Stockholm International Peace Research Institute. Of those exports, 43% went to the Middle East. The largest recipient, Saudi Arabia, received nearly a quarter of U.S. exports</w:t>
      </w:r>
      <w:r w:rsidRPr="00915DA2">
        <w:rPr>
          <w:rFonts w:asciiTheme="majorBidi" w:hAnsiTheme="majorBidi" w:cstheme="majorBidi"/>
          <w:sz w:val="26"/>
          <w:szCs w:val="26"/>
          <w:rtl/>
        </w:rPr>
        <w:t>.</w:t>
      </w:r>
    </w:p>
    <w:p w14:paraId="306BCE4A" w14:textId="77777777" w:rsidR="005F3C79" w:rsidRPr="00915DA2" w:rsidRDefault="005F3C79" w:rsidP="007C2EAD">
      <w:pPr>
        <w:spacing w:line="276" w:lineRule="auto"/>
        <w:jc w:val="both"/>
        <w:rPr>
          <w:rFonts w:asciiTheme="majorBidi" w:hAnsiTheme="majorBidi" w:cstheme="majorBidi"/>
          <w:b/>
          <w:bCs/>
          <w:sz w:val="26"/>
          <w:szCs w:val="26"/>
        </w:rPr>
      </w:pPr>
    </w:p>
    <w:p w14:paraId="3A6C409A" w14:textId="716AFCA9" w:rsidR="003E2917" w:rsidRPr="00915DA2" w:rsidRDefault="003E2917" w:rsidP="007C2EAD">
      <w:pPr>
        <w:spacing w:line="276" w:lineRule="auto"/>
        <w:jc w:val="both"/>
        <w:rPr>
          <w:rFonts w:asciiTheme="majorBidi" w:hAnsiTheme="majorBidi" w:cstheme="majorBidi"/>
          <w:b/>
          <w:bCs/>
          <w:sz w:val="26"/>
          <w:szCs w:val="26"/>
          <w:rtl/>
        </w:rPr>
      </w:pPr>
      <w:r w:rsidRPr="00915DA2">
        <w:rPr>
          <w:rFonts w:asciiTheme="majorBidi" w:hAnsiTheme="majorBidi" w:cstheme="majorBidi"/>
          <w:b/>
          <w:bCs/>
          <w:sz w:val="26"/>
          <w:szCs w:val="26"/>
        </w:rPr>
        <w:t>C) Arms trade and Women’s Rights</w:t>
      </w:r>
    </w:p>
    <w:p w14:paraId="65F73520" w14:textId="77777777" w:rsidR="003826F2" w:rsidRPr="00915DA2" w:rsidRDefault="003826F2" w:rsidP="007C2EAD">
      <w:pPr>
        <w:pBdr>
          <w:top w:val="nil"/>
          <w:left w:val="nil"/>
          <w:bottom w:val="nil"/>
          <w:right w:val="nil"/>
          <w:between w:val="nil"/>
        </w:pBdr>
        <w:spacing w:after="0" w:line="276" w:lineRule="auto"/>
        <w:jc w:val="both"/>
        <w:rPr>
          <w:rFonts w:asciiTheme="majorBidi" w:hAnsiTheme="majorBidi" w:cstheme="majorBidi"/>
          <w:sz w:val="26"/>
          <w:szCs w:val="26"/>
        </w:rPr>
      </w:pPr>
      <w:r w:rsidRPr="00915DA2">
        <w:rPr>
          <w:rFonts w:asciiTheme="majorBidi" w:eastAsia="Times New Roman" w:hAnsiTheme="majorBidi" w:cstheme="majorBidi"/>
          <w:sz w:val="26"/>
          <w:szCs w:val="26"/>
        </w:rPr>
        <w:t xml:space="preserve">It is important to underscore that the presence of weapons, both illicit and legal, </w:t>
      </w:r>
      <w:r w:rsidR="00BA2A41" w:rsidRPr="00915DA2">
        <w:rPr>
          <w:rFonts w:asciiTheme="majorBidi" w:eastAsia="Times New Roman" w:hAnsiTheme="majorBidi" w:cstheme="majorBidi"/>
          <w:sz w:val="26"/>
          <w:szCs w:val="26"/>
        </w:rPr>
        <w:t>has</w:t>
      </w:r>
      <w:r w:rsidRPr="00915DA2">
        <w:rPr>
          <w:rFonts w:asciiTheme="majorBidi" w:eastAsia="Times New Roman" w:hAnsiTheme="majorBidi" w:cstheme="majorBidi"/>
          <w:sz w:val="26"/>
          <w:szCs w:val="26"/>
        </w:rPr>
        <w:t xml:space="preserve"> multifaceted impacts and often </w:t>
      </w:r>
      <w:r w:rsidR="00BA2A41" w:rsidRPr="00915DA2">
        <w:rPr>
          <w:rFonts w:asciiTheme="majorBidi" w:eastAsia="Times New Roman" w:hAnsiTheme="majorBidi" w:cstheme="majorBidi"/>
          <w:sz w:val="26"/>
          <w:szCs w:val="26"/>
        </w:rPr>
        <w:t>goes</w:t>
      </w:r>
      <w:r w:rsidRPr="00915DA2">
        <w:rPr>
          <w:rFonts w:asciiTheme="majorBidi" w:eastAsia="Times New Roman" w:hAnsiTheme="majorBidi" w:cstheme="majorBidi"/>
          <w:sz w:val="26"/>
          <w:szCs w:val="26"/>
        </w:rPr>
        <w:t xml:space="preserve"> beyond the immediate use of a weapon in an act of physical or sexual violence. Widespread possession and use of weapons tend to prevent women from fully participating in public and political life, elaborated in more detail below. For instance, women and girls may face “secondary </w:t>
      </w:r>
      <w:r w:rsidR="003E2917" w:rsidRPr="00915DA2">
        <w:rPr>
          <w:rFonts w:asciiTheme="majorBidi" w:eastAsia="Times New Roman" w:hAnsiTheme="majorBidi" w:cstheme="majorBidi"/>
          <w:sz w:val="26"/>
          <w:szCs w:val="26"/>
        </w:rPr>
        <w:t>victimization</w:t>
      </w:r>
      <w:r w:rsidRPr="00915DA2">
        <w:rPr>
          <w:rFonts w:asciiTheme="majorBidi" w:eastAsia="Times New Roman" w:hAnsiTheme="majorBidi" w:cstheme="majorBidi"/>
          <w:sz w:val="26"/>
          <w:szCs w:val="26"/>
        </w:rPr>
        <w:t>”, predominantly in their role as caregivers to weapon survivors with disabilities, or those who are seriously injured, which in turn limits their opportunities to access public and political life.</w:t>
      </w:r>
      <w:r w:rsidRPr="00915DA2">
        <w:rPr>
          <w:rFonts w:asciiTheme="majorBidi" w:eastAsia="Times New Roman" w:hAnsiTheme="majorBidi" w:cstheme="majorBidi"/>
          <w:sz w:val="26"/>
          <w:szCs w:val="26"/>
          <w:vertAlign w:val="superscript"/>
        </w:rPr>
        <w:footnoteReference w:id="11"/>
      </w:r>
    </w:p>
    <w:p w14:paraId="57BDFD04" w14:textId="77777777" w:rsidR="00BD4FB7" w:rsidRPr="00915DA2" w:rsidRDefault="00BD4FB7" w:rsidP="007C2EAD">
      <w:pPr>
        <w:pBdr>
          <w:top w:val="nil"/>
          <w:left w:val="nil"/>
          <w:bottom w:val="nil"/>
          <w:right w:val="nil"/>
          <w:between w:val="nil"/>
        </w:pBdr>
        <w:spacing w:after="0" w:line="276" w:lineRule="auto"/>
        <w:jc w:val="both"/>
        <w:rPr>
          <w:rFonts w:asciiTheme="majorBidi" w:eastAsia="Times New Roman" w:hAnsiTheme="majorBidi" w:cstheme="majorBidi"/>
          <w:sz w:val="26"/>
          <w:szCs w:val="26"/>
        </w:rPr>
      </w:pPr>
      <w:r w:rsidRPr="00915DA2">
        <w:rPr>
          <w:rFonts w:asciiTheme="majorBidi" w:eastAsia="Times New Roman" w:hAnsiTheme="majorBidi" w:cstheme="majorBidi"/>
          <w:sz w:val="26"/>
          <w:szCs w:val="26"/>
        </w:rPr>
        <w:t xml:space="preserve">The proliferation of conventional weapons correlates with an increase in gendered inequality and a </w:t>
      </w:r>
      <w:r w:rsidR="000976C2" w:rsidRPr="00915DA2">
        <w:rPr>
          <w:rFonts w:asciiTheme="majorBidi" w:eastAsia="Times New Roman" w:hAnsiTheme="majorBidi" w:cstheme="majorBidi"/>
          <w:sz w:val="26"/>
          <w:szCs w:val="26"/>
        </w:rPr>
        <w:t>generalized</w:t>
      </w:r>
      <w:r w:rsidRPr="00915DA2">
        <w:rPr>
          <w:rFonts w:asciiTheme="majorBidi" w:eastAsia="Times New Roman" w:hAnsiTheme="majorBidi" w:cstheme="majorBidi"/>
          <w:sz w:val="26"/>
          <w:szCs w:val="26"/>
        </w:rPr>
        <w:t xml:space="preserve"> culture of violence. The possession of weapons by any stakeholder </w:t>
      </w:r>
      <w:r w:rsidR="000976C2" w:rsidRPr="00915DA2">
        <w:rPr>
          <w:rFonts w:asciiTheme="majorBidi" w:eastAsia="Times New Roman" w:hAnsiTheme="majorBidi" w:cstheme="majorBidi"/>
          <w:sz w:val="26"/>
          <w:szCs w:val="26"/>
        </w:rPr>
        <w:t>symbolizes</w:t>
      </w:r>
      <w:r w:rsidRPr="00915DA2">
        <w:rPr>
          <w:rFonts w:asciiTheme="majorBidi" w:eastAsia="Times New Roman" w:hAnsiTheme="majorBidi" w:cstheme="majorBidi"/>
          <w:sz w:val="26"/>
          <w:szCs w:val="26"/>
        </w:rPr>
        <w:t xml:space="preserve"> power, stemming from a particular and dominant understanding and performance of masculinity. This performance is based upon gender norms in which ideas like strength, courage, and protection are equated with violence.</w:t>
      </w:r>
      <w:r w:rsidRPr="00915DA2">
        <w:rPr>
          <w:rFonts w:asciiTheme="majorBidi" w:eastAsia="Times New Roman" w:hAnsiTheme="majorBidi" w:cstheme="majorBidi"/>
          <w:sz w:val="26"/>
          <w:szCs w:val="26"/>
          <w:vertAlign w:val="superscript"/>
        </w:rPr>
        <w:footnoteReference w:id="12"/>
      </w:r>
      <w:r w:rsidRPr="00915DA2">
        <w:rPr>
          <w:rFonts w:asciiTheme="majorBidi" w:eastAsia="Times New Roman" w:hAnsiTheme="majorBidi" w:cstheme="majorBidi"/>
          <w:sz w:val="26"/>
          <w:szCs w:val="26"/>
        </w:rPr>
        <w:t xml:space="preserve"> The proliferation and possession of weapons, regardless of whether they are acquired through the regulated or unregulated arms trade, therefore reinforce patriarchal gender norms and gender inequality.</w:t>
      </w:r>
      <w:r w:rsidRPr="00915DA2">
        <w:rPr>
          <w:rFonts w:asciiTheme="majorBidi" w:eastAsia="Times New Roman" w:hAnsiTheme="majorBidi" w:cstheme="majorBidi"/>
          <w:sz w:val="26"/>
          <w:szCs w:val="26"/>
          <w:vertAlign w:val="superscript"/>
        </w:rPr>
        <w:footnoteReference w:id="13"/>
      </w:r>
      <w:r w:rsidRPr="00915DA2">
        <w:rPr>
          <w:rFonts w:asciiTheme="majorBidi" w:eastAsia="Times New Roman" w:hAnsiTheme="majorBidi" w:cstheme="majorBidi"/>
          <w:sz w:val="26"/>
          <w:szCs w:val="26"/>
        </w:rPr>
        <w:t xml:space="preserve"> </w:t>
      </w:r>
    </w:p>
    <w:p w14:paraId="2EA06DFA" w14:textId="39C02C61" w:rsidR="003E2917" w:rsidRDefault="003E2917" w:rsidP="007C2EAD">
      <w:pPr>
        <w:pBdr>
          <w:top w:val="nil"/>
          <w:left w:val="nil"/>
          <w:bottom w:val="nil"/>
          <w:right w:val="nil"/>
          <w:between w:val="nil"/>
        </w:pBdr>
        <w:spacing w:after="0" w:line="276" w:lineRule="auto"/>
        <w:jc w:val="both"/>
        <w:rPr>
          <w:rFonts w:asciiTheme="majorBidi" w:eastAsia="Times New Roman" w:hAnsiTheme="majorBidi" w:cstheme="majorBidi"/>
          <w:sz w:val="26"/>
          <w:szCs w:val="26"/>
        </w:rPr>
      </w:pPr>
    </w:p>
    <w:p w14:paraId="4F68CADE" w14:textId="77777777" w:rsidR="00220F1E" w:rsidRPr="00915DA2" w:rsidRDefault="00220F1E" w:rsidP="007C2EAD">
      <w:pPr>
        <w:pBdr>
          <w:top w:val="nil"/>
          <w:left w:val="nil"/>
          <w:bottom w:val="nil"/>
          <w:right w:val="nil"/>
          <w:between w:val="nil"/>
        </w:pBdr>
        <w:spacing w:after="0" w:line="276" w:lineRule="auto"/>
        <w:jc w:val="both"/>
        <w:rPr>
          <w:rFonts w:asciiTheme="majorBidi" w:eastAsia="Times New Roman" w:hAnsiTheme="majorBidi" w:cstheme="majorBidi"/>
          <w:sz w:val="26"/>
          <w:szCs w:val="26"/>
        </w:rPr>
      </w:pPr>
    </w:p>
    <w:p w14:paraId="5BA7DC65" w14:textId="77777777" w:rsidR="003E2917" w:rsidRPr="00915DA2" w:rsidRDefault="003E2917" w:rsidP="007C2EAD">
      <w:pPr>
        <w:pBdr>
          <w:top w:val="nil"/>
          <w:left w:val="nil"/>
          <w:bottom w:val="nil"/>
          <w:right w:val="nil"/>
          <w:between w:val="nil"/>
        </w:pBdr>
        <w:spacing w:after="0" w:line="276" w:lineRule="auto"/>
        <w:jc w:val="both"/>
        <w:rPr>
          <w:rFonts w:asciiTheme="majorBidi" w:hAnsiTheme="majorBidi" w:cstheme="majorBidi"/>
          <w:b/>
          <w:bCs/>
          <w:sz w:val="26"/>
          <w:szCs w:val="26"/>
        </w:rPr>
      </w:pPr>
      <w:r w:rsidRPr="00915DA2">
        <w:rPr>
          <w:rFonts w:asciiTheme="majorBidi" w:eastAsia="Times New Roman" w:hAnsiTheme="majorBidi" w:cstheme="majorBidi"/>
          <w:b/>
          <w:bCs/>
          <w:sz w:val="26"/>
          <w:szCs w:val="26"/>
        </w:rPr>
        <w:t>D) The role of the transfer of American weapons in the conflict in Yemen</w:t>
      </w:r>
    </w:p>
    <w:p w14:paraId="141160CD" w14:textId="77777777" w:rsidR="0055531D" w:rsidRDefault="00F9794C" w:rsidP="0055531D">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 xml:space="preserve">In recent years, Saudi Arabia bought billions worth of Boeing-made helicopters and Raytheon and Lockheed </w:t>
      </w:r>
      <w:r w:rsidR="000976C2" w:rsidRPr="00915DA2">
        <w:rPr>
          <w:rFonts w:asciiTheme="majorBidi" w:hAnsiTheme="majorBidi" w:cstheme="majorBidi"/>
          <w:sz w:val="26"/>
          <w:szCs w:val="26"/>
        </w:rPr>
        <w:t>Martin-manufactured</w:t>
      </w:r>
      <w:r w:rsidRPr="00915DA2">
        <w:rPr>
          <w:rFonts w:asciiTheme="majorBidi" w:hAnsiTheme="majorBidi" w:cstheme="majorBidi"/>
          <w:sz w:val="26"/>
          <w:szCs w:val="26"/>
        </w:rPr>
        <w:t xml:space="preserve"> missiles. In total, Saudi Arabia received $355 million in large U.S. arms between 2015 and 2018, according to the Security Assistance Monitor. Since then, the U.S. government signed off on an additional $4.5 billion in future sales, according to the Forum on the Arms Trade data collected from the Pentagon’s Defense Security Cooperation Agency.</w:t>
      </w:r>
      <w:r w:rsidR="0055531D">
        <w:rPr>
          <w:rFonts w:asciiTheme="majorBidi" w:hAnsiTheme="majorBidi" w:cstheme="majorBidi"/>
          <w:sz w:val="26"/>
          <w:szCs w:val="26"/>
        </w:rPr>
        <w:t xml:space="preserve"> </w:t>
      </w:r>
    </w:p>
    <w:p w14:paraId="279490EB" w14:textId="29E011A3" w:rsidR="00F9794C" w:rsidRPr="00915DA2" w:rsidRDefault="000976C2" w:rsidP="0055531D">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lastRenderedPageBreak/>
        <w:t>Additionally,</w:t>
      </w:r>
      <w:r w:rsidR="00F9794C" w:rsidRPr="00915DA2">
        <w:rPr>
          <w:rFonts w:asciiTheme="majorBidi" w:hAnsiTheme="majorBidi" w:cstheme="majorBidi"/>
          <w:sz w:val="26"/>
          <w:szCs w:val="26"/>
        </w:rPr>
        <w:t xml:space="preserve"> in 2021, the U.S. began reshuffling resources, largely away from the Middle East, as part of a Biden administration pivot to focus on threats posed by Russia and China. While U.S. diplomats have indicated that ending the military and humanitarian crisis in Yemen is a top priority, little tangible pressure has been brought to bear. </w:t>
      </w:r>
    </w:p>
    <w:p w14:paraId="09886004" w14:textId="113B4AB3" w:rsidR="00F9794C" w:rsidRPr="00915DA2" w:rsidRDefault="00F9794C" w:rsidP="00282331">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Despite Biden’s campaign promise to end support for the Saudi-led war in Yemen, his administration approved a $500 million contract</w:t>
      </w:r>
      <w:r w:rsidR="00665121" w:rsidRPr="00915DA2">
        <w:rPr>
          <w:rFonts w:asciiTheme="majorBidi" w:hAnsiTheme="majorBidi" w:cstheme="majorBidi"/>
          <w:sz w:val="26"/>
          <w:szCs w:val="26"/>
        </w:rPr>
        <w:t xml:space="preserve"> to</w:t>
      </w:r>
      <w:r w:rsidRPr="00915DA2">
        <w:rPr>
          <w:rFonts w:asciiTheme="majorBidi" w:hAnsiTheme="majorBidi" w:cstheme="majorBidi"/>
          <w:sz w:val="26"/>
          <w:szCs w:val="26"/>
        </w:rPr>
        <w:t xml:space="preserve"> support the helicopter fleet in September and a $650 million contract for air-to-air missiles in November. </w:t>
      </w:r>
    </w:p>
    <w:p w14:paraId="4FD8285C" w14:textId="7C4562FC" w:rsidR="008E30BE" w:rsidRPr="00915DA2" w:rsidRDefault="008E30BE" w:rsidP="00282331">
      <w:pPr>
        <w:spacing w:line="276" w:lineRule="auto"/>
        <w:jc w:val="both"/>
        <w:rPr>
          <w:rFonts w:asciiTheme="majorBidi" w:hAnsiTheme="majorBidi" w:cstheme="majorBidi"/>
          <w:sz w:val="26"/>
          <w:szCs w:val="26"/>
          <w:rtl/>
        </w:rPr>
      </w:pPr>
      <w:r w:rsidRPr="00915DA2">
        <w:rPr>
          <w:rFonts w:asciiTheme="majorBidi" w:hAnsiTheme="majorBidi" w:cstheme="majorBidi"/>
          <w:sz w:val="26"/>
          <w:szCs w:val="26"/>
        </w:rPr>
        <w:t>Since March 2015, the Saudi-led Coalition has been involved in the Yemen conflict,</w:t>
      </w:r>
      <w:r w:rsidRPr="00915DA2">
        <w:rPr>
          <w:rFonts w:asciiTheme="majorBidi" w:hAnsiTheme="majorBidi" w:cstheme="majorBidi"/>
          <w:sz w:val="26"/>
          <w:szCs w:val="26"/>
        </w:rPr>
        <w:footnoteReference w:id="14"/>
      </w:r>
      <w:r w:rsidRPr="00915DA2">
        <w:rPr>
          <w:rFonts w:asciiTheme="majorBidi" w:hAnsiTheme="majorBidi" w:cstheme="majorBidi"/>
          <w:sz w:val="26"/>
          <w:szCs w:val="26"/>
        </w:rPr>
        <w:t xml:space="preserve">  conducting airstrikes and a de facto naval and aerial blockade that </w:t>
      </w:r>
      <w:r w:rsidR="00BA2A41" w:rsidRPr="00915DA2">
        <w:rPr>
          <w:rFonts w:asciiTheme="majorBidi" w:hAnsiTheme="majorBidi" w:cstheme="majorBidi"/>
          <w:sz w:val="26"/>
          <w:szCs w:val="26"/>
        </w:rPr>
        <w:t>has</w:t>
      </w:r>
      <w:r w:rsidRPr="00915DA2">
        <w:rPr>
          <w:rFonts w:asciiTheme="majorBidi" w:hAnsiTheme="majorBidi" w:cstheme="majorBidi"/>
          <w:sz w:val="26"/>
          <w:szCs w:val="26"/>
        </w:rPr>
        <w:t xml:space="preserve"> had an unprecedented impact on civilians and civilian infrastructure in Yemen, including schools,  medical facilities,  markets, homes, water and sanitation facilities, transportation routes including roads, bridges, and ports, and religious or cultural places.</w:t>
      </w:r>
      <w:r w:rsidRPr="00915DA2">
        <w:rPr>
          <w:rFonts w:asciiTheme="majorBidi" w:hAnsiTheme="majorBidi" w:cstheme="majorBidi"/>
          <w:sz w:val="26"/>
          <w:szCs w:val="26"/>
        </w:rPr>
        <w:footnoteReference w:id="15"/>
      </w:r>
      <w:r w:rsidRPr="00915DA2">
        <w:rPr>
          <w:rFonts w:asciiTheme="majorBidi" w:hAnsiTheme="majorBidi" w:cstheme="majorBidi"/>
          <w:sz w:val="26"/>
          <w:szCs w:val="26"/>
        </w:rPr>
        <w:t xml:space="preserve"> The lives of millions of Yemenis across Yemen have become a raging hell due to the waring parties’ continued inhumane practices and grave violations against them. The parties to the conflict in Yemen have not fulfilled any of their obligations under international law to provide reparations for the violations committed during the past period. The ongoing attacks by the parties to the conflict have had a devastating impact on the vital civilian infrastructure throughout the country. During this trying time, civilians are constantly suffering from internal displacement, significant shortage of oil derivatives, interruption of public service salaries, and lack of basic services, including health care and education.</w:t>
      </w:r>
      <w:r w:rsidRPr="00220F1E">
        <w:rPr>
          <w:rFonts w:asciiTheme="majorBidi" w:hAnsiTheme="majorBidi" w:cstheme="majorBidi"/>
          <w:sz w:val="26"/>
          <w:szCs w:val="26"/>
          <w:vertAlign w:val="superscript"/>
        </w:rPr>
        <w:footnoteReference w:id="16"/>
      </w:r>
    </w:p>
    <w:p w14:paraId="32912006" w14:textId="539A200D" w:rsidR="00F9794C" w:rsidRPr="00915DA2" w:rsidRDefault="00F9794C" w:rsidP="0020062B">
      <w:pPr>
        <w:spacing w:line="276" w:lineRule="auto"/>
        <w:jc w:val="both"/>
        <w:rPr>
          <w:rFonts w:asciiTheme="majorBidi" w:hAnsiTheme="majorBidi" w:cstheme="majorBidi"/>
          <w:sz w:val="26"/>
          <w:szCs w:val="26"/>
          <w:rtl/>
        </w:rPr>
      </w:pPr>
      <w:r w:rsidRPr="00915DA2">
        <w:rPr>
          <w:rFonts w:asciiTheme="majorBidi" w:hAnsiTheme="majorBidi" w:cstheme="majorBidi"/>
          <w:sz w:val="26"/>
          <w:szCs w:val="26"/>
        </w:rPr>
        <w:t xml:space="preserve">For years, the Saudi-led coalition has used those weapons in a catastrophic civil war in Yemen that </w:t>
      </w:r>
      <w:r w:rsidR="0020062B">
        <w:rPr>
          <w:rFonts w:asciiTheme="majorBidi" w:hAnsiTheme="majorBidi" w:cstheme="majorBidi"/>
          <w:sz w:val="26"/>
          <w:szCs w:val="26"/>
        </w:rPr>
        <w:t>t</w:t>
      </w:r>
      <w:r w:rsidRPr="00915DA2">
        <w:rPr>
          <w:rFonts w:asciiTheme="majorBidi" w:hAnsiTheme="majorBidi" w:cstheme="majorBidi"/>
          <w:sz w:val="26"/>
          <w:szCs w:val="26"/>
        </w:rPr>
        <w:t>he resulting humanitarian crisis has claimed over a hundred thousand lives from military conflict, famine</w:t>
      </w:r>
      <w:r w:rsidR="00BA2A41" w:rsidRPr="00915DA2">
        <w:rPr>
          <w:rFonts w:asciiTheme="majorBidi" w:hAnsiTheme="majorBidi" w:cstheme="majorBidi"/>
          <w:sz w:val="26"/>
          <w:szCs w:val="26"/>
        </w:rPr>
        <w:t>,</w:t>
      </w:r>
      <w:r w:rsidRPr="00915DA2">
        <w:rPr>
          <w:rFonts w:asciiTheme="majorBidi" w:hAnsiTheme="majorBidi" w:cstheme="majorBidi"/>
          <w:sz w:val="26"/>
          <w:szCs w:val="26"/>
        </w:rPr>
        <w:t xml:space="preserve"> and disease</w:t>
      </w:r>
      <w:r w:rsidRPr="00915DA2">
        <w:rPr>
          <w:rFonts w:asciiTheme="majorBidi" w:hAnsiTheme="majorBidi" w:cstheme="majorBidi"/>
          <w:sz w:val="26"/>
          <w:szCs w:val="26"/>
          <w:rtl/>
        </w:rPr>
        <w:t>.</w:t>
      </w:r>
    </w:p>
    <w:p w14:paraId="04864E6A" w14:textId="0C9B1A72" w:rsidR="00691219" w:rsidRPr="00915DA2" w:rsidRDefault="00691219" w:rsidP="00220F1E">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 xml:space="preserve">In September 2020, the Human Rights Council </w:t>
      </w:r>
      <w:r w:rsidR="00220F1E">
        <w:rPr>
          <w:rFonts w:asciiTheme="majorBidi" w:hAnsiTheme="majorBidi" w:cstheme="majorBidi"/>
          <w:sz w:val="26"/>
          <w:szCs w:val="26"/>
        </w:rPr>
        <w:t>(HRC</w:t>
      </w:r>
      <w:r w:rsidRPr="00915DA2">
        <w:rPr>
          <w:rFonts w:asciiTheme="majorBidi" w:hAnsiTheme="majorBidi" w:cstheme="majorBidi"/>
          <w:sz w:val="26"/>
          <w:szCs w:val="26"/>
        </w:rPr>
        <w:t>)’s Group of Experts on Yemen reported that “Airstrikes continue to be carried out by coalition forces without appropriate regard to international law principles of distinction, proportionality and/or precaution.</w:t>
      </w:r>
    </w:p>
    <w:p w14:paraId="1A516D7F" w14:textId="77C84BC8" w:rsidR="00691219" w:rsidRPr="00915DA2" w:rsidRDefault="000976C2" w:rsidP="00220F1E">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The Saudi Arabian Air Force receives a large part of its equipment from the United States.</w:t>
      </w:r>
      <w:r w:rsidR="00691219" w:rsidRPr="00915DA2">
        <w:rPr>
          <w:rFonts w:asciiTheme="majorBidi" w:eastAsia="Times New Roman" w:hAnsiTheme="majorBidi" w:cstheme="majorBidi"/>
          <w:sz w:val="26"/>
          <w:szCs w:val="26"/>
        </w:rPr>
        <w:t xml:space="preserve"> </w:t>
      </w:r>
      <w:r w:rsidR="00691219" w:rsidRPr="00915DA2">
        <w:rPr>
          <w:rFonts w:asciiTheme="majorBidi" w:hAnsiTheme="majorBidi" w:cstheme="majorBidi"/>
          <w:sz w:val="26"/>
          <w:szCs w:val="26"/>
        </w:rPr>
        <w:t xml:space="preserve">Persistently high civilian casualties from airstrikes on markets and farms, for instance, indicate the coalition may be failing to take all legally necessary measures to protect civilians and civilian objects. Some airstrikes may amount to disproportionate attacks. </w:t>
      </w:r>
      <w:r w:rsidR="00691219" w:rsidRPr="00915DA2">
        <w:rPr>
          <w:rFonts w:asciiTheme="majorBidi" w:hAnsiTheme="majorBidi" w:cstheme="majorBidi"/>
          <w:sz w:val="26"/>
          <w:szCs w:val="26"/>
        </w:rPr>
        <w:lastRenderedPageBreak/>
        <w:t xml:space="preserve">These indiscriminate attacks are killing and wounding civilians and damaging critical infrastructure, such as health facilities. The legacy of landmines unlawfully planted during previous years, is disturbingly apparent, in the deaths and injuries of civilians, e.g. children playing in fields, and in the diminished access to arable lands and fishing areas. </w:t>
      </w:r>
      <w:r w:rsidR="00691219" w:rsidRPr="00220F1E">
        <w:rPr>
          <w:rFonts w:asciiTheme="majorBidi" w:hAnsiTheme="majorBidi" w:cstheme="majorBidi"/>
          <w:sz w:val="26"/>
          <w:szCs w:val="26"/>
          <w:vertAlign w:val="superscript"/>
        </w:rPr>
        <w:footnoteReference w:id="17"/>
      </w:r>
    </w:p>
    <w:p w14:paraId="40E2640C" w14:textId="77777777" w:rsidR="00A46D57" w:rsidRPr="00915DA2" w:rsidRDefault="00691219" w:rsidP="007C2EAD">
      <w:pPr>
        <w:spacing w:line="276" w:lineRule="auto"/>
        <w:jc w:val="both"/>
        <w:rPr>
          <w:rFonts w:asciiTheme="majorBidi" w:hAnsiTheme="majorBidi" w:cstheme="majorBidi"/>
          <w:sz w:val="26"/>
          <w:szCs w:val="26"/>
          <w:rtl/>
        </w:rPr>
      </w:pPr>
      <w:r w:rsidRPr="00915DA2">
        <w:rPr>
          <w:rFonts w:asciiTheme="majorBidi" w:hAnsiTheme="majorBidi" w:cstheme="majorBidi"/>
          <w:sz w:val="26"/>
          <w:szCs w:val="26"/>
        </w:rPr>
        <w:t>Information from the Yemen Data Project</w:t>
      </w:r>
      <w:r w:rsidR="00BA2A41" w:rsidRPr="00915DA2">
        <w:rPr>
          <w:rFonts w:asciiTheme="majorBidi" w:hAnsiTheme="majorBidi" w:cstheme="majorBidi"/>
          <w:sz w:val="26"/>
          <w:szCs w:val="26"/>
        </w:rPr>
        <w:t xml:space="preserve"> </w:t>
      </w:r>
      <w:r w:rsidRPr="00915DA2">
        <w:rPr>
          <w:rFonts w:asciiTheme="majorBidi" w:hAnsiTheme="majorBidi" w:cstheme="majorBidi"/>
          <w:sz w:val="26"/>
          <w:szCs w:val="26"/>
        </w:rPr>
        <w:t xml:space="preserve">indicates that as of December 2020, the total number of airstrikes recorded since the beginning of the air campaign by this </w:t>
      </w:r>
      <w:r w:rsidR="000976C2" w:rsidRPr="00915DA2">
        <w:rPr>
          <w:rFonts w:asciiTheme="majorBidi" w:hAnsiTheme="majorBidi" w:cstheme="majorBidi"/>
          <w:sz w:val="26"/>
          <w:szCs w:val="26"/>
        </w:rPr>
        <w:t>organization</w:t>
      </w:r>
      <w:r w:rsidRPr="00915DA2">
        <w:rPr>
          <w:rFonts w:asciiTheme="majorBidi" w:hAnsiTheme="majorBidi" w:cstheme="majorBidi"/>
          <w:sz w:val="26"/>
          <w:szCs w:val="26"/>
        </w:rPr>
        <w:t xml:space="preserve"> amounted to approximately 22,360, of which 7,365 </w:t>
      </w:r>
      <w:r w:rsidR="00BA2A41" w:rsidRPr="00915DA2">
        <w:rPr>
          <w:rFonts w:asciiTheme="majorBidi" w:hAnsiTheme="majorBidi" w:cstheme="majorBidi"/>
          <w:sz w:val="26"/>
          <w:szCs w:val="26"/>
        </w:rPr>
        <w:t xml:space="preserve">were </w:t>
      </w:r>
      <w:r w:rsidRPr="00915DA2">
        <w:rPr>
          <w:rFonts w:asciiTheme="majorBidi" w:hAnsiTheme="majorBidi" w:cstheme="majorBidi"/>
          <w:sz w:val="26"/>
          <w:szCs w:val="26"/>
        </w:rPr>
        <w:t xml:space="preserve">on military objects and 6,591 </w:t>
      </w:r>
      <w:r w:rsidR="00BA2A41" w:rsidRPr="00915DA2">
        <w:rPr>
          <w:rFonts w:asciiTheme="majorBidi" w:hAnsiTheme="majorBidi" w:cstheme="majorBidi"/>
          <w:sz w:val="26"/>
          <w:szCs w:val="26"/>
        </w:rPr>
        <w:t xml:space="preserve">were </w:t>
      </w:r>
      <w:r w:rsidRPr="00915DA2">
        <w:rPr>
          <w:rFonts w:asciiTheme="majorBidi" w:hAnsiTheme="majorBidi" w:cstheme="majorBidi"/>
          <w:sz w:val="26"/>
          <w:szCs w:val="26"/>
        </w:rPr>
        <w:t>on non-military objects.</w:t>
      </w:r>
      <w:r w:rsidRPr="00220F1E">
        <w:rPr>
          <w:rFonts w:asciiTheme="majorBidi" w:hAnsiTheme="majorBidi" w:cstheme="majorBidi"/>
          <w:sz w:val="26"/>
          <w:szCs w:val="26"/>
          <w:vertAlign w:val="superscript"/>
        </w:rPr>
        <w:footnoteReference w:id="18"/>
      </w:r>
      <w:r w:rsidRPr="00915DA2">
        <w:rPr>
          <w:rFonts w:asciiTheme="majorBidi" w:hAnsiTheme="majorBidi" w:cstheme="majorBidi"/>
          <w:sz w:val="26"/>
          <w:szCs w:val="26"/>
        </w:rPr>
        <w:t xml:space="preserve"> It is unknown whether there was a legitimate military target present for 8,404 airstrikes.</w:t>
      </w:r>
      <w:r w:rsidR="00A46D57" w:rsidRPr="00220F1E">
        <w:rPr>
          <w:rFonts w:asciiTheme="majorBidi" w:hAnsiTheme="majorBidi" w:cstheme="majorBidi"/>
          <w:sz w:val="26"/>
          <w:szCs w:val="26"/>
          <w:vertAlign w:val="superscript"/>
        </w:rPr>
        <w:footnoteReference w:id="19"/>
      </w:r>
    </w:p>
    <w:p w14:paraId="754DB995" w14:textId="77777777" w:rsidR="001F711F" w:rsidRDefault="00A46D57" w:rsidP="001F711F">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The military operations of the Saudi-led Coalition constitute not only serious violations of international humanitarian law but also violate a wide range of civil and political rights of the Yemeni people. These include the right to life,</w:t>
      </w:r>
      <w:r w:rsidRPr="00220F1E">
        <w:rPr>
          <w:rFonts w:asciiTheme="majorBidi" w:hAnsiTheme="majorBidi" w:cstheme="majorBidi"/>
          <w:sz w:val="26"/>
          <w:szCs w:val="26"/>
          <w:vertAlign w:val="superscript"/>
        </w:rPr>
        <w:footnoteReference w:id="20"/>
      </w:r>
      <w:r w:rsidRPr="00915DA2">
        <w:rPr>
          <w:rFonts w:asciiTheme="majorBidi" w:hAnsiTheme="majorBidi" w:cstheme="majorBidi"/>
          <w:sz w:val="26"/>
          <w:szCs w:val="26"/>
        </w:rPr>
        <w:t xml:space="preserve"> the right to liberty and security including freedom from arbitrary detention,</w:t>
      </w:r>
      <w:r w:rsidRPr="00220F1E">
        <w:rPr>
          <w:rFonts w:asciiTheme="majorBidi" w:hAnsiTheme="majorBidi" w:cstheme="majorBidi"/>
          <w:sz w:val="26"/>
          <w:szCs w:val="26"/>
          <w:vertAlign w:val="superscript"/>
        </w:rPr>
        <w:footnoteReference w:id="21"/>
      </w:r>
      <w:r w:rsidRPr="00915DA2">
        <w:rPr>
          <w:rFonts w:asciiTheme="majorBidi" w:hAnsiTheme="majorBidi" w:cstheme="majorBidi"/>
          <w:sz w:val="26"/>
          <w:szCs w:val="26"/>
        </w:rPr>
        <w:t xml:space="preserve"> the right to freedom of expression, association</w:t>
      </w:r>
      <w:r w:rsidR="00BA2A41" w:rsidRPr="00915DA2">
        <w:rPr>
          <w:rFonts w:asciiTheme="majorBidi" w:hAnsiTheme="majorBidi" w:cstheme="majorBidi"/>
          <w:sz w:val="26"/>
          <w:szCs w:val="26"/>
        </w:rPr>
        <w:t>,</w:t>
      </w:r>
      <w:r w:rsidRPr="00915DA2">
        <w:rPr>
          <w:rFonts w:asciiTheme="majorBidi" w:hAnsiTheme="majorBidi" w:cstheme="majorBidi"/>
          <w:sz w:val="26"/>
          <w:szCs w:val="26"/>
        </w:rPr>
        <w:t xml:space="preserve"> and peaceful assembly,</w:t>
      </w:r>
      <w:r w:rsidRPr="00220F1E">
        <w:rPr>
          <w:rFonts w:asciiTheme="majorBidi" w:hAnsiTheme="majorBidi" w:cstheme="majorBidi"/>
          <w:sz w:val="26"/>
          <w:szCs w:val="26"/>
          <w:vertAlign w:val="superscript"/>
        </w:rPr>
        <w:footnoteReference w:id="22"/>
      </w:r>
      <w:r w:rsidRPr="00915DA2">
        <w:rPr>
          <w:rFonts w:asciiTheme="majorBidi" w:hAnsiTheme="majorBidi" w:cstheme="majorBidi"/>
          <w:sz w:val="26"/>
          <w:szCs w:val="26"/>
        </w:rPr>
        <w:t xml:space="preserve"> </w:t>
      </w:r>
      <w:r w:rsidR="00BA2A41" w:rsidRPr="00915DA2">
        <w:rPr>
          <w:rFonts w:asciiTheme="majorBidi" w:hAnsiTheme="majorBidi" w:cstheme="majorBidi"/>
          <w:sz w:val="26"/>
          <w:szCs w:val="26"/>
        </w:rPr>
        <w:t xml:space="preserve">and </w:t>
      </w:r>
      <w:r w:rsidRPr="00915DA2">
        <w:rPr>
          <w:rFonts w:asciiTheme="majorBidi" w:hAnsiTheme="majorBidi" w:cstheme="majorBidi"/>
          <w:sz w:val="26"/>
          <w:szCs w:val="26"/>
        </w:rPr>
        <w:t>freedom from torture or cruel, inhuman</w:t>
      </w:r>
      <w:r w:rsidR="00BA2A41" w:rsidRPr="00915DA2">
        <w:rPr>
          <w:rFonts w:asciiTheme="majorBidi" w:hAnsiTheme="majorBidi" w:cstheme="majorBidi"/>
          <w:sz w:val="26"/>
          <w:szCs w:val="26"/>
        </w:rPr>
        <w:t>,</w:t>
      </w:r>
      <w:r w:rsidRPr="00915DA2">
        <w:rPr>
          <w:rFonts w:asciiTheme="majorBidi" w:hAnsiTheme="majorBidi" w:cstheme="majorBidi"/>
          <w:sz w:val="26"/>
          <w:szCs w:val="26"/>
        </w:rPr>
        <w:t xml:space="preserve"> or degrading treatment or punishment.</w:t>
      </w:r>
      <w:r w:rsidRPr="00220F1E">
        <w:rPr>
          <w:rFonts w:asciiTheme="majorBidi" w:hAnsiTheme="majorBidi" w:cstheme="majorBidi"/>
          <w:sz w:val="26"/>
          <w:szCs w:val="26"/>
          <w:vertAlign w:val="superscript"/>
        </w:rPr>
        <w:footnoteReference w:id="23"/>
      </w:r>
      <w:r w:rsidRPr="00915DA2">
        <w:rPr>
          <w:rFonts w:asciiTheme="majorBidi" w:hAnsiTheme="majorBidi" w:cstheme="majorBidi"/>
          <w:sz w:val="26"/>
          <w:szCs w:val="26"/>
        </w:rPr>
        <w:t xml:space="preserve"> </w:t>
      </w:r>
      <w:r w:rsidR="008A3918">
        <w:rPr>
          <w:rFonts w:asciiTheme="majorBidi" w:hAnsiTheme="majorBidi" w:cstheme="majorBidi"/>
          <w:sz w:val="26"/>
          <w:szCs w:val="26"/>
        </w:rPr>
        <w:t xml:space="preserve"> </w:t>
      </w:r>
    </w:p>
    <w:p w14:paraId="4ECD1A9F" w14:textId="561B6DBC" w:rsidR="00087210" w:rsidRPr="00915DA2" w:rsidRDefault="00CF13DF" w:rsidP="001F711F">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President Joe Biden said he would end U.S. support for the coalition’s military offensive, including the sale of weapons, and signaled a shift to diplomacy by appointing a special envoy to Yemen. Yet, U.S. defense contractors still oversee the servicing of Saudi aircraft that carry out offensive operations, and the administration has approved the sale of weapons to Saudi Arabia for defense purposes.</w:t>
      </w:r>
    </w:p>
    <w:p w14:paraId="2D831470" w14:textId="77777777" w:rsidR="00810BCC" w:rsidRPr="00915DA2" w:rsidRDefault="00BA2A41" w:rsidP="007C2EAD">
      <w:pPr>
        <w:pBdr>
          <w:top w:val="nil"/>
          <w:left w:val="nil"/>
          <w:bottom w:val="nil"/>
          <w:right w:val="nil"/>
          <w:between w:val="nil"/>
        </w:pBdr>
        <w:spacing w:after="0" w:line="276" w:lineRule="auto"/>
        <w:jc w:val="both"/>
        <w:rPr>
          <w:rFonts w:asciiTheme="majorBidi" w:hAnsiTheme="majorBidi" w:cstheme="majorBidi"/>
          <w:sz w:val="26"/>
          <w:szCs w:val="26"/>
        </w:rPr>
      </w:pPr>
      <w:r w:rsidRPr="00915DA2">
        <w:rPr>
          <w:rFonts w:asciiTheme="majorBidi" w:eastAsia="Times New Roman" w:hAnsiTheme="majorBidi" w:cstheme="majorBidi"/>
          <w:sz w:val="26"/>
          <w:szCs w:val="26"/>
        </w:rPr>
        <w:t>Regarding</w:t>
      </w:r>
      <w:r w:rsidR="00810BCC" w:rsidRPr="00915DA2">
        <w:rPr>
          <w:rFonts w:asciiTheme="majorBidi" w:eastAsia="Times New Roman" w:hAnsiTheme="majorBidi" w:cstheme="majorBidi"/>
          <w:sz w:val="26"/>
          <w:szCs w:val="26"/>
        </w:rPr>
        <w:t xml:space="preserve"> the right to life, which is directly impacted </w:t>
      </w:r>
      <w:r w:rsidRPr="00915DA2">
        <w:rPr>
          <w:rFonts w:asciiTheme="majorBidi" w:eastAsia="Times New Roman" w:hAnsiTheme="majorBidi" w:cstheme="majorBidi"/>
          <w:sz w:val="26"/>
          <w:szCs w:val="26"/>
        </w:rPr>
        <w:t>by</w:t>
      </w:r>
      <w:r w:rsidR="00810BCC" w:rsidRPr="00915DA2">
        <w:rPr>
          <w:rFonts w:asciiTheme="majorBidi" w:eastAsia="Times New Roman" w:hAnsiTheme="majorBidi" w:cstheme="majorBidi"/>
          <w:sz w:val="26"/>
          <w:szCs w:val="26"/>
        </w:rPr>
        <w:t xml:space="preserve"> arms transfers to parties to the conflict in Yemen, the Human Rights Committee has clearly stated that States parties must take appropriate measures to protect individuals against deprivation of life by other States and foreign corporations operating within their territory or subject to their jurisdiction.</w:t>
      </w:r>
      <w:r w:rsidR="00810BCC" w:rsidRPr="00915DA2">
        <w:rPr>
          <w:rFonts w:asciiTheme="majorBidi" w:eastAsia="Times New Roman" w:hAnsiTheme="majorBidi" w:cstheme="majorBidi"/>
          <w:sz w:val="26"/>
          <w:szCs w:val="26"/>
          <w:vertAlign w:val="superscript"/>
        </w:rPr>
        <w:footnoteReference w:id="24"/>
      </w:r>
      <w:r w:rsidR="00810BCC" w:rsidRPr="00915DA2">
        <w:rPr>
          <w:rFonts w:asciiTheme="majorBidi" w:eastAsia="Times New Roman" w:hAnsiTheme="majorBidi" w:cstheme="majorBidi"/>
          <w:sz w:val="26"/>
          <w:szCs w:val="26"/>
        </w:rPr>
        <w:t xml:space="preserve"> This obligation entails taking: “appropriate legislative and other measures to ensure that all activities taking place in whole or in part within their territory and other places subject to their jurisdiction, but having a direct and reasonably foreseeable impact on the right to life </w:t>
      </w:r>
      <w:r w:rsidR="00810BCC" w:rsidRPr="00915DA2">
        <w:rPr>
          <w:rFonts w:asciiTheme="majorBidi" w:eastAsia="Times New Roman" w:hAnsiTheme="majorBidi" w:cstheme="majorBidi"/>
          <w:sz w:val="26"/>
          <w:szCs w:val="26"/>
        </w:rPr>
        <w:lastRenderedPageBreak/>
        <w:t>of individuals outside their territory, including activities undertaken by corporate entities based in their territory or subject to their jurisdiction, are consistent with article 6, taking due account of related international standards of corporate responsibility and of the right of victims to obtain an effective remedy.”</w:t>
      </w:r>
      <w:r w:rsidR="00810BCC" w:rsidRPr="00915DA2">
        <w:rPr>
          <w:rFonts w:asciiTheme="majorBidi" w:eastAsia="Times New Roman" w:hAnsiTheme="majorBidi" w:cstheme="majorBidi"/>
          <w:sz w:val="26"/>
          <w:szCs w:val="26"/>
          <w:vertAlign w:val="superscript"/>
        </w:rPr>
        <w:footnoteReference w:id="25"/>
      </w:r>
      <w:r w:rsidR="00810BCC" w:rsidRPr="00915DA2">
        <w:rPr>
          <w:rFonts w:asciiTheme="majorBidi" w:eastAsia="Times New Roman" w:hAnsiTheme="majorBidi" w:cstheme="majorBidi"/>
          <w:sz w:val="26"/>
          <w:szCs w:val="26"/>
        </w:rPr>
        <w:t xml:space="preserve"> The Committee has also clarified that: “States parties engaged in the deployment, use, sale or purchase of existing weapons and the study, development, acquisition or adoption of weapons, and means or methods of warfare, must always consider their impact on the right to life.”</w:t>
      </w:r>
      <w:r w:rsidR="00810BCC" w:rsidRPr="00915DA2">
        <w:rPr>
          <w:rFonts w:asciiTheme="majorBidi" w:eastAsia="Times New Roman" w:hAnsiTheme="majorBidi" w:cstheme="majorBidi"/>
          <w:sz w:val="26"/>
          <w:szCs w:val="26"/>
          <w:vertAlign w:val="superscript"/>
        </w:rPr>
        <w:footnoteReference w:id="26"/>
      </w:r>
    </w:p>
    <w:p w14:paraId="18B3DBE4" w14:textId="77777777" w:rsidR="00810BCC" w:rsidRPr="00915DA2" w:rsidRDefault="00810BCC" w:rsidP="007C2EAD">
      <w:pPr>
        <w:spacing w:line="276" w:lineRule="auto"/>
        <w:jc w:val="both"/>
        <w:rPr>
          <w:rFonts w:asciiTheme="majorBidi" w:hAnsiTheme="majorBidi" w:cstheme="majorBidi"/>
          <w:sz w:val="26"/>
          <w:szCs w:val="26"/>
          <w:rtl/>
        </w:rPr>
      </w:pPr>
    </w:p>
    <w:p w14:paraId="47076D14" w14:textId="77777777" w:rsidR="00087210" w:rsidRPr="00915DA2" w:rsidRDefault="000976C2" w:rsidP="007C2EAD">
      <w:pPr>
        <w:spacing w:line="276" w:lineRule="auto"/>
        <w:jc w:val="both"/>
        <w:rPr>
          <w:rFonts w:asciiTheme="majorBidi" w:hAnsiTheme="majorBidi" w:cstheme="majorBidi"/>
          <w:b/>
          <w:bCs/>
          <w:sz w:val="26"/>
          <w:szCs w:val="26"/>
          <w:rtl/>
        </w:rPr>
      </w:pPr>
      <w:r w:rsidRPr="00915DA2">
        <w:rPr>
          <w:rFonts w:asciiTheme="majorBidi" w:hAnsiTheme="majorBidi" w:cstheme="majorBidi"/>
          <w:b/>
          <w:bCs/>
          <w:sz w:val="26"/>
          <w:szCs w:val="26"/>
        </w:rPr>
        <w:t xml:space="preserve">E) International </w:t>
      </w:r>
      <w:r w:rsidR="00665121" w:rsidRPr="00915DA2">
        <w:rPr>
          <w:rFonts w:asciiTheme="majorBidi" w:hAnsiTheme="majorBidi" w:cstheme="majorBidi"/>
          <w:b/>
          <w:bCs/>
          <w:sz w:val="26"/>
          <w:szCs w:val="26"/>
        </w:rPr>
        <w:t>commitments</w:t>
      </w:r>
      <w:r w:rsidRPr="00915DA2">
        <w:rPr>
          <w:rFonts w:asciiTheme="majorBidi" w:hAnsiTheme="majorBidi" w:cstheme="majorBidi"/>
          <w:b/>
          <w:bCs/>
          <w:sz w:val="26"/>
          <w:szCs w:val="26"/>
        </w:rPr>
        <w:t xml:space="preserve"> of the United States regarding the arms tra</w:t>
      </w:r>
      <w:r w:rsidR="00665121" w:rsidRPr="00915DA2">
        <w:rPr>
          <w:rFonts w:asciiTheme="majorBidi" w:hAnsiTheme="majorBidi" w:cstheme="majorBidi"/>
          <w:b/>
          <w:bCs/>
          <w:sz w:val="26"/>
          <w:szCs w:val="26"/>
        </w:rPr>
        <w:t>des</w:t>
      </w:r>
    </w:p>
    <w:p w14:paraId="02F07B66" w14:textId="77777777" w:rsidR="003F1A53" w:rsidRPr="00915DA2" w:rsidRDefault="003F1A53" w:rsidP="007C2EAD">
      <w:pPr>
        <w:pBdr>
          <w:top w:val="nil"/>
          <w:left w:val="nil"/>
          <w:bottom w:val="nil"/>
          <w:right w:val="nil"/>
          <w:between w:val="nil"/>
        </w:pBdr>
        <w:spacing w:after="0" w:line="276" w:lineRule="auto"/>
        <w:jc w:val="both"/>
        <w:rPr>
          <w:rFonts w:asciiTheme="majorBidi" w:hAnsiTheme="majorBidi" w:cstheme="majorBidi"/>
          <w:sz w:val="26"/>
          <w:szCs w:val="26"/>
          <w:rtl/>
        </w:rPr>
      </w:pPr>
      <w:r w:rsidRPr="00915DA2">
        <w:rPr>
          <w:rFonts w:asciiTheme="majorBidi" w:eastAsia="Times New Roman" w:hAnsiTheme="majorBidi" w:cstheme="majorBidi"/>
          <w:sz w:val="26"/>
          <w:szCs w:val="26"/>
        </w:rPr>
        <w:t>The Human Rights Committee’s General Comment 31 on the nature of the general legal obligation imposed on States Parties to the Covenant clarifies the positive obligations of States associated with the duty to protect, including the obligation to act with due diligence. According to the Committee’s General Comment 31, this means “that a State party must respect and ensure the rights laid down in the Covenant to anyone within the power or effective control of that State Party, even if not situated within the territory of the State Party.”</w:t>
      </w:r>
      <w:r w:rsidRPr="00915DA2">
        <w:rPr>
          <w:rFonts w:asciiTheme="majorBidi" w:eastAsia="Times New Roman" w:hAnsiTheme="majorBidi" w:cstheme="majorBidi"/>
          <w:sz w:val="26"/>
          <w:szCs w:val="26"/>
          <w:vertAlign w:val="superscript"/>
        </w:rPr>
        <w:footnoteReference w:id="27"/>
      </w:r>
      <w:r w:rsidRPr="00915DA2">
        <w:rPr>
          <w:rFonts w:asciiTheme="majorBidi" w:eastAsia="Times New Roman" w:hAnsiTheme="majorBidi" w:cstheme="majorBidi"/>
          <w:sz w:val="26"/>
          <w:szCs w:val="26"/>
        </w:rPr>
        <w:t xml:space="preserve"> </w:t>
      </w:r>
    </w:p>
    <w:p w14:paraId="5EBAB771" w14:textId="77777777" w:rsidR="00E524F6" w:rsidRPr="00915DA2" w:rsidRDefault="00E524F6" w:rsidP="007C2EAD">
      <w:pPr>
        <w:spacing w:line="276" w:lineRule="auto"/>
        <w:jc w:val="both"/>
        <w:rPr>
          <w:rFonts w:asciiTheme="majorBidi" w:hAnsiTheme="majorBidi" w:cstheme="majorBidi"/>
          <w:sz w:val="26"/>
          <w:szCs w:val="26"/>
        </w:rPr>
      </w:pPr>
      <w:r w:rsidRPr="00915DA2">
        <w:rPr>
          <w:rFonts w:asciiTheme="majorBidi" w:hAnsiTheme="majorBidi" w:cstheme="majorBidi"/>
          <w:sz w:val="26"/>
          <w:szCs w:val="26"/>
        </w:rPr>
        <w:t xml:space="preserve">Before the adoption of the Arms Trade Treaty (ATT) in April 2013 by the General Assembly of the United Nations, there was no global set of rules governing the trade in conventional weapons. The ATT sets robust international standards to help guide governments in deciding whether or not to authorize arms transfers. It provides for cooperation and assistance to help countries develop adequate regulatory systems and safe weapons stockpiles. </w:t>
      </w:r>
    </w:p>
    <w:p w14:paraId="3C1C5D85" w14:textId="77777777" w:rsidR="00403D33" w:rsidRPr="00915DA2" w:rsidRDefault="000976C2" w:rsidP="007C2EAD">
      <w:pPr>
        <w:spacing w:line="276" w:lineRule="auto"/>
        <w:jc w:val="both"/>
        <w:rPr>
          <w:rFonts w:asciiTheme="majorBidi" w:eastAsia="Times New Roman" w:hAnsiTheme="majorBidi" w:cstheme="majorBidi"/>
          <w:sz w:val="26"/>
          <w:szCs w:val="26"/>
        </w:rPr>
      </w:pPr>
      <w:r w:rsidRPr="00915DA2">
        <w:rPr>
          <w:rFonts w:asciiTheme="majorBidi" w:hAnsiTheme="majorBidi" w:cstheme="majorBidi"/>
          <w:sz w:val="26"/>
          <w:szCs w:val="26"/>
        </w:rPr>
        <w:t xml:space="preserve">Since this international treaty seeks to reduce conflicts and the negative effects of war on the lives of millions of people, it allows the United Nations and its peacekeeping missions to promote the goals of sustainable development and the New Agenda for Peace. Also, creating a safer environment for humanitarian activists will help to spread sustainable peace. The United States of America joined this treaty in 2019 and must adhere to the essential elements of the ATT. This treaty includes all important weapons systems such as </w:t>
      </w:r>
      <w:r w:rsidRPr="0055531D">
        <w:rPr>
          <w:rFonts w:asciiTheme="majorBidi" w:hAnsiTheme="majorBidi" w:cstheme="majorBidi"/>
          <w:sz w:val="26"/>
          <w:szCs w:val="26"/>
        </w:rPr>
        <w:t xml:space="preserve">Battle tanks, armored </w:t>
      </w:r>
      <w:r w:rsidR="00403D33" w:rsidRPr="0055531D">
        <w:rPr>
          <w:rFonts w:asciiTheme="majorBidi" w:hAnsiTheme="majorBidi" w:cstheme="majorBidi"/>
          <w:sz w:val="26"/>
          <w:szCs w:val="26"/>
        </w:rPr>
        <w:t>combat vehicle</w:t>
      </w:r>
      <w:r w:rsidRPr="0055531D">
        <w:rPr>
          <w:rFonts w:asciiTheme="majorBidi" w:hAnsiTheme="majorBidi" w:cstheme="majorBidi"/>
          <w:sz w:val="26"/>
          <w:szCs w:val="26"/>
        </w:rPr>
        <w:t xml:space="preserve">, </w:t>
      </w:r>
      <w:r w:rsidR="00403D33" w:rsidRPr="00915DA2">
        <w:rPr>
          <w:rFonts w:asciiTheme="majorBidi" w:hAnsiTheme="majorBidi" w:cstheme="majorBidi"/>
          <w:sz w:val="26"/>
          <w:szCs w:val="26"/>
        </w:rPr>
        <w:t>large-caliber artillery systems, combat aircraft and unmanned combat aerial vehicles (UCAV), attack helicopters, warships, missile and missile launchers, landmines, cluster munitions, small arms, and lights weapons and ammunition.</w:t>
      </w:r>
      <w:r w:rsidR="00B81014" w:rsidRPr="00915DA2">
        <w:rPr>
          <w:rFonts w:asciiTheme="majorBidi" w:hAnsiTheme="majorBidi" w:cstheme="majorBidi"/>
          <w:sz w:val="26"/>
          <w:szCs w:val="26"/>
        </w:rPr>
        <w:t xml:space="preserve"> </w:t>
      </w:r>
      <w:r w:rsidR="00403D33" w:rsidRPr="0055531D">
        <w:rPr>
          <w:rFonts w:asciiTheme="majorBidi" w:hAnsiTheme="majorBidi" w:cstheme="majorBidi"/>
          <w:sz w:val="26"/>
          <w:szCs w:val="26"/>
        </w:rPr>
        <w:t xml:space="preserve">Parts and components are also covered. The most important element of this </w:t>
      </w:r>
      <w:r w:rsidR="00403D33" w:rsidRPr="0055531D">
        <w:rPr>
          <w:rFonts w:asciiTheme="majorBidi" w:hAnsiTheme="majorBidi" w:cstheme="majorBidi"/>
          <w:sz w:val="26"/>
          <w:szCs w:val="26"/>
        </w:rPr>
        <w:lastRenderedPageBreak/>
        <w:t>treaty is the prohibition of any transfers that could violate Security Council arms sanctions or be used</w:t>
      </w:r>
      <w:r w:rsidR="00403D33" w:rsidRPr="00915DA2">
        <w:rPr>
          <w:rFonts w:asciiTheme="majorBidi" w:eastAsia="Times New Roman" w:hAnsiTheme="majorBidi" w:cstheme="majorBidi"/>
          <w:sz w:val="26"/>
          <w:szCs w:val="26"/>
        </w:rPr>
        <w:t xml:space="preserve"> to commit acts of genocide, crimes against humanity, or war crimes.</w:t>
      </w:r>
    </w:p>
    <w:p w14:paraId="56C51DCB" w14:textId="77777777" w:rsidR="00E524F6" w:rsidRPr="00915DA2" w:rsidRDefault="006F6A12" w:rsidP="007C2EAD">
      <w:pPr>
        <w:tabs>
          <w:tab w:val="num" w:pos="720"/>
        </w:tabs>
        <w:spacing w:line="276" w:lineRule="auto"/>
        <w:jc w:val="both"/>
        <w:rPr>
          <w:rFonts w:asciiTheme="majorBidi" w:hAnsiTheme="majorBidi" w:cstheme="majorBidi"/>
          <w:sz w:val="26"/>
          <w:szCs w:val="26"/>
          <w:lang w:bidi="fa-IR"/>
        </w:rPr>
      </w:pPr>
      <w:r w:rsidRPr="00915DA2">
        <w:rPr>
          <w:rFonts w:asciiTheme="majorBidi" w:hAnsiTheme="majorBidi" w:cstheme="majorBidi"/>
          <w:sz w:val="26"/>
          <w:szCs w:val="26"/>
          <w:lang w:bidi="fa-IR"/>
        </w:rPr>
        <w:t>On 26 April 2019</w:t>
      </w:r>
      <w:r w:rsidR="00BA2A41" w:rsidRPr="00915DA2">
        <w:rPr>
          <w:rFonts w:asciiTheme="majorBidi" w:hAnsiTheme="majorBidi" w:cstheme="majorBidi"/>
          <w:sz w:val="26"/>
          <w:szCs w:val="26"/>
          <w:lang w:bidi="fa-IR"/>
        </w:rPr>
        <w:t>,</w:t>
      </w:r>
      <w:r w:rsidRPr="00915DA2">
        <w:rPr>
          <w:rFonts w:asciiTheme="majorBidi" w:hAnsiTheme="majorBidi" w:cstheme="majorBidi"/>
          <w:sz w:val="26"/>
          <w:szCs w:val="26"/>
          <w:lang w:bidi="fa-IR"/>
        </w:rPr>
        <w:t xml:space="preserve"> President Trump announced the US </w:t>
      </w:r>
      <w:r w:rsidR="00BA2A41" w:rsidRPr="00915DA2">
        <w:rPr>
          <w:rFonts w:asciiTheme="majorBidi" w:hAnsiTheme="majorBidi" w:cstheme="majorBidi"/>
          <w:sz w:val="26"/>
          <w:szCs w:val="26"/>
          <w:lang w:bidi="fa-IR"/>
        </w:rPr>
        <w:t>would</w:t>
      </w:r>
      <w:r w:rsidRPr="00915DA2">
        <w:rPr>
          <w:rFonts w:asciiTheme="majorBidi" w:hAnsiTheme="majorBidi" w:cstheme="majorBidi"/>
          <w:sz w:val="26"/>
          <w:szCs w:val="26"/>
          <w:lang w:bidi="fa-IR"/>
        </w:rPr>
        <w:t xml:space="preserve"> withdraw its signature from the Arms Trade Treaty (ATT).</w:t>
      </w:r>
      <w:r w:rsidRPr="00915DA2">
        <w:rPr>
          <w:rStyle w:val="FootnoteReference"/>
          <w:rFonts w:asciiTheme="majorBidi" w:hAnsiTheme="majorBidi" w:cstheme="majorBidi"/>
          <w:sz w:val="26"/>
          <w:szCs w:val="26"/>
          <w:lang w:bidi="fa-IR"/>
        </w:rPr>
        <w:footnoteReference w:id="28"/>
      </w:r>
      <w:r w:rsidRPr="00915DA2">
        <w:rPr>
          <w:rFonts w:asciiTheme="majorBidi" w:hAnsiTheme="majorBidi" w:cstheme="majorBidi"/>
          <w:sz w:val="26"/>
          <w:szCs w:val="26"/>
          <w:shd w:val="clear" w:color="auto" w:fill="FFFFFF"/>
        </w:rPr>
        <w:t xml:space="preserve"> </w:t>
      </w:r>
      <w:r w:rsidRPr="00915DA2">
        <w:rPr>
          <w:rFonts w:asciiTheme="majorBidi" w:hAnsiTheme="majorBidi" w:cstheme="majorBidi"/>
          <w:sz w:val="26"/>
          <w:szCs w:val="26"/>
          <w:lang w:bidi="fa-IR"/>
        </w:rPr>
        <w:t>the Biden administration has been frustratingly and disappointingly silent on the ATT.</w:t>
      </w:r>
      <w:r w:rsidRPr="00915DA2">
        <w:rPr>
          <w:rFonts w:asciiTheme="majorBidi" w:hAnsiTheme="majorBidi" w:cstheme="majorBidi"/>
          <w:sz w:val="26"/>
          <w:szCs w:val="26"/>
          <w:shd w:val="clear" w:color="auto" w:fill="FFFFFF"/>
        </w:rPr>
        <w:t xml:space="preserve"> </w:t>
      </w:r>
      <w:r w:rsidRPr="00915DA2">
        <w:rPr>
          <w:rFonts w:asciiTheme="majorBidi" w:hAnsiTheme="majorBidi" w:cstheme="majorBidi"/>
          <w:sz w:val="26"/>
          <w:szCs w:val="26"/>
          <w:lang w:bidi="fa-IR"/>
        </w:rPr>
        <w:t xml:space="preserve">President Biden need only send a letter to the UN stating that it will fulfill its responsibilities as a signatory and be bound by the object and purpose of the treaty, which </w:t>
      </w:r>
      <w:r w:rsidR="00BA2A41" w:rsidRPr="00915DA2">
        <w:rPr>
          <w:rFonts w:asciiTheme="majorBidi" w:hAnsiTheme="majorBidi" w:cstheme="majorBidi"/>
          <w:sz w:val="26"/>
          <w:szCs w:val="26"/>
          <w:lang w:bidi="fa-IR"/>
        </w:rPr>
        <w:t>is</w:t>
      </w:r>
      <w:r w:rsidRPr="00915DA2">
        <w:rPr>
          <w:rFonts w:asciiTheme="majorBidi" w:hAnsiTheme="majorBidi" w:cstheme="majorBidi"/>
          <w:sz w:val="26"/>
          <w:szCs w:val="26"/>
          <w:lang w:bidi="fa-IR"/>
        </w:rPr>
        <w:t xml:space="preserve"> to reduce human suffering and ensure a responsible, accountable, and transparent arms trade.</w:t>
      </w:r>
    </w:p>
    <w:p w14:paraId="6314D0D5" w14:textId="77777777" w:rsidR="006F6A12" w:rsidRPr="00915DA2" w:rsidRDefault="00403D33" w:rsidP="007C2EAD">
      <w:pPr>
        <w:tabs>
          <w:tab w:val="num" w:pos="720"/>
        </w:tabs>
        <w:spacing w:line="276" w:lineRule="auto"/>
        <w:jc w:val="both"/>
        <w:rPr>
          <w:rFonts w:asciiTheme="majorBidi" w:hAnsiTheme="majorBidi" w:cstheme="majorBidi"/>
          <w:sz w:val="26"/>
          <w:szCs w:val="26"/>
          <w:lang w:bidi="fa-IR"/>
        </w:rPr>
      </w:pPr>
      <w:r w:rsidRPr="00915DA2">
        <w:rPr>
          <w:rFonts w:asciiTheme="majorBidi" w:hAnsiTheme="majorBidi" w:cstheme="majorBidi"/>
          <w:sz w:val="26"/>
          <w:szCs w:val="26"/>
          <w:lang w:bidi="fa-IR"/>
        </w:rPr>
        <w:t>Since</w:t>
      </w:r>
      <w:r w:rsidR="006F6A12" w:rsidRPr="00915DA2">
        <w:rPr>
          <w:rFonts w:asciiTheme="majorBidi" w:hAnsiTheme="majorBidi" w:cstheme="majorBidi"/>
          <w:sz w:val="26"/>
          <w:szCs w:val="26"/>
          <w:lang w:bidi="fa-IR"/>
        </w:rPr>
        <w:t xml:space="preserve"> the United States is the world’s largest arms exporter, it played a significant role in the ATT’s negotiations, ensuring that the treaty did not contradict U.S. laws, policies, or regulations and reflected U.S. values, much to the consternation of some countries that wanted a stricter treaty. However, even with the concessions made to the United States throughout the negotiations, and a final text that reflected U.S. interests, the United States has remained outside the treaty.</w:t>
      </w:r>
      <w:r w:rsidR="006F6A12" w:rsidRPr="00915DA2">
        <w:rPr>
          <w:rStyle w:val="FootnoteReference"/>
          <w:rFonts w:asciiTheme="majorBidi" w:hAnsiTheme="majorBidi" w:cstheme="majorBidi"/>
          <w:sz w:val="26"/>
          <w:szCs w:val="26"/>
          <w:lang w:bidi="fa-IR"/>
        </w:rPr>
        <w:footnoteReference w:id="29"/>
      </w:r>
    </w:p>
    <w:p w14:paraId="309C5E49" w14:textId="77777777" w:rsidR="00D6350A" w:rsidRPr="00915DA2" w:rsidRDefault="00D6350A" w:rsidP="007C2EAD">
      <w:pPr>
        <w:tabs>
          <w:tab w:val="num" w:pos="720"/>
        </w:tabs>
        <w:spacing w:line="276" w:lineRule="auto"/>
        <w:jc w:val="both"/>
        <w:rPr>
          <w:rFonts w:asciiTheme="majorBidi" w:hAnsiTheme="majorBidi" w:cstheme="majorBidi"/>
          <w:sz w:val="26"/>
          <w:szCs w:val="26"/>
          <w:lang w:bidi="fa-IR"/>
        </w:rPr>
      </w:pPr>
      <w:r w:rsidRPr="00915DA2">
        <w:rPr>
          <w:rFonts w:asciiTheme="majorBidi" w:hAnsiTheme="majorBidi" w:cstheme="majorBidi"/>
          <w:sz w:val="26"/>
          <w:szCs w:val="26"/>
          <w:lang w:bidi="fa-IR"/>
        </w:rPr>
        <w:t xml:space="preserve">The Biden administration has previously stated that any policy changes regarding the ATT must be contingent on signing </w:t>
      </w:r>
      <w:r w:rsidR="00BA2A41" w:rsidRPr="00915DA2">
        <w:rPr>
          <w:rFonts w:asciiTheme="majorBidi" w:hAnsiTheme="majorBidi" w:cstheme="majorBidi"/>
          <w:sz w:val="26"/>
          <w:szCs w:val="26"/>
          <w:lang w:bidi="fa-IR"/>
        </w:rPr>
        <w:t xml:space="preserve">the </w:t>
      </w:r>
      <w:r w:rsidRPr="00915DA2">
        <w:rPr>
          <w:rFonts w:asciiTheme="majorBidi" w:hAnsiTheme="majorBidi" w:cstheme="majorBidi"/>
          <w:sz w:val="26"/>
          <w:szCs w:val="26"/>
          <w:lang w:bidi="fa-IR"/>
        </w:rPr>
        <w:t xml:space="preserve">US Conventional Arms Transfer (CAT) policy, which has been delayed for a long time. At the 8th Conference of the Parties to the ATT meeting in September 2021, the US delegation announced that the US will soon issue a new CAT policy that will help determine the appropriate US relationship with the Arms Trade Treaty. </w:t>
      </w:r>
      <w:r w:rsidR="00BA2A41" w:rsidRPr="00915DA2">
        <w:rPr>
          <w:rFonts w:asciiTheme="majorBidi" w:hAnsiTheme="majorBidi" w:cstheme="majorBidi"/>
          <w:sz w:val="26"/>
          <w:szCs w:val="26"/>
          <w:lang w:bidi="fa-IR"/>
        </w:rPr>
        <w:t>The new</w:t>
      </w:r>
      <w:r w:rsidRPr="00915DA2">
        <w:rPr>
          <w:rFonts w:asciiTheme="majorBidi" w:hAnsiTheme="majorBidi" w:cstheme="majorBidi"/>
          <w:sz w:val="26"/>
          <w:szCs w:val="26"/>
          <w:lang w:bidi="fa-IR"/>
        </w:rPr>
        <w:t xml:space="preserve"> CAT policy in February 2023 does not refer to the treaty to the ATT</w:t>
      </w:r>
      <w:r w:rsidR="00403D33" w:rsidRPr="00915DA2">
        <w:rPr>
          <w:rFonts w:asciiTheme="majorBidi" w:hAnsiTheme="majorBidi" w:cstheme="majorBidi"/>
          <w:sz w:val="26"/>
          <w:szCs w:val="26"/>
          <w:lang w:bidi="fa-IR"/>
        </w:rPr>
        <w:t>.</w:t>
      </w:r>
    </w:p>
    <w:p w14:paraId="79D9E75D" w14:textId="77777777" w:rsidR="00E27DB5" w:rsidRPr="00915DA2" w:rsidRDefault="00E27DB5" w:rsidP="007C2EAD">
      <w:pPr>
        <w:pBdr>
          <w:top w:val="nil"/>
          <w:left w:val="nil"/>
          <w:bottom w:val="nil"/>
          <w:right w:val="nil"/>
          <w:between w:val="nil"/>
        </w:pBdr>
        <w:spacing w:after="0" w:line="276" w:lineRule="auto"/>
        <w:jc w:val="both"/>
        <w:rPr>
          <w:rFonts w:asciiTheme="majorBidi" w:hAnsiTheme="majorBidi" w:cstheme="majorBidi"/>
          <w:sz w:val="26"/>
          <w:szCs w:val="26"/>
        </w:rPr>
      </w:pPr>
      <w:r w:rsidRPr="00915DA2">
        <w:rPr>
          <w:rFonts w:asciiTheme="majorBidi" w:eastAsia="Times New Roman" w:hAnsiTheme="majorBidi" w:cstheme="majorBidi"/>
          <w:sz w:val="26"/>
          <w:szCs w:val="26"/>
        </w:rPr>
        <w:t>In its concluding observations, the Human Rights Committee has increasingly addressed the obligation of States to ensure that businesses under their territory or their jurisdiction respect human rights standards including when operating abroad.</w:t>
      </w:r>
      <w:r w:rsidRPr="00915DA2">
        <w:rPr>
          <w:rFonts w:asciiTheme="majorBidi" w:eastAsia="Times New Roman" w:hAnsiTheme="majorBidi" w:cstheme="majorBidi"/>
          <w:sz w:val="26"/>
          <w:szCs w:val="26"/>
          <w:vertAlign w:val="superscript"/>
        </w:rPr>
        <w:footnoteReference w:id="30"/>
      </w:r>
      <w:r w:rsidRPr="00915DA2">
        <w:rPr>
          <w:rFonts w:asciiTheme="majorBidi" w:eastAsia="Times New Roman" w:hAnsiTheme="majorBidi" w:cstheme="majorBidi"/>
          <w:sz w:val="26"/>
          <w:szCs w:val="26"/>
        </w:rPr>
        <w:t xml:space="preserve"> </w:t>
      </w:r>
      <w:r w:rsidR="00BA2A41" w:rsidRPr="00915DA2">
        <w:rPr>
          <w:rFonts w:asciiTheme="majorBidi" w:eastAsia="Times New Roman" w:hAnsiTheme="majorBidi" w:cstheme="majorBidi"/>
          <w:sz w:val="26"/>
          <w:szCs w:val="26"/>
        </w:rPr>
        <w:t>About</w:t>
      </w:r>
      <w:r w:rsidRPr="00915DA2">
        <w:rPr>
          <w:rFonts w:asciiTheme="majorBidi" w:eastAsia="Times New Roman" w:hAnsiTheme="majorBidi" w:cstheme="majorBidi"/>
          <w:sz w:val="26"/>
          <w:szCs w:val="26"/>
        </w:rPr>
        <w:t xml:space="preserve"> States’ arms transfers to third countries, States’ extraterritorial obligations to protect have also been reaffirmed by other UN human rights treaty bodies, including by the Committee on the Rights of the Child, the Committee on Economic, Social and Cultural Rights</w:t>
      </w:r>
      <w:r w:rsidR="00BA2A41" w:rsidRPr="00915DA2">
        <w:rPr>
          <w:rFonts w:asciiTheme="majorBidi" w:eastAsia="Times New Roman" w:hAnsiTheme="majorBidi" w:cstheme="majorBidi"/>
          <w:sz w:val="26"/>
          <w:szCs w:val="26"/>
        </w:rPr>
        <w:t>,</w:t>
      </w:r>
      <w:r w:rsidRPr="00915DA2">
        <w:rPr>
          <w:rFonts w:asciiTheme="majorBidi" w:eastAsia="Times New Roman" w:hAnsiTheme="majorBidi" w:cstheme="majorBidi"/>
          <w:sz w:val="26"/>
          <w:szCs w:val="26"/>
        </w:rPr>
        <w:t xml:space="preserve"> and the CEDAW Committee.</w:t>
      </w:r>
      <w:r w:rsidRPr="00915DA2">
        <w:rPr>
          <w:rFonts w:asciiTheme="majorBidi" w:eastAsia="Times New Roman" w:hAnsiTheme="majorBidi" w:cstheme="majorBidi"/>
          <w:sz w:val="26"/>
          <w:szCs w:val="26"/>
          <w:vertAlign w:val="superscript"/>
        </w:rPr>
        <w:footnoteReference w:id="31"/>
      </w:r>
      <w:r w:rsidRPr="00915DA2">
        <w:rPr>
          <w:rFonts w:asciiTheme="majorBidi" w:eastAsia="Times New Roman" w:hAnsiTheme="majorBidi" w:cstheme="majorBidi"/>
          <w:sz w:val="26"/>
          <w:szCs w:val="26"/>
        </w:rPr>
        <w:t xml:space="preserve"> In the context of the Universal Periodic Review (UPR), States have </w:t>
      </w:r>
      <w:r w:rsidRPr="00915DA2">
        <w:rPr>
          <w:rFonts w:asciiTheme="majorBidi" w:eastAsia="Times New Roman" w:hAnsiTheme="majorBidi" w:cstheme="majorBidi"/>
          <w:sz w:val="26"/>
          <w:szCs w:val="26"/>
        </w:rPr>
        <w:lastRenderedPageBreak/>
        <w:t xml:space="preserve">received and accepted several recommendations related to the human rights impacts of arms transfers with a recommendation to: “In the context of the </w:t>
      </w:r>
      <w:r w:rsidR="00BA2A41" w:rsidRPr="00915DA2">
        <w:rPr>
          <w:rFonts w:asciiTheme="majorBidi" w:eastAsia="Times New Roman" w:hAnsiTheme="majorBidi" w:cstheme="majorBidi"/>
          <w:sz w:val="26"/>
          <w:szCs w:val="26"/>
        </w:rPr>
        <w:t>defense</w:t>
      </w:r>
      <w:r w:rsidRPr="00915DA2">
        <w:rPr>
          <w:rFonts w:asciiTheme="majorBidi" w:eastAsia="Times New Roman" w:hAnsiTheme="majorBidi" w:cstheme="majorBidi"/>
          <w:sz w:val="26"/>
          <w:szCs w:val="26"/>
        </w:rPr>
        <w:t xml:space="preserve"> of the right to life, carefully assess the transfer of arms to those countries where they are likely to be used for human rights abuses and violations.”</w:t>
      </w:r>
      <w:r w:rsidRPr="00915DA2">
        <w:rPr>
          <w:rFonts w:asciiTheme="majorBidi" w:eastAsia="Times New Roman" w:hAnsiTheme="majorBidi" w:cstheme="majorBidi"/>
          <w:sz w:val="26"/>
          <w:szCs w:val="26"/>
          <w:vertAlign w:val="superscript"/>
        </w:rPr>
        <w:footnoteReference w:id="32"/>
      </w:r>
    </w:p>
    <w:p w14:paraId="58088E61" w14:textId="77777777" w:rsidR="002B3A2D" w:rsidRPr="00915DA2" w:rsidRDefault="002B3A2D" w:rsidP="007C2EAD">
      <w:pPr>
        <w:pBdr>
          <w:top w:val="nil"/>
          <w:left w:val="nil"/>
          <w:bottom w:val="nil"/>
          <w:right w:val="nil"/>
          <w:between w:val="nil"/>
        </w:pBdr>
        <w:spacing w:after="0" w:line="276" w:lineRule="auto"/>
        <w:jc w:val="both"/>
        <w:rPr>
          <w:rFonts w:asciiTheme="majorBidi" w:hAnsiTheme="majorBidi" w:cstheme="majorBidi"/>
          <w:sz w:val="26"/>
          <w:szCs w:val="26"/>
        </w:rPr>
      </w:pPr>
      <w:r w:rsidRPr="00915DA2">
        <w:rPr>
          <w:rFonts w:asciiTheme="majorBidi" w:eastAsia="Times New Roman" w:hAnsiTheme="majorBidi" w:cstheme="majorBidi"/>
          <w:sz w:val="26"/>
          <w:szCs w:val="26"/>
        </w:rPr>
        <w:t xml:space="preserve">The United Nations Guiding Principles </w:t>
      </w:r>
      <w:r w:rsidR="00403D33" w:rsidRPr="00915DA2">
        <w:rPr>
          <w:rFonts w:asciiTheme="majorBidi" w:eastAsia="Times New Roman" w:hAnsiTheme="majorBidi" w:cstheme="majorBidi"/>
          <w:sz w:val="26"/>
          <w:szCs w:val="26"/>
        </w:rPr>
        <w:t>for Business and Human Rights (</w:t>
      </w:r>
      <w:r w:rsidRPr="00915DA2">
        <w:rPr>
          <w:rFonts w:asciiTheme="majorBidi" w:eastAsia="Times New Roman" w:hAnsiTheme="majorBidi" w:cstheme="majorBidi"/>
          <w:sz w:val="26"/>
          <w:szCs w:val="26"/>
        </w:rPr>
        <w:t>the “</w:t>
      </w:r>
      <w:r w:rsidRPr="00915DA2">
        <w:rPr>
          <w:rFonts w:asciiTheme="majorBidi" w:eastAsia="Times New Roman" w:hAnsiTheme="majorBidi" w:cstheme="majorBidi"/>
          <w:i/>
          <w:iCs/>
          <w:sz w:val="26"/>
          <w:szCs w:val="26"/>
        </w:rPr>
        <w:t>UNGPs</w:t>
      </w:r>
      <w:r w:rsidRPr="00915DA2">
        <w:rPr>
          <w:rFonts w:asciiTheme="majorBidi" w:eastAsia="Times New Roman" w:hAnsiTheme="majorBidi" w:cstheme="majorBidi"/>
          <w:iCs/>
          <w:sz w:val="26"/>
          <w:szCs w:val="26"/>
        </w:rPr>
        <w:t>”)</w:t>
      </w:r>
      <w:r w:rsidRPr="00915DA2">
        <w:rPr>
          <w:rFonts w:asciiTheme="majorBidi" w:eastAsia="Times New Roman" w:hAnsiTheme="majorBidi" w:cstheme="majorBidi"/>
          <w:sz w:val="26"/>
          <w:szCs w:val="26"/>
        </w:rPr>
        <w:t xml:space="preserve"> </w:t>
      </w:r>
      <w:r w:rsidRPr="00915DA2">
        <w:rPr>
          <w:rFonts w:asciiTheme="majorBidi" w:eastAsia="Times New Roman" w:hAnsiTheme="majorBidi" w:cstheme="majorBidi"/>
          <w:sz w:val="26"/>
          <w:szCs w:val="26"/>
          <w:vertAlign w:val="superscript"/>
        </w:rPr>
        <w:footnoteReference w:id="33"/>
      </w:r>
      <w:r w:rsidRPr="00915DA2">
        <w:rPr>
          <w:rFonts w:asciiTheme="majorBidi" w:eastAsia="Times New Roman" w:hAnsiTheme="majorBidi" w:cstheme="majorBidi"/>
          <w:sz w:val="26"/>
          <w:szCs w:val="26"/>
        </w:rPr>
        <w:t xml:space="preserve"> provide that States </w:t>
      </w:r>
      <w:r w:rsidR="00BA2A41" w:rsidRPr="00915DA2">
        <w:rPr>
          <w:rFonts w:asciiTheme="majorBidi" w:eastAsia="Times New Roman" w:hAnsiTheme="majorBidi" w:cstheme="majorBidi"/>
          <w:sz w:val="26"/>
          <w:szCs w:val="26"/>
        </w:rPr>
        <w:t>must</w:t>
      </w:r>
      <w:r w:rsidRPr="00915DA2">
        <w:rPr>
          <w:rFonts w:asciiTheme="majorBidi" w:eastAsia="Times New Roman" w:hAnsiTheme="majorBidi" w:cstheme="majorBidi"/>
          <w:sz w:val="26"/>
          <w:szCs w:val="26"/>
        </w:rPr>
        <w:t xml:space="preserve"> protect against human rights abuses within their territory and/or jurisdiction by business enterprises, and should set out the expectation that enterprises respect human rights throughout their operations.</w:t>
      </w:r>
      <w:r w:rsidRPr="00915DA2">
        <w:rPr>
          <w:rFonts w:asciiTheme="majorBidi" w:eastAsia="Times New Roman" w:hAnsiTheme="majorBidi" w:cstheme="majorBidi"/>
          <w:sz w:val="26"/>
          <w:szCs w:val="26"/>
          <w:vertAlign w:val="superscript"/>
        </w:rPr>
        <w:footnoteReference w:id="34"/>
      </w:r>
      <w:r w:rsidRPr="00915DA2">
        <w:rPr>
          <w:rFonts w:asciiTheme="majorBidi" w:eastAsia="Times New Roman" w:hAnsiTheme="majorBidi" w:cstheme="majorBidi"/>
          <w:sz w:val="26"/>
          <w:szCs w:val="26"/>
        </w:rPr>
        <w:t xml:space="preserve"> The UNGPs require corporations to avoid causing or contributing to adverse human rights impacts and seek to prevent or mitigate human rights impacts that are directly linked to their operations, products</w:t>
      </w:r>
      <w:r w:rsidR="00BA2A41" w:rsidRPr="00915DA2">
        <w:rPr>
          <w:rFonts w:asciiTheme="majorBidi" w:eastAsia="Times New Roman" w:hAnsiTheme="majorBidi" w:cstheme="majorBidi"/>
          <w:sz w:val="26"/>
          <w:szCs w:val="26"/>
        </w:rPr>
        <w:t>,</w:t>
      </w:r>
      <w:r w:rsidRPr="00915DA2">
        <w:rPr>
          <w:rFonts w:asciiTheme="majorBidi" w:eastAsia="Times New Roman" w:hAnsiTheme="majorBidi" w:cstheme="majorBidi"/>
          <w:sz w:val="26"/>
          <w:szCs w:val="26"/>
        </w:rPr>
        <w:t xml:space="preserve"> or services </w:t>
      </w:r>
      <w:r w:rsidR="00BA2A41" w:rsidRPr="00915DA2">
        <w:rPr>
          <w:rFonts w:asciiTheme="majorBidi" w:eastAsia="Times New Roman" w:hAnsiTheme="majorBidi" w:cstheme="majorBidi"/>
          <w:sz w:val="26"/>
          <w:szCs w:val="26"/>
        </w:rPr>
        <w:t>by</w:t>
      </w:r>
      <w:r w:rsidRPr="00915DA2">
        <w:rPr>
          <w:rFonts w:asciiTheme="majorBidi" w:eastAsia="Times New Roman" w:hAnsiTheme="majorBidi" w:cstheme="majorBidi"/>
          <w:sz w:val="26"/>
          <w:szCs w:val="26"/>
        </w:rPr>
        <w:t xml:space="preserve"> their business relationships, even if they have not contributed to those impacts directly.</w:t>
      </w:r>
      <w:r w:rsidRPr="00915DA2">
        <w:rPr>
          <w:rFonts w:asciiTheme="majorBidi" w:eastAsia="Times New Roman" w:hAnsiTheme="majorBidi" w:cstheme="majorBidi"/>
          <w:sz w:val="26"/>
          <w:szCs w:val="26"/>
          <w:vertAlign w:val="superscript"/>
        </w:rPr>
        <w:footnoteReference w:id="35"/>
      </w:r>
      <w:r w:rsidRPr="00915DA2">
        <w:rPr>
          <w:rFonts w:asciiTheme="majorBidi" w:eastAsia="Times New Roman" w:hAnsiTheme="majorBidi" w:cstheme="majorBidi"/>
          <w:sz w:val="26"/>
          <w:szCs w:val="26"/>
        </w:rPr>
        <w:t xml:space="preserve"> </w:t>
      </w:r>
    </w:p>
    <w:p w14:paraId="659E6D4F" w14:textId="03E1B39C" w:rsidR="0031089E" w:rsidRDefault="0031089E" w:rsidP="007C2EAD">
      <w:pPr>
        <w:spacing w:line="276" w:lineRule="auto"/>
        <w:jc w:val="both"/>
        <w:rPr>
          <w:rFonts w:asciiTheme="majorBidi" w:hAnsiTheme="majorBidi" w:cstheme="majorBidi"/>
          <w:sz w:val="26"/>
          <w:szCs w:val="26"/>
          <w:lang w:bidi="fa-IR"/>
        </w:rPr>
      </w:pPr>
    </w:p>
    <w:p w14:paraId="09D44DD0" w14:textId="77777777" w:rsidR="0031089E" w:rsidRPr="00915DA2" w:rsidRDefault="0031089E" w:rsidP="007C2EAD">
      <w:pPr>
        <w:spacing w:line="276" w:lineRule="auto"/>
        <w:jc w:val="both"/>
        <w:rPr>
          <w:rFonts w:asciiTheme="majorBidi" w:hAnsiTheme="majorBidi" w:cstheme="majorBidi"/>
          <w:b/>
          <w:bCs/>
          <w:sz w:val="26"/>
          <w:szCs w:val="26"/>
          <w:lang w:bidi="fa-IR"/>
        </w:rPr>
      </w:pPr>
      <w:r w:rsidRPr="00915DA2">
        <w:rPr>
          <w:rFonts w:asciiTheme="majorBidi" w:hAnsiTheme="majorBidi" w:cstheme="majorBidi"/>
          <w:b/>
          <w:bCs/>
          <w:sz w:val="26"/>
          <w:szCs w:val="26"/>
          <w:lang w:bidi="fa-IR"/>
        </w:rPr>
        <w:lastRenderedPageBreak/>
        <w:t>Recommendations:</w:t>
      </w:r>
    </w:p>
    <w:p w14:paraId="30B9DD6F" w14:textId="7B4CFE8C" w:rsidR="00660494" w:rsidRPr="00915DA2" w:rsidRDefault="00660494" w:rsidP="005F3C79">
      <w:pPr>
        <w:pStyle w:val="ListParagraph"/>
        <w:numPr>
          <w:ilvl w:val="0"/>
          <w:numId w:val="6"/>
        </w:numPr>
        <w:spacing w:line="276" w:lineRule="auto"/>
        <w:jc w:val="both"/>
        <w:rPr>
          <w:rFonts w:asciiTheme="majorBidi" w:eastAsia="Times New Roman" w:hAnsiTheme="majorBidi" w:cstheme="majorBidi"/>
          <w:sz w:val="26"/>
          <w:szCs w:val="26"/>
        </w:rPr>
      </w:pPr>
      <w:r w:rsidRPr="00915DA2">
        <w:rPr>
          <w:rFonts w:asciiTheme="majorBidi" w:eastAsia="Times New Roman" w:hAnsiTheme="majorBidi" w:cstheme="majorBidi"/>
          <w:sz w:val="26"/>
          <w:szCs w:val="26"/>
        </w:rPr>
        <w:t xml:space="preserve">Consistent with the United States Government's obligation to support and protect the provisions of the Covenant on Civil and Political Rights, this Government must ensure that arms export licenses will not pose a serious risk of </w:t>
      </w:r>
      <w:r w:rsidRPr="00915DA2">
        <w:rPr>
          <w:rFonts w:asciiTheme="majorBidi" w:hAnsiTheme="majorBidi" w:cstheme="majorBidi"/>
          <w:sz w:val="26"/>
          <w:szCs w:val="26"/>
          <w:lang w:bidi="fa-IR"/>
        </w:rPr>
        <w:t>international humanitarian law or international human rights</w:t>
      </w:r>
      <w:r w:rsidRPr="00915DA2">
        <w:rPr>
          <w:rFonts w:asciiTheme="majorBidi" w:eastAsia="Times New Roman" w:hAnsiTheme="majorBidi" w:cstheme="majorBidi"/>
          <w:sz w:val="26"/>
          <w:szCs w:val="26"/>
        </w:rPr>
        <w:t xml:space="preserve"> violation. Additionally, the U.S. government should ensure that its arms trade policy is consistent with the United Nations Guiding Principles on Arms Trade and Human Rights.</w:t>
      </w:r>
    </w:p>
    <w:p w14:paraId="704AD264" w14:textId="1160B607" w:rsidR="00660494" w:rsidRPr="00220F1E" w:rsidRDefault="00B7744C" w:rsidP="005F3C79">
      <w:pPr>
        <w:pStyle w:val="ListParagraph"/>
        <w:numPr>
          <w:ilvl w:val="0"/>
          <w:numId w:val="6"/>
        </w:numPr>
        <w:spacing w:line="276" w:lineRule="auto"/>
        <w:jc w:val="both"/>
        <w:rPr>
          <w:rFonts w:asciiTheme="majorBidi" w:hAnsiTheme="majorBidi" w:cstheme="majorBidi"/>
          <w:sz w:val="26"/>
          <w:szCs w:val="26"/>
          <w:lang w:bidi="fa-IR"/>
        </w:rPr>
      </w:pPr>
      <w:r w:rsidRPr="00915DA2">
        <w:rPr>
          <w:rFonts w:asciiTheme="majorBidi" w:hAnsiTheme="majorBidi" w:cstheme="majorBidi"/>
          <w:sz w:val="26"/>
          <w:szCs w:val="26"/>
          <w:lang w:bidi="fa-IR"/>
        </w:rPr>
        <w:t xml:space="preserve">The </w:t>
      </w:r>
      <w:r w:rsidR="00C814B1" w:rsidRPr="00915DA2">
        <w:rPr>
          <w:rFonts w:asciiTheme="majorBidi" w:hAnsiTheme="majorBidi" w:cstheme="majorBidi"/>
          <w:sz w:val="26"/>
          <w:szCs w:val="26"/>
          <w:shd w:val="clear" w:color="auto" w:fill="FFFFFF"/>
        </w:rPr>
        <w:t>Institute for Protection of Women’s Rights</w:t>
      </w:r>
      <w:r w:rsidRPr="00915DA2">
        <w:rPr>
          <w:rFonts w:asciiTheme="majorBidi" w:hAnsiTheme="majorBidi" w:cstheme="majorBidi"/>
          <w:sz w:val="26"/>
          <w:szCs w:val="26"/>
          <w:lang w:bidi="fa-IR"/>
        </w:rPr>
        <w:t xml:space="preserve">, as a non-governmental organization concerned </w:t>
      </w:r>
      <w:r w:rsidR="00660494" w:rsidRPr="00915DA2">
        <w:rPr>
          <w:rFonts w:asciiTheme="majorBidi" w:hAnsiTheme="majorBidi" w:cstheme="majorBidi"/>
          <w:sz w:val="26"/>
          <w:szCs w:val="26"/>
          <w:lang w:bidi="fa-IR"/>
        </w:rPr>
        <w:t xml:space="preserve">with </w:t>
      </w:r>
      <w:r w:rsidRPr="00915DA2">
        <w:rPr>
          <w:rFonts w:asciiTheme="majorBidi" w:hAnsiTheme="majorBidi" w:cstheme="majorBidi"/>
          <w:sz w:val="26"/>
          <w:szCs w:val="26"/>
          <w:lang w:bidi="fa-IR"/>
        </w:rPr>
        <w:t xml:space="preserve">human rights, </w:t>
      </w:r>
      <w:r w:rsidR="007C2EAD" w:rsidRPr="00915DA2">
        <w:rPr>
          <w:rFonts w:asciiTheme="majorBidi" w:eastAsia="Times New Roman" w:hAnsiTheme="majorBidi" w:cstheme="majorBidi"/>
          <w:sz w:val="26"/>
          <w:szCs w:val="26"/>
        </w:rPr>
        <w:t xml:space="preserve">advises the United States to integrate </w:t>
      </w:r>
      <w:r w:rsidR="007C2EAD" w:rsidRPr="00220F1E">
        <w:rPr>
          <w:rFonts w:asciiTheme="majorBidi" w:hAnsiTheme="majorBidi" w:cstheme="majorBidi"/>
          <w:sz w:val="26"/>
          <w:szCs w:val="26"/>
          <w:lang w:bidi="fa-IR"/>
        </w:rPr>
        <w:t>dialogue on human rights, especially those related to gender</w:t>
      </w:r>
      <w:r w:rsidRPr="00915DA2">
        <w:rPr>
          <w:rFonts w:asciiTheme="majorBidi" w:hAnsiTheme="majorBidi" w:cstheme="majorBidi"/>
          <w:sz w:val="26"/>
          <w:szCs w:val="26"/>
          <w:lang w:bidi="fa-IR"/>
        </w:rPr>
        <w:t>, in</w:t>
      </w:r>
      <w:r w:rsidR="007C2EAD" w:rsidRPr="00915DA2">
        <w:rPr>
          <w:rFonts w:asciiTheme="majorBidi" w:hAnsiTheme="majorBidi" w:cstheme="majorBidi"/>
          <w:sz w:val="26"/>
          <w:szCs w:val="26"/>
          <w:lang w:bidi="fa-IR"/>
        </w:rPr>
        <w:t>to</w:t>
      </w:r>
      <w:r w:rsidRPr="00915DA2">
        <w:rPr>
          <w:rFonts w:asciiTheme="majorBidi" w:hAnsiTheme="majorBidi" w:cstheme="majorBidi"/>
          <w:sz w:val="26"/>
          <w:szCs w:val="26"/>
          <w:lang w:bidi="fa-IR"/>
        </w:rPr>
        <w:t xml:space="preserve"> its strategic dialogues with countries purchas</w:t>
      </w:r>
      <w:r w:rsidR="007C2EAD" w:rsidRPr="00915DA2">
        <w:rPr>
          <w:rFonts w:asciiTheme="majorBidi" w:hAnsiTheme="majorBidi" w:cstheme="majorBidi"/>
          <w:sz w:val="26"/>
          <w:szCs w:val="26"/>
          <w:lang w:bidi="fa-IR"/>
        </w:rPr>
        <w:t>ing</w:t>
      </w:r>
      <w:r w:rsidRPr="00915DA2">
        <w:rPr>
          <w:rFonts w:asciiTheme="majorBidi" w:hAnsiTheme="majorBidi" w:cstheme="majorBidi"/>
          <w:sz w:val="26"/>
          <w:szCs w:val="26"/>
          <w:lang w:bidi="fa-IR"/>
        </w:rPr>
        <w:t xml:space="preserve"> </w:t>
      </w:r>
      <w:r w:rsidR="007C2EAD" w:rsidRPr="00915DA2">
        <w:rPr>
          <w:rFonts w:asciiTheme="majorBidi" w:hAnsiTheme="majorBidi" w:cstheme="majorBidi"/>
          <w:sz w:val="26"/>
          <w:szCs w:val="26"/>
          <w:lang w:bidi="fa-IR"/>
        </w:rPr>
        <w:t>US</w:t>
      </w:r>
      <w:r w:rsidRPr="00915DA2">
        <w:rPr>
          <w:rFonts w:asciiTheme="majorBidi" w:hAnsiTheme="majorBidi" w:cstheme="majorBidi"/>
          <w:sz w:val="26"/>
          <w:szCs w:val="26"/>
          <w:lang w:bidi="fa-IR"/>
        </w:rPr>
        <w:t xml:space="preserve"> weapons. </w:t>
      </w:r>
      <w:r w:rsidR="00660494" w:rsidRPr="00220F1E">
        <w:rPr>
          <w:rFonts w:asciiTheme="majorBidi" w:hAnsiTheme="majorBidi" w:cstheme="majorBidi"/>
          <w:sz w:val="26"/>
          <w:szCs w:val="26"/>
          <w:lang w:bidi="fa-IR"/>
        </w:rPr>
        <w:t>The use of United Nations experts, in particular those of the Committee on Civil and Political Rights, could be useful.</w:t>
      </w:r>
    </w:p>
    <w:p w14:paraId="11D4408D" w14:textId="09C149CC" w:rsidR="00B7744C" w:rsidRPr="00915DA2" w:rsidRDefault="00B7744C" w:rsidP="005F3C79">
      <w:pPr>
        <w:pStyle w:val="ListParagraph"/>
        <w:numPr>
          <w:ilvl w:val="0"/>
          <w:numId w:val="6"/>
        </w:numPr>
        <w:spacing w:line="276" w:lineRule="auto"/>
        <w:jc w:val="both"/>
        <w:rPr>
          <w:rFonts w:asciiTheme="majorBidi" w:hAnsiTheme="majorBidi" w:cstheme="majorBidi"/>
          <w:sz w:val="26"/>
          <w:szCs w:val="26"/>
          <w:lang w:bidi="fa-IR"/>
        </w:rPr>
      </w:pPr>
      <w:r w:rsidRPr="00915DA2">
        <w:rPr>
          <w:rFonts w:asciiTheme="majorBidi" w:hAnsiTheme="majorBidi" w:cstheme="majorBidi"/>
          <w:sz w:val="26"/>
          <w:szCs w:val="26"/>
          <w:lang w:bidi="fa-IR"/>
        </w:rPr>
        <w:t xml:space="preserve">We propose that </w:t>
      </w:r>
      <w:r w:rsidR="007C2EAD" w:rsidRPr="00915DA2">
        <w:rPr>
          <w:rFonts w:asciiTheme="majorBidi" w:hAnsiTheme="majorBidi" w:cstheme="majorBidi"/>
          <w:sz w:val="26"/>
          <w:szCs w:val="26"/>
          <w:lang w:bidi="fa-IR"/>
        </w:rPr>
        <w:t>taking measures</w:t>
      </w:r>
      <w:r w:rsidRPr="00915DA2">
        <w:rPr>
          <w:rFonts w:asciiTheme="majorBidi" w:hAnsiTheme="majorBidi" w:cstheme="majorBidi"/>
          <w:sz w:val="26"/>
          <w:szCs w:val="26"/>
          <w:lang w:bidi="fa-IR"/>
        </w:rPr>
        <w:t xml:space="preserve"> to ensure that the relevant export authorities in the U</w:t>
      </w:r>
      <w:r w:rsidR="007C2EAD" w:rsidRPr="00915DA2">
        <w:rPr>
          <w:rFonts w:asciiTheme="majorBidi" w:hAnsiTheme="majorBidi" w:cstheme="majorBidi"/>
          <w:sz w:val="26"/>
          <w:szCs w:val="26"/>
          <w:lang w:bidi="fa-IR"/>
        </w:rPr>
        <w:t>.S.</w:t>
      </w:r>
      <w:r w:rsidRPr="00915DA2">
        <w:rPr>
          <w:rFonts w:asciiTheme="majorBidi" w:hAnsiTheme="majorBidi" w:cstheme="majorBidi"/>
          <w:sz w:val="26"/>
          <w:szCs w:val="26"/>
          <w:lang w:bidi="fa-IR"/>
        </w:rPr>
        <w:t>, by including their assessment for the granting of licenses, monitor whether the country receiving the arms complies with international human rights law and international humanitarian law or not</w:t>
      </w:r>
      <w:r w:rsidR="00BA2A41" w:rsidRPr="00915DA2">
        <w:rPr>
          <w:rFonts w:asciiTheme="majorBidi" w:hAnsiTheme="majorBidi" w:cstheme="majorBidi"/>
          <w:sz w:val="26"/>
          <w:szCs w:val="26"/>
          <w:lang w:bidi="fa-IR"/>
        </w:rPr>
        <w:t>.</w:t>
      </w:r>
      <w:r w:rsidRPr="00915DA2">
        <w:rPr>
          <w:rFonts w:asciiTheme="majorBidi" w:hAnsiTheme="majorBidi" w:cstheme="majorBidi"/>
          <w:sz w:val="26"/>
          <w:szCs w:val="26"/>
          <w:lang w:bidi="fa-IR"/>
        </w:rPr>
        <w:t xml:space="preserve"> </w:t>
      </w:r>
    </w:p>
    <w:p w14:paraId="3F501509" w14:textId="67694177" w:rsidR="007C2EAD" w:rsidRPr="00915DA2" w:rsidRDefault="007C2EAD" w:rsidP="005F3C79">
      <w:pPr>
        <w:pStyle w:val="ListParagraph"/>
        <w:numPr>
          <w:ilvl w:val="0"/>
          <w:numId w:val="6"/>
        </w:numPr>
        <w:spacing w:line="276" w:lineRule="auto"/>
        <w:jc w:val="both"/>
        <w:rPr>
          <w:rFonts w:asciiTheme="majorBidi" w:hAnsiTheme="majorBidi" w:cstheme="majorBidi"/>
          <w:sz w:val="26"/>
          <w:szCs w:val="26"/>
          <w:lang w:bidi="fa-IR"/>
        </w:rPr>
      </w:pPr>
      <w:r w:rsidRPr="00915DA2">
        <w:rPr>
          <w:rFonts w:asciiTheme="majorBidi" w:hAnsiTheme="majorBidi" w:cstheme="majorBidi"/>
          <w:sz w:val="26"/>
          <w:szCs w:val="26"/>
          <w:lang w:bidi="fa-IR"/>
        </w:rPr>
        <w:t xml:space="preserve">We </w:t>
      </w:r>
      <w:r w:rsidRPr="00220F1E">
        <w:rPr>
          <w:rFonts w:asciiTheme="majorBidi" w:hAnsiTheme="majorBidi" w:cstheme="majorBidi"/>
          <w:sz w:val="26"/>
          <w:szCs w:val="26"/>
          <w:lang w:bidi="fa-IR"/>
        </w:rPr>
        <w:t>also</w:t>
      </w:r>
      <w:r w:rsidRPr="00915DA2">
        <w:rPr>
          <w:rFonts w:asciiTheme="majorBidi" w:hAnsiTheme="majorBidi" w:cstheme="majorBidi"/>
          <w:sz w:val="26"/>
          <w:szCs w:val="26"/>
          <w:lang w:bidi="fa-IR"/>
        </w:rPr>
        <w:t xml:space="preserve"> </w:t>
      </w:r>
      <w:r w:rsidRPr="00220F1E">
        <w:rPr>
          <w:rFonts w:asciiTheme="majorBidi" w:hAnsiTheme="majorBidi" w:cstheme="majorBidi"/>
          <w:sz w:val="26"/>
          <w:szCs w:val="26"/>
          <w:lang w:bidi="fa-IR"/>
        </w:rPr>
        <w:t>request</w:t>
      </w:r>
      <w:r w:rsidRPr="00915DA2">
        <w:rPr>
          <w:rFonts w:asciiTheme="majorBidi" w:hAnsiTheme="majorBidi" w:cstheme="majorBidi"/>
          <w:sz w:val="26"/>
          <w:szCs w:val="26"/>
          <w:lang w:bidi="fa-IR"/>
        </w:rPr>
        <w:t xml:space="preserve"> </w:t>
      </w:r>
      <w:r w:rsidRPr="00220F1E">
        <w:rPr>
          <w:rFonts w:asciiTheme="majorBidi" w:hAnsiTheme="majorBidi" w:cstheme="majorBidi"/>
          <w:sz w:val="26"/>
          <w:szCs w:val="26"/>
          <w:lang w:bidi="fa-IR"/>
        </w:rPr>
        <w:t>that,</w:t>
      </w:r>
      <w:r w:rsidRPr="00915DA2">
        <w:rPr>
          <w:rFonts w:asciiTheme="majorBidi" w:hAnsiTheme="majorBidi" w:cstheme="majorBidi"/>
          <w:sz w:val="26"/>
          <w:szCs w:val="26"/>
          <w:lang w:bidi="fa-IR"/>
        </w:rPr>
        <w:t xml:space="preserve"> </w:t>
      </w:r>
      <w:r w:rsidRPr="00220F1E">
        <w:rPr>
          <w:rFonts w:asciiTheme="majorBidi" w:hAnsiTheme="majorBidi" w:cstheme="majorBidi"/>
          <w:sz w:val="26"/>
          <w:szCs w:val="26"/>
          <w:lang w:bidi="fa-IR"/>
        </w:rPr>
        <w:t>in</w:t>
      </w:r>
      <w:r w:rsidRPr="00915DA2">
        <w:rPr>
          <w:rFonts w:asciiTheme="majorBidi" w:hAnsiTheme="majorBidi" w:cstheme="majorBidi"/>
          <w:sz w:val="26"/>
          <w:szCs w:val="26"/>
          <w:lang w:bidi="fa-IR"/>
        </w:rPr>
        <w:t xml:space="preserve"> </w:t>
      </w:r>
      <w:r w:rsidRPr="00220F1E">
        <w:rPr>
          <w:rFonts w:asciiTheme="majorBidi" w:hAnsiTheme="majorBidi" w:cstheme="majorBidi"/>
          <w:sz w:val="26"/>
          <w:szCs w:val="26"/>
          <w:lang w:bidi="fa-IR"/>
        </w:rPr>
        <w:t>connection</w:t>
      </w:r>
      <w:r w:rsidRPr="00915DA2">
        <w:rPr>
          <w:rFonts w:asciiTheme="majorBidi" w:hAnsiTheme="majorBidi" w:cstheme="majorBidi"/>
          <w:sz w:val="26"/>
          <w:szCs w:val="26"/>
          <w:lang w:bidi="fa-IR"/>
        </w:rPr>
        <w:t xml:space="preserve"> </w:t>
      </w:r>
      <w:r w:rsidRPr="00220F1E">
        <w:rPr>
          <w:rFonts w:asciiTheme="majorBidi" w:hAnsiTheme="majorBidi" w:cstheme="majorBidi"/>
          <w:sz w:val="26"/>
          <w:szCs w:val="26"/>
          <w:lang w:bidi="fa-IR"/>
        </w:rPr>
        <w:t>with</w:t>
      </w:r>
      <w:r w:rsidRPr="00915DA2">
        <w:rPr>
          <w:rFonts w:asciiTheme="majorBidi" w:hAnsiTheme="majorBidi" w:cstheme="majorBidi"/>
          <w:sz w:val="26"/>
          <w:szCs w:val="26"/>
          <w:lang w:bidi="fa-IR"/>
        </w:rPr>
        <w:t xml:space="preserve"> </w:t>
      </w:r>
      <w:r w:rsidRPr="00220F1E">
        <w:rPr>
          <w:rFonts w:asciiTheme="majorBidi" w:hAnsiTheme="majorBidi" w:cstheme="majorBidi"/>
          <w:sz w:val="26"/>
          <w:szCs w:val="26"/>
          <w:lang w:bidi="fa-IR"/>
        </w:rPr>
        <w:t>the</w:t>
      </w:r>
      <w:r w:rsidRPr="00915DA2">
        <w:rPr>
          <w:rFonts w:asciiTheme="majorBidi" w:hAnsiTheme="majorBidi" w:cstheme="majorBidi"/>
          <w:sz w:val="26"/>
          <w:szCs w:val="26"/>
          <w:lang w:bidi="fa-IR"/>
        </w:rPr>
        <w:t xml:space="preserve"> </w:t>
      </w:r>
      <w:r w:rsidRPr="00220F1E">
        <w:rPr>
          <w:rFonts w:asciiTheme="majorBidi" w:hAnsiTheme="majorBidi" w:cstheme="majorBidi"/>
          <w:sz w:val="26"/>
          <w:szCs w:val="26"/>
          <w:lang w:bidi="fa-IR"/>
        </w:rPr>
        <w:t>export</w:t>
      </w:r>
      <w:r w:rsidRPr="00915DA2">
        <w:rPr>
          <w:rFonts w:asciiTheme="majorBidi" w:hAnsiTheme="majorBidi" w:cstheme="majorBidi"/>
          <w:sz w:val="26"/>
          <w:szCs w:val="26"/>
          <w:lang w:bidi="fa-IR"/>
        </w:rPr>
        <w:t xml:space="preserve"> </w:t>
      </w:r>
      <w:r w:rsidRPr="00220F1E">
        <w:rPr>
          <w:rFonts w:asciiTheme="majorBidi" w:hAnsiTheme="majorBidi" w:cstheme="majorBidi"/>
          <w:sz w:val="26"/>
          <w:szCs w:val="26"/>
          <w:lang w:bidi="fa-IR"/>
        </w:rPr>
        <w:t>of</w:t>
      </w:r>
      <w:r w:rsidRPr="00915DA2">
        <w:rPr>
          <w:rFonts w:asciiTheme="majorBidi" w:hAnsiTheme="majorBidi" w:cstheme="majorBidi"/>
          <w:sz w:val="26"/>
          <w:szCs w:val="26"/>
          <w:lang w:bidi="fa-IR"/>
        </w:rPr>
        <w:t xml:space="preserve"> </w:t>
      </w:r>
      <w:r w:rsidRPr="00220F1E">
        <w:rPr>
          <w:rFonts w:asciiTheme="majorBidi" w:hAnsiTheme="majorBidi" w:cstheme="majorBidi"/>
          <w:sz w:val="26"/>
          <w:szCs w:val="26"/>
          <w:lang w:bidi="fa-IR"/>
        </w:rPr>
        <w:t>surveillance</w:t>
      </w:r>
      <w:r w:rsidRPr="00915DA2">
        <w:rPr>
          <w:rFonts w:asciiTheme="majorBidi" w:hAnsiTheme="majorBidi" w:cstheme="majorBidi"/>
          <w:sz w:val="26"/>
          <w:szCs w:val="26"/>
          <w:lang w:bidi="fa-IR"/>
        </w:rPr>
        <w:t xml:space="preserve"> </w:t>
      </w:r>
      <w:r w:rsidRPr="00220F1E">
        <w:rPr>
          <w:rFonts w:asciiTheme="majorBidi" w:hAnsiTheme="majorBidi" w:cstheme="majorBidi"/>
          <w:sz w:val="26"/>
          <w:szCs w:val="26"/>
          <w:lang w:bidi="fa-IR"/>
        </w:rPr>
        <w:t xml:space="preserve">technology, biometric data, and other dual-use products, US should provide information on the measures taken to assess the risk potential violations of human rights, including privacy, </w:t>
      </w:r>
      <w:r w:rsidRPr="00915DA2">
        <w:rPr>
          <w:rFonts w:asciiTheme="majorBidi" w:hAnsiTheme="majorBidi" w:cstheme="majorBidi"/>
          <w:sz w:val="26"/>
          <w:szCs w:val="26"/>
          <w:lang w:bidi="fa-IR"/>
        </w:rPr>
        <w:t>freedom of expression</w:t>
      </w:r>
      <w:r w:rsidRPr="00220F1E">
        <w:rPr>
          <w:rFonts w:asciiTheme="majorBidi" w:hAnsiTheme="majorBidi" w:cstheme="majorBidi"/>
          <w:sz w:val="26"/>
          <w:szCs w:val="26"/>
          <w:lang w:bidi="fa-IR"/>
        </w:rPr>
        <w:t>, and women's rights, and make this information available to Congress and the public when authorizing such technologies.</w:t>
      </w:r>
    </w:p>
    <w:p w14:paraId="5914B673" w14:textId="57ACA597" w:rsidR="003F1A53" w:rsidRPr="009136AB" w:rsidRDefault="001B6EB7" w:rsidP="009136AB">
      <w:pPr>
        <w:pStyle w:val="ListParagraph"/>
        <w:numPr>
          <w:ilvl w:val="0"/>
          <w:numId w:val="6"/>
        </w:numPr>
        <w:spacing w:line="276" w:lineRule="auto"/>
        <w:jc w:val="both"/>
        <w:rPr>
          <w:rFonts w:asciiTheme="majorBidi" w:hAnsiTheme="majorBidi" w:cstheme="majorBidi"/>
          <w:sz w:val="26"/>
          <w:szCs w:val="26"/>
          <w:rtl/>
          <w:lang w:bidi="fa-IR"/>
        </w:rPr>
      </w:pPr>
      <w:r w:rsidRPr="00915DA2">
        <w:rPr>
          <w:rFonts w:asciiTheme="majorBidi" w:hAnsiTheme="majorBidi" w:cstheme="majorBidi"/>
          <w:sz w:val="26"/>
          <w:szCs w:val="26"/>
          <w:lang w:bidi="fa-IR"/>
        </w:rPr>
        <w:t xml:space="preserve">Since </w:t>
      </w:r>
      <w:r w:rsidR="007C2EAD" w:rsidRPr="00220F1E">
        <w:rPr>
          <w:rFonts w:asciiTheme="majorBidi" w:hAnsiTheme="majorBidi" w:cstheme="majorBidi"/>
          <w:sz w:val="26"/>
          <w:szCs w:val="26"/>
          <w:lang w:bidi="fa-IR"/>
        </w:rPr>
        <w:t xml:space="preserve">these weapons can be used to commit violence against women, gender-based violence, and murder, we ask the Committee on Political and Civil Rights to clarify the role of these </w:t>
      </w:r>
      <w:r w:rsidR="007C2EAD" w:rsidRPr="00915DA2">
        <w:rPr>
          <w:rFonts w:asciiTheme="majorBidi" w:hAnsiTheme="majorBidi" w:cstheme="majorBidi"/>
          <w:sz w:val="26"/>
          <w:szCs w:val="26"/>
          <w:lang w:bidi="fa-IR"/>
        </w:rPr>
        <w:t>regulatory bodies by enhancing transparency regarding the decision-making process for issuing arms export licenses</w:t>
      </w:r>
      <w:r w:rsidR="00915DA2" w:rsidRPr="00915DA2">
        <w:rPr>
          <w:rFonts w:asciiTheme="majorBidi" w:hAnsiTheme="majorBidi" w:cstheme="majorBidi"/>
          <w:sz w:val="26"/>
          <w:szCs w:val="26"/>
          <w:lang w:bidi="fa-IR"/>
        </w:rPr>
        <w:t xml:space="preserve">. </w:t>
      </w:r>
    </w:p>
    <w:sectPr w:rsidR="003F1A53" w:rsidRPr="009136AB" w:rsidSect="002404BC">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459BC" w14:textId="77777777" w:rsidR="00FB6194" w:rsidRDefault="00FB6194" w:rsidP="005D1256">
      <w:pPr>
        <w:spacing w:after="0" w:line="240" w:lineRule="auto"/>
      </w:pPr>
      <w:r>
        <w:separator/>
      </w:r>
    </w:p>
  </w:endnote>
  <w:endnote w:type="continuationSeparator" w:id="0">
    <w:p w14:paraId="2AEDB9E2" w14:textId="77777777" w:rsidR="00FB6194" w:rsidRDefault="00FB6194" w:rsidP="005D1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habnam">
    <w:altName w:val="Arial"/>
    <w:charset w:val="00"/>
    <w:family w:val="swiss"/>
    <w:pitch w:val="variable"/>
    <w:sig w:usb0="80002003" w:usb1="80000000" w:usb2="00000008" w:usb3="00000000" w:csb0="0000004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6003364"/>
      <w:docPartObj>
        <w:docPartGallery w:val="Page Numbers (Bottom of Page)"/>
        <w:docPartUnique/>
      </w:docPartObj>
    </w:sdtPr>
    <w:sdtEndPr>
      <w:rPr>
        <w:noProof/>
      </w:rPr>
    </w:sdtEndPr>
    <w:sdtContent>
      <w:p w14:paraId="050626FF" w14:textId="6CC82DB3" w:rsidR="00403D33" w:rsidRDefault="00403D33">
        <w:pPr>
          <w:pStyle w:val="Footer"/>
        </w:pPr>
        <w:r>
          <w:fldChar w:fldCharType="begin"/>
        </w:r>
        <w:r>
          <w:instrText xml:space="preserve"> PAGE   \* MERGEFORMAT </w:instrText>
        </w:r>
        <w:r>
          <w:fldChar w:fldCharType="separate"/>
        </w:r>
        <w:r w:rsidR="00434AFE">
          <w:rPr>
            <w:noProof/>
          </w:rPr>
          <w:t>12</w:t>
        </w:r>
        <w:r>
          <w:rPr>
            <w:noProof/>
          </w:rPr>
          <w:fldChar w:fldCharType="end"/>
        </w:r>
      </w:p>
    </w:sdtContent>
  </w:sdt>
  <w:p w14:paraId="5812B3D7" w14:textId="77777777" w:rsidR="00403D33" w:rsidRDefault="00403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46E9F" w14:textId="77777777" w:rsidR="00FB6194" w:rsidRDefault="00FB6194" w:rsidP="005D1256">
      <w:pPr>
        <w:spacing w:after="0" w:line="240" w:lineRule="auto"/>
      </w:pPr>
      <w:r>
        <w:separator/>
      </w:r>
    </w:p>
  </w:footnote>
  <w:footnote w:type="continuationSeparator" w:id="0">
    <w:p w14:paraId="51878A83" w14:textId="77777777" w:rsidR="00FB6194" w:rsidRDefault="00FB6194" w:rsidP="005D1256">
      <w:pPr>
        <w:spacing w:after="0" w:line="240" w:lineRule="auto"/>
      </w:pPr>
      <w:r>
        <w:continuationSeparator/>
      </w:r>
    </w:p>
  </w:footnote>
  <w:footnote w:id="1">
    <w:p w14:paraId="0E4AA09D" w14:textId="77777777" w:rsidR="00403D33" w:rsidRDefault="00403D33">
      <w:pPr>
        <w:pStyle w:val="FootnoteText"/>
      </w:pPr>
      <w:r>
        <w:rPr>
          <w:rStyle w:val="FootnoteReference"/>
        </w:rPr>
        <w:footnoteRef/>
      </w:r>
      <w:r>
        <w:t xml:space="preserve"> </w:t>
      </w:r>
      <w:r w:rsidRPr="00332957">
        <w:t>https://www.statista.com/statistics/267131/market-share-of-the-leadings-exporters-of-conventional-weapons/</w:t>
      </w:r>
    </w:p>
  </w:footnote>
  <w:footnote w:id="2">
    <w:p w14:paraId="60005557" w14:textId="77D300D2" w:rsidR="00403D33" w:rsidRDefault="00403D33" w:rsidP="00CE688B">
      <w:pPr>
        <w:pStyle w:val="FootnoteText"/>
        <w:jc w:val="both"/>
      </w:pPr>
      <w:r>
        <w:rPr>
          <w:rStyle w:val="FootnoteReference"/>
        </w:rPr>
        <w:footnoteRef/>
      </w:r>
      <w:r>
        <w:t xml:space="preserve"> HRC Thirty-fifth session 6-23 June 2017 ‘Report of the Office of the United Nations High Commissioner for Human Rights: Impact of arms transfers on the enjoyment of human rights’ (3 May 2017) UN Doc A/HRC/35/8, para 9.</w:t>
      </w:r>
    </w:p>
  </w:footnote>
  <w:footnote w:id="3">
    <w:p w14:paraId="07D6CE30" w14:textId="579D9A55" w:rsidR="00403D33" w:rsidRPr="00ED3D7F" w:rsidRDefault="00403D33" w:rsidP="00CE688B">
      <w:pPr>
        <w:pStyle w:val="FootnoteText"/>
        <w:jc w:val="both"/>
      </w:pPr>
      <w:r w:rsidRPr="00625524">
        <w:rPr>
          <w:rStyle w:val="FootnoteReference"/>
        </w:rPr>
        <w:footnoteRef/>
      </w:r>
      <w:r w:rsidR="00B8454E">
        <w:t xml:space="preserve"> </w:t>
      </w:r>
      <w:r w:rsidRPr="00ED3D7F">
        <w:t>Conventional arms include hand</w:t>
      </w:r>
      <w:r>
        <w:t xml:space="preserve"> </w:t>
      </w:r>
      <w:r w:rsidRPr="00ED3D7F">
        <w:t>grenades and manually emplaced anti-personnel and anti-vehicle mines; law enforcement weaponry that fire lethal ammunition and, for instance, riot launchers and related ammunition of all kinds, including tear gas grenades and cartridge</w:t>
      </w:r>
      <w:r>
        <w:t>-</w:t>
      </w:r>
      <w:r w:rsidRPr="00ED3D7F">
        <w:t>launched projectiles, kinetic</w:t>
      </w:r>
      <w:r>
        <w:t>-</w:t>
      </w:r>
      <w:r w:rsidRPr="00ED3D7F">
        <w:t>impact projectiles, projectile electrical weapons, directed energy weapons, shotgun</w:t>
      </w:r>
      <w:r>
        <w:t>-</w:t>
      </w:r>
      <w:r w:rsidRPr="00ED3D7F">
        <w:t>fired birdshot and buckshot, and water cannon</w:t>
      </w:r>
      <w:r>
        <w:t>s</w:t>
      </w:r>
      <w:r w:rsidRPr="00ED3D7F">
        <w:t xml:space="preserve"> and other riot control</w:t>
      </w:r>
      <w:r>
        <w:t>-</w:t>
      </w:r>
      <w:r w:rsidRPr="00ED3D7F">
        <w:t xml:space="preserve">type vehicles; and other types of conventional means of warfare, such as flamethrowers, directed energy weapons and bayonets. Non-conventional arms are those for which the transfer is prohibited by the 1968 </w:t>
      </w:r>
      <w:r>
        <w:t xml:space="preserve">Treaty on the </w:t>
      </w:r>
      <w:r w:rsidRPr="00ED3D7F">
        <w:t>Non-Proliferation</w:t>
      </w:r>
      <w:r>
        <w:t xml:space="preserve"> of Nuclear Weapons</w:t>
      </w:r>
      <w:r w:rsidRPr="00ED3D7F">
        <w:t>, the 1972 Convention</w:t>
      </w:r>
      <w:r w:rsidRPr="000B2E29">
        <w:rPr>
          <w:rFonts w:ascii="Helvetica" w:hAnsi="Helvetica" w:cs="Helvetica"/>
          <w:color w:val="333333"/>
          <w:sz w:val="21"/>
          <w:szCs w:val="21"/>
          <w:shd w:val="clear" w:color="auto" w:fill="FFFFFF"/>
        </w:rPr>
        <w:t xml:space="preserve"> </w:t>
      </w:r>
      <w:r>
        <w:t>on</w:t>
      </w:r>
      <w:r w:rsidRPr="000B2E29">
        <w:t xml:space="preserve"> the Prohibition of the Development, Production and Stockpiling of Bacteriological (Biological) and Toxin</w:t>
      </w:r>
      <w:r>
        <w:t xml:space="preserve"> </w:t>
      </w:r>
      <w:r w:rsidRPr="000B2E29">
        <w:t>Weapons</w:t>
      </w:r>
      <w:r>
        <w:t xml:space="preserve"> </w:t>
      </w:r>
      <w:r w:rsidRPr="000B2E29">
        <w:t>and on Their Destruction</w:t>
      </w:r>
      <w:r w:rsidRPr="00ED3D7F">
        <w:t xml:space="preserve"> and the 1992 Convention</w:t>
      </w:r>
      <w:r w:rsidRPr="000B2E29">
        <w:rPr>
          <w:rFonts w:ascii="Helvetica" w:hAnsi="Helvetica" w:cs="Helvetica"/>
          <w:color w:val="333333"/>
          <w:sz w:val="21"/>
          <w:szCs w:val="21"/>
          <w:shd w:val="clear" w:color="auto" w:fill="FFFFFF"/>
        </w:rPr>
        <w:t xml:space="preserve"> </w:t>
      </w:r>
      <w:r w:rsidRPr="000B2E29">
        <w:t>on the Prohibition of the Development, Production, Stockpiling and Use of</w:t>
      </w:r>
      <w:r>
        <w:t xml:space="preserve"> </w:t>
      </w:r>
      <w:r w:rsidRPr="000B2E29">
        <w:t>Chemical</w:t>
      </w:r>
      <w:r>
        <w:t xml:space="preserve"> </w:t>
      </w:r>
      <w:r w:rsidRPr="000B2E29">
        <w:t>Weapons</w:t>
      </w:r>
      <w:r>
        <w:t xml:space="preserve"> </w:t>
      </w:r>
      <w:r w:rsidRPr="000B2E29">
        <w:t>and on Their Destruction</w:t>
      </w:r>
      <w:r w:rsidRPr="00ED3D7F">
        <w:t xml:space="preserve">. “Transfer” generally covers the export, import, sale, lease or loan of arms from the jurisdiction and/or control of one State to </w:t>
      </w:r>
      <w:r>
        <w:t xml:space="preserve">that of </w:t>
      </w:r>
      <w:r w:rsidRPr="00ED3D7F">
        <w:t>another.</w:t>
      </w:r>
    </w:p>
  </w:footnote>
  <w:footnote w:id="4">
    <w:p w14:paraId="5E2348C2" w14:textId="521CA6AF" w:rsidR="00403D33" w:rsidRPr="00ED3D7F" w:rsidRDefault="00403D33" w:rsidP="004162EA">
      <w:pPr>
        <w:pStyle w:val="FootnoteText"/>
        <w:jc w:val="both"/>
      </w:pPr>
      <w:r w:rsidRPr="00625524">
        <w:rPr>
          <w:rStyle w:val="FootnoteReference"/>
        </w:rPr>
        <w:footnoteRef/>
      </w:r>
      <w:r w:rsidRPr="00ED3D7F">
        <w:t xml:space="preserve"> </w:t>
      </w:r>
      <w:r>
        <w:t>Human Rights Council</w:t>
      </w:r>
      <w:r w:rsidR="004162EA">
        <w:t>/</w:t>
      </w:r>
      <w:r>
        <w:t>Thirty-fifth session</w:t>
      </w:r>
      <w:r w:rsidR="004162EA">
        <w:t>/</w:t>
      </w:r>
      <w:r>
        <w:t xml:space="preserve">Annual report of the </w:t>
      </w:r>
      <w:r w:rsidR="004162EA">
        <w:t>OHCHR</w:t>
      </w:r>
      <w:r>
        <w:tab/>
      </w:r>
    </w:p>
  </w:footnote>
  <w:footnote w:id="5">
    <w:p w14:paraId="0AAB31D7" w14:textId="77777777" w:rsidR="00403D33" w:rsidRDefault="00403D33">
      <w:pPr>
        <w:pStyle w:val="FootnoteText"/>
        <w:rPr>
          <w:rtl/>
          <w:lang w:bidi="fa-IR"/>
        </w:rPr>
      </w:pPr>
      <w:r>
        <w:rPr>
          <w:rStyle w:val="FootnoteReference"/>
        </w:rPr>
        <w:footnoteRef/>
      </w:r>
      <w:r>
        <w:t xml:space="preserve"> </w:t>
      </w:r>
      <w:r w:rsidRPr="0043165C">
        <w:t>https://www.ohchr.org/sites/default/files/Documents/Publications/FactSheet4rev.1en.pdf</w:t>
      </w:r>
    </w:p>
  </w:footnote>
  <w:footnote w:id="6">
    <w:p w14:paraId="64A3C624" w14:textId="77777777" w:rsidR="00403D33" w:rsidRDefault="00403D33">
      <w:pPr>
        <w:pStyle w:val="FootnoteText"/>
      </w:pPr>
      <w:r>
        <w:rPr>
          <w:rStyle w:val="FootnoteReference"/>
        </w:rPr>
        <w:footnoteRef/>
      </w:r>
      <w:r>
        <w:t xml:space="preserve"> See also</w:t>
      </w:r>
      <w:r w:rsidRPr="00ED3D7F">
        <w:t xml:space="preserve"> Human Rights Council </w:t>
      </w:r>
      <w:r>
        <w:t xml:space="preserve">resolutions </w:t>
      </w:r>
      <w:r w:rsidRPr="00ED3D7F">
        <w:t>24/25, 26/16</w:t>
      </w:r>
      <w:r>
        <w:t xml:space="preserve"> and </w:t>
      </w:r>
      <w:r w:rsidRPr="00ED3D7F">
        <w:t>29/10.</w:t>
      </w:r>
    </w:p>
  </w:footnote>
  <w:footnote w:id="7">
    <w:p w14:paraId="79F54664" w14:textId="77777777" w:rsidR="00403D33" w:rsidRDefault="00403D33">
      <w:pPr>
        <w:pStyle w:val="FootnoteText"/>
      </w:pPr>
      <w:r>
        <w:rPr>
          <w:rStyle w:val="FootnoteReference"/>
        </w:rPr>
        <w:footnoteRef/>
      </w:r>
      <w:r>
        <w:t xml:space="preserve"> </w:t>
      </w:r>
      <w:r w:rsidRPr="00844ECF">
        <w:t>See www.un.org/disarmament/convarms/armstrade.</w:t>
      </w:r>
    </w:p>
  </w:footnote>
  <w:footnote w:id="8">
    <w:p w14:paraId="519A5912" w14:textId="77777777" w:rsidR="00403D33" w:rsidRDefault="00403D33">
      <w:pPr>
        <w:pStyle w:val="FootnoteText"/>
      </w:pPr>
      <w:r>
        <w:rPr>
          <w:rStyle w:val="FootnoteReference"/>
        </w:rPr>
        <w:footnoteRef/>
      </w:r>
      <w:r>
        <w:t xml:space="preserve"> </w:t>
      </w:r>
      <w:r w:rsidRPr="00CF13DF">
        <w:t>https://www.cfr.org/backgrounder/yemen-crisis</w:t>
      </w:r>
    </w:p>
  </w:footnote>
  <w:footnote w:id="9">
    <w:p w14:paraId="2957F35D" w14:textId="77777777" w:rsidR="00403D33" w:rsidRDefault="00403D33" w:rsidP="00844ECF">
      <w:pPr>
        <w:pStyle w:val="FootnoteText"/>
      </w:pPr>
      <w:r>
        <w:rPr>
          <w:rStyle w:val="FootnoteReference"/>
        </w:rPr>
        <w:footnoteRef/>
      </w:r>
      <w:r w:rsidRPr="00CF13DF">
        <w:t>https://www.ohchr.org/Documents/Issues/RuleOfLaw/ArmsTransfers/ControlArms.docx#:~:text=The%20ongoing%20crisis%20in%20Yemen,of%20their%20right%20to%20life.</w:t>
      </w:r>
    </w:p>
  </w:footnote>
  <w:footnote w:id="10">
    <w:p w14:paraId="2E1FF8E0" w14:textId="77777777" w:rsidR="00403D33" w:rsidRDefault="00403D33" w:rsidP="0082586D">
      <w:pPr>
        <w:pStyle w:val="FootnoteText"/>
        <w:rPr>
          <w:rtl/>
          <w:lang w:bidi="fa-IR"/>
        </w:rPr>
      </w:pPr>
      <w:r>
        <w:rPr>
          <w:rStyle w:val="FootnoteReference"/>
        </w:rPr>
        <w:footnoteRef/>
      </w:r>
      <w:r>
        <w:t xml:space="preserve"> </w:t>
      </w:r>
      <w:r w:rsidRPr="00F9794C">
        <w:t>https://www.opensecrets.org/news/reports/capitalizing-on-conflict/yemen-case-study</w:t>
      </w:r>
    </w:p>
  </w:footnote>
  <w:footnote w:id="11">
    <w:p w14:paraId="1B9B64CC" w14:textId="77777777" w:rsidR="00403D33" w:rsidRDefault="00403D33" w:rsidP="003826F2">
      <w:pPr>
        <w:pStyle w:val="FootnoteText"/>
      </w:pPr>
      <w:r>
        <w:rPr>
          <w:vertAlign w:val="superscript"/>
        </w:rPr>
        <w:footnoteRef/>
      </w:r>
      <w:r>
        <w:t xml:space="preserve">WILPF, </w:t>
      </w:r>
      <w:r>
        <w:rPr>
          <w:i/>
        </w:rPr>
        <w:t>Submission from WILPF to the UN Office of the High Commissioner for Human Rights: Impact of the diversion of arms and unregulated or illicit arms transfers on the human rights of women and girls</w:t>
      </w:r>
      <w:r>
        <w:t xml:space="preserve"> (April 2020) available at: &lt;https://www.wilpf.org/wilpf_statements/submission-to-the-un-office-of-the-high-commissioner-for-human-rights-on-the-impact-of-the-diversion-of-arms-and-unregulated-or-illicit-arms-transfers-on-the-human-rights-of-women-and-girls/&gt;.</w:t>
      </w:r>
    </w:p>
  </w:footnote>
  <w:footnote w:id="12">
    <w:p w14:paraId="33769B29" w14:textId="77777777" w:rsidR="00403D33" w:rsidRDefault="00403D33" w:rsidP="00BD4FB7">
      <w:pPr>
        <w:pStyle w:val="FootnoteText"/>
      </w:pPr>
      <w:r>
        <w:rPr>
          <w:vertAlign w:val="superscript"/>
        </w:rPr>
        <w:footnoteRef/>
      </w:r>
      <w:r>
        <w:t>R. Acheson,</w:t>
      </w:r>
      <w:r>
        <w:rPr>
          <w:i/>
        </w:rPr>
        <w:t xml:space="preserve"> Presentation on gender norms and gun violence</w:t>
      </w:r>
      <w:r>
        <w:t xml:space="preserve"> (Reaching Critical Will of WILPF, June 2018, available at: &lt;http://www.reachingcriticalwill.org/news/latest-news/12587-presentation-on-gender-norms-and-gun-violence&gt;.</w:t>
      </w:r>
    </w:p>
  </w:footnote>
  <w:footnote w:id="13">
    <w:p w14:paraId="682B3E72" w14:textId="77777777" w:rsidR="00403D33" w:rsidRDefault="00403D33" w:rsidP="00BD4FB7">
      <w:pPr>
        <w:pStyle w:val="FootnoteText"/>
      </w:pPr>
      <w:r>
        <w:rPr>
          <w:vertAlign w:val="superscript"/>
        </w:rPr>
        <w:footnoteRef/>
      </w:r>
      <w:r>
        <w:t>UNHRC Forty-second session 9–27 September 2019 ‘Report of the detailed findings of the Group of Eminent International and Regional Experts on Yemen: Situation of human rights in Yemen, including violations and abuses since September 2014’ (3 September 2019) UN Doc A/HRC/42/CRP.1, para 624-633.</w:t>
      </w:r>
    </w:p>
  </w:footnote>
  <w:footnote w:id="14">
    <w:p w14:paraId="5E07915A" w14:textId="77777777" w:rsidR="00403D33" w:rsidRDefault="00403D33" w:rsidP="008E30BE">
      <w:pPr>
        <w:pStyle w:val="FootnoteText"/>
        <w:rPr>
          <w:color w:val="000000"/>
        </w:rPr>
      </w:pPr>
      <w:r>
        <w:rPr>
          <w:vertAlign w:val="superscript"/>
        </w:rPr>
        <w:footnoteRef/>
      </w:r>
      <w:r>
        <w:rPr>
          <w:color w:val="000000"/>
        </w:rPr>
        <w:t xml:space="preserve">In March 2015, Saudi Arabia formed a coalition with Bahrain, Egypt, Jordan, Kuwait, Morocco, Senegal, Sudan and the United Arab Emirates. Qatar was a member of the coalition until June 2017. </w:t>
      </w:r>
    </w:p>
  </w:footnote>
  <w:footnote w:id="15">
    <w:p w14:paraId="635FFFC9" w14:textId="77777777" w:rsidR="00403D33" w:rsidRDefault="00403D33">
      <w:pPr>
        <w:pStyle w:val="FootnoteText"/>
        <w:rPr>
          <w:rtl/>
          <w:lang w:bidi="fa-IR"/>
        </w:rPr>
      </w:pPr>
      <w:r>
        <w:rPr>
          <w:rStyle w:val="FootnoteReference"/>
        </w:rPr>
        <w:footnoteRef/>
      </w:r>
      <w:r>
        <w:t xml:space="preserve"> </w:t>
      </w:r>
      <w:r w:rsidRPr="008E30BE">
        <w:t>https://reliefweb.int/report/yemen/persistent-suffering-seven-years-conflict-escalated-and-coalition-began-its-military</w:t>
      </w:r>
    </w:p>
  </w:footnote>
  <w:footnote w:id="16">
    <w:p w14:paraId="74E4B6E8" w14:textId="77777777" w:rsidR="00403D33" w:rsidRDefault="00403D33">
      <w:pPr>
        <w:pStyle w:val="FootnoteText"/>
        <w:rPr>
          <w:rtl/>
          <w:lang w:bidi="fa-IR"/>
        </w:rPr>
      </w:pPr>
      <w:r>
        <w:rPr>
          <w:rStyle w:val="FootnoteReference"/>
        </w:rPr>
        <w:footnoteRef/>
      </w:r>
      <w:r>
        <w:t xml:space="preserve"> </w:t>
      </w:r>
      <w:r w:rsidRPr="008E30BE">
        <w:t>https://reliefweb.int/report/yemen/persistent-suffering-seven-years-conflict-escalated-and-coalition-began-its-military</w:t>
      </w:r>
    </w:p>
  </w:footnote>
  <w:footnote w:id="17">
    <w:p w14:paraId="4EE39701" w14:textId="578FEC41" w:rsidR="00403D33" w:rsidRDefault="00403D33" w:rsidP="0020062B">
      <w:pPr>
        <w:pStyle w:val="FootnoteText"/>
      </w:pPr>
      <w:r>
        <w:rPr>
          <w:rStyle w:val="FootnoteReference"/>
        </w:rPr>
        <w:footnoteRef/>
      </w:r>
      <w:r>
        <w:t xml:space="preserve"> Human Rights Council</w:t>
      </w:r>
      <w:r w:rsidR="0020062B">
        <w:t xml:space="preserve">/ </w:t>
      </w:r>
      <w:r>
        <w:t>Thirty-sixth session</w:t>
      </w:r>
      <w:r w:rsidR="0020062B">
        <w:t>/</w:t>
      </w:r>
      <w:r>
        <w:t xml:space="preserve">Annual report of the </w:t>
      </w:r>
      <w:r w:rsidR="0020062B">
        <w:t xml:space="preserve">OHCHR  </w:t>
      </w:r>
    </w:p>
  </w:footnote>
  <w:footnote w:id="18">
    <w:p w14:paraId="0C24E5B2" w14:textId="77777777" w:rsidR="00403D33" w:rsidRDefault="00403D33" w:rsidP="00691219">
      <w:pPr>
        <w:pStyle w:val="FootnoteText"/>
        <w:rPr>
          <w:rFonts w:eastAsia="Times New Roman" w:cs="Times New Roman"/>
          <w:color w:val="000000"/>
        </w:rPr>
      </w:pPr>
      <w:r>
        <w:rPr>
          <w:vertAlign w:val="superscript"/>
        </w:rPr>
        <w:footnoteRef/>
      </w:r>
      <w:r>
        <w:rPr>
          <w:rFonts w:eastAsia="Times New Roman" w:cs="Times New Roman"/>
          <w:color w:val="000000"/>
        </w:rPr>
        <w:t xml:space="preserve">The </w:t>
      </w:r>
      <w:r>
        <w:rPr>
          <w:rFonts w:eastAsia="Times New Roman" w:cs="Times New Roman"/>
          <w:color w:val="000000"/>
          <w:highlight w:val="white"/>
        </w:rPr>
        <w:t>Yemen Data Project lists target category based on the original use of the target, “</w:t>
      </w:r>
      <w:r>
        <w:rPr>
          <w:rFonts w:eastAsia="Times New Roman" w:cs="Times New Roman"/>
          <w:color w:val="000000"/>
        </w:rPr>
        <w:t>e.g. a school hit by an airstrike is referred to as a school building, with no further assessment on its use at the time of the airstrike or the circumstances that led to the airstrike</w:t>
      </w:r>
      <w:proofErr w:type="gramStart"/>
      <w:r>
        <w:rPr>
          <w:rFonts w:eastAsia="Times New Roman" w:cs="Times New Roman"/>
          <w:color w:val="000000"/>
        </w:rPr>
        <w:t>” :</w:t>
      </w:r>
      <w:proofErr w:type="gramEnd"/>
      <w:r>
        <w:rPr>
          <w:rFonts w:eastAsia="Times New Roman" w:cs="Times New Roman"/>
          <w:color w:val="000000"/>
        </w:rPr>
        <w:t xml:space="preserve"> &lt;</w:t>
      </w:r>
      <w:r>
        <w:rPr>
          <w:rFonts w:eastAsia="Times New Roman" w:cs="Times New Roman"/>
        </w:rPr>
        <w:t>https://yemendataproject.org/index.html&gt;</w:t>
      </w:r>
      <w:r>
        <w:rPr>
          <w:rFonts w:eastAsia="Times New Roman" w:cs="Times New Roman"/>
          <w:color w:val="000000"/>
        </w:rPr>
        <w:t xml:space="preserve"> </w:t>
      </w:r>
    </w:p>
  </w:footnote>
  <w:footnote w:id="19">
    <w:p w14:paraId="7E8C9974" w14:textId="77777777" w:rsidR="00403D33" w:rsidRDefault="00403D33">
      <w:pPr>
        <w:pStyle w:val="FootnoteText"/>
        <w:rPr>
          <w:rtl/>
          <w:lang w:bidi="fa-IR"/>
        </w:rPr>
      </w:pPr>
      <w:r>
        <w:rPr>
          <w:rStyle w:val="FootnoteReference"/>
        </w:rPr>
        <w:footnoteRef/>
      </w:r>
      <w:r>
        <w:t xml:space="preserve"> </w:t>
      </w:r>
      <w:r w:rsidRPr="00087210">
        <w:t>https://reliefweb.int/report/yemen/tragedy-without-justice-human-rights-yemen-2020-enar</w:t>
      </w:r>
    </w:p>
  </w:footnote>
  <w:footnote w:id="20">
    <w:p w14:paraId="72E7F564" w14:textId="77777777" w:rsidR="00403D33" w:rsidRPr="001C1268" w:rsidRDefault="00403D33" w:rsidP="00A46D57">
      <w:pPr>
        <w:pStyle w:val="FootnoteText"/>
        <w:rPr>
          <w:color w:val="000000"/>
          <w:lang w:val="fr-CH"/>
        </w:rPr>
      </w:pPr>
      <w:r>
        <w:rPr>
          <w:vertAlign w:val="superscript"/>
        </w:rPr>
        <w:footnoteRef/>
      </w:r>
      <w:r w:rsidRPr="001C1268">
        <w:rPr>
          <w:color w:val="000000"/>
          <w:lang w:val="fr-CH"/>
        </w:rPr>
        <w:t xml:space="preserve"> ICCPR, Article 6(1).</w:t>
      </w:r>
    </w:p>
  </w:footnote>
  <w:footnote w:id="21">
    <w:p w14:paraId="47BE0014" w14:textId="77777777" w:rsidR="00403D33" w:rsidRPr="001C1268" w:rsidRDefault="00403D33" w:rsidP="00A46D57">
      <w:pPr>
        <w:pStyle w:val="FootnoteText"/>
        <w:rPr>
          <w:color w:val="000000"/>
          <w:lang w:val="fr-CH"/>
        </w:rPr>
      </w:pPr>
      <w:r>
        <w:rPr>
          <w:vertAlign w:val="superscript"/>
        </w:rPr>
        <w:footnoteRef/>
      </w:r>
      <w:r w:rsidRPr="001C1268">
        <w:rPr>
          <w:color w:val="000000"/>
          <w:lang w:val="fr-CH"/>
        </w:rPr>
        <w:t xml:space="preserve"> ICCPR, Article 9.</w:t>
      </w:r>
    </w:p>
  </w:footnote>
  <w:footnote w:id="22">
    <w:p w14:paraId="5F15D7C1" w14:textId="77777777" w:rsidR="00403D33" w:rsidRPr="001C1268" w:rsidRDefault="00403D33" w:rsidP="00A46D57">
      <w:pPr>
        <w:pStyle w:val="FootnoteText"/>
        <w:rPr>
          <w:color w:val="000000"/>
          <w:lang w:val="fr-CH"/>
        </w:rPr>
      </w:pPr>
      <w:r>
        <w:rPr>
          <w:vertAlign w:val="superscript"/>
        </w:rPr>
        <w:footnoteRef/>
      </w:r>
      <w:r w:rsidRPr="001C1268">
        <w:rPr>
          <w:color w:val="000000"/>
          <w:lang w:val="fr-CH"/>
        </w:rPr>
        <w:t xml:space="preserve"> ICCPR, Articles 21 and 22.</w:t>
      </w:r>
    </w:p>
  </w:footnote>
  <w:footnote w:id="23">
    <w:p w14:paraId="6402F4CE" w14:textId="77777777" w:rsidR="00403D33" w:rsidRPr="001C1268" w:rsidRDefault="00403D33" w:rsidP="00A46D57">
      <w:pPr>
        <w:pStyle w:val="FootnoteText"/>
        <w:rPr>
          <w:color w:val="000000"/>
          <w:lang w:val="fr-CH"/>
        </w:rPr>
      </w:pPr>
      <w:r>
        <w:rPr>
          <w:vertAlign w:val="superscript"/>
        </w:rPr>
        <w:footnoteRef/>
      </w:r>
      <w:r w:rsidRPr="001C1268">
        <w:rPr>
          <w:color w:val="000000"/>
          <w:lang w:val="fr-CH"/>
        </w:rPr>
        <w:t xml:space="preserve"> ICCPR, Article 7.</w:t>
      </w:r>
    </w:p>
  </w:footnote>
  <w:footnote w:id="24">
    <w:p w14:paraId="3D1AED7A" w14:textId="77777777" w:rsidR="00403D33" w:rsidRDefault="00403D33" w:rsidP="00810BCC">
      <w:pPr>
        <w:pStyle w:val="FootnoteText"/>
      </w:pPr>
      <w:r>
        <w:rPr>
          <w:vertAlign w:val="superscript"/>
        </w:rPr>
        <w:footnoteRef/>
      </w:r>
      <w:r>
        <w:t>UNHRC ‘General Comment No. 36 Article 6: right to life’ (3 September 2019) UN Doc CCPR/C/GC/36, para. 22.</w:t>
      </w:r>
    </w:p>
  </w:footnote>
  <w:footnote w:id="25">
    <w:p w14:paraId="4D154619" w14:textId="77777777" w:rsidR="00403D33" w:rsidRDefault="00403D33" w:rsidP="00810BCC">
      <w:pPr>
        <w:pStyle w:val="FootnoteText"/>
      </w:pPr>
      <w:r>
        <w:rPr>
          <w:vertAlign w:val="superscript"/>
        </w:rPr>
        <w:footnoteRef/>
      </w:r>
      <w:r>
        <w:t xml:space="preserve"> Ibid.</w:t>
      </w:r>
    </w:p>
  </w:footnote>
  <w:footnote w:id="26">
    <w:p w14:paraId="442F12AF" w14:textId="77777777" w:rsidR="00403D33" w:rsidRDefault="00403D33" w:rsidP="00810BCC">
      <w:pPr>
        <w:pStyle w:val="FootnoteText"/>
      </w:pPr>
      <w:r>
        <w:rPr>
          <w:vertAlign w:val="superscript"/>
        </w:rPr>
        <w:footnoteRef/>
      </w:r>
      <w:r>
        <w:t>UNHRC ‘General Comment No. 36 Article 6: right to life’ (3 September 2019) UN Doc CCPR/C/GC/36, para. 65.</w:t>
      </w:r>
    </w:p>
  </w:footnote>
  <w:footnote w:id="27">
    <w:p w14:paraId="5CECA91A" w14:textId="77777777" w:rsidR="00403D33" w:rsidRDefault="00403D33" w:rsidP="003F1A53">
      <w:pPr>
        <w:pStyle w:val="FootnoteText"/>
        <w:rPr>
          <w:color w:val="000000"/>
        </w:rPr>
      </w:pPr>
      <w:r>
        <w:rPr>
          <w:vertAlign w:val="superscript"/>
        </w:rPr>
        <w:footnoteRef/>
      </w:r>
      <w:r>
        <w:t xml:space="preserve">UNHRC eightieth session ‘General Comment No. 31 [80] The Nature of the General Legal Obligation Imposed on States Parties to the </w:t>
      </w:r>
      <w:proofErr w:type="gramStart"/>
      <w:r>
        <w:t>Covenant‘ (</w:t>
      </w:r>
      <w:proofErr w:type="gramEnd"/>
      <w:r>
        <w:t xml:space="preserve">26 May 2004) UN Doc </w:t>
      </w:r>
      <w:r>
        <w:rPr>
          <w:sz w:val="19"/>
          <w:szCs w:val="19"/>
          <w:highlight w:val="white"/>
        </w:rPr>
        <w:t>CCPR/C/21/Rev.1/Add. 1</w:t>
      </w:r>
      <w:r>
        <w:t>3, para 10.</w:t>
      </w:r>
    </w:p>
  </w:footnote>
  <w:footnote w:id="28">
    <w:p w14:paraId="7E202900" w14:textId="77777777" w:rsidR="00403D33" w:rsidRDefault="00403D33">
      <w:pPr>
        <w:pStyle w:val="FootnoteText"/>
      </w:pPr>
      <w:r>
        <w:rPr>
          <w:rStyle w:val="FootnoteReference"/>
        </w:rPr>
        <w:footnoteRef/>
      </w:r>
      <w:r>
        <w:t xml:space="preserve"> </w:t>
      </w:r>
      <w:r w:rsidRPr="006F6A12">
        <w:t>https://commonslibrary.parliament.uk/arms-trade-treaty-trumps-decision-to-remove-the-us/#:~:text=On%2026%20April%202019%20President,been%20ratified%20by%20the%20Senate.</w:t>
      </w:r>
    </w:p>
  </w:footnote>
  <w:footnote w:id="29">
    <w:p w14:paraId="32D1EE0C" w14:textId="77777777" w:rsidR="00403D33" w:rsidRDefault="00403D33">
      <w:pPr>
        <w:pStyle w:val="FootnoteText"/>
      </w:pPr>
      <w:r>
        <w:rPr>
          <w:rStyle w:val="FootnoteReference"/>
        </w:rPr>
        <w:footnoteRef/>
      </w:r>
      <w:r>
        <w:t xml:space="preserve"> </w:t>
      </w:r>
      <w:r w:rsidRPr="006F6A12">
        <w:t>https://www.stimson.org/2023/the-arms-trade-treaty-at-ten/</w:t>
      </w:r>
    </w:p>
  </w:footnote>
  <w:footnote w:id="30">
    <w:p w14:paraId="3AA5FE61" w14:textId="77777777" w:rsidR="00403D33" w:rsidRDefault="00403D33" w:rsidP="00E27DB5">
      <w:pPr>
        <w:pStyle w:val="FootnoteText"/>
      </w:pPr>
      <w:r>
        <w:rPr>
          <w:vertAlign w:val="superscript"/>
        </w:rPr>
        <w:footnoteRef/>
      </w:r>
      <w:r>
        <w:t>UNHRC ‘Concluding observations on the sixth periodic report of Canada’ (13 August 2015) UN Doc CCPR/C/CAN/CO/6, para. 6; UNHRC ‘Concluding observations on the fourth periodic report of the Republic of Korea’ (3 December 2015) Un Doc CCPR/C/KOR/CO/4, paras 10 and 11; UNHRC ‘Concluding observations on the sixth periodic report of Germany, adopted by the Committee at its 106th session 15 October - 2 November 2012’ (12 November 2012) UN Doc CCPR/C/DEU/CO/6, para. 16.</w:t>
      </w:r>
    </w:p>
  </w:footnote>
  <w:footnote w:id="31">
    <w:p w14:paraId="0D1C95AD" w14:textId="77777777" w:rsidR="00403D33" w:rsidRDefault="00403D33" w:rsidP="00E27DB5">
      <w:pPr>
        <w:pStyle w:val="FootnoteText"/>
      </w:pPr>
      <w:r>
        <w:rPr>
          <w:vertAlign w:val="superscript"/>
        </w:rPr>
        <w:footnoteRef/>
      </w:r>
      <w:r>
        <w:t>Committee on the Rights of the Child ‘Concluding observations on the fifth periodic report of Sweden’ (6 March 2015) UN Doc CRC/C/SWE/CO/5, para 54; Committee on the Rights of the Child ‘Concluding observations on the report submitted by the Netherlands under article 8 (1) of the Optional Protocol to the Convention on the Rights of the Child on the involvement of children in armed conflict’ (8 July 2015) UN Doc CRC/C/OPAC/NLD/CO/1, para 24; ibid for Brazil (28 October 2015) UN Doc CRC/C/OPAC/BRA/CO/1, para 34; ibid for Turkmenistan (20 February 2015) UN Doc CRC/C/OPAC/TKM/CO/1, para 24; ibid for China (29 October 2013) UN Doc CRC/C/OPAC/CHN/CO/1, para 34; ibid for Ukraine (11 April 2011) UN Doc CRC/C/OPAC/UKR/CO/1, para 26; ibid for Republic of Moldova (20 February 2009) UN Doc CRC/C/OPAC/MDA/CO/1, para 15; ibid for Tunisia (6 February 2009) UN Doc CRC/C/OPAC/TUN/CO/1, para 18; ibid for United Kingdom (17 October 2008) CRC/C/OPAC/GBR/CO/1, para 33; ibid for USA (25 June 2008) UN Doc CRC/C/OPAC/USA/CO/1, para 34; ibid for France (15 October 2007) UN Doc CRC/C/OPAC/FRA/CO/1; Committee on Economic, Social and Cultural Rights ‘Concluding observations on the sixth periodic report of the United Kingdom of Great Britain and Northern Ireland’ (14 July 2016) UN Doc  E/C.12/GBR/CO/6, para12; Committee on the Rights of the Child ‘Concluding observations on the combined third and fourth periodic reports of Germany’ UN Doc CRC/C/DEU/CO/3-4, para 77; Committee on the Rights of the Child ‘Consideration of reports submitted by states parties under article 44 of the convention’ (21 October 2010) UN Doc CRC/C/OPAC/MNE/CO/1, para 25</w:t>
      </w:r>
    </w:p>
  </w:footnote>
  <w:footnote w:id="32">
    <w:p w14:paraId="1CA6B76F" w14:textId="77777777" w:rsidR="00403D33" w:rsidRDefault="00403D33" w:rsidP="00915DA2">
      <w:pPr>
        <w:pStyle w:val="FootnoteText"/>
        <w:jc w:val="both"/>
      </w:pPr>
      <w:r>
        <w:rPr>
          <w:vertAlign w:val="superscript"/>
        </w:rPr>
        <w:footnoteRef/>
      </w:r>
      <w:r>
        <w:t xml:space="preserve">See for France, A/HRC/38/4, recommendation 145.31 (Peru): “Refrain from transferring conventional weapons when these can be used to violate human rights or international humanitarian law, in line with its obligations under the Arms Trade Treaty and target 16.4 of the Sustainable Development Goals (Panama)”. See for other countries, A/HRC/36/9, recommendation 132.134: “In the context of the </w:t>
      </w:r>
      <w:proofErr w:type="spellStart"/>
      <w:r>
        <w:t>defence</w:t>
      </w:r>
      <w:proofErr w:type="spellEnd"/>
      <w:r>
        <w:t xml:space="preserve"> of the right to life, carefully assess the transfer of arms to those countries where they are likely to be used for human rights abuses and violations (Peru)”; A/HRC/39/9, recommendation 155.14: “Harmonize arms export control legislation in line with provisions of the Arms Trade Treaty and the Council of the European Union Common Position, and ensure that, before export licenses are granted, comprehensive and transparent assessments are conducted of the impact that the misuse of small arms and light weapons would have on women, including those living in conflict zones (Albania)”.</w:t>
      </w:r>
    </w:p>
  </w:footnote>
  <w:footnote w:id="33">
    <w:p w14:paraId="42D7EFE5" w14:textId="77777777" w:rsidR="00403D33" w:rsidRDefault="00403D33" w:rsidP="00915DA2">
      <w:pPr>
        <w:pStyle w:val="FootnoteText"/>
        <w:jc w:val="both"/>
      </w:pPr>
      <w:r>
        <w:rPr>
          <w:vertAlign w:val="superscript"/>
        </w:rPr>
        <w:footnoteRef/>
      </w:r>
      <w:r>
        <w:t>UNHRC seventh session ‘Guiding Principles on Business and Human Rights: Implementing the United Nations, Protect, Respect and Remedy Framework, Final Report of the Special Representative of the Secretary General on the issue of human rights and transnational corporations and other business enterprises’ (21 March 2011) UN Doc A/HRC/17/31, available at: &lt;https://www.ohchr.org/Documents/Publications/GuidingPrinciplesBusinessHR_EN.pdf&gt;.</w:t>
      </w:r>
    </w:p>
  </w:footnote>
  <w:footnote w:id="34">
    <w:p w14:paraId="711B0479" w14:textId="77777777" w:rsidR="00403D33" w:rsidRDefault="00403D33" w:rsidP="00915DA2">
      <w:pPr>
        <w:pStyle w:val="FootnoteText"/>
        <w:jc w:val="both"/>
      </w:pPr>
      <w:r>
        <w:rPr>
          <w:vertAlign w:val="superscript"/>
        </w:rPr>
        <w:footnoteRef/>
      </w:r>
      <w:r>
        <w:t>UNHRC seventh session ‘Guiding Principles on Business and Human Rights: Implementing the United Nations, Protect, Respect and Remedy Framework, Final Report of the Special Representative of the Secretary General on the issue of human rights and transnational corporations and other business enterprises’ (21 March 2011) UN Doc A/HRC/17/31, principles 1 &amp; 2.</w:t>
      </w:r>
    </w:p>
  </w:footnote>
  <w:footnote w:id="35">
    <w:p w14:paraId="34877F75" w14:textId="77777777" w:rsidR="00403D33" w:rsidRDefault="00403D33" w:rsidP="002B3A2D">
      <w:pPr>
        <w:pStyle w:val="FootnoteText"/>
      </w:pPr>
      <w:r>
        <w:rPr>
          <w:vertAlign w:val="superscript"/>
        </w:rPr>
        <w:footnoteRef/>
      </w:r>
      <w:r>
        <w:t>Ibid., See Guiding Principle 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E03C0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B0D"/>
      </v:shape>
    </w:pict>
  </w:numPicBullet>
  <w:abstractNum w:abstractNumId="0" w15:restartNumberingAfterBreak="0">
    <w:nsid w:val="31513BA7"/>
    <w:multiLevelType w:val="multilevel"/>
    <w:tmpl w:val="90F0CDAC"/>
    <w:lvl w:ilvl="0">
      <w:start w:val="7"/>
      <w:numFmt w:val="decimal"/>
      <w:lvlText w:val="%1."/>
      <w:lvlJc w:val="left"/>
      <w:pPr>
        <w:ind w:left="360" w:hanging="360"/>
      </w:pPr>
      <w:rPr>
        <w:rFonts w:ascii="Times New Roman" w:hAnsi="Times New Roman"/>
        <w:sz w:val="24"/>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 w15:restartNumberingAfterBreak="0">
    <w:nsid w:val="44CD1F9C"/>
    <w:multiLevelType w:val="hybridMultilevel"/>
    <w:tmpl w:val="CFAEFC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2B5B93"/>
    <w:multiLevelType w:val="hybridMultilevel"/>
    <w:tmpl w:val="D2405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CD27D9"/>
    <w:multiLevelType w:val="hybridMultilevel"/>
    <w:tmpl w:val="EF6A7E40"/>
    <w:lvl w:ilvl="0" w:tplc="92BE2F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B829AA"/>
    <w:multiLevelType w:val="multilevel"/>
    <w:tmpl w:val="55D4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B76E1B"/>
    <w:multiLevelType w:val="hybridMultilevel"/>
    <w:tmpl w:val="43FCA27A"/>
    <w:lvl w:ilvl="0" w:tplc="3B6E6D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7145942">
    <w:abstractNumId w:val="4"/>
  </w:num>
  <w:num w:numId="2" w16cid:durableId="1100567765">
    <w:abstractNumId w:val="1"/>
  </w:num>
  <w:num w:numId="3" w16cid:durableId="1001197260">
    <w:abstractNumId w:val="5"/>
  </w:num>
  <w:num w:numId="4" w16cid:durableId="756557652">
    <w:abstractNumId w:val="0"/>
  </w:num>
  <w:num w:numId="5" w16cid:durableId="248389128">
    <w:abstractNumId w:val="2"/>
  </w:num>
  <w:num w:numId="6" w16cid:durableId="1815636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2B7"/>
    <w:rsid w:val="00005A36"/>
    <w:rsid w:val="0002348A"/>
    <w:rsid w:val="00044494"/>
    <w:rsid w:val="000647CF"/>
    <w:rsid w:val="00087210"/>
    <w:rsid w:val="00090AB2"/>
    <w:rsid w:val="000976C2"/>
    <w:rsid w:val="000C4821"/>
    <w:rsid w:val="0012611D"/>
    <w:rsid w:val="00174797"/>
    <w:rsid w:val="001B6EB7"/>
    <w:rsid w:val="001C6D7A"/>
    <w:rsid w:val="001F2F3F"/>
    <w:rsid w:val="001F6D94"/>
    <w:rsid w:val="001F711F"/>
    <w:rsid w:val="0020062B"/>
    <w:rsid w:val="00212F40"/>
    <w:rsid w:val="00220F1E"/>
    <w:rsid w:val="00225D56"/>
    <w:rsid w:val="002404BC"/>
    <w:rsid w:val="00282331"/>
    <w:rsid w:val="00294BA6"/>
    <w:rsid w:val="002B3A2D"/>
    <w:rsid w:val="0031089E"/>
    <w:rsid w:val="00332957"/>
    <w:rsid w:val="003577A2"/>
    <w:rsid w:val="003616D9"/>
    <w:rsid w:val="00370AAA"/>
    <w:rsid w:val="003826F2"/>
    <w:rsid w:val="003E2917"/>
    <w:rsid w:val="003F1A53"/>
    <w:rsid w:val="00403D33"/>
    <w:rsid w:val="004162EA"/>
    <w:rsid w:val="0043165C"/>
    <w:rsid w:val="00432BC6"/>
    <w:rsid w:val="00434AFE"/>
    <w:rsid w:val="0044755A"/>
    <w:rsid w:val="0045691A"/>
    <w:rsid w:val="00520F6D"/>
    <w:rsid w:val="0055531D"/>
    <w:rsid w:val="0059363F"/>
    <w:rsid w:val="005B14A8"/>
    <w:rsid w:val="005D1256"/>
    <w:rsid w:val="005D45AE"/>
    <w:rsid w:val="005F3C79"/>
    <w:rsid w:val="0064249F"/>
    <w:rsid w:val="00660494"/>
    <w:rsid w:val="00665121"/>
    <w:rsid w:val="006705EE"/>
    <w:rsid w:val="00691219"/>
    <w:rsid w:val="006D4069"/>
    <w:rsid w:val="006F6A12"/>
    <w:rsid w:val="00764164"/>
    <w:rsid w:val="007A5B0C"/>
    <w:rsid w:val="007C2EAD"/>
    <w:rsid w:val="00810BCC"/>
    <w:rsid w:val="008159B4"/>
    <w:rsid w:val="0082586D"/>
    <w:rsid w:val="008355B9"/>
    <w:rsid w:val="00844ECF"/>
    <w:rsid w:val="008901FD"/>
    <w:rsid w:val="008A3918"/>
    <w:rsid w:val="008E30BE"/>
    <w:rsid w:val="009061E9"/>
    <w:rsid w:val="009136AB"/>
    <w:rsid w:val="00915DA2"/>
    <w:rsid w:val="009554B6"/>
    <w:rsid w:val="009603B1"/>
    <w:rsid w:val="00984AB7"/>
    <w:rsid w:val="00A46D57"/>
    <w:rsid w:val="00A65F77"/>
    <w:rsid w:val="00A72A3A"/>
    <w:rsid w:val="00AB497A"/>
    <w:rsid w:val="00AF7016"/>
    <w:rsid w:val="00B512D3"/>
    <w:rsid w:val="00B64A70"/>
    <w:rsid w:val="00B769A2"/>
    <w:rsid w:val="00B7744C"/>
    <w:rsid w:val="00B81014"/>
    <w:rsid w:val="00B8454E"/>
    <w:rsid w:val="00BA2A41"/>
    <w:rsid w:val="00BA4961"/>
    <w:rsid w:val="00BD4FB7"/>
    <w:rsid w:val="00BF0CFF"/>
    <w:rsid w:val="00BF72B7"/>
    <w:rsid w:val="00C0023D"/>
    <w:rsid w:val="00C07039"/>
    <w:rsid w:val="00C420EB"/>
    <w:rsid w:val="00C74620"/>
    <w:rsid w:val="00C814B1"/>
    <w:rsid w:val="00C91D17"/>
    <w:rsid w:val="00CA0CA2"/>
    <w:rsid w:val="00CE688B"/>
    <w:rsid w:val="00CF13DF"/>
    <w:rsid w:val="00CF56AD"/>
    <w:rsid w:val="00D60C3D"/>
    <w:rsid w:val="00D6350A"/>
    <w:rsid w:val="00D67CCD"/>
    <w:rsid w:val="00D813E6"/>
    <w:rsid w:val="00D94307"/>
    <w:rsid w:val="00DB2FA9"/>
    <w:rsid w:val="00DF4C57"/>
    <w:rsid w:val="00E028E9"/>
    <w:rsid w:val="00E27DB5"/>
    <w:rsid w:val="00E402F6"/>
    <w:rsid w:val="00E524F6"/>
    <w:rsid w:val="00E56837"/>
    <w:rsid w:val="00E8351A"/>
    <w:rsid w:val="00EB435F"/>
    <w:rsid w:val="00EF443A"/>
    <w:rsid w:val="00EF7ACD"/>
    <w:rsid w:val="00F37C77"/>
    <w:rsid w:val="00F7522C"/>
    <w:rsid w:val="00F94AE4"/>
    <w:rsid w:val="00F96928"/>
    <w:rsid w:val="00F9794C"/>
    <w:rsid w:val="00FB6194"/>
    <w:rsid w:val="00FC0F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9B44F7"/>
  <w15:docId w15:val="{D1FF6201-F3EB-418B-B017-10430F79E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4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5D1256"/>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D1256"/>
    <w:rPr>
      <w:sz w:val="20"/>
      <w:szCs w:val="20"/>
    </w:rPr>
  </w:style>
  <w:style w:type="character" w:styleId="FootnoteReference">
    <w:name w:val="footnote reference"/>
    <w:aliases w:val="4_G"/>
    <w:basedOn w:val="DefaultParagraphFont"/>
    <w:link w:val="4GCharChar"/>
    <w:unhideWhenUsed/>
    <w:rsid w:val="005D1256"/>
    <w:rPr>
      <w:vertAlign w:val="superscript"/>
    </w:rPr>
  </w:style>
  <w:style w:type="paragraph" w:customStyle="1" w:styleId="SingleTxtG">
    <w:name w:val="_ Single Txt_G"/>
    <w:basedOn w:val="Normal"/>
    <w:qFormat/>
    <w:rsid w:val="005D1256"/>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paragraph" w:customStyle="1" w:styleId="4GCharChar">
    <w:name w:val="4_G Char Char"/>
    <w:basedOn w:val="Normal"/>
    <w:link w:val="FootnoteReference"/>
    <w:rsid w:val="005D1256"/>
    <w:pPr>
      <w:autoSpaceDE w:val="0"/>
      <w:autoSpaceDN w:val="0"/>
      <w:spacing w:line="240" w:lineRule="exact"/>
      <w:jc w:val="both"/>
    </w:pPr>
    <w:rPr>
      <w:vertAlign w:val="superscript"/>
    </w:rPr>
  </w:style>
  <w:style w:type="character" w:styleId="Hyperlink">
    <w:name w:val="Hyperlink"/>
    <w:basedOn w:val="DefaultParagraphFont"/>
    <w:uiPriority w:val="99"/>
    <w:unhideWhenUsed/>
    <w:rsid w:val="00E524F6"/>
    <w:rPr>
      <w:color w:val="0563C1" w:themeColor="hyperlink"/>
      <w:u w:val="single"/>
    </w:rPr>
  </w:style>
  <w:style w:type="character" w:styleId="FollowedHyperlink">
    <w:name w:val="FollowedHyperlink"/>
    <w:basedOn w:val="DefaultParagraphFont"/>
    <w:uiPriority w:val="99"/>
    <w:semiHidden/>
    <w:unhideWhenUsed/>
    <w:rsid w:val="00E524F6"/>
    <w:rPr>
      <w:color w:val="954F72" w:themeColor="followedHyperlink"/>
      <w:u w:val="single"/>
    </w:rPr>
  </w:style>
  <w:style w:type="paragraph" w:styleId="ListParagraph">
    <w:name w:val="List Paragraph"/>
    <w:basedOn w:val="Normal"/>
    <w:uiPriority w:val="34"/>
    <w:qFormat/>
    <w:rsid w:val="00F9794C"/>
    <w:pPr>
      <w:ind w:left="720"/>
      <w:contextualSpacing/>
    </w:pPr>
  </w:style>
  <w:style w:type="paragraph" w:styleId="Header">
    <w:name w:val="header"/>
    <w:basedOn w:val="Normal"/>
    <w:link w:val="HeaderChar"/>
    <w:uiPriority w:val="99"/>
    <w:unhideWhenUsed/>
    <w:rsid w:val="00844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ECF"/>
  </w:style>
  <w:style w:type="paragraph" w:styleId="Footer">
    <w:name w:val="footer"/>
    <w:basedOn w:val="Normal"/>
    <w:link w:val="FooterChar"/>
    <w:uiPriority w:val="99"/>
    <w:unhideWhenUsed/>
    <w:rsid w:val="00844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ECF"/>
  </w:style>
  <w:style w:type="character" w:customStyle="1" w:styleId="sw">
    <w:name w:val="sw"/>
    <w:basedOn w:val="DefaultParagraphFont"/>
    <w:rsid w:val="00E56837"/>
  </w:style>
  <w:style w:type="paragraph" w:styleId="NormalWeb">
    <w:name w:val="Normal (Web)"/>
    <w:basedOn w:val="Normal"/>
    <w:uiPriority w:val="99"/>
    <w:unhideWhenUsed/>
    <w:rsid w:val="003577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64A70"/>
    <w:rPr>
      <w:sz w:val="16"/>
      <w:szCs w:val="16"/>
    </w:rPr>
  </w:style>
  <w:style w:type="paragraph" w:styleId="CommentText">
    <w:name w:val="annotation text"/>
    <w:basedOn w:val="Normal"/>
    <w:link w:val="CommentTextChar"/>
    <w:uiPriority w:val="99"/>
    <w:semiHidden/>
    <w:unhideWhenUsed/>
    <w:rsid w:val="00B64A70"/>
    <w:pPr>
      <w:spacing w:line="240" w:lineRule="auto"/>
    </w:pPr>
    <w:rPr>
      <w:sz w:val="20"/>
      <w:szCs w:val="20"/>
    </w:rPr>
  </w:style>
  <w:style w:type="character" w:customStyle="1" w:styleId="CommentTextChar">
    <w:name w:val="Comment Text Char"/>
    <w:basedOn w:val="DefaultParagraphFont"/>
    <w:link w:val="CommentText"/>
    <w:uiPriority w:val="99"/>
    <w:semiHidden/>
    <w:rsid w:val="00B64A70"/>
    <w:rPr>
      <w:sz w:val="20"/>
      <w:szCs w:val="20"/>
    </w:rPr>
  </w:style>
  <w:style w:type="paragraph" w:styleId="CommentSubject">
    <w:name w:val="annotation subject"/>
    <w:basedOn w:val="CommentText"/>
    <w:next w:val="CommentText"/>
    <w:link w:val="CommentSubjectChar"/>
    <w:uiPriority w:val="99"/>
    <w:semiHidden/>
    <w:unhideWhenUsed/>
    <w:rsid w:val="00B64A70"/>
    <w:rPr>
      <w:b/>
      <w:bCs/>
    </w:rPr>
  </w:style>
  <w:style w:type="character" w:customStyle="1" w:styleId="CommentSubjectChar">
    <w:name w:val="Comment Subject Char"/>
    <w:basedOn w:val="CommentTextChar"/>
    <w:link w:val="CommentSubject"/>
    <w:uiPriority w:val="99"/>
    <w:semiHidden/>
    <w:rsid w:val="00B64A70"/>
    <w:rPr>
      <w:b/>
      <w:bCs/>
      <w:sz w:val="20"/>
      <w:szCs w:val="20"/>
    </w:rPr>
  </w:style>
  <w:style w:type="paragraph" w:styleId="BalloonText">
    <w:name w:val="Balloon Text"/>
    <w:basedOn w:val="Normal"/>
    <w:link w:val="BalloonTextChar"/>
    <w:uiPriority w:val="99"/>
    <w:semiHidden/>
    <w:unhideWhenUsed/>
    <w:rsid w:val="00B64A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4A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87631">
      <w:bodyDiv w:val="1"/>
      <w:marLeft w:val="0"/>
      <w:marRight w:val="0"/>
      <w:marTop w:val="0"/>
      <w:marBottom w:val="0"/>
      <w:divBdr>
        <w:top w:val="none" w:sz="0" w:space="0" w:color="auto"/>
        <w:left w:val="none" w:sz="0" w:space="0" w:color="auto"/>
        <w:bottom w:val="none" w:sz="0" w:space="0" w:color="auto"/>
        <w:right w:val="none" w:sz="0" w:space="0" w:color="auto"/>
      </w:divBdr>
    </w:div>
    <w:div w:id="230389960">
      <w:bodyDiv w:val="1"/>
      <w:marLeft w:val="0"/>
      <w:marRight w:val="0"/>
      <w:marTop w:val="0"/>
      <w:marBottom w:val="0"/>
      <w:divBdr>
        <w:top w:val="none" w:sz="0" w:space="0" w:color="auto"/>
        <w:left w:val="none" w:sz="0" w:space="0" w:color="auto"/>
        <w:bottom w:val="none" w:sz="0" w:space="0" w:color="auto"/>
        <w:right w:val="none" w:sz="0" w:space="0" w:color="auto"/>
      </w:divBdr>
      <w:divsChild>
        <w:div w:id="257565227">
          <w:marLeft w:val="0"/>
          <w:marRight w:val="0"/>
          <w:marTop w:val="0"/>
          <w:marBottom w:val="0"/>
          <w:divBdr>
            <w:top w:val="none" w:sz="0" w:space="0" w:color="auto"/>
            <w:left w:val="none" w:sz="0" w:space="0" w:color="auto"/>
            <w:bottom w:val="none" w:sz="0" w:space="0" w:color="auto"/>
            <w:right w:val="none" w:sz="0" w:space="0" w:color="auto"/>
          </w:divBdr>
        </w:div>
        <w:div w:id="1552380439">
          <w:marLeft w:val="0"/>
          <w:marRight w:val="0"/>
          <w:marTop w:val="0"/>
          <w:marBottom w:val="0"/>
          <w:divBdr>
            <w:top w:val="none" w:sz="0" w:space="0" w:color="auto"/>
            <w:left w:val="none" w:sz="0" w:space="0" w:color="auto"/>
            <w:bottom w:val="none" w:sz="0" w:space="0" w:color="auto"/>
            <w:right w:val="none" w:sz="0" w:space="0" w:color="auto"/>
          </w:divBdr>
        </w:div>
        <w:div w:id="330916591">
          <w:marLeft w:val="0"/>
          <w:marRight w:val="0"/>
          <w:marTop w:val="0"/>
          <w:marBottom w:val="0"/>
          <w:divBdr>
            <w:top w:val="none" w:sz="0" w:space="0" w:color="auto"/>
            <w:left w:val="none" w:sz="0" w:space="0" w:color="auto"/>
            <w:bottom w:val="none" w:sz="0" w:space="0" w:color="auto"/>
            <w:right w:val="none" w:sz="0" w:space="0" w:color="auto"/>
          </w:divBdr>
        </w:div>
        <w:div w:id="557595185">
          <w:marLeft w:val="0"/>
          <w:marRight w:val="0"/>
          <w:marTop w:val="0"/>
          <w:marBottom w:val="0"/>
          <w:divBdr>
            <w:top w:val="none" w:sz="0" w:space="0" w:color="auto"/>
            <w:left w:val="none" w:sz="0" w:space="0" w:color="auto"/>
            <w:bottom w:val="none" w:sz="0" w:space="0" w:color="auto"/>
            <w:right w:val="none" w:sz="0" w:space="0" w:color="auto"/>
          </w:divBdr>
        </w:div>
      </w:divsChild>
    </w:div>
    <w:div w:id="342318600">
      <w:bodyDiv w:val="1"/>
      <w:marLeft w:val="0"/>
      <w:marRight w:val="0"/>
      <w:marTop w:val="0"/>
      <w:marBottom w:val="0"/>
      <w:divBdr>
        <w:top w:val="none" w:sz="0" w:space="0" w:color="auto"/>
        <w:left w:val="none" w:sz="0" w:space="0" w:color="auto"/>
        <w:bottom w:val="none" w:sz="0" w:space="0" w:color="auto"/>
        <w:right w:val="none" w:sz="0" w:space="0" w:color="auto"/>
      </w:divBdr>
      <w:divsChild>
        <w:div w:id="1973241863">
          <w:marLeft w:val="0"/>
          <w:marRight w:val="0"/>
          <w:marTop w:val="0"/>
          <w:marBottom w:val="0"/>
          <w:divBdr>
            <w:top w:val="none" w:sz="0" w:space="0" w:color="auto"/>
            <w:left w:val="none" w:sz="0" w:space="0" w:color="auto"/>
            <w:bottom w:val="none" w:sz="0" w:space="0" w:color="auto"/>
            <w:right w:val="none" w:sz="0" w:space="0" w:color="auto"/>
          </w:divBdr>
        </w:div>
        <w:div w:id="1647472186">
          <w:marLeft w:val="0"/>
          <w:marRight w:val="0"/>
          <w:marTop w:val="0"/>
          <w:marBottom w:val="0"/>
          <w:divBdr>
            <w:top w:val="none" w:sz="0" w:space="0" w:color="auto"/>
            <w:left w:val="none" w:sz="0" w:space="0" w:color="auto"/>
            <w:bottom w:val="none" w:sz="0" w:space="0" w:color="auto"/>
            <w:right w:val="none" w:sz="0" w:space="0" w:color="auto"/>
          </w:divBdr>
        </w:div>
        <w:div w:id="1603609623">
          <w:marLeft w:val="0"/>
          <w:marRight w:val="0"/>
          <w:marTop w:val="0"/>
          <w:marBottom w:val="0"/>
          <w:divBdr>
            <w:top w:val="none" w:sz="0" w:space="0" w:color="auto"/>
            <w:left w:val="none" w:sz="0" w:space="0" w:color="auto"/>
            <w:bottom w:val="none" w:sz="0" w:space="0" w:color="auto"/>
            <w:right w:val="none" w:sz="0" w:space="0" w:color="auto"/>
          </w:divBdr>
        </w:div>
      </w:divsChild>
    </w:div>
    <w:div w:id="392630711">
      <w:bodyDiv w:val="1"/>
      <w:marLeft w:val="0"/>
      <w:marRight w:val="0"/>
      <w:marTop w:val="0"/>
      <w:marBottom w:val="0"/>
      <w:divBdr>
        <w:top w:val="none" w:sz="0" w:space="0" w:color="auto"/>
        <w:left w:val="none" w:sz="0" w:space="0" w:color="auto"/>
        <w:bottom w:val="none" w:sz="0" w:space="0" w:color="auto"/>
        <w:right w:val="none" w:sz="0" w:space="0" w:color="auto"/>
      </w:divBdr>
      <w:divsChild>
        <w:div w:id="1209877952">
          <w:marLeft w:val="0"/>
          <w:marRight w:val="0"/>
          <w:marTop w:val="0"/>
          <w:marBottom w:val="0"/>
          <w:divBdr>
            <w:top w:val="none" w:sz="0" w:space="0" w:color="auto"/>
            <w:left w:val="none" w:sz="0" w:space="0" w:color="auto"/>
            <w:bottom w:val="none" w:sz="0" w:space="0" w:color="auto"/>
            <w:right w:val="none" w:sz="0" w:space="0" w:color="auto"/>
          </w:divBdr>
        </w:div>
        <w:div w:id="1971980923">
          <w:marLeft w:val="0"/>
          <w:marRight w:val="0"/>
          <w:marTop w:val="0"/>
          <w:marBottom w:val="0"/>
          <w:divBdr>
            <w:top w:val="none" w:sz="0" w:space="0" w:color="auto"/>
            <w:left w:val="none" w:sz="0" w:space="0" w:color="auto"/>
            <w:bottom w:val="none" w:sz="0" w:space="0" w:color="auto"/>
            <w:right w:val="none" w:sz="0" w:space="0" w:color="auto"/>
          </w:divBdr>
        </w:div>
        <w:div w:id="535892987">
          <w:marLeft w:val="0"/>
          <w:marRight w:val="0"/>
          <w:marTop w:val="0"/>
          <w:marBottom w:val="0"/>
          <w:divBdr>
            <w:top w:val="none" w:sz="0" w:space="0" w:color="auto"/>
            <w:left w:val="none" w:sz="0" w:space="0" w:color="auto"/>
            <w:bottom w:val="none" w:sz="0" w:space="0" w:color="auto"/>
            <w:right w:val="none" w:sz="0" w:space="0" w:color="auto"/>
          </w:divBdr>
        </w:div>
      </w:divsChild>
    </w:div>
    <w:div w:id="436757688">
      <w:bodyDiv w:val="1"/>
      <w:marLeft w:val="0"/>
      <w:marRight w:val="0"/>
      <w:marTop w:val="0"/>
      <w:marBottom w:val="0"/>
      <w:divBdr>
        <w:top w:val="none" w:sz="0" w:space="0" w:color="auto"/>
        <w:left w:val="none" w:sz="0" w:space="0" w:color="auto"/>
        <w:bottom w:val="none" w:sz="0" w:space="0" w:color="auto"/>
        <w:right w:val="none" w:sz="0" w:space="0" w:color="auto"/>
      </w:divBdr>
      <w:divsChild>
        <w:div w:id="610674787">
          <w:marLeft w:val="0"/>
          <w:marRight w:val="0"/>
          <w:marTop w:val="0"/>
          <w:marBottom w:val="0"/>
          <w:divBdr>
            <w:top w:val="none" w:sz="0" w:space="0" w:color="auto"/>
            <w:left w:val="none" w:sz="0" w:space="0" w:color="auto"/>
            <w:bottom w:val="none" w:sz="0" w:space="0" w:color="auto"/>
            <w:right w:val="none" w:sz="0" w:space="0" w:color="auto"/>
          </w:divBdr>
        </w:div>
        <w:div w:id="1745838671">
          <w:marLeft w:val="0"/>
          <w:marRight w:val="0"/>
          <w:marTop w:val="0"/>
          <w:marBottom w:val="0"/>
          <w:divBdr>
            <w:top w:val="none" w:sz="0" w:space="0" w:color="auto"/>
            <w:left w:val="none" w:sz="0" w:space="0" w:color="auto"/>
            <w:bottom w:val="none" w:sz="0" w:space="0" w:color="auto"/>
            <w:right w:val="none" w:sz="0" w:space="0" w:color="auto"/>
          </w:divBdr>
        </w:div>
        <w:div w:id="221409406">
          <w:marLeft w:val="0"/>
          <w:marRight w:val="0"/>
          <w:marTop w:val="0"/>
          <w:marBottom w:val="0"/>
          <w:divBdr>
            <w:top w:val="none" w:sz="0" w:space="0" w:color="auto"/>
            <w:left w:val="none" w:sz="0" w:space="0" w:color="auto"/>
            <w:bottom w:val="none" w:sz="0" w:space="0" w:color="auto"/>
            <w:right w:val="none" w:sz="0" w:space="0" w:color="auto"/>
          </w:divBdr>
        </w:div>
        <w:div w:id="837161532">
          <w:marLeft w:val="0"/>
          <w:marRight w:val="0"/>
          <w:marTop w:val="0"/>
          <w:marBottom w:val="0"/>
          <w:divBdr>
            <w:top w:val="none" w:sz="0" w:space="0" w:color="auto"/>
            <w:left w:val="none" w:sz="0" w:space="0" w:color="auto"/>
            <w:bottom w:val="none" w:sz="0" w:space="0" w:color="auto"/>
            <w:right w:val="none" w:sz="0" w:space="0" w:color="auto"/>
          </w:divBdr>
        </w:div>
        <w:div w:id="274097196">
          <w:marLeft w:val="0"/>
          <w:marRight w:val="0"/>
          <w:marTop w:val="0"/>
          <w:marBottom w:val="0"/>
          <w:divBdr>
            <w:top w:val="none" w:sz="0" w:space="0" w:color="auto"/>
            <w:left w:val="none" w:sz="0" w:space="0" w:color="auto"/>
            <w:bottom w:val="none" w:sz="0" w:space="0" w:color="auto"/>
            <w:right w:val="none" w:sz="0" w:space="0" w:color="auto"/>
          </w:divBdr>
        </w:div>
      </w:divsChild>
    </w:div>
    <w:div w:id="508329844">
      <w:bodyDiv w:val="1"/>
      <w:marLeft w:val="0"/>
      <w:marRight w:val="0"/>
      <w:marTop w:val="0"/>
      <w:marBottom w:val="0"/>
      <w:divBdr>
        <w:top w:val="none" w:sz="0" w:space="0" w:color="auto"/>
        <w:left w:val="none" w:sz="0" w:space="0" w:color="auto"/>
        <w:bottom w:val="none" w:sz="0" w:space="0" w:color="auto"/>
        <w:right w:val="none" w:sz="0" w:space="0" w:color="auto"/>
      </w:divBdr>
      <w:divsChild>
        <w:div w:id="857474842">
          <w:marLeft w:val="0"/>
          <w:marRight w:val="0"/>
          <w:marTop w:val="0"/>
          <w:marBottom w:val="0"/>
          <w:divBdr>
            <w:top w:val="none" w:sz="0" w:space="0" w:color="auto"/>
            <w:left w:val="none" w:sz="0" w:space="0" w:color="auto"/>
            <w:bottom w:val="none" w:sz="0" w:space="0" w:color="auto"/>
            <w:right w:val="none" w:sz="0" w:space="0" w:color="auto"/>
          </w:divBdr>
        </w:div>
        <w:div w:id="1867254997">
          <w:marLeft w:val="0"/>
          <w:marRight w:val="0"/>
          <w:marTop w:val="0"/>
          <w:marBottom w:val="0"/>
          <w:divBdr>
            <w:top w:val="none" w:sz="0" w:space="0" w:color="auto"/>
            <w:left w:val="none" w:sz="0" w:space="0" w:color="auto"/>
            <w:bottom w:val="none" w:sz="0" w:space="0" w:color="auto"/>
            <w:right w:val="none" w:sz="0" w:space="0" w:color="auto"/>
          </w:divBdr>
        </w:div>
        <w:div w:id="1191797881">
          <w:marLeft w:val="0"/>
          <w:marRight w:val="0"/>
          <w:marTop w:val="0"/>
          <w:marBottom w:val="0"/>
          <w:divBdr>
            <w:top w:val="none" w:sz="0" w:space="0" w:color="auto"/>
            <w:left w:val="none" w:sz="0" w:space="0" w:color="auto"/>
            <w:bottom w:val="none" w:sz="0" w:space="0" w:color="auto"/>
            <w:right w:val="none" w:sz="0" w:space="0" w:color="auto"/>
          </w:divBdr>
        </w:div>
      </w:divsChild>
    </w:div>
    <w:div w:id="590238209">
      <w:bodyDiv w:val="1"/>
      <w:marLeft w:val="0"/>
      <w:marRight w:val="0"/>
      <w:marTop w:val="0"/>
      <w:marBottom w:val="0"/>
      <w:divBdr>
        <w:top w:val="none" w:sz="0" w:space="0" w:color="auto"/>
        <w:left w:val="none" w:sz="0" w:space="0" w:color="auto"/>
        <w:bottom w:val="none" w:sz="0" w:space="0" w:color="auto"/>
        <w:right w:val="none" w:sz="0" w:space="0" w:color="auto"/>
      </w:divBdr>
      <w:divsChild>
        <w:div w:id="2079009035">
          <w:marLeft w:val="0"/>
          <w:marRight w:val="0"/>
          <w:marTop w:val="0"/>
          <w:marBottom w:val="0"/>
          <w:divBdr>
            <w:top w:val="none" w:sz="0" w:space="0" w:color="auto"/>
            <w:left w:val="none" w:sz="0" w:space="0" w:color="auto"/>
            <w:bottom w:val="none" w:sz="0" w:space="0" w:color="auto"/>
            <w:right w:val="none" w:sz="0" w:space="0" w:color="auto"/>
          </w:divBdr>
        </w:div>
        <w:div w:id="344673208">
          <w:marLeft w:val="0"/>
          <w:marRight w:val="0"/>
          <w:marTop w:val="0"/>
          <w:marBottom w:val="0"/>
          <w:divBdr>
            <w:top w:val="none" w:sz="0" w:space="0" w:color="auto"/>
            <w:left w:val="none" w:sz="0" w:space="0" w:color="auto"/>
            <w:bottom w:val="none" w:sz="0" w:space="0" w:color="auto"/>
            <w:right w:val="none" w:sz="0" w:space="0" w:color="auto"/>
          </w:divBdr>
        </w:div>
        <w:div w:id="1962295181">
          <w:marLeft w:val="0"/>
          <w:marRight w:val="0"/>
          <w:marTop w:val="0"/>
          <w:marBottom w:val="0"/>
          <w:divBdr>
            <w:top w:val="none" w:sz="0" w:space="0" w:color="auto"/>
            <w:left w:val="none" w:sz="0" w:space="0" w:color="auto"/>
            <w:bottom w:val="none" w:sz="0" w:space="0" w:color="auto"/>
            <w:right w:val="none" w:sz="0" w:space="0" w:color="auto"/>
          </w:divBdr>
        </w:div>
      </w:divsChild>
    </w:div>
    <w:div w:id="638460428">
      <w:bodyDiv w:val="1"/>
      <w:marLeft w:val="0"/>
      <w:marRight w:val="0"/>
      <w:marTop w:val="0"/>
      <w:marBottom w:val="0"/>
      <w:divBdr>
        <w:top w:val="none" w:sz="0" w:space="0" w:color="auto"/>
        <w:left w:val="none" w:sz="0" w:space="0" w:color="auto"/>
        <w:bottom w:val="none" w:sz="0" w:space="0" w:color="auto"/>
        <w:right w:val="none" w:sz="0" w:space="0" w:color="auto"/>
      </w:divBdr>
    </w:div>
    <w:div w:id="730883062">
      <w:bodyDiv w:val="1"/>
      <w:marLeft w:val="0"/>
      <w:marRight w:val="0"/>
      <w:marTop w:val="0"/>
      <w:marBottom w:val="0"/>
      <w:divBdr>
        <w:top w:val="none" w:sz="0" w:space="0" w:color="auto"/>
        <w:left w:val="none" w:sz="0" w:space="0" w:color="auto"/>
        <w:bottom w:val="none" w:sz="0" w:space="0" w:color="auto"/>
        <w:right w:val="none" w:sz="0" w:space="0" w:color="auto"/>
      </w:divBdr>
    </w:div>
    <w:div w:id="824396715">
      <w:bodyDiv w:val="1"/>
      <w:marLeft w:val="0"/>
      <w:marRight w:val="0"/>
      <w:marTop w:val="0"/>
      <w:marBottom w:val="0"/>
      <w:divBdr>
        <w:top w:val="none" w:sz="0" w:space="0" w:color="auto"/>
        <w:left w:val="none" w:sz="0" w:space="0" w:color="auto"/>
        <w:bottom w:val="none" w:sz="0" w:space="0" w:color="auto"/>
        <w:right w:val="none" w:sz="0" w:space="0" w:color="auto"/>
      </w:divBdr>
      <w:divsChild>
        <w:div w:id="447164564">
          <w:marLeft w:val="0"/>
          <w:marRight w:val="0"/>
          <w:marTop w:val="0"/>
          <w:marBottom w:val="0"/>
          <w:divBdr>
            <w:top w:val="none" w:sz="0" w:space="0" w:color="auto"/>
            <w:left w:val="none" w:sz="0" w:space="0" w:color="auto"/>
            <w:bottom w:val="none" w:sz="0" w:space="0" w:color="auto"/>
            <w:right w:val="none" w:sz="0" w:space="0" w:color="auto"/>
          </w:divBdr>
        </w:div>
        <w:div w:id="704212317">
          <w:marLeft w:val="0"/>
          <w:marRight w:val="0"/>
          <w:marTop w:val="0"/>
          <w:marBottom w:val="0"/>
          <w:divBdr>
            <w:top w:val="none" w:sz="0" w:space="0" w:color="auto"/>
            <w:left w:val="none" w:sz="0" w:space="0" w:color="auto"/>
            <w:bottom w:val="none" w:sz="0" w:space="0" w:color="auto"/>
            <w:right w:val="none" w:sz="0" w:space="0" w:color="auto"/>
          </w:divBdr>
        </w:div>
      </w:divsChild>
    </w:div>
    <w:div w:id="1094787855">
      <w:bodyDiv w:val="1"/>
      <w:marLeft w:val="0"/>
      <w:marRight w:val="0"/>
      <w:marTop w:val="0"/>
      <w:marBottom w:val="0"/>
      <w:divBdr>
        <w:top w:val="none" w:sz="0" w:space="0" w:color="auto"/>
        <w:left w:val="none" w:sz="0" w:space="0" w:color="auto"/>
        <w:bottom w:val="none" w:sz="0" w:space="0" w:color="auto"/>
        <w:right w:val="none" w:sz="0" w:space="0" w:color="auto"/>
      </w:divBdr>
      <w:divsChild>
        <w:div w:id="162085601">
          <w:marLeft w:val="0"/>
          <w:marRight w:val="0"/>
          <w:marTop w:val="0"/>
          <w:marBottom w:val="0"/>
          <w:divBdr>
            <w:top w:val="none" w:sz="0" w:space="0" w:color="auto"/>
            <w:left w:val="none" w:sz="0" w:space="0" w:color="auto"/>
            <w:bottom w:val="none" w:sz="0" w:space="0" w:color="auto"/>
            <w:right w:val="none" w:sz="0" w:space="0" w:color="auto"/>
          </w:divBdr>
        </w:div>
        <w:div w:id="1953004004">
          <w:marLeft w:val="0"/>
          <w:marRight w:val="0"/>
          <w:marTop w:val="0"/>
          <w:marBottom w:val="0"/>
          <w:divBdr>
            <w:top w:val="none" w:sz="0" w:space="0" w:color="auto"/>
            <w:left w:val="none" w:sz="0" w:space="0" w:color="auto"/>
            <w:bottom w:val="none" w:sz="0" w:space="0" w:color="auto"/>
            <w:right w:val="none" w:sz="0" w:space="0" w:color="auto"/>
          </w:divBdr>
        </w:div>
      </w:divsChild>
    </w:div>
    <w:div w:id="1750156369">
      <w:bodyDiv w:val="1"/>
      <w:marLeft w:val="0"/>
      <w:marRight w:val="0"/>
      <w:marTop w:val="0"/>
      <w:marBottom w:val="0"/>
      <w:divBdr>
        <w:top w:val="none" w:sz="0" w:space="0" w:color="auto"/>
        <w:left w:val="none" w:sz="0" w:space="0" w:color="auto"/>
        <w:bottom w:val="none" w:sz="0" w:space="0" w:color="auto"/>
        <w:right w:val="none" w:sz="0" w:space="0" w:color="auto"/>
      </w:divBdr>
      <w:divsChild>
        <w:div w:id="159389543">
          <w:marLeft w:val="0"/>
          <w:marRight w:val="0"/>
          <w:marTop w:val="0"/>
          <w:marBottom w:val="0"/>
          <w:divBdr>
            <w:top w:val="none" w:sz="0" w:space="0" w:color="auto"/>
            <w:left w:val="none" w:sz="0" w:space="0" w:color="auto"/>
            <w:bottom w:val="none" w:sz="0" w:space="0" w:color="auto"/>
            <w:right w:val="none" w:sz="0" w:space="0" w:color="auto"/>
          </w:divBdr>
        </w:div>
        <w:div w:id="1590236939">
          <w:marLeft w:val="0"/>
          <w:marRight w:val="0"/>
          <w:marTop w:val="0"/>
          <w:marBottom w:val="0"/>
          <w:divBdr>
            <w:top w:val="none" w:sz="0" w:space="0" w:color="auto"/>
            <w:left w:val="none" w:sz="0" w:space="0" w:color="auto"/>
            <w:bottom w:val="none" w:sz="0" w:space="0" w:color="auto"/>
            <w:right w:val="none" w:sz="0" w:space="0" w:color="auto"/>
          </w:divBdr>
        </w:div>
        <w:div w:id="514003532">
          <w:marLeft w:val="0"/>
          <w:marRight w:val="0"/>
          <w:marTop w:val="0"/>
          <w:marBottom w:val="0"/>
          <w:divBdr>
            <w:top w:val="none" w:sz="0" w:space="0" w:color="auto"/>
            <w:left w:val="none" w:sz="0" w:space="0" w:color="auto"/>
            <w:bottom w:val="none" w:sz="0" w:space="0" w:color="auto"/>
            <w:right w:val="none" w:sz="0" w:space="0" w:color="auto"/>
          </w:divBdr>
        </w:div>
      </w:divsChild>
    </w:div>
    <w:div w:id="1792478995">
      <w:bodyDiv w:val="1"/>
      <w:marLeft w:val="0"/>
      <w:marRight w:val="0"/>
      <w:marTop w:val="0"/>
      <w:marBottom w:val="0"/>
      <w:divBdr>
        <w:top w:val="none" w:sz="0" w:space="0" w:color="auto"/>
        <w:left w:val="none" w:sz="0" w:space="0" w:color="auto"/>
        <w:bottom w:val="none" w:sz="0" w:space="0" w:color="auto"/>
        <w:right w:val="none" w:sz="0" w:space="0" w:color="auto"/>
      </w:divBdr>
      <w:divsChild>
        <w:div w:id="199558496">
          <w:marLeft w:val="0"/>
          <w:marRight w:val="0"/>
          <w:marTop w:val="0"/>
          <w:marBottom w:val="0"/>
          <w:divBdr>
            <w:top w:val="none" w:sz="0" w:space="0" w:color="auto"/>
            <w:left w:val="none" w:sz="0" w:space="0" w:color="auto"/>
            <w:bottom w:val="none" w:sz="0" w:space="0" w:color="auto"/>
            <w:right w:val="none" w:sz="0" w:space="0" w:color="auto"/>
          </w:divBdr>
        </w:div>
        <w:div w:id="821772847">
          <w:marLeft w:val="0"/>
          <w:marRight w:val="0"/>
          <w:marTop w:val="0"/>
          <w:marBottom w:val="0"/>
          <w:divBdr>
            <w:top w:val="none" w:sz="0" w:space="0" w:color="auto"/>
            <w:left w:val="none" w:sz="0" w:space="0" w:color="auto"/>
            <w:bottom w:val="none" w:sz="0" w:space="0" w:color="auto"/>
            <w:right w:val="none" w:sz="0" w:space="0" w:color="auto"/>
          </w:divBdr>
        </w:div>
        <w:div w:id="330107928">
          <w:marLeft w:val="0"/>
          <w:marRight w:val="0"/>
          <w:marTop w:val="0"/>
          <w:marBottom w:val="0"/>
          <w:divBdr>
            <w:top w:val="none" w:sz="0" w:space="0" w:color="auto"/>
            <w:left w:val="none" w:sz="0" w:space="0" w:color="auto"/>
            <w:bottom w:val="none" w:sz="0" w:space="0" w:color="auto"/>
            <w:right w:val="none" w:sz="0" w:space="0" w:color="auto"/>
          </w:divBdr>
        </w:div>
        <w:div w:id="2120101407">
          <w:marLeft w:val="0"/>
          <w:marRight w:val="0"/>
          <w:marTop w:val="0"/>
          <w:marBottom w:val="0"/>
          <w:divBdr>
            <w:top w:val="none" w:sz="0" w:space="0" w:color="auto"/>
            <w:left w:val="none" w:sz="0" w:space="0" w:color="auto"/>
            <w:bottom w:val="none" w:sz="0" w:space="0" w:color="auto"/>
            <w:right w:val="none" w:sz="0" w:space="0" w:color="auto"/>
          </w:divBdr>
        </w:div>
      </w:divsChild>
    </w:div>
    <w:div w:id="1900479031">
      <w:bodyDiv w:val="1"/>
      <w:marLeft w:val="0"/>
      <w:marRight w:val="0"/>
      <w:marTop w:val="0"/>
      <w:marBottom w:val="0"/>
      <w:divBdr>
        <w:top w:val="none" w:sz="0" w:space="0" w:color="auto"/>
        <w:left w:val="none" w:sz="0" w:space="0" w:color="auto"/>
        <w:bottom w:val="none" w:sz="0" w:space="0" w:color="auto"/>
        <w:right w:val="none" w:sz="0" w:space="0" w:color="auto"/>
      </w:divBdr>
      <w:divsChild>
        <w:div w:id="1389842381">
          <w:marLeft w:val="0"/>
          <w:marRight w:val="0"/>
          <w:marTop w:val="0"/>
          <w:marBottom w:val="0"/>
          <w:divBdr>
            <w:top w:val="none" w:sz="0" w:space="0" w:color="auto"/>
            <w:left w:val="none" w:sz="0" w:space="0" w:color="auto"/>
            <w:bottom w:val="none" w:sz="0" w:space="0" w:color="auto"/>
            <w:right w:val="none" w:sz="0" w:space="0" w:color="auto"/>
          </w:divBdr>
        </w:div>
        <w:div w:id="484929920">
          <w:marLeft w:val="0"/>
          <w:marRight w:val="0"/>
          <w:marTop w:val="0"/>
          <w:marBottom w:val="0"/>
          <w:divBdr>
            <w:top w:val="none" w:sz="0" w:space="0" w:color="auto"/>
            <w:left w:val="none" w:sz="0" w:space="0" w:color="auto"/>
            <w:bottom w:val="none" w:sz="0" w:space="0" w:color="auto"/>
            <w:right w:val="none" w:sz="0" w:space="0" w:color="auto"/>
          </w:divBdr>
        </w:div>
      </w:divsChild>
    </w:div>
    <w:div w:id="1994411306">
      <w:bodyDiv w:val="1"/>
      <w:marLeft w:val="0"/>
      <w:marRight w:val="0"/>
      <w:marTop w:val="0"/>
      <w:marBottom w:val="0"/>
      <w:divBdr>
        <w:top w:val="none" w:sz="0" w:space="0" w:color="auto"/>
        <w:left w:val="none" w:sz="0" w:space="0" w:color="auto"/>
        <w:bottom w:val="none" w:sz="0" w:space="0" w:color="auto"/>
        <w:right w:val="none" w:sz="0" w:space="0" w:color="auto"/>
      </w:divBdr>
      <w:divsChild>
        <w:div w:id="1213688228">
          <w:marLeft w:val="0"/>
          <w:marRight w:val="0"/>
          <w:marTop w:val="0"/>
          <w:marBottom w:val="0"/>
          <w:divBdr>
            <w:top w:val="none" w:sz="0" w:space="0" w:color="auto"/>
            <w:left w:val="none" w:sz="0" w:space="0" w:color="auto"/>
            <w:bottom w:val="none" w:sz="0" w:space="0" w:color="auto"/>
            <w:right w:val="none" w:sz="0" w:space="0" w:color="auto"/>
          </w:divBdr>
        </w:div>
        <w:div w:id="18065071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HCHR-CCPR@un.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59041-34C4-421D-A698-D67C62EDD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3496</Words>
  <Characters>19931</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dc:creator>
  <cp:keywords/>
  <dc:description/>
  <cp:lastModifiedBy>Gotzon Onandia Zarrabe</cp:lastModifiedBy>
  <cp:revision>2</cp:revision>
  <dcterms:created xsi:type="dcterms:W3CDTF">2023-09-15T09:08:00Z</dcterms:created>
  <dcterms:modified xsi:type="dcterms:W3CDTF">2023-09-15T09:08:00Z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26d26c3a19f3318ec8a8ed053f2a81e8136b24a305e8b89e4c62d455d0cf86ed</vt:lpwstr>
  </property>
</Properties>
</file>