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689B6" w14:textId="77777777" w:rsidR="00400766" w:rsidRDefault="00400766" w:rsidP="00400766">
      <w:pPr>
        <w:numPr>
          <w:ilvl w:val="0"/>
          <w:numId w:val="0"/>
        </w:numPr>
        <w:ind w:left="720"/>
        <w:jc w:val="center"/>
        <w:rPr>
          <w:b/>
          <w:lang w:val="en-GB"/>
        </w:rPr>
      </w:pPr>
      <w:bookmarkStart w:id="0" w:name="_GoBack"/>
      <w:bookmarkEnd w:id="0"/>
    </w:p>
    <w:p w14:paraId="0D67B03D" w14:textId="5804C41D" w:rsidR="00B44EAA" w:rsidRPr="00400766" w:rsidRDefault="00D352E1" w:rsidP="00400766">
      <w:pPr>
        <w:numPr>
          <w:ilvl w:val="0"/>
          <w:numId w:val="0"/>
        </w:numPr>
        <w:ind w:left="720"/>
        <w:jc w:val="center"/>
        <w:rPr>
          <w:b/>
          <w:lang w:val="en-GB"/>
        </w:rPr>
      </w:pPr>
      <w:r w:rsidRPr="00596552">
        <w:rPr>
          <w:b/>
          <w:lang w:val="en-GB"/>
        </w:rPr>
        <w:t>R</w:t>
      </w:r>
      <w:r w:rsidR="006D128A" w:rsidRPr="00596552">
        <w:rPr>
          <w:b/>
          <w:lang w:val="en-GB"/>
        </w:rPr>
        <w:t xml:space="preserve">esponse </w:t>
      </w:r>
      <w:r w:rsidR="00400766">
        <w:rPr>
          <w:b/>
          <w:lang w:val="en-GB"/>
        </w:rPr>
        <w:t>of</w:t>
      </w:r>
      <w:r w:rsidR="006D128A" w:rsidRPr="00596552">
        <w:rPr>
          <w:b/>
          <w:lang w:val="en-GB"/>
        </w:rPr>
        <w:t xml:space="preserve"> the Committee on Enforced Disappearances</w:t>
      </w:r>
      <w:r w:rsidR="00C6254F" w:rsidRPr="00596552">
        <w:rPr>
          <w:b/>
          <w:lang w:val="en-GB"/>
        </w:rPr>
        <w:t xml:space="preserve"> (CED)</w:t>
      </w:r>
      <w:r w:rsidR="006D128A" w:rsidRPr="00596552">
        <w:rPr>
          <w:b/>
          <w:lang w:val="en-GB"/>
        </w:rPr>
        <w:t xml:space="preserve"> </w:t>
      </w:r>
      <w:r w:rsidR="00922CC9" w:rsidRPr="00596552">
        <w:rPr>
          <w:b/>
          <w:lang w:val="en-GB"/>
        </w:rPr>
        <w:t xml:space="preserve">to the Committee </w:t>
      </w:r>
      <w:r w:rsidR="0057408A" w:rsidRPr="00596552">
        <w:rPr>
          <w:b/>
          <w:lang w:val="en-GB"/>
        </w:rPr>
        <w:t>on the Rights of Persons with Disabilities</w:t>
      </w:r>
      <w:r w:rsidR="00C6254F" w:rsidRPr="00596552">
        <w:rPr>
          <w:b/>
          <w:lang w:val="en-GB"/>
        </w:rPr>
        <w:t xml:space="preserve"> (CRPD)</w:t>
      </w:r>
      <w:r w:rsidR="00400766">
        <w:rPr>
          <w:b/>
          <w:lang w:val="en-GB"/>
        </w:rPr>
        <w:t xml:space="preserve"> on the 3 August 2021 proposal</w:t>
      </w:r>
      <w:r w:rsidR="0097373A" w:rsidRPr="00596552">
        <w:rPr>
          <w:b/>
          <w:lang w:val="en-GB"/>
        </w:rPr>
        <w:t xml:space="preserve"> for the </w:t>
      </w:r>
      <w:r w:rsidR="00400766">
        <w:rPr>
          <w:b/>
          <w:lang w:val="en-GB"/>
        </w:rPr>
        <w:t xml:space="preserve">2020 Review </w:t>
      </w:r>
    </w:p>
    <w:p w14:paraId="23071CD1" w14:textId="6D3E572A" w:rsidR="00E71E7C" w:rsidRPr="00596552" w:rsidRDefault="00D3161A" w:rsidP="0097373A">
      <w:pPr>
        <w:rPr>
          <w:lang w:val="en-GB"/>
        </w:rPr>
      </w:pPr>
      <w:r w:rsidRPr="00596552">
        <w:rPr>
          <w:lang w:val="en-GB"/>
        </w:rPr>
        <w:t>The CED</w:t>
      </w:r>
      <w:r w:rsidR="00B9564E" w:rsidRPr="00596552">
        <w:rPr>
          <w:lang w:val="en-GB"/>
        </w:rPr>
        <w:t xml:space="preserve"> would like to warmly thank </w:t>
      </w:r>
      <w:r w:rsidR="00A63C35" w:rsidRPr="00596552">
        <w:rPr>
          <w:lang w:val="en-GB"/>
        </w:rPr>
        <w:t xml:space="preserve">the CRPD for having put forward a proposal with the view to </w:t>
      </w:r>
      <w:r w:rsidR="000B5872" w:rsidRPr="00596552">
        <w:rPr>
          <w:lang w:val="en-GB"/>
        </w:rPr>
        <w:t>progressing</w:t>
      </w:r>
      <w:r w:rsidR="00A63C35" w:rsidRPr="00596552">
        <w:rPr>
          <w:lang w:val="en-GB"/>
        </w:rPr>
        <w:t xml:space="preserve"> </w:t>
      </w:r>
      <w:r w:rsidR="000B5872" w:rsidRPr="00596552">
        <w:rPr>
          <w:lang w:val="en-GB"/>
        </w:rPr>
        <w:t>towards the implementation</w:t>
      </w:r>
      <w:r w:rsidR="00BF2E1C" w:rsidRPr="00596552">
        <w:rPr>
          <w:lang w:val="en-GB"/>
        </w:rPr>
        <w:t xml:space="preserve"> of the outcomes of the 2020 review for treaty body strengthening. In particular, the Committee is grateful to the chair of the CRPD</w:t>
      </w:r>
      <w:r w:rsidR="00660573" w:rsidRPr="00596552">
        <w:rPr>
          <w:lang w:val="en-GB"/>
        </w:rPr>
        <w:t>, as chair of the 33rd meeting of the chairs of treaty bodies,</w:t>
      </w:r>
      <w:r w:rsidR="00BF2E1C" w:rsidRPr="00596552">
        <w:rPr>
          <w:lang w:val="en-GB"/>
        </w:rPr>
        <w:t xml:space="preserve"> for her </w:t>
      </w:r>
      <w:r w:rsidR="00660573" w:rsidRPr="00596552">
        <w:rPr>
          <w:lang w:val="en-GB"/>
        </w:rPr>
        <w:t xml:space="preserve">invaluable efforts in </w:t>
      </w:r>
      <w:r w:rsidR="00B2790C" w:rsidRPr="00596552">
        <w:rPr>
          <w:lang w:val="en-GB"/>
        </w:rPr>
        <w:t xml:space="preserve">trying to </w:t>
      </w:r>
      <w:r w:rsidR="00FA61F6" w:rsidRPr="00596552">
        <w:rPr>
          <w:lang w:val="en-GB"/>
        </w:rPr>
        <w:t>facilitate a consensus outcome.</w:t>
      </w:r>
    </w:p>
    <w:p w14:paraId="6F3B5FE1" w14:textId="0DE15984" w:rsidR="009D170C" w:rsidRPr="00596552" w:rsidRDefault="00E71E7C" w:rsidP="009D170C">
      <w:pPr>
        <w:rPr>
          <w:lang w:val="en-GB"/>
        </w:rPr>
      </w:pPr>
      <w:r w:rsidRPr="00596552">
        <w:rPr>
          <w:lang w:val="en-GB"/>
        </w:rPr>
        <w:t xml:space="preserve">The CED </w:t>
      </w:r>
      <w:r w:rsidR="00D954A9" w:rsidRPr="00596552">
        <w:rPr>
          <w:lang w:val="en-GB"/>
        </w:rPr>
        <w:t xml:space="preserve">agrees with the fact that, as stated in the proposal, </w:t>
      </w:r>
      <w:r w:rsidR="009D170C" w:rsidRPr="00596552">
        <w:rPr>
          <w:lang w:val="en-GB"/>
        </w:rPr>
        <w:t>“a consistent and coherent Treaty Body system requires harmonised working methods, advanced integrated digital platforms an</w:t>
      </w:r>
      <w:r w:rsidR="00F16B6C" w:rsidRPr="00596552">
        <w:rPr>
          <w:lang w:val="en-GB"/>
        </w:rPr>
        <w:t>d adequate resources and support</w:t>
      </w:r>
      <w:r w:rsidR="00772546" w:rsidRPr="00596552">
        <w:rPr>
          <w:lang w:val="en-GB"/>
        </w:rPr>
        <w:t>”; and that, at the same time, “e</w:t>
      </w:r>
      <w:r w:rsidR="009D170C" w:rsidRPr="00596552">
        <w:rPr>
          <w:lang w:val="en-GB"/>
        </w:rPr>
        <w:t>xisting working methods, digital platforms and budgeting arrangements do not respond to the need for a consistent and coherent system; they are inadequate and leave the T</w:t>
      </w:r>
      <w:r w:rsidR="000059F8" w:rsidRPr="00596552">
        <w:rPr>
          <w:lang w:val="en-GB"/>
        </w:rPr>
        <w:t>reaty Body system unsustainable</w:t>
      </w:r>
      <w:r w:rsidR="002C2EC2" w:rsidRPr="00596552">
        <w:rPr>
          <w:lang w:val="en-GB"/>
        </w:rPr>
        <w:t>”</w:t>
      </w:r>
      <w:r w:rsidR="000059F8" w:rsidRPr="00596552">
        <w:rPr>
          <w:lang w:val="en-GB"/>
        </w:rPr>
        <w:t>; and that “t</w:t>
      </w:r>
      <w:r w:rsidR="009D170C" w:rsidRPr="00596552">
        <w:rPr>
          <w:lang w:val="en-GB"/>
        </w:rPr>
        <w:t>his is exemplified by the current backlog, the inadequacy of the online interface, including for the petitions unit, and inadequate resourcing to support Treaty Body experts to fulfil their mandates.</w:t>
      </w:r>
      <w:r w:rsidR="00231198" w:rsidRPr="00596552">
        <w:rPr>
          <w:lang w:val="en-GB"/>
        </w:rPr>
        <w:t>”</w:t>
      </w:r>
      <w:r w:rsidR="009D170C" w:rsidRPr="00596552">
        <w:rPr>
          <w:lang w:val="en-GB"/>
        </w:rPr>
        <w:t xml:space="preserve"> </w:t>
      </w:r>
    </w:p>
    <w:p w14:paraId="01761D62" w14:textId="382060AC" w:rsidR="00894E4D" w:rsidRPr="00596552" w:rsidRDefault="00CA71C3" w:rsidP="00ED077A">
      <w:pPr>
        <w:rPr>
          <w:lang w:val="en-GB"/>
        </w:rPr>
      </w:pPr>
      <w:r w:rsidRPr="00596552">
        <w:rPr>
          <w:lang w:val="en-GB"/>
        </w:rPr>
        <w:t xml:space="preserve">The CED also </w:t>
      </w:r>
      <w:r w:rsidR="00E26223" w:rsidRPr="00596552">
        <w:rPr>
          <w:lang w:val="en-GB"/>
        </w:rPr>
        <w:t xml:space="preserve">recognises </w:t>
      </w:r>
      <w:r w:rsidR="00C95D4B" w:rsidRPr="00596552">
        <w:rPr>
          <w:lang w:val="en-GB"/>
        </w:rPr>
        <w:t xml:space="preserve">the need for the treaty bodies themselves to take the leadership in </w:t>
      </w:r>
      <w:r w:rsidR="00EA3245" w:rsidRPr="00596552">
        <w:rPr>
          <w:lang w:val="en-GB"/>
        </w:rPr>
        <w:t xml:space="preserve">developping </w:t>
      </w:r>
      <w:r w:rsidR="00174B87" w:rsidRPr="00596552">
        <w:rPr>
          <w:lang w:val="en-GB"/>
        </w:rPr>
        <w:t xml:space="preserve">proposals </w:t>
      </w:r>
      <w:r w:rsidR="000F2ED5" w:rsidRPr="00596552">
        <w:rPr>
          <w:lang w:val="en-GB"/>
        </w:rPr>
        <w:t>so as to conceive and implement such a consistent a</w:t>
      </w:r>
      <w:r w:rsidR="00ED077A" w:rsidRPr="00596552">
        <w:rPr>
          <w:lang w:val="en-GB"/>
        </w:rPr>
        <w:t>nd coherent Treaty Body system.</w:t>
      </w:r>
    </w:p>
    <w:p w14:paraId="7B163178" w14:textId="0A1D162D" w:rsidR="00CB5470" w:rsidRPr="00596552" w:rsidRDefault="00F46AC5" w:rsidP="00895C48">
      <w:pPr>
        <w:rPr>
          <w:rFonts w:eastAsiaTheme="minorEastAsia"/>
          <w:lang w:val="en-GB"/>
        </w:rPr>
      </w:pPr>
      <w:r w:rsidRPr="00596552">
        <w:rPr>
          <w:rFonts w:eastAsiaTheme="minorEastAsia"/>
          <w:lang w:val="en-GB"/>
        </w:rPr>
        <w:t>The CED also con</w:t>
      </w:r>
      <w:r w:rsidR="00BE0085" w:rsidRPr="00596552">
        <w:rPr>
          <w:rFonts w:eastAsiaTheme="minorEastAsia"/>
          <w:lang w:val="en-GB"/>
        </w:rPr>
        <w:t xml:space="preserve">curs that such a plan of action </w:t>
      </w:r>
      <w:r w:rsidRPr="00596552">
        <w:rPr>
          <w:rFonts w:eastAsiaTheme="minorEastAsia"/>
          <w:lang w:val="en-GB"/>
        </w:rPr>
        <w:t xml:space="preserve">should build on the prior agreed decisions and recommendations, </w:t>
      </w:r>
      <w:r w:rsidR="00C80BDE" w:rsidRPr="00596552">
        <w:rPr>
          <w:rFonts w:eastAsiaTheme="minorEastAsia"/>
          <w:lang w:val="en-GB"/>
        </w:rPr>
        <w:t>that is</w:t>
      </w:r>
      <w:r w:rsidRPr="00596552">
        <w:rPr>
          <w:rFonts w:eastAsiaTheme="minorEastAsia"/>
          <w:lang w:val="en-GB"/>
        </w:rPr>
        <w:t>:</w:t>
      </w:r>
    </w:p>
    <w:p w14:paraId="1F2A8F04" w14:textId="77A5AB78" w:rsidR="00C83709" w:rsidRPr="00596552" w:rsidRDefault="00C83709" w:rsidP="00895C48">
      <w:pPr>
        <w:numPr>
          <w:ilvl w:val="1"/>
          <w:numId w:val="1"/>
        </w:numPr>
        <w:rPr>
          <w:rFonts w:eastAsiaTheme="minorEastAsia"/>
          <w:lang w:val="en-GB"/>
        </w:rPr>
      </w:pPr>
      <w:r w:rsidRPr="00596552">
        <w:rPr>
          <w:rFonts w:eastAsiaTheme="minorEastAsia"/>
          <w:lang w:val="en-GB"/>
        </w:rPr>
        <w:t>The Chairs’ vision for the 2020 review (A/74/256, Annex III)</w:t>
      </w:r>
      <w:r w:rsidR="00486923" w:rsidRPr="00596552">
        <w:rPr>
          <w:rFonts w:eastAsiaTheme="minorEastAsia"/>
          <w:lang w:val="en-GB"/>
        </w:rPr>
        <w:t> ;</w:t>
      </w:r>
    </w:p>
    <w:p w14:paraId="2E4FC057" w14:textId="6E8E2C4C" w:rsidR="00A7456D" w:rsidRPr="00596552" w:rsidRDefault="00A7456D" w:rsidP="00895C48">
      <w:pPr>
        <w:numPr>
          <w:ilvl w:val="1"/>
          <w:numId w:val="1"/>
        </w:numPr>
        <w:rPr>
          <w:rFonts w:eastAsiaTheme="minorEastAsia"/>
          <w:lang w:val="en-GB"/>
        </w:rPr>
      </w:pPr>
      <w:r w:rsidRPr="00596552">
        <w:rPr>
          <w:rFonts w:eastAsiaTheme="minorEastAsia"/>
          <w:lang w:val="en-GB"/>
        </w:rPr>
        <w:t>The Chairs’ written contribution for the co-facilitators of the 2020 review (A/75/346, para. 46)</w:t>
      </w:r>
      <w:r w:rsidR="000701C1" w:rsidRPr="00596552">
        <w:rPr>
          <w:rFonts w:eastAsiaTheme="minorEastAsia"/>
          <w:lang w:val="en-GB"/>
        </w:rPr>
        <w:t> ;</w:t>
      </w:r>
    </w:p>
    <w:p w14:paraId="233C1579" w14:textId="744719A2" w:rsidR="00917094" w:rsidRPr="00596552" w:rsidRDefault="00663CD5" w:rsidP="00895C48">
      <w:pPr>
        <w:numPr>
          <w:ilvl w:val="1"/>
          <w:numId w:val="1"/>
        </w:numPr>
        <w:rPr>
          <w:rFonts w:eastAsiaTheme="minorEastAsia"/>
          <w:lang w:val="en-GB"/>
        </w:rPr>
      </w:pPr>
      <w:r w:rsidRPr="00596552">
        <w:rPr>
          <w:rFonts w:eastAsiaTheme="minorEastAsia"/>
          <w:lang w:val="en-GB"/>
        </w:rPr>
        <w:t xml:space="preserve">Other contributions </w:t>
      </w:r>
      <w:r w:rsidR="00810613" w:rsidRPr="00596552">
        <w:rPr>
          <w:rFonts w:eastAsiaTheme="minorEastAsia"/>
          <w:lang w:val="en-GB"/>
        </w:rPr>
        <w:t>from the Treaty Bodies for</w:t>
      </w:r>
      <w:r w:rsidRPr="00596552">
        <w:rPr>
          <w:rFonts w:eastAsiaTheme="minorEastAsia"/>
          <w:lang w:val="en-GB"/>
        </w:rPr>
        <w:t xml:space="preserve"> the co-facilitators, including the </w:t>
      </w:r>
      <w:r w:rsidR="00F503F7" w:rsidRPr="00596552">
        <w:rPr>
          <w:rFonts w:eastAsiaTheme="minorEastAsia"/>
          <w:lang w:val="en-GB"/>
        </w:rPr>
        <w:t>contribution by the CED, dated 24 July 2020</w:t>
      </w:r>
      <w:r w:rsidR="000701C1" w:rsidRPr="00596552">
        <w:rPr>
          <w:rFonts w:eastAsiaTheme="minorEastAsia"/>
          <w:lang w:val="en-GB"/>
        </w:rPr>
        <w:t> ;</w:t>
      </w:r>
    </w:p>
    <w:p w14:paraId="31ED94FF" w14:textId="70DF0903" w:rsidR="00FA61F6" w:rsidRPr="00596552" w:rsidRDefault="00123FE3" w:rsidP="00895C48">
      <w:pPr>
        <w:numPr>
          <w:ilvl w:val="1"/>
          <w:numId w:val="1"/>
        </w:numPr>
        <w:rPr>
          <w:rFonts w:eastAsiaTheme="minorEastAsia"/>
          <w:lang w:val="en-GB"/>
        </w:rPr>
      </w:pPr>
      <w:r w:rsidRPr="00596552">
        <w:rPr>
          <w:rFonts w:eastAsiaTheme="minorEastAsia"/>
          <w:lang w:val="en-GB"/>
        </w:rPr>
        <w:t xml:space="preserve">The report </w:t>
      </w:r>
      <w:r w:rsidR="004D569B" w:rsidRPr="00596552">
        <w:rPr>
          <w:rFonts w:eastAsiaTheme="minorEastAsia"/>
          <w:lang w:val="en-GB"/>
        </w:rPr>
        <w:t>of the co-facilitators (A/75/601).</w:t>
      </w:r>
    </w:p>
    <w:p w14:paraId="3769BEE3" w14:textId="50626643" w:rsidR="001B2699" w:rsidRPr="00596552" w:rsidRDefault="007C47F8" w:rsidP="001B2699">
      <w:pPr>
        <w:rPr>
          <w:rFonts w:eastAsiaTheme="minorEastAsia"/>
          <w:lang w:val="en-GB"/>
        </w:rPr>
      </w:pPr>
      <w:r w:rsidRPr="00596552">
        <w:rPr>
          <w:rFonts w:eastAsiaTheme="minorEastAsia"/>
          <w:lang w:val="en-GB"/>
        </w:rPr>
        <w:t>The CED</w:t>
      </w:r>
      <w:r w:rsidR="00425FF9" w:rsidRPr="00596552">
        <w:rPr>
          <w:rFonts w:eastAsiaTheme="minorEastAsia"/>
          <w:lang w:val="en-GB"/>
        </w:rPr>
        <w:t xml:space="preserve"> welcomes the fact that the proposal recognises the mandates of the Treaty Bodies that do not ha</w:t>
      </w:r>
      <w:r w:rsidR="00A27FAD" w:rsidRPr="00596552">
        <w:rPr>
          <w:rFonts w:eastAsiaTheme="minorEastAsia"/>
          <w:lang w:val="en-GB"/>
        </w:rPr>
        <w:t>ve period</w:t>
      </w:r>
      <w:r w:rsidR="00FB5662" w:rsidRPr="00596552">
        <w:rPr>
          <w:rFonts w:eastAsiaTheme="minorEastAsia"/>
          <w:lang w:val="en-GB"/>
        </w:rPr>
        <w:t>ic</w:t>
      </w:r>
      <w:r w:rsidR="00A27FAD" w:rsidRPr="00596552">
        <w:rPr>
          <w:rFonts w:eastAsiaTheme="minorEastAsia"/>
          <w:lang w:val="en-GB"/>
        </w:rPr>
        <w:t xml:space="preserve"> State Party reviews, that is the Sub-Committee for the Prevention of Torture (SPT) and the CED</w:t>
      </w:r>
      <w:r w:rsidR="00E221C7" w:rsidRPr="00596552">
        <w:rPr>
          <w:rFonts w:eastAsiaTheme="minorEastAsia"/>
          <w:lang w:val="en-GB"/>
        </w:rPr>
        <w:t xml:space="preserve">, with the view for these two bodies to establish regular and </w:t>
      </w:r>
      <w:r w:rsidR="00E221C7" w:rsidRPr="00596552">
        <w:rPr>
          <w:rFonts w:eastAsiaTheme="minorEastAsia"/>
          <w:lang w:val="en-GB"/>
        </w:rPr>
        <w:lastRenderedPageBreak/>
        <w:t>predictable schedules based on their current practice and with the benefit of more sustainable budgeting for SPT visits and CED urgent actions.</w:t>
      </w:r>
    </w:p>
    <w:p w14:paraId="6E5FB7C9" w14:textId="1626E2B3" w:rsidR="00A93A43" w:rsidRPr="00596552" w:rsidRDefault="00657DB1" w:rsidP="00064229">
      <w:pPr>
        <w:rPr>
          <w:lang w:val="en-GB"/>
        </w:rPr>
      </w:pPr>
      <w:r w:rsidRPr="00596552">
        <w:rPr>
          <w:rFonts w:eastAsiaTheme="minorEastAsia"/>
          <w:lang w:val="en-GB"/>
        </w:rPr>
        <w:t xml:space="preserve">The CED </w:t>
      </w:r>
      <w:r w:rsidR="00E45F47" w:rsidRPr="00596552">
        <w:rPr>
          <w:rFonts w:eastAsiaTheme="minorEastAsia"/>
          <w:lang w:val="en-GB"/>
        </w:rPr>
        <w:t>concurs that</w:t>
      </w:r>
      <w:r w:rsidR="00F12262" w:rsidRPr="00596552">
        <w:rPr>
          <w:rFonts w:eastAsiaTheme="minorEastAsia"/>
          <w:lang w:val="en-GB"/>
        </w:rPr>
        <w:t xml:space="preserve"> </w:t>
      </w:r>
      <w:r w:rsidR="00E45F47" w:rsidRPr="00596552">
        <w:rPr>
          <w:rFonts w:eastAsiaTheme="minorEastAsia"/>
          <w:lang w:val="en-GB"/>
        </w:rPr>
        <w:t xml:space="preserve">a </w:t>
      </w:r>
      <w:r w:rsidR="00F12262" w:rsidRPr="00596552">
        <w:rPr>
          <w:rFonts w:eastAsiaTheme="minorEastAsia"/>
          <w:lang w:val="en-GB"/>
        </w:rPr>
        <w:t xml:space="preserve">UN Reasonable </w:t>
      </w:r>
      <w:r w:rsidR="006C6C60" w:rsidRPr="00596552">
        <w:rPr>
          <w:rFonts w:eastAsiaTheme="minorEastAsia"/>
          <w:lang w:val="en-GB"/>
        </w:rPr>
        <w:t>Accommodation</w:t>
      </w:r>
      <w:r w:rsidR="00F12262" w:rsidRPr="00596552">
        <w:rPr>
          <w:rFonts w:eastAsiaTheme="minorEastAsia"/>
          <w:lang w:val="en-GB"/>
        </w:rPr>
        <w:t xml:space="preserve"> policy</w:t>
      </w:r>
      <w:r w:rsidR="00AF469B" w:rsidRPr="00596552">
        <w:rPr>
          <w:rFonts w:eastAsiaTheme="minorEastAsia"/>
          <w:lang w:val="en-GB"/>
        </w:rPr>
        <w:t xml:space="preserve"> </w:t>
      </w:r>
      <w:r w:rsidR="00084805" w:rsidRPr="00596552">
        <w:rPr>
          <w:rFonts w:eastAsiaTheme="minorEastAsia"/>
          <w:lang w:val="en-GB"/>
        </w:rPr>
        <w:t>is</w:t>
      </w:r>
      <w:r w:rsidR="00AF469B" w:rsidRPr="00596552">
        <w:rPr>
          <w:rFonts w:eastAsiaTheme="minorEastAsia"/>
          <w:lang w:val="en-GB"/>
        </w:rPr>
        <w:t xml:space="preserve"> an integral part of harmonised working methods of Treaty Bodies</w:t>
      </w:r>
      <w:r w:rsidR="00A93A43" w:rsidRPr="00596552">
        <w:rPr>
          <w:rFonts w:eastAsiaTheme="minorEastAsia"/>
          <w:lang w:val="en-GB"/>
        </w:rPr>
        <w:t xml:space="preserve">. </w:t>
      </w:r>
      <w:r w:rsidR="00064229" w:rsidRPr="00596552">
        <w:rPr>
          <w:rFonts w:eastAsiaTheme="minorEastAsia"/>
          <w:lang w:val="en-GB"/>
        </w:rPr>
        <w:t xml:space="preserve">It concurs that </w:t>
      </w:r>
      <w:r w:rsidR="00064229" w:rsidRPr="00596552">
        <w:rPr>
          <w:lang w:val="en-GB"/>
        </w:rPr>
        <w:t>“many Treaty Body experts with disabilities are not able to fully participate in the work of their respective Treaty Bodies because of the limitations of current UN policies in providing individualised support”; and that “a UN Reasonable Accommodation policy would enable the UN to implement protocols to identify and provide the individualised supports required by Treaty Body experts with disabilities to be able to fully participate and be included on an equal basis with others”.</w:t>
      </w:r>
    </w:p>
    <w:p w14:paraId="1E1D753A" w14:textId="51910903" w:rsidR="005A1390" w:rsidRPr="00596552" w:rsidRDefault="006B2AF3" w:rsidP="001B2699">
      <w:pPr>
        <w:rPr>
          <w:rFonts w:eastAsiaTheme="minorEastAsia"/>
          <w:lang w:val="en-GB"/>
        </w:rPr>
      </w:pPr>
      <w:r w:rsidRPr="00596552">
        <w:rPr>
          <w:rFonts w:eastAsiaTheme="minorEastAsia"/>
          <w:lang w:val="en-GB"/>
        </w:rPr>
        <w:t>In relation to the “digital uplift”, the CED holds</w:t>
      </w:r>
      <w:r w:rsidR="00EA4F03" w:rsidRPr="00596552">
        <w:rPr>
          <w:rFonts w:eastAsiaTheme="minorEastAsia"/>
          <w:lang w:val="en-GB"/>
        </w:rPr>
        <w:t xml:space="preserve"> </w:t>
      </w:r>
      <w:r w:rsidRPr="00596552">
        <w:rPr>
          <w:rFonts w:eastAsiaTheme="minorEastAsia"/>
          <w:lang w:val="en-GB"/>
        </w:rPr>
        <w:t xml:space="preserve">the </w:t>
      </w:r>
      <w:r w:rsidR="00B03839" w:rsidRPr="00596552">
        <w:rPr>
          <w:rFonts w:eastAsiaTheme="minorEastAsia"/>
          <w:lang w:val="en-GB"/>
        </w:rPr>
        <w:t xml:space="preserve">view there is </w:t>
      </w:r>
      <w:r w:rsidR="0007746F" w:rsidRPr="00596552">
        <w:rPr>
          <w:rFonts w:eastAsiaTheme="minorEastAsia"/>
          <w:lang w:val="en-GB"/>
        </w:rPr>
        <w:t xml:space="preserve">an urgent need </w:t>
      </w:r>
      <w:r w:rsidR="00EB4FD2" w:rsidRPr="00596552">
        <w:rPr>
          <w:rFonts w:eastAsiaTheme="minorEastAsia"/>
          <w:lang w:val="en-GB"/>
        </w:rPr>
        <w:t>for an overall project of digitalizat</w:t>
      </w:r>
      <w:r w:rsidR="00444A73" w:rsidRPr="00596552">
        <w:rPr>
          <w:rFonts w:eastAsiaTheme="minorEastAsia"/>
          <w:lang w:val="en-GB"/>
        </w:rPr>
        <w:t xml:space="preserve">ion so that technology could efficiently serve the purposes and principles </w:t>
      </w:r>
      <w:r w:rsidR="00236E25" w:rsidRPr="00596552">
        <w:rPr>
          <w:rFonts w:eastAsiaTheme="minorEastAsia"/>
          <w:lang w:val="en-GB"/>
        </w:rPr>
        <w:t xml:space="preserve">stated in the Chairs’ vision and restated above in paragraph 5. </w:t>
      </w:r>
      <w:r w:rsidR="00E76997" w:rsidRPr="00596552">
        <w:rPr>
          <w:rFonts w:eastAsiaTheme="minorEastAsia"/>
          <w:lang w:val="en-GB"/>
        </w:rPr>
        <w:t>The CED agrees that the pandemic</w:t>
      </w:r>
      <w:r w:rsidR="003818E1" w:rsidRPr="00596552">
        <w:rPr>
          <w:rFonts w:eastAsiaTheme="minorEastAsia"/>
          <w:lang w:val="en-GB"/>
        </w:rPr>
        <w:t xml:space="preserve"> has shed new light both on the opportunities and challenges </w:t>
      </w:r>
      <w:r w:rsidR="009E11DC" w:rsidRPr="00596552">
        <w:rPr>
          <w:rFonts w:eastAsiaTheme="minorEastAsia"/>
          <w:lang w:val="en-GB"/>
        </w:rPr>
        <w:t xml:space="preserve">of new technologies and in particular online interactions between stakeholders for the </w:t>
      </w:r>
      <w:r w:rsidR="006C6C60" w:rsidRPr="00596552">
        <w:rPr>
          <w:rFonts w:eastAsiaTheme="minorEastAsia"/>
          <w:lang w:val="en-GB"/>
        </w:rPr>
        <w:t>functioning</w:t>
      </w:r>
      <w:r w:rsidR="009E11DC" w:rsidRPr="00596552">
        <w:rPr>
          <w:rFonts w:eastAsiaTheme="minorEastAsia"/>
          <w:lang w:val="en-GB"/>
        </w:rPr>
        <w:t xml:space="preserve"> of the Treaty Bodies.</w:t>
      </w:r>
      <w:r w:rsidR="00A70BD2" w:rsidRPr="00596552">
        <w:rPr>
          <w:rFonts w:eastAsiaTheme="minorEastAsia"/>
          <w:lang w:val="en-GB"/>
        </w:rPr>
        <w:t xml:space="preserve"> The CED also </w:t>
      </w:r>
      <w:r w:rsidR="005312C4" w:rsidRPr="00596552">
        <w:rPr>
          <w:rFonts w:eastAsiaTheme="minorEastAsia"/>
          <w:lang w:val="en-GB"/>
        </w:rPr>
        <w:t xml:space="preserve">recalls in this spirit the work and conclusions reached by the inter-Committee Working Group </w:t>
      </w:r>
      <w:r w:rsidR="009D6AFD" w:rsidRPr="00596552">
        <w:rPr>
          <w:rFonts w:eastAsiaTheme="minorEastAsia"/>
          <w:lang w:val="en-GB"/>
        </w:rPr>
        <w:t>on COVID-19</w:t>
      </w:r>
      <w:r w:rsidR="000F1B3D" w:rsidRPr="00596552">
        <w:rPr>
          <w:rFonts w:eastAsiaTheme="minorEastAsia"/>
          <w:lang w:val="en-GB"/>
        </w:rPr>
        <w:t>.</w:t>
      </w:r>
      <w:r w:rsidR="005A1390" w:rsidRPr="00596552">
        <w:rPr>
          <w:rStyle w:val="EndnoteReference"/>
          <w:rFonts w:eastAsiaTheme="minorEastAsia"/>
          <w:lang w:val="en-GB"/>
        </w:rPr>
        <w:endnoteReference w:id="2"/>
      </w:r>
      <w:r w:rsidR="005A1390" w:rsidRPr="00596552">
        <w:rPr>
          <w:rFonts w:eastAsiaTheme="minorEastAsia"/>
          <w:lang w:val="en-GB"/>
        </w:rPr>
        <w:t xml:space="preserve"> </w:t>
      </w:r>
    </w:p>
    <w:p w14:paraId="0AD13D68" w14:textId="0601677B" w:rsidR="00A05586" w:rsidRPr="00596552" w:rsidRDefault="005A1390" w:rsidP="001B2699">
      <w:pPr>
        <w:rPr>
          <w:rFonts w:eastAsiaTheme="minorEastAsia"/>
          <w:lang w:val="en-GB"/>
        </w:rPr>
      </w:pPr>
      <w:r w:rsidRPr="00596552">
        <w:rPr>
          <w:rFonts w:eastAsiaTheme="minorEastAsia"/>
          <w:lang w:val="en-GB"/>
        </w:rPr>
        <w:t>The CED agrees that a “digital uplift” is strongly needed to support the work of the Treaty Bodies in dealing with communications and  urgent appeals. In this regard, the CED supports the idea of  the setting up of an integrated case management system, including a database and a portal for submissions. It recalls in this regard the written contribution of the Treaty Body Chairs to the co-facilitators in which they underscored the need for a “one-off investment to set up a digital portal for individual communications and urgent actions for the parties to submit, access and track relevant information, including on the status of the case.”</w:t>
      </w:r>
      <w:r w:rsidR="00A05586" w:rsidRPr="00596552">
        <w:rPr>
          <w:rStyle w:val="EndnoteReference"/>
          <w:rFonts w:eastAsiaTheme="minorEastAsia"/>
          <w:lang w:val="en-GB"/>
        </w:rPr>
        <w:endnoteReference w:id="3"/>
      </w:r>
    </w:p>
    <w:p w14:paraId="0B43AD59" w14:textId="1FAC7F7B" w:rsidR="005A1390" w:rsidRPr="00596552" w:rsidRDefault="005A1390" w:rsidP="00F85ACB">
      <w:pPr>
        <w:rPr>
          <w:rFonts w:eastAsiaTheme="minorEastAsia"/>
          <w:lang w:val="en-GB"/>
        </w:rPr>
      </w:pPr>
      <w:r w:rsidRPr="00596552">
        <w:rPr>
          <w:rFonts w:eastAsiaTheme="minorEastAsia"/>
          <w:lang w:val="en-GB"/>
        </w:rPr>
        <w:t xml:space="preserve">The CED also agrees that the “digital uplift” should lead to the setting up by the United Nations of a “digital toolkit” in the form of file management and </w:t>
      </w:r>
      <w:r w:rsidR="0003452F" w:rsidRPr="00596552">
        <w:rPr>
          <w:rFonts w:eastAsiaTheme="minorEastAsia"/>
          <w:lang w:val="en-GB"/>
        </w:rPr>
        <w:t>document sharing platform and a</w:t>
      </w:r>
      <w:r w:rsidRPr="00596552">
        <w:rPr>
          <w:rFonts w:eastAsiaTheme="minorEastAsia"/>
          <w:lang w:val="en-GB"/>
        </w:rPr>
        <w:t xml:space="preserve"> “communities of practice” platform to “support stakeholders engagement, working groups of Treaty Bodies and joint work undertaken by the Treaty Bodies.” It also agrees that the system of video conferencing and of webcasting platform should be strengthened and made accessible and sustainable across the digital divide.</w:t>
      </w:r>
    </w:p>
    <w:p w14:paraId="395C0607" w14:textId="725EA59C" w:rsidR="005A1390" w:rsidRPr="00596552" w:rsidRDefault="005A1390" w:rsidP="007A6B9A">
      <w:pPr>
        <w:rPr>
          <w:rFonts w:eastAsiaTheme="minorEastAsia"/>
          <w:lang w:val="en-GB"/>
        </w:rPr>
      </w:pPr>
      <w:r w:rsidRPr="00596552">
        <w:rPr>
          <w:rFonts w:eastAsiaTheme="minorEastAsia"/>
          <w:lang w:val="en-GB"/>
        </w:rPr>
        <w:t>The CED holds the view that the Treaty Bodies should adopt a predictable schedule of review. However the CED considers that, on this matter, the CRPD proposal does not reflect the consensus that was built among all treaty bodies and that is reflected in the Chairs’ vision, in the contribution of the Chairs to the co-facilitators</w:t>
      </w:r>
      <w:r w:rsidRPr="00596552">
        <w:rPr>
          <w:rStyle w:val="EndnoteReference"/>
          <w:rFonts w:eastAsiaTheme="minorEastAsia"/>
          <w:lang w:val="en-GB"/>
        </w:rPr>
        <w:endnoteReference w:id="4"/>
      </w:r>
      <w:r w:rsidRPr="00596552">
        <w:rPr>
          <w:rFonts w:eastAsiaTheme="minorEastAsia"/>
          <w:lang w:val="en-GB"/>
        </w:rPr>
        <w:t xml:space="preserve"> and in the report of the co-facilitators.</w:t>
      </w:r>
      <w:r w:rsidRPr="00596552">
        <w:rPr>
          <w:rStyle w:val="EndnoteReference"/>
          <w:rFonts w:eastAsiaTheme="minorEastAsia"/>
          <w:lang w:val="en-GB"/>
        </w:rPr>
        <w:endnoteReference w:id="5"/>
      </w:r>
    </w:p>
    <w:p w14:paraId="0BED9EBE" w14:textId="66D3C63D" w:rsidR="007B1D70" w:rsidRPr="00596552" w:rsidRDefault="007D409D" w:rsidP="007D409D">
      <w:pPr>
        <w:rPr>
          <w:rFonts w:eastAsiaTheme="minorEastAsia"/>
          <w:lang w:val="en-GB" w:eastAsia="ja-JP"/>
        </w:rPr>
      </w:pPr>
      <w:r w:rsidRPr="00596552">
        <w:rPr>
          <w:rFonts w:eastAsiaTheme="minorEastAsia"/>
          <w:lang w:val="en-GB" w:eastAsia="ja-JP"/>
        </w:rPr>
        <w:lastRenderedPageBreak/>
        <w:t>In their report, the co-facilitators also made recommendations for the way forward,</w:t>
      </w:r>
      <w:r w:rsidR="00E238AF" w:rsidRPr="00596552">
        <w:rPr>
          <w:rFonts w:eastAsiaTheme="minorEastAsia"/>
          <w:lang w:val="en-GB" w:eastAsia="ja-JP"/>
        </w:rPr>
        <w:t xml:space="preserve"> a</w:t>
      </w:r>
      <w:r w:rsidR="00F452F3" w:rsidRPr="00596552">
        <w:rPr>
          <w:rFonts w:eastAsiaTheme="minorEastAsia"/>
          <w:lang w:val="en-GB" w:eastAsia="ja-JP"/>
        </w:rPr>
        <w:t>nd came to the conclusion that “a follow-up process is the most appropriate way to achieve the goal of strengthening and enhancing the effective functioning of the human rights treaty body system.”</w:t>
      </w:r>
      <w:r w:rsidR="00267C96" w:rsidRPr="00596552">
        <w:rPr>
          <w:rStyle w:val="EndnoteReference"/>
          <w:rFonts w:eastAsiaTheme="minorEastAsia"/>
          <w:lang w:val="en-GB" w:eastAsia="ja-JP"/>
        </w:rPr>
        <w:endnoteReference w:id="6"/>
      </w:r>
    </w:p>
    <w:p w14:paraId="6C96BE6E" w14:textId="77777777" w:rsidR="000C193D" w:rsidRPr="00596552" w:rsidRDefault="004C150A" w:rsidP="00EF193A">
      <w:pPr>
        <w:rPr>
          <w:rFonts w:eastAsiaTheme="minorEastAsia"/>
          <w:b/>
          <w:lang w:val="en-GB" w:eastAsia="ja-JP"/>
        </w:rPr>
      </w:pPr>
      <w:r w:rsidRPr="00596552">
        <w:rPr>
          <w:rFonts w:eastAsiaTheme="minorEastAsia"/>
          <w:b/>
          <w:lang w:val="en-GB" w:eastAsia="ja-JP"/>
        </w:rPr>
        <w:t xml:space="preserve">Based on the foregoing, the CED </w:t>
      </w:r>
      <w:r w:rsidR="00D44215" w:rsidRPr="00596552">
        <w:rPr>
          <w:rFonts w:eastAsiaTheme="minorEastAsia"/>
          <w:b/>
          <w:lang w:val="en-GB" w:eastAsia="ja-JP"/>
        </w:rPr>
        <w:t>is of the opinion that</w:t>
      </w:r>
    </w:p>
    <w:p w14:paraId="233CDDBB" w14:textId="609DA4E1" w:rsidR="000C193D" w:rsidRPr="00596552" w:rsidRDefault="004B057E" w:rsidP="000C193D">
      <w:pPr>
        <w:numPr>
          <w:ilvl w:val="1"/>
          <w:numId w:val="1"/>
        </w:numPr>
        <w:rPr>
          <w:rFonts w:eastAsiaTheme="minorEastAsia"/>
          <w:b/>
          <w:lang w:val="en-GB" w:eastAsia="ja-JP"/>
        </w:rPr>
      </w:pPr>
      <w:r w:rsidRPr="00596552">
        <w:rPr>
          <w:rFonts w:eastAsiaTheme="minorEastAsia"/>
          <w:b/>
          <w:lang w:val="en-GB" w:eastAsia="ja-JP"/>
        </w:rPr>
        <w:t xml:space="preserve"> T</w:t>
      </w:r>
      <w:r w:rsidR="00D44215" w:rsidRPr="00596552">
        <w:rPr>
          <w:rFonts w:eastAsiaTheme="minorEastAsia"/>
          <w:b/>
          <w:lang w:val="en-GB" w:eastAsia="ja-JP"/>
        </w:rPr>
        <w:t xml:space="preserve">here is a need </w:t>
      </w:r>
      <w:r w:rsidR="0080201E" w:rsidRPr="00596552">
        <w:rPr>
          <w:rFonts w:eastAsiaTheme="minorEastAsia"/>
          <w:b/>
          <w:lang w:val="en-GB" w:eastAsia="ja-JP"/>
        </w:rPr>
        <w:t xml:space="preserve">for a post 2020 follow-up process, as called for in the report of the co-facilitators. At the level of the Treaty Bodies, such a follow-up process should take the form of a broad consultation </w:t>
      </w:r>
      <w:r w:rsidR="00572DAA" w:rsidRPr="00596552">
        <w:rPr>
          <w:rFonts w:eastAsiaTheme="minorEastAsia"/>
          <w:b/>
          <w:lang w:val="en-GB" w:eastAsia="ja-JP"/>
        </w:rPr>
        <w:t xml:space="preserve">between chairs, “post-2020 focal points” and, beyond </w:t>
      </w:r>
      <w:r w:rsidR="002E3604" w:rsidRPr="00596552">
        <w:rPr>
          <w:rFonts w:eastAsiaTheme="minorEastAsia"/>
          <w:b/>
          <w:lang w:val="en-GB" w:eastAsia="ja-JP"/>
        </w:rPr>
        <w:t xml:space="preserve">all </w:t>
      </w:r>
      <w:r w:rsidR="00510CC6" w:rsidRPr="00596552">
        <w:rPr>
          <w:rFonts w:eastAsiaTheme="minorEastAsia"/>
          <w:b/>
          <w:lang w:val="en-GB" w:eastAsia="ja-JP"/>
        </w:rPr>
        <w:t xml:space="preserve">the members of </w:t>
      </w:r>
      <w:r w:rsidR="00011DC8" w:rsidRPr="00596552">
        <w:rPr>
          <w:rFonts w:eastAsiaTheme="minorEastAsia"/>
          <w:b/>
          <w:lang w:val="en-GB" w:eastAsia="ja-JP"/>
        </w:rPr>
        <w:t>treaty</w:t>
      </w:r>
      <w:r w:rsidR="00510CC6" w:rsidRPr="00596552">
        <w:rPr>
          <w:rFonts w:eastAsiaTheme="minorEastAsia"/>
          <w:b/>
          <w:lang w:val="en-GB" w:eastAsia="ja-JP"/>
        </w:rPr>
        <w:t xml:space="preserve"> bodies</w:t>
      </w:r>
      <w:r w:rsidR="00572DAA" w:rsidRPr="00596552">
        <w:rPr>
          <w:rFonts w:eastAsiaTheme="minorEastAsia"/>
          <w:b/>
          <w:lang w:val="en-GB" w:eastAsia="ja-JP"/>
        </w:rPr>
        <w:t xml:space="preserve">. </w:t>
      </w:r>
    </w:p>
    <w:p w14:paraId="05AB95A4" w14:textId="77777777" w:rsidR="000C193D" w:rsidRPr="00596552" w:rsidRDefault="00572DAA" w:rsidP="000C193D">
      <w:pPr>
        <w:numPr>
          <w:ilvl w:val="1"/>
          <w:numId w:val="1"/>
        </w:numPr>
        <w:rPr>
          <w:rFonts w:eastAsiaTheme="minorEastAsia"/>
          <w:b/>
          <w:lang w:val="en-GB" w:eastAsia="ja-JP"/>
        </w:rPr>
      </w:pPr>
      <w:r w:rsidRPr="00596552">
        <w:rPr>
          <w:rFonts w:eastAsiaTheme="minorEastAsia"/>
          <w:b/>
          <w:lang w:val="en-GB" w:eastAsia="ja-JP"/>
        </w:rPr>
        <w:t>The consu</w:t>
      </w:r>
      <w:r w:rsidR="003532B4" w:rsidRPr="00596552">
        <w:rPr>
          <w:rFonts w:eastAsiaTheme="minorEastAsia"/>
          <w:b/>
          <w:lang w:val="en-GB" w:eastAsia="ja-JP"/>
        </w:rPr>
        <w:t xml:space="preserve">ltation should be inclusive and take place through in-person and online meetings, </w:t>
      </w:r>
      <w:r w:rsidR="00B14AA1" w:rsidRPr="00596552">
        <w:rPr>
          <w:rFonts w:eastAsiaTheme="minorEastAsia"/>
          <w:b/>
          <w:lang w:val="en-GB" w:eastAsia="ja-JP"/>
        </w:rPr>
        <w:t>as well as on community platf</w:t>
      </w:r>
      <w:r w:rsidR="002F1A39" w:rsidRPr="00596552">
        <w:rPr>
          <w:rFonts w:eastAsiaTheme="minorEastAsia"/>
          <w:b/>
          <w:lang w:val="en-GB" w:eastAsia="ja-JP"/>
        </w:rPr>
        <w:t>o</w:t>
      </w:r>
      <w:r w:rsidR="00B14AA1" w:rsidRPr="00596552">
        <w:rPr>
          <w:rFonts w:eastAsiaTheme="minorEastAsia"/>
          <w:b/>
          <w:lang w:val="en-GB" w:eastAsia="ja-JP"/>
        </w:rPr>
        <w:t xml:space="preserve">rms </w:t>
      </w:r>
      <w:r w:rsidR="00300BD9" w:rsidRPr="00596552">
        <w:rPr>
          <w:rFonts w:eastAsiaTheme="minorEastAsia"/>
          <w:b/>
          <w:lang w:val="en-GB" w:eastAsia="ja-JP"/>
        </w:rPr>
        <w:t xml:space="preserve">made available to members. </w:t>
      </w:r>
    </w:p>
    <w:p w14:paraId="4DA89E11" w14:textId="77777777" w:rsidR="000C193D" w:rsidRPr="00596552" w:rsidRDefault="00066094" w:rsidP="000C193D">
      <w:pPr>
        <w:numPr>
          <w:ilvl w:val="1"/>
          <w:numId w:val="1"/>
        </w:numPr>
        <w:rPr>
          <w:rFonts w:eastAsiaTheme="minorEastAsia"/>
          <w:b/>
          <w:lang w:val="en-GB" w:eastAsia="ja-JP"/>
        </w:rPr>
      </w:pPr>
      <w:r w:rsidRPr="00596552">
        <w:rPr>
          <w:rFonts w:eastAsiaTheme="minorEastAsia"/>
          <w:b/>
          <w:lang w:val="en-GB" w:eastAsia="ja-JP"/>
        </w:rPr>
        <w:t xml:space="preserve">The </w:t>
      </w:r>
      <w:r w:rsidR="00AB20AD" w:rsidRPr="00596552">
        <w:rPr>
          <w:rFonts w:eastAsiaTheme="minorEastAsia"/>
          <w:b/>
          <w:lang w:val="en-GB" w:eastAsia="ja-JP"/>
        </w:rPr>
        <w:t>consultation</w:t>
      </w:r>
      <w:r w:rsidRPr="00596552">
        <w:rPr>
          <w:rFonts w:eastAsiaTheme="minorEastAsia"/>
          <w:b/>
          <w:lang w:val="en-GB" w:eastAsia="ja-JP"/>
        </w:rPr>
        <w:t xml:space="preserve"> should be facilitated by the OHCHR </w:t>
      </w:r>
      <w:r w:rsidR="00BF3B81" w:rsidRPr="00596552">
        <w:rPr>
          <w:rFonts w:eastAsiaTheme="minorEastAsia"/>
          <w:b/>
          <w:lang w:val="en-GB" w:eastAsia="ja-JP"/>
        </w:rPr>
        <w:t xml:space="preserve">who would </w:t>
      </w:r>
      <w:r w:rsidR="00CA3446" w:rsidRPr="00596552">
        <w:rPr>
          <w:rFonts w:eastAsiaTheme="minorEastAsia"/>
          <w:b/>
          <w:lang w:val="en-GB" w:eastAsia="ja-JP"/>
        </w:rPr>
        <w:t xml:space="preserve">prepare </w:t>
      </w:r>
      <w:r w:rsidR="00EF193A" w:rsidRPr="00596552">
        <w:rPr>
          <w:rFonts w:eastAsiaTheme="minorEastAsia"/>
          <w:b/>
          <w:lang w:val="en-GB" w:eastAsia="ja-JP"/>
        </w:rPr>
        <w:t xml:space="preserve">options </w:t>
      </w:r>
      <w:r w:rsidR="00CA3446" w:rsidRPr="00596552">
        <w:rPr>
          <w:rFonts w:eastAsiaTheme="minorEastAsia"/>
          <w:b/>
          <w:lang w:val="en-GB" w:eastAsia="ja-JP"/>
        </w:rPr>
        <w:t>for scheduling of the review of reports, as well as estimated costing</w:t>
      </w:r>
      <w:r w:rsidR="00EF193A" w:rsidRPr="00596552">
        <w:rPr>
          <w:rFonts w:eastAsiaTheme="minorEastAsia"/>
          <w:b/>
          <w:lang w:val="en-GB" w:eastAsia="ja-JP"/>
        </w:rPr>
        <w:t xml:space="preserve">, and various other </w:t>
      </w:r>
      <w:r w:rsidR="00B00F2D" w:rsidRPr="00596552">
        <w:rPr>
          <w:rFonts w:eastAsiaTheme="minorEastAsia"/>
          <w:b/>
          <w:lang w:val="en-GB" w:eastAsia="ja-JP"/>
        </w:rPr>
        <w:t>recommendations</w:t>
      </w:r>
      <w:r w:rsidR="00CA3446" w:rsidRPr="00596552">
        <w:rPr>
          <w:rFonts w:eastAsiaTheme="minorEastAsia"/>
          <w:b/>
          <w:lang w:val="en-GB" w:eastAsia="ja-JP"/>
        </w:rPr>
        <w:t xml:space="preserve"> in other fields</w:t>
      </w:r>
      <w:r w:rsidR="00DB4203" w:rsidRPr="00596552">
        <w:rPr>
          <w:rFonts w:eastAsiaTheme="minorEastAsia"/>
          <w:b/>
          <w:lang w:val="en-GB" w:eastAsia="ja-JP"/>
        </w:rPr>
        <w:t>,</w:t>
      </w:r>
      <w:r w:rsidR="00CA3446" w:rsidRPr="00596552">
        <w:rPr>
          <w:rFonts w:eastAsiaTheme="minorEastAsia"/>
          <w:b/>
          <w:lang w:val="en-GB" w:eastAsia="ja-JP"/>
        </w:rPr>
        <w:t xml:space="preserve"> such as digital uplift, accessibility and visibility</w:t>
      </w:r>
      <w:r w:rsidR="00906388" w:rsidRPr="00596552">
        <w:rPr>
          <w:rFonts w:eastAsiaTheme="minorEastAsia"/>
          <w:b/>
          <w:lang w:val="en-GB" w:eastAsia="ja-JP"/>
        </w:rPr>
        <w:t>.</w:t>
      </w:r>
      <w:r w:rsidR="00CB7C55" w:rsidRPr="00596552">
        <w:rPr>
          <w:rFonts w:eastAsiaTheme="minorEastAsia"/>
          <w:b/>
          <w:lang w:val="en-GB" w:eastAsia="ja-JP"/>
        </w:rPr>
        <w:t xml:space="preserve"> </w:t>
      </w:r>
    </w:p>
    <w:p w14:paraId="2EE78EFE" w14:textId="238D06EA" w:rsidR="007A6B9A" w:rsidRPr="00596552" w:rsidRDefault="00CB7C55" w:rsidP="000C193D">
      <w:pPr>
        <w:numPr>
          <w:ilvl w:val="1"/>
          <w:numId w:val="1"/>
        </w:numPr>
        <w:rPr>
          <w:rFonts w:eastAsiaTheme="minorEastAsia"/>
          <w:b/>
          <w:lang w:val="en-GB" w:eastAsia="ja-JP"/>
        </w:rPr>
      </w:pPr>
      <w:r w:rsidRPr="00596552">
        <w:rPr>
          <w:rFonts w:eastAsiaTheme="minorEastAsia"/>
          <w:b/>
          <w:lang w:val="en-GB" w:eastAsia="ja-JP"/>
        </w:rPr>
        <w:t>The follow-up proc</w:t>
      </w:r>
      <w:r w:rsidR="00CB3C63" w:rsidRPr="00596552">
        <w:rPr>
          <w:rFonts w:eastAsiaTheme="minorEastAsia"/>
          <w:b/>
          <w:lang w:val="en-GB" w:eastAsia="ja-JP"/>
        </w:rPr>
        <w:t>ess should aim at presenting a New Plan of A</w:t>
      </w:r>
      <w:r w:rsidRPr="00596552">
        <w:rPr>
          <w:rFonts w:eastAsiaTheme="minorEastAsia"/>
          <w:b/>
          <w:lang w:val="en-GB" w:eastAsia="ja-JP"/>
        </w:rPr>
        <w:t xml:space="preserve">ction </w:t>
      </w:r>
      <w:r w:rsidR="00BF3B81" w:rsidRPr="00596552">
        <w:rPr>
          <w:rFonts w:eastAsiaTheme="minorEastAsia"/>
          <w:b/>
          <w:lang w:val="en-GB" w:eastAsia="ja-JP"/>
        </w:rPr>
        <w:t xml:space="preserve">of the Treaty Bodies, </w:t>
      </w:r>
      <w:r w:rsidR="003A6FFC" w:rsidRPr="00596552">
        <w:rPr>
          <w:rFonts w:eastAsiaTheme="minorEastAsia"/>
          <w:b/>
          <w:lang w:val="en-GB" w:eastAsia="ja-JP"/>
        </w:rPr>
        <w:t xml:space="preserve">associated with an estimated costing, </w:t>
      </w:r>
      <w:r w:rsidR="00906388" w:rsidRPr="00596552">
        <w:rPr>
          <w:rFonts w:eastAsiaTheme="minorEastAsia"/>
          <w:b/>
          <w:lang w:val="en-GB" w:eastAsia="ja-JP"/>
        </w:rPr>
        <w:t xml:space="preserve">to be adopted </w:t>
      </w:r>
      <w:r w:rsidR="00EA61D9" w:rsidRPr="00596552">
        <w:rPr>
          <w:rFonts w:eastAsiaTheme="minorEastAsia"/>
          <w:b/>
          <w:lang w:val="en-GB" w:eastAsia="ja-JP"/>
        </w:rPr>
        <w:t>at the 34</w:t>
      </w:r>
      <w:r w:rsidR="0026262F" w:rsidRPr="00596552">
        <w:rPr>
          <w:rFonts w:eastAsiaTheme="minorEastAsia"/>
          <w:b/>
          <w:vertAlign w:val="superscript"/>
          <w:lang w:val="en-GB" w:eastAsia="ja-JP"/>
        </w:rPr>
        <w:t>rd</w:t>
      </w:r>
      <w:r w:rsidR="0026262F" w:rsidRPr="00596552">
        <w:rPr>
          <w:rFonts w:eastAsiaTheme="minorEastAsia"/>
          <w:b/>
          <w:lang w:val="en-GB" w:eastAsia="ja-JP"/>
        </w:rPr>
        <w:t xml:space="preserve"> meeting of the Chairs in June 2022.</w:t>
      </w:r>
    </w:p>
    <w:p w14:paraId="7E63C9A7" w14:textId="553C19A8" w:rsidR="00E067EB" w:rsidRDefault="00E067EB">
      <w:pPr>
        <w:numPr>
          <w:ilvl w:val="0"/>
          <w:numId w:val="0"/>
        </w:numPr>
        <w:suppressAutoHyphens w:val="0"/>
        <w:spacing w:before="0" w:after="0" w:line="240" w:lineRule="auto"/>
        <w:jc w:val="left"/>
        <w:rPr>
          <w:rFonts w:eastAsiaTheme="minorEastAsia"/>
          <w:lang w:val="en-GB" w:eastAsia="ja-JP"/>
        </w:rPr>
      </w:pPr>
      <w:r>
        <w:rPr>
          <w:rFonts w:eastAsiaTheme="minorEastAsia"/>
          <w:lang w:val="en-GB" w:eastAsia="ja-JP"/>
        </w:rPr>
        <w:br w:type="page"/>
      </w:r>
    </w:p>
    <w:p w14:paraId="7DB123F6" w14:textId="77777777" w:rsidR="00E067EB" w:rsidRPr="00EF193A" w:rsidRDefault="00E067EB" w:rsidP="00E067EB">
      <w:pPr>
        <w:numPr>
          <w:ilvl w:val="0"/>
          <w:numId w:val="0"/>
        </w:numPr>
        <w:ind w:left="720"/>
        <w:rPr>
          <w:rFonts w:eastAsiaTheme="minorEastAsia"/>
          <w:lang w:val="en-GB" w:eastAsia="ja-JP"/>
        </w:rPr>
      </w:pPr>
    </w:p>
    <w:sectPr w:rsidR="00E067EB" w:rsidRPr="00EF193A" w:rsidSect="00142BE2">
      <w:headerReference w:type="default" r:id="rId7"/>
      <w:footerReference w:type="even" r:id="rId8"/>
      <w:footerReference w:type="default" r:id="rId9"/>
      <w:endnotePr>
        <w:numFmt w:val="decimal"/>
      </w:endnotePr>
      <w:pgSz w:w="11900" w:h="16840"/>
      <w:pgMar w:top="1134" w:right="1134"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02699" w14:textId="77777777" w:rsidR="00B345B9" w:rsidRDefault="00B345B9" w:rsidP="007E7A4B">
      <w:pPr>
        <w:numPr>
          <w:ilvl w:val="0"/>
          <w:numId w:val="0"/>
        </w:numPr>
        <w:spacing w:before="0" w:after="0" w:line="240" w:lineRule="auto"/>
        <w:ind w:left="720"/>
      </w:pPr>
      <w:r>
        <w:separator/>
      </w:r>
    </w:p>
  </w:endnote>
  <w:endnote w:type="continuationSeparator" w:id="0">
    <w:p w14:paraId="2D1956C9" w14:textId="77777777" w:rsidR="00B345B9" w:rsidRDefault="00B345B9" w:rsidP="001F35B5">
      <w:pPr>
        <w:numPr>
          <w:ilvl w:val="0"/>
          <w:numId w:val="0"/>
        </w:numPr>
        <w:spacing w:before="0" w:after="0" w:line="240" w:lineRule="auto"/>
        <w:ind w:left="720"/>
      </w:pPr>
      <w:r>
        <w:continuationSeparator/>
      </w:r>
    </w:p>
  </w:endnote>
  <w:endnote w:type="continuationNotice" w:id="1">
    <w:p w14:paraId="208C7826" w14:textId="77777777" w:rsidR="00B345B9" w:rsidRDefault="00B345B9" w:rsidP="00EF0B49">
      <w:pPr>
        <w:numPr>
          <w:ilvl w:val="0"/>
          <w:numId w:val="0"/>
        </w:numPr>
        <w:spacing w:before="0" w:after="0" w:line="240" w:lineRule="auto"/>
        <w:ind w:left="720"/>
      </w:pPr>
    </w:p>
  </w:endnote>
  <w:endnote w:id="2">
    <w:p w14:paraId="54A48323" w14:textId="006FA825" w:rsidR="005A1390" w:rsidRPr="00CE5CA5" w:rsidRDefault="005A1390" w:rsidP="00574C44">
      <w:pPr>
        <w:pStyle w:val="EndnoteText"/>
        <w:rPr>
          <w:lang w:val="en-GB"/>
        </w:rPr>
      </w:pPr>
      <w:r w:rsidRPr="008A0286">
        <w:rPr>
          <w:rStyle w:val="EndnoteReference"/>
          <w:lang w:val="en-GB"/>
        </w:rPr>
        <w:endnoteRef/>
      </w:r>
      <w:r w:rsidRPr="008A0286">
        <w:rPr>
          <w:lang w:val="en-GB"/>
        </w:rPr>
        <w:t xml:space="preserve"> </w:t>
      </w:r>
      <w:r w:rsidRPr="008E7B90">
        <w:rPr>
          <w:lang w:val="en-GB"/>
        </w:rPr>
        <w:t>“</w:t>
      </w:r>
      <w:r w:rsidRPr="00D654BF">
        <w:rPr>
          <w:lang w:val="en-GB"/>
        </w:rPr>
        <w:t xml:space="preserve">While increased accessibility for civil society </w:t>
      </w:r>
      <w:r w:rsidRPr="004A44D8">
        <w:rPr>
          <w:lang w:val="en-GB"/>
        </w:rPr>
        <w:t>organizations has been observed as an advantage of the use of online methods, it is emphasized that in-person meetings are preferred owing to challenges that include different time zones and limitations to connectivity.” (A/76/254, Annex II, para. 10).</w:t>
      </w:r>
      <w:r w:rsidRPr="005A1390">
        <w:rPr>
          <w:lang w:val="en-GB"/>
        </w:rPr>
        <w:t xml:space="preserve"> See also</w:t>
      </w:r>
      <w:r w:rsidRPr="00D95AD7">
        <w:rPr>
          <w:lang w:val="en-GB"/>
        </w:rPr>
        <w:t xml:space="preserve"> </w:t>
      </w:r>
      <w:r w:rsidR="00D523EA">
        <w:rPr>
          <w:lang w:val="en-GB"/>
        </w:rPr>
        <w:t xml:space="preserve">the </w:t>
      </w:r>
      <w:r w:rsidRPr="00D95AD7">
        <w:rPr>
          <w:lang w:val="en-GB"/>
        </w:rPr>
        <w:t>conclusion</w:t>
      </w:r>
      <w:r w:rsidR="00D523EA">
        <w:rPr>
          <w:lang w:val="en-GB"/>
        </w:rPr>
        <w:t>s</w:t>
      </w:r>
      <w:r w:rsidRPr="00D95AD7">
        <w:rPr>
          <w:lang w:val="en-GB"/>
        </w:rPr>
        <w:t xml:space="preserve"> of the co-facilitators that “there is a clear need to keep pace with the new technological developments to increase the efficiency, transparency and accessibility of the treaty body system”, but that “however, online work should not replace in-person interaction altogether.” (A/75/601, para. 19).</w:t>
      </w:r>
    </w:p>
  </w:endnote>
  <w:endnote w:id="3">
    <w:p w14:paraId="715630E6" w14:textId="605E6F7F" w:rsidR="00A05586" w:rsidRDefault="00A05586">
      <w:pPr>
        <w:pStyle w:val="EndnoteText"/>
      </w:pPr>
      <w:r>
        <w:rPr>
          <w:rStyle w:val="EndnoteReference"/>
        </w:rPr>
        <w:endnoteRef/>
      </w:r>
      <w:r w:rsidRPr="006C6C60">
        <w:rPr>
          <w:lang w:val="en-GB"/>
        </w:rPr>
        <w:t xml:space="preserve"> </w:t>
      </w:r>
      <w:r w:rsidRPr="004C150A">
        <w:rPr>
          <w:rFonts w:eastAsiaTheme="minorEastAsia"/>
          <w:lang w:val="en-GB"/>
        </w:rPr>
        <w:t>A/75/346, para. 46, (o)), as well as the report of the co-facilitators endorsing this recommendation (A/75/601, para. 22)</w:t>
      </w:r>
    </w:p>
  </w:endnote>
  <w:endnote w:id="4">
    <w:p w14:paraId="11414B37" w14:textId="77777777" w:rsidR="005A1390" w:rsidRPr="008F141D" w:rsidRDefault="005A1390" w:rsidP="00CE5CA5">
      <w:pPr>
        <w:pStyle w:val="EndnoteText"/>
        <w:rPr>
          <w:rFonts w:ascii="Times Roman" w:eastAsiaTheme="minorEastAsia" w:hAnsi="Times Roman" w:cs="Times Roman"/>
          <w:lang w:val="en-GB"/>
        </w:rPr>
      </w:pPr>
      <w:r w:rsidRPr="00CE5CA5">
        <w:rPr>
          <w:rStyle w:val="EndnoteReference"/>
          <w:lang w:val="en-GB"/>
        </w:rPr>
        <w:endnoteRef/>
      </w:r>
      <w:r w:rsidRPr="00CE5CA5">
        <w:rPr>
          <w:lang w:val="en-GB"/>
        </w:rPr>
        <w:t xml:space="preserve"> </w:t>
      </w:r>
      <w:r w:rsidRPr="005A1390">
        <w:rPr>
          <w:rFonts w:eastAsiaTheme="minorEastAsia"/>
          <w:lang w:val="en-GB"/>
        </w:rPr>
        <w:t xml:space="preserve">See the Chairs’ </w:t>
      </w:r>
      <w:r w:rsidRPr="00D95AD7">
        <w:rPr>
          <w:rFonts w:eastAsiaTheme="minorEastAsia"/>
          <w:lang w:val="en-GB"/>
        </w:rPr>
        <w:t xml:space="preserve">proposals, A/75/346, from para. 46, letters (e) to (l)): (e) </w:t>
      </w:r>
      <w:r w:rsidRPr="0061758B">
        <w:rPr>
          <w:rFonts w:eastAsiaTheme="minorEastAsia"/>
          <w:lang w:val="en-GB"/>
        </w:rPr>
        <w:t xml:space="preserve">That the formula for calculating the meeting time of treaty bodies contained in General Assembly resolution </w:t>
      </w:r>
      <w:r w:rsidRPr="00A82EE5">
        <w:rPr>
          <w:rFonts w:eastAsiaTheme="minorEastAsia"/>
          <w:color w:val="0000FF"/>
          <w:lang w:val="en-GB"/>
        </w:rPr>
        <w:t xml:space="preserve">68/268 </w:t>
      </w:r>
      <w:r w:rsidRPr="00142BE2">
        <w:rPr>
          <w:rFonts w:eastAsiaTheme="minorEastAsia"/>
          <w:lang w:val="en-GB"/>
        </w:rPr>
        <w:t>should take into account the prospective work of treaty bodies, in the light of the decision taken by both Covenant Committees to apply a predictable calendar of reviews, and to ensure sustainability by adequately funding the treaty body system to fulfil its mandate (see letter from the Chair of the Human Rights Committee of 16 July 2020).</w:t>
      </w:r>
    </w:p>
    <w:p w14:paraId="10EF3508" w14:textId="77777777" w:rsidR="005A1390" w:rsidRPr="008F141D" w:rsidRDefault="005A1390" w:rsidP="00CE5CA5">
      <w:pPr>
        <w:pStyle w:val="EndnoteText"/>
        <w:rPr>
          <w:rFonts w:ascii="Times Roman" w:eastAsiaTheme="minorEastAsia" w:hAnsi="Times Roman" w:cs="Times Roman"/>
          <w:lang w:val="en-GB"/>
        </w:rPr>
      </w:pPr>
      <w:r w:rsidRPr="008F141D">
        <w:rPr>
          <w:rFonts w:eastAsiaTheme="minorEastAsia"/>
          <w:lang w:val="en-GB"/>
        </w:rPr>
        <w:t xml:space="preserve">(f) That all Committees should be provided with the necessary financial resources to allow them to fulfil their various mandated activities, including the review of State party reports, individual communications, urgent actions, inquiries and visits, inter-State communications, early warning and urgent actions procedures, guidance on the interpretation of the provisions of the treaty through general comments or recommendations, follow-up on or request for further information relevant to the implementation of the treaties, the preventive mandate, carried out mainly through country visits, of the Subcommittee on Prevention of Torture and its mandated work concerning the establishment and operation of national preventive mechanisms and the visiting preventive mandate of the Committee on Enforced Disappearances and the corresponding human resources for the Secretariat. The formula of resources needs to be adopted to support all mandated activities; </w:t>
      </w:r>
    </w:p>
    <w:p w14:paraId="43D22249" w14:textId="77777777" w:rsidR="005A1390" w:rsidRPr="008F141D" w:rsidRDefault="005A1390" w:rsidP="00CE5CA5">
      <w:pPr>
        <w:pStyle w:val="EndnoteText"/>
        <w:rPr>
          <w:rFonts w:ascii="Times Roman" w:eastAsiaTheme="minorEastAsia" w:hAnsi="Times Roman" w:cs="Times Roman"/>
          <w:lang w:val="en-GB"/>
        </w:rPr>
      </w:pPr>
      <w:r w:rsidRPr="008F141D">
        <w:rPr>
          <w:rFonts w:eastAsiaTheme="minorEastAsia"/>
          <w:lang w:val="en-GB"/>
        </w:rPr>
        <w:t xml:space="preserve">(g) To ensure the provision of resources for the implementation of the decision of the Covenant Committees to establish predictable review cycles over an eight-year period to review all States parties, whether reporting or not reporting, by 2023; </w:t>
      </w:r>
    </w:p>
    <w:p w14:paraId="6F7A3511" w14:textId="77777777" w:rsidR="005A1390" w:rsidRPr="008F141D" w:rsidRDefault="005A1390" w:rsidP="00CE5CA5">
      <w:pPr>
        <w:pStyle w:val="EndnoteText"/>
        <w:rPr>
          <w:rFonts w:ascii="Times Roman" w:eastAsiaTheme="minorEastAsia" w:hAnsi="Times Roman" w:cs="Times Roman"/>
          <w:lang w:val="en-GB"/>
        </w:rPr>
      </w:pPr>
      <w:r w:rsidRPr="008F141D">
        <w:rPr>
          <w:rFonts w:eastAsiaTheme="minorEastAsia"/>
          <w:lang w:val="en-GB"/>
        </w:rPr>
        <w:t xml:space="preserve">(h) To ensure the provision of resources for the implementation of the decision of the Convention Committees to establish a predictable review cycle for all States parties in accordance with a fixed review schedule, whether reporting or not reporting, and consider replacing every second review with a focused review, which may consist of an in situ visit by one member of the treaty body with one member of the Secretariat to engage with the State party; </w:t>
      </w:r>
    </w:p>
    <w:p w14:paraId="3E52B241" w14:textId="77777777" w:rsidR="005A1390" w:rsidRPr="008F141D" w:rsidRDefault="005A1390" w:rsidP="00CE5CA5">
      <w:pPr>
        <w:pStyle w:val="EndnoteText"/>
        <w:rPr>
          <w:rFonts w:ascii="Times Roman" w:eastAsiaTheme="minorEastAsia" w:hAnsi="Times Roman" w:cs="Times Roman"/>
          <w:lang w:val="en-GB"/>
        </w:rPr>
      </w:pPr>
      <w:r w:rsidRPr="008F141D">
        <w:rPr>
          <w:rFonts w:eastAsiaTheme="minorEastAsia"/>
          <w:lang w:val="en-GB"/>
        </w:rPr>
        <w:t>(i) To support the Committee on Enforced Disappearances in the establishment of a predictable review cycle to review countries in accordance with a fixed review schedule to review all States parties, whether reporting or not reporting, as well as any other Committee which may decide the same in the future (see letter from the Chair of the Committee on Enforced Disappearances of 24 July 2020);</w:t>
      </w:r>
    </w:p>
    <w:p w14:paraId="058D42CE" w14:textId="77777777" w:rsidR="005A1390" w:rsidRPr="008F141D" w:rsidRDefault="005A1390" w:rsidP="00886919">
      <w:pPr>
        <w:pStyle w:val="EndnoteText"/>
        <w:rPr>
          <w:rFonts w:ascii="Times Roman" w:eastAsiaTheme="minorEastAsia" w:hAnsi="Times Roman" w:cs="Times Roman"/>
          <w:lang w:val="en-GB"/>
        </w:rPr>
      </w:pPr>
      <w:r w:rsidRPr="008F141D">
        <w:rPr>
          <w:rFonts w:eastAsiaTheme="minorEastAsia"/>
          <w:lang w:val="en-GB"/>
        </w:rPr>
        <w:t xml:space="preserve">(j) To encourage States to accept the option of replacing every second review with a focused review, which may consist of an in situ visit; </w:t>
      </w:r>
    </w:p>
    <w:p w14:paraId="17488E7D" w14:textId="77777777" w:rsidR="005A1390" w:rsidRPr="008F141D" w:rsidRDefault="005A1390" w:rsidP="00886919">
      <w:pPr>
        <w:pStyle w:val="EndnoteText"/>
        <w:rPr>
          <w:rFonts w:ascii="Times Roman" w:eastAsiaTheme="minorEastAsia" w:hAnsi="Times Roman" w:cs="Times Roman"/>
          <w:lang w:val="en-GB"/>
        </w:rPr>
      </w:pPr>
      <w:r w:rsidRPr="008F141D">
        <w:rPr>
          <w:rFonts w:eastAsiaTheme="minorEastAsia"/>
          <w:lang w:val="en-GB"/>
        </w:rPr>
        <w:t xml:space="preserve">(k) To ensure the provision of resources to treaty bodies in their efforts to make the simplified reporting procedure the default procedure for periodic reports, and if the treaty body concerned so decides, for initial reports, from which States parties can opt out; </w:t>
      </w:r>
    </w:p>
    <w:p w14:paraId="4633F54E" w14:textId="344A8865" w:rsidR="005A1390" w:rsidRPr="008F141D" w:rsidRDefault="005A1390" w:rsidP="00DA756D">
      <w:pPr>
        <w:pStyle w:val="EndnoteText"/>
        <w:rPr>
          <w:rFonts w:ascii="Times Roman" w:eastAsiaTheme="minorEastAsia" w:hAnsi="Times Roman" w:cs="Times Roman"/>
          <w:lang w:val="en-GB"/>
        </w:rPr>
      </w:pPr>
      <w:r w:rsidRPr="008F141D">
        <w:rPr>
          <w:rFonts w:eastAsiaTheme="minorEastAsia"/>
          <w:lang w:val="en-GB"/>
        </w:rPr>
        <w:t>(l) To encourage dialogue with States in the region (see letter from the group of treaty body experts of 6 July 2020)</w:t>
      </w:r>
      <w:r w:rsidRPr="008F141D">
        <w:rPr>
          <w:lang w:val="en-GB"/>
        </w:rPr>
        <w:t>.</w:t>
      </w:r>
    </w:p>
  </w:endnote>
  <w:endnote w:id="5">
    <w:p w14:paraId="60A0E732" w14:textId="77777777" w:rsidR="005A1390" w:rsidRPr="00034A86" w:rsidRDefault="005A1390" w:rsidP="005C5D7F">
      <w:pPr>
        <w:pStyle w:val="EndnoteText"/>
        <w:rPr>
          <w:rFonts w:eastAsiaTheme="minorEastAsia"/>
          <w:lang w:val="en-GB"/>
        </w:rPr>
      </w:pPr>
      <w:r w:rsidRPr="00E8351D">
        <w:rPr>
          <w:rStyle w:val="EndnoteReference"/>
          <w:lang w:val="en-GB"/>
        </w:rPr>
        <w:endnoteRef/>
      </w:r>
      <w:r w:rsidRPr="00E8351D">
        <w:rPr>
          <w:lang w:val="en-GB"/>
        </w:rPr>
        <w:t xml:space="preserve"> </w:t>
      </w:r>
      <w:r>
        <w:rPr>
          <w:lang w:val="en-GB"/>
        </w:rPr>
        <w:t xml:space="preserve">See </w:t>
      </w:r>
      <w:r w:rsidRPr="004C150A">
        <w:rPr>
          <w:rFonts w:eastAsiaTheme="minorEastAsia"/>
          <w:lang w:val="en-GB"/>
        </w:rPr>
        <w:t>A/75/601</w:t>
      </w:r>
      <w:r>
        <w:rPr>
          <w:lang w:val="en-GB"/>
        </w:rPr>
        <w:t>: “</w:t>
      </w:r>
      <w:r w:rsidRPr="00034A86">
        <w:rPr>
          <w:rFonts w:eastAsiaTheme="minorEastAsia"/>
          <w:lang w:val="en-GB"/>
        </w:rPr>
        <w:t xml:space="preserve">56. The co-facilitators are of the view that, in order to better inform the discussions and with the aim of increasing reporting compliance to its fullest extent, OHCHR could prepare, in coordination with the treaty bodies, a proposed schedule and estimated costing for predictable review cycles. The aim of such a calendar should be to maximize synergies between reviews and take into account the resource constraints of States parties, including those of small States, small island developing States and the least developed countries. The scheduling of States’ reviews by OHCHR should also factor in other reporting obligations, including to the universal periodic review.” </w:t>
      </w:r>
    </w:p>
    <w:p w14:paraId="17D260AE" w14:textId="77777777" w:rsidR="005A1390" w:rsidRPr="00034A86" w:rsidRDefault="005A1390" w:rsidP="005C5D7F">
      <w:pPr>
        <w:pStyle w:val="EndnoteText"/>
        <w:rPr>
          <w:rFonts w:eastAsiaTheme="minorEastAsia"/>
          <w:lang w:val="en-GB"/>
        </w:rPr>
      </w:pPr>
      <w:r w:rsidRPr="00034A86">
        <w:rPr>
          <w:rFonts w:eastAsiaTheme="minorEastAsia"/>
          <w:lang w:val="en-GB"/>
        </w:rPr>
        <w:t>69. The co-facilitators acknowledge the positive value of introducing reviews in the regions as an important step towards increased domestic stakeholder accessibility, enhanced visibility of the treaty body system and closer interaction with national and regional human rights system. Therefore, the co-facilitators encourage treaty bodies’ engagement with United Nations Member States at the regional level. This could include, inter alia, organizing reviews of States at the United Nations regional offices, follow-up webinars on concluding observations and sharing good practices o</w:t>
      </w:r>
      <w:r w:rsidRPr="00034A86">
        <w:rPr>
          <w:lang w:val="en-GB"/>
        </w:rPr>
        <w:t>n follow-up to recommendations.</w:t>
      </w:r>
    </w:p>
    <w:p w14:paraId="7CD3B2D2" w14:textId="77777777" w:rsidR="005A1390" w:rsidRPr="00386CEF" w:rsidRDefault="005A1390" w:rsidP="005C5D7F">
      <w:pPr>
        <w:pStyle w:val="EndnoteText"/>
        <w:rPr>
          <w:rFonts w:eastAsiaTheme="minorEastAsia"/>
          <w:lang w:val="en-GB"/>
        </w:rPr>
      </w:pPr>
      <w:r w:rsidRPr="00034A86">
        <w:rPr>
          <w:rFonts w:eastAsiaTheme="minorEastAsia"/>
          <w:lang w:val="en-GB"/>
        </w:rPr>
        <w:t xml:space="preserve">76. It is the view of the co-facilitators that the budgetary allocation and availability of resources for treaty bodies should not be subject to fluctuation as the treaty bodies deal with the implementation of the legal obligations of States, which, if interrupted, produces an immediate protection gap and impacts on individual rights directly. [77. Therefore, the co-facilitators are of the view that the General Assembly needs to provide the full allocation of resources required by the treaty bodies to effectively carry out their functions and mandates, including the need to secure the necessary support staff within the Secretariat. Furthermore, it would possibly be more appropriate to look at the funding needs of the system on the basis of the number of ratifications, and the expected compliance of States parties on a regular basis. Thus, the current funding formula of the human rights treaty body system in General Assembly resolution </w:t>
      </w:r>
      <w:r w:rsidRPr="00034A86">
        <w:rPr>
          <w:rFonts w:eastAsiaTheme="minorEastAsia"/>
          <w:color w:val="0000FF"/>
          <w:lang w:val="en-GB"/>
        </w:rPr>
        <w:t xml:space="preserve">68/268 </w:t>
      </w:r>
      <w:r w:rsidRPr="00034A86">
        <w:rPr>
          <w:rFonts w:eastAsiaTheme="minorEastAsia"/>
          <w:lang w:val="en-GB"/>
        </w:rPr>
        <w:t>should be revisited. These budgetary issues require not only the commitment of Member States to fulfil their financial obligations to the United Nations but also coordinated actions in the Fifth Committee of the General Assembly to ensure adequate funding for the Secretariat and the treaty body system.”</w:t>
      </w:r>
    </w:p>
  </w:endnote>
  <w:endnote w:id="6">
    <w:p w14:paraId="6568F031" w14:textId="7F2064F8" w:rsidR="00267C96" w:rsidRDefault="00267C96">
      <w:pPr>
        <w:pStyle w:val="EndnoteText"/>
      </w:pPr>
      <w:r>
        <w:rPr>
          <w:rStyle w:val="EndnoteReference"/>
        </w:rPr>
        <w:endnoteRef/>
      </w:r>
      <w:r>
        <w:t xml:space="preserve"> A/75/601, para. 83.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4E"/>
    <w:family w:val="auto"/>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charset w:val="00"/>
    <w:family w:val="auto"/>
    <w:pitch w:val="variable"/>
    <w:sig w:usb0="E1000AEF" w:usb1="5000A1FF" w:usb2="00000000" w:usb3="00000000" w:csb0="000001BF" w:csb1="00000000"/>
  </w:font>
  <w:font w:name="Times Roman">
    <w:altName w:val="Times New Roman"/>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A10F3" w14:textId="77777777" w:rsidR="00165D42" w:rsidRDefault="00165D42" w:rsidP="00BC6B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FA19BC" w14:textId="77777777" w:rsidR="00165D42" w:rsidRDefault="00165D42" w:rsidP="00BC6B1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17FB6" w14:textId="023046D8" w:rsidR="00165D42" w:rsidRDefault="00165D42" w:rsidP="00BC6B11">
    <w:pPr>
      <w:pStyle w:val="Footer"/>
      <w:framePr w:wrap="around" w:vAnchor="text" w:hAnchor="margin" w:xAlign="right" w:y="1"/>
      <w:ind w:left="720"/>
      <w:rPr>
        <w:rStyle w:val="PageNumber"/>
      </w:rPr>
    </w:pPr>
    <w:r>
      <w:rPr>
        <w:rStyle w:val="PageNumber"/>
      </w:rPr>
      <w:fldChar w:fldCharType="begin"/>
    </w:r>
    <w:r>
      <w:rPr>
        <w:rStyle w:val="PageNumber"/>
      </w:rPr>
      <w:instrText xml:space="preserve">PAGE  </w:instrText>
    </w:r>
    <w:r>
      <w:rPr>
        <w:rStyle w:val="PageNumber"/>
      </w:rPr>
      <w:fldChar w:fldCharType="separate"/>
    </w:r>
    <w:r w:rsidR="00202804">
      <w:rPr>
        <w:rStyle w:val="PageNumber"/>
        <w:noProof/>
      </w:rPr>
      <w:t>1</w:t>
    </w:r>
    <w:r>
      <w:rPr>
        <w:rStyle w:val="PageNumber"/>
      </w:rPr>
      <w:fldChar w:fldCharType="end"/>
    </w:r>
  </w:p>
  <w:p w14:paraId="34B1713A" w14:textId="77777777" w:rsidR="00165D42" w:rsidRDefault="00165D42" w:rsidP="00BC6B11">
    <w:pPr>
      <w:pStyle w:val="Footer"/>
      <w:ind w:left="720"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B6965" w14:textId="77777777" w:rsidR="00B345B9" w:rsidRDefault="00B345B9" w:rsidP="00574C44">
      <w:pPr>
        <w:numPr>
          <w:ilvl w:val="0"/>
          <w:numId w:val="0"/>
        </w:numPr>
        <w:spacing w:before="0" w:after="0" w:line="240" w:lineRule="auto"/>
        <w:ind w:left="720"/>
      </w:pPr>
      <w:r>
        <w:separator/>
      </w:r>
    </w:p>
  </w:footnote>
  <w:footnote w:type="continuationSeparator" w:id="0">
    <w:p w14:paraId="0CBF5A80" w14:textId="77777777" w:rsidR="00B345B9" w:rsidRDefault="00B345B9" w:rsidP="003434D3">
      <w:pPr>
        <w:numPr>
          <w:ilvl w:val="0"/>
          <w:numId w:val="0"/>
        </w:numPr>
        <w:spacing w:before="0" w:after="0" w:line="240" w:lineRule="auto"/>
        <w:ind w:left="720"/>
      </w:pPr>
      <w:r>
        <w:continuationSeparator/>
      </w:r>
    </w:p>
  </w:footnote>
  <w:footnote w:type="continuationNotice" w:id="1">
    <w:p w14:paraId="202460C0" w14:textId="77777777" w:rsidR="00B345B9" w:rsidRDefault="00B345B9" w:rsidP="00C52F4E">
      <w:pPr>
        <w:numPr>
          <w:ilvl w:val="0"/>
          <w:numId w:val="0"/>
        </w:numPr>
        <w:spacing w:before="0" w:after="0" w:line="240" w:lineRule="auto"/>
        <w:ind w:left="72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869DE" w14:textId="6BBFD853" w:rsidR="00165D42" w:rsidRPr="006C6C60" w:rsidRDefault="00400766" w:rsidP="003B653D">
    <w:pPr>
      <w:pStyle w:val="Header"/>
      <w:numPr>
        <w:ilvl w:val="0"/>
        <w:numId w:val="0"/>
      </w:numPr>
      <w:ind w:left="720"/>
      <w:jc w:val="right"/>
      <w:rPr>
        <w:sz w:val="22"/>
        <w:szCs w:val="22"/>
        <w:lang w:val="en-GB"/>
      </w:rPr>
    </w:pPr>
    <w:r>
      <w:rPr>
        <w:sz w:val="22"/>
        <w:szCs w:val="22"/>
        <w:lang w:val="en-GB"/>
      </w:rPr>
      <w:t xml:space="preserve">CED reply </w:t>
    </w:r>
    <w:r w:rsidR="00165D42" w:rsidRPr="006C6C60">
      <w:rPr>
        <w:sz w:val="22"/>
        <w:szCs w:val="22"/>
        <w:lang w:val="en-GB"/>
      </w:rPr>
      <w:t>to CRPD</w:t>
    </w:r>
    <w:r w:rsidR="003B653D" w:rsidRPr="006C6C60">
      <w:rPr>
        <w:sz w:val="22"/>
        <w:szCs w:val="22"/>
        <w:lang w:val="en-GB"/>
      </w:rPr>
      <w:t xml:space="preserve"> 24-9-2021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0D8F"/>
    <w:multiLevelType w:val="hybridMultilevel"/>
    <w:tmpl w:val="A3186158"/>
    <w:lvl w:ilvl="0" w:tplc="0406000F">
      <w:start w:val="1"/>
      <w:numFmt w:val="decimal"/>
      <w:lvlText w:val="%1."/>
      <w:lvlJc w:val="left"/>
      <w:pPr>
        <w:ind w:left="720" w:hanging="360"/>
      </w:pPr>
      <w:rPr>
        <w:rFonts w:hint="default"/>
      </w:rPr>
    </w:lvl>
    <w:lvl w:ilvl="1" w:tplc="B0B0D132">
      <w:start w:val="1"/>
      <w:numFmt w:val="lowerLetter"/>
      <w:lvlText w:val="%2)"/>
      <w:lvlJc w:val="left"/>
      <w:pPr>
        <w:ind w:left="1440" w:hanging="360"/>
      </w:pPr>
      <w:rPr>
        <w:rFonts w:asciiTheme="minorHAnsi" w:eastAsiaTheme="minorHAnsi" w:hAnsiTheme="minorHAnsi" w:cstheme="minorBidi"/>
      </w:rPr>
    </w:lvl>
    <w:lvl w:ilvl="2" w:tplc="04060001">
      <w:start w:val="1"/>
      <w:numFmt w:val="bullet"/>
      <w:lvlText w:val=""/>
      <w:lvlJc w:val="left"/>
      <w:pPr>
        <w:ind w:left="2160" w:hanging="180"/>
      </w:pPr>
      <w:rPr>
        <w:rFonts w:ascii="Symbol" w:hAnsi="Symbol" w:hint="default"/>
      </w:r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16950926"/>
    <w:multiLevelType w:val="hybridMultilevel"/>
    <w:tmpl w:val="5CBAC13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348A4DC8"/>
    <w:multiLevelType w:val="hybridMultilevel"/>
    <w:tmpl w:val="CB5C0AEA"/>
    <w:lvl w:ilvl="0" w:tplc="E1D8D3E4">
      <w:start w:val="1"/>
      <w:numFmt w:val="decimal"/>
      <w:pStyle w:val="Nor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7A50204"/>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B3B0642"/>
    <w:multiLevelType w:val="multilevel"/>
    <w:tmpl w:val="CB5C0A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5313467"/>
    <w:multiLevelType w:val="multilevel"/>
    <w:tmpl w:val="CB5C0A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F8A"/>
    <w:rsid w:val="00000379"/>
    <w:rsid w:val="000017C9"/>
    <w:rsid w:val="00002459"/>
    <w:rsid w:val="000024CE"/>
    <w:rsid w:val="00003450"/>
    <w:rsid w:val="00003A56"/>
    <w:rsid w:val="000059F8"/>
    <w:rsid w:val="00006C2C"/>
    <w:rsid w:val="00011DC8"/>
    <w:rsid w:val="000157FF"/>
    <w:rsid w:val="000158A5"/>
    <w:rsid w:val="00016505"/>
    <w:rsid w:val="0002099B"/>
    <w:rsid w:val="0002521E"/>
    <w:rsid w:val="00027F7C"/>
    <w:rsid w:val="00030AD3"/>
    <w:rsid w:val="00031B0A"/>
    <w:rsid w:val="0003452F"/>
    <w:rsid w:val="00034A86"/>
    <w:rsid w:val="0003637C"/>
    <w:rsid w:val="00037470"/>
    <w:rsid w:val="00037992"/>
    <w:rsid w:val="0004242E"/>
    <w:rsid w:val="000462DF"/>
    <w:rsid w:val="00047C6F"/>
    <w:rsid w:val="00052789"/>
    <w:rsid w:val="000624FC"/>
    <w:rsid w:val="00063F79"/>
    <w:rsid w:val="00064229"/>
    <w:rsid w:val="00066094"/>
    <w:rsid w:val="000701C1"/>
    <w:rsid w:val="000703F8"/>
    <w:rsid w:val="00070822"/>
    <w:rsid w:val="00070F6D"/>
    <w:rsid w:val="00073742"/>
    <w:rsid w:val="000741DD"/>
    <w:rsid w:val="00075FE3"/>
    <w:rsid w:val="0007746F"/>
    <w:rsid w:val="00084805"/>
    <w:rsid w:val="00084A56"/>
    <w:rsid w:val="00093DAD"/>
    <w:rsid w:val="0009653E"/>
    <w:rsid w:val="000A59D1"/>
    <w:rsid w:val="000A7DBD"/>
    <w:rsid w:val="000B231F"/>
    <w:rsid w:val="000B254B"/>
    <w:rsid w:val="000B5872"/>
    <w:rsid w:val="000B6FA7"/>
    <w:rsid w:val="000C1273"/>
    <w:rsid w:val="000C193D"/>
    <w:rsid w:val="000C3CBD"/>
    <w:rsid w:val="000C4068"/>
    <w:rsid w:val="000C6D2F"/>
    <w:rsid w:val="000C78D8"/>
    <w:rsid w:val="000D4E26"/>
    <w:rsid w:val="000D6750"/>
    <w:rsid w:val="000D704B"/>
    <w:rsid w:val="000D7534"/>
    <w:rsid w:val="000E0DA8"/>
    <w:rsid w:val="000E1FBA"/>
    <w:rsid w:val="000E2174"/>
    <w:rsid w:val="000E7968"/>
    <w:rsid w:val="000F1B3D"/>
    <w:rsid w:val="000F2ED5"/>
    <w:rsid w:val="000F393D"/>
    <w:rsid w:val="000F5386"/>
    <w:rsid w:val="000F72EB"/>
    <w:rsid w:val="000F77F2"/>
    <w:rsid w:val="00103440"/>
    <w:rsid w:val="00113322"/>
    <w:rsid w:val="001169DA"/>
    <w:rsid w:val="00122367"/>
    <w:rsid w:val="00123FE3"/>
    <w:rsid w:val="00130A80"/>
    <w:rsid w:val="00130E48"/>
    <w:rsid w:val="001342DD"/>
    <w:rsid w:val="00140351"/>
    <w:rsid w:val="00142BE2"/>
    <w:rsid w:val="001437F9"/>
    <w:rsid w:val="00146999"/>
    <w:rsid w:val="00146B97"/>
    <w:rsid w:val="00146D1C"/>
    <w:rsid w:val="00147249"/>
    <w:rsid w:val="00147992"/>
    <w:rsid w:val="00154A09"/>
    <w:rsid w:val="00154BBA"/>
    <w:rsid w:val="00154CDB"/>
    <w:rsid w:val="00156624"/>
    <w:rsid w:val="00160718"/>
    <w:rsid w:val="00162A12"/>
    <w:rsid w:val="00162C0D"/>
    <w:rsid w:val="00165D42"/>
    <w:rsid w:val="001700E1"/>
    <w:rsid w:val="00170411"/>
    <w:rsid w:val="00170720"/>
    <w:rsid w:val="00171B4D"/>
    <w:rsid w:val="001732E8"/>
    <w:rsid w:val="00173A6B"/>
    <w:rsid w:val="00174B87"/>
    <w:rsid w:val="00176E67"/>
    <w:rsid w:val="001800F7"/>
    <w:rsid w:val="0018034A"/>
    <w:rsid w:val="00180545"/>
    <w:rsid w:val="00186142"/>
    <w:rsid w:val="00186722"/>
    <w:rsid w:val="00190CC4"/>
    <w:rsid w:val="001946D3"/>
    <w:rsid w:val="00194ECA"/>
    <w:rsid w:val="001A2E99"/>
    <w:rsid w:val="001A5C07"/>
    <w:rsid w:val="001B2699"/>
    <w:rsid w:val="001B2B1E"/>
    <w:rsid w:val="001B3CAC"/>
    <w:rsid w:val="001B57B3"/>
    <w:rsid w:val="001B6347"/>
    <w:rsid w:val="001C0A6F"/>
    <w:rsid w:val="001C16B5"/>
    <w:rsid w:val="001C5017"/>
    <w:rsid w:val="001C5E7B"/>
    <w:rsid w:val="001C6960"/>
    <w:rsid w:val="001D00CE"/>
    <w:rsid w:val="001D1361"/>
    <w:rsid w:val="001D5625"/>
    <w:rsid w:val="001E1B3E"/>
    <w:rsid w:val="001E6DB5"/>
    <w:rsid w:val="001F0ADE"/>
    <w:rsid w:val="001F35B5"/>
    <w:rsid w:val="001F46AE"/>
    <w:rsid w:val="00202804"/>
    <w:rsid w:val="00202D91"/>
    <w:rsid w:val="002042E6"/>
    <w:rsid w:val="00204840"/>
    <w:rsid w:val="00206566"/>
    <w:rsid w:val="0020775D"/>
    <w:rsid w:val="0020781E"/>
    <w:rsid w:val="00207CCC"/>
    <w:rsid w:val="002101C4"/>
    <w:rsid w:val="0021060E"/>
    <w:rsid w:val="00210B8B"/>
    <w:rsid w:val="002123BA"/>
    <w:rsid w:val="002171F3"/>
    <w:rsid w:val="0021753E"/>
    <w:rsid w:val="00217822"/>
    <w:rsid w:val="00220A27"/>
    <w:rsid w:val="00224A69"/>
    <w:rsid w:val="00230173"/>
    <w:rsid w:val="00231198"/>
    <w:rsid w:val="00231209"/>
    <w:rsid w:val="002315EF"/>
    <w:rsid w:val="00232005"/>
    <w:rsid w:val="00233963"/>
    <w:rsid w:val="00234CE4"/>
    <w:rsid w:val="00236E25"/>
    <w:rsid w:val="00242637"/>
    <w:rsid w:val="002433A3"/>
    <w:rsid w:val="002438B9"/>
    <w:rsid w:val="00245FA1"/>
    <w:rsid w:val="00250CAF"/>
    <w:rsid w:val="0026262F"/>
    <w:rsid w:val="00265BAA"/>
    <w:rsid w:val="0026746D"/>
    <w:rsid w:val="00267C96"/>
    <w:rsid w:val="00267F83"/>
    <w:rsid w:val="00272987"/>
    <w:rsid w:val="00280F44"/>
    <w:rsid w:val="00284EAD"/>
    <w:rsid w:val="00285AB3"/>
    <w:rsid w:val="002908A9"/>
    <w:rsid w:val="00290B57"/>
    <w:rsid w:val="002915E5"/>
    <w:rsid w:val="00295A4D"/>
    <w:rsid w:val="0029777A"/>
    <w:rsid w:val="00297A63"/>
    <w:rsid w:val="002A0535"/>
    <w:rsid w:val="002A4327"/>
    <w:rsid w:val="002A4EAF"/>
    <w:rsid w:val="002B12A9"/>
    <w:rsid w:val="002B185F"/>
    <w:rsid w:val="002B504A"/>
    <w:rsid w:val="002B53AB"/>
    <w:rsid w:val="002B7759"/>
    <w:rsid w:val="002C2EC2"/>
    <w:rsid w:val="002C31AA"/>
    <w:rsid w:val="002C353A"/>
    <w:rsid w:val="002C4B1E"/>
    <w:rsid w:val="002C7156"/>
    <w:rsid w:val="002D2CD6"/>
    <w:rsid w:val="002D6769"/>
    <w:rsid w:val="002E19C8"/>
    <w:rsid w:val="002E297D"/>
    <w:rsid w:val="002E3604"/>
    <w:rsid w:val="002E49E3"/>
    <w:rsid w:val="002E57A2"/>
    <w:rsid w:val="002E6DF4"/>
    <w:rsid w:val="002F09C1"/>
    <w:rsid w:val="002F1A39"/>
    <w:rsid w:val="002F2C8F"/>
    <w:rsid w:val="002F32FC"/>
    <w:rsid w:val="00300BD9"/>
    <w:rsid w:val="003022CA"/>
    <w:rsid w:val="003062C0"/>
    <w:rsid w:val="00306BC5"/>
    <w:rsid w:val="0031461A"/>
    <w:rsid w:val="003170A5"/>
    <w:rsid w:val="003237B1"/>
    <w:rsid w:val="00324BA8"/>
    <w:rsid w:val="003257CA"/>
    <w:rsid w:val="0032586C"/>
    <w:rsid w:val="0032691D"/>
    <w:rsid w:val="00326E72"/>
    <w:rsid w:val="00331626"/>
    <w:rsid w:val="00331686"/>
    <w:rsid w:val="003363BD"/>
    <w:rsid w:val="003434D3"/>
    <w:rsid w:val="00345D7D"/>
    <w:rsid w:val="00347169"/>
    <w:rsid w:val="003507FF"/>
    <w:rsid w:val="003532B4"/>
    <w:rsid w:val="00356415"/>
    <w:rsid w:val="0035753D"/>
    <w:rsid w:val="00360787"/>
    <w:rsid w:val="00360FCF"/>
    <w:rsid w:val="0036117E"/>
    <w:rsid w:val="00362B44"/>
    <w:rsid w:val="00362F6E"/>
    <w:rsid w:val="003646FD"/>
    <w:rsid w:val="00366EFE"/>
    <w:rsid w:val="00367F26"/>
    <w:rsid w:val="00372641"/>
    <w:rsid w:val="0037294A"/>
    <w:rsid w:val="00380021"/>
    <w:rsid w:val="003812DB"/>
    <w:rsid w:val="003818E1"/>
    <w:rsid w:val="003834DB"/>
    <w:rsid w:val="003834EA"/>
    <w:rsid w:val="00384D64"/>
    <w:rsid w:val="00385048"/>
    <w:rsid w:val="00386CEF"/>
    <w:rsid w:val="003900CD"/>
    <w:rsid w:val="00391CC3"/>
    <w:rsid w:val="00392C69"/>
    <w:rsid w:val="003A1AFF"/>
    <w:rsid w:val="003A430D"/>
    <w:rsid w:val="003A4649"/>
    <w:rsid w:val="003A5E3F"/>
    <w:rsid w:val="003A6FFC"/>
    <w:rsid w:val="003A7BA7"/>
    <w:rsid w:val="003B2455"/>
    <w:rsid w:val="003B2966"/>
    <w:rsid w:val="003B44DF"/>
    <w:rsid w:val="003B5123"/>
    <w:rsid w:val="003B54BA"/>
    <w:rsid w:val="003B653D"/>
    <w:rsid w:val="003B78DF"/>
    <w:rsid w:val="003C1A27"/>
    <w:rsid w:val="003C34A1"/>
    <w:rsid w:val="003C356A"/>
    <w:rsid w:val="003C38BB"/>
    <w:rsid w:val="003C5364"/>
    <w:rsid w:val="003C586B"/>
    <w:rsid w:val="003C61CF"/>
    <w:rsid w:val="003D35E0"/>
    <w:rsid w:val="003D567E"/>
    <w:rsid w:val="003D5E21"/>
    <w:rsid w:val="003D6197"/>
    <w:rsid w:val="003E02F4"/>
    <w:rsid w:val="003E202E"/>
    <w:rsid w:val="003E2B58"/>
    <w:rsid w:val="003E325A"/>
    <w:rsid w:val="003E5091"/>
    <w:rsid w:val="003F23B8"/>
    <w:rsid w:val="003F2A27"/>
    <w:rsid w:val="003F2E57"/>
    <w:rsid w:val="00400766"/>
    <w:rsid w:val="004018B7"/>
    <w:rsid w:val="00404805"/>
    <w:rsid w:val="00406B7F"/>
    <w:rsid w:val="00407674"/>
    <w:rsid w:val="00412E61"/>
    <w:rsid w:val="0041449B"/>
    <w:rsid w:val="0041512D"/>
    <w:rsid w:val="0041648F"/>
    <w:rsid w:val="004173E1"/>
    <w:rsid w:val="004201C8"/>
    <w:rsid w:val="00420912"/>
    <w:rsid w:val="004243D8"/>
    <w:rsid w:val="00425FF9"/>
    <w:rsid w:val="00426F56"/>
    <w:rsid w:val="00426F8A"/>
    <w:rsid w:val="0043108C"/>
    <w:rsid w:val="00431AED"/>
    <w:rsid w:val="004320D1"/>
    <w:rsid w:val="00435E5C"/>
    <w:rsid w:val="004374B7"/>
    <w:rsid w:val="004423A0"/>
    <w:rsid w:val="00443EB7"/>
    <w:rsid w:val="00444A73"/>
    <w:rsid w:val="00447E1E"/>
    <w:rsid w:val="0045049E"/>
    <w:rsid w:val="00450A7E"/>
    <w:rsid w:val="00451114"/>
    <w:rsid w:val="004520E9"/>
    <w:rsid w:val="00456840"/>
    <w:rsid w:val="004620A7"/>
    <w:rsid w:val="00467AA8"/>
    <w:rsid w:val="00471E65"/>
    <w:rsid w:val="00474260"/>
    <w:rsid w:val="00474A52"/>
    <w:rsid w:val="004800B1"/>
    <w:rsid w:val="004810AC"/>
    <w:rsid w:val="00481FE1"/>
    <w:rsid w:val="00484092"/>
    <w:rsid w:val="00485515"/>
    <w:rsid w:val="00485A04"/>
    <w:rsid w:val="00486923"/>
    <w:rsid w:val="00486A6D"/>
    <w:rsid w:val="00487B5F"/>
    <w:rsid w:val="004910B9"/>
    <w:rsid w:val="004941B8"/>
    <w:rsid w:val="004A272D"/>
    <w:rsid w:val="004A2A71"/>
    <w:rsid w:val="004A44D8"/>
    <w:rsid w:val="004A6629"/>
    <w:rsid w:val="004B057E"/>
    <w:rsid w:val="004B211C"/>
    <w:rsid w:val="004B2E19"/>
    <w:rsid w:val="004B4009"/>
    <w:rsid w:val="004B4686"/>
    <w:rsid w:val="004B5C93"/>
    <w:rsid w:val="004C088B"/>
    <w:rsid w:val="004C0A53"/>
    <w:rsid w:val="004C150A"/>
    <w:rsid w:val="004C3261"/>
    <w:rsid w:val="004C6C8B"/>
    <w:rsid w:val="004C702E"/>
    <w:rsid w:val="004C728B"/>
    <w:rsid w:val="004C72F9"/>
    <w:rsid w:val="004D569B"/>
    <w:rsid w:val="004D5DCA"/>
    <w:rsid w:val="004D7056"/>
    <w:rsid w:val="004D7DA9"/>
    <w:rsid w:val="004E2B0F"/>
    <w:rsid w:val="004F1634"/>
    <w:rsid w:val="004F2A8B"/>
    <w:rsid w:val="004F4777"/>
    <w:rsid w:val="00500A28"/>
    <w:rsid w:val="00501740"/>
    <w:rsid w:val="00502101"/>
    <w:rsid w:val="00502A3A"/>
    <w:rsid w:val="00502B92"/>
    <w:rsid w:val="005044EB"/>
    <w:rsid w:val="00506EE4"/>
    <w:rsid w:val="00507038"/>
    <w:rsid w:val="00510CC6"/>
    <w:rsid w:val="00513935"/>
    <w:rsid w:val="005139FA"/>
    <w:rsid w:val="00513CBE"/>
    <w:rsid w:val="00521A40"/>
    <w:rsid w:val="0052274C"/>
    <w:rsid w:val="00524AF3"/>
    <w:rsid w:val="005312C4"/>
    <w:rsid w:val="005336DB"/>
    <w:rsid w:val="00533B5B"/>
    <w:rsid w:val="005403E1"/>
    <w:rsid w:val="0054503E"/>
    <w:rsid w:val="00545084"/>
    <w:rsid w:val="00546E20"/>
    <w:rsid w:val="0055065B"/>
    <w:rsid w:val="0055369F"/>
    <w:rsid w:val="00553A17"/>
    <w:rsid w:val="00554D47"/>
    <w:rsid w:val="005566D6"/>
    <w:rsid w:val="0056171A"/>
    <w:rsid w:val="005655BF"/>
    <w:rsid w:val="0056618B"/>
    <w:rsid w:val="00566203"/>
    <w:rsid w:val="0056661F"/>
    <w:rsid w:val="00567A50"/>
    <w:rsid w:val="00572DAA"/>
    <w:rsid w:val="0057408A"/>
    <w:rsid w:val="00574C44"/>
    <w:rsid w:val="00576A51"/>
    <w:rsid w:val="00582AD4"/>
    <w:rsid w:val="005856A3"/>
    <w:rsid w:val="00586B66"/>
    <w:rsid w:val="00587FE6"/>
    <w:rsid w:val="005916EC"/>
    <w:rsid w:val="00591F16"/>
    <w:rsid w:val="00596552"/>
    <w:rsid w:val="005970AD"/>
    <w:rsid w:val="005A1390"/>
    <w:rsid w:val="005A30AF"/>
    <w:rsid w:val="005A4280"/>
    <w:rsid w:val="005B0184"/>
    <w:rsid w:val="005B0E66"/>
    <w:rsid w:val="005B395A"/>
    <w:rsid w:val="005C2150"/>
    <w:rsid w:val="005C5D7F"/>
    <w:rsid w:val="005D4CA8"/>
    <w:rsid w:val="005E1AE8"/>
    <w:rsid w:val="005E35AF"/>
    <w:rsid w:val="005F0CC8"/>
    <w:rsid w:val="005F1045"/>
    <w:rsid w:val="005F278B"/>
    <w:rsid w:val="005F37BD"/>
    <w:rsid w:val="005F5352"/>
    <w:rsid w:val="005F6B07"/>
    <w:rsid w:val="005F7BB0"/>
    <w:rsid w:val="0061034D"/>
    <w:rsid w:val="00610D1E"/>
    <w:rsid w:val="0061758B"/>
    <w:rsid w:val="00624600"/>
    <w:rsid w:val="006422A3"/>
    <w:rsid w:val="00642E17"/>
    <w:rsid w:val="00646CB2"/>
    <w:rsid w:val="00647738"/>
    <w:rsid w:val="00650277"/>
    <w:rsid w:val="006503B9"/>
    <w:rsid w:val="006542C0"/>
    <w:rsid w:val="00654716"/>
    <w:rsid w:val="00655F66"/>
    <w:rsid w:val="00656B03"/>
    <w:rsid w:val="0065758B"/>
    <w:rsid w:val="00657DB1"/>
    <w:rsid w:val="006604AE"/>
    <w:rsid w:val="00660573"/>
    <w:rsid w:val="00663CD5"/>
    <w:rsid w:val="00665BC8"/>
    <w:rsid w:val="00667CA1"/>
    <w:rsid w:val="0067438C"/>
    <w:rsid w:val="006752E6"/>
    <w:rsid w:val="00677F31"/>
    <w:rsid w:val="0068033D"/>
    <w:rsid w:val="00680866"/>
    <w:rsid w:val="0068515A"/>
    <w:rsid w:val="00685DC8"/>
    <w:rsid w:val="00694DFC"/>
    <w:rsid w:val="00695A26"/>
    <w:rsid w:val="006A35F1"/>
    <w:rsid w:val="006A3E63"/>
    <w:rsid w:val="006A5728"/>
    <w:rsid w:val="006A62B3"/>
    <w:rsid w:val="006A77A0"/>
    <w:rsid w:val="006B2AF3"/>
    <w:rsid w:val="006B4F2F"/>
    <w:rsid w:val="006B5827"/>
    <w:rsid w:val="006C216A"/>
    <w:rsid w:val="006C2543"/>
    <w:rsid w:val="006C6C60"/>
    <w:rsid w:val="006C7F53"/>
    <w:rsid w:val="006D0BDF"/>
    <w:rsid w:val="006D0BE3"/>
    <w:rsid w:val="006D128A"/>
    <w:rsid w:val="006D1837"/>
    <w:rsid w:val="006D33A1"/>
    <w:rsid w:val="006D33BC"/>
    <w:rsid w:val="006D36F8"/>
    <w:rsid w:val="006D605D"/>
    <w:rsid w:val="006D77B0"/>
    <w:rsid w:val="006D77F6"/>
    <w:rsid w:val="006D7892"/>
    <w:rsid w:val="006E05A0"/>
    <w:rsid w:val="006E3AC2"/>
    <w:rsid w:val="006E60A7"/>
    <w:rsid w:val="006F0524"/>
    <w:rsid w:val="006F3321"/>
    <w:rsid w:val="006F620A"/>
    <w:rsid w:val="0070020C"/>
    <w:rsid w:val="007047AE"/>
    <w:rsid w:val="007107BB"/>
    <w:rsid w:val="007129AD"/>
    <w:rsid w:val="00714B37"/>
    <w:rsid w:val="0071663B"/>
    <w:rsid w:val="00716970"/>
    <w:rsid w:val="00721DA8"/>
    <w:rsid w:val="00725A8C"/>
    <w:rsid w:val="00726788"/>
    <w:rsid w:val="00735CA8"/>
    <w:rsid w:val="00737982"/>
    <w:rsid w:val="007422F0"/>
    <w:rsid w:val="00754145"/>
    <w:rsid w:val="0075704F"/>
    <w:rsid w:val="0075731F"/>
    <w:rsid w:val="00757C9E"/>
    <w:rsid w:val="00762A19"/>
    <w:rsid w:val="00763BF3"/>
    <w:rsid w:val="00767999"/>
    <w:rsid w:val="00772546"/>
    <w:rsid w:val="00772F3E"/>
    <w:rsid w:val="007809E2"/>
    <w:rsid w:val="007812AA"/>
    <w:rsid w:val="0078343B"/>
    <w:rsid w:val="007845F3"/>
    <w:rsid w:val="00785699"/>
    <w:rsid w:val="00785EB4"/>
    <w:rsid w:val="007910DF"/>
    <w:rsid w:val="007915D3"/>
    <w:rsid w:val="007916A1"/>
    <w:rsid w:val="00791DDC"/>
    <w:rsid w:val="0079205B"/>
    <w:rsid w:val="00793CE3"/>
    <w:rsid w:val="00796457"/>
    <w:rsid w:val="00796E28"/>
    <w:rsid w:val="00797BB5"/>
    <w:rsid w:val="007A1816"/>
    <w:rsid w:val="007A4305"/>
    <w:rsid w:val="007A437A"/>
    <w:rsid w:val="007A6766"/>
    <w:rsid w:val="007A6B9A"/>
    <w:rsid w:val="007B0473"/>
    <w:rsid w:val="007B1D70"/>
    <w:rsid w:val="007B2DBF"/>
    <w:rsid w:val="007B3252"/>
    <w:rsid w:val="007B3E88"/>
    <w:rsid w:val="007B5E52"/>
    <w:rsid w:val="007B61E0"/>
    <w:rsid w:val="007C03BF"/>
    <w:rsid w:val="007C1183"/>
    <w:rsid w:val="007C1EBF"/>
    <w:rsid w:val="007C44F9"/>
    <w:rsid w:val="007C47F8"/>
    <w:rsid w:val="007C7813"/>
    <w:rsid w:val="007D1E71"/>
    <w:rsid w:val="007D409D"/>
    <w:rsid w:val="007D538A"/>
    <w:rsid w:val="007D6381"/>
    <w:rsid w:val="007D6544"/>
    <w:rsid w:val="007E0967"/>
    <w:rsid w:val="007E217D"/>
    <w:rsid w:val="007E2E5A"/>
    <w:rsid w:val="007E7A4B"/>
    <w:rsid w:val="007F15F7"/>
    <w:rsid w:val="007F2033"/>
    <w:rsid w:val="007F5D52"/>
    <w:rsid w:val="00800308"/>
    <w:rsid w:val="0080201E"/>
    <w:rsid w:val="00803E94"/>
    <w:rsid w:val="00810613"/>
    <w:rsid w:val="00812326"/>
    <w:rsid w:val="008123A9"/>
    <w:rsid w:val="00812BDE"/>
    <w:rsid w:val="00815517"/>
    <w:rsid w:val="008202EF"/>
    <w:rsid w:val="0082207D"/>
    <w:rsid w:val="0082334B"/>
    <w:rsid w:val="008263AC"/>
    <w:rsid w:val="00830A24"/>
    <w:rsid w:val="008339ED"/>
    <w:rsid w:val="00834494"/>
    <w:rsid w:val="00835111"/>
    <w:rsid w:val="00844E1D"/>
    <w:rsid w:val="00847FE3"/>
    <w:rsid w:val="00855F63"/>
    <w:rsid w:val="008569DB"/>
    <w:rsid w:val="00857835"/>
    <w:rsid w:val="0086463D"/>
    <w:rsid w:val="0086527A"/>
    <w:rsid w:val="008661C0"/>
    <w:rsid w:val="00867A2C"/>
    <w:rsid w:val="00870D07"/>
    <w:rsid w:val="00871056"/>
    <w:rsid w:val="00871A50"/>
    <w:rsid w:val="0088103B"/>
    <w:rsid w:val="008816D7"/>
    <w:rsid w:val="00882F91"/>
    <w:rsid w:val="00885961"/>
    <w:rsid w:val="00885C85"/>
    <w:rsid w:val="00886919"/>
    <w:rsid w:val="0089421B"/>
    <w:rsid w:val="00894E4D"/>
    <w:rsid w:val="00895A27"/>
    <w:rsid w:val="00895C48"/>
    <w:rsid w:val="008A0286"/>
    <w:rsid w:val="008A3807"/>
    <w:rsid w:val="008A3893"/>
    <w:rsid w:val="008A79C9"/>
    <w:rsid w:val="008B05EC"/>
    <w:rsid w:val="008B106C"/>
    <w:rsid w:val="008B37CB"/>
    <w:rsid w:val="008B3CDC"/>
    <w:rsid w:val="008B59A2"/>
    <w:rsid w:val="008B7B18"/>
    <w:rsid w:val="008C1CAD"/>
    <w:rsid w:val="008C4F25"/>
    <w:rsid w:val="008C7EA4"/>
    <w:rsid w:val="008D0B6C"/>
    <w:rsid w:val="008D2878"/>
    <w:rsid w:val="008E20E4"/>
    <w:rsid w:val="008E7B90"/>
    <w:rsid w:val="008F141D"/>
    <w:rsid w:val="008F3847"/>
    <w:rsid w:val="00901D4B"/>
    <w:rsid w:val="00906388"/>
    <w:rsid w:val="00907ACA"/>
    <w:rsid w:val="00912A42"/>
    <w:rsid w:val="00913596"/>
    <w:rsid w:val="00917094"/>
    <w:rsid w:val="0092076A"/>
    <w:rsid w:val="00922CC9"/>
    <w:rsid w:val="009246D2"/>
    <w:rsid w:val="00925EDA"/>
    <w:rsid w:val="009274EA"/>
    <w:rsid w:val="00927606"/>
    <w:rsid w:val="0093122A"/>
    <w:rsid w:val="00944B61"/>
    <w:rsid w:val="00944E94"/>
    <w:rsid w:val="00945AEB"/>
    <w:rsid w:val="00945B24"/>
    <w:rsid w:val="00950ED2"/>
    <w:rsid w:val="009511CA"/>
    <w:rsid w:val="009543C2"/>
    <w:rsid w:val="009629DC"/>
    <w:rsid w:val="009631FA"/>
    <w:rsid w:val="0096368A"/>
    <w:rsid w:val="00971CB0"/>
    <w:rsid w:val="00972FCA"/>
    <w:rsid w:val="0097373A"/>
    <w:rsid w:val="0097436D"/>
    <w:rsid w:val="0097483E"/>
    <w:rsid w:val="00975655"/>
    <w:rsid w:val="00975F08"/>
    <w:rsid w:val="00982C85"/>
    <w:rsid w:val="009830DE"/>
    <w:rsid w:val="00983628"/>
    <w:rsid w:val="00995187"/>
    <w:rsid w:val="00996D71"/>
    <w:rsid w:val="009A4144"/>
    <w:rsid w:val="009A61F3"/>
    <w:rsid w:val="009A78BD"/>
    <w:rsid w:val="009B1690"/>
    <w:rsid w:val="009B3B99"/>
    <w:rsid w:val="009B4E8E"/>
    <w:rsid w:val="009B616E"/>
    <w:rsid w:val="009C6852"/>
    <w:rsid w:val="009D170C"/>
    <w:rsid w:val="009D6AFD"/>
    <w:rsid w:val="009D6EDF"/>
    <w:rsid w:val="009E11DC"/>
    <w:rsid w:val="009E23D0"/>
    <w:rsid w:val="009E2DBD"/>
    <w:rsid w:val="009E7EDE"/>
    <w:rsid w:val="009F0FAF"/>
    <w:rsid w:val="009F1EB8"/>
    <w:rsid w:val="009F4C86"/>
    <w:rsid w:val="009F5822"/>
    <w:rsid w:val="009F7038"/>
    <w:rsid w:val="00A00599"/>
    <w:rsid w:val="00A016A1"/>
    <w:rsid w:val="00A05586"/>
    <w:rsid w:val="00A072C1"/>
    <w:rsid w:val="00A077F5"/>
    <w:rsid w:val="00A106E4"/>
    <w:rsid w:val="00A1086D"/>
    <w:rsid w:val="00A15A67"/>
    <w:rsid w:val="00A16B0A"/>
    <w:rsid w:val="00A17E06"/>
    <w:rsid w:val="00A20FE2"/>
    <w:rsid w:val="00A2277A"/>
    <w:rsid w:val="00A23006"/>
    <w:rsid w:val="00A243A8"/>
    <w:rsid w:val="00A26457"/>
    <w:rsid w:val="00A26675"/>
    <w:rsid w:val="00A27FAD"/>
    <w:rsid w:val="00A34015"/>
    <w:rsid w:val="00A3536C"/>
    <w:rsid w:val="00A40661"/>
    <w:rsid w:val="00A41D60"/>
    <w:rsid w:val="00A4387A"/>
    <w:rsid w:val="00A546E7"/>
    <w:rsid w:val="00A55586"/>
    <w:rsid w:val="00A57EB0"/>
    <w:rsid w:val="00A61FCE"/>
    <w:rsid w:val="00A63272"/>
    <w:rsid w:val="00A63A63"/>
    <w:rsid w:val="00A63C35"/>
    <w:rsid w:val="00A6530A"/>
    <w:rsid w:val="00A70BD2"/>
    <w:rsid w:val="00A71C8C"/>
    <w:rsid w:val="00A72148"/>
    <w:rsid w:val="00A731C4"/>
    <w:rsid w:val="00A737F4"/>
    <w:rsid w:val="00A7456D"/>
    <w:rsid w:val="00A74CA7"/>
    <w:rsid w:val="00A75405"/>
    <w:rsid w:val="00A82EE5"/>
    <w:rsid w:val="00A91338"/>
    <w:rsid w:val="00A92587"/>
    <w:rsid w:val="00A93A43"/>
    <w:rsid w:val="00A97468"/>
    <w:rsid w:val="00AA149B"/>
    <w:rsid w:val="00AA3B43"/>
    <w:rsid w:val="00AA6295"/>
    <w:rsid w:val="00AB20AD"/>
    <w:rsid w:val="00AC4C4F"/>
    <w:rsid w:val="00AC5099"/>
    <w:rsid w:val="00AD2EAD"/>
    <w:rsid w:val="00AE2A2A"/>
    <w:rsid w:val="00AE470C"/>
    <w:rsid w:val="00AE59A5"/>
    <w:rsid w:val="00AE6206"/>
    <w:rsid w:val="00AE783E"/>
    <w:rsid w:val="00AF2394"/>
    <w:rsid w:val="00AF3FB9"/>
    <w:rsid w:val="00AF469B"/>
    <w:rsid w:val="00AF4CAB"/>
    <w:rsid w:val="00B00F2D"/>
    <w:rsid w:val="00B0330F"/>
    <w:rsid w:val="00B03318"/>
    <w:rsid w:val="00B03839"/>
    <w:rsid w:val="00B03EB2"/>
    <w:rsid w:val="00B1095A"/>
    <w:rsid w:val="00B114F4"/>
    <w:rsid w:val="00B14AA1"/>
    <w:rsid w:val="00B16922"/>
    <w:rsid w:val="00B17161"/>
    <w:rsid w:val="00B20587"/>
    <w:rsid w:val="00B21F08"/>
    <w:rsid w:val="00B2307E"/>
    <w:rsid w:val="00B256F1"/>
    <w:rsid w:val="00B26B14"/>
    <w:rsid w:val="00B2790C"/>
    <w:rsid w:val="00B27E53"/>
    <w:rsid w:val="00B312E8"/>
    <w:rsid w:val="00B319A2"/>
    <w:rsid w:val="00B345B9"/>
    <w:rsid w:val="00B34824"/>
    <w:rsid w:val="00B44C59"/>
    <w:rsid w:val="00B44EAA"/>
    <w:rsid w:val="00B45730"/>
    <w:rsid w:val="00B50DC6"/>
    <w:rsid w:val="00B50E0A"/>
    <w:rsid w:val="00B5108D"/>
    <w:rsid w:val="00B51B67"/>
    <w:rsid w:val="00B5266B"/>
    <w:rsid w:val="00B52D74"/>
    <w:rsid w:val="00B630EE"/>
    <w:rsid w:val="00B6329F"/>
    <w:rsid w:val="00B640F8"/>
    <w:rsid w:val="00B6791F"/>
    <w:rsid w:val="00B6796A"/>
    <w:rsid w:val="00B679F0"/>
    <w:rsid w:val="00B749C4"/>
    <w:rsid w:val="00B75A44"/>
    <w:rsid w:val="00B8224C"/>
    <w:rsid w:val="00B871AF"/>
    <w:rsid w:val="00B921A5"/>
    <w:rsid w:val="00B92B02"/>
    <w:rsid w:val="00B9336D"/>
    <w:rsid w:val="00B9564E"/>
    <w:rsid w:val="00BA001D"/>
    <w:rsid w:val="00BA00BA"/>
    <w:rsid w:val="00BA0A97"/>
    <w:rsid w:val="00BA1C00"/>
    <w:rsid w:val="00BA3B14"/>
    <w:rsid w:val="00BA4AB1"/>
    <w:rsid w:val="00BA6307"/>
    <w:rsid w:val="00BA681B"/>
    <w:rsid w:val="00BA78B3"/>
    <w:rsid w:val="00BB0522"/>
    <w:rsid w:val="00BB145F"/>
    <w:rsid w:val="00BB1F5B"/>
    <w:rsid w:val="00BB23AA"/>
    <w:rsid w:val="00BB2661"/>
    <w:rsid w:val="00BC0066"/>
    <w:rsid w:val="00BC07C5"/>
    <w:rsid w:val="00BC1F65"/>
    <w:rsid w:val="00BC2615"/>
    <w:rsid w:val="00BC33A4"/>
    <w:rsid w:val="00BC6B11"/>
    <w:rsid w:val="00BD2174"/>
    <w:rsid w:val="00BD2FDE"/>
    <w:rsid w:val="00BD4930"/>
    <w:rsid w:val="00BD56EE"/>
    <w:rsid w:val="00BD69DB"/>
    <w:rsid w:val="00BD6DDA"/>
    <w:rsid w:val="00BE0085"/>
    <w:rsid w:val="00BE4DB1"/>
    <w:rsid w:val="00BF0A98"/>
    <w:rsid w:val="00BF0CB6"/>
    <w:rsid w:val="00BF2E1C"/>
    <w:rsid w:val="00BF31C1"/>
    <w:rsid w:val="00BF3B81"/>
    <w:rsid w:val="00BF5262"/>
    <w:rsid w:val="00BF5381"/>
    <w:rsid w:val="00C0108B"/>
    <w:rsid w:val="00C02641"/>
    <w:rsid w:val="00C05D12"/>
    <w:rsid w:val="00C07012"/>
    <w:rsid w:val="00C141A9"/>
    <w:rsid w:val="00C15554"/>
    <w:rsid w:val="00C16330"/>
    <w:rsid w:val="00C2123C"/>
    <w:rsid w:val="00C224DE"/>
    <w:rsid w:val="00C254D4"/>
    <w:rsid w:val="00C25834"/>
    <w:rsid w:val="00C268B9"/>
    <w:rsid w:val="00C3149E"/>
    <w:rsid w:val="00C3699F"/>
    <w:rsid w:val="00C37305"/>
    <w:rsid w:val="00C42E2F"/>
    <w:rsid w:val="00C44D32"/>
    <w:rsid w:val="00C45E40"/>
    <w:rsid w:val="00C51730"/>
    <w:rsid w:val="00C52F4E"/>
    <w:rsid w:val="00C530ED"/>
    <w:rsid w:val="00C60E41"/>
    <w:rsid w:val="00C61476"/>
    <w:rsid w:val="00C6254F"/>
    <w:rsid w:val="00C64A04"/>
    <w:rsid w:val="00C71ACC"/>
    <w:rsid w:val="00C738AF"/>
    <w:rsid w:val="00C73ED3"/>
    <w:rsid w:val="00C7455C"/>
    <w:rsid w:val="00C75321"/>
    <w:rsid w:val="00C80BDE"/>
    <w:rsid w:val="00C823A9"/>
    <w:rsid w:val="00C83709"/>
    <w:rsid w:val="00C841DE"/>
    <w:rsid w:val="00C86616"/>
    <w:rsid w:val="00C914A0"/>
    <w:rsid w:val="00C9237B"/>
    <w:rsid w:val="00C94AD0"/>
    <w:rsid w:val="00C94F62"/>
    <w:rsid w:val="00C94F7F"/>
    <w:rsid w:val="00C95D4B"/>
    <w:rsid w:val="00CA3446"/>
    <w:rsid w:val="00CA3AFA"/>
    <w:rsid w:val="00CA71C3"/>
    <w:rsid w:val="00CB3A03"/>
    <w:rsid w:val="00CB3C63"/>
    <w:rsid w:val="00CB5470"/>
    <w:rsid w:val="00CB5630"/>
    <w:rsid w:val="00CB636E"/>
    <w:rsid w:val="00CB7A1A"/>
    <w:rsid w:val="00CB7C55"/>
    <w:rsid w:val="00CC6D0E"/>
    <w:rsid w:val="00CC6EBA"/>
    <w:rsid w:val="00CC715D"/>
    <w:rsid w:val="00CD0A07"/>
    <w:rsid w:val="00CD3270"/>
    <w:rsid w:val="00CD3663"/>
    <w:rsid w:val="00CD7C24"/>
    <w:rsid w:val="00CE2C20"/>
    <w:rsid w:val="00CE51F6"/>
    <w:rsid w:val="00CE521E"/>
    <w:rsid w:val="00CE5309"/>
    <w:rsid w:val="00CE5CA5"/>
    <w:rsid w:val="00CF16C5"/>
    <w:rsid w:val="00CF284E"/>
    <w:rsid w:val="00CF2E2C"/>
    <w:rsid w:val="00CF65ED"/>
    <w:rsid w:val="00D011EF"/>
    <w:rsid w:val="00D04A12"/>
    <w:rsid w:val="00D07272"/>
    <w:rsid w:val="00D10C84"/>
    <w:rsid w:val="00D12171"/>
    <w:rsid w:val="00D12783"/>
    <w:rsid w:val="00D14D96"/>
    <w:rsid w:val="00D17FB5"/>
    <w:rsid w:val="00D30142"/>
    <w:rsid w:val="00D301CC"/>
    <w:rsid w:val="00D3161A"/>
    <w:rsid w:val="00D33802"/>
    <w:rsid w:val="00D352E1"/>
    <w:rsid w:val="00D43ACF"/>
    <w:rsid w:val="00D44215"/>
    <w:rsid w:val="00D449DC"/>
    <w:rsid w:val="00D45864"/>
    <w:rsid w:val="00D46B0E"/>
    <w:rsid w:val="00D4795A"/>
    <w:rsid w:val="00D516FD"/>
    <w:rsid w:val="00D523EA"/>
    <w:rsid w:val="00D52CC0"/>
    <w:rsid w:val="00D61EB6"/>
    <w:rsid w:val="00D646B6"/>
    <w:rsid w:val="00D65047"/>
    <w:rsid w:val="00D654BF"/>
    <w:rsid w:val="00D7042B"/>
    <w:rsid w:val="00D70BC6"/>
    <w:rsid w:val="00D70C44"/>
    <w:rsid w:val="00D719D4"/>
    <w:rsid w:val="00D72855"/>
    <w:rsid w:val="00D745DF"/>
    <w:rsid w:val="00D81B6C"/>
    <w:rsid w:val="00D8253A"/>
    <w:rsid w:val="00D829E4"/>
    <w:rsid w:val="00D8587B"/>
    <w:rsid w:val="00D85D4E"/>
    <w:rsid w:val="00D861B0"/>
    <w:rsid w:val="00D933FA"/>
    <w:rsid w:val="00D934DC"/>
    <w:rsid w:val="00D937BE"/>
    <w:rsid w:val="00D954A9"/>
    <w:rsid w:val="00D95AD7"/>
    <w:rsid w:val="00D97D42"/>
    <w:rsid w:val="00DA252C"/>
    <w:rsid w:val="00DA2B66"/>
    <w:rsid w:val="00DA4A72"/>
    <w:rsid w:val="00DA5EAE"/>
    <w:rsid w:val="00DA73CE"/>
    <w:rsid w:val="00DA756D"/>
    <w:rsid w:val="00DB1E01"/>
    <w:rsid w:val="00DB4203"/>
    <w:rsid w:val="00DB663C"/>
    <w:rsid w:val="00DB6941"/>
    <w:rsid w:val="00DC0287"/>
    <w:rsid w:val="00DC087D"/>
    <w:rsid w:val="00DC2B82"/>
    <w:rsid w:val="00DC31CF"/>
    <w:rsid w:val="00DC6164"/>
    <w:rsid w:val="00DD1226"/>
    <w:rsid w:val="00DD1985"/>
    <w:rsid w:val="00DD1AF1"/>
    <w:rsid w:val="00DD4BB7"/>
    <w:rsid w:val="00DD6193"/>
    <w:rsid w:val="00DD6A9A"/>
    <w:rsid w:val="00DD6EB4"/>
    <w:rsid w:val="00DD7C23"/>
    <w:rsid w:val="00DE2796"/>
    <w:rsid w:val="00DF1CBE"/>
    <w:rsid w:val="00DF3D3E"/>
    <w:rsid w:val="00DF6E55"/>
    <w:rsid w:val="00DF7B1D"/>
    <w:rsid w:val="00DF7F22"/>
    <w:rsid w:val="00E03015"/>
    <w:rsid w:val="00E05477"/>
    <w:rsid w:val="00E067EB"/>
    <w:rsid w:val="00E12630"/>
    <w:rsid w:val="00E12788"/>
    <w:rsid w:val="00E1476F"/>
    <w:rsid w:val="00E16BEA"/>
    <w:rsid w:val="00E17AA3"/>
    <w:rsid w:val="00E21549"/>
    <w:rsid w:val="00E221C7"/>
    <w:rsid w:val="00E224E5"/>
    <w:rsid w:val="00E238AF"/>
    <w:rsid w:val="00E24C81"/>
    <w:rsid w:val="00E26223"/>
    <w:rsid w:val="00E26BC4"/>
    <w:rsid w:val="00E319E8"/>
    <w:rsid w:val="00E36019"/>
    <w:rsid w:val="00E40530"/>
    <w:rsid w:val="00E43EB9"/>
    <w:rsid w:val="00E43F3A"/>
    <w:rsid w:val="00E45F47"/>
    <w:rsid w:val="00E46920"/>
    <w:rsid w:val="00E47945"/>
    <w:rsid w:val="00E50F44"/>
    <w:rsid w:val="00E51077"/>
    <w:rsid w:val="00E510F7"/>
    <w:rsid w:val="00E533D6"/>
    <w:rsid w:val="00E57B16"/>
    <w:rsid w:val="00E61A9E"/>
    <w:rsid w:val="00E61BBF"/>
    <w:rsid w:val="00E61E6B"/>
    <w:rsid w:val="00E631E5"/>
    <w:rsid w:val="00E63408"/>
    <w:rsid w:val="00E63A22"/>
    <w:rsid w:val="00E66B85"/>
    <w:rsid w:val="00E7109E"/>
    <w:rsid w:val="00E71E7C"/>
    <w:rsid w:val="00E72C6B"/>
    <w:rsid w:val="00E764DD"/>
    <w:rsid w:val="00E766CC"/>
    <w:rsid w:val="00E76997"/>
    <w:rsid w:val="00E80AA9"/>
    <w:rsid w:val="00E81772"/>
    <w:rsid w:val="00E83006"/>
    <w:rsid w:val="00E83167"/>
    <w:rsid w:val="00E8351D"/>
    <w:rsid w:val="00E841B2"/>
    <w:rsid w:val="00E85186"/>
    <w:rsid w:val="00E8720C"/>
    <w:rsid w:val="00E95C60"/>
    <w:rsid w:val="00E97F47"/>
    <w:rsid w:val="00EA0743"/>
    <w:rsid w:val="00EA234D"/>
    <w:rsid w:val="00EA3245"/>
    <w:rsid w:val="00EA4F03"/>
    <w:rsid w:val="00EA5D6F"/>
    <w:rsid w:val="00EA5F53"/>
    <w:rsid w:val="00EA61D9"/>
    <w:rsid w:val="00EA7A2E"/>
    <w:rsid w:val="00EA7F68"/>
    <w:rsid w:val="00EA7F8E"/>
    <w:rsid w:val="00EB009A"/>
    <w:rsid w:val="00EB034A"/>
    <w:rsid w:val="00EB1D39"/>
    <w:rsid w:val="00EB3CE1"/>
    <w:rsid w:val="00EB4A2E"/>
    <w:rsid w:val="00EB4B3D"/>
    <w:rsid w:val="00EB4FD2"/>
    <w:rsid w:val="00EB7498"/>
    <w:rsid w:val="00EC0B96"/>
    <w:rsid w:val="00EC2795"/>
    <w:rsid w:val="00EC3CC2"/>
    <w:rsid w:val="00EC4017"/>
    <w:rsid w:val="00ED077A"/>
    <w:rsid w:val="00ED0F83"/>
    <w:rsid w:val="00ED17E9"/>
    <w:rsid w:val="00ED1C39"/>
    <w:rsid w:val="00ED1EF4"/>
    <w:rsid w:val="00ED5F3D"/>
    <w:rsid w:val="00EE27DE"/>
    <w:rsid w:val="00EF0B49"/>
    <w:rsid w:val="00EF193A"/>
    <w:rsid w:val="00EF2A5A"/>
    <w:rsid w:val="00EF40DF"/>
    <w:rsid w:val="00F0208E"/>
    <w:rsid w:val="00F03D1F"/>
    <w:rsid w:val="00F05B41"/>
    <w:rsid w:val="00F072EC"/>
    <w:rsid w:val="00F07C54"/>
    <w:rsid w:val="00F10F86"/>
    <w:rsid w:val="00F12262"/>
    <w:rsid w:val="00F137E4"/>
    <w:rsid w:val="00F16B6C"/>
    <w:rsid w:val="00F17821"/>
    <w:rsid w:val="00F17A16"/>
    <w:rsid w:val="00F227A1"/>
    <w:rsid w:val="00F247DE"/>
    <w:rsid w:val="00F30251"/>
    <w:rsid w:val="00F341FE"/>
    <w:rsid w:val="00F35113"/>
    <w:rsid w:val="00F36F22"/>
    <w:rsid w:val="00F44C87"/>
    <w:rsid w:val="00F452F3"/>
    <w:rsid w:val="00F46AC5"/>
    <w:rsid w:val="00F47F7A"/>
    <w:rsid w:val="00F503F7"/>
    <w:rsid w:val="00F54618"/>
    <w:rsid w:val="00F56259"/>
    <w:rsid w:val="00F6061E"/>
    <w:rsid w:val="00F66C6B"/>
    <w:rsid w:val="00F72A0C"/>
    <w:rsid w:val="00F81784"/>
    <w:rsid w:val="00F8460D"/>
    <w:rsid w:val="00F85ACB"/>
    <w:rsid w:val="00F874C7"/>
    <w:rsid w:val="00F9359C"/>
    <w:rsid w:val="00F97138"/>
    <w:rsid w:val="00F972A8"/>
    <w:rsid w:val="00F975C8"/>
    <w:rsid w:val="00FA2D59"/>
    <w:rsid w:val="00FA5921"/>
    <w:rsid w:val="00FA61F6"/>
    <w:rsid w:val="00FA6A4E"/>
    <w:rsid w:val="00FB16D1"/>
    <w:rsid w:val="00FB26BD"/>
    <w:rsid w:val="00FB2763"/>
    <w:rsid w:val="00FB2DCD"/>
    <w:rsid w:val="00FB2F2A"/>
    <w:rsid w:val="00FB4D5B"/>
    <w:rsid w:val="00FB5662"/>
    <w:rsid w:val="00FC110D"/>
    <w:rsid w:val="00FC25DA"/>
    <w:rsid w:val="00FC3266"/>
    <w:rsid w:val="00FC5CB9"/>
    <w:rsid w:val="00FC696A"/>
    <w:rsid w:val="00FC7532"/>
    <w:rsid w:val="00FD0C29"/>
    <w:rsid w:val="00FD4C34"/>
    <w:rsid w:val="00FD6D4D"/>
    <w:rsid w:val="00FE6F01"/>
    <w:rsid w:val="00FF20B9"/>
    <w:rsid w:val="00FF3ACF"/>
    <w:rsid w:val="00FF575C"/>
    <w:rsid w:val="00FF6181"/>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815D50F"/>
  <w14:defaultImageDpi w14:val="300"/>
  <w15:docId w15:val="{5CB4CDA3-5BE8-40DF-B077-8C929C357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fr-FR"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AD4"/>
    <w:pPr>
      <w:numPr>
        <w:numId w:val="1"/>
      </w:numPr>
      <w:suppressAutoHyphens/>
      <w:spacing w:before="120" w:after="120" w:line="360" w:lineRule="auto"/>
      <w:jc w:val="both"/>
    </w:pPr>
    <w:rPr>
      <w:rFonts w:eastAsia="Times New Roman"/>
      <w:sz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qFormat/>
    <w:rsid w:val="00F247DE"/>
    <w:rPr>
      <w:vertAlign w:val="superscript"/>
    </w:rPr>
  </w:style>
  <w:style w:type="paragraph" w:styleId="FootnoteText">
    <w:name w:val="footnote text"/>
    <w:basedOn w:val="Normal"/>
    <w:link w:val="FootnoteTextChar"/>
    <w:qFormat/>
    <w:rsid w:val="00907ACA"/>
    <w:pPr>
      <w:numPr>
        <w:numId w:val="0"/>
      </w:numPr>
      <w:spacing w:before="0" w:after="0" w:line="240" w:lineRule="auto"/>
    </w:pPr>
    <w:rPr>
      <w:rFonts w:eastAsia="SimSun"/>
      <w:sz w:val="20"/>
      <w:lang w:eastAsia="zh-CN"/>
    </w:rPr>
  </w:style>
  <w:style w:type="paragraph" w:styleId="BalloonText">
    <w:name w:val="Balloon Text"/>
    <w:basedOn w:val="Normal"/>
    <w:semiHidden/>
    <w:rsid w:val="00A53329"/>
    <w:rPr>
      <w:rFonts w:ascii="Lucida Grande" w:hAnsi="Lucida Grande"/>
      <w:sz w:val="18"/>
      <w:szCs w:val="18"/>
    </w:rPr>
  </w:style>
  <w:style w:type="character" w:customStyle="1" w:styleId="FootnoteTextChar">
    <w:name w:val="Footnote Text Char"/>
    <w:basedOn w:val="DefaultParagraphFont"/>
    <w:link w:val="FootnoteText"/>
    <w:rsid w:val="00907ACA"/>
    <w:rPr>
      <w:rFonts w:eastAsia="SimSun"/>
      <w:lang w:eastAsia="zh-CN"/>
    </w:rPr>
  </w:style>
  <w:style w:type="paragraph" w:styleId="Quote">
    <w:name w:val="Quote"/>
    <w:basedOn w:val="Normal"/>
    <w:next w:val="Normal"/>
    <w:link w:val="QuoteChar"/>
    <w:qFormat/>
    <w:rsid w:val="007422F0"/>
    <w:pPr>
      <w:suppressAutoHyphens w:val="0"/>
      <w:ind w:left="567"/>
    </w:pPr>
    <w:rPr>
      <w:iCs/>
      <w:szCs w:val="24"/>
      <w:lang w:eastAsia="en-GB"/>
    </w:rPr>
  </w:style>
  <w:style w:type="character" w:customStyle="1" w:styleId="QuoteChar">
    <w:name w:val="Quote Char"/>
    <w:basedOn w:val="DefaultParagraphFont"/>
    <w:link w:val="Quote"/>
    <w:rsid w:val="007422F0"/>
    <w:rPr>
      <w:rFonts w:eastAsia="Times New Roman"/>
      <w:iCs/>
      <w:sz w:val="24"/>
      <w:szCs w:val="24"/>
      <w:lang w:eastAsia="en-GB"/>
    </w:rPr>
  </w:style>
  <w:style w:type="character" w:styleId="Hyperlink">
    <w:name w:val="Hyperlink"/>
    <w:basedOn w:val="DefaultParagraphFont"/>
    <w:uiPriority w:val="99"/>
    <w:semiHidden/>
    <w:unhideWhenUsed/>
    <w:rsid w:val="00CB5470"/>
    <w:rPr>
      <w:color w:val="0000FF"/>
      <w:u w:val="single"/>
    </w:rPr>
  </w:style>
  <w:style w:type="character" w:customStyle="1" w:styleId="apple-converted-space">
    <w:name w:val="apple-converted-space"/>
    <w:basedOn w:val="DefaultParagraphFont"/>
    <w:rsid w:val="00CB5470"/>
  </w:style>
  <w:style w:type="paragraph" w:styleId="ListParagraph">
    <w:name w:val="List Paragraph"/>
    <w:basedOn w:val="Normal"/>
    <w:uiPriority w:val="34"/>
    <w:qFormat/>
    <w:rsid w:val="00047C6F"/>
    <w:pPr>
      <w:numPr>
        <w:numId w:val="0"/>
      </w:numPr>
      <w:suppressAutoHyphens w:val="0"/>
      <w:spacing w:after="160" w:line="259" w:lineRule="auto"/>
      <w:ind w:left="720"/>
      <w:contextualSpacing/>
      <w:jc w:val="left"/>
    </w:pPr>
    <w:rPr>
      <w:rFonts w:asciiTheme="minorHAnsi" w:eastAsiaTheme="minorHAnsi" w:hAnsiTheme="minorHAnsi" w:cstheme="minorBidi"/>
      <w:sz w:val="22"/>
      <w:szCs w:val="22"/>
      <w:lang w:val="da-DK" w:eastAsia="en-US"/>
    </w:rPr>
  </w:style>
  <w:style w:type="paragraph" w:styleId="Header">
    <w:name w:val="header"/>
    <w:basedOn w:val="Normal"/>
    <w:link w:val="HeaderChar"/>
    <w:uiPriority w:val="99"/>
    <w:unhideWhenUsed/>
    <w:rsid w:val="0093122A"/>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93122A"/>
    <w:rPr>
      <w:rFonts w:eastAsia="Times New Roman"/>
      <w:sz w:val="24"/>
      <w:lang w:eastAsia="fr-FR"/>
    </w:rPr>
  </w:style>
  <w:style w:type="paragraph" w:styleId="Footer">
    <w:name w:val="footer"/>
    <w:basedOn w:val="Normal"/>
    <w:link w:val="FooterChar"/>
    <w:uiPriority w:val="99"/>
    <w:unhideWhenUsed/>
    <w:rsid w:val="00BC6B11"/>
    <w:pPr>
      <w:numPr>
        <w:numId w:val="0"/>
      </w:num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93122A"/>
    <w:rPr>
      <w:rFonts w:eastAsia="Times New Roman"/>
      <w:sz w:val="24"/>
      <w:lang w:eastAsia="fr-FR"/>
    </w:rPr>
  </w:style>
  <w:style w:type="character" w:styleId="PageNumber">
    <w:name w:val="page number"/>
    <w:basedOn w:val="DefaultParagraphFont"/>
    <w:uiPriority w:val="99"/>
    <w:semiHidden/>
    <w:unhideWhenUsed/>
    <w:rsid w:val="00BC6B11"/>
  </w:style>
  <w:style w:type="character" w:styleId="CommentReference">
    <w:name w:val="annotation reference"/>
    <w:basedOn w:val="DefaultParagraphFont"/>
    <w:uiPriority w:val="99"/>
    <w:semiHidden/>
    <w:unhideWhenUsed/>
    <w:rsid w:val="00A546E7"/>
    <w:rPr>
      <w:sz w:val="18"/>
      <w:szCs w:val="18"/>
    </w:rPr>
  </w:style>
  <w:style w:type="paragraph" w:styleId="CommentText">
    <w:name w:val="annotation text"/>
    <w:basedOn w:val="Normal"/>
    <w:link w:val="CommentTextChar"/>
    <w:uiPriority w:val="99"/>
    <w:semiHidden/>
    <w:unhideWhenUsed/>
    <w:rsid w:val="00A546E7"/>
    <w:pPr>
      <w:spacing w:line="240" w:lineRule="auto"/>
    </w:pPr>
    <w:rPr>
      <w:szCs w:val="24"/>
    </w:rPr>
  </w:style>
  <w:style w:type="character" w:customStyle="1" w:styleId="CommentTextChar">
    <w:name w:val="Comment Text Char"/>
    <w:basedOn w:val="DefaultParagraphFont"/>
    <w:link w:val="CommentText"/>
    <w:uiPriority w:val="99"/>
    <w:semiHidden/>
    <w:rsid w:val="00A546E7"/>
    <w:rPr>
      <w:rFonts w:eastAsia="Times New Roman"/>
      <w:sz w:val="24"/>
      <w:szCs w:val="24"/>
      <w:lang w:eastAsia="fr-FR"/>
    </w:rPr>
  </w:style>
  <w:style w:type="paragraph" w:styleId="CommentSubject">
    <w:name w:val="annotation subject"/>
    <w:basedOn w:val="CommentText"/>
    <w:next w:val="CommentText"/>
    <w:link w:val="CommentSubjectChar"/>
    <w:uiPriority w:val="99"/>
    <w:semiHidden/>
    <w:unhideWhenUsed/>
    <w:rsid w:val="00A546E7"/>
    <w:rPr>
      <w:b/>
      <w:bCs/>
      <w:sz w:val="20"/>
      <w:szCs w:val="20"/>
    </w:rPr>
  </w:style>
  <w:style w:type="character" w:customStyle="1" w:styleId="CommentSubjectChar">
    <w:name w:val="Comment Subject Char"/>
    <w:basedOn w:val="CommentTextChar"/>
    <w:link w:val="CommentSubject"/>
    <w:uiPriority w:val="99"/>
    <w:semiHidden/>
    <w:rsid w:val="00A546E7"/>
    <w:rPr>
      <w:rFonts w:eastAsia="Times New Roman"/>
      <w:b/>
      <w:bCs/>
      <w:sz w:val="24"/>
      <w:szCs w:val="24"/>
      <w:lang w:eastAsia="fr-FR"/>
    </w:rPr>
  </w:style>
  <w:style w:type="paragraph" w:styleId="EndnoteText">
    <w:name w:val="endnote text"/>
    <w:basedOn w:val="Normal"/>
    <w:link w:val="EndnoteTextChar"/>
    <w:uiPriority w:val="99"/>
    <w:unhideWhenUsed/>
    <w:rsid w:val="00D95AD7"/>
    <w:pPr>
      <w:numPr>
        <w:numId w:val="0"/>
      </w:numPr>
      <w:spacing w:before="0" w:after="0" w:line="240" w:lineRule="auto"/>
    </w:pPr>
    <w:rPr>
      <w:sz w:val="20"/>
      <w:szCs w:val="24"/>
    </w:rPr>
  </w:style>
  <w:style w:type="character" w:customStyle="1" w:styleId="EndnoteTextChar">
    <w:name w:val="Endnote Text Char"/>
    <w:basedOn w:val="DefaultParagraphFont"/>
    <w:link w:val="EndnoteText"/>
    <w:uiPriority w:val="99"/>
    <w:rsid w:val="00D95AD7"/>
    <w:rPr>
      <w:rFonts w:eastAsia="Times New Roman"/>
      <w:szCs w:val="24"/>
      <w:lang w:eastAsia="fr-FR"/>
    </w:rPr>
  </w:style>
  <w:style w:type="character" w:styleId="EndnoteReference">
    <w:name w:val="endnote reference"/>
    <w:basedOn w:val="DefaultParagraphFont"/>
    <w:uiPriority w:val="99"/>
    <w:unhideWhenUsed/>
    <w:rsid w:val="005A1390"/>
    <w:rPr>
      <w:vertAlign w:val="superscript"/>
    </w:rPr>
  </w:style>
  <w:style w:type="paragraph" w:styleId="Revision">
    <w:name w:val="Revision"/>
    <w:hidden/>
    <w:uiPriority w:val="99"/>
    <w:semiHidden/>
    <w:rsid w:val="008F141D"/>
    <w:rPr>
      <w:rFonts w:eastAsia="Times New Roman"/>
      <w:sz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709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6BA71-B59F-4DA6-B9EE-548E10BCADE6}"/>
</file>

<file path=customXml/itemProps2.xml><?xml version="1.0" encoding="utf-8"?>
<ds:datastoreItem xmlns:ds="http://schemas.openxmlformats.org/officeDocument/2006/customXml" ds:itemID="{FD3FCF46-3742-46D2-BA7D-A52A25813583}"/>
</file>

<file path=customXml/itemProps3.xml><?xml version="1.0" encoding="utf-8"?>
<ds:datastoreItem xmlns:ds="http://schemas.openxmlformats.org/officeDocument/2006/customXml" ds:itemID="{4E1B42C6-6C98-4EEF-A7FA-15D5D464C3FB}"/>
</file>

<file path=docProps/app.xml><?xml version="1.0" encoding="utf-8"?>
<Properties xmlns="http://schemas.openxmlformats.org/officeDocument/2006/extended-properties" xmlns:vt="http://schemas.openxmlformats.org/officeDocument/2006/docPropsVTypes">
  <Template>Normal.dotm</Template>
  <TotalTime>1</TotalTime>
  <Pages>5</Pages>
  <Words>940</Words>
  <Characters>5360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de Frouville</dc:creator>
  <cp:keywords/>
  <dc:description/>
  <cp:lastModifiedBy>KOUNTOURI TAPIERO Elena</cp:lastModifiedBy>
  <cp:revision>2</cp:revision>
  <dcterms:created xsi:type="dcterms:W3CDTF">2021-11-02T16:12:00Z</dcterms:created>
  <dcterms:modified xsi:type="dcterms:W3CDTF">2021-11-02T16:12:00Z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