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DD133F" w:rsidRDefault="00DD133F"/>
    <w:p w14:paraId="00000002" w14:textId="77777777" w:rsidR="00DD133F" w:rsidRDefault="00EF4153">
      <w:pPr>
        <w:rPr>
          <w:b/>
          <w:color w:val="000000"/>
        </w:rPr>
      </w:pPr>
      <w:r>
        <w:rPr>
          <w:noProof/>
        </w:rPr>
        <mc:AlternateContent>
          <mc:Choice Requires="wps">
            <w:drawing>
              <wp:anchor distT="0" distB="0" distL="114300" distR="114300" simplePos="0" relativeHeight="251658240" behindDoc="0" locked="0" layoutInCell="1" hidden="0" allowOverlap="1" wp14:anchorId="17AE07AA" wp14:editId="0A68B53D">
                <wp:simplePos x="0" y="0"/>
                <wp:positionH relativeFrom="page">
                  <wp:posOffset>554038</wp:posOffset>
                </wp:positionH>
                <wp:positionV relativeFrom="page">
                  <wp:posOffset>2878138</wp:posOffset>
                </wp:positionV>
                <wp:extent cx="6308725" cy="4873625"/>
                <wp:effectExtent l="0" t="0" r="0" b="0"/>
                <wp:wrapSquare wrapText="bothSides" distT="0" distB="0" distL="114300" distR="114300"/>
                <wp:docPr id="2124062369" name="Rectángulo 2124062369"/>
                <wp:cNvGraphicFramePr/>
                <a:graphic xmlns:a="http://schemas.openxmlformats.org/drawingml/2006/main">
                  <a:graphicData uri="http://schemas.microsoft.com/office/word/2010/wordprocessingShape">
                    <wps:wsp>
                      <wps:cNvSpPr/>
                      <wps:spPr>
                        <a:xfrm>
                          <a:off x="2196400" y="1347950"/>
                          <a:ext cx="6299200" cy="4864100"/>
                        </a:xfrm>
                        <a:prstGeom prst="rect">
                          <a:avLst/>
                        </a:prstGeom>
                        <a:noFill/>
                        <a:ln>
                          <a:noFill/>
                        </a:ln>
                      </wps:spPr>
                      <wps:txbx>
                        <w:txbxContent>
                          <w:p w14:paraId="462A8C4C" w14:textId="19C94811" w:rsidR="00DD133F" w:rsidRDefault="00EF4153">
                            <w:pPr>
                              <w:spacing w:line="240" w:lineRule="auto"/>
                              <w:jc w:val="right"/>
                              <w:textDirection w:val="btLr"/>
                            </w:pPr>
                            <w:r>
                              <w:rPr>
                                <w:rFonts w:ascii="Cambria" w:eastAsia="Cambria" w:hAnsi="Cambria" w:cs="Cambria"/>
                                <w:smallCaps/>
                                <w:color w:val="17365D"/>
                                <w:sz w:val="52"/>
                              </w:rPr>
                              <w:t xml:space="preserve">DESPROTECCIÓN A </w:t>
                            </w:r>
                            <w:r w:rsidR="00725D1C">
                              <w:rPr>
                                <w:rFonts w:ascii="Cambria" w:eastAsia="Cambria" w:hAnsi="Cambria" w:cs="Cambria"/>
                                <w:smallCaps/>
                                <w:color w:val="17365D"/>
                                <w:sz w:val="52"/>
                              </w:rPr>
                              <w:t>SOBREVIVIENTES</w:t>
                            </w:r>
                            <w:r>
                              <w:rPr>
                                <w:rFonts w:ascii="Cambria" w:eastAsia="Cambria" w:hAnsi="Cambria" w:cs="Cambria"/>
                                <w:smallCaps/>
                                <w:color w:val="17365D"/>
                                <w:sz w:val="52"/>
                              </w:rPr>
                              <w:t xml:space="preserve"> DE VIOLENCIA SEXUAL Y RECORTES PRESUPUESTALES PARA LA PROMOCIÓN DE LA IGUALDAD Y LA NO VIOLENCIA CONTRA LAS MUJERES.</w:t>
                            </w:r>
                          </w:p>
                          <w:p w14:paraId="69552090" w14:textId="77777777" w:rsidR="00DD133F" w:rsidRDefault="00EF4153">
                            <w:pPr>
                              <w:spacing w:line="240" w:lineRule="auto"/>
                              <w:jc w:val="right"/>
                              <w:textDirection w:val="btLr"/>
                            </w:pPr>
                            <w:r>
                              <w:rPr>
                                <w:rFonts w:ascii="Cambria" w:eastAsia="Cambria" w:hAnsi="Cambria" w:cs="Cambria"/>
                                <w:smallCaps/>
                                <w:color w:val="1F497D"/>
                                <w:sz w:val="36"/>
                              </w:rPr>
                              <w:t>informe alterno que presenta Aliadas por la igualdad y la no violencia ante la sesión 91 del Comité la Cedaw derivadas del décimo informe periódico de México</w:t>
                            </w:r>
                          </w:p>
                        </w:txbxContent>
                      </wps:txbx>
                      <wps:bodyPr spcFirstLastPara="1" wrap="square" lIns="0" tIns="0" rIns="0" bIns="0" anchor="b" anchorCtr="0">
                        <a:noAutofit/>
                      </wps:bodyPr>
                    </wps:wsp>
                  </a:graphicData>
                </a:graphic>
              </wp:anchor>
            </w:drawing>
          </mc:Choice>
          <mc:Fallback>
            <w:pict>
              <v:rect w14:anchorId="17AE07AA" id="Rectángulo 2124062369" o:spid="_x0000_s1026" style="position:absolute;margin-left:43.65pt;margin-top:226.65pt;width:496.75pt;height:383.7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" filled="f" stroked="f">
                <v:textbox inset="0,0,0,0">
                  <w:txbxContent>
                    <w:p w14:paraId="462A8C4C" w14:textId="19C94811" w:rsidR="00DD133F" w:rsidRDefault="00EF4153">
                      <w:pPr>
                        <w:spacing w:line="240" w:lineRule="auto"/>
                        <w:jc w:val="right"/>
                        <w:textDirection w:val="btLr"/>
                      </w:pPr>
                      <w:r>
                        <w:rPr>
                          <w:rFonts w:ascii="Cambria" w:eastAsia="Cambria" w:hAnsi="Cambria" w:cs="Cambria"/>
                          <w:smallCaps/>
                          <w:color w:val="17365D"/>
                          <w:sz w:val="52"/>
                        </w:rPr>
                        <w:t xml:space="preserve">DESPROTECCIÓN A </w:t>
                      </w:r>
                      <w:r w:rsidR="00725D1C">
                        <w:rPr>
                          <w:rFonts w:ascii="Cambria" w:eastAsia="Cambria" w:hAnsi="Cambria" w:cs="Cambria"/>
                          <w:smallCaps/>
                          <w:color w:val="17365D"/>
                          <w:sz w:val="52"/>
                        </w:rPr>
                        <w:t>SOBREVIVIENTES</w:t>
                      </w:r>
                      <w:r>
                        <w:rPr>
                          <w:rFonts w:ascii="Cambria" w:eastAsia="Cambria" w:hAnsi="Cambria" w:cs="Cambria"/>
                          <w:smallCaps/>
                          <w:color w:val="17365D"/>
                          <w:sz w:val="52"/>
                        </w:rPr>
                        <w:t xml:space="preserve"> DE VIOLENCIA SEXUAL Y RECORTES PRESUPUESTALES PARA LA PROMOCIÓN DE LA IGUALDAD Y LA NO VIOLENCIA CONTRA LAS MUJERES.</w:t>
                      </w:r>
                    </w:p>
                    <w:p w14:paraId="69552090" w14:textId="77777777" w:rsidR="00DD133F" w:rsidRDefault="00EF4153">
                      <w:pPr>
                        <w:spacing w:line="240" w:lineRule="auto"/>
                        <w:jc w:val="right"/>
                        <w:textDirection w:val="btLr"/>
                      </w:pPr>
                      <w:r>
                        <w:rPr>
                          <w:rFonts w:ascii="Cambria" w:eastAsia="Cambria" w:hAnsi="Cambria" w:cs="Cambria"/>
                          <w:smallCaps/>
                          <w:color w:val="1F497D"/>
                          <w:sz w:val="36"/>
                        </w:rPr>
                        <w:t>informe alterno que presenta Aliadas por la igualdad y la no violencia ante la sesión 91 del Comité la Cedaw derivadas del décimo informe periódico de México</w:t>
                      </w:r>
                    </w:p>
                  </w:txbxContent>
                </v:textbox>
                <w10:wrap type="square" anchorx="page" anchory="page"/>
              </v:rect>
            </w:pict>
          </mc:Fallback>
        </mc:AlternateContent>
      </w:r>
      <w:r>
        <w:rPr>
          <w:noProof/>
        </w:rPr>
        <mc:AlternateContent>
          <mc:Choice Requires="wps">
            <w:drawing>
              <wp:anchor distT="0" distB="0" distL="114300" distR="114300" simplePos="0" relativeHeight="251659264" behindDoc="0" locked="0" layoutInCell="1" hidden="0" allowOverlap="1" wp14:anchorId="6DFDACA4" wp14:editId="37D4F45C">
                <wp:simplePos x="0" y="0"/>
                <wp:positionH relativeFrom="page">
                  <wp:posOffset>1129348</wp:posOffset>
                </wp:positionH>
                <wp:positionV relativeFrom="page">
                  <wp:posOffset>8942388</wp:posOffset>
                </wp:positionV>
                <wp:extent cx="5762625" cy="662305"/>
                <wp:effectExtent l="0" t="0" r="0" b="0"/>
                <wp:wrapSquare wrapText="bothSides" distT="0" distB="0" distL="114300" distR="114300"/>
                <wp:docPr id="2124062370" name="Rectángulo 2124062370"/>
                <wp:cNvGraphicFramePr/>
                <a:graphic xmlns:a="http://schemas.openxmlformats.org/drawingml/2006/main">
                  <a:graphicData uri="http://schemas.microsoft.com/office/word/2010/wordprocessingShape">
                    <wps:wsp>
                      <wps:cNvSpPr/>
                      <wps:spPr>
                        <a:xfrm>
                          <a:off x="2469450" y="3453610"/>
                          <a:ext cx="5753100" cy="652780"/>
                        </a:xfrm>
                        <a:prstGeom prst="rect">
                          <a:avLst/>
                        </a:prstGeom>
                        <a:noFill/>
                        <a:ln>
                          <a:noFill/>
                        </a:ln>
                      </wps:spPr>
                      <wps:txbx>
                        <w:txbxContent>
                          <w:p w14:paraId="77D3561C" w14:textId="41C8C063" w:rsidR="00DD133F" w:rsidRDefault="006405B2">
                            <w:pPr>
                              <w:spacing w:line="240" w:lineRule="auto"/>
                              <w:jc w:val="right"/>
                              <w:textDirection w:val="btLr"/>
                            </w:pPr>
                            <w:r>
                              <w:rPr>
                                <w:noProof/>
                              </w:rPr>
                              <w:drawing>
                                <wp:inline distT="0" distB="0" distL="0" distR="0" wp14:anchorId="4D897439" wp14:editId="2D3C9BE1">
                                  <wp:extent cx="5603240" cy="508000"/>
                                  <wp:effectExtent l="0" t="0" r="0" b="0"/>
                                  <wp:docPr id="946435748" name="image4.png"/>
                                  <wp:cNvGraphicFramePr/>
                                  <a:graphic xmlns:a="http://schemas.openxmlformats.org/drawingml/2006/main">
                                    <a:graphicData uri="http://schemas.openxmlformats.org/drawingml/2006/picture">
                                      <pic:pic xmlns:pic="http://schemas.openxmlformats.org/drawingml/2006/picture">
                                        <pic:nvPicPr>
                                          <pic:cNvPr id="2124062371" name="image4.png"/>
                                          <pic:cNvPicPr/>
                                        </pic:nvPicPr>
                                        <pic:blipFill>
                                          <a:blip r:embed="rId8"/>
                                          <a:srcRect/>
                                          <a:stretch>
                                            <a:fillRect/>
                                          </a:stretch>
                                        </pic:blipFill>
                                        <pic:spPr>
                                          <a:xfrm>
                                            <a:off x="0" y="0"/>
                                            <a:ext cx="5603240" cy="508000"/>
                                          </a:xfrm>
                                          <a:prstGeom prst="rect">
                                            <a:avLst/>
                                          </a:prstGeom>
                                          <a:ln/>
                                        </pic:spPr>
                                      </pic:pic>
                                    </a:graphicData>
                                  </a:graphic>
                                </wp:inline>
                              </w:drawing>
                            </w:r>
                          </w:p>
                          <w:p w14:paraId="019B5DA4" w14:textId="77777777" w:rsidR="00DD133F" w:rsidRDefault="00EF4153">
                            <w:pPr>
                              <w:spacing w:line="240" w:lineRule="auto"/>
                              <w:jc w:val="right"/>
                              <w:textDirection w:val="btLr"/>
                            </w:pPr>
                            <w:r>
                              <w:rPr>
                                <w:rFonts w:ascii="Cambria" w:eastAsia="Cambria" w:hAnsi="Cambria" w:cs="Cambria"/>
                                <w:smallCaps/>
                                <w:color w:val="262626"/>
                                <w:sz w:val="20"/>
                              </w:rPr>
                              <w:t xml:space="preserve">     </w:t>
                            </w:r>
                          </w:p>
                          <w:p w14:paraId="406416F3" w14:textId="77777777" w:rsidR="00DD133F" w:rsidRDefault="00EF4153">
                            <w:pPr>
                              <w:spacing w:line="240" w:lineRule="auto"/>
                              <w:jc w:val="right"/>
                              <w:textDirection w:val="btLr"/>
                            </w:pPr>
                            <w:r>
                              <w:rPr>
                                <w:rFonts w:ascii="Cambria" w:eastAsia="Cambria" w:hAnsi="Cambria" w:cs="Cambria"/>
                                <w:color w:val="262626"/>
                                <w:sz w:val="20"/>
                              </w:rPr>
                              <w:t xml:space="preserve">      </w:t>
                            </w:r>
                          </w:p>
                        </w:txbxContent>
                      </wps:txbx>
                      <wps:bodyPr spcFirstLastPara="1" wrap="square" lIns="0" tIns="0" rIns="0" bIns="0" anchor="b" anchorCtr="0">
                        <a:noAutofit/>
                      </wps:bodyPr>
                    </wps:wsp>
                  </a:graphicData>
                </a:graphic>
              </wp:anchor>
            </w:drawing>
          </mc:Choice>
          <mc:Fallback>
            <w:pict>
              <v:rect w14:anchorId="6DFDACA4" id="Rectángulo 2124062370" o:spid="_x0000_s1027" style="position:absolute;margin-left:88.95pt;margin-top:704.15pt;width:453.75pt;height:5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" filled="f" stroked="f">
                <v:textbox inset="0,0,0,0">
                  <w:txbxContent>
                    <w:p w14:paraId="77D3561C" w14:textId="41C8C063" w:rsidR="00DD133F" w:rsidRDefault="006405B2">
                      <w:pPr>
                        <w:spacing w:line="240" w:lineRule="auto"/>
                        <w:jc w:val="right"/>
                        <w:textDirection w:val="btLr"/>
                      </w:pPr>
                      <w:r>
                        <w:rPr>
                          <w:noProof/>
                        </w:rPr>
                        <w:drawing>
                          <wp:inline distT="0" distB="0" distL="0" distR="0" wp14:anchorId="4D897439" wp14:editId="2D3C9BE1">
                            <wp:extent cx="5603240" cy="508000"/>
                            <wp:effectExtent l="0" t="0" r="0" b="0"/>
                            <wp:docPr id="946435748" name="image4.png"/>
                            <wp:cNvGraphicFramePr/>
                            <a:graphic xmlns:a="http://schemas.openxmlformats.org/drawingml/2006/main">
                              <a:graphicData uri="http://schemas.openxmlformats.org/drawingml/2006/picture">
                                <pic:pic xmlns:pic="http://schemas.openxmlformats.org/drawingml/2006/picture">
                                  <pic:nvPicPr>
                                    <pic:cNvPr id="2124062371" name="image4.png"/>
                                    <pic:cNvPicPr/>
                                  </pic:nvPicPr>
                                  <pic:blipFill>
                                    <a:blip r:embed="rId8"/>
                                    <a:srcRect/>
                                    <a:stretch>
                                      <a:fillRect/>
                                    </a:stretch>
                                  </pic:blipFill>
                                  <pic:spPr>
                                    <a:xfrm>
                                      <a:off x="0" y="0"/>
                                      <a:ext cx="5603240" cy="508000"/>
                                    </a:xfrm>
                                    <a:prstGeom prst="rect">
                                      <a:avLst/>
                                    </a:prstGeom>
                                    <a:ln/>
                                  </pic:spPr>
                                </pic:pic>
                              </a:graphicData>
                            </a:graphic>
                          </wp:inline>
                        </w:drawing>
                      </w:r>
                    </w:p>
                    <w:p w14:paraId="019B5DA4" w14:textId="77777777" w:rsidR="00DD133F" w:rsidRDefault="00EF4153">
                      <w:pPr>
                        <w:spacing w:line="240" w:lineRule="auto"/>
                        <w:jc w:val="right"/>
                        <w:textDirection w:val="btLr"/>
                      </w:pPr>
                      <w:r>
                        <w:rPr>
                          <w:rFonts w:ascii="Cambria" w:eastAsia="Cambria" w:hAnsi="Cambria" w:cs="Cambria"/>
                          <w:smallCaps/>
                          <w:color w:val="262626"/>
                          <w:sz w:val="20"/>
                        </w:rPr>
                        <w:t xml:space="preserve">     </w:t>
                      </w:r>
                    </w:p>
                    <w:p w14:paraId="406416F3" w14:textId="77777777" w:rsidR="00DD133F" w:rsidRDefault="00EF4153">
                      <w:pPr>
                        <w:spacing w:line="240" w:lineRule="auto"/>
                        <w:jc w:val="right"/>
                        <w:textDirection w:val="btLr"/>
                      </w:pPr>
                      <w:r>
                        <w:rPr>
                          <w:rFonts w:ascii="Cambria" w:eastAsia="Cambria" w:hAnsi="Cambria" w:cs="Cambria"/>
                          <w:color w:val="262626"/>
                          <w:sz w:val="20"/>
                        </w:rPr>
                        <w:t xml:space="preserve">      </w:t>
                      </w:r>
                    </w:p>
                  </w:txbxContent>
                </v:textbox>
                <w10:wrap type="square" anchorx="page" anchory="page"/>
              </v:rect>
            </w:pict>
          </mc:Fallback>
        </mc:AlternateContent>
      </w:r>
      <w:r>
        <w:br w:type="page"/>
      </w:r>
    </w:p>
    <w:p w14:paraId="00000003" w14:textId="77777777" w:rsidR="00DD133F" w:rsidRDefault="00EF4153">
      <w:pPr>
        <w:pBdr>
          <w:top w:val="nil"/>
          <w:left w:val="nil"/>
          <w:bottom w:val="nil"/>
          <w:right w:val="nil"/>
          <w:between w:val="nil"/>
        </w:pBdr>
        <w:tabs>
          <w:tab w:val="center" w:pos="4680"/>
          <w:tab w:val="right" w:pos="9360"/>
        </w:tabs>
        <w:spacing w:line="240" w:lineRule="auto"/>
        <w:rPr>
          <w:rFonts w:ascii="Times New Roman" w:eastAsia="Times New Roman" w:hAnsi="Times New Roman" w:cs="Times New Roman"/>
          <w:b/>
          <w:sz w:val="24"/>
          <w:szCs w:val="24"/>
        </w:rPr>
      </w:pPr>
      <w:r>
        <w:rPr>
          <w:rFonts w:ascii="Times New Roman" w:eastAsia="Times New Roman" w:hAnsi="Times New Roman" w:cs="Times New Roman"/>
          <w:b/>
          <w:color w:val="FFFFFF"/>
          <w:sz w:val="24"/>
          <w:szCs w:val="24"/>
        </w:rPr>
        <w:lastRenderedPageBreak/>
        <w:t xml:space="preserve"> </w:t>
      </w:r>
      <w:r>
        <w:rPr>
          <w:color w:val="000000"/>
        </w:rPr>
        <w:t xml:space="preserve"> </w:t>
      </w:r>
      <w:r>
        <w:rPr>
          <w:b/>
          <w:color w:val="000000"/>
        </w:rPr>
        <w:t xml:space="preserve"> </w:t>
      </w:r>
    </w:p>
    <w:p w14:paraId="00000004" w14:textId="77777777" w:rsidR="00DD133F" w:rsidRDefault="00EF4153">
      <w:pPr>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RESUMEN EJECUTIVO</w:t>
      </w:r>
    </w:p>
    <w:p w14:paraId="00000005" w14:textId="77777777" w:rsidR="00DD133F" w:rsidRDefault="00DD133F">
      <w:pPr>
        <w:spacing w:line="240" w:lineRule="auto"/>
        <w:jc w:val="both"/>
        <w:rPr>
          <w:rFonts w:ascii="Times New Roman" w:eastAsia="Times New Roman" w:hAnsi="Times New Roman" w:cs="Times New Roman"/>
          <w:sz w:val="24"/>
          <w:szCs w:val="24"/>
        </w:rPr>
      </w:pPr>
    </w:p>
    <w:p w14:paraId="00000006" w14:textId="1DCD7ED9" w:rsidR="00DD133F" w:rsidRDefault="00EF415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el marco del proceso de sustentación del Décimo Examen Periódico de México ante el Comité para la Eliminación de la Discriminación contra la Mujer (Co-CEDAW), la articulación de mujeres feminista</w:t>
      </w:r>
      <w:r w:rsidR="00F06ED2">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Aliadas por la Igualdad y la No Violencia</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presentó información de interés, durante la 88º Pre-Sesión (30 de octubre al 3 de noviembre) del Grupo de Trabajo del Co-CEDAW.  Ante la respuesta del Estado mexicano </w:t>
      </w:r>
      <w:r w:rsidR="00B120B4">
        <w:rPr>
          <w:rFonts w:ascii="Times New Roman" w:eastAsia="Times New Roman" w:hAnsi="Times New Roman" w:cs="Times New Roman"/>
          <w:sz w:val="24"/>
          <w:szCs w:val="24"/>
        </w:rPr>
        <w:t>por medio de su Informe Nacional</w:t>
      </w:r>
      <w:r w:rsidR="00B120B4">
        <w:rPr>
          <w:rStyle w:val="Refdenotaalpie"/>
          <w:rFonts w:ascii="Times New Roman" w:eastAsia="Times New Roman" w:hAnsi="Times New Roman" w:cs="Times New Roman"/>
          <w:sz w:val="24"/>
          <w:szCs w:val="24"/>
        </w:rPr>
        <w:footnoteReference w:id="2"/>
      </w:r>
      <w:r w:rsidR="00B120B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 la Lista de Cuestiones Previas</w:t>
      </w:r>
      <w:r w:rsidR="00B120B4">
        <w:rPr>
          <w:rStyle w:val="Refdenotaalpie"/>
          <w:rFonts w:ascii="Times New Roman" w:eastAsia="Times New Roman" w:hAnsi="Times New Roman" w:cs="Times New Roman"/>
          <w:sz w:val="24"/>
          <w:szCs w:val="24"/>
        </w:rPr>
        <w:footnoteReference w:id="3"/>
      </w:r>
      <w:r>
        <w:rPr>
          <w:rFonts w:ascii="Times New Roman" w:eastAsia="Times New Roman" w:hAnsi="Times New Roman" w:cs="Times New Roman"/>
          <w:sz w:val="24"/>
          <w:szCs w:val="24"/>
        </w:rPr>
        <w:t xml:space="preserve">, </w:t>
      </w:r>
      <w:r w:rsidR="001845D7">
        <w:rPr>
          <w:rFonts w:ascii="Times New Roman" w:eastAsia="Times New Roman" w:hAnsi="Times New Roman" w:cs="Times New Roman"/>
          <w:sz w:val="24"/>
          <w:szCs w:val="24"/>
        </w:rPr>
        <w:t xml:space="preserve">decidimos </w:t>
      </w:r>
      <w:r>
        <w:rPr>
          <w:rFonts w:ascii="Times New Roman" w:eastAsia="Times New Roman" w:hAnsi="Times New Roman" w:cs="Times New Roman"/>
          <w:sz w:val="24"/>
          <w:szCs w:val="24"/>
        </w:rPr>
        <w:t xml:space="preserve">dar seguimiento al </w:t>
      </w:r>
      <w:r w:rsidR="001845D7">
        <w:rPr>
          <w:rFonts w:ascii="Times New Roman" w:eastAsia="Times New Roman" w:hAnsi="Times New Roman" w:cs="Times New Roman"/>
          <w:sz w:val="24"/>
          <w:szCs w:val="24"/>
        </w:rPr>
        <w:t>proceso</w:t>
      </w:r>
      <w:r>
        <w:rPr>
          <w:rFonts w:ascii="Times New Roman" w:eastAsia="Times New Roman" w:hAnsi="Times New Roman" w:cs="Times New Roman"/>
          <w:sz w:val="24"/>
          <w:szCs w:val="24"/>
        </w:rPr>
        <w:t xml:space="preserve">, con la presentación de este </w:t>
      </w:r>
      <w:r>
        <w:rPr>
          <w:rFonts w:ascii="Times New Roman" w:eastAsia="Times New Roman" w:hAnsi="Times New Roman" w:cs="Times New Roman"/>
          <w:b/>
          <w:sz w:val="24"/>
          <w:szCs w:val="24"/>
        </w:rPr>
        <w:t>Informe Alterno</w:t>
      </w:r>
      <w:r>
        <w:rPr>
          <w:rFonts w:ascii="Times New Roman" w:eastAsia="Times New Roman" w:hAnsi="Times New Roman" w:cs="Times New Roman"/>
          <w:sz w:val="24"/>
          <w:szCs w:val="24"/>
        </w:rPr>
        <w:t xml:space="preserve"> hacia la Sesión 91 del Comité de la CEDAW. Lo anterior, con el fin de aportar al Comité, información actualizada y pormenorizada, en su tarea de elaboración de observaciones y recomendaciones al Estado mexicano. </w:t>
      </w:r>
    </w:p>
    <w:p w14:paraId="36CF1489" w14:textId="77777777" w:rsidR="00B120B4" w:rsidRDefault="00B120B4" w:rsidP="00B120B4">
      <w:pPr>
        <w:pBdr>
          <w:top w:val="nil"/>
          <w:left w:val="nil"/>
          <w:bottom w:val="nil"/>
          <w:right w:val="nil"/>
          <w:between w:val="nil"/>
        </w:pBdr>
        <w:spacing w:line="240" w:lineRule="auto"/>
        <w:ind w:right="442"/>
        <w:jc w:val="both"/>
        <w:rPr>
          <w:rFonts w:ascii="Times New Roman" w:eastAsia="Times New Roman" w:hAnsi="Times New Roman" w:cs="Times New Roman"/>
          <w:sz w:val="24"/>
          <w:szCs w:val="24"/>
        </w:rPr>
      </w:pPr>
    </w:p>
    <w:p w14:paraId="531FFE58" w14:textId="6E3756B1" w:rsidR="00B120B4" w:rsidRDefault="00EF4153" w:rsidP="003D6B67">
      <w:pPr>
        <w:pBdr>
          <w:top w:val="nil"/>
          <w:left w:val="nil"/>
          <w:bottom w:val="nil"/>
          <w:right w:val="nil"/>
          <w:between w:val="nil"/>
        </w:pBdr>
        <w:spacing w:line="240" w:lineRule="auto"/>
        <w:ind w:right="-43"/>
        <w:jc w:val="both"/>
        <w:rPr>
          <w:rFonts w:ascii="Times New Roman" w:hAnsi="Times New Roman" w:cs="Times New Roman"/>
          <w:sz w:val="24"/>
          <w:szCs w:val="24"/>
        </w:rPr>
      </w:pPr>
      <w:r w:rsidRPr="00B120B4">
        <w:rPr>
          <w:rFonts w:ascii="Times New Roman" w:eastAsia="Times New Roman" w:hAnsi="Times New Roman" w:cs="Times New Roman"/>
          <w:sz w:val="24"/>
          <w:szCs w:val="24"/>
        </w:rPr>
        <w:t>En este informe</w:t>
      </w:r>
      <w:r w:rsidR="00D748C0" w:rsidRPr="00B120B4">
        <w:rPr>
          <w:rFonts w:ascii="Times New Roman" w:eastAsia="Times New Roman" w:hAnsi="Times New Roman" w:cs="Times New Roman"/>
          <w:sz w:val="24"/>
          <w:szCs w:val="24"/>
        </w:rPr>
        <w:t xml:space="preserve"> </w:t>
      </w:r>
      <w:r w:rsidRPr="00B120B4">
        <w:rPr>
          <w:rFonts w:ascii="Times New Roman" w:eastAsia="Times New Roman" w:hAnsi="Times New Roman" w:cs="Times New Roman"/>
          <w:sz w:val="24"/>
          <w:szCs w:val="24"/>
        </w:rPr>
        <w:t>documentamos la reducción de programas y presupuestos orientados a la igualdad sustantiva y para atender</w:t>
      </w:r>
      <w:r w:rsidR="00D748C0" w:rsidRPr="00B120B4">
        <w:rPr>
          <w:rFonts w:ascii="Times New Roman" w:eastAsia="Times New Roman" w:hAnsi="Times New Roman" w:cs="Times New Roman"/>
          <w:sz w:val="24"/>
          <w:szCs w:val="24"/>
        </w:rPr>
        <w:t xml:space="preserve"> </w:t>
      </w:r>
      <w:r w:rsidRPr="00B120B4">
        <w:rPr>
          <w:rFonts w:ascii="Times New Roman" w:eastAsia="Times New Roman" w:hAnsi="Times New Roman" w:cs="Times New Roman"/>
          <w:sz w:val="24"/>
          <w:szCs w:val="24"/>
        </w:rPr>
        <w:t xml:space="preserve">las violencias contra las mujeres [art. 2 (b), (c), (d) y (f), art. 3 y art. 14 (1) de la Convención de CEDAW],  y el impacto de la política de austeridad gubernamental en los presupuestos públicos para las instituciones vinculadas con esta materia; particularmente se presenta un análisis del Anexo 13 Erogaciones para la Igualdad entre Mujeres y Hombres, para el periodo 2018-2024.  Así como, sobre el  incumplimiento del Estado mexicano en relación con brindar igual protección ante la ley a las sobrevivientes de violencia sexual, como la </w:t>
      </w:r>
      <w:sdt>
        <w:sdtPr>
          <w:rPr>
            <w:rFonts w:ascii="Times New Roman" w:hAnsi="Times New Roman" w:cs="Times New Roman"/>
          </w:rPr>
          <w:tag w:val="goog_rdk_0"/>
          <w:id w:val="-1296748997"/>
        </w:sdtPr>
        <w:sdtEndPr/>
        <w:sdtContent/>
      </w:sdt>
      <w:r w:rsidRPr="00B120B4">
        <w:rPr>
          <w:rFonts w:ascii="Times New Roman" w:eastAsia="Times New Roman" w:hAnsi="Times New Roman" w:cs="Times New Roman"/>
          <w:sz w:val="24"/>
          <w:szCs w:val="24"/>
        </w:rPr>
        <w:t>violación o el abuso sexual de niñas, niños y adolescentes, (</w:t>
      </w:r>
      <w:r w:rsidR="009B20A5">
        <w:rPr>
          <w:rFonts w:ascii="Times New Roman" w:eastAsia="Times New Roman" w:hAnsi="Times New Roman" w:cs="Times New Roman"/>
          <w:sz w:val="24"/>
          <w:szCs w:val="24"/>
        </w:rPr>
        <w:t>a</w:t>
      </w:r>
      <w:r w:rsidRPr="00B120B4">
        <w:rPr>
          <w:rFonts w:ascii="Times New Roman" w:eastAsia="Times New Roman" w:hAnsi="Times New Roman" w:cs="Times New Roman"/>
          <w:sz w:val="24"/>
          <w:szCs w:val="24"/>
        </w:rPr>
        <w:t>rtículo 2 (c) de la CEDAW); la incapacidad de las fuerzas del orden para proteger a las mujeres</w:t>
      </w:r>
      <w:sdt>
        <w:sdtPr>
          <w:rPr>
            <w:rFonts w:ascii="Times New Roman" w:hAnsi="Times New Roman" w:cs="Times New Roman"/>
          </w:rPr>
          <w:tag w:val="goog_rdk_1"/>
          <w:id w:val="229893207"/>
        </w:sdtPr>
        <w:sdtEndPr/>
        <w:sdtContent>
          <w:r w:rsidRPr="00B120B4">
            <w:rPr>
              <w:rFonts w:ascii="Times New Roman" w:eastAsia="Times New Roman" w:hAnsi="Times New Roman" w:cs="Times New Roman"/>
              <w:sz w:val="24"/>
              <w:szCs w:val="24"/>
              <w:vertAlign w:val="superscript"/>
            </w:rPr>
            <w:footnoteReference w:id="4"/>
          </w:r>
          <w:r w:rsidRPr="00B120B4">
            <w:rPr>
              <w:rFonts w:ascii="Times New Roman" w:eastAsia="Times New Roman" w:hAnsi="Times New Roman" w:cs="Times New Roman"/>
              <w:sz w:val="24"/>
              <w:szCs w:val="24"/>
            </w:rPr>
            <w:t>, adolescentes y niñas</w:t>
          </w:r>
        </w:sdtContent>
      </w:sdt>
      <w:r w:rsidRPr="00B120B4">
        <w:rPr>
          <w:rFonts w:ascii="Times New Roman" w:eastAsia="Times New Roman" w:hAnsi="Times New Roman" w:cs="Times New Roman"/>
          <w:sz w:val="24"/>
          <w:szCs w:val="24"/>
        </w:rPr>
        <w:t xml:space="preserve"> de la violencia sexual (artículo 2 (c) y (e)); y sobre las decisiones y faltas de las autoridades y sus agentes que constituyen una discriminación directa e indirecta demostrable contra las mujeres</w:t>
      </w:r>
      <w:sdt>
        <w:sdtPr>
          <w:rPr>
            <w:rFonts w:ascii="Times New Roman" w:hAnsi="Times New Roman" w:cs="Times New Roman"/>
          </w:rPr>
          <w:tag w:val="goog_rdk_2"/>
          <w:id w:val="1106689781"/>
        </w:sdtPr>
        <w:sdtEndPr/>
        <w:sdtContent>
          <w:r w:rsidRPr="00B120B4">
            <w:rPr>
              <w:rFonts w:ascii="Times New Roman" w:eastAsia="Times New Roman" w:hAnsi="Times New Roman" w:cs="Times New Roman"/>
              <w:sz w:val="24"/>
              <w:szCs w:val="24"/>
            </w:rPr>
            <w:t>, adolescentes</w:t>
          </w:r>
        </w:sdtContent>
      </w:sdt>
      <w:r w:rsidRPr="00B120B4">
        <w:rPr>
          <w:rFonts w:ascii="Times New Roman" w:eastAsia="Times New Roman" w:hAnsi="Times New Roman" w:cs="Times New Roman"/>
          <w:sz w:val="24"/>
          <w:szCs w:val="24"/>
        </w:rPr>
        <w:t xml:space="preserve"> y niñas (artículo 2(d)); así como, sobre la falta de reconocimiento e identificación de la dimensión de género de la violencia sexual durante el procesamiento del acusado y en la sanción de este delito (artículo 2 (e)). Argumentamos que las causas profundas de las fallas del Estado se deben al incumplimiento de la obligación de transformar las jerarquías de género y las actitudes estereotipadas y profundamente arraigadas hacia las mujeres, que violan los artículos 2 (f) y 5 (a) de la Convención, ya que el Estado tiene la obligación de combatir la violencia contra las mujeres</w:t>
      </w:r>
      <w:sdt>
        <w:sdtPr>
          <w:rPr>
            <w:rFonts w:ascii="Times New Roman" w:hAnsi="Times New Roman" w:cs="Times New Roman"/>
          </w:rPr>
          <w:tag w:val="goog_rdk_3"/>
          <w:id w:val="307131515"/>
        </w:sdtPr>
        <w:sdtEndPr/>
        <w:sdtContent>
          <w:r w:rsidRPr="00B120B4">
            <w:rPr>
              <w:rFonts w:ascii="Times New Roman" w:eastAsia="Times New Roman" w:hAnsi="Times New Roman" w:cs="Times New Roman"/>
              <w:sz w:val="24"/>
              <w:szCs w:val="24"/>
            </w:rPr>
            <w:t xml:space="preserve"> en toda su diversidad</w:t>
          </w:r>
        </w:sdtContent>
      </w:sdt>
      <w:r w:rsidRPr="00B120B4">
        <w:rPr>
          <w:rFonts w:ascii="Times New Roman" w:eastAsia="Times New Roman" w:hAnsi="Times New Roman" w:cs="Times New Roman"/>
          <w:sz w:val="24"/>
          <w:szCs w:val="24"/>
        </w:rPr>
        <w:t xml:space="preserve"> y brindar a las </w:t>
      </w:r>
      <w:sdt>
        <w:sdtPr>
          <w:rPr>
            <w:rFonts w:ascii="Times New Roman" w:hAnsi="Times New Roman" w:cs="Times New Roman"/>
          </w:rPr>
          <w:tag w:val="goog_rdk_4"/>
          <w:id w:val="-431357676"/>
        </w:sdtPr>
        <w:sdtEndPr/>
        <w:sdtContent/>
      </w:sdt>
      <w:r w:rsidRPr="00B120B4">
        <w:rPr>
          <w:rFonts w:ascii="Times New Roman" w:eastAsia="Times New Roman" w:hAnsi="Times New Roman" w:cs="Times New Roman"/>
          <w:sz w:val="24"/>
          <w:szCs w:val="24"/>
        </w:rPr>
        <w:t xml:space="preserve">sobrevivientes acceso a la justicia, tal como lo señalan las Recomendaciones Generales 19, 33 y 35 del Comité. </w:t>
      </w:r>
      <w:r w:rsidR="00B120B4" w:rsidRPr="00B120B4">
        <w:rPr>
          <w:rFonts w:ascii="Times New Roman" w:hAnsi="Times New Roman" w:cs="Times New Roman"/>
          <w:sz w:val="24"/>
          <w:szCs w:val="24"/>
        </w:rPr>
        <w:t>Además, conforme las observaciones anteriores del Comité</w:t>
      </w:r>
      <w:r w:rsidR="00B120B4" w:rsidRPr="00B120B4">
        <w:rPr>
          <w:rFonts w:ascii="Times New Roman" w:hAnsi="Times New Roman" w:cs="Times New Roman"/>
          <w:sz w:val="24"/>
          <w:szCs w:val="24"/>
          <w:vertAlign w:val="superscript"/>
        </w:rPr>
        <w:footnoteReference w:id="5"/>
      </w:r>
      <w:r w:rsidR="00B120B4" w:rsidRPr="00B120B4">
        <w:rPr>
          <w:rFonts w:ascii="Times New Roman" w:hAnsi="Times New Roman" w:cs="Times New Roman"/>
          <w:sz w:val="24"/>
          <w:szCs w:val="24"/>
        </w:rPr>
        <w:t xml:space="preserve">, pretendemos brindar información sobre protocolos efectivos que contribuyan a la investigación y procesamiento efectivos y con perspectiva de género en casos de violencia contra las mujeres. </w:t>
      </w:r>
    </w:p>
    <w:p w14:paraId="60F79158" w14:textId="77777777" w:rsidR="003D6B67" w:rsidRPr="00B120B4" w:rsidRDefault="003D6B67" w:rsidP="003D6B67">
      <w:pPr>
        <w:pBdr>
          <w:top w:val="nil"/>
          <w:left w:val="nil"/>
          <w:bottom w:val="nil"/>
          <w:right w:val="nil"/>
          <w:between w:val="nil"/>
        </w:pBdr>
        <w:spacing w:line="240" w:lineRule="auto"/>
        <w:ind w:right="-43"/>
        <w:jc w:val="both"/>
        <w:rPr>
          <w:rFonts w:ascii="Times New Roman" w:hAnsi="Times New Roman" w:cs="Times New Roman"/>
          <w:sz w:val="24"/>
          <w:szCs w:val="24"/>
        </w:rPr>
      </w:pPr>
    </w:p>
    <w:p w14:paraId="22E2D4DC" w14:textId="77777777" w:rsidR="003D6B67" w:rsidRDefault="003D6B67">
      <w:pPr>
        <w:spacing w:line="240" w:lineRule="auto"/>
        <w:jc w:val="both"/>
        <w:rPr>
          <w:rFonts w:ascii="Times New Roman" w:eastAsia="Times New Roman" w:hAnsi="Times New Roman" w:cs="Times New Roman"/>
          <w:sz w:val="24"/>
          <w:szCs w:val="24"/>
        </w:rPr>
      </w:pPr>
    </w:p>
    <w:p w14:paraId="00000020" w14:textId="5DFE1C35" w:rsidR="00DD133F" w:rsidRPr="00B120B4" w:rsidRDefault="00EF4153" w:rsidP="00B120B4">
      <w:pPr>
        <w:pStyle w:val="Prrafodelista"/>
        <w:numPr>
          <w:ilvl w:val="0"/>
          <w:numId w:val="2"/>
        </w:numPr>
        <w:rPr>
          <w:rFonts w:ascii="Times New Roman" w:eastAsia="Times New Roman" w:hAnsi="Times New Roman" w:cs="Times New Roman"/>
          <w:b/>
          <w:i/>
          <w:sz w:val="24"/>
          <w:szCs w:val="24"/>
        </w:rPr>
      </w:pPr>
      <w:r w:rsidRPr="00B120B4">
        <w:rPr>
          <w:rFonts w:ascii="Times New Roman" w:eastAsia="Times New Roman" w:hAnsi="Times New Roman" w:cs="Times New Roman"/>
          <w:b/>
          <w:i/>
          <w:sz w:val="24"/>
          <w:szCs w:val="24"/>
        </w:rPr>
        <w:t>Las mujeres en México y su contexto</w:t>
      </w:r>
    </w:p>
    <w:p w14:paraId="00000021" w14:textId="77777777" w:rsidR="00DD133F" w:rsidRDefault="00DD133F">
      <w:pPr>
        <w:spacing w:line="240" w:lineRule="auto"/>
        <w:jc w:val="both"/>
        <w:rPr>
          <w:rFonts w:ascii="Times New Roman" w:eastAsia="Times New Roman" w:hAnsi="Times New Roman" w:cs="Times New Roman"/>
          <w:sz w:val="24"/>
          <w:szCs w:val="24"/>
        </w:rPr>
      </w:pPr>
    </w:p>
    <w:p w14:paraId="40BB49D0" w14:textId="4D96C10E" w:rsidR="00A40774" w:rsidRDefault="00A4077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Observamos con preocupación la persistencia de un alto nivel de violencia en México contra las mujeres.  A esta violencia, se añade el de personas desaparecidas, contabilizando 1</w:t>
      </w:r>
      <w:r w:rsidR="00C70B3C">
        <w:rPr>
          <w:rFonts w:ascii="Times New Roman" w:eastAsia="Times New Roman" w:hAnsi="Times New Roman" w:cs="Times New Roman"/>
          <w:sz w:val="24"/>
          <w:szCs w:val="24"/>
        </w:rPr>
        <w:t>28</w:t>
      </w:r>
      <w:r>
        <w:rPr>
          <w:rFonts w:ascii="Times New Roman" w:eastAsia="Times New Roman" w:hAnsi="Times New Roman" w:cs="Times New Roman"/>
          <w:sz w:val="24"/>
          <w:szCs w:val="24"/>
        </w:rPr>
        <w:t>,</w:t>
      </w:r>
      <w:r w:rsidR="00C70B3C">
        <w:rPr>
          <w:rFonts w:ascii="Times New Roman" w:eastAsia="Times New Roman" w:hAnsi="Times New Roman" w:cs="Times New Roman"/>
          <w:sz w:val="24"/>
          <w:szCs w:val="24"/>
        </w:rPr>
        <w:t>388</w:t>
      </w:r>
      <w:r>
        <w:rPr>
          <w:rFonts w:ascii="Times New Roman" w:eastAsia="Times New Roman" w:hAnsi="Times New Roman" w:cs="Times New Roman"/>
          <w:sz w:val="24"/>
          <w:szCs w:val="24"/>
        </w:rPr>
        <w:t xml:space="preserve"> casos reportados a mayo de 202</w:t>
      </w:r>
      <w:r w:rsidR="00C70B3C">
        <w:rPr>
          <w:rFonts w:ascii="Times New Roman" w:eastAsia="Times New Roman" w:hAnsi="Times New Roman" w:cs="Times New Roman"/>
          <w:sz w:val="24"/>
          <w:szCs w:val="24"/>
        </w:rPr>
        <w:t>5</w:t>
      </w:r>
      <w:r>
        <w:rPr>
          <w:rFonts w:ascii="Times New Roman" w:eastAsia="Times New Roman" w:hAnsi="Times New Roman" w:cs="Times New Roman"/>
          <w:sz w:val="24"/>
          <w:szCs w:val="24"/>
        </w:rPr>
        <w:t>.</w:t>
      </w:r>
      <w:r w:rsidR="00B375D3">
        <w:rPr>
          <w:rStyle w:val="Refdenotaalpie"/>
          <w:rFonts w:ascii="Times New Roman" w:eastAsia="Times New Roman" w:hAnsi="Times New Roman" w:cs="Times New Roman"/>
          <w:sz w:val="24"/>
          <w:szCs w:val="24"/>
        </w:rPr>
        <w:footnoteReference w:id="6"/>
      </w:r>
    </w:p>
    <w:p w14:paraId="124D9D25" w14:textId="77777777" w:rsidR="00A40774" w:rsidRDefault="00A40774">
      <w:pPr>
        <w:spacing w:line="240" w:lineRule="auto"/>
        <w:jc w:val="both"/>
        <w:rPr>
          <w:rFonts w:ascii="Times New Roman" w:eastAsia="Times New Roman" w:hAnsi="Times New Roman" w:cs="Times New Roman"/>
          <w:sz w:val="24"/>
          <w:szCs w:val="24"/>
        </w:rPr>
      </w:pPr>
    </w:p>
    <w:p w14:paraId="00000022" w14:textId="344FBFFD" w:rsidR="00DD133F" w:rsidRDefault="00A4077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materia de violencia de género, de acuerdo con cifras del Secretariado Ejecutivo del Sistema Nacional de Seguridad Pública (SESNSP), de enero del 2018 a diciembre del 2024, se registraron 25 mil 534 asesinatos de mujeres en el país (19 mil 171 homicidios dolosos y 6,363 feminicidios).  Es decir, en promedio se cometieron 10 asesinatos de mujeres cada día, durante este periodo. Para este 2025, de enero a marzo, 721 mujeres han sido víctimas de homicidio doloso (559) y feminicidio (162).</w:t>
      </w:r>
      <w:r w:rsidRPr="00A40774">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vertAlign w:val="superscript"/>
        </w:rPr>
        <w:footnoteReference w:id="7"/>
      </w:r>
    </w:p>
    <w:p w14:paraId="00000023" w14:textId="77777777" w:rsidR="00DD133F" w:rsidRDefault="00DD133F">
      <w:pPr>
        <w:spacing w:line="240" w:lineRule="auto"/>
        <w:jc w:val="both"/>
        <w:rPr>
          <w:rFonts w:ascii="Times New Roman" w:eastAsia="Times New Roman" w:hAnsi="Times New Roman" w:cs="Times New Roman"/>
          <w:sz w:val="24"/>
          <w:szCs w:val="24"/>
        </w:rPr>
      </w:pPr>
    </w:p>
    <w:p w14:paraId="00000024" w14:textId="3D194409" w:rsidR="00DD133F" w:rsidRDefault="00EF4153">
      <w:pPr>
        <w:spacing w:line="240" w:lineRule="auto"/>
        <w:jc w:val="both"/>
        <w:rPr>
          <w:rFonts w:ascii="Times New Roman" w:eastAsia="Times New Roman" w:hAnsi="Times New Roman" w:cs="Times New Roman"/>
          <w:sz w:val="24"/>
          <w:szCs w:val="24"/>
          <w:shd w:val="clear" w:color="auto" w:fill="EAD1DC"/>
        </w:rPr>
      </w:pPr>
      <w:r>
        <w:rPr>
          <w:rFonts w:ascii="Times New Roman" w:eastAsia="Times New Roman" w:hAnsi="Times New Roman" w:cs="Times New Roman"/>
          <w:sz w:val="24"/>
          <w:szCs w:val="24"/>
        </w:rPr>
        <w:t>En relación con otr</w:t>
      </w:r>
      <w:r w:rsidR="00F06ED2">
        <w:rPr>
          <w:rFonts w:ascii="Times New Roman" w:eastAsia="Times New Roman" w:hAnsi="Times New Roman" w:cs="Times New Roman"/>
          <w:sz w:val="24"/>
          <w:szCs w:val="24"/>
        </w:rPr>
        <w:t xml:space="preserve">as violencias </w:t>
      </w:r>
      <w:r>
        <w:rPr>
          <w:rFonts w:ascii="Times New Roman" w:eastAsia="Times New Roman" w:hAnsi="Times New Roman" w:cs="Times New Roman"/>
          <w:sz w:val="24"/>
          <w:szCs w:val="24"/>
        </w:rPr>
        <w:t>que forman parte del continuum de los contextos de violencia feminicida, según la ENDIREH (2021), el 49.7%</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de las mujeres de 15 años o más experimentaron violencia sexual a lo largo de su vida y, el 23.3% en los últimos 12 meses.  Esta cifra contrasta con la ENDIREH, 2016</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donde el 20.2% de mujeres mayores de 15 años, reportó haber experimentado violencia sexual en los últimos 12 meses; lo que muestra un aumento de violencia sexual de 3.1 puntos porcentuales en la última encuesta.  Por su parte, el SESNSP, con información de las procuradurías o fiscalías de las 32 entidades federativas, reportó 137 mil delitos de violación para el periodo enero del 2018 a diciembre del 2024.</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w:t>
      </w:r>
    </w:p>
    <w:p w14:paraId="00000025" w14:textId="77777777" w:rsidR="00DD133F" w:rsidRDefault="00DD133F">
      <w:pPr>
        <w:spacing w:line="240" w:lineRule="auto"/>
        <w:jc w:val="both"/>
        <w:rPr>
          <w:rFonts w:ascii="Times New Roman" w:eastAsia="Times New Roman" w:hAnsi="Times New Roman" w:cs="Times New Roman"/>
          <w:sz w:val="24"/>
          <w:szCs w:val="24"/>
        </w:rPr>
      </w:pPr>
    </w:p>
    <w:p w14:paraId="00000026" w14:textId="46F0AD33" w:rsidR="00DD133F" w:rsidRDefault="00EF4153">
      <w:pPr>
        <w:spacing w:line="24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Ante esta realidad, la respuesta del Estado ha sido recortar los presupuestos públicos para prevenir, atender y sancionar la violencia de género que afecta a las mujeres, adolescentes y niñas. Esto ha tenido un impacto perjudicial en el acceso a la justicia y al apoyo integral de las </w:t>
      </w:r>
      <w:r w:rsidR="005B034D">
        <w:rPr>
          <w:rFonts w:ascii="Times New Roman" w:eastAsia="Times New Roman" w:hAnsi="Times New Roman" w:cs="Times New Roman"/>
          <w:sz w:val="24"/>
          <w:szCs w:val="24"/>
        </w:rPr>
        <w:t>sobrevivientes</w:t>
      </w:r>
      <w:r>
        <w:rPr>
          <w:rFonts w:ascii="Times New Roman" w:eastAsia="Times New Roman" w:hAnsi="Times New Roman" w:cs="Times New Roman"/>
          <w:sz w:val="24"/>
          <w:szCs w:val="24"/>
        </w:rPr>
        <w:t xml:space="preserve"> de violencia sexual</w:t>
      </w:r>
      <w:r w:rsidR="00F06ED2">
        <w:rPr>
          <w:rFonts w:ascii="Times New Roman" w:eastAsia="Times New Roman" w:hAnsi="Times New Roman" w:cs="Times New Roman"/>
          <w:sz w:val="24"/>
          <w:szCs w:val="24"/>
        </w:rPr>
        <w:t>, especialmente a las indígenas, afro y con discapacidad</w:t>
      </w:r>
      <w:r>
        <w:rPr>
          <w:rFonts w:ascii="Times New Roman" w:eastAsia="Times New Roman" w:hAnsi="Times New Roman" w:cs="Times New Roman"/>
          <w:sz w:val="24"/>
          <w:szCs w:val="24"/>
        </w:rPr>
        <w:t>. México también incumple sus obligaciones internacionales de abordar la impunidad de los delitos de violencia sexual y garantizar que las mujeres y las niñas tengan acceso a una igualdad sustantiva.</w:t>
      </w:r>
    </w:p>
    <w:p w14:paraId="3768B47D" w14:textId="77777777" w:rsidR="00A40774" w:rsidRDefault="00A40774">
      <w:pPr>
        <w:spacing w:line="240" w:lineRule="auto"/>
        <w:jc w:val="both"/>
        <w:rPr>
          <w:rFonts w:ascii="Times New Roman" w:eastAsia="Times New Roman" w:hAnsi="Times New Roman" w:cs="Times New Roman"/>
          <w:b/>
          <w:sz w:val="24"/>
          <w:szCs w:val="24"/>
          <w:highlight w:val="cyan"/>
        </w:rPr>
      </w:pPr>
    </w:p>
    <w:p w14:paraId="4CD6D793" w14:textId="77777777" w:rsidR="00193766" w:rsidRDefault="001937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b/>
          <w:i/>
          <w:sz w:val="24"/>
          <w:szCs w:val="24"/>
        </w:rPr>
      </w:pPr>
    </w:p>
    <w:p w14:paraId="5DA7A079" w14:textId="1EE1E05E" w:rsidR="00B375D3" w:rsidRPr="00E3367F" w:rsidRDefault="00B375D3" w:rsidP="00B375D3">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b/>
          <w:iCs/>
          <w:sz w:val="24"/>
          <w:szCs w:val="24"/>
        </w:rPr>
      </w:pPr>
      <w:r w:rsidRPr="00E3367F">
        <w:rPr>
          <w:rFonts w:ascii="Times New Roman" w:eastAsia="Times New Roman" w:hAnsi="Times New Roman" w:cs="Times New Roman"/>
          <w:b/>
          <w:iCs/>
          <w:sz w:val="24"/>
          <w:szCs w:val="24"/>
        </w:rPr>
        <w:t>Art. 2. CEDAW</w:t>
      </w:r>
    </w:p>
    <w:p w14:paraId="107CE4A5" w14:textId="77777777" w:rsidR="00B375D3" w:rsidRDefault="00B375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b/>
          <w:i/>
          <w:sz w:val="24"/>
          <w:szCs w:val="24"/>
        </w:rPr>
      </w:pPr>
    </w:p>
    <w:p w14:paraId="00000029" w14:textId="4B958F56" w:rsidR="00DD133F" w:rsidRPr="00E3367F" w:rsidRDefault="00EF4153" w:rsidP="00B375D3">
      <w:pPr>
        <w:pStyle w:val="Prrafodelist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b/>
          <w:iCs/>
          <w:sz w:val="24"/>
          <w:szCs w:val="24"/>
        </w:rPr>
      </w:pPr>
      <w:r w:rsidRPr="00E3367F">
        <w:rPr>
          <w:rFonts w:ascii="Times New Roman" w:eastAsia="Times New Roman" w:hAnsi="Times New Roman" w:cs="Times New Roman"/>
          <w:b/>
          <w:iCs/>
          <w:sz w:val="24"/>
          <w:szCs w:val="24"/>
        </w:rPr>
        <w:t>Definición de discriminación, marco legislativo y político.</w:t>
      </w:r>
    </w:p>
    <w:p w14:paraId="0000002A" w14:textId="77777777" w:rsidR="00DD133F" w:rsidRDefault="00DD13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eastAsia="Times New Roman" w:hAnsi="Times New Roman" w:cs="Times New Roman"/>
          <w:sz w:val="24"/>
          <w:szCs w:val="24"/>
        </w:rPr>
      </w:pPr>
    </w:p>
    <w:p w14:paraId="0000002C" w14:textId="6A9B520B" w:rsidR="00DD133F" w:rsidRPr="003D6B67" w:rsidRDefault="00450B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Aliadas por la Igualdad y la No Violencia contra las Mujeres</w:t>
      </w:r>
      <w:r>
        <w:rPr>
          <w:rFonts w:ascii="Times New Roman" w:eastAsia="Times New Roman" w:hAnsi="Times New Roman" w:cs="Times New Roman"/>
          <w:sz w:val="24"/>
          <w:szCs w:val="24"/>
        </w:rPr>
        <w:t>, reconoce la importancia de considerar los delitos contra la libertad sexual y la autonomía e integridad de las mujeres en la legislación federal, así como las diversas reformas al Código Penal Federal</w:t>
      </w:r>
      <w:r w:rsidR="00BF466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realizadas por el Estado mexicano sobre “Violación a la Intimidad Sexual”.</w:t>
      </w:r>
      <w:r w:rsidR="00BF466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Sin embargo, estas reformas no consideraron los más altos estándares en materia de consentimiento, plantea</w:t>
      </w:r>
      <w:r w:rsidR="00BF4663">
        <w:rPr>
          <w:rFonts w:ascii="Times New Roman" w:eastAsia="Times New Roman" w:hAnsi="Times New Roman" w:cs="Times New Roman"/>
          <w:sz w:val="24"/>
          <w:szCs w:val="24"/>
        </w:rPr>
        <w:t>das</w:t>
      </w:r>
      <w:r>
        <w:rPr>
          <w:rFonts w:ascii="Times New Roman" w:eastAsia="Times New Roman" w:hAnsi="Times New Roman" w:cs="Times New Roman"/>
          <w:sz w:val="24"/>
          <w:szCs w:val="24"/>
        </w:rPr>
        <w:t xml:space="preserve"> en las </w:t>
      </w:r>
      <w:r w:rsidRPr="003D6B67">
        <w:rPr>
          <w:rFonts w:ascii="Times New Roman" w:eastAsia="Times New Roman" w:hAnsi="Times New Roman" w:cs="Times New Roman"/>
          <w:sz w:val="24"/>
          <w:szCs w:val="24"/>
        </w:rPr>
        <w:lastRenderedPageBreak/>
        <w:t>recomendaciones del MESECVI</w:t>
      </w:r>
      <w:r w:rsidR="00B375D3" w:rsidRPr="003D6B67">
        <w:rPr>
          <w:rFonts w:ascii="Times New Roman" w:eastAsia="Times New Roman" w:hAnsi="Times New Roman" w:cs="Times New Roman"/>
          <w:sz w:val="24"/>
          <w:szCs w:val="24"/>
        </w:rPr>
        <w:t>, p</w:t>
      </w:r>
      <w:r w:rsidRPr="003D6B67">
        <w:rPr>
          <w:rFonts w:ascii="Times New Roman" w:eastAsia="Times New Roman" w:hAnsi="Times New Roman" w:cs="Times New Roman"/>
          <w:sz w:val="24"/>
          <w:szCs w:val="24"/>
        </w:rPr>
        <w:t>articularmente la Recomendación General No. 3</w:t>
      </w:r>
      <w:r w:rsidR="003D6B67">
        <w:rPr>
          <w:rFonts w:ascii="Times New Roman" w:eastAsia="Times New Roman" w:hAnsi="Times New Roman" w:cs="Times New Roman"/>
          <w:sz w:val="24"/>
          <w:szCs w:val="24"/>
        </w:rPr>
        <w:t>,</w:t>
      </w:r>
      <w:r w:rsidR="00CF7E72" w:rsidRPr="003D6B67">
        <w:rPr>
          <w:rStyle w:val="Refdenotaalpie"/>
          <w:rFonts w:ascii="Times New Roman" w:eastAsia="Times New Roman" w:hAnsi="Times New Roman" w:cs="Times New Roman"/>
          <w:sz w:val="24"/>
          <w:szCs w:val="24"/>
        </w:rPr>
        <w:footnoteReference w:id="11"/>
      </w:r>
      <w:r w:rsidR="00B375D3" w:rsidRPr="003D6B67">
        <w:rPr>
          <w:rFonts w:ascii="Times New Roman" w:eastAsia="Times New Roman" w:hAnsi="Times New Roman" w:cs="Times New Roman"/>
          <w:sz w:val="24"/>
          <w:szCs w:val="24"/>
        </w:rPr>
        <w:t xml:space="preserve"> en la que se plantea la importancia de garantizar la libertad sexual, el libre desarrollo de las personas y una vida libre de violencia, especialmente en el énfasis que hacen de conceptualizar el consentimiento como un element</w:t>
      </w:r>
      <w:r w:rsidR="009B20A5">
        <w:rPr>
          <w:rFonts w:ascii="Times New Roman" w:eastAsia="Times New Roman" w:hAnsi="Times New Roman" w:cs="Times New Roman"/>
          <w:sz w:val="24"/>
          <w:szCs w:val="24"/>
        </w:rPr>
        <w:t>o</w:t>
      </w:r>
      <w:r w:rsidR="00B375D3" w:rsidRPr="003D6B67">
        <w:rPr>
          <w:rFonts w:ascii="Times New Roman" w:eastAsia="Times New Roman" w:hAnsi="Times New Roman" w:cs="Times New Roman"/>
          <w:sz w:val="24"/>
          <w:szCs w:val="24"/>
        </w:rPr>
        <w:t xml:space="preserve"> fundamental que permite diferenciar entre sexualidad libremente ejercida y un acto de violencia. Además, es importante considerar que la competencia a nivel federal en México es limitada respecto al grueso de la población que se rige por las legislaciones locales. </w:t>
      </w:r>
      <w:r w:rsidRPr="003D6B67">
        <w:rPr>
          <w:rFonts w:ascii="Times New Roman" w:eastAsia="Times New Roman" w:hAnsi="Times New Roman" w:cs="Times New Roman"/>
          <w:sz w:val="24"/>
          <w:szCs w:val="24"/>
        </w:rPr>
        <w:t>Es decir, se requiere de un cambio de paradigma</w:t>
      </w:r>
      <w:r w:rsidR="00B375D3" w:rsidRPr="003D6B67">
        <w:rPr>
          <w:rFonts w:ascii="Times New Roman" w:eastAsia="Times New Roman" w:hAnsi="Times New Roman" w:cs="Times New Roman"/>
          <w:sz w:val="24"/>
          <w:szCs w:val="24"/>
        </w:rPr>
        <w:t xml:space="preserve"> en México</w:t>
      </w:r>
      <w:r w:rsidRPr="003D6B67">
        <w:rPr>
          <w:rFonts w:ascii="Times New Roman" w:eastAsia="Times New Roman" w:hAnsi="Times New Roman" w:cs="Times New Roman"/>
          <w:sz w:val="24"/>
          <w:szCs w:val="24"/>
        </w:rPr>
        <w:t xml:space="preserve">, </w:t>
      </w:r>
      <w:r w:rsidR="00CF7E72" w:rsidRPr="003D6B67">
        <w:rPr>
          <w:rFonts w:ascii="Times New Roman" w:eastAsia="Times New Roman" w:hAnsi="Times New Roman" w:cs="Times New Roman"/>
          <w:sz w:val="24"/>
          <w:szCs w:val="24"/>
        </w:rPr>
        <w:t xml:space="preserve">que sitúe </w:t>
      </w:r>
      <w:r w:rsidRPr="003D6B67">
        <w:rPr>
          <w:rFonts w:ascii="Times New Roman" w:eastAsia="Times New Roman" w:hAnsi="Times New Roman" w:cs="Times New Roman"/>
          <w:sz w:val="24"/>
          <w:szCs w:val="24"/>
        </w:rPr>
        <w:t xml:space="preserve">el consentimiento como </w:t>
      </w:r>
      <w:r w:rsidR="00CF7E72" w:rsidRPr="003D6B67">
        <w:rPr>
          <w:rFonts w:ascii="Times New Roman" w:eastAsia="Times New Roman" w:hAnsi="Times New Roman" w:cs="Times New Roman"/>
          <w:sz w:val="24"/>
          <w:szCs w:val="24"/>
        </w:rPr>
        <w:t xml:space="preserve">el elemento </w:t>
      </w:r>
      <w:r w:rsidRPr="003D6B67">
        <w:rPr>
          <w:rFonts w:ascii="Times New Roman" w:eastAsia="Times New Roman" w:hAnsi="Times New Roman" w:cs="Times New Roman"/>
          <w:sz w:val="24"/>
          <w:szCs w:val="24"/>
        </w:rPr>
        <w:t xml:space="preserve">central </w:t>
      </w:r>
      <w:r w:rsidR="00CF7E72" w:rsidRPr="003D6B67">
        <w:rPr>
          <w:rFonts w:ascii="Times New Roman" w:eastAsia="Times New Roman" w:hAnsi="Times New Roman" w:cs="Times New Roman"/>
          <w:sz w:val="24"/>
          <w:szCs w:val="24"/>
        </w:rPr>
        <w:t xml:space="preserve">en la definición y persecución de </w:t>
      </w:r>
      <w:r w:rsidRPr="003D6B67">
        <w:rPr>
          <w:rFonts w:ascii="Times New Roman" w:eastAsia="Times New Roman" w:hAnsi="Times New Roman" w:cs="Times New Roman"/>
          <w:sz w:val="24"/>
          <w:szCs w:val="24"/>
        </w:rPr>
        <w:t xml:space="preserve">los delitos sexuales.  Como </w:t>
      </w:r>
      <w:r w:rsidR="00CF7E72" w:rsidRPr="003D6B67">
        <w:rPr>
          <w:rFonts w:ascii="Times New Roman" w:eastAsia="Times New Roman" w:hAnsi="Times New Roman" w:cs="Times New Roman"/>
          <w:sz w:val="24"/>
          <w:szCs w:val="24"/>
        </w:rPr>
        <w:t xml:space="preserve">bien lo </w:t>
      </w:r>
      <w:r w:rsidRPr="003D6B67">
        <w:rPr>
          <w:rFonts w:ascii="Times New Roman" w:eastAsia="Times New Roman" w:hAnsi="Times New Roman" w:cs="Times New Roman"/>
          <w:sz w:val="24"/>
          <w:szCs w:val="24"/>
        </w:rPr>
        <w:t xml:space="preserve">menciona Equality Now en su </w:t>
      </w:r>
      <w:r w:rsidRPr="003D6B67">
        <w:rPr>
          <w:rFonts w:ascii="Times New Roman" w:eastAsia="Times New Roman" w:hAnsi="Times New Roman" w:cs="Times New Roman"/>
          <w:b/>
          <w:i/>
          <w:sz w:val="24"/>
          <w:szCs w:val="24"/>
        </w:rPr>
        <w:t>Informe Fracaso en la Protección</w:t>
      </w:r>
      <w:r w:rsidR="00CF7E72" w:rsidRPr="003D6B67">
        <w:rPr>
          <w:rStyle w:val="Refdenotaalpie"/>
          <w:rFonts w:ascii="Times New Roman" w:eastAsia="Times New Roman" w:hAnsi="Times New Roman" w:cs="Times New Roman"/>
          <w:b/>
          <w:i/>
          <w:sz w:val="24"/>
          <w:szCs w:val="24"/>
        </w:rPr>
        <w:footnoteReference w:id="12"/>
      </w:r>
      <w:r w:rsidRPr="003D6B67">
        <w:rPr>
          <w:rFonts w:ascii="Times New Roman" w:eastAsia="Times New Roman" w:hAnsi="Times New Roman" w:cs="Times New Roman"/>
          <w:sz w:val="24"/>
          <w:szCs w:val="24"/>
        </w:rPr>
        <w:t xml:space="preserve">, en América Latina y </w:t>
      </w:r>
      <w:r w:rsidR="009B20A5">
        <w:rPr>
          <w:rFonts w:ascii="Times New Roman" w:eastAsia="Times New Roman" w:hAnsi="Times New Roman" w:cs="Times New Roman"/>
          <w:sz w:val="24"/>
          <w:szCs w:val="24"/>
        </w:rPr>
        <w:t>e</w:t>
      </w:r>
      <w:r w:rsidRPr="003D6B67">
        <w:rPr>
          <w:rFonts w:ascii="Times New Roman" w:eastAsia="Times New Roman" w:hAnsi="Times New Roman" w:cs="Times New Roman"/>
          <w:sz w:val="24"/>
          <w:szCs w:val="24"/>
        </w:rPr>
        <w:t xml:space="preserve">l Caribe </w:t>
      </w:r>
      <w:r w:rsidR="00CF7E72" w:rsidRPr="003D6B67">
        <w:rPr>
          <w:rFonts w:ascii="Times New Roman" w:eastAsia="Times New Roman" w:hAnsi="Times New Roman" w:cs="Times New Roman"/>
          <w:sz w:val="24"/>
          <w:szCs w:val="24"/>
        </w:rPr>
        <w:t xml:space="preserve">persisten obstáculos estructurales que dificultan </w:t>
      </w:r>
      <w:r w:rsidRPr="003D6B67">
        <w:rPr>
          <w:rFonts w:ascii="Times New Roman" w:eastAsia="Times New Roman" w:hAnsi="Times New Roman" w:cs="Times New Roman"/>
          <w:sz w:val="24"/>
          <w:szCs w:val="24"/>
        </w:rPr>
        <w:t xml:space="preserve">el acceso a la justicia </w:t>
      </w:r>
      <w:r w:rsidR="00CF7E72" w:rsidRPr="003D6B67">
        <w:rPr>
          <w:rFonts w:ascii="Times New Roman" w:eastAsia="Times New Roman" w:hAnsi="Times New Roman" w:cs="Times New Roman"/>
          <w:sz w:val="24"/>
          <w:szCs w:val="24"/>
        </w:rPr>
        <w:t>para</w:t>
      </w:r>
      <w:r w:rsidRPr="003D6B67">
        <w:rPr>
          <w:rFonts w:ascii="Times New Roman" w:eastAsia="Times New Roman" w:hAnsi="Times New Roman" w:cs="Times New Roman"/>
          <w:sz w:val="24"/>
          <w:szCs w:val="24"/>
        </w:rPr>
        <w:t xml:space="preserve"> las </w:t>
      </w:r>
      <w:r w:rsidR="00BF4663" w:rsidRPr="003D6B67">
        <w:rPr>
          <w:rFonts w:ascii="Times New Roman" w:eastAsia="Times New Roman" w:hAnsi="Times New Roman" w:cs="Times New Roman"/>
          <w:sz w:val="24"/>
          <w:szCs w:val="24"/>
        </w:rPr>
        <w:t>sobrevivientes</w:t>
      </w:r>
      <w:r w:rsidRPr="003D6B67">
        <w:rPr>
          <w:rFonts w:ascii="Times New Roman" w:eastAsia="Times New Roman" w:hAnsi="Times New Roman" w:cs="Times New Roman"/>
          <w:sz w:val="24"/>
          <w:szCs w:val="24"/>
        </w:rPr>
        <w:t xml:space="preserve"> de violencia sexual</w:t>
      </w:r>
      <w:r w:rsidR="00CF7E72" w:rsidRPr="003D6B67">
        <w:rPr>
          <w:rFonts w:ascii="Times New Roman" w:eastAsia="Times New Roman" w:hAnsi="Times New Roman" w:cs="Times New Roman"/>
          <w:sz w:val="24"/>
          <w:szCs w:val="24"/>
        </w:rPr>
        <w:t xml:space="preserve">, entre ellos: </w:t>
      </w:r>
    </w:p>
    <w:p w14:paraId="35C12ACE" w14:textId="77777777" w:rsidR="00CF7E72" w:rsidRDefault="00CF7E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sz w:val="24"/>
          <w:szCs w:val="24"/>
        </w:rPr>
      </w:pPr>
    </w:p>
    <w:p w14:paraId="0000002D" w14:textId="77777777" w:rsidR="00DD133F" w:rsidRDefault="00EF4153">
      <w:pPr>
        <w:numPr>
          <w:ilvl w:val="0"/>
          <w:numId w:val="1"/>
        </w:numPr>
        <w:spacing w:line="240" w:lineRule="auto"/>
        <w:ind w:left="714"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leyes que discriminan a las mujeres requieren ser reformadas conforme a los estándares del derecho internacional;</w:t>
      </w:r>
    </w:p>
    <w:p w14:paraId="0000002E" w14:textId="77777777" w:rsidR="00DD133F" w:rsidRDefault="00EF4153">
      <w:pPr>
        <w:numPr>
          <w:ilvl w:val="0"/>
          <w:numId w:val="1"/>
        </w:numPr>
        <w:spacing w:line="240" w:lineRule="auto"/>
        <w:ind w:left="714"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implementación e interpretación de las normas y protocolos requieren estar libres de estereotipos discriminatorios y, por ende, de violencia institucional; y</w:t>
      </w:r>
    </w:p>
    <w:p w14:paraId="0000002F" w14:textId="77777777" w:rsidR="00DD133F" w:rsidRDefault="00EF4153">
      <w:pPr>
        <w:numPr>
          <w:ilvl w:val="0"/>
          <w:numId w:val="1"/>
        </w:numPr>
        <w:spacing w:line="240" w:lineRule="auto"/>
        <w:ind w:left="714"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falta de operacionalización de las perspectivas de género, interseccional e intercultural durante todas las etapas del proceso penal, ya que su falta de entendimiento y aplicación impacta negativamente, tanto a las víctimas de violencia sexual, como a la credibilidad del mismo sistema judicial que perpetúa la impunidad de los agresores.</w:t>
      </w:r>
    </w:p>
    <w:sdt>
      <w:sdtPr>
        <w:tag w:val="goog_rdk_35"/>
        <w:id w:val="-1318267533"/>
      </w:sdtPr>
      <w:sdtEndPr/>
      <w:sdtContent>
        <w:p w14:paraId="00000030" w14:textId="1AC37A5F" w:rsidR="00DD133F" w:rsidRDefault="00EF4153">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reforma legal realizada</w:t>
          </w:r>
          <w:r w:rsidR="003D6B6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debió</w:t>
          </w:r>
          <w:r w:rsidR="003D6B6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incorporar el estándar del consentimiento, con la finalidad de modificar las creencias y prácticas que naturalizan y fomentan la violencia sexual.</w:t>
          </w:r>
          <w:sdt>
            <w:sdtPr>
              <w:tag w:val="goog_rdk_34"/>
              <w:id w:val="-519703334"/>
            </w:sdtPr>
            <w:sdtEndPr/>
            <w:sdtContent/>
          </w:sdt>
          <w:r w:rsidR="00CF7E72">
            <w:t xml:space="preserve"> </w:t>
          </w:r>
          <w:r w:rsidR="003D6B67">
            <w:t xml:space="preserve"> </w:t>
          </w:r>
        </w:p>
      </w:sdtContent>
    </w:sdt>
    <w:p w14:paraId="00000031" w14:textId="7407CD70" w:rsidR="00DD133F" w:rsidRDefault="00850A94">
      <w:pPr>
        <w:spacing w:before="240" w:after="240" w:line="240" w:lineRule="auto"/>
        <w:jc w:val="both"/>
        <w:rPr>
          <w:rFonts w:ascii="Times New Roman" w:eastAsia="Times New Roman" w:hAnsi="Times New Roman" w:cs="Times New Roman"/>
          <w:sz w:val="24"/>
          <w:szCs w:val="24"/>
        </w:rPr>
      </w:pPr>
      <w:sdt>
        <w:sdtPr>
          <w:tag w:val="goog_rdk_36"/>
          <w:id w:val="211703235"/>
        </w:sdtPr>
        <w:sdtEndPr/>
        <w:sdtContent>
          <w:r w:rsidR="009624CC">
            <w:rPr>
              <w:rFonts w:ascii="Times New Roman" w:eastAsia="Times New Roman" w:hAnsi="Times New Roman" w:cs="Times New Roman"/>
              <w:sz w:val="24"/>
              <w:szCs w:val="24"/>
            </w:rPr>
            <w:t>R</w:t>
          </w:r>
          <w:r w:rsidR="00EF4153">
            <w:rPr>
              <w:rFonts w:ascii="Times New Roman" w:eastAsia="Times New Roman" w:hAnsi="Times New Roman" w:cs="Times New Roman"/>
              <w:sz w:val="24"/>
              <w:szCs w:val="24"/>
            </w:rPr>
            <w:t xml:space="preserve">esulta imperativo que el Estado mexicano y su </w:t>
          </w:r>
          <w:r w:rsidR="009624CC">
            <w:rPr>
              <w:rFonts w:ascii="Times New Roman" w:eastAsia="Times New Roman" w:hAnsi="Times New Roman" w:cs="Times New Roman"/>
              <w:sz w:val="24"/>
              <w:szCs w:val="24"/>
            </w:rPr>
            <w:t>P</w:t>
          </w:r>
          <w:r w:rsidR="00EF4153">
            <w:rPr>
              <w:rFonts w:ascii="Times New Roman" w:eastAsia="Times New Roman" w:hAnsi="Times New Roman" w:cs="Times New Roman"/>
              <w:sz w:val="24"/>
              <w:szCs w:val="24"/>
            </w:rPr>
            <w:t xml:space="preserve">oder </w:t>
          </w:r>
          <w:r w:rsidR="009624CC">
            <w:rPr>
              <w:rFonts w:ascii="Times New Roman" w:eastAsia="Times New Roman" w:hAnsi="Times New Roman" w:cs="Times New Roman"/>
              <w:sz w:val="24"/>
              <w:szCs w:val="24"/>
            </w:rPr>
            <w:t>L</w:t>
          </w:r>
          <w:r w:rsidR="00EF4153">
            <w:rPr>
              <w:rFonts w:ascii="Times New Roman" w:eastAsia="Times New Roman" w:hAnsi="Times New Roman" w:cs="Times New Roman"/>
              <w:sz w:val="24"/>
              <w:szCs w:val="24"/>
            </w:rPr>
            <w:t>egislativo ejerzan plenamente su obligación de control de convencionalidad, integrando los estándares internacionales y regionales en las reformas legislativas en materia de violencia sexual. El desarrollo normativo debe tener como eje central el consentimiento, entendido en los términos más altos del derecho internacional de los derechos humanos, y contemplar además un enfoque interseccional, intercultural y de género que visibilice y atienda las múltiples formas de discriminación que enfrentan mujeres afrodescendientes, indígenas y otras mujeres racializadas</w:t>
          </w:r>
          <w:r w:rsidR="00CF7E72">
            <w:rPr>
              <w:rFonts w:ascii="Times New Roman" w:eastAsia="Times New Roman" w:hAnsi="Times New Roman" w:cs="Times New Roman"/>
              <w:sz w:val="24"/>
              <w:szCs w:val="24"/>
            </w:rPr>
            <w:t>,</w:t>
          </w:r>
          <w:r w:rsidR="00EF4153">
            <w:rPr>
              <w:rFonts w:ascii="Times New Roman" w:eastAsia="Times New Roman" w:hAnsi="Times New Roman" w:cs="Times New Roman"/>
              <w:sz w:val="24"/>
              <w:szCs w:val="24"/>
              <w:vertAlign w:val="superscript"/>
            </w:rPr>
            <w:footnoteReference w:id="13"/>
          </w:r>
          <w:r w:rsidR="00EF4153">
            <w:rPr>
              <w:rFonts w:ascii="Times New Roman" w:eastAsia="Times New Roman" w:hAnsi="Times New Roman" w:cs="Times New Roman"/>
              <w:sz w:val="24"/>
              <w:szCs w:val="24"/>
            </w:rPr>
            <w:t xml:space="preserve"> </w:t>
          </w:r>
          <w:r w:rsidR="00CF7E72">
            <w:rPr>
              <w:rFonts w:ascii="Times New Roman" w:eastAsia="Times New Roman" w:hAnsi="Times New Roman" w:cs="Times New Roman"/>
              <w:sz w:val="24"/>
              <w:szCs w:val="24"/>
            </w:rPr>
            <w:t>t</w:t>
          </w:r>
          <w:r w:rsidR="00EF4153">
            <w:rPr>
              <w:rFonts w:ascii="Times New Roman" w:eastAsia="Times New Roman" w:hAnsi="Times New Roman" w:cs="Times New Roman"/>
              <w:sz w:val="24"/>
              <w:szCs w:val="24"/>
            </w:rPr>
            <w:t xml:space="preserve">al como se ha señalado en la </w:t>
          </w:r>
          <w:hyperlink r:id="rId9" w:history="1">
            <w:r w:rsidR="00EF4153">
              <w:rPr>
                <w:rFonts w:ascii="Times New Roman" w:eastAsia="Times New Roman" w:hAnsi="Times New Roman" w:cs="Times New Roman"/>
                <w:sz w:val="24"/>
                <w:szCs w:val="24"/>
              </w:rPr>
              <w:t>Recomendación General No. 5 del Comité de Expertas del MESECVI</w:t>
            </w:r>
          </w:hyperlink>
          <w:r w:rsidR="00CF7E72">
            <w:rPr>
              <w:rFonts w:ascii="Times New Roman" w:eastAsia="Times New Roman" w:hAnsi="Times New Roman" w:cs="Times New Roman"/>
              <w:sz w:val="24"/>
              <w:szCs w:val="24"/>
            </w:rPr>
            <w:t xml:space="preserve">. </w:t>
          </w:r>
        </w:sdtContent>
      </w:sdt>
    </w:p>
    <w:p w14:paraId="2846379E" w14:textId="77777777" w:rsidR="00CF7E72" w:rsidRDefault="00CF7E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sz w:val="24"/>
          <w:szCs w:val="24"/>
        </w:rPr>
      </w:pPr>
    </w:p>
    <w:p w14:paraId="61FEB162" w14:textId="7ED07EC0" w:rsidR="00CF7E72" w:rsidRPr="00E3367F" w:rsidRDefault="00CF7E72" w:rsidP="00CF7E72">
      <w:pPr>
        <w:pStyle w:val="Prrafodelist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b/>
          <w:bCs/>
          <w:sz w:val="24"/>
          <w:szCs w:val="24"/>
        </w:rPr>
      </w:pPr>
      <w:r w:rsidRPr="00E3367F">
        <w:rPr>
          <w:rFonts w:ascii="Times New Roman" w:eastAsia="Times New Roman" w:hAnsi="Times New Roman" w:cs="Times New Roman"/>
          <w:b/>
          <w:bCs/>
          <w:sz w:val="24"/>
          <w:szCs w:val="24"/>
        </w:rPr>
        <w:t>Reformas a la Ley General de Acceso de las Mujeres a una Vida Libre de Violencia y fortalecimiento de los Centros de Justicia para las Mujeres.</w:t>
      </w:r>
    </w:p>
    <w:p w14:paraId="2A8361C6" w14:textId="77777777" w:rsidR="00CF7E72" w:rsidRPr="00CF7E72" w:rsidRDefault="00CF7E72" w:rsidP="00CF7E72">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sz w:val="24"/>
          <w:szCs w:val="24"/>
        </w:rPr>
      </w:pPr>
    </w:p>
    <w:p w14:paraId="00000032" w14:textId="5B1C0409" w:rsidR="00DD133F" w:rsidRDefault="002C0D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sz w:val="24"/>
          <w:szCs w:val="24"/>
          <w:shd w:val="clear" w:color="auto" w:fill="EAD1DC"/>
        </w:rPr>
      </w:pPr>
      <w:r>
        <w:rPr>
          <w:rFonts w:ascii="Times New Roman" w:eastAsia="Times New Roman" w:hAnsi="Times New Roman" w:cs="Times New Roman"/>
          <w:sz w:val="24"/>
          <w:szCs w:val="24"/>
        </w:rPr>
        <w:t>Por otro lado, en el marco de las reformas a la Ley General de Acceso de las Mujeres a una Vida Libre de Violencia</w:t>
      </w:r>
      <w:r w:rsidR="00F06E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aún está pendiente realizar modificaciones al marco normativo de los Centros de Justicia para las Mujeres (CJM).  Es fundamental dot</w:t>
      </w:r>
      <w:r w:rsidR="009624CC">
        <w:rPr>
          <w:rFonts w:ascii="Times New Roman" w:eastAsia="Times New Roman" w:hAnsi="Times New Roman" w:cs="Times New Roman"/>
          <w:sz w:val="24"/>
          <w:szCs w:val="24"/>
        </w:rPr>
        <w:t>ar</w:t>
      </w:r>
      <w:r>
        <w:rPr>
          <w:rFonts w:ascii="Times New Roman" w:eastAsia="Times New Roman" w:hAnsi="Times New Roman" w:cs="Times New Roman"/>
          <w:sz w:val="24"/>
          <w:szCs w:val="24"/>
        </w:rPr>
        <w:t xml:space="preserve"> a los CJM de certeza jurídica y otorgarles el estatus de órganos desconcentrados en todo el país, con presupuesto público suficiente y con recursos materiales, selección idónea del personal, y generar consejos o comités técnicos que asesoren y supervisen su funcionamiento.</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Tras la desaparición de la </w:t>
      </w:r>
      <w:r>
        <w:rPr>
          <w:rFonts w:ascii="Times New Roman" w:eastAsia="Times New Roman" w:hAnsi="Times New Roman" w:cs="Times New Roman"/>
          <w:sz w:val="24"/>
          <w:szCs w:val="24"/>
        </w:rPr>
        <w:lastRenderedPageBreak/>
        <w:t>Comisión Nacional para Prevenir y Erradicar la Violencia Contra las Mujeres (CONAVIM),</w:t>
      </w:r>
      <w:r w:rsidR="00631664">
        <w:rPr>
          <w:rFonts w:ascii="Times New Roman" w:eastAsia="Times New Roman" w:hAnsi="Times New Roman" w:cs="Times New Roman"/>
          <w:sz w:val="24"/>
          <w:szCs w:val="24"/>
        </w:rPr>
        <w:t xml:space="preserve"> </w:t>
      </w:r>
      <w:r w:rsidR="00163FEC">
        <w:rPr>
          <w:rFonts w:ascii="Times New Roman" w:eastAsia="Times New Roman" w:hAnsi="Times New Roman" w:cs="Times New Roman"/>
          <w:sz w:val="24"/>
          <w:szCs w:val="24"/>
        </w:rPr>
        <w:t xml:space="preserve">la </w:t>
      </w:r>
      <w:r>
        <w:rPr>
          <w:rFonts w:ascii="Times New Roman" w:eastAsia="Times New Roman" w:hAnsi="Times New Roman" w:cs="Times New Roman"/>
          <w:sz w:val="24"/>
          <w:szCs w:val="24"/>
        </w:rPr>
        <w:t>nueva Secretaría de las Mujeres (SEMUJERES)</w:t>
      </w:r>
      <w:r w:rsidR="0063166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es</w:t>
      </w:r>
      <w:r w:rsidR="00163F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la encargada de operar este programa federal. Sin embargo, los CJM continúan teniendo dificultades para operar a raíz de la falta de recursos públicos federales que ayuden a garantizar un amplio alcance y efectividad, como lo describiremos en el apartado sobre presupuestos </w:t>
      </w:r>
      <w:r w:rsidR="00E3367F">
        <w:rPr>
          <w:rFonts w:ascii="Times New Roman" w:eastAsia="Times New Roman" w:hAnsi="Times New Roman" w:cs="Times New Roman"/>
          <w:sz w:val="24"/>
          <w:szCs w:val="24"/>
        </w:rPr>
        <w:t>con enfoque de género.</w:t>
      </w:r>
    </w:p>
    <w:p w14:paraId="00000033" w14:textId="77777777" w:rsidR="00DD133F" w:rsidRDefault="00DD13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color w:val="000000"/>
          <w:sz w:val="24"/>
          <w:szCs w:val="24"/>
        </w:rPr>
      </w:pPr>
    </w:p>
    <w:p w14:paraId="00000034" w14:textId="0B409558" w:rsidR="00DD133F" w:rsidRPr="00E3367F" w:rsidRDefault="00EF4153" w:rsidP="00E3367F">
      <w:pPr>
        <w:pStyle w:val="Prrafodelist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b/>
          <w:iCs/>
          <w:sz w:val="24"/>
          <w:szCs w:val="24"/>
        </w:rPr>
      </w:pPr>
      <w:r w:rsidRPr="00E3367F">
        <w:rPr>
          <w:rFonts w:ascii="Times New Roman" w:eastAsia="Times New Roman" w:hAnsi="Times New Roman" w:cs="Times New Roman"/>
          <w:b/>
          <w:iCs/>
          <w:sz w:val="24"/>
          <w:szCs w:val="24"/>
        </w:rPr>
        <w:t>Acceso a la Justicia</w:t>
      </w:r>
    </w:p>
    <w:p w14:paraId="00000035" w14:textId="77777777" w:rsidR="00DD133F" w:rsidRDefault="00DD13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b/>
          <w:i/>
          <w:sz w:val="24"/>
          <w:szCs w:val="24"/>
        </w:rPr>
      </w:pPr>
    </w:p>
    <w:p w14:paraId="2F29C503" w14:textId="33B85FD6" w:rsidR="00E3367F" w:rsidRPr="00A3396C" w:rsidRDefault="00E3367F" w:rsidP="00E3367F">
      <w:pPr>
        <w:pStyle w:val="Prrafodelista"/>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i/>
          <w:iCs/>
          <w:sz w:val="24"/>
          <w:szCs w:val="24"/>
        </w:rPr>
      </w:pPr>
      <w:r w:rsidRPr="00A3396C">
        <w:rPr>
          <w:rFonts w:ascii="Times New Roman" w:eastAsia="Times New Roman" w:hAnsi="Times New Roman" w:cs="Times New Roman"/>
          <w:i/>
          <w:iCs/>
          <w:sz w:val="24"/>
          <w:szCs w:val="24"/>
        </w:rPr>
        <w:t>Baja denuncia y obstáculos en el acceso a la justicia para las mujeres.</w:t>
      </w:r>
    </w:p>
    <w:p w14:paraId="40A0B746" w14:textId="77777777" w:rsidR="00E3367F" w:rsidRPr="00E3367F" w:rsidRDefault="00E3367F" w:rsidP="00E3367F">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sz w:val="24"/>
          <w:szCs w:val="24"/>
        </w:rPr>
      </w:pPr>
    </w:p>
    <w:p w14:paraId="03C68F18" w14:textId="25A9B59C" w:rsidR="00E3367F" w:rsidRDefault="00EF4153" w:rsidP="000E66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acceso a la justicia para las mujeres se debe garantizar, eliminando las barreras y desarrollando mecanismos procesales accesibles y oportunos.  </w:t>
      </w:r>
      <w:r w:rsidR="006C2E3D">
        <w:rPr>
          <w:rFonts w:ascii="Times New Roman" w:eastAsia="Times New Roman" w:hAnsi="Times New Roman" w:cs="Times New Roman"/>
          <w:sz w:val="24"/>
          <w:szCs w:val="24"/>
        </w:rPr>
        <w:t>D</w:t>
      </w:r>
      <w:r>
        <w:rPr>
          <w:rFonts w:ascii="Times New Roman" w:eastAsia="Times New Roman" w:hAnsi="Times New Roman" w:cs="Times New Roman"/>
          <w:sz w:val="24"/>
          <w:szCs w:val="24"/>
        </w:rPr>
        <w:t>e acuerdo con</w:t>
      </w:r>
      <w:r w:rsidR="00A3405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datos de la Encuesta Nacional de Victimización y Percepción sobre Seguridad Pública </w:t>
      </w:r>
      <w:r w:rsidR="00F06ED2">
        <w:rPr>
          <w:rFonts w:ascii="Times New Roman" w:eastAsia="Times New Roman" w:hAnsi="Times New Roman" w:cs="Times New Roman"/>
          <w:sz w:val="24"/>
          <w:szCs w:val="24"/>
        </w:rPr>
        <w:t xml:space="preserve">de </w:t>
      </w:r>
      <w:r>
        <w:rPr>
          <w:rFonts w:ascii="Times New Roman" w:eastAsia="Times New Roman" w:hAnsi="Times New Roman" w:cs="Times New Roman"/>
          <w:sz w:val="24"/>
          <w:szCs w:val="24"/>
        </w:rPr>
        <w:t>2024</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al </w:t>
      </w:r>
      <w:r w:rsidR="00E3367F">
        <w:rPr>
          <w:rFonts w:ascii="Times New Roman" w:eastAsia="Times New Roman" w:hAnsi="Times New Roman" w:cs="Times New Roman"/>
          <w:sz w:val="24"/>
          <w:szCs w:val="24"/>
        </w:rPr>
        <w:t>evaluar</w:t>
      </w:r>
      <w:r>
        <w:rPr>
          <w:rFonts w:ascii="Times New Roman" w:eastAsia="Times New Roman" w:hAnsi="Times New Roman" w:cs="Times New Roman"/>
          <w:sz w:val="24"/>
          <w:szCs w:val="24"/>
        </w:rPr>
        <w:t xml:space="preserve"> la cifra </w:t>
      </w:r>
      <w:r w:rsidR="00F06ED2">
        <w:rPr>
          <w:rFonts w:ascii="Times New Roman" w:eastAsia="Times New Roman" w:hAnsi="Times New Roman" w:cs="Times New Roman"/>
          <w:sz w:val="24"/>
          <w:szCs w:val="24"/>
        </w:rPr>
        <w:t>oculta</w:t>
      </w:r>
      <w:r w:rsidR="00E3367F">
        <w:rPr>
          <w:rStyle w:val="Refdenotaalpie"/>
          <w:rFonts w:ascii="Times New Roman" w:eastAsia="Times New Roman" w:hAnsi="Times New Roman" w:cs="Times New Roman"/>
          <w:sz w:val="24"/>
          <w:szCs w:val="24"/>
        </w:rPr>
        <w:footnoteReference w:id="16"/>
      </w:r>
      <w:r w:rsidR="00E3367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de los delitos ocurridos, </w:t>
      </w:r>
      <w:r w:rsidR="00E3367F">
        <w:rPr>
          <w:rFonts w:ascii="Times New Roman" w:eastAsia="Times New Roman" w:hAnsi="Times New Roman" w:cs="Times New Roman"/>
          <w:sz w:val="24"/>
          <w:szCs w:val="24"/>
        </w:rPr>
        <w:t xml:space="preserve">el 93.1% corresponde </w:t>
      </w:r>
      <w:r>
        <w:rPr>
          <w:rFonts w:ascii="Times New Roman" w:eastAsia="Times New Roman" w:hAnsi="Times New Roman" w:cs="Times New Roman"/>
          <w:sz w:val="24"/>
          <w:szCs w:val="24"/>
        </w:rPr>
        <w:t>a las mujeres</w:t>
      </w:r>
      <w:r w:rsidR="00E3367F">
        <w:rPr>
          <w:rFonts w:ascii="Times New Roman" w:eastAsia="Times New Roman" w:hAnsi="Times New Roman" w:cs="Times New Roman"/>
          <w:sz w:val="24"/>
          <w:szCs w:val="24"/>
        </w:rPr>
        <w:t>. Es alarmante que tales cifras respecto</w:t>
      </w:r>
      <w:r>
        <w:rPr>
          <w:rFonts w:ascii="Times New Roman" w:eastAsia="Times New Roman" w:hAnsi="Times New Roman" w:cs="Times New Roman"/>
          <w:sz w:val="24"/>
          <w:szCs w:val="24"/>
        </w:rPr>
        <w:t xml:space="preserve"> a los delitos ocurridos a las mujeres en donde se inició una carpeta de investigación</w:t>
      </w:r>
      <w:r w:rsidR="00A3405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en el 44.5% de los casos no</w:t>
      </w:r>
      <w:r w:rsidR="00E3367F">
        <w:rPr>
          <w:rFonts w:ascii="Times New Roman" w:eastAsia="Times New Roman" w:hAnsi="Times New Roman" w:cs="Times New Roman"/>
          <w:sz w:val="24"/>
          <w:szCs w:val="24"/>
        </w:rPr>
        <w:t xml:space="preserve"> hubo avances en la investigación; el</w:t>
      </w:r>
      <w:r w:rsidR="00A3405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30.4% está en trámite</w:t>
      </w:r>
      <w:r w:rsidR="00E3367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7.5% se puso a</w:t>
      </w:r>
      <w:r w:rsidR="00E3367F">
        <w:rPr>
          <w:rFonts w:ascii="Times New Roman" w:eastAsia="Times New Roman" w:hAnsi="Times New Roman" w:cs="Times New Roman"/>
          <w:sz w:val="24"/>
          <w:szCs w:val="24"/>
        </w:rPr>
        <w:t xml:space="preserve"> la persona acusada </w:t>
      </w:r>
      <w:r>
        <w:rPr>
          <w:rFonts w:ascii="Times New Roman" w:eastAsia="Times New Roman" w:hAnsi="Times New Roman" w:cs="Times New Roman"/>
          <w:sz w:val="24"/>
          <w:szCs w:val="24"/>
        </w:rPr>
        <w:t>a disposición de un Juez</w:t>
      </w:r>
      <w:r w:rsidR="00E3367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3.1% hubo reparación de daño y</w:t>
      </w:r>
      <w:r w:rsidR="00E3367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el 3.7% se otorgó el perdón. </w:t>
      </w:r>
    </w:p>
    <w:p w14:paraId="1D05D8B7" w14:textId="77777777" w:rsidR="00E3367F" w:rsidRDefault="00E3367F" w:rsidP="000E66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sz w:val="24"/>
          <w:szCs w:val="24"/>
        </w:rPr>
      </w:pPr>
    </w:p>
    <w:p w14:paraId="00000036" w14:textId="1FAF0C28" w:rsidR="00DD133F" w:rsidRDefault="00E336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Continúa siendo alarmante que entre las razones de las víctimas (mujeres) para no denunciar ante las autoridades destacan la pérdida de tiempo con un porcentaje del 33.1% y desconfianza en la autoridad con 11.9%</w:t>
      </w:r>
      <w:r w:rsidR="00A3405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en el 9.5% se le atribuye a que se consideran que son trámites largos y difíciles</w:t>
      </w:r>
      <w:r w:rsidR="001C4427">
        <w:rPr>
          <w:rFonts w:ascii="Times New Roman" w:eastAsia="Times New Roman" w:hAnsi="Times New Roman" w:cs="Times New Roman"/>
          <w:sz w:val="24"/>
          <w:szCs w:val="24"/>
        </w:rPr>
        <w:t>; el</w:t>
      </w:r>
      <w:r>
        <w:rPr>
          <w:rFonts w:ascii="Times New Roman" w:eastAsia="Times New Roman" w:hAnsi="Times New Roman" w:cs="Times New Roman"/>
          <w:sz w:val="24"/>
          <w:szCs w:val="24"/>
        </w:rPr>
        <w:t xml:space="preserve"> 7.4% por miedo al (a la) agresor(a), 2.9% por actitud hostil de la autoridad y 1% por miedo a extorsiones. Mientras que 35.3% refirió invertir más de 4 horas para efectuar la denuncia.</w:t>
      </w:r>
      <w:r>
        <w:rPr>
          <w:rFonts w:ascii="Times New Roman" w:eastAsia="Times New Roman" w:hAnsi="Times New Roman" w:cs="Times New Roman"/>
          <w:sz w:val="24"/>
          <w:szCs w:val="24"/>
          <w:vertAlign w:val="superscript"/>
        </w:rPr>
        <w:footnoteReference w:id="17"/>
      </w:r>
    </w:p>
    <w:p w14:paraId="103BD079" w14:textId="77777777" w:rsidR="001C4427" w:rsidRDefault="001C44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sz w:val="24"/>
          <w:szCs w:val="24"/>
        </w:rPr>
      </w:pPr>
    </w:p>
    <w:p w14:paraId="22CB0A19" w14:textId="0D94F924" w:rsidR="001C4427" w:rsidRDefault="001C44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Además, el Comité ha solicitado al Estado mexicano informar sobre las medidas adoptadas para erradicar la discriminación contra las mujeres y las niñas en la administración de justicia, eliminando obstáculos que impiden el acceso igualitario a la justicia y la reparación</w:t>
      </w:r>
      <w:r w:rsidR="008156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Sin embargo, la deuda del Estado con las mujeres y las niñas sigue siendo alta, ya que el presupuesto asignado mediante el Anexo 13 del Presupuesto de Egresos de la Federación no ha contribuido a fortalecer las instancias de procuración y administración de justicia. </w:t>
      </w:r>
    </w:p>
    <w:p w14:paraId="1DDE555F" w14:textId="77777777" w:rsidR="001C4427" w:rsidRDefault="001C44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sz w:val="24"/>
          <w:szCs w:val="24"/>
        </w:rPr>
      </w:pPr>
    </w:p>
    <w:p w14:paraId="00000038" w14:textId="27CF233F" w:rsidR="00DD133F" w:rsidRDefault="001C44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hAnsi="Times New Roman" w:cs="Times New Roman"/>
          <w:color w:val="000000"/>
          <w:sz w:val="24"/>
          <w:szCs w:val="24"/>
        </w:rPr>
      </w:pPr>
      <w:r w:rsidRPr="001C4427">
        <w:rPr>
          <w:rFonts w:ascii="Times New Roman" w:eastAsia="Times New Roman" w:hAnsi="Times New Roman" w:cs="Times New Roman"/>
          <w:sz w:val="24"/>
          <w:szCs w:val="24"/>
        </w:rPr>
        <w:t xml:space="preserve">Peor aún, con la </w:t>
      </w:r>
      <w:r w:rsidRPr="001C4427">
        <w:rPr>
          <w:rFonts w:ascii="Times New Roman" w:hAnsi="Times New Roman" w:cs="Times New Roman"/>
          <w:color w:val="000000"/>
          <w:sz w:val="24"/>
          <w:szCs w:val="24"/>
        </w:rPr>
        <w:t>Reforma Judicial aprobada en septiembre de 2024, se ha puesto en riesgo el poco avance logrado en la capacitación del personal jurisdiccional en materia de género, dado que entre 2025 y 2027 se cambiará la totalidad de las personas juzgadoras</w:t>
      </w:r>
      <w:r w:rsidRPr="001C4427">
        <w:rPr>
          <w:rFonts w:ascii="Times New Roman" w:hAnsi="Times New Roman" w:cs="Times New Roman"/>
          <w:color w:val="000000"/>
          <w:sz w:val="24"/>
          <w:szCs w:val="24"/>
          <w:vertAlign w:val="superscript"/>
        </w:rPr>
        <w:footnoteReference w:id="18"/>
      </w:r>
      <w:r w:rsidRPr="001C4427">
        <w:rPr>
          <w:rFonts w:ascii="Times New Roman" w:hAnsi="Times New Roman" w:cs="Times New Roman"/>
          <w:color w:val="000000"/>
          <w:sz w:val="24"/>
          <w:szCs w:val="24"/>
        </w:rPr>
        <w:t>. Esta reforma no tiene impacto en las procuradurías y fiscalías, que continúan operando con servicios precarios e investigaciones sin debida diligencia. También se han aprobado reformas a la Constitución y a la Ley de Amparo que afectan negativamente el acceso a la justicia y la exigibilidad de derechos, ya que las sentencias de amparo se limitan únicamente a quienes las tramitan, reduciendo la protección efectiva de los derechos de las mujeres</w:t>
      </w:r>
      <w:r>
        <w:rPr>
          <w:rFonts w:ascii="Times New Roman" w:hAnsi="Times New Roman" w:cs="Times New Roman"/>
          <w:color w:val="000000"/>
          <w:sz w:val="24"/>
          <w:szCs w:val="24"/>
        </w:rPr>
        <w:t>.</w:t>
      </w:r>
    </w:p>
    <w:p w14:paraId="386A764A" w14:textId="77777777" w:rsidR="003F0CA1" w:rsidRDefault="003F0C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hAnsi="Times New Roman" w:cs="Times New Roman"/>
          <w:color w:val="000000"/>
          <w:sz w:val="24"/>
          <w:szCs w:val="24"/>
        </w:rPr>
      </w:pPr>
    </w:p>
    <w:p w14:paraId="6F3AE05C" w14:textId="5D8BF7B3" w:rsidR="003F0CA1" w:rsidRPr="00A3396C" w:rsidRDefault="003F0CA1" w:rsidP="003F0CA1">
      <w:pPr>
        <w:pStyle w:val="Prrafodelista"/>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i/>
          <w:iCs/>
          <w:sz w:val="24"/>
          <w:szCs w:val="24"/>
        </w:rPr>
      </w:pPr>
      <w:r w:rsidRPr="00A3396C">
        <w:rPr>
          <w:rFonts w:ascii="Times New Roman" w:eastAsia="Times New Roman" w:hAnsi="Times New Roman" w:cs="Times New Roman"/>
          <w:i/>
          <w:iCs/>
          <w:sz w:val="24"/>
          <w:szCs w:val="24"/>
        </w:rPr>
        <w:t>Avances y desafíos en la implementación de protocolos de atención e investigación en violencias sexuales</w:t>
      </w:r>
    </w:p>
    <w:p w14:paraId="00000039" w14:textId="77777777" w:rsidR="00DD133F" w:rsidRDefault="00DD13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sz w:val="24"/>
          <w:szCs w:val="24"/>
          <w:highlight w:val="yellow"/>
        </w:rPr>
      </w:pPr>
    </w:p>
    <w:p w14:paraId="5C5417F5" w14:textId="7AA8DD89" w:rsidR="003F0CA1" w:rsidRPr="003F0CA1" w:rsidRDefault="00850A94" w:rsidP="0015506E">
      <w:pPr>
        <w:shd w:val="clear" w:color="auto" w:fill="FFFFFF"/>
        <w:spacing w:line="240" w:lineRule="auto"/>
        <w:jc w:val="both"/>
        <w:rPr>
          <w:rFonts w:ascii="Times New Roman" w:hAnsi="Times New Roman" w:cs="Times New Roman"/>
          <w:color w:val="000000"/>
          <w:sz w:val="24"/>
          <w:szCs w:val="24"/>
        </w:rPr>
      </w:pPr>
      <w:sdt>
        <w:sdtPr>
          <w:tag w:val="goog_rdk_150"/>
          <w:id w:val="-156464902"/>
        </w:sdtPr>
        <w:sdtEndPr>
          <w:rPr>
            <w:rFonts w:ascii="Times New Roman" w:hAnsi="Times New Roman" w:cs="Times New Roman"/>
            <w:sz w:val="24"/>
            <w:szCs w:val="24"/>
          </w:rPr>
        </w:sdtEndPr>
        <w:sdtContent>
          <w:r w:rsidR="003F0CA1" w:rsidRPr="003F0CA1">
            <w:rPr>
              <w:rFonts w:ascii="Times New Roman" w:hAnsi="Times New Roman" w:cs="Times New Roman"/>
              <w:color w:val="000000"/>
              <w:sz w:val="24"/>
              <w:szCs w:val="24"/>
            </w:rPr>
            <w:t>Un aspecto crucial para garantizar una protección efectiva de los derechos de las víctimas de violencia sexual es la estandarización y aplicación de protocolos de atención e investigación que sean sensibles, coherentes y alineados con los estándares internacionales. Sin embargo, a pesar de los avances normativos y las reparaciones ordenadas por la Corte Interamericana de Derechos Humanos (Corte IDH)</w:t>
          </w:r>
          <w:r w:rsidR="003F0CA1" w:rsidRPr="003F0CA1">
            <w:rPr>
              <w:rFonts w:ascii="Times New Roman" w:hAnsi="Times New Roman" w:cs="Times New Roman"/>
              <w:color w:val="000000"/>
              <w:sz w:val="24"/>
              <w:szCs w:val="24"/>
              <w:vertAlign w:val="superscript"/>
            </w:rPr>
            <w:footnoteReference w:id="19"/>
          </w:r>
          <w:r w:rsidR="003F0CA1" w:rsidRPr="003F0CA1">
            <w:rPr>
              <w:rFonts w:ascii="Times New Roman" w:hAnsi="Times New Roman" w:cs="Times New Roman"/>
              <w:color w:val="000000"/>
              <w:sz w:val="24"/>
              <w:szCs w:val="24"/>
            </w:rPr>
            <w:t>, persisten importantes desafíos en la implementación efectiva de estos instrumentos.</w:t>
          </w:r>
        </w:sdtContent>
      </w:sdt>
    </w:p>
    <w:sdt>
      <w:sdtPr>
        <w:rPr>
          <w:rFonts w:ascii="Times New Roman" w:hAnsi="Times New Roman" w:cs="Times New Roman"/>
          <w:sz w:val="24"/>
          <w:szCs w:val="24"/>
        </w:rPr>
        <w:tag w:val="goog_rdk_153"/>
        <w:id w:val="-403680819"/>
      </w:sdtPr>
      <w:sdtEndPr/>
      <w:sdtContent>
        <w:p w14:paraId="212807A5" w14:textId="77777777" w:rsidR="003F0CA1" w:rsidRPr="003F0CA1" w:rsidRDefault="00850A94" w:rsidP="0015506E">
          <w:pPr>
            <w:shd w:val="clear" w:color="auto" w:fill="FFFFFF"/>
            <w:spacing w:line="240" w:lineRule="auto"/>
            <w:jc w:val="both"/>
            <w:rPr>
              <w:rFonts w:ascii="Times New Roman" w:hAnsi="Times New Roman" w:cs="Times New Roman"/>
              <w:color w:val="000000"/>
              <w:sz w:val="24"/>
              <w:szCs w:val="24"/>
            </w:rPr>
          </w:pPr>
          <w:sdt>
            <w:sdtPr>
              <w:rPr>
                <w:rFonts w:ascii="Times New Roman" w:hAnsi="Times New Roman" w:cs="Times New Roman"/>
                <w:sz w:val="24"/>
                <w:szCs w:val="24"/>
              </w:rPr>
              <w:tag w:val="goog_rdk_152"/>
              <w:id w:val="960531894"/>
            </w:sdtPr>
            <w:sdtEndPr/>
            <w:sdtContent/>
          </w:sdt>
        </w:p>
      </w:sdtContent>
    </w:sdt>
    <w:sdt>
      <w:sdtPr>
        <w:rPr>
          <w:rFonts w:ascii="Times New Roman" w:hAnsi="Times New Roman" w:cs="Times New Roman"/>
          <w:sz w:val="24"/>
          <w:szCs w:val="24"/>
        </w:rPr>
        <w:tag w:val="goog_rdk_155"/>
        <w:id w:val="1172369553"/>
      </w:sdtPr>
      <w:sdtEndPr/>
      <w:sdtContent>
        <w:p w14:paraId="17B9FF2A" w14:textId="3B47D5FE" w:rsidR="003F0CA1" w:rsidRPr="003F0CA1" w:rsidRDefault="00850A94" w:rsidP="0015506E">
          <w:pPr>
            <w:shd w:val="clear" w:color="auto" w:fill="FFFFFF"/>
            <w:spacing w:line="240" w:lineRule="auto"/>
            <w:jc w:val="both"/>
            <w:rPr>
              <w:rFonts w:ascii="Times New Roman" w:hAnsi="Times New Roman" w:cs="Times New Roman"/>
              <w:color w:val="000000"/>
              <w:sz w:val="24"/>
              <w:szCs w:val="24"/>
            </w:rPr>
          </w:pPr>
          <w:sdt>
            <w:sdtPr>
              <w:rPr>
                <w:rFonts w:ascii="Times New Roman" w:hAnsi="Times New Roman" w:cs="Times New Roman"/>
                <w:sz w:val="24"/>
                <w:szCs w:val="24"/>
              </w:rPr>
              <w:tag w:val="goog_rdk_154"/>
              <w:id w:val="1947347748"/>
            </w:sdtPr>
            <w:sdtEndPr/>
            <w:sdtContent>
              <w:r w:rsidR="003F0CA1" w:rsidRPr="003F0CA1">
                <w:rPr>
                  <w:rFonts w:ascii="Times New Roman" w:hAnsi="Times New Roman" w:cs="Times New Roman"/>
                  <w:color w:val="000000"/>
                  <w:sz w:val="24"/>
                  <w:szCs w:val="24"/>
                </w:rPr>
                <w:t>En el contexto de las sentencias Fernández Ortega y Rosendo Cantú</w:t>
              </w:r>
              <w:r w:rsidR="003F0CA1" w:rsidRPr="003F0CA1">
                <w:rPr>
                  <w:rFonts w:ascii="Times New Roman" w:hAnsi="Times New Roman" w:cs="Times New Roman"/>
                  <w:color w:val="000000"/>
                  <w:sz w:val="24"/>
                  <w:szCs w:val="24"/>
                  <w:vertAlign w:val="superscript"/>
                </w:rPr>
                <w:footnoteReference w:id="20"/>
              </w:r>
              <w:r w:rsidR="003F0CA1" w:rsidRPr="003F0CA1">
                <w:rPr>
                  <w:rFonts w:ascii="Times New Roman" w:hAnsi="Times New Roman" w:cs="Times New Roman"/>
                  <w:color w:val="000000"/>
                  <w:sz w:val="24"/>
                  <w:szCs w:val="24"/>
                </w:rPr>
                <w:t>, el Estado mexicano fue ordenado a continuar con la estandarización de un protocolo de actuación para la atención e investigación de violaciones sexuales, tanto a nivel federal como en el estado de Guerrero. La finalidad de estos protocolos es garantizar que las instituciones responsables actúen con perspectiva de género, intercultural y de derechos humanos, evitando la revictimización y asegurando una atención integral y respetuosa.</w:t>
              </w:r>
            </w:sdtContent>
          </w:sdt>
        </w:p>
      </w:sdtContent>
    </w:sdt>
    <w:sdt>
      <w:sdtPr>
        <w:rPr>
          <w:rFonts w:ascii="Times New Roman" w:hAnsi="Times New Roman" w:cs="Times New Roman"/>
          <w:sz w:val="24"/>
          <w:szCs w:val="24"/>
        </w:rPr>
        <w:tag w:val="goog_rdk_157"/>
        <w:id w:val="569692916"/>
      </w:sdtPr>
      <w:sdtEndPr/>
      <w:sdtContent>
        <w:p w14:paraId="557EA6E7" w14:textId="77777777" w:rsidR="003F0CA1" w:rsidRPr="003F0CA1" w:rsidRDefault="00850A94" w:rsidP="0015506E">
          <w:pPr>
            <w:shd w:val="clear" w:color="auto" w:fill="FFFFFF"/>
            <w:spacing w:line="240" w:lineRule="auto"/>
            <w:jc w:val="both"/>
            <w:rPr>
              <w:rFonts w:ascii="Times New Roman" w:hAnsi="Times New Roman" w:cs="Times New Roman"/>
              <w:color w:val="000000"/>
              <w:sz w:val="24"/>
              <w:szCs w:val="24"/>
            </w:rPr>
          </w:pPr>
          <w:sdt>
            <w:sdtPr>
              <w:rPr>
                <w:rFonts w:ascii="Times New Roman" w:hAnsi="Times New Roman" w:cs="Times New Roman"/>
                <w:sz w:val="24"/>
                <w:szCs w:val="24"/>
              </w:rPr>
              <w:tag w:val="goog_rdk_156"/>
              <w:id w:val="1362012118"/>
            </w:sdtPr>
            <w:sdtEndPr/>
            <w:sdtContent/>
          </w:sdt>
        </w:p>
      </w:sdtContent>
    </w:sdt>
    <w:sdt>
      <w:sdtPr>
        <w:rPr>
          <w:rFonts w:ascii="Times New Roman" w:hAnsi="Times New Roman" w:cs="Times New Roman"/>
          <w:sz w:val="24"/>
          <w:szCs w:val="24"/>
        </w:rPr>
        <w:tag w:val="goog_rdk_159"/>
        <w:id w:val="-668484962"/>
      </w:sdtPr>
      <w:sdtEndPr/>
      <w:sdtContent>
        <w:sdt>
          <w:sdtPr>
            <w:rPr>
              <w:rFonts w:ascii="Times New Roman" w:hAnsi="Times New Roman" w:cs="Times New Roman"/>
              <w:sz w:val="24"/>
              <w:szCs w:val="24"/>
            </w:rPr>
            <w:tag w:val="goog_rdk_158"/>
            <w:id w:val="-1624144312"/>
          </w:sdtPr>
          <w:sdtEndPr/>
          <w:sdtContent>
            <w:p w14:paraId="61C7F957" w14:textId="5C05B178" w:rsidR="003515BB" w:rsidRDefault="003F0CA1" w:rsidP="0015506E">
              <w:pPr>
                <w:shd w:val="clear" w:color="auto" w:fill="FFFFFF"/>
                <w:spacing w:line="240" w:lineRule="auto"/>
                <w:jc w:val="both"/>
                <w:rPr>
                  <w:rFonts w:ascii="Times New Roman" w:hAnsi="Times New Roman" w:cs="Times New Roman"/>
                  <w:color w:val="000000"/>
                  <w:sz w:val="24"/>
                  <w:szCs w:val="24"/>
                </w:rPr>
              </w:pPr>
              <w:r w:rsidRPr="003F0CA1">
                <w:rPr>
                  <w:rFonts w:ascii="Times New Roman" w:hAnsi="Times New Roman" w:cs="Times New Roman"/>
                  <w:color w:val="000000"/>
                  <w:sz w:val="24"/>
                  <w:szCs w:val="24"/>
                </w:rPr>
                <w:t>No obstante, si bien el Estado ha presentado diversos instrumentos como parte del cumplimiento de dicha medida</w:t>
              </w:r>
              <w:r w:rsidR="003515BB">
                <w:rPr>
                  <w:rFonts w:ascii="Times New Roman" w:hAnsi="Times New Roman" w:cs="Times New Roman"/>
                  <w:color w:val="000000"/>
                  <w:sz w:val="24"/>
                  <w:szCs w:val="24"/>
                </w:rPr>
                <w:t>,</w:t>
              </w:r>
              <w:r w:rsidRPr="003F0CA1">
                <w:rPr>
                  <w:rFonts w:ascii="Times New Roman" w:hAnsi="Times New Roman" w:cs="Times New Roman"/>
                  <w:color w:val="000000"/>
                  <w:sz w:val="24"/>
                  <w:szCs w:val="24"/>
                </w:rPr>
                <w:t xml:space="preserve"> instrumentos como  el Protocolo de Investigación Ministerial, Policial y Pericial con Perspectiva de Género para la Violencia Sexual de la Fiscalía General de la Nación</w:t>
              </w:r>
              <w:r w:rsidRPr="003F0CA1">
                <w:rPr>
                  <w:rFonts w:ascii="Times New Roman" w:hAnsi="Times New Roman" w:cs="Times New Roman"/>
                  <w:color w:val="000000"/>
                  <w:sz w:val="24"/>
                  <w:szCs w:val="24"/>
                  <w:vertAlign w:val="superscript"/>
                </w:rPr>
                <w:footnoteReference w:id="21"/>
              </w:r>
              <w:r w:rsidRPr="003F0CA1">
                <w:rPr>
                  <w:rFonts w:ascii="Times New Roman" w:hAnsi="Times New Roman" w:cs="Times New Roman"/>
                  <w:color w:val="000000"/>
                  <w:sz w:val="24"/>
                  <w:szCs w:val="24"/>
                </w:rPr>
                <w:t xml:space="preserve"> y el Protocolo de Guerrero, Protocolo para la Atención e Investigación Ministerial, Policial y Pericial de los Delitos contra la Libertad Sexual y Normal Desarrollo Psicosexual en el Estado de Guerrero</w:t>
              </w:r>
              <w:r w:rsidRPr="003F0CA1">
                <w:rPr>
                  <w:rFonts w:ascii="Times New Roman" w:hAnsi="Times New Roman" w:cs="Times New Roman"/>
                  <w:color w:val="000000"/>
                  <w:sz w:val="24"/>
                  <w:szCs w:val="24"/>
                  <w:vertAlign w:val="superscript"/>
                </w:rPr>
                <w:footnoteReference w:id="22"/>
              </w:r>
              <w:r w:rsidRPr="003F0CA1">
                <w:rPr>
                  <w:rFonts w:ascii="Times New Roman" w:hAnsi="Times New Roman" w:cs="Times New Roman"/>
                  <w:color w:val="000000"/>
                  <w:sz w:val="24"/>
                  <w:szCs w:val="24"/>
                </w:rPr>
                <w:t>, así como el Programa de Acción Especifico de Salud Sexual y Reproductiva 2020-2024 del Plan de Desarrollo</w:t>
              </w:r>
              <w:r w:rsidRPr="003F0CA1">
                <w:rPr>
                  <w:rFonts w:ascii="Times New Roman" w:hAnsi="Times New Roman" w:cs="Times New Roman"/>
                  <w:color w:val="000000"/>
                  <w:sz w:val="24"/>
                  <w:szCs w:val="24"/>
                  <w:vertAlign w:val="superscript"/>
                </w:rPr>
                <w:footnoteReference w:id="23"/>
              </w:r>
              <w:r w:rsidRPr="003F0CA1">
                <w:rPr>
                  <w:rFonts w:ascii="Times New Roman" w:hAnsi="Times New Roman" w:cs="Times New Roman"/>
                  <w:color w:val="000000"/>
                  <w:sz w:val="24"/>
                  <w:szCs w:val="24"/>
                </w:rPr>
                <w:t xml:space="preserve">, la preocupación central radica en la ausencia de mecanismos claros y efectivos para su implementación, monitoreo y evaluación en la práctica. </w:t>
              </w:r>
            </w:p>
            <w:p w14:paraId="61763B75" w14:textId="77777777" w:rsidR="009B20A5" w:rsidRDefault="009B20A5" w:rsidP="0015506E">
              <w:pPr>
                <w:shd w:val="clear" w:color="auto" w:fill="FFFFFF"/>
                <w:spacing w:line="240" w:lineRule="auto"/>
                <w:jc w:val="both"/>
                <w:rPr>
                  <w:rFonts w:ascii="Times New Roman" w:hAnsi="Times New Roman" w:cs="Times New Roman"/>
                  <w:color w:val="000000"/>
                  <w:sz w:val="24"/>
                  <w:szCs w:val="24"/>
                </w:rPr>
              </w:pPr>
            </w:p>
            <w:p w14:paraId="76D5D20B" w14:textId="72D1481A" w:rsidR="003F0CA1" w:rsidRPr="003F0CA1" w:rsidRDefault="003F0CA1" w:rsidP="0015506E">
              <w:pPr>
                <w:shd w:val="clear" w:color="auto" w:fill="FFFFFF"/>
                <w:spacing w:line="240" w:lineRule="auto"/>
                <w:jc w:val="both"/>
                <w:rPr>
                  <w:rFonts w:ascii="Times New Roman" w:hAnsi="Times New Roman" w:cs="Times New Roman"/>
                  <w:color w:val="000000"/>
                  <w:sz w:val="24"/>
                  <w:szCs w:val="24"/>
                </w:rPr>
              </w:pPr>
              <w:r w:rsidRPr="003F0CA1">
                <w:rPr>
                  <w:rFonts w:ascii="Times New Roman" w:hAnsi="Times New Roman" w:cs="Times New Roman"/>
                  <w:color w:val="000000"/>
                  <w:sz w:val="24"/>
                  <w:szCs w:val="24"/>
                </w:rPr>
                <w:t xml:space="preserve">Esta situación impide verificar si estos instrumentos cumplen realmente con los parámetros establecidos en el Protocolo de Estambul y las Directrices de la Organización Mundial de la Salud (OMS), tal como se esperaría de una medida de reparación integral. </w:t>
              </w:r>
              <w:r w:rsidRPr="003F0CA1">
                <w:rPr>
                  <w:rFonts w:ascii="Times New Roman" w:hAnsi="Times New Roman" w:cs="Times New Roman"/>
                  <w:b/>
                  <w:bCs/>
                  <w:color w:val="000000"/>
                  <w:sz w:val="24"/>
                  <w:szCs w:val="24"/>
                </w:rPr>
                <w:t>La mera existencia de estos protocolos no se traduce automáticamente en una atención adecuada y sensible a las víctimas.</w:t>
              </w:r>
              <w:r w:rsidRPr="003F0CA1">
                <w:rPr>
                  <w:rFonts w:ascii="Times New Roman" w:hAnsi="Times New Roman" w:cs="Times New Roman"/>
                  <w:color w:val="000000"/>
                  <w:sz w:val="24"/>
                  <w:szCs w:val="24"/>
                  <w:vertAlign w:val="superscript"/>
                </w:rPr>
                <w:footnoteReference w:id="24"/>
              </w:r>
              <w:r w:rsidRPr="003F0CA1">
                <w:rPr>
                  <w:rFonts w:ascii="Times New Roman" w:hAnsi="Times New Roman" w:cs="Times New Roman"/>
                  <w:color w:val="000000"/>
                  <w:sz w:val="24"/>
                  <w:szCs w:val="24"/>
                </w:rPr>
                <w:t>.</w:t>
              </w:r>
            </w:p>
          </w:sdtContent>
        </w:sdt>
      </w:sdtContent>
    </w:sdt>
    <w:sdt>
      <w:sdtPr>
        <w:rPr>
          <w:rFonts w:ascii="Times New Roman" w:hAnsi="Times New Roman" w:cs="Times New Roman"/>
          <w:sz w:val="24"/>
          <w:szCs w:val="24"/>
        </w:rPr>
        <w:tag w:val="goog_rdk_161"/>
        <w:id w:val="-1996013461"/>
      </w:sdtPr>
      <w:sdtEndPr/>
      <w:sdtContent>
        <w:p w14:paraId="03E7DFF1" w14:textId="77777777" w:rsidR="003F0CA1" w:rsidRPr="003F0CA1" w:rsidRDefault="00850A94" w:rsidP="0015506E">
          <w:pPr>
            <w:shd w:val="clear" w:color="auto" w:fill="FFFFFF"/>
            <w:spacing w:line="240" w:lineRule="auto"/>
            <w:jc w:val="both"/>
            <w:rPr>
              <w:rFonts w:ascii="Times New Roman" w:hAnsi="Times New Roman" w:cs="Times New Roman"/>
              <w:color w:val="000000"/>
              <w:sz w:val="24"/>
              <w:szCs w:val="24"/>
            </w:rPr>
          </w:pPr>
          <w:sdt>
            <w:sdtPr>
              <w:rPr>
                <w:rFonts w:ascii="Times New Roman" w:hAnsi="Times New Roman" w:cs="Times New Roman"/>
                <w:sz w:val="24"/>
                <w:szCs w:val="24"/>
              </w:rPr>
              <w:tag w:val="goog_rdk_160"/>
              <w:id w:val="-1312791600"/>
              <w:showingPlcHdr/>
            </w:sdtPr>
            <w:sdtEndPr/>
            <w:sdtContent>
              <w:r w:rsidR="003F0CA1" w:rsidRPr="003F0CA1">
                <w:rPr>
                  <w:rFonts w:ascii="Times New Roman" w:hAnsi="Times New Roman" w:cs="Times New Roman"/>
                  <w:sz w:val="24"/>
                  <w:szCs w:val="24"/>
                </w:rPr>
                <w:t xml:space="preserve">     </w:t>
              </w:r>
            </w:sdtContent>
          </w:sdt>
        </w:p>
      </w:sdtContent>
    </w:sdt>
    <w:p w14:paraId="7186E243" w14:textId="3C97A9D5" w:rsidR="003F0CA1" w:rsidRPr="003F0CA1" w:rsidRDefault="00850A94" w:rsidP="0015506E">
      <w:pPr>
        <w:shd w:val="clear" w:color="auto" w:fill="FFFFFF"/>
        <w:spacing w:line="240" w:lineRule="auto"/>
        <w:jc w:val="both"/>
        <w:rPr>
          <w:rFonts w:ascii="Times New Roman" w:hAnsi="Times New Roman" w:cs="Times New Roman"/>
          <w:color w:val="000000"/>
          <w:sz w:val="24"/>
          <w:szCs w:val="24"/>
        </w:rPr>
      </w:pPr>
      <w:sdt>
        <w:sdtPr>
          <w:rPr>
            <w:rFonts w:ascii="Times New Roman" w:hAnsi="Times New Roman" w:cs="Times New Roman"/>
            <w:sz w:val="24"/>
            <w:szCs w:val="24"/>
          </w:rPr>
          <w:tag w:val="goog_rdk_163"/>
          <w:id w:val="-1661153628"/>
        </w:sdtPr>
        <w:sdtEndPr/>
        <w:sdtContent>
          <w:sdt>
            <w:sdtPr>
              <w:rPr>
                <w:rFonts w:ascii="Times New Roman" w:hAnsi="Times New Roman" w:cs="Times New Roman"/>
                <w:sz w:val="24"/>
                <w:szCs w:val="24"/>
              </w:rPr>
              <w:tag w:val="goog_rdk_162"/>
              <w:id w:val="-1763523724"/>
            </w:sdtPr>
            <w:sdtEndPr/>
            <w:sdtContent>
              <w:r w:rsidR="003F0CA1" w:rsidRPr="003F0CA1">
                <w:rPr>
                  <w:rFonts w:ascii="Times New Roman" w:hAnsi="Times New Roman" w:cs="Times New Roman"/>
                  <w:sz w:val="24"/>
                  <w:szCs w:val="24"/>
                </w:rPr>
                <w:t xml:space="preserve">La carencia de mecanismos de supervisión y evaluación impide identificar los obstáculos en la operatividad de estos instrumentos y, crucialmente, la incorporación de mejoras continuas que respondan a las necesidades reales de las víctimas. </w:t>
              </w:r>
            </w:sdtContent>
          </w:sdt>
        </w:sdtContent>
      </w:sdt>
      <w:r w:rsidR="001846F1" w:rsidRPr="003F0CA1">
        <w:rPr>
          <w:rFonts w:ascii="Times New Roman" w:hAnsi="Times New Roman" w:cs="Times New Roman"/>
          <w:color w:val="000000"/>
          <w:sz w:val="24"/>
          <w:szCs w:val="24"/>
        </w:rPr>
        <w:t>La ausencia de datos sobre la capacitación del personal, la sensibilización culturalmente pertinente, o la incorporación de enfoques interseccionales, limita la posibilidad de garantizar una atención adecuada y respetuosa en todos los contextos, especialmente en comunidades indígenas o rurales donde las barreras culturales y lingüísticas son mayores</w:t>
      </w:r>
      <w:r w:rsidR="001846F1">
        <w:rPr>
          <w:rFonts w:ascii="Times New Roman" w:hAnsi="Times New Roman" w:cs="Times New Roman"/>
          <w:color w:val="000000"/>
          <w:sz w:val="24"/>
          <w:szCs w:val="24"/>
        </w:rPr>
        <w:t>.</w:t>
      </w:r>
      <w:r w:rsidR="00F06ED2">
        <w:rPr>
          <w:rFonts w:ascii="Times New Roman" w:hAnsi="Times New Roman" w:cs="Times New Roman"/>
          <w:color w:val="000000"/>
          <w:sz w:val="24"/>
          <w:szCs w:val="24"/>
        </w:rPr>
        <w:t xml:space="preserve"> </w:t>
      </w:r>
      <w:r w:rsidR="001846F1" w:rsidRPr="003F0CA1">
        <w:rPr>
          <w:rFonts w:ascii="Times New Roman" w:hAnsi="Times New Roman" w:cs="Times New Roman"/>
          <w:color w:val="000000"/>
          <w:sz w:val="24"/>
          <w:szCs w:val="24"/>
        </w:rPr>
        <w:t xml:space="preserve">La falta de recursos públicos suficientes para la </w:t>
      </w:r>
      <w:r w:rsidR="001846F1" w:rsidRPr="003F0CA1">
        <w:rPr>
          <w:rFonts w:ascii="Times New Roman" w:hAnsi="Times New Roman" w:cs="Times New Roman"/>
          <w:color w:val="000000"/>
          <w:sz w:val="24"/>
          <w:szCs w:val="24"/>
        </w:rPr>
        <w:lastRenderedPageBreak/>
        <w:t>capacitación continua, la supervisión efectiva y la actualización de los instrumentos, perpetúa un escenario en el que las víctimas no reciben una atención adecuada, y las investigaciones no cumplen con los estándares internacionales de derechos humanos y perspectiva de género</w:t>
      </w:r>
    </w:p>
    <w:p w14:paraId="5EA309A4" w14:textId="4C7F1287" w:rsidR="003F0CA1" w:rsidRPr="003F0CA1" w:rsidRDefault="003F0CA1" w:rsidP="0015506E">
      <w:pPr>
        <w:shd w:val="clear" w:color="auto" w:fill="FFFFFF"/>
        <w:spacing w:line="240" w:lineRule="auto"/>
        <w:jc w:val="both"/>
        <w:rPr>
          <w:rFonts w:ascii="Times New Roman" w:hAnsi="Times New Roman" w:cs="Times New Roman"/>
          <w:color w:val="000000"/>
          <w:sz w:val="24"/>
          <w:szCs w:val="24"/>
        </w:rPr>
      </w:pPr>
    </w:p>
    <w:sdt>
      <w:sdtPr>
        <w:rPr>
          <w:rFonts w:ascii="Times New Roman" w:hAnsi="Times New Roman" w:cs="Times New Roman"/>
          <w:sz w:val="24"/>
          <w:szCs w:val="24"/>
        </w:rPr>
        <w:tag w:val="goog_rdk_169"/>
        <w:id w:val="-707637395"/>
      </w:sdtPr>
      <w:sdtEndPr/>
      <w:sdtContent>
        <w:p w14:paraId="11D8E6E7" w14:textId="37B3916E" w:rsidR="003F0CA1" w:rsidRDefault="00850A94" w:rsidP="003515BB">
          <w:pPr>
            <w:shd w:val="clear" w:color="auto" w:fill="FFFFFF"/>
            <w:spacing w:line="240" w:lineRule="auto"/>
            <w:jc w:val="both"/>
            <w:rPr>
              <w:rFonts w:ascii="Times New Roman" w:hAnsi="Times New Roman" w:cs="Times New Roman"/>
              <w:color w:val="000000"/>
              <w:sz w:val="24"/>
              <w:szCs w:val="24"/>
            </w:rPr>
          </w:pPr>
          <w:sdt>
            <w:sdtPr>
              <w:rPr>
                <w:rFonts w:ascii="Times New Roman" w:hAnsi="Times New Roman" w:cs="Times New Roman"/>
                <w:sz w:val="24"/>
                <w:szCs w:val="24"/>
              </w:rPr>
              <w:tag w:val="goog_rdk_168"/>
              <w:id w:val="-480773314"/>
            </w:sdtPr>
            <w:sdtEndPr/>
            <w:sdtContent/>
          </w:sdt>
        </w:p>
      </w:sdtContent>
    </w:sdt>
    <w:p w14:paraId="40AF1464" w14:textId="19C4E961" w:rsidR="003F0CA1" w:rsidRPr="00A3396C" w:rsidRDefault="004562AD" w:rsidP="004562AD">
      <w:pPr>
        <w:pStyle w:val="Prrafodelista"/>
        <w:numPr>
          <w:ilvl w:val="0"/>
          <w:numId w:val="3"/>
        </w:numPr>
        <w:spacing w:line="240" w:lineRule="auto"/>
        <w:jc w:val="both"/>
        <w:rPr>
          <w:rFonts w:ascii="Times New Roman" w:eastAsia="Times New Roman" w:hAnsi="Times New Roman" w:cs="Times New Roman"/>
          <w:b/>
          <w:bCs/>
          <w:sz w:val="24"/>
          <w:szCs w:val="24"/>
        </w:rPr>
      </w:pPr>
      <w:r w:rsidRPr="00A3396C">
        <w:rPr>
          <w:rFonts w:ascii="Times New Roman" w:eastAsia="Times New Roman" w:hAnsi="Times New Roman" w:cs="Times New Roman"/>
          <w:b/>
          <w:bCs/>
          <w:sz w:val="24"/>
          <w:szCs w:val="24"/>
        </w:rPr>
        <w:t>Evolución y Desafíos en los Mecanismos y Recursos para la Igualdad de Género en México.</w:t>
      </w:r>
    </w:p>
    <w:p w14:paraId="7194FB26" w14:textId="77777777" w:rsidR="004562AD" w:rsidRDefault="004562A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b/>
          <w:i/>
          <w:sz w:val="24"/>
          <w:szCs w:val="24"/>
        </w:rPr>
      </w:pPr>
    </w:p>
    <w:p w14:paraId="0000003C" w14:textId="1BCB343B" w:rsidR="00DD133F" w:rsidRPr="003B7252" w:rsidRDefault="00EF4153" w:rsidP="00EA12AB">
      <w:pPr>
        <w:pStyle w:val="Prrafodelist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bCs/>
          <w:i/>
          <w:sz w:val="24"/>
          <w:szCs w:val="24"/>
        </w:rPr>
      </w:pPr>
      <w:r w:rsidRPr="003B7252">
        <w:rPr>
          <w:rFonts w:ascii="Times New Roman" w:eastAsia="Times New Roman" w:hAnsi="Times New Roman" w:cs="Times New Roman"/>
          <w:bCs/>
          <w:i/>
          <w:sz w:val="24"/>
          <w:szCs w:val="24"/>
        </w:rPr>
        <w:t xml:space="preserve">Mecanismos nacionales para el adelanto de la mujer y la incorporación de la perspectiva de género. </w:t>
      </w:r>
    </w:p>
    <w:p w14:paraId="0000003D" w14:textId="77777777" w:rsidR="00DD133F" w:rsidRDefault="00DD13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color w:val="000000"/>
          <w:sz w:val="24"/>
          <w:szCs w:val="24"/>
        </w:rPr>
      </w:pPr>
    </w:p>
    <w:p w14:paraId="0000003E" w14:textId="2332C061" w:rsidR="00DD133F" w:rsidRDefault="003316D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 relevante en este apartado,  realizar una reflexión sobre los cambios significativos que ha realizado el nuevo gobierno -encabezado por Claudia Sheinbaum Pardo- a los mecanismos para el adelanto de las mujeres (MAM); así como, sobre el desfinanciamiento de la institucionalidad para la promoción de la igualdad sustantiva y para prevenir y atender las violencias contra las mujeres y las niñas, documentado por </w:t>
      </w:r>
      <w:r>
        <w:rPr>
          <w:rFonts w:ascii="Times New Roman" w:eastAsia="Times New Roman" w:hAnsi="Times New Roman" w:cs="Times New Roman"/>
          <w:b/>
          <w:i/>
          <w:sz w:val="24"/>
          <w:szCs w:val="24"/>
        </w:rPr>
        <w:t>Aliadas por la Igualdad y la No Violencia</w:t>
      </w:r>
      <w:r w:rsidRPr="003B7252">
        <w:rPr>
          <w:rFonts w:ascii="Times New Roman" w:eastAsia="Times New Roman" w:hAnsi="Times New Roman" w:cs="Times New Roman"/>
          <w:sz w:val="24"/>
          <w:szCs w:val="24"/>
          <w:vertAlign w:val="superscript"/>
        </w:rPr>
        <w:footnoteReference w:id="25"/>
      </w:r>
      <w:r w:rsidRPr="003B7252">
        <w:rPr>
          <w:rFonts w:ascii="Times New Roman" w:eastAsia="Times New Roman" w:hAnsi="Times New Roman" w:cs="Times New Roman"/>
          <w:sz w:val="24"/>
          <w:szCs w:val="24"/>
        </w:rPr>
        <w:t xml:space="preserve"> (</w:t>
      </w:r>
      <w:hyperlink r:id="rId10">
        <w:r w:rsidRPr="003B7252">
          <w:rPr>
            <w:rFonts w:ascii="Times New Roman" w:eastAsia="Times New Roman" w:hAnsi="Times New Roman" w:cs="Times New Roman"/>
            <w:sz w:val="24"/>
            <w:szCs w:val="24"/>
          </w:rPr>
          <w:t>Anexo 1</w:t>
        </w:r>
      </w:hyperlink>
      <w:r w:rsidRPr="003B7252">
        <w:rPr>
          <w:rFonts w:ascii="Times New Roman" w:eastAsia="Times New Roman" w:hAnsi="Times New Roman" w:cs="Times New Roman"/>
          <w:sz w:val="24"/>
          <w:szCs w:val="24"/>
        </w:rPr>
        <w:t xml:space="preserve">). </w:t>
      </w:r>
    </w:p>
    <w:p w14:paraId="0000003F" w14:textId="77777777" w:rsidR="00DD133F" w:rsidRDefault="00DD133F">
      <w:pPr>
        <w:spacing w:line="240" w:lineRule="auto"/>
        <w:jc w:val="both"/>
        <w:rPr>
          <w:rFonts w:ascii="Times New Roman" w:eastAsia="Times New Roman" w:hAnsi="Times New Roman" w:cs="Times New Roman"/>
          <w:sz w:val="24"/>
          <w:szCs w:val="24"/>
        </w:rPr>
      </w:pPr>
    </w:p>
    <w:p w14:paraId="61EC413A" w14:textId="2B64FCB2" w:rsidR="00E51883" w:rsidRDefault="00EF415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primer lugar, con fecha 22 de octubre del 2024, se abrogó la Ley del Instituto Nacional de las Mujeres (INMUJERES).  Creado en 2001, fungía como un organismo público descentralizado de la Administración Pública Federal, con personalidad jurídica, patrimonio propio y autonomía de gestión</w:t>
      </w:r>
      <w:r w:rsidR="003B725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3B7252">
        <w:rPr>
          <w:rFonts w:ascii="Times New Roman" w:eastAsia="Times New Roman" w:hAnsi="Times New Roman" w:cs="Times New Roman"/>
          <w:sz w:val="24"/>
          <w:szCs w:val="24"/>
        </w:rPr>
        <w:t>E</w:t>
      </w:r>
      <w:r>
        <w:rPr>
          <w:rFonts w:ascii="Times New Roman" w:eastAsia="Times New Roman" w:hAnsi="Times New Roman" w:cs="Times New Roman"/>
          <w:sz w:val="24"/>
          <w:szCs w:val="24"/>
        </w:rPr>
        <w:t>l INMUJERES contaba con una Junta de Gobierno, donde participaban representantes de</w:t>
      </w:r>
      <w:r w:rsidR="003B7252">
        <w:rPr>
          <w:rFonts w:ascii="Times New Roman" w:eastAsia="Times New Roman" w:hAnsi="Times New Roman" w:cs="Times New Roman"/>
          <w:sz w:val="24"/>
          <w:szCs w:val="24"/>
        </w:rPr>
        <w:t xml:space="preserve"> los tres </w:t>
      </w:r>
      <w:r w:rsidR="00517DCB">
        <w:rPr>
          <w:rFonts w:ascii="Times New Roman" w:eastAsia="Times New Roman" w:hAnsi="Times New Roman" w:cs="Times New Roman"/>
          <w:sz w:val="24"/>
          <w:szCs w:val="24"/>
        </w:rPr>
        <w:t>p</w:t>
      </w:r>
      <w:r w:rsidR="003B7252">
        <w:rPr>
          <w:rFonts w:ascii="Times New Roman" w:eastAsia="Times New Roman" w:hAnsi="Times New Roman" w:cs="Times New Roman"/>
          <w:sz w:val="24"/>
          <w:szCs w:val="24"/>
        </w:rPr>
        <w:t xml:space="preserve">oderes de la </w:t>
      </w:r>
      <w:r w:rsidR="00517DCB">
        <w:rPr>
          <w:rFonts w:ascii="Times New Roman" w:eastAsia="Times New Roman" w:hAnsi="Times New Roman" w:cs="Times New Roman"/>
          <w:sz w:val="24"/>
          <w:szCs w:val="24"/>
        </w:rPr>
        <w:t>u</w:t>
      </w:r>
      <w:r w:rsidR="003B7252">
        <w:rPr>
          <w:rFonts w:ascii="Times New Roman" w:eastAsia="Times New Roman" w:hAnsi="Times New Roman" w:cs="Times New Roman"/>
          <w:sz w:val="24"/>
          <w:szCs w:val="24"/>
        </w:rPr>
        <w:t xml:space="preserve">nión, </w:t>
      </w:r>
      <w:r w:rsidR="00517DCB">
        <w:rPr>
          <w:rFonts w:ascii="Times New Roman" w:eastAsia="Times New Roman" w:hAnsi="Times New Roman" w:cs="Times New Roman"/>
          <w:sz w:val="24"/>
          <w:szCs w:val="24"/>
        </w:rPr>
        <w:t xml:space="preserve">y </w:t>
      </w:r>
      <w:r>
        <w:rPr>
          <w:rFonts w:ascii="Times New Roman" w:eastAsia="Times New Roman" w:hAnsi="Times New Roman" w:cs="Times New Roman"/>
          <w:sz w:val="24"/>
          <w:szCs w:val="24"/>
        </w:rPr>
        <w:t>sociedad civil</w:t>
      </w:r>
      <w:r w:rsidR="003B7252">
        <w:rPr>
          <w:rFonts w:ascii="Times New Roman" w:eastAsia="Times New Roman" w:hAnsi="Times New Roman" w:cs="Times New Roman"/>
          <w:sz w:val="24"/>
          <w:szCs w:val="24"/>
        </w:rPr>
        <w:t xml:space="preserve"> y </w:t>
      </w:r>
      <w:r>
        <w:rPr>
          <w:rFonts w:ascii="Times New Roman" w:eastAsia="Times New Roman" w:hAnsi="Times New Roman" w:cs="Times New Roman"/>
          <w:sz w:val="24"/>
          <w:szCs w:val="24"/>
        </w:rPr>
        <w:t>academia</w:t>
      </w:r>
      <w:r w:rsidR="00517DC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 través de un Consejo Consultivo y un Consejo Social.  Este MAM, creado por ley, fue sustituido por una Secretaría de las Mujeres, mediante una </w:t>
      </w:r>
      <w:r w:rsidRPr="003B7252">
        <w:rPr>
          <w:rFonts w:ascii="Times New Roman" w:eastAsia="Times New Roman" w:hAnsi="Times New Roman" w:cs="Times New Roman"/>
          <w:sz w:val="24"/>
          <w:szCs w:val="24"/>
        </w:rPr>
        <w:t>reforma a la Ley Orgánica de la Administración Pública Federal, de fecha 28 de noviembre del 2024</w:t>
      </w:r>
      <w:r w:rsidR="00EA12AB">
        <w:rPr>
          <w:rStyle w:val="Refdenotaalpie"/>
          <w:rFonts w:ascii="Times New Roman" w:eastAsia="Times New Roman" w:hAnsi="Times New Roman" w:cs="Times New Roman"/>
          <w:color w:val="0000FF"/>
          <w:sz w:val="24"/>
          <w:szCs w:val="24"/>
        </w:rPr>
        <w:footnoteReference w:id="26"/>
      </w:r>
      <w:r>
        <w:rPr>
          <w:rFonts w:ascii="Times New Roman" w:eastAsia="Times New Roman" w:hAnsi="Times New Roman" w:cs="Times New Roman"/>
          <w:sz w:val="24"/>
          <w:szCs w:val="24"/>
        </w:rPr>
        <w:t xml:space="preserve">. </w:t>
      </w:r>
      <w:r w:rsidR="00E518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Si bien la nueva Secretaría de las Mujeres (ahora denominada Mujeres), forma parte del Gabinete del Ejecutivo Federal, pierde su personalidad jurídica, su patrimonio propio y su autonomía técnica y de gestión. </w:t>
      </w:r>
    </w:p>
    <w:p w14:paraId="5185F6ED" w14:textId="77777777" w:rsidR="00132675" w:rsidRDefault="00132675">
      <w:pPr>
        <w:spacing w:line="240" w:lineRule="auto"/>
        <w:jc w:val="both"/>
        <w:rPr>
          <w:rFonts w:ascii="Times New Roman" w:eastAsia="Times New Roman" w:hAnsi="Times New Roman" w:cs="Times New Roman"/>
          <w:sz w:val="24"/>
          <w:szCs w:val="24"/>
        </w:rPr>
      </w:pPr>
    </w:p>
    <w:p w14:paraId="00000044" w14:textId="549B45FF" w:rsidR="00DD133F" w:rsidRDefault="00EF415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segundo lugar, </w:t>
      </w:r>
      <w:r w:rsidR="00EA12AB">
        <w:rPr>
          <w:rFonts w:ascii="Times New Roman" w:eastAsia="Times New Roman" w:hAnsi="Times New Roman" w:cs="Times New Roman"/>
          <w:sz w:val="24"/>
          <w:szCs w:val="24"/>
        </w:rPr>
        <w:t xml:space="preserve">derogó </w:t>
      </w:r>
      <w:r>
        <w:rPr>
          <w:rFonts w:ascii="Times New Roman" w:eastAsia="Times New Roman" w:hAnsi="Times New Roman" w:cs="Times New Roman"/>
          <w:sz w:val="24"/>
          <w:szCs w:val="24"/>
        </w:rPr>
        <w:t>el decreto de creación del -1 de junio del 2009- de la Comisión Nacional para Prevenir y Erradicar la Violencia contra las Mujeres (CONAVIM). Durante 15 años la CONAVIM fungió como un órgano desconcentrado de la Secretaría de Gobernación, con autonomía de gestión y presupuestaria, encargad</w:t>
      </w:r>
      <w:r w:rsidR="00D97158">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 de diseñar la política nacional para erradicar la violencia contra las mujeres.  De acuerdo con la Ley General de Acceso de las Mujeres a una Vida Libre de Violencia, la Secretaría de Gobernación, jugaba un papel preponderante, pues teniendo entre sus atribuciones la formulación y conducción de la política interior del país, la coordinación de la administración pública federal y la coordinación de los tres niveles de gobierno, a través de la CONAVIM se implementaban políticas públicas para prevenir y erradicar la violencia contra las mujeres.  </w:t>
      </w:r>
      <w:r w:rsidR="00EA12AB">
        <w:rPr>
          <w:rFonts w:ascii="Times New Roman" w:eastAsia="Times New Roman" w:hAnsi="Times New Roman" w:cs="Times New Roman"/>
          <w:sz w:val="24"/>
          <w:szCs w:val="24"/>
        </w:rPr>
        <w:t>C</w:t>
      </w:r>
      <w:r>
        <w:rPr>
          <w:rFonts w:ascii="Times New Roman" w:eastAsia="Times New Roman" w:hAnsi="Times New Roman" w:cs="Times New Roman"/>
          <w:sz w:val="24"/>
          <w:szCs w:val="24"/>
        </w:rPr>
        <w:t>on la eliminación de la CONAVIM se pierde conducción y jerarquía del más alto nivel de gobierno</w:t>
      </w:r>
      <w:r w:rsidR="00D9715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en la materia.  El desmantelamiento de mecanismos para el adelanto de las mujeres redunda en menos presupuesto público </w:t>
      </w:r>
      <w:r w:rsidR="00EA12AB">
        <w:rPr>
          <w:rFonts w:ascii="Times New Roman" w:eastAsia="Times New Roman" w:hAnsi="Times New Roman" w:cs="Times New Roman"/>
          <w:sz w:val="24"/>
          <w:szCs w:val="24"/>
        </w:rPr>
        <w:t xml:space="preserve">destinado </w:t>
      </w:r>
      <w:r>
        <w:rPr>
          <w:rFonts w:ascii="Times New Roman" w:eastAsia="Times New Roman" w:hAnsi="Times New Roman" w:cs="Times New Roman"/>
          <w:sz w:val="24"/>
          <w:szCs w:val="24"/>
        </w:rPr>
        <w:t>para la igualdad y la no violencia contra las mujeres</w:t>
      </w:r>
      <w:r w:rsidR="00EA12AB">
        <w:rPr>
          <w:rStyle w:val="Refdenotaalpie"/>
          <w:rFonts w:ascii="Times New Roman" w:eastAsia="Times New Roman" w:hAnsi="Times New Roman" w:cs="Times New Roman"/>
          <w:sz w:val="24"/>
          <w:szCs w:val="24"/>
        </w:rPr>
        <w:footnoteReference w:id="27"/>
      </w:r>
      <w:r>
        <w:rPr>
          <w:rFonts w:ascii="Times New Roman" w:eastAsia="Times New Roman" w:hAnsi="Times New Roman" w:cs="Times New Roman"/>
          <w:sz w:val="24"/>
          <w:szCs w:val="24"/>
        </w:rPr>
        <w:t xml:space="preserve">. </w:t>
      </w:r>
    </w:p>
    <w:p w14:paraId="1210E155" w14:textId="77777777" w:rsidR="00EA12AB" w:rsidRDefault="00EA12AB">
      <w:pPr>
        <w:spacing w:line="240" w:lineRule="auto"/>
        <w:jc w:val="both"/>
        <w:rPr>
          <w:rFonts w:ascii="Times New Roman" w:eastAsia="Times New Roman" w:hAnsi="Times New Roman" w:cs="Times New Roman"/>
          <w:sz w:val="24"/>
          <w:szCs w:val="24"/>
        </w:rPr>
      </w:pPr>
    </w:p>
    <w:p w14:paraId="00000045" w14:textId="6C677791" w:rsidR="00DD133F" w:rsidRPr="00D47F62" w:rsidRDefault="00EA12AB" w:rsidP="00EA12AB">
      <w:pPr>
        <w:pStyle w:val="Prrafodelista"/>
        <w:numPr>
          <w:ilvl w:val="0"/>
          <w:numId w:val="5"/>
        </w:numPr>
        <w:spacing w:line="240" w:lineRule="auto"/>
        <w:jc w:val="both"/>
        <w:rPr>
          <w:rFonts w:ascii="Times New Roman" w:eastAsia="Times New Roman" w:hAnsi="Times New Roman" w:cs="Times New Roman"/>
          <w:i/>
          <w:iCs/>
          <w:sz w:val="24"/>
          <w:szCs w:val="24"/>
        </w:rPr>
      </w:pPr>
      <w:r w:rsidRPr="00D47F62">
        <w:rPr>
          <w:rFonts w:ascii="Times New Roman" w:eastAsia="Times New Roman" w:hAnsi="Times New Roman" w:cs="Times New Roman"/>
          <w:i/>
          <w:iCs/>
          <w:sz w:val="24"/>
          <w:szCs w:val="24"/>
        </w:rPr>
        <w:t>Desfinanciamiento de la institucionalidad para la promoción de la igualdad sustantiva y para prevenir y atender las violencias contra las mujeres y las niñas.</w:t>
      </w:r>
    </w:p>
    <w:p w14:paraId="68B18734" w14:textId="77777777" w:rsidR="00EA12AB" w:rsidRDefault="00EA12AB" w:rsidP="00EA12AB">
      <w:pPr>
        <w:spacing w:line="240" w:lineRule="auto"/>
        <w:jc w:val="both"/>
        <w:rPr>
          <w:rFonts w:ascii="Times New Roman" w:eastAsia="Times New Roman" w:hAnsi="Times New Roman" w:cs="Times New Roman"/>
          <w:sz w:val="24"/>
          <w:szCs w:val="24"/>
        </w:rPr>
      </w:pPr>
    </w:p>
    <w:sdt>
      <w:sdtPr>
        <w:tag w:val="goog_rdk_224"/>
        <w:id w:val="193509944"/>
      </w:sdtPr>
      <w:sdtEndPr>
        <w:rPr>
          <w:rFonts w:ascii="Times New Roman" w:hAnsi="Times New Roman" w:cs="Times New Roman"/>
          <w:sz w:val="24"/>
          <w:szCs w:val="24"/>
        </w:rPr>
      </w:sdtEndPr>
      <w:sdtContent>
        <w:p w14:paraId="2EB8E0DF" w14:textId="0800E123" w:rsidR="00EA12AB" w:rsidRPr="00EA12AB" w:rsidRDefault="00850A94" w:rsidP="00EA12AB">
          <w:pPr>
            <w:spacing w:before="95" w:line="244" w:lineRule="auto"/>
            <w:ind w:right="-43"/>
            <w:jc w:val="both"/>
            <w:rPr>
              <w:rFonts w:ascii="Times New Roman" w:hAnsi="Times New Roman" w:cs="Times New Roman"/>
              <w:sz w:val="24"/>
              <w:szCs w:val="24"/>
            </w:rPr>
          </w:pPr>
          <w:sdt>
            <w:sdtPr>
              <w:rPr>
                <w:rFonts w:ascii="Times New Roman" w:hAnsi="Times New Roman" w:cs="Times New Roman"/>
                <w:sz w:val="24"/>
                <w:szCs w:val="24"/>
              </w:rPr>
              <w:tag w:val="goog_rdk_223"/>
              <w:id w:val="-1968273440"/>
            </w:sdtPr>
            <w:sdtEndPr/>
            <w:sdtContent>
              <w:r w:rsidR="00EA12AB" w:rsidRPr="00EA12AB">
                <w:rPr>
                  <w:rFonts w:ascii="Times New Roman" w:hAnsi="Times New Roman" w:cs="Times New Roman"/>
                  <w:sz w:val="24"/>
                  <w:szCs w:val="24"/>
                </w:rPr>
                <w:t>El financiamiento adecuado y sostenido de programas y mecanismos institucionales es fundamental para garantizar la igualdad sustantiva y la protección efectiva de los derechos de las mujeres en México. La asignación de recursos públicos, reflejada en el presupuesto federal y en programas específicos, permite fortalecer las políticas públicas, promover la transversalidad de la perspectiva de género y atender las distintas formas de violencia y discriminación. Sin embargo, en los últimos años, la reducción y desaparición de fondos clave, así como la eliminación de programas emblemáticos, han puesto en riesgo los avances logrados y han debilitado la institucionalidad creada para promover la igualdad y prevenir la violencia contra las mujeres. La continuidad y ampliación de estos recursos son esenciales para consolidar una política pública efectiva y garantizar el ejercicio pleno de los derechos de las mujeres en todos los niveles.</w:t>
              </w:r>
            </w:sdtContent>
          </w:sdt>
        </w:p>
      </w:sdtContent>
    </w:sdt>
    <w:p w14:paraId="37C22958" w14:textId="77777777" w:rsidR="00EA12AB" w:rsidRDefault="00EA12AB" w:rsidP="00EA12AB">
      <w:pPr>
        <w:spacing w:line="240" w:lineRule="auto"/>
        <w:jc w:val="both"/>
        <w:rPr>
          <w:rFonts w:ascii="Times New Roman" w:eastAsia="Times New Roman" w:hAnsi="Times New Roman" w:cs="Times New Roman"/>
          <w:sz w:val="24"/>
          <w:szCs w:val="24"/>
        </w:rPr>
      </w:pPr>
    </w:p>
    <w:p w14:paraId="2B93B1E4" w14:textId="753994DA" w:rsidR="00AA446E" w:rsidRPr="00D47F62" w:rsidRDefault="00AA446E" w:rsidP="00AA446E">
      <w:pPr>
        <w:pStyle w:val="Prrafodelista"/>
        <w:numPr>
          <w:ilvl w:val="1"/>
          <w:numId w:val="5"/>
        </w:numPr>
        <w:spacing w:line="240" w:lineRule="auto"/>
        <w:jc w:val="both"/>
        <w:rPr>
          <w:rFonts w:ascii="Times New Roman" w:eastAsia="Times New Roman" w:hAnsi="Times New Roman" w:cs="Times New Roman"/>
          <w:i/>
          <w:iCs/>
          <w:sz w:val="24"/>
          <w:szCs w:val="24"/>
        </w:rPr>
      </w:pPr>
      <w:r w:rsidRPr="00D47F62">
        <w:rPr>
          <w:rFonts w:ascii="Times New Roman" w:eastAsia="Times New Roman" w:hAnsi="Times New Roman" w:cs="Times New Roman"/>
          <w:i/>
          <w:iCs/>
          <w:sz w:val="24"/>
          <w:szCs w:val="24"/>
        </w:rPr>
        <w:t>Programas en riesgo.</w:t>
      </w:r>
    </w:p>
    <w:p w14:paraId="395ADB91" w14:textId="77777777" w:rsidR="00AA446E" w:rsidRPr="00AA446E" w:rsidRDefault="00AA446E" w:rsidP="00AA446E">
      <w:pPr>
        <w:pStyle w:val="Prrafodelista"/>
        <w:spacing w:line="240" w:lineRule="auto"/>
        <w:jc w:val="both"/>
        <w:rPr>
          <w:rFonts w:ascii="Times New Roman" w:eastAsia="Times New Roman" w:hAnsi="Times New Roman" w:cs="Times New Roman"/>
          <w:sz w:val="24"/>
          <w:szCs w:val="24"/>
        </w:rPr>
      </w:pPr>
    </w:p>
    <w:p w14:paraId="00000046" w14:textId="5376F201" w:rsidR="00DD133F" w:rsidRDefault="00EF415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Respecto a la adopción de un proceso integrado de elaboración de presupuestos con perspectiva de género a nivel federal y estatal, así como la asignación de recursos públicos suficientes para el ejercicio efectivo de los derechos de las mujeres, el Estado mexicano responde que cuenta con el Anexo 13 Erogaciones para la Igualdad entre Mujeres y Hombres, y que a través del INMUJERES ha desarrollado programas de cobertura nacional para las 32 Entidades Federativas, destacando: el Programa para el Adelanto, Bienestar e Igualdad de las Mujeres (PROABIM) y el Fondo para el Bienestar y el Avance de las Mujeres (FOBAM). No obstante, el PROABIM es uno de los programas que ha sido eliminado del Anexo 13. De acuerdo con nuestro análisis</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desde el ejercicio fiscal 2023, el S010 Programa de Fortalecimiento a la Transversalidad de la Perspectiva de Género (PFTPG) fue sustituido por el Programa de Atención Integral para el Bienestar de las Mujeres (PAIBIM). </w:t>
      </w:r>
    </w:p>
    <w:p w14:paraId="00000047" w14:textId="77777777" w:rsidR="00DD133F" w:rsidRDefault="00DD133F">
      <w:pPr>
        <w:spacing w:line="240" w:lineRule="auto"/>
        <w:jc w:val="both"/>
        <w:rPr>
          <w:rFonts w:ascii="Times New Roman" w:eastAsia="Times New Roman" w:hAnsi="Times New Roman" w:cs="Times New Roman"/>
          <w:sz w:val="24"/>
          <w:szCs w:val="24"/>
        </w:rPr>
      </w:pPr>
    </w:p>
    <w:p w14:paraId="2C0A70BD" w14:textId="7070DC57" w:rsidR="00C21489" w:rsidRDefault="00EF415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P</w:t>
      </w:r>
      <w:r w:rsidR="00952A6F">
        <w:rPr>
          <w:rFonts w:ascii="Times New Roman" w:eastAsia="Times New Roman" w:hAnsi="Times New Roman" w:cs="Times New Roman"/>
          <w:sz w:val="24"/>
          <w:szCs w:val="24"/>
        </w:rPr>
        <w:t xml:space="preserve">rograma de </w:t>
      </w:r>
      <w:r>
        <w:rPr>
          <w:rFonts w:ascii="Times New Roman" w:eastAsia="Times New Roman" w:hAnsi="Times New Roman" w:cs="Times New Roman"/>
          <w:sz w:val="24"/>
          <w:szCs w:val="24"/>
        </w:rPr>
        <w:t>F</w:t>
      </w:r>
      <w:r w:rsidR="00952A6F">
        <w:rPr>
          <w:rFonts w:ascii="Times New Roman" w:eastAsia="Times New Roman" w:hAnsi="Times New Roman" w:cs="Times New Roman"/>
          <w:sz w:val="24"/>
          <w:szCs w:val="24"/>
        </w:rPr>
        <w:t xml:space="preserve">ortalecimiento a la </w:t>
      </w:r>
      <w:r>
        <w:rPr>
          <w:rFonts w:ascii="Times New Roman" w:eastAsia="Times New Roman" w:hAnsi="Times New Roman" w:cs="Times New Roman"/>
          <w:sz w:val="24"/>
          <w:szCs w:val="24"/>
        </w:rPr>
        <w:t>T</w:t>
      </w:r>
      <w:r w:rsidR="00952A6F">
        <w:rPr>
          <w:rFonts w:ascii="Times New Roman" w:eastAsia="Times New Roman" w:hAnsi="Times New Roman" w:cs="Times New Roman"/>
          <w:sz w:val="24"/>
          <w:szCs w:val="24"/>
        </w:rPr>
        <w:t xml:space="preserve">ransversalidad a la </w:t>
      </w:r>
      <w:r>
        <w:rPr>
          <w:rFonts w:ascii="Times New Roman" w:eastAsia="Times New Roman" w:hAnsi="Times New Roman" w:cs="Times New Roman"/>
          <w:sz w:val="24"/>
          <w:szCs w:val="24"/>
        </w:rPr>
        <w:t>P</w:t>
      </w:r>
      <w:r w:rsidR="00952A6F">
        <w:rPr>
          <w:rFonts w:ascii="Times New Roman" w:eastAsia="Times New Roman" w:hAnsi="Times New Roman" w:cs="Times New Roman"/>
          <w:sz w:val="24"/>
          <w:szCs w:val="24"/>
        </w:rPr>
        <w:t xml:space="preserve">erspectiva de </w:t>
      </w:r>
      <w:r>
        <w:rPr>
          <w:rFonts w:ascii="Times New Roman" w:eastAsia="Times New Roman" w:hAnsi="Times New Roman" w:cs="Times New Roman"/>
          <w:sz w:val="24"/>
          <w:szCs w:val="24"/>
        </w:rPr>
        <w:t>G</w:t>
      </w:r>
      <w:r w:rsidR="00952A6F">
        <w:rPr>
          <w:rFonts w:ascii="Times New Roman" w:eastAsia="Times New Roman" w:hAnsi="Times New Roman" w:cs="Times New Roman"/>
          <w:sz w:val="24"/>
          <w:szCs w:val="24"/>
        </w:rPr>
        <w:t>énero (PFTPG)</w:t>
      </w:r>
      <w:r>
        <w:rPr>
          <w:rFonts w:ascii="Times New Roman" w:eastAsia="Times New Roman" w:hAnsi="Times New Roman" w:cs="Times New Roman"/>
          <w:sz w:val="24"/>
          <w:szCs w:val="24"/>
        </w:rPr>
        <w:t xml:space="preserve"> funcionaba desde el 2009</w:t>
      </w:r>
      <w:r w:rsidR="00952A6F">
        <w:rPr>
          <w:rFonts w:ascii="Times New Roman" w:eastAsia="Times New Roman" w:hAnsi="Times New Roman" w:cs="Times New Roman"/>
          <w:sz w:val="24"/>
          <w:szCs w:val="24"/>
        </w:rPr>
        <w:t xml:space="preserve">. Éste contribuyó </w:t>
      </w:r>
      <w:r>
        <w:rPr>
          <w:rFonts w:ascii="Times New Roman" w:eastAsia="Times New Roman" w:hAnsi="Times New Roman" w:cs="Times New Roman"/>
          <w:sz w:val="24"/>
          <w:szCs w:val="24"/>
        </w:rPr>
        <w:t xml:space="preserve">al cumplimiento de la Política Nacional de Igualdad, </w:t>
      </w:r>
      <w:r w:rsidR="00952A6F">
        <w:rPr>
          <w:rFonts w:ascii="Times New Roman" w:eastAsia="Times New Roman" w:hAnsi="Times New Roman" w:cs="Times New Roman"/>
          <w:sz w:val="24"/>
          <w:szCs w:val="24"/>
        </w:rPr>
        <w:t xml:space="preserve">señalada en la Ley General en la materia, promoviendo la transversalización de la perspectiva de género </w:t>
      </w:r>
      <w:r>
        <w:rPr>
          <w:rFonts w:ascii="Times New Roman" w:eastAsia="Times New Roman" w:hAnsi="Times New Roman" w:cs="Times New Roman"/>
          <w:sz w:val="24"/>
          <w:szCs w:val="24"/>
        </w:rPr>
        <w:t xml:space="preserve">a través de los mecanismos para el adelanto de las mujeres (MAM) de las 32 entidades federativas.   </w:t>
      </w:r>
      <w:r w:rsidR="00251E52">
        <w:rPr>
          <w:rFonts w:ascii="Times New Roman" w:eastAsia="Times New Roman" w:hAnsi="Times New Roman" w:cs="Times New Roman"/>
          <w:sz w:val="24"/>
          <w:szCs w:val="24"/>
        </w:rPr>
        <w:t>E</w:t>
      </w:r>
      <w:r>
        <w:rPr>
          <w:rFonts w:ascii="Times New Roman" w:eastAsia="Times New Roman" w:hAnsi="Times New Roman" w:cs="Times New Roman"/>
          <w:sz w:val="24"/>
          <w:szCs w:val="24"/>
        </w:rPr>
        <w:t>l PFTPG tenía la cualidad</w:t>
      </w:r>
      <w:r w:rsidR="00251E5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de brindar financiamiento a las instancias municipales de las mujeres (IMM)</w:t>
      </w:r>
      <w:r w:rsidR="00251E5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 través de proyectos </w:t>
      </w:r>
      <w:r w:rsidR="00251E52">
        <w:rPr>
          <w:rFonts w:ascii="Times New Roman" w:eastAsia="Times New Roman" w:hAnsi="Times New Roman" w:cs="Times New Roman"/>
          <w:sz w:val="24"/>
          <w:szCs w:val="24"/>
        </w:rPr>
        <w:t xml:space="preserve">y </w:t>
      </w:r>
      <w:r w:rsidR="00C850B1">
        <w:rPr>
          <w:rFonts w:ascii="Times New Roman" w:eastAsia="Times New Roman" w:hAnsi="Times New Roman" w:cs="Times New Roman"/>
          <w:sz w:val="24"/>
          <w:szCs w:val="24"/>
        </w:rPr>
        <w:t xml:space="preserve">asignación de </w:t>
      </w:r>
      <w:r>
        <w:rPr>
          <w:rFonts w:ascii="Times New Roman" w:eastAsia="Times New Roman" w:hAnsi="Times New Roman" w:cs="Times New Roman"/>
          <w:sz w:val="24"/>
          <w:szCs w:val="24"/>
        </w:rPr>
        <w:t>recursos</w:t>
      </w:r>
      <w:r w:rsidR="00C850B1">
        <w:rPr>
          <w:rFonts w:ascii="Times New Roman" w:eastAsia="Times New Roman" w:hAnsi="Times New Roman" w:cs="Times New Roman"/>
          <w:sz w:val="24"/>
          <w:szCs w:val="24"/>
        </w:rPr>
        <w:t xml:space="preserve">. </w:t>
      </w:r>
    </w:p>
    <w:p w14:paraId="48FB13B2" w14:textId="77777777" w:rsidR="00C21489" w:rsidRDefault="00C21489">
      <w:pPr>
        <w:spacing w:line="240" w:lineRule="auto"/>
        <w:jc w:val="both"/>
        <w:rPr>
          <w:rFonts w:ascii="Times New Roman" w:eastAsia="Times New Roman" w:hAnsi="Times New Roman" w:cs="Times New Roman"/>
          <w:sz w:val="24"/>
          <w:szCs w:val="24"/>
        </w:rPr>
      </w:pPr>
    </w:p>
    <w:p w14:paraId="00000051" w14:textId="22CD9118" w:rsidR="00DD133F" w:rsidRPr="00E8010B" w:rsidRDefault="00E8010B">
      <w:pPr>
        <w:spacing w:line="240" w:lineRule="auto"/>
        <w:jc w:val="both"/>
        <w:rPr>
          <w:rFonts w:ascii="Times New Roman" w:eastAsia="Times New Roman" w:hAnsi="Times New Roman" w:cs="Times New Roman"/>
          <w:sz w:val="24"/>
          <w:szCs w:val="24"/>
        </w:rPr>
      </w:pPr>
      <w:r w:rsidRPr="00E8010B">
        <w:rPr>
          <w:rFonts w:ascii="Times New Roman" w:hAnsi="Times New Roman" w:cs="Times New Roman"/>
          <w:sz w:val="24"/>
          <w:szCs w:val="24"/>
        </w:rPr>
        <w:t>Es preocupante, que otros programas</w:t>
      </w:r>
      <w:r w:rsidR="0022551A">
        <w:rPr>
          <w:rFonts w:ascii="Times New Roman" w:hAnsi="Times New Roman" w:cs="Times New Roman"/>
          <w:sz w:val="24"/>
          <w:szCs w:val="24"/>
        </w:rPr>
        <w:t>,</w:t>
      </w:r>
      <w:r w:rsidRPr="00E8010B">
        <w:rPr>
          <w:rFonts w:ascii="Times New Roman" w:hAnsi="Times New Roman" w:cs="Times New Roman"/>
          <w:sz w:val="24"/>
          <w:szCs w:val="24"/>
        </w:rPr>
        <w:t xml:space="preserve"> como el Fondo para el Bienestar y el Avance de las Mujeres (FOBAM)</w:t>
      </w:r>
      <w:r w:rsidR="003F4DBB">
        <w:rPr>
          <w:rFonts w:ascii="Times New Roman" w:hAnsi="Times New Roman" w:cs="Times New Roman"/>
          <w:sz w:val="24"/>
          <w:szCs w:val="24"/>
        </w:rPr>
        <w:t xml:space="preserve"> </w:t>
      </w:r>
      <w:r w:rsidR="00424D2B">
        <w:rPr>
          <w:rFonts w:ascii="Times New Roman" w:hAnsi="Times New Roman" w:cs="Times New Roman"/>
          <w:sz w:val="24"/>
          <w:szCs w:val="24"/>
        </w:rPr>
        <w:t>también pueda ser eliminado</w:t>
      </w:r>
      <w:r w:rsidR="003F4DBB">
        <w:rPr>
          <w:rFonts w:ascii="Times New Roman" w:hAnsi="Times New Roman" w:cs="Times New Roman"/>
          <w:sz w:val="24"/>
          <w:szCs w:val="24"/>
        </w:rPr>
        <w:t>, pues a la fecha no se ha emitido la convocatoria correspondiente</w:t>
      </w:r>
      <w:r w:rsidRPr="00E8010B">
        <w:rPr>
          <w:rFonts w:ascii="Times New Roman" w:hAnsi="Times New Roman" w:cs="Times New Roman"/>
          <w:sz w:val="24"/>
          <w:szCs w:val="24"/>
        </w:rPr>
        <w:t xml:space="preserve">. </w:t>
      </w:r>
      <w:r w:rsidR="003F4DBB">
        <w:rPr>
          <w:rFonts w:ascii="Times New Roman" w:hAnsi="Times New Roman" w:cs="Times New Roman"/>
          <w:sz w:val="24"/>
          <w:szCs w:val="24"/>
        </w:rPr>
        <w:t xml:space="preserve">De acuerdo con </w:t>
      </w:r>
      <w:r w:rsidRPr="00E8010B">
        <w:rPr>
          <w:rFonts w:ascii="Times New Roman" w:hAnsi="Times New Roman" w:cs="Times New Roman"/>
          <w:sz w:val="24"/>
          <w:szCs w:val="24"/>
        </w:rPr>
        <w:t>el Informe Nacional de México</w:t>
      </w:r>
      <w:r w:rsidRPr="00E8010B">
        <w:rPr>
          <w:rFonts w:ascii="Times New Roman" w:hAnsi="Times New Roman" w:cs="Times New Roman"/>
          <w:sz w:val="24"/>
          <w:szCs w:val="24"/>
          <w:vertAlign w:val="superscript"/>
        </w:rPr>
        <w:footnoteReference w:id="29"/>
      </w:r>
      <w:r w:rsidRPr="00E8010B">
        <w:rPr>
          <w:rFonts w:ascii="Times New Roman" w:hAnsi="Times New Roman" w:cs="Times New Roman"/>
          <w:sz w:val="24"/>
          <w:szCs w:val="24"/>
        </w:rPr>
        <w:t xml:space="preserve">, este Fondo se orientó al cumplimiento de la Estrategia Nacional para la Prevención del Embarazo en Adolescentes (ENAPEA). </w:t>
      </w:r>
      <w:r w:rsidR="008575C9">
        <w:rPr>
          <w:rFonts w:ascii="Times New Roman" w:hAnsi="Times New Roman" w:cs="Times New Roman"/>
          <w:sz w:val="24"/>
          <w:szCs w:val="24"/>
        </w:rPr>
        <w:t>Su</w:t>
      </w:r>
      <w:r w:rsidRPr="00E8010B">
        <w:rPr>
          <w:rFonts w:ascii="Times New Roman" w:hAnsi="Times New Roman" w:cs="Times New Roman"/>
          <w:sz w:val="24"/>
          <w:szCs w:val="24"/>
        </w:rPr>
        <w:t xml:space="preserve"> desaparición, tendría un impacto negativo en la implementación de</w:t>
      </w:r>
      <w:r w:rsidR="008575C9">
        <w:rPr>
          <w:rFonts w:ascii="Times New Roman" w:hAnsi="Times New Roman" w:cs="Times New Roman"/>
          <w:sz w:val="24"/>
          <w:szCs w:val="24"/>
        </w:rPr>
        <w:t xml:space="preserve"> esta estrategia. </w:t>
      </w:r>
    </w:p>
    <w:p w14:paraId="0E76610F" w14:textId="77777777" w:rsidR="00E8010B" w:rsidRDefault="00E8010B">
      <w:pPr>
        <w:spacing w:line="240" w:lineRule="auto"/>
        <w:jc w:val="both"/>
        <w:rPr>
          <w:rFonts w:ascii="Times New Roman" w:eastAsia="Times New Roman" w:hAnsi="Times New Roman" w:cs="Times New Roman"/>
          <w:b/>
          <w:i/>
          <w:sz w:val="24"/>
          <w:szCs w:val="24"/>
        </w:rPr>
      </w:pPr>
    </w:p>
    <w:p w14:paraId="00000052" w14:textId="147890DA" w:rsidR="00DD133F" w:rsidRPr="00D139BB" w:rsidRDefault="00560AA2" w:rsidP="00560AA2">
      <w:pPr>
        <w:pStyle w:val="Prrafodelista"/>
        <w:numPr>
          <w:ilvl w:val="1"/>
          <w:numId w:val="5"/>
        </w:numPr>
        <w:spacing w:line="240" w:lineRule="auto"/>
        <w:jc w:val="both"/>
        <w:rPr>
          <w:rFonts w:ascii="Times New Roman" w:eastAsia="Times New Roman" w:hAnsi="Times New Roman" w:cs="Times New Roman"/>
          <w:bCs/>
          <w:i/>
          <w:sz w:val="24"/>
          <w:szCs w:val="24"/>
        </w:rPr>
      </w:pPr>
      <w:r w:rsidRPr="00D139BB">
        <w:rPr>
          <w:rFonts w:ascii="Times New Roman" w:eastAsia="Times New Roman" w:hAnsi="Times New Roman" w:cs="Times New Roman"/>
          <w:bCs/>
          <w:i/>
          <w:sz w:val="24"/>
          <w:szCs w:val="24"/>
        </w:rPr>
        <w:t xml:space="preserve"> Estado actual del Anexo 13. Erogaciones para la Igualdad entre Mujeres y Hombres.</w:t>
      </w:r>
    </w:p>
    <w:p w14:paraId="00000053" w14:textId="77777777" w:rsidR="00DD133F" w:rsidRDefault="00DD133F">
      <w:pPr>
        <w:spacing w:line="240" w:lineRule="auto"/>
        <w:jc w:val="both"/>
        <w:rPr>
          <w:rFonts w:ascii="Times New Roman" w:eastAsia="Times New Roman" w:hAnsi="Times New Roman" w:cs="Times New Roman"/>
          <w:sz w:val="24"/>
          <w:szCs w:val="24"/>
        </w:rPr>
      </w:pPr>
    </w:p>
    <w:p w14:paraId="00000054" w14:textId="7ACB8BE8" w:rsidR="00DD133F" w:rsidRDefault="00EF415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institucionalización del </w:t>
      </w:r>
      <w:r w:rsidR="0015776A">
        <w:rPr>
          <w:rFonts w:ascii="Times New Roman" w:eastAsia="Times New Roman" w:hAnsi="Times New Roman" w:cs="Times New Roman"/>
          <w:sz w:val="24"/>
          <w:szCs w:val="24"/>
        </w:rPr>
        <w:t xml:space="preserve">Anexo 13 </w:t>
      </w:r>
      <w:r>
        <w:rPr>
          <w:rFonts w:ascii="Times New Roman" w:eastAsia="Times New Roman" w:hAnsi="Times New Roman" w:cs="Times New Roman"/>
          <w:sz w:val="24"/>
          <w:szCs w:val="24"/>
        </w:rPr>
        <w:t>ha sido sustancial para garantizar el ejercicio del derecho a la igualdad y el derecho de las mujeres a una vida libre de violencia</w:t>
      </w:r>
      <w:r w:rsidR="00CC75B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w:t>
      </w:r>
      <w:r w:rsidR="0015776A">
        <w:rPr>
          <w:rFonts w:ascii="Times New Roman" w:eastAsia="Times New Roman" w:hAnsi="Times New Roman" w:cs="Times New Roman"/>
          <w:sz w:val="24"/>
          <w:szCs w:val="24"/>
        </w:rPr>
        <w:t>ste</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Anexo,  </w:t>
      </w:r>
      <w:r w:rsidR="00061261">
        <w:rPr>
          <w:rFonts w:ascii="Times New Roman" w:eastAsia="Times New Roman" w:hAnsi="Times New Roman" w:cs="Times New Roman"/>
          <w:sz w:val="24"/>
          <w:szCs w:val="24"/>
        </w:rPr>
        <w:t>permite</w:t>
      </w:r>
      <w:proofErr w:type="gramEnd"/>
      <w:r w:rsidR="0006126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identificar y visibilizar los programas presupuestarios y la asignación de recursos diferenciad</w:t>
      </w:r>
      <w:r w:rsidR="00062475">
        <w:rPr>
          <w:rFonts w:ascii="Times New Roman" w:eastAsia="Times New Roman" w:hAnsi="Times New Roman" w:cs="Times New Roman"/>
          <w:sz w:val="24"/>
          <w:szCs w:val="24"/>
        </w:rPr>
        <w:t>os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por sexo</w:t>
      </w:r>
      <w:r w:rsidR="00061261">
        <w:rPr>
          <w:rFonts w:ascii="Times New Roman" w:eastAsia="Times New Roman" w:hAnsi="Times New Roman" w:cs="Times New Roman"/>
          <w:sz w:val="24"/>
          <w:szCs w:val="24"/>
        </w:rPr>
        <w:t>. Además, a</w:t>
      </w:r>
      <w:r>
        <w:rPr>
          <w:rFonts w:ascii="Times New Roman" w:eastAsia="Times New Roman" w:hAnsi="Times New Roman" w:cs="Times New Roman"/>
          <w:sz w:val="24"/>
          <w:szCs w:val="24"/>
        </w:rPr>
        <w:t xml:space="preserve"> través de la Cuenta Pública</w:t>
      </w:r>
      <w:r w:rsidR="00061261">
        <w:rPr>
          <w:rFonts w:ascii="Times New Roman" w:eastAsia="Times New Roman" w:hAnsi="Times New Roman" w:cs="Times New Roman"/>
          <w:sz w:val="24"/>
          <w:szCs w:val="24"/>
        </w:rPr>
        <w:t>,</w:t>
      </w:r>
      <w:r w:rsidR="00061261">
        <w:rPr>
          <w:rFonts w:ascii="Times New Roman" w:eastAsia="Times New Roman" w:hAnsi="Times New Roman" w:cs="Times New Roman"/>
          <w:sz w:val="24"/>
          <w:szCs w:val="24"/>
          <w:vertAlign w:val="superscript"/>
        </w:rPr>
        <w:footnoteReference w:id="30"/>
      </w:r>
      <w:r w:rsidR="00061261">
        <w:rPr>
          <w:rFonts w:ascii="Times New Roman" w:eastAsia="Times New Roman" w:hAnsi="Times New Roman" w:cs="Times New Roman"/>
          <w:sz w:val="24"/>
          <w:szCs w:val="24"/>
        </w:rPr>
        <w:t xml:space="preserve"> es posible conocer su </w:t>
      </w:r>
      <w:r>
        <w:rPr>
          <w:rFonts w:ascii="Times New Roman" w:eastAsia="Times New Roman" w:hAnsi="Times New Roman" w:cs="Times New Roman"/>
          <w:sz w:val="24"/>
          <w:szCs w:val="24"/>
        </w:rPr>
        <w:t>evolución</w:t>
      </w:r>
      <w:r w:rsidR="0006126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fortaleciendo la rendición de cuentas</w:t>
      </w:r>
      <w:r w:rsidR="0006247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Este instrumento ha sido clave para el adelanto de las mujeres en México.</w:t>
      </w:r>
    </w:p>
    <w:p w14:paraId="00000055" w14:textId="77777777" w:rsidR="00DD133F" w:rsidRDefault="00DD133F">
      <w:pPr>
        <w:spacing w:line="240" w:lineRule="auto"/>
        <w:jc w:val="both"/>
        <w:rPr>
          <w:rFonts w:ascii="Times New Roman" w:eastAsia="Times New Roman" w:hAnsi="Times New Roman" w:cs="Times New Roman"/>
          <w:sz w:val="24"/>
          <w:szCs w:val="24"/>
        </w:rPr>
      </w:pPr>
    </w:p>
    <w:p w14:paraId="00000059" w14:textId="5E6F0BD4" w:rsidR="00DD133F" w:rsidRDefault="00EF415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 embargo, contrario a lo que informa el Estado mexicano, para el periodo 2018 al 2024, no mostr</w:t>
      </w:r>
      <w:r w:rsidR="00061261">
        <w:rPr>
          <w:rFonts w:ascii="Times New Roman" w:eastAsia="Times New Roman" w:hAnsi="Times New Roman" w:cs="Times New Roman"/>
          <w:sz w:val="24"/>
          <w:szCs w:val="24"/>
        </w:rPr>
        <w:t>ó</w:t>
      </w:r>
      <w:r>
        <w:rPr>
          <w:rFonts w:ascii="Times New Roman" w:eastAsia="Times New Roman" w:hAnsi="Times New Roman" w:cs="Times New Roman"/>
          <w:sz w:val="24"/>
          <w:szCs w:val="24"/>
        </w:rPr>
        <w:t xml:space="preserve"> incrementos significativos</w:t>
      </w:r>
      <w:r w:rsidR="00560AA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Los aumentos, básicamente, correspond</w:t>
      </w:r>
      <w:r w:rsidR="00061261">
        <w:rPr>
          <w:rFonts w:ascii="Times New Roman" w:eastAsia="Times New Roman" w:hAnsi="Times New Roman" w:cs="Times New Roman"/>
          <w:sz w:val="24"/>
          <w:szCs w:val="24"/>
        </w:rPr>
        <w:t>ieron</w:t>
      </w:r>
      <w:r>
        <w:rPr>
          <w:rFonts w:ascii="Times New Roman" w:eastAsia="Times New Roman" w:hAnsi="Times New Roman" w:cs="Times New Roman"/>
          <w:sz w:val="24"/>
          <w:szCs w:val="24"/>
        </w:rPr>
        <w:t xml:space="preserve"> a los programas sociales que se ejercen vía la transferencia directa de recursos. Por ejemplo, para el 2024</w:t>
      </w:r>
      <w:r w:rsidR="00560AA2">
        <w:rPr>
          <w:rStyle w:val="Refdenotaalpie"/>
          <w:rFonts w:ascii="Times New Roman" w:eastAsia="Times New Roman" w:hAnsi="Times New Roman" w:cs="Times New Roman"/>
          <w:sz w:val="24"/>
          <w:szCs w:val="24"/>
        </w:rPr>
        <w:footnoteReference w:id="31"/>
      </w:r>
      <w:r>
        <w:rPr>
          <w:rFonts w:ascii="Times New Roman" w:eastAsia="Times New Roman" w:hAnsi="Times New Roman" w:cs="Times New Roman"/>
          <w:sz w:val="24"/>
          <w:szCs w:val="24"/>
        </w:rPr>
        <w:t>, el Anexo 13</w:t>
      </w:r>
      <w:r w:rsidR="0015776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contó con 419 mil millones 434 millones de pesos, de los cuales 398 mil 106 millones de pesos (el 94.9%) se concentraron en</w:t>
      </w:r>
      <w:r w:rsidR="006E0274">
        <w:rPr>
          <w:rFonts w:ascii="Times New Roman" w:eastAsia="Times New Roman" w:hAnsi="Times New Roman" w:cs="Times New Roman"/>
          <w:sz w:val="24"/>
          <w:szCs w:val="24"/>
        </w:rPr>
        <w:t xml:space="preserve"> los</w:t>
      </w:r>
      <w:r>
        <w:rPr>
          <w:rFonts w:ascii="Times New Roman" w:eastAsia="Times New Roman" w:hAnsi="Times New Roman" w:cs="Times New Roman"/>
          <w:sz w:val="24"/>
          <w:szCs w:val="24"/>
        </w:rPr>
        <w:t xml:space="preserve"> programas</w:t>
      </w:r>
      <w:r w:rsidR="006E0274">
        <w:rPr>
          <w:rFonts w:ascii="Times New Roman" w:eastAsia="Times New Roman" w:hAnsi="Times New Roman" w:cs="Times New Roman"/>
          <w:sz w:val="24"/>
          <w:szCs w:val="24"/>
        </w:rPr>
        <w:t xml:space="preserve"> insignia de este gobierno</w:t>
      </w:r>
      <w:r w:rsidR="00061261">
        <w:rPr>
          <w:rFonts w:ascii="Times New Roman" w:eastAsia="Times New Roman" w:hAnsi="Times New Roman" w:cs="Times New Roman"/>
          <w:sz w:val="24"/>
          <w:szCs w:val="24"/>
        </w:rPr>
        <w:t>, destacando</w:t>
      </w:r>
      <w:r w:rsidR="002223F4">
        <w:rPr>
          <w:rFonts w:ascii="Times New Roman" w:eastAsia="Times New Roman" w:hAnsi="Times New Roman" w:cs="Times New Roman"/>
          <w:sz w:val="24"/>
          <w:szCs w:val="24"/>
        </w:rPr>
        <w:t xml:space="preserve"> el </w:t>
      </w:r>
      <w:r>
        <w:rPr>
          <w:rFonts w:ascii="Times New Roman" w:eastAsia="Times New Roman" w:hAnsi="Times New Roman" w:cs="Times New Roman"/>
          <w:sz w:val="24"/>
          <w:szCs w:val="24"/>
        </w:rPr>
        <w:t>Programa Pensión para el Bienestar de las Personas Adultas Mayores</w:t>
      </w:r>
      <w:r w:rsidR="002223F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En los hechos, de los 28 ramos administrativos</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que conforman el Anexo 13, para el periodo 2018-2024, dieciocho presentaron una Tasa Media de Crecimiento Anual (TMCA) negativa</w:t>
      </w:r>
      <w:r w:rsidR="006E0274">
        <w:rPr>
          <w:rFonts w:ascii="Times New Roman" w:eastAsia="Times New Roman" w:hAnsi="Times New Roman" w:cs="Times New Roman"/>
          <w:sz w:val="24"/>
          <w:szCs w:val="24"/>
        </w:rPr>
        <w:t xml:space="preserve">. </w:t>
      </w:r>
    </w:p>
    <w:p w14:paraId="715BF2C0" w14:textId="77777777" w:rsidR="006E0274" w:rsidRDefault="006E0274">
      <w:pPr>
        <w:spacing w:line="240" w:lineRule="auto"/>
        <w:jc w:val="both"/>
        <w:rPr>
          <w:rFonts w:ascii="Times New Roman" w:eastAsia="Times New Roman" w:hAnsi="Times New Roman" w:cs="Times New Roman"/>
          <w:sz w:val="24"/>
          <w:szCs w:val="24"/>
        </w:rPr>
      </w:pPr>
    </w:p>
    <w:p w14:paraId="7B490140" w14:textId="3FBA3707" w:rsidR="00665CAE" w:rsidRDefault="00EF4153" w:rsidP="00E96616">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partir del 2025 se agregó el Ramo 54 Mujeres, correspondiente a la Secretaría de las Mujeres.  En </w:t>
      </w:r>
      <w:r w:rsidR="00BC4FDA">
        <w:rPr>
          <w:rFonts w:ascii="Times New Roman" w:eastAsia="Times New Roman" w:hAnsi="Times New Roman" w:cs="Times New Roman"/>
          <w:sz w:val="24"/>
          <w:szCs w:val="24"/>
        </w:rPr>
        <w:t>é</w:t>
      </w:r>
      <w:r>
        <w:rPr>
          <w:rFonts w:ascii="Times New Roman" w:eastAsia="Times New Roman" w:hAnsi="Times New Roman" w:cs="Times New Roman"/>
          <w:sz w:val="24"/>
          <w:szCs w:val="24"/>
        </w:rPr>
        <w:t>st</w:t>
      </w:r>
      <w:r w:rsidR="008A338F">
        <w:rPr>
          <w:rFonts w:ascii="Times New Roman" w:eastAsia="Times New Roman" w:hAnsi="Times New Roman" w:cs="Times New Roman"/>
          <w:sz w:val="24"/>
          <w:szCs w:val="24"/>
        </w:rPr>
        <w:t>e</w:t>
      </w:r>
      <w:r w:rsidR="00BC4FD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se fusionó al INMUJERES</w:t>
      </w:r>
      <w:r w:rsidR="00BC4FD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y a la CONAVIM.  En la descripción del </w:t>
      </w:r>
      <w:r w:rsidRPr="00E23CA4">
        <w:rPr>
          <w:rFonts w:ascii="Times New Roman" w:eastAsia="Times New Roman" w:hAnsi="Times New Roman" w:cs="Times New Roman"/>
          <w:sz w:val="24"/>
          <w:szCs w:val="24"/>
        </w:rPr>
        <w:t>Ramo 54 Mujeres</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se menciona que </w:t>
      </w:r>
      <w:r w:rsidR="00967F8C">
        <w:rPr>
          <w:rFonts w:ascii="Times New Roman" w:eastAsia="Times New Roman" w:hAnsi="Times New Roman" w:cs="Times New Roman"/>
          <w:sz w:val="24"/>
          <w:szCs w:val="24"/>
        </w:rPr>
        <w:t>el Programa para el Adelanto Bienestar e Igualdad de las Mujeres-</w:t>
      </w:r>
      <w:r>
        <w:rPr>
          <w:rFonts w:ascii="Times New Roman" w:eastAsia="Times New Roman" w:hAnsi="Times New Roman" w:cs="Times New Roman"/>
          <w:sz w:val="24"/>
          <w:szCs w:val="24"/>
        </w:rPr>
        <w:t xml:space="preserve">PAIBIM es una fusión del PROABIM (Programa que sustituyó al PFTPG) con el </w:t>
      </w:r>
      <w:r w:rsidR="00665CAE">
        <w:rPr>
          <w:rFonts w:ascii="Times New Roman" w:eastAsia="Times New Roman" w:hAnsi="Times New Roman" w:cs="Times New Roman"/>
          <w:sz w:val="24"/>
          <w:szCs w:val="24"/>
        </w:rPr>
        <w:t>Programa de Apoyo a las Instancias de las Mujeres en las Entidades Federativas (</w:t>
      </w:r>
      <w:r>
        <w:rPr>
          <w:rFonts w:ascii="Times New Roman" w:eastAsia="Times New Roman" w:hAnsi="Times New Roman" w:cs="Times New Roman"/>
          <w:sz w:val="24"/>
          <w:szCs w:val="24"/>
        </w:rPr>
        <w:t>PAIMEF</w:t>
      </w:r>
      <w:r w:rsidR="00665CAE">
        <w:rPr>
          <w:rFonts w:ascii="Times New Roman" w:eastAsia="Times New Roman" w:hAnsi="Times New Roman" w:cs="Times New Roman"/>
          <w:sz w:val="24"/>
          <w:szCs w:val="24"/>
        </w:rPr>
        <w:t>)</w:t>
      </w:r>
      <w:r w:rsidR="00967F8C">
        <w:rPr>
          <w:rFonts w:ascii="Times New Roman" w:eastAsia="Times New Roman" w:hAnsi="Times New Roman" w:cs="Times New Roman"/>
          <w:sz w:val="24"/>
          <w:szCs w:val="24"/>
        </w:rPr>
        <w:t xml:space="preserve">. </w:t>
      </w:r>
    </w:p>
    <w:p w14:paraId="0BA34264" w14:textId="77777777" w:rsidR="00E96616" w:rsidRDefault="00E96616" w:rsidP="00E96616">
      <w:pPr>
        <w:spacing w:line="240" w:lineRule="auto"/>
        <w:jc w:val="both"/>
        <w:rPr>
          <w:rFonts w:ascii="Times New Roman" w:eastAsia="Times New Roman" w:hAnsi="Times New Roman" w:cs="Times New Roman"/>
          <w:sz w:val="24"/>
          <w:szCs w:val="24"/>
        </w:rPr>
      </w:pPr>
    </w:p>
    <w:p w14:paraId="3FB1A1F5" w14:textId="7CD9C9B3" w:rsidR="00665CAE" w:rsidRDefault="00E96616" w:rsidP="00E966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80"/>
        <w:jc w:val="both"/>
        <w:rPr>
          <w:rFonts w:ascii="Times New Roman" w:eastAsia="Times New Roman" w:hAnsi="Times New Roman" w:cs="Times New Roman"/>
          <w:sz w:val="24"/>
          <w:szCs w:val="24"/>
        </w:rPr>
      </w:pPr>
      <w:r w:rsidRPr="00E96616">
        <w:rPr>
          <w:rFonts w:ascii="Times New Roman" w:eastAsia="Times New Roman" w:hAnsi="Times New Roman" w:cs="Times New Roman"/>
          <w:sz w:val="24"/>
          <w:szCs w:val="24"/>
        </w:rPr>
        <w:t>Es importante mencionar que, a través del PAIMEF</w:t>
      </w:r>
      <w:r w:rsidRPr="00E96616">
        <w:rPr>
          <w:rStyle w:val="Refdenotaalpie"/>
          <w:rFonts w:ascii="Times New Roman" w:eastAsia="Times New Roman" w:hAnsi="Times New Roman" w:cs="Times New Roman"/>
          <w:sz w:val="24"/>
          <w:szCs w:val="24"/>
        </w:rPr>
        <w:footnoteReference w:id="34"/>
      </w:r>
      <w:r w:rsidRPr="00E96616">
        <w:rPr>
          <w:rFonts w:ascii="Times New Roman" w:eastAsia="Times New Roman" w:hAnsi="Times New Roman" w:cs="Times New Roman"/>
          <w:sz w:val="24"/>
          <w:szCs w:val="24"/>
        </w:rPr>
        <w:t>, se brindaba apoyo financiero a 428 Unidades Locales de Atención a mujeres en situación de violencia en 32 entidades federativas, con una cobertura de 2,167 municipios.</w:t>
      </w:r>
      <w:r>
        <w:rPr>
          <w:rFonts w:ascii="Times New Roman" w:eastAsia="Times New Roman" w:hAnsi="Times New Roman" w:cs="Times New Roman"/>
          <w:sz w:val="24"/>
          <w:szCs w:val="24"/>
        </w:rPr>
        <w:t xml:space="preserve">  </w:t>
      </w:r>
    </w:p>
    <w:p w14:paraId="583D8FC2" w14:textId="77777777" w:rsidR="00E96616" w:rsidRDefault="00E96616" w:rsidP="00E96616">
      <w:pPr>
        <w:spacing w:line="240" w:lineRule="auto"/>
        <w:jc w:val="both"/>
        <w:rPr>
          <w:rFonts w:ascii="Times New Roman" w:eastAsia="Times New Roman" w:hAnsi="Times New Roman" w:cs="Times New Roman"/>
          <w:sz w:val="24"/>
          <w:szCs w:val="24"/>
        </w:rPr>
      </w:pPr>
    </w:p>
    <w:p w14:paraId="00000060" w14:textId="635F4095" w:rsidR="00DD133F" w:rsidRDefault="00EF4153" w:rsidP="00E96616">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w:t>
      </w:r>
      <w:r w:rsidR="00E23CA4">
        <w:rPr>
          <w:rFonts w:ascii="Times New Roman" w:eastAsia="Times New Roman" w:hAnsi="Times New Roman" w:cs="Times New Roman"/>
          <w:sz w:val="24"/>
          <w:szCs w:val="24"/>
        </w:rPr>
        <w:t xml:space="preserve">fusión o </w:t>
      </w:r>
      <w:r>
        <w:rPr>
          <w:rFonts w:ascii="Times New Roman" w:eastAsia="Times New Roman" w:hAnsi="Times New Roman" w:cs="Times New Roman"/>
          <w:sz w:val="24"/>
          <w:szCs w:val="24"/>
        </w:rPr>
        <w:t>eliminación de</w:t>
      </w:r>
      <w:r w:rsidR="00BD2919">
        <w:rPr>
          <w:rFonts w:ascii="Times New Roman" w:eastAsia="Times New Roman" w:hAnsi="Times New Roman" w:cs="Times New Roman"/>
          <w:sz w:val="24"/>
          <w:szCs w:val="24"/>
        </w:rPr>
        <w:t xml:space="preserve"> estos programas presupuestarios federales </w:t>
      </w:r>
      <w:r>
        <w:rPr>
          <w:rFonts w:ascii="Times New Roman" w:eastAsia="Times New Roman" w:hAnsi="Times New Roman" w:cs="Times New Roman"/>
          <w:sz w:val="24"/>
          <w:szCs w:val="24"/>
        </w:rPr>
        <w:t>tendrá una afectación</w:t>
      </w:r>
      <w:r w:rsidR="00BD2919">
        <w:rPr>
          <w:rFonts w:ascii="Times New Roman" w:eastAsia="Times New Roman" w:hAnsi="Times New Roman" w:cs="Times New Roman"/>
          <w:sz w:val="24"/>
          <w:szCs w:val="24"/>
        </w:rPr>
        <w:t xml:space="preserve"> importante</w:t>
      </w:r>
      <w:r>
        <w:rPr>
          <w:rFonts w:ascii="Times New Roman" w:eastAsia="Times New Roman" w:hAnsi="Times New Roman" w:cs="Times New Roman"/>
          <w:sz w:val="24"/>
          <w:szCs w:val="24"/>
        </w:rPr>
        <w:t xml:space="preserve">, sobre todo a la política de igualdad a nivel local, al cancelarles a las Instancias </w:t>
      </w:r>
      <w:r w:rsidR="00BD2919">
        <w:rPr>
          <w:rFonts w:ascii="Times New Roman" w:eastAsia="Times New Roman" w:hAnsi="Times New Roman" w:cs="Times New Roman"/>
          <w:sz w:val="24"/>
          <w:szCs w:val="24"/>
        </w:rPr>
        <w:t xml:space="preserve">Estatales y </w:t>
      </w:r>
      <w:r>
        <w:rPr>
          <w:rFonts w:ascii="Times New Roman" w:eastAsia="Times New Roman" w:hAnsi="Times New Roman" w:cs="Times New Roman"/>
          <w:sz w:val="24"/>
          <w:szCs w:val="24"/>
        </w:rPr>
        <w:t xml:space="preserve">Municipales de las Mujeres, la posibilidad de obtener recursos federales para el impulso al adelanto de las mujeres.  </w:t>
      </w:r>
    </w:p>
    <w:p w14:paraId="00000061" w14:textId="77777777" w:rsidR="00DD133F" w:rsidRDefault="00DD133F">
      <w:pPr>
        <w:spacing w:line="240" w:lineRule="auto"/>
        <w:jc w:val="both"/>
        <w:rPr>
          <w:rFonts w:ascii="Times New Roman" w:eastAsia="Times New Roman" w:hAnsi="Times New Roman" w:cs="Times New Roman"/>
          <w:sz w:val="24"/>
          <w:szCs w:val="24"/>
        </w:rPr>
      </w:pPr>
    </w:p>
    <w:p w14:paraId="00000062" w14:textId="77777777" w:rsidR="00DD133F" w:rsidRDefault="00DD133F">
      <w:pPr>
        <w:spacing w:line="240" w:lineRule="auto"/>
        <w:jc w:val="both"/>
        <w:rPr>
          <w:rFonts w:ascii="Times New Roman" w:eastAsia="Times New Roman" w:hAnsi="Times New Roman" w:cs="Times New Roman"/>
          <w:sz w:val="24"/>
          <w:szCs w:val="24"/>
        </w:rPr>
      </w:pPr>
    </w:p>
    <w:p w14:paraId="00000063" w14:textId="4160370B" w:rsidR="00DD133F" w:rsidRDefault="00EF4153" w:rsidP="00BE4C5F">
      <w:pPr>
        <w:pStyle w:val="Prrafodelist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b/>
          <w:i/>
          <w:color w:val="000000"/>
          <w:sz w:val="24"/>
          <w:szCs w:val="24"/>
        </w:rPr>
      </w:pPr>
      <w:r w:rsidRPr="00BE4C5F">
        <w:rPr>
          <w:rFonts w:ascii="Times New Roman" w:eastAsia="Times New Roman" w:hAnsi="Times New Roman" w:cs="Times New Roman"/>
          <w:b/>
          <w:i/>
          <w:color w:val="000000"/>
          <w:sz w:val="24"/>
          <w:szCs w:val="24"/>
        </w:rPr>
        <w:t xml:space="preserve">Violencia de género contra la Mujer. </w:t>
      </w:r>
    </w:p>
    <w:p w14:paraId="39C9B7C1" w14:textId="77777777" w:rsidR="00BE4C5F" w:rsidRPr="00BE4C5F" w:rsidRDefault="00BE4C5F" w:rsidP="00BE4C5F">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b/>
          <w:i/>
          <w:color w:val="000000"/>
          <w:sz w:val="24"/>
          <w:szCs w:val="24"/>
        </w:rPr>
      </w:pPr>
    </w:p>
    <w:p w14:paraId="20CC067A" w14:textId="519473D7" w:rsidR="00BE4C5F" w:rsidRPr="0059194F" w:rsidRDefault="00BE4C5F" w:rsidP="00BE4C5F">
      <w:pPr>
        <w:pStyle w:val="Prrafodelist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40" w:after="240" w:line="240" w:lineRule="auto"/>
        <w:jc w:val="both"/>
        <w:rPr>
          <w:rFonts w:ascii="Times New Roman" w:eastAsia="Times New Roman" w:hAnsi="Times New Roman" w:cs="Times New Roman"/>
          <w:i/>
          <w:iCs/>
          <w:color w:val="000000"/>
          <w:sz w:val="24"/>
          <w:szCs w:val="24"/>
        </w:rPr>
      </w:pPr>
      <w:r w:rsidRPr="0059194F">
        <w:rPr>
          <w:rFonts w:ascii="Times New Roman" w:eastAsia="Times New Roman" w:hAnsi="Times New Roman" w:cs="Times New Roman"/>
          <w:i/>
          <w:iCs/>
          <w:color w:val="000000"/>
          <w:sz w:val="24"/>
          <w:szCs w:val="24"/>
        </w:rPr>
        <w:t xml:space="preserve"> Recursos presupuestarios, su desaparición y riesgos</w:t>
      </w:r>
    </w:p>
    <w:p w14:paraId="0B499928" w14:textId="05F189A9" w:rsidR="00C212E1" w:rsidRDefault="00BE4C5F" w:rsidP="008B1F98">
      <w:pPr>
        <w:pBdr>
          <w:top w:val="nil"/>
          <w:left w:val="nil"/>
          <w:bottom w:val="nil"/>
          <w:right w:val="nil"/>
          <w:between w:val="nil"/>
        </w:pBdr>
        <w:spacing w:before="237" w:line="240" w:lineRule="auto"/>
        <w:ind w:right="-43"/>
        <w:jc w:val="both"/>
        <w:rPr>
          <w:rFonts w:ascii="Times New Roman" w:eastAsia="Times New Roman" w:hAnsi="Times New Roman" w:cs="Times New Roman"/>
          <w:sz w:val="24"/>
          <w:szCs w:val="24"/>
        </w:rPr>
      </w:pPr>
      <w:r w:rsidRPr="00BE4C5F">
        <w:rPr>
          <w:rFonts w:ascii="Times New Roman" w:hAnsi="Times New Roman" w:cs="Times New Roman"/>
          <w:color w:val="000000"/>
          <w:sz w:val="24"/>
          <w:szCs w:val="24"/>
        </w:rPr>
        <w:t xml:space="preserve">Para el año 2025 encontramos que nuevamente hubo un recorte significativo en los recursos destinados a combatir la violencia de género.  Pues el monto asignado en el Presupuesto de </w:t>
      </w:r>
      <w:r w:rsidRPr="00BE4C5F">
        <w:rPr>
          <w:rFonts w:ascii="Times New Roman" w:hAnsi="Times New Roman" w:cs="Times New Roman"/>
          <w:color w:val="000000"/>
          <w:sz w:val="24"/>
          <w:szCs w:val="24"/>
        </w:rPr>
        <w:lastRenderedPageBreak/>
        <w:t>Egresos de la Federación 2025</w:t>
      </w:r>
      <w:r w:rsidRPr="00BE4C5F">
        <w:rPr>
          <w:rFonts w:ascii="Times New Roman" w:hAnsi="Times New Roman" w:cs="Times New Roman"/>
          <w:vertAlign w:val="superscript"/>
        </w:rPr>
        <w:footnoteReference w:id="35"/>
      </w:r>
      <w:r w:rsidRPr="00BE4C5F">
        <w:rPr>
          <w:rFonts w:ascii="Times New Roman" w:hAnsi="Times New Roman" w:cs="Times New Roman"/>
          <w:color w:val="000000"/>
          <w:sz w:val="24"/>
          <w:szCs w:val="24"/>
        </w:rPr>
        <w:t xml:space="preserve"> con respecto al del ejercicio fiscal 2024</w:t>
      </w:r>
      <w:sdt>
        <w:sdtPr>
          <w:rPr>
            <w:rFonts w:ascii="Times New Roman" w:hAnsi="Times New Roman" w:cs="Times New Roman"/>
          </w:rPr>
          <w:tag w:val="goog_rdk_293"/>
          <w:id w:val="1893929294"/>
        </w:sdtPr>
        <w:sdtEndPr/>
        <w:sdtContent>
          <w:r w:rsidRPr="00BE4C5F">
            <w:rPr>
              <w:rFonts w:ascii="Times New Roman" w:hAnsi="Times New Roman" w:cs="Times New Roman"/>
              <w:vertAlign w:val="superscript"/>
            </w:rPr>
            <w:footnoteReference w:id="36"/>
          </w:r>
        </w:sdtContent>
      </w:sdt>
      <w:r w:rsidRPr="00BE4C5F">
        <w:rPr>
          <w:rFonts w:ascii="Times New Roman" w:hAnsi="Times New Roman" w:cs="Times New Roman"/>
          <w:color w:val="000000"/>
          <w:sz w:val="24"/>
          <w:szCs w:val="24"/>
        </w:rPr>
        <w:t>, para la promoción de la atención y prevención de la violencia contra la mujer disminuyó $56,032,969 millones de pesos, lo que equivale a una reducción de más del 15%.</w:t>
      </w:r>
      <w:r>
        <w:rPr>
          <w:rFonts w:ascii="Times New Roman" w:hAnsi="Times New Roman" w:cs="Times New Roman"/>
          <w:color w:val="000000"/>
          <w:sz w:val="24"/>
          <w:szCs w:val="24"/>
        </w:rPr>
        <w:t xml:space="preserve">  </w:t>
      </w:r>
      <w:r w:rsidR="008B1F98">
        <w:rPr>
          <w:rFonts w:ascii="Times New Roman" w:hAnsi="Times New Roman" w:cs="Times New Roman"/>
          <w:color w:val="000000"/>
          <w:sz w:val="24"/>
          <w:szCs w:val="24"/>
        </w:rPr>
        <w:t xml:space="preserve"> </w:t>
      </w:r>
      <w:r>
        <w:rPr>
          <w:rFonts w:ascii="Times New Roman" w:eastAsia="Times New Roman" w:hAnsi="Times New Roman" w:cs="Times New Roman"/>
          <w:sz w:val="24"/>
          <w:szCs w:val="24"/>
        </w:rPr>
        <w:t>Además, el Programa de Apoyo para Refugios Especializados para Mujeres Víctimas de Violencia de Género, se le asignaron 484 millones 740 mil pesos en el PEF 2025,</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xml:space="preserve"> $933 mil 088 pesos menos que en el ejercicio fiscal 2024.</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xml:space="preserve"> </w:t>
      </w:r>
    </w:p>
    <w:p w14:paraId="0A128C07" w14:textId="77777777" w:rsidR="008B1F98" w:rsidRDefault="008B1F9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80"/>
        <w:jc w:val="both"/>
        <w:rPr>
          <w:rFonts w:ascii="Times New Roman" w:eastAsia="Times New Roman" w:hAnsi="Times New Roman" w:cs="Times New Roman"/>
          <w:sz w:val="24"/>
          <w:szCs w:val="24"/>
        </w:rPr>
      </w:pPr>
    </w:p>
    <w:p w14:paraId="00000066" w14:textId="113DDFF3" w:rsidR="00DD133F" w:rsidRDefault="00BC365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Aunado a lo anterior, s</w:t>
      </w:r>
      <w:r w:rsidR="00BF2DB3">
        <w:rPr>
          <w:rFonts w:ascii="Times New Roman" w:eastAsia="Times New Roman" w:hAnsi="Times New Roman" w:cs="Times New Roman"/>
          <w:sz w:val="24"/>
          <w:szCs w:val="24"/>
        </w:rPr>
        <w:t>i bien, d</w:t>
      </w:r>
      <w:r>
        <w:rPr>
          <w:rFonts w:ascii="Times New Roman" w:eastAsia="Times New Roman" w:hAnsi="Times New Roman" w:cs="Times New Roman"/>
          <w:sz w:val="24"/>
          <w:szCs w:val="24"/>
        </w:rPr>
        <w:t>e enero de 2023 a junio de 2024 se designaron $1</w:t>
      </w:r>
      <w:r w:rsidR="00407CE3">
        <w:rPr>
          <w:rFonts w:ascii="Times New Roman" w:eastAsia="Times New Roman" w:hAnsi="Times New Roman" w:cs="Times New Roman"/>
          <w:sz w:val="24"/>
          <w:szCs w:val="24"/>
        </w:rPr>
        <w:t>,</w:t>
      </w:r>
      <w:r>
        <w:rPr>
          <w:rFonts w:ascii="Times New Roman" w:eastAsia="Times New Roman" w:hAnsi="Times New Roman" w:cs="Times New Roman"/>
          <w:sz w:val="24"/>
          <w:szCs w:val="24"/>
        </w:rPr>
        <w:t>118,585,742.59 en atención a 1,202 sentencias para reparación del daño,</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xml:space="preserve"> </w:t>
      </w:r>
      <w:r w:rsidR="00BF2DB3">
        <w:rPr>
          <w:rFonts w:ascii="Times New Roman" w:eastAsia="Times New Roman" w:hAnsi="Times New Roman" w:cs="Times New Roman"/>
          <w:sz w:val="24"/>
          <w:szCs w:val="24"/>
        </w:rPr>
        <w:t xml:space="preserve">se ha denunciado de forma recurrente </w:t>
      </w:r>
      <w:r>
        <w:rPr>
          <w:rFonts w:ascii="Times New Roman" w:eastAsia="Times New Roman" w:hAnsi="Times New Roman" w:cs="Times New Roman"/>
          <w:sz w:val="24"/>
          <w:szCs w:val="24"/>
        </w:rPr>
        <w:t>irregularidades y demoras.</w:t>
      </w:r>
      <w:r>
        <w:rPr>
          <w:rFonts w:ascii="Times New Roman" w:eastAsia="Times New Roman" w:hAnsi="Times New Roman" w:cs="Times New Roman"/>
          <w:sz w:val="24"/>
          <w:szCs w:val="24"/>
          <w:vertAlign w:val="superscript"/>
        </w:rPr>
        <w:footnoteReference w:id="40"/>
      </w:r>
      <w:r>
        <w:rPr>
          <w:rFonts w:ascii="Times New Roman" w:eastAsia="Times New Roman" w:hAnsi="Times New Roman" w:cs="Times New Roman"/>
          <w:sz w:val="24"/>
          <w:szCs w:val="24"/>
        </w:rPr>
        <w:t xml:space="preserve">  La desaparición del Fondo de Ayuda, Asistencia y Reparación Integral, profundiza los rezagos en esta materia.</w:t>
      </w:r>
    </w:p>
    <w:p w14:paraId="00000067" w14:textId="77777777" w:rsidR="00DD133F" w:rsidRDefault="00DD13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color w:val="000000"/>
          <w:sz w:val="24"/>
          <w:szCs w:val="24"/>
        </w:rPr>
      </w:pPr>
    </w:p>
    <w:p w14:paraId="2FEE1733" w14:textId="77777777" w:rsidR="008B1F98" w:rsidRDefault="008B1F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color w:val="000000"/>
          <w:sz w:val="24"/>
          <w:szCs w:val="24"/>
        </w:rPr>
      </w:pPr>
    </w:p>
    <w:p w14:paraId="00000068" w14:textId="1116A070" w:rsidR="00DD133F" w:rsidRPr="00D45F4B" w:rsidRDefault="00EF4153" w:rsidP="00D45F4B">
      <w:pPr>
        <w:pStyle w:val="Prrafodelist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b/>
          <w:i/>
          <w:color w:val="000000"/>
          <w:sz w:val="24"/>
          <w:szCs w:val="24"/>
        </w:rPr>
      </w:pPr>
      <w:r w:rsidRPr="00D45F4B">
        <w:rPr>
          <w:rFonts w:ascii="Times New Roman" w:eastAsia="Times New Roman" w:hAnsi="Times New Roman" w:cs="Times New Roman"/>
          <w:b/>
          <w:i/>
          <w:color w:val="000000"/>
          <w:sz w:val="24"/>
          <w:szCs w:val="24"/>
        </w:rPr>
        <w:t>Mujeres rurales</w:t>
      </w:r>
      <w:r w:rsidR="00E84D05">
        <w:rPr>
          <w:rFonts w:ascii="Times New Roman" w:eastAsia="Times New Roman" w:hAnsi="Times New Roman" w:cs="Times New Roman"/>
          <w:b/>
          <w:i/>
          <w:color w:val="000000"/>
          <w:sz w:val="24"/>
          <w:szCs w:val="24"/>
        </w:rPr>
        <w:t xml:space="preserve">, </w:t>
      </w:r>
      <w:r w:rsidRPr="00D45F4B">
        <w:rPr>
          <w:rFonts w:ascii="Times New Roman" w:eastAsia="Times New Roman" w:hAnsi="Times New Roman" w:cs="Times New Roman"/>
          <w:b/>
          <w:i/>
          <w:color w:val="000000"/>
          <w:sz w:val="24"/>
          <w:szCs w:val="24"/>
        </w:rPr>
        <w:t xml:space="preserve">afrodescendientes e indígenas. </w:t>
      </w:r>
    </w:p>
    <w:p w14:paraId="00000069" w14:textId="77777777" w:rsidR="00DD133F" w:rsidRDefault="00DD13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color w:val="000000"/>
          <w:sz w:val="24"/>
          <w:szCs w:val="24"/>
        </w:rPr>
      </w:pPr>
    </w:p>
    <w:p w14:paraId="0000006A" w14:textId="77777777" w:rsidR="00DD133F" w:rsidRDefault="00EF4153">
      <w:pPr>
        <w:spacing w:after="120" w:line="240" w:lineRule="auto"/>
        <w:ind w:right="-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Programa para el Bienestar Integral de los Pueblos Indígenas (PROBIPI) tuvo un incremento de 3.4% en el Anexo 13 Erogaciones para la igualdad entre Mujeres y Hombres, monto menor a la inflación para el periodo 2018-2024. En el mismo sentido, el recurso público para las 35 Casas de la Mujer Indígena y Afromexicana no ha tenido un aumento significativo en los últimos años, impactando en las vidas de las niñas y mujeres. </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w:t>
      </w:r>
    </w:p>
    <w:p w14:paraId="0000006B" w14:textId="6590A451" w:rsidR="00DD133F" w:rsidRDefault="00EF4153">
      <w:pPr>
        <w:spacing w:after="120" w:line="240" w:lineRule="auto"/>
        <w:ind w:right="-80"/>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El presupuesto asignado para el PROBIPI en la primera mitad del año, se utilizó mayormente en proyectos de infraestructura, desarrollo económico y turismo, y aunque en la mayoría de los casos el padrón de beneficiarios se compone mayoritariamente por mujeres, en los Proyectos Económicos con Impacto Comunitario y Regional los beneficiarios son predominantemente  hombres.</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xml:space="preserve"> </w:t>
      </w:r>
      <w:r w:rsidR="00F20B0F">
        <w:rPr>
          <w:rFonts w:ascii="Times New Roman" w:eastAsia="Times New Roman" w:hAnsi="Times New Roman" w:cs="Times New Roman"/>
          <w:sz w:val="24"/>
          <w:szCs w:val="24"/>
        </w:rPr>
        <w:t>A</w:t>
      </w:r>
      <w:r>
        <w:rPr>
          <w:rFonts w:ascii="Times New Roman" w:eastAsia="Times New Roman" w:hAnsi="Times New Roman" w:cs="Times New Roman"/>
          <w:sz w:val="24"/>
          <w:szCs w:val="24"/>
        </w:rPr>
        <w:t>sí mismo, las Promotorías Comunitarias Indígenas y Afromexicanas para el patrimonio cultural beneficiaron a más población masculina,</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xml:space="preserve"> </w:t>
      </w:r>
      <w:r w:rsidR="00F20B0F">
        <w:rPr>
          <w:rFonts w:ascii="Times New Roman" w:eastAsia="Times New Roman" w:hAnsi="Times New Roman" w:cs="Times New Roman"/>
          <w:sz w:val="24"/>
          <w:szCs w:val="24"/>
        </w:rPr>
        <w:t xml:space="preserve">y </w:t>
      </w:r>
      <w:r>
        <w:rPr>
          <w:rFonts w:ascii="Times New Roman" w:eastAsia="Times New Roman" w:hAnsi="Times New Roman" w:cs="Times New Roman"/>
          <w:sz w:val="24"/>
          <w:szCs w:val="24"/>
        </w:rPr>
        <w:t xml:space="preserve">no se publicó información sobre las acciones enfocadas a los derechos sexuales y reproductivos ni algún otro de género. </w:t>
      </w:r>
    </w:p>
    <w:p w14:paraId="0000006C" w14:textId="77777777" w:rsidR="00DD133F" w:rsidRDefault="00DD133F">
      <w:pPr>
        <w:pBdr>
          <w:top w:val="nil"/>
          <w:left w:val="nil"/>
          <w:bottom w:val="nil"/>
          <w:right w:val="nil"/>
          <w:between w:val="nil"/>
        </w:pBdr>
        <w:spacing w:line="240" w:lineRule="auto"/>
        <w:jc w:val="both"/>
        <w:rPr>
          <w:rFonts w:ascii="Times New Roman" w:eastAsia="Times New Roman" w:hAnsi="Times New Roman" w:cs="Times New Roman"/>
          <w:sz w:val="24"/>
          <w:szCs w:val="24"/>
        </w:rPr>
      </w:pPr>
    </w:p>
    <w:p w14:paraId="0000006D" w14:textId="444D2CCD" w:rsidR="00DD133F" w:rsidRPr="00D139BB" w:rsidRDefault="00EF4153" w:rsidP="00B120B4">
      <w:pPr>
        <w:pStyle w:val="Prrafodelista"/>
        <w:numPr>
          <w:ilvl w:val="0"/>
          <w:numId w:val="2"/>
        </w:numPr>
        <w:pBdr>
          <w:top w:val="nil"/>
          <w:left w:val="nil"/>
          <w:bottom w:val="nil"/>
          <w:right w:val="nil"/>
          <w:between w:val="nil"/>
        </w:pBdr>
        <w:spacing w:line="240" w:lineRule="auto"/>
        <w:jc w:val="both"/>
        <w:rPr>
          <w:rFonts w:ascii="Times New Roman" w:eastAsia="Times New Roman" w:hAnsi="Times New Roman" w:cs="Times New Roman"/>
          <w:b/>
          <w:iCs/>
          <w:sz w:val="24"/>
          <w:szCs w:val="24"/>
        </w:rPr>
      </w:pPr>
      <w:r w:rsidRPr="00D139BB">
        <w:rPr>
          <w:rFonts w:ascii="Times New Roman" w:eastAsia="Times New Roman" w:hAnsi="Times New Roman" w:cs="Times New Roman"/>
          <w:b/>
          <w:iCs/>
          <w:sz w:val="24"/>
          <w:szCs w:val="24"/>
        </w:rPr>
        <w:t>Conclusiones</w:t>
      </w:r>
    </w:p>
    <w:p w14:paraId="0000006E" w14:textId="77777777" w:rsidR="00DD133F" w:rsidRDefault="00DD133F">
      <w:pPr>
        <w:pBdr>
          <w:top w:val="nil"/>
          <w:left w:val="nil"/>
          <w:bottom w:val="nil"/>
          <w:right w:val="nil"/>
          <w:between w:val="nil"/>
        </w:pBdr>
        <w:spacing w:line="240" w:lineRule="auto"/>
        <w:jc w:val="both"/>
        <w:rPr>
          <w:rFonts w:ascii="Times New Roman" w:eastAsia="Times New Roman" w:hAnsi="Times New Roman" w:cs="Times New Roman"/>
          <w:sz w:val="24"/>
          <w:szCs w:val="24"/>
        </w:rPr>
      </w:pPr>
    </w:p>
    <w:sdt>
      <w:sdtPr>
        <w:tag w:val="goog_rdk_345"/>
        <w:id w:val="-1573494130"/>
      </w:sdtPr>
      <w:sdtEndPr>
        <w:rPr>
          <w:rFonts w:ascii="Times New Roman" w:hAnsi="Times New Roman" w:cs="Times New Roman"/>
          <w:sz w:val="24"/>
          <w:szCs w:val="24"/>
        </w:rPr>
      </w:sdtEndPr>
      <w:sdtContent>
        <w:p w14:paraId="4BBA04D6" w14:textId="12DC9A2D" w:rsidR="00D45F4B" w:rsidRPr="00867FB2" w:rsidRDefault="00850A94" w:rsidP="00867FB2">
          <w:pPr>
            <w:pBdr>
              <w:top w:val="nil"/>
              <w:left w:val="nil"/>
              <w:bottom w:val="nil"/>
              <w:right w:val="nil"/>
              <w:between w:val="nil"/>
            </w:pBdr>
            <w:spacing w:before="276" w:line="240" w:lineRule="auto"/>
            <w:ind w:right="-185"/>
            <w:jc w:val="both"/>
            <w:rPr>
              <w:rFonts w:ascii="Times New Roman" w:hAnsi="Times New Roman" w:cs="Times New Roman"/>
              <w:color w:val="000000"/>
              <w:sz w:val="24"/>
              <w:szCs w:val="24"/>
            </w:rPr>
          </w:pPr>
          <w:sdt>
            <w:sdtPr>
              <w:rPr>
                <w:rFonts w:ascii="Times New Roman" w:hAnsi="Times New Roman" w:cs="Times New Roman"/>
                <w:sz w:val="24"/>
                <w:szCs w:val="24"/>
              </w:rPr>
              <w:tag w:val="goog_rdk_341"/>
              <w:id w:val="-1731992678"/>
            </w:sdtPr>
            <w:sdtEndPr/>
            <w:sdtContent>
              <w:r w:rsidR="00D45F4B" w:rsidRPr="00867FB2">
                <w:rPr>
                  <w:rFonts w:ascii="Times New Roman" w:hAnsi="Times New Roman" w:cs="Times New Roman"/>
                  <w:sz w:val="24"/>
                  <w:szCs w:val="24"/>
                </w:rPr>
                <w:t>La reducción o eliminación de programas presupuestarios destinados a la igualdad de género y la no discriminación</w:t>
              </w:r>
              <w:r w:rsidR="00867FB2">
                <w:rPr>
                  <w:rFonts w:ascii="Times New Roman" w:hAnsi="Times New Roman" w:cs="Times New Roman"/>
                  <w:sz w:val="24"/>
                  <w:szCs w:val="24"/>
                </w:rPr>
                <w:t>,</w:t>
              </w:r>
              <w:r w:rsidR="00D45F4B" w:rsidRPr="00867FB2">
                <w:rPr>
                  <w:rFonts w:ascii="Times New Roman" w:hAnsi="Times New Roman" w:cs="Times New Roman"/>
                  <w:sz w:val="24"/>
                  <w:szCs w:val="24"/>
                </w:rPr>
                <w:t xml:space="preserve"> constituye una grave afectación a los derechos humanos de las mujeres y representa un incumplimiento de las obligaciones internacionales asumidas por México. En </w:t>
              </w:r>
              <w:r w:rsidR="00D45F4B" w:rsidRPr="00867FB2">
                <w:rPr>
                  <w:rFonts w:ascii="Times New Roman" w:hAnsi="Times New Roman" w:cs="Times New Roman"/>
                  <w:sz w:val="24"/>
                  <w:szCs w:val="24"/>
                </w:rPr>
                <w:lastRenderedPageBreak/>
                <w:t>particular, contraviene lo establecido en la Ley Federal de Presupuesto y Responsabilidad Hacendaria, que en su artículo 58 establece la irreductibilidad de los recursos destinados a la igualdad de género, la no discriminación y la no violencia</w:t>
              </w:r>
              <w:r w:rsidR="0011593B">
                <w:rPr>
                  <w:rStyle w:val="Refdenotaalpie"/>
                  <w:rFonts w:ascii="Times New Roman" w:hAnsi="Times New Roman" w:cs="Times New Roman"/>
                  <w:sz w:val="24"/>
                  <w:szCs w:val="24"/>
                </w:rPr>
                <w:footnoteReference w:id="44"/>
              </w:r>
            </w:sdtContent>
          </w:sdt>
          <w:r w:rsidR="00D45F4B" w:rsidRPr="00867FB2">
            <w:rPr>
              <w:rFonts w:ascii="Times New Roman" w:hAnsi="Times New Roman" w:cs="Times New Roman"/>
              <w:color w:val="000000"/>
              <w:sz w:val="24"/>
              <w:szCs w:val="24"/>
            </w:rPr>
            <w:t>.</w:t>
          </w:r>
          <w:r w:rsidR="00ED2FF8" w:rsidRPr="00ED2FF8">
            <w:rPr>
              <w:rFonts w:ascii="Times New Roman" w:hAnsi="Times New Roman" w:cs="Times New Roman"/>
              <w:sz w:val="24"/>
              <w:szCs w:val="24"/>
            </w:rPr>
            <w:t xml:space="preserve"> </w:t>
          </w:r>
          <w:sdt>
            <w:sdtPr>
              <w:rPr>
                <w:rFonts w:ascii="Times New Roman" w:hAnsi="Times New Roman" w:cs="Times New Roman"/>
                <w:sz w:val="24"/>
                <w:szCs w:val="24"/>
              </w:rPr>
              <w:tag w:val="goog_rdk_342"/>
              <w:id w:val="-96876198"/>
              <w:showingPlcHdr/>
            </w:sdtPr>
            <w:sdtEndPr/>
            <w:sdtContent>
              <w:r w:rsidR="0011593B">
                <w:rPr>
                  <w:rFonts w:ascii="Times New Roman" w:hAnsi="Times New Roman" w:cs="Times New Roman"/>
                  <w:sz w:val="24"/>
                  <w:szCs w:val="24"/>
                </w:rPr>
                <w:t xml:space="preserve">     </w:t>
              </w:r>
            </w:sdtContent>
          </w:sdt>
          <w:sdt>
            <w:sdtPr>
              <w:rPr>
                <w:rFonts w:ascii="Times New Roman" w:hAnsi="Times New Roman" w:cs="Times New Roman"/>
                <w:sz w:val="24"/>
                <w:szCs w:val="24"/>
              </w:rPr>
              <w:tag w:val="goog_rdk_343"/>
              <w:id w:val="1874571792"/>
              <w:showingPlcHdr/>
            </w:sdtPr>
            <w:sdtEndPr/>
            <w:sdtContent>
              <w:r w:rsidR="0011593B">
                <w:rPr>
                  <w:rFonts w:ascii="Times New Roman" w:hAnsi="Times New Roman" w:cs="Times New Roman"/>
                  <w:sz w:val="24"/>
                  <w:szCs w:val="24"/>
                </w:rPr>
                <w:t xml:space="preserve">     </w:t>
              </w:r>
            </w:sdtContent>
          </w:sdt>
          <w:r w:rsidR="00D45F4B" w:rsidRPr="00867FB2">
            <w:rPr>
              <w:rFonts w:ascii="Times New Roman" w:hAnsi="Times New Roman" w:cs="Times New Roman"/>
              <w:color w:val="000000"/>
              <w:sz w:val="24"/>
              <w:szCs w:val="24"/>
            </w:rPr>
            <w:t xml:space="preserve"> </w:t>
          </w:r>
          <w:sdt>
            <w:sdtPr>
              <w:rPr>
                <w:rFonts w:ascii="Times New Roman" w:hAnsi="Times New Roman" w:cs="Times New Roman"/>
                <w:sz w:val="24"/>
                <w:szCs w:val="24"/>
              </w:rPr>
              <w:tag w:val="goog_rdk_344"/>
              <w:id w:val="-2085591931"/>
            </w:sdtPr>
            <w:sdtEndPr/>
            <w:sdtContent>
              <w:r w:rsidR="00D45F4B" w:rsidRPr="00867FB2">
                <w:rPr>
                  <w:rFonts w:ascii="Times New Roman" w:hAnsi="Times New Roman" w:cs="Times New Roman"/>
                  <w:color w:val="000000"/>
                  <w:sz w:val="24"/>
                  <w:szCs w:val="24"/>
                </w:rPr>
                <w:t>Además, vulneran el principio de no regresividad en los derechos humanos, que busca garantizar avances y evitar retrocesos en la protección de los derechos de las mujeres.</w:t>
              </w:r>
            </w:sdtContent>
          </w:sdt>
        </w:p>
      </w:sdtContent>
    </w:sdt>
    <w:p w14:paraId="00000070" w14:textId="77777777" w:rsidR="00DD133F" w:rsidRDefault="00DD133F">
      <w:pPr>
        <w:spacing w:line="240" w:lineRule="auto"/>
        <w:jc w:val="both"/>
        <w:rPr>
          <w:rFonts w:ascii="Times New Roman" w:eastAsia="Times New Roman" w:hAnsi="Times New Roman" w:cs="Times New Roman"/>
          <w:sz w:val="24"/>
          <w:szCs w:val="24"/>
        </w:rPr>
      </w:pPr>
    </w:p>
    <w:p w14:paraId="00000071" w14:textId="1C6814C8" w:rsidR="00DD133F" w:rsidRPr="00867FB2" w:rsidRDefault="00D45F4B" w:rsidP="00867FB2">
      <w:pPr>
        <w:spacing w:line="240" w:lineRule="auto"/>
        <w:ind w:right="-185"/>
        <w:jc w:val="both"/>
        <w:rPr>
          <w:rFonts w:ascii="Times New Roman" w:eastAsia="Times New Roman" w:hAnsi="Times New Roman" w:cs="Times New Roman"/>
          <w:sz w:val="24"/>
          <w:szCs w:val="24"/>
        </w:rPr>
      </w:pPr>
      <w:r w:rsidRPr="00867FB2">
        <w:rPr>
          <w:rFonts w:ascii="Times New Roman" w:hAnsi="Times New Roman" w:cs="Times New Roman"/>
          <w:color w:val="000000"/>
          <w:sz w:val="24"/>
          <w:szCs w:val="24"/>
        </w:rPr>
        <w:t>El actual gobierno, al igual que su antecesor, ha priorizado las transferencias directas y las políticas asistenciales, en detrimento de la inversión en el avance de las mujeres, su empoderamiento político y económico, y la promoción de sus intereses estratégicos de género. Esta orientación ha debilitado la normativa y la capacidad financiera de los mecanismos para el adelanto de las mujeres (MAM), quienes han asumido nuevas responsabilidades sin contar con los recursos adecuados. En lugar de fortalecer su rectoría en las políticas de igualdad, se les ha dejado prácticamente solos frente a la problemática de la violencia de género y feminicida, enfrentando una sistemática reducción de recursos públicos, el impacto negativo de las políticas de austeridad en su operación cotidiana y la cancelación del acceso a recursos públicos por parte de las organizaciones de la sociedad civil (OSC).</w:t>
      </w:r>
      <w:r w:rsidRPr="00867FB2">
        <w:rPr>
          <w:rFonts w:ascii="Times New Roman" w:eastAsia="Times New Roman" w:hAnsi="Times New Roman" w:cs="Times New Roman"/>
          <w:sz w:val="24"/>
          <w:szCs w:val="24"/>
        </w:rPr>
        <w:t xml:space="preserve">  </w:t>
      </w:r>
    </w:p>
    <w:p w14:paraId="609466EB" w14:textId="77777777" w:rsidR="007E6968" w:rsidRDefault="007E6968">
      <w:pPr>
        <w:spacing w:line="240" w:lineRule="auto"/>
        <w:jc w:val="both"/>
        <w:rPr>
          <w:rFonts w:ascii="Times New Roman" w:hAnsi="Times New Roman" w:cs="Times New Roman"/>
          <w:color w:val="000000"/>
          <w:sz w:val="24"/>
          <w:szCs w:val="24"/>
        </w:rPr>
      </w:pPr>
    </w:p>
    <w:p w14:paraId="00000074" w14:textId="2C15A648" w:rsidR="00DD133F" w:rsidRPr="00867FB2" w:rsidRDefault="00D45F4B">
      <w:pPr>
        <w:spacing w:line="240" w:lineRule="auto"/>
        <w:jc w:val="both"/>
        <w:rPr>
          <w:rFonts w:ascii="Times New Roman" w:hAnsi="Times New Roman" w:cs="Times New Roman"/>
          <w:color w:val="000000"/>
          <w:sz w:val="24"/>
          <w:szCs w:val="24"/>
        </w:rPr>
      </w:pPr>
      <w:r w:rsidRPr="00867FB2">
        <w:rPr>
          <w:rFonts w:ascii="Times New Roman" w:hAnsi="Times New Roman" w:cs="Times New Roman"/>
          <w:color w:val="000000"/>
          <w:sz w:val="24"/>
          <w:szCs w:val="24"/>
        </w:rPr>
        <w:t xml:space="preserve">Para </w:t>
      </w:r>
      <w:r w:rsidRPr="00E84D05">
        <w:rPr>
          <w:rFonts w:ascii="Times New Roman" w:hAnsi="Times New Roman" w:cs="Times New Roman"/>
          <w:b/>
          <w:i/>
          <w:color w:val="000000"/>
          <w:sz w:val="24"/>
          <w:szCs w:val="24"/>
        </w:rPr>
        <w:t>Aliadas por la Igualdad y la No Violencia</w:t>
      </w:r>
      <w:r w:rsidRPr="00867FB2">
        <w:rPr>
          <w:rFonts w:ascii="Times New Roman" w:hAnsi="Times New Roman" w:cs="Times New Roman"/>
          <w:color w:val="000000"/>
          <w:sz w:val="24"/>
          <w:szCs w:val="24"/>
        </w:rPr>
        <w:t>, esta política representa un retroceso institucional que afecta directamente la protección y promoción de los derechos de las mujeres, marginando la intervención de otras secretarías de Estado en la atención de la violencia de género, y configurando una actuación secundaria de instituciones como Salud, Seguridad Pública, Fiscalías y Atención a Víctimas, contraria a la lógica de los mecanismos para el adelanto de las mujeres y a los compromisos internacionales asumidos por México, en particular, las Recomendaciones Generales No. 6 y No. 28 de la CEDAW</w:t>
      </w:r>
      <w:r w:rsidR="00E84D05">
        <w:rPr>
          <w:rFonts w:ascii="Times New Roman" w:hAnsi="Times New Roman" w:cs="Times New Roman"/>
          <w:color w:val="000000"/>
          <w:sz w:val="24"/>
          <w:szCs w:val="24"/>
        </w:rPr>
        <w:t>.</w:t>
      </w:r>
      <w:bookmarkStart w:id="0" w:name="_GoBack"/>
      <w:bookmarkEnd w:id="0"/>
    </w:p>
    <w:p w14:paraId="10003E1A" w14:textId="77777777" w:rsidR="00D45F4B" w:rsidRPr="00867FB2" w:rsidRDefault="00D45F4B">
      <w:pPr>
        <w:spacing w:line="240" w:lineRule="auto"/>
        <w:jc w:val="both"/>
        <w:rPr>
          <w:rFonts w:ascii="Times New Roman" w:eastAsia="Times New Roman" w:hAnsi="Times New Roman" w:cs="Times New Roman"/>
          <w:sz w:val="24"/>
          <w:szCs w:val="24"/>
        </w:rPr>
      </w:pPr>
    </w:p>
    <w:p w14:paraId="2693FB55" w14:textId="77777777" w:rsidR="00D45F4B" w:rsidRDefault="00D45F4B">
      <w:pPr>
        <w:spacing w:line="240" w:lineRule="auto"/>
        <w:jc w:val="both"/>
        <w:rPr>
          <w:rFonts w:ascii="Times New Roman" w:eastAsia="Times New Roman" w:hAnsi="Times New Roman" w:cs="Times New Roman"/>
          <w:sz w:val="24"/>
          <w:szCs w:val="24"/>
        </w:rPr>
      </w:pPr>
    </w:p>
    <w:p w14:paraId="323D6B5C" w14:textId="71D3B7B1" w:rsidR="00B120B4" w:rsidRPr="001845D7" w:rsidRDefault="00B120B4" w:rsidP="00B120B4">
      <w:pPr>
        <w:pStyle w:val="Prrafodelista"/>
        <w:numPr>
          <w:ilvl w:val="0"/>
          <w:numId w:val="2"/>
        </w:numPr>
        <w:spacing w:line="240" w:lineRule="auto"/>
        <w:jc w:val="both"/>
        <w:rPr>
          <w:rFonts w:ascii="Times New Roman" w:eastAsia="Times New Roman" w:hAnsi="Times New Roman" w:cs="Times New Roman"/>
          <w:b/>
          <w:bCs/>
          <w:sz w:val="24"/>
          <w:szCs w:val="24"/>
        </w:rPr>
      </w:pPr>
      <w:r w:rsidRPr="001845D7">
        <w:rPr>
          <w:rFonts w:ascii="Times New Roman" w:eastAsia="Times New Roman" w:hAnsi="Times New Roman" w:cs="Times New Roman"/>
          <w:b/>
          <w:bCs/>
          <w:sz w:val="24"/>
          <w:szCs w:val="24"/>
        </w:rPr>
        <w:t>Propuestas de Observaciones para la Emisión por Parte del Comité CEDAW.</w:t>
      </w:r>
    </w:p>
    <w:p w14:paraId="3776AEC7" w14:textId="77777777" w:rsidR="004D00BC" w:rsidRDefault="004D00BC" w:rsidP="00B120B4">
      <w:pPr>
        <w:spacing w:line="240" w:lineRule="auto"/>
        <w:jc w:val="both"/>
        <w:rPr>
          <w:rFonts w:ascii="Times New Roman" w:eastAsia="Times New Roman" w:hAnsi="Times New Roman" w:cs="Times New Roman"/>
          <w:sz w:val="24"/>
          <w:szCs w:val="24"/>
        </w:rPr>
      </w:pPr>
    </w:p>
    <w:p w14:paraId="2691BE45" w14:textId="12731D4C" w:rsidR="00B120B4" w:rsidRDefault="004D00BC" w:rsidP="00B120B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 la finalidad de fortalecer los presupuestos públicos con enfoque de género y avanzar con la implementación de políticas públicas que garanticen el </w:t>
      </w:r>
      <w:r w:rsidR="00B120B4">
        <w:rPr>
          <w:rFonts w:ascii="Times New Roman" w:eastAsia="Times New Roman" w:hAnsi="Times New Roman" w:cs="Times New Roman"/>
          <w:sz w:val="24"/>
          <w:szCs w:val="24"/>
        </w:rPr>
        <w:t>ejercicio de todos los derechos a las mujeres</w:t>
      </w:r>
      <w:sdt>
        <w:sdtPr>
          <w:tag w:val="goog_rdk_5"/>
          <w:id w:val="-348249353"/>
        </w:sdtPr>
        <w:sdtEndPr/>
        <w:sdtContent>
          <w:r w:rsidR="00B120B4">
            <w:rPr>
              <w:rFonts w:ascii="Times New Roman" w:eastAsia="Times New Roman" w:hAnsi="Times New Roman" w:cs="Times New Roman"/>
              <w:sz w:val="24"/>
              <w:szCs w:val="24"/>
            </w:rPr>
            <w:t xml:space="preserve"> en toda su diversidad</w:t>
          </w:r>
        </w:sdtContent>
      </w:sdt>
      <w:r w:rsidR="00B120B4">
        <w:rPr>
          <w:rFonts w:ascii="Times New Roman" w:eastAsia="Times New Roman" w:hAnsi="Times New Roman" w:cs="Times New Roman"/>
          <w:sz w:val="24"/>
          <w:szCs w:val="24"/>
        </w:rPr>
        <w:t xml:space="preserve">, y para transformar los entornos de discriminación y falta de acceso a la justicia a las sobrevivientes de violencia sexual, </w:t>
      </w:r>
      <w:r>
        <w:rPr>
          <w:rFonts w:ascii="Times New Roman" w:eastAsia="Times New Roman" w:hAnsi="Times New Roman" w:cs="Times New Roman"/>
          <w:sz w:val="24"/>
          <w:szCs w:val="24"/>
        </w:rPr>
        <w:t xml:space="preserve">Aliadas por la Igualdad y la No Violencia, </w:t>
      </w:r>
      <w:r w:rsidR="00B120B4">
        <w:rPr>
          <w:rFonts w:ascii="Times New Roman" w:eastAsia="Times New Roman" w:hAnsi="Times New Roman" w:cs="Times New Roman"/>
          <w:sz w:val="24"/>
          <w:szCs w:val="24"/>
        </w:rPr>
        <w:t xml:space="preserve">aporta al Comité de Expertas una serie de recomendaciones que identificamos como prioritarias para dirigir al Estado mexicano y que resumimos a continuación: </w:t>
      </w:r>
    </w:p>
    <w:p w14:paraId="403D1F74" w14:textId="77777777" w:rsidR="00B120B4" w:rsidRDefault="00B120B4" w:rsidP="00B120B4">
      <w:pPr>
        <w:spacing w:line="240" w:lineRule="auto"/>
        <w:jc w:val="both"/>
        <w:rPr>
          <w:rFonts w:ascii="Times New Roman" w:eastAsia="Times New Roman" w:hAnsi="Times New Roman" w:cs="Times New Roman"/>
          <w:sz w:val="24"/>
          <w:szCs w:val="24"/>
        </w:rPr>
      </w:pPr>
    </w:p>
    <w:p w14:paraId="03EC7C70" w14:textId="77777777" w:rsidR="00B120B4" w:rsidRDefault="00B120B4" w:rsidP="00B120B4">
      <w:pPr>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En materia de presupuestos con enfoque de género:  </w:t>
      </w:r>
    </w:p>
    <w:p w14:paraId="226E7941" w14:textId="77777777" w:rsidR="00B120B4" w:rsidRDefault="00B120B4" w:rsidP="00B120B4">
      <w:pPr>
        <w:spacing w:line="240" w:lineRule="auto"/>
        <w:jc w:val="both"/>
        <w:rPr>
          <w:rFonts w:ascii="Times New Roman" w:eastAsia="Times New Roman" w:hAnsi="Times New Roman" w:cs="Times New Roman"/>
          <w:sz w:val="24"/>
          <w:szCs w:val="24"/>
        </w:rPr>
      </w:pPr>
    </w:p>
    <w:sdt>
      <w:sdtPr>
        <w:tag w:val="goog_rdk_8"/>
        <w:id w:val="2001773957"/>
      </w:sdtPr>
      <w:sdtEndPr/>
      <w:sdtContent>
        <w:p w14:paraId="032E7EAB" w14:textId="77777777" w:rsidR="00B120B4" w:rsidRDefault="00850A94" w:rsidP="00B120B4">
          <w:pPr>
            <w:spacing w:line="240" w:lineRule="auto"/>
            <w:jc w:val="both"/>
            <w:rPr>
              <w:rFonts w:ascii="Times New Roman" w:eastAsia="Times New Roman" w:hAnsi="Times New Roman" w:cs="Times New Roman"/>
              <w:sz w:val="24"/>
              <w:szCs w:val="24"/>
            </w:rPr>
          </w:pPr>
          <w:sdt>
            <w:sdtPr>
              <w:tag w:val="goog_rdk_7"/>
              <w:id w:val="-1409768478"/>
            </w:sdtPr>
            <w:sdtEndPr/>
            <w:sdtContent>
              <w:r w:rsidR="00B120B4">
                <w:rPr>
                  <w:rFonts w:ascii="Times New Roman" w:eastAsia="Times New Roman" w:hAnsi="Times New Roman" w:cs="Times New Roman"/>
                  <w:sz w:val="24"/>
                  <w:szCs w:val="24"/>
                </w:rPr>
                <w:t xml:space="preserve">Adopte las medidas necesarias para revertir el desmantelamiento de la institucionalidad responsable de promover la igualdad de género y de los mecanismos para el adelanto de las mujeres, dotándolos de certeza jurídica, patrimonio propio, autonomía de gestión y presupuestos públicos suficientes. Estas condiciones deben asegurar su funcionamiento efectivo como instancias rectoras de la política en materia de igualdad sustantiva y de erradicación de la violencia contra las mujeres en los tres órdenes de gobierno. </w:t>
              </w:r>
            </w:sdtContent>
          </w:sdt>
        </w:p>
      </w:sdtContent>
    </w:sdt>
    <w:sdt>
      <w:sdtPr>
        <w:tag w:val="goog_rdk_10"/>
        <w:id w:val="194358770"/>
      </w:sdtPr>
      <w:sdtEndPr/>
      <w:sdtContent>
        <w:p w14:paraId="29BE279C" w14:textId="77777777" w:rsidR="00B120B4" w:rsidRDefault="00850A94" w:rsidP="00B120B4">
          <w:pPr>
            <w:spacing w:line="240" w:lineRule="auto"/>
            <w:jc w:val="both"/>
            <w:rPr>
              <w:rFonts w:ascii="Times New Roman" w:eastAsia="Times New Roman" w:hAnsi="Times New Roman" w:cs="Times New Roman"/>
              <w:sz w:val="24"/>
              <w:szCs w:val="24"/>
            </w:rPr>
          </w:pPr>
          <w:sdt>
            <w:sdtPr>
              <w:tag w:val="goog_rdk_9"/>
              <w:id w:val="871658740"/>
            </w:sdtPr>
            <w:sdtEndPr/>
            <w:sdtContent/>
          </w:sdt>
        </w:p>
      </w:sdtContent>
    </w:sdt>
    <w:p w14:paraId="7F025C12" w14:textId="77777777" w:rsidR="00B120B4" w:rsidRDefault="00850A94" w:rsidP="00B120B4">
      <w:pPr>
        <w:spacing w:line="240" w:lineRule="auto"/>
        <w:jc w:val="both"/>
        <w:rPr>
          <w:rFonts w:ascii="Times New Roman" w:eastAsia="Times New Roman" w:hAnsi="Times New Roman" w:cs="Times New Roman"/>
          <w:sz w:val="24"/>
          <w:szCs w:val="24"/>
        </w:rPr>
      </w:pPr>
      <w:sdt>
        <w:sdtPr>
          <w:tag w:val="goog_rdk_11"/>
          <w:id w:val="2120791080"/>
        </w:sdtPr>
        <w:sdtEndPr/>
        <w:sdtContent>
          <w:r w:rsidR="00B120B4">
            <w:rPr>
              <w:rFonts w:ascii="Times New Roman" w:eastAsia="Times New Roman" w:hAnsi="Times New Roman" w:cs="Times New Roman"/>
              <w:sz w:val="24"/>
              <w:szCs w:val="24"/>
            </w:rPr>
            <w:t xml:space="preserve">Garantice un incremento progresivo y sostenido del presupuesto destinado a programas estratégicos enfocados en la prevención, atención, sanción y reparación integral de las violencias, con especial atención a aquellas que afectan de forma desproporcionada a mujeres </w:t>
          </w:r>
          <w:r w:rsidR="00B120B4">
            <w:rPr>
              <w:rFonts w:ascii="Times New Roman" w:eastAsia="Times New Roman" w:hAnsi="Times New Roman" w:cs="Times New Roman"/>
              <w:sz w:val="24"/>
              <w:szCs w:val="24"/>
            </w:rPr>
            <w:lastRenderedPageBreak/>
            <w:t>indígenas, afrodescendientes, con discapacidad, rurales, migrantes, desplazadas internas y otras en situación de vulnerabilidad.</w:t>
          </w:r>
        </w:sdtContent>
      </w:sdt>
      <w:sdt>
        <w:sdtPr>
          <w:tag w:val="goog_rdk_12"/>
          <w:id w:val="-1201547473"/>
          <w:showingPlcHdr/>
        </w:sdtPr>
        <w:sdtEndPr/>
        <w:sdtContent>
          <w:r w:rsidR="00B120B4">
            <w:t xml:space="preserve">     </w:t>
          </w:r>
        </w:sdtContent>
      </w:sdt>
      <w:sdt>
        <w:sdtPr>
          <w:tag w:val="goog_rdk_13"/>
          <w:id w:val="-1330747440"/>
        </w:sdtPr>
        <w:sdtEndPr/>
        <w:sdtContent>
          <w:sdt>
            <w:sdtPr>
              <w:tag w:val="goog_rdk_14"/>
              <w:id w:val="-1983075790"/>
              <w:showingPlcHdr/>
            </w:sdtPr>
            <w:sdtEndPr/>
            <w:sdtContent>
              <w:r w:rsidR="00B120B4">
                <w:t xml:space="preserve">     </w:t>
              </w:r>
            </w:sdtContent>
          </w:sdt>
        </w:sdtContent>
      </w:sdt>
      <w:sdt>
        <w:sdtPr>
          <w:tag w:val="goog_rdk_15"/>
          <w:id w:val="7336266"/>
          <w:showingPlcHdr/>
        </w:sdtPr>
        <w:sdtEndPr/>
        <w:sdtContent>
          <w:r w:rsidR="00B120B4">
            <w:t xml:space="preserve">     </w:t>
          </w:r>
        </w:sdtContent>
      </w:sdt>
      <w:sdt>
        <w:sdtPr>
          <w:tag w:val="goog_rdk_16"/>
          <w:id w:val="1709837789"/>
        </w:sdtPr>
        <w:sdtEndPr/>
        <w:sdtContent>
          <w:sdt>
            <w:sdtPr>
              <w:tag w:val="goog_rdk_17"/>
              <w:id w:val="482673882"/>
              <w:showingPlcHdr/>
            </w:sdtPr>
            <w:sdtEndPr/>
            <w:sdtContent>
              <w:r w:rsidR="00B120B4">
                <w:t xml:space="preserve">     </w:t>
              </w:r>
            </w:sdtContent>
          </w:sdt>
        </w:sdtContent>
      </w:sdt>
      <w:sdt>
        <w:sdtPr>
          <w:tag w:val="goog_rdk_18"/>
          <w:id w:val="297275032"/>
          <w:showingPlcHdr/>
        </w:sdtPr>
        <w:sdtEndPr/>
        <w:sdtContent>
          <w:r w:rsidR="00B120B4">
            <w:t xml:space="preserve">     </w:t>
          </w:r>
        </w:sdtContent>
      </w:sdt>
      <w:sdt>
        <w:sdtPr>
          <w:tag w:val="goog_rdk_19"/>
          <w:id w:val="-879936235"/>
        </w:sdtPr>
        <w:sdtEndPr/>
        <w:sdtContent>
          <w:sdt>
            <w:sdtPr>
              <w:tag w:val="goog_rdk_20"/>
              <w:id w:val="959923579"/>
              <w:showingPlcHdr/>
            </w:sdtPr>
            <w:sdtEndPr/>
            <w:sdtContent>
              <w:r w:rsidR="00B120B4">
                <w:t xml:space="preserve">     </w:t>
              </w:r>
            </w:sdtContent>
          </w:sdt>
        </w:sdtContent>
      </w:sdt>
      <w:sdt>
        <w:sdtPr>
          <w:tag w:val="goog_rdk_21"/>
          <w:id w:val="-1272699342"/>
          <w:showingPlcHdr/>
        </w:sdtPr>
        <w:sdtEndPr/>
        <w:sdtContent>
          <w:r w:rsidR="00B120B4">
            <w:t xml:space="preserve">     </w:t>
          </w:r>
        </w:sdtContent>
      </w:sdt>
      <w:sdt>
        <w:sdtPr>
          <w:tag w:val="goog_rdk_22"/>
          <w:id w:val="-787427857"/>
        </w:sdtPr>
        <w:sdtEndPr/>
        <w:sdtContent>
          <w:sdt>
            <w:sdtPr>
              <w:tag w:val="goog_rdk_23"/>
              <w:id w:val="-1745718750"/>
              <w:showingPlcHdr/>
            </w:sdtPr>
            <w:sdtEndPr/>
            <w:sdtContent>
              <w:r w:rsidR="00B120B4">
                <w:t xml:space="preserve">     </w:t>
              </w:r>
            </w:sdtContent>
          </w:sdt>
          <w:r w:rsidR="00B120B4">
            <w:rPr>
              <w:rFonts w:ascii="Times New Roman" w:eastAsia="Times New Roman" w:hAnsi="Times New Roman" w:cs="Times New Roman"/>
              <w:sz w:val="24"/>
              <w:szCs w:val="24"/>
            </w:rPr>
            <w:t>.</w:t>
          </w:r>
        </w:sdtContent>
      </w:sdt>
    </w:p>
    <w:p w14:paraId="18930B90" w14:textId="77777777" w:rsidR="00B120B4" w:rsidRDefault="00B120B4" w:rsidP="00B120B4">
      <w:pPr>
        <w:spacing w:line="240" w:lineRule="auto"/>
        <w:jc w:val="both"/>
        <w:rPr>
          <w:rFonts w:ascii="Times New Roman" w:eastAsia="Times New Roman" w:hAnsi="Times New Roman" w:cs="Times New Roman"/>
          <w:sz w:val="24"/>
          <w:szCs w:val="24"/>
        </w:rPr>
      </w:pPr>
    </w:p>
    <w:p w14:paraId="5C2F51E0" w14:textId="77777777" w:rsidR="00B120B4" w:rsidRDefault="00B120B4" w:rsidP="00B120B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Disponga de medidas específicas y urgentes para detener y revertir el desfinanciamiento de la institucionalidad para la promoción de la igualdad sustantiva y para asegurar el incremento presupuestal progresivo de los programas para la prevención, atención, erradicación, sanción y reparación de las violencias contra las mujeres</w:t>
      </w:r>
      <w:sdt>
        <w:sdtPr>
          <w:tag w:val="goog_rdk_24"/>
          <w:id w:val="-1601719405"/>
        </w:sdtPr>
        <w:sdtEndPr/>
        <w:sdtContent>
          <w:r>
            <w:rPr>
              <w:rFonts w:ascii="Times New Roman" w:eastAsia="Times New Roman" w:hAnsi="Times New Roman" w:cs="Times New Roman"/>
              <w:sz w:val="24"/>
              <w:szCs w:val="24"/>
            </w:rPr>
            <w:t xml:space="preserve"> en toda su diversidad</w:t>
          </w:r>
        </w:sdtContent>
      </w:sdt>
      <w:r>
        <w:rPr>
          <w:rFonts w:ascii="Times New Roman" w:eastAsia="Times New Roman" w:hAnsi="Times New Roman" w:cs="Times New Roman"/>
          <w:sz w:val="24"/>
          <w:szCs w:val="24"/>
        </w:rPr>
        <w:t xml:space="preserve">. </w:t>
      </w:r>
    </w:p>
    <w:p w14:paraId="1E64F1EB" w14:textId="77777777" w:rsidR="00B120B4" w:rsidRDefault="00B120B4" w:rsidP="00B120B4">
      <w:pPr>
        <w:spacing w:line="240" w:lineRule="auto"/>
        <w:jc w:val="both"/>
        <w:rPr>
          <w:rFonts w:ascii="Times New Roman" w:eastAsia="Times New Roman" w:hAnsi="Times New Roman" w:cs="Times New Roman"/>
          <w:sz w:val="24"/>
          <w:szCs w:val="24"/>
        </w:rPr>
      </w:pPr>
    </w:p>
    <w:p w14:paraId="21A17B4C" w14:textId="77777777" w:rsidR="00B120B4" w:rsidRDefault="00B120B4" w:rsidP="00B120B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Desincorpore los programas sociales asistenciales del Anexo 13 y asegure la sostenibilidad financiera de aquellos programas presupuestarios diseñados para fortalecer la autonomía física, económica y política de las mujeres.</w:t>
      </w:r>
    </w:p>
    <w:p w14:paraId="4B03CB8E" w14:textId="1519E34D" w:rsidR="00B120B4" w:rsidRDefault="00850A94" w:rsidP="00B120B4">
      <w:pPr>
        <w:spacing w:before="280" w:after="280" w:line="240" w:lineRule="auto"/>
        <w:jc w:val="both"/>
        <w:rPr>
          <w:rFonts w:ascii="Times New Roman" w:eastAsia="Times New Roman" w:hAnsi="Times New Roman" w:cs="Times New Roman"/>
          <w:sz w:val="24"/>
          <w:szCs w:val="24"/>
        </w:rPr>
      </w:pPr>
      <w:sdt>
        <w:sdtPr>
          <w:tag w:val="goog_rdk_26"/>
          <w:id w:val="2127344101"/>
        </w:sdtPr>
        <w:sdtEndPr/>
        <w:sdtContent>
          <w:r w:rsidR="00B120B4">
            <w:rPr>
              <w:rFonts w:ascii="Times New Roman" w:eastAsia="Times New Roman" w:hAnsi="Times New Roman" w:cs="Times New Roman"/>
              <w:sz w:val="24"/>
              <w:szCs w:val="24"/>
            </w:rPr>
            <w:t>Desarrolle e implemente medidas específicas y verificables para garantizar el cumplimiento de los compromisos asumidos por el Estado mexicano en el marco de los tratados internacionales y regionales de derechos humanos de las mujeres, incluidos la Convención sobre la Eliminación de Todas las Formas de Discriminación contra la Mujer (CEDAW) y la Convención Interamericana para Prevenir, Sancionar y Erradicar la Violencia contra la Mujer (Convención de Belém do Pará), así como las recomendaciones emitidas por sus respectivos órganos de seguimiento —el Comité CEDAW y el Mecanismo de Seguimiento de la Convención de Belém do Pará (MESECVI). Estas medidas deben traducirse en acciones presupuestarias que</w:t>
          </w:r>
          <w:r w:rsidR="00E039D5">
            <w:rPr>
              <w:rFonts w:ascii="Times New Roman" w:eastAsia="Times New Roman" w:hAnsi="Times New Roman" w:cs="Times New Roman"/>
              <w:sz w:val="24"/>
              <w:szCs w:val="24"/>
            </w:rPr>
            <w:t xml:space="preserve"> favorezcan</w:t>
          </w:r>
          <w:r w:rsidR="00B120B4">
            <w:rPr>
              <w:rFonts w:ascii="Times New Roman" w:eastAsia="Times New Roman" w:hAnsi="Times New Roman" w:cs="Times New Roman"/>
              <w:sz w:val="24"/>
              <w:szCs w:val="24"/>
            </w:rPr>
            <w:t xml:space="preserve"> la implementación </w:t>
          </w:r>
          <w:r w:rsidR="00E039D5">
            <w:rPr>
              <w:rFonts w:ascii="Times New Roman" w:eastAsia="Times New Roman" w:hAnsi="Times New Roman" w:cs="Times New Roman"/>
              <w:sz w:val="24"/>
              <w:szCs w:val="24"/>
            </w:rPr>
            <w:t>d</w:t>
          </w:r>
          <w:r w:rsidR="00B120B4">
            <w:rPr>
              <w:rFonts w:ascii="Times New Roman" w:eastAsia="Times New Roman" w:hAnsi="Times New Roman" w:cs="Times New Roman"/>
              <w:sz w:val="24"/>
              <w:szCs w:val="24"/>
            </w:rPr>
            <w:t>el Programa Nacional para la Igualdad entre Mujeres y Hombres (PROIGUALDAD), el Programa Integral para Prevenir, Atender, Sancionar y Erradicar la Violencia contra las Mujeres, y el Programa Nacional de los Pueblos Indígenas, asegurando su sostenibilidad financiera y su enfoque interseccional.</w:t>
          </w:r>
        </w:sdtContent>
      </w:sdt>
      <w:sdt>
        <w:sdtPr>
          <w:tag w:val="goog_rdk_27"/>
          <w:id w:val="-30428600"/>
          <w:showingPlcHdr/>
        </w:sdtPr>
        <w:sdtEndPr/>
        <w:sdtContent>
          <w:r w:rsidR="00B120B4">
            <w:t xml:space="preserve">     </w:t>
          </w:r>
        </w:sdtContent>
      </w:sdt>
    </w:p>
    <w:p w14:paraId="6BA4E239" w14:textId="302321F4" w:rsidR="00B120B4" w:rsidRDefault="00B120B4" w:rsidP="00B120B4">
      <w:p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Adopte todas las medidas necesarias para dar cumplimiento a las observaciones finales emitidas por el Co</w:t>
      </w:r>
      <w:r w:rsidR="000222EC">
        <w:rPr>
          <w:rFonts w:ascii="Times New Roman" w:eastAsia="Times New Roman" w:hAnsi="Times New Roman" w:cs="Times New Roman"/>
          <w:sz w:val="24"/>
          <w:szCs w:val="24"/>
        </w:rPr>
        <w:t xml:space="preserve">mité </w:t>
      </w:r>
      <w:r>
        <w:rPr>
          <w:rFonts w:ascii="Times New Roman" w:eastAsia="Times New Roman" w:hAnsi="Times New Roman" w:cs="Times New Roman"/>
          <w:sz w:val="24"/>
          <w:szCs w:val="24"/>
        </w:rPr>
        <w:t>CEDAW en materia presupuestal.</w:t>
      </w:r>
    </w:p>
    <w:p w14:paraId="1A7C0BAC" w14:textId="77777777" w:rsidR="00B120B4" w:rsidRPr="00D139BB" w:rsidRDefault="00B120B4" w:rsidP="00B120B4">
      <w:pPr>
        <w:pBdr>
          <w:top w:val="nil"/>
          <w:left w:val="nil"/>
          <w:bottom w:val="nil"/>
          <w:right w:val="nil"/>
          <w:between w:val="nil"/>
        </w:pBdr>
        <w:spacing w:before="240" w:after="240" w:line="240" w:lineRule="auto"/>
        <w:jc w:val="both"/>
        <w:rPr>
          <w:rFonts w:ascii="Times New Roman" w:eastAsia="Times New Roman" w:hAnsi="Times New Roman" w:cs="Times New Roman"/>
          <w:b/>
          <w:i/>
          <w:iCs/>
          <w:sz w:val="24"/>
          <w:szCs w:val="24"/>
        </w:rPr>
      </w:pPr>
      <w:r w:rsidRPr="00D139BB">
        <w:rPr>
          <w:rFonts w:ascii="Times New Roman" w:eastAsia="Times New Roman" w:hAnsi="Times New Roman" w:cs="Times New Roman"/>
          <w:b/>
          <w:i/>
          <w:iCs/>
          <w:sz w:val="24"/>
          <w:szCs w:val="24"/>
        </w:rPr>
        <w:t>En materia de Consentimiento y Violencia sexual</w:t>
      </w:r>
    </w:p>
    <w:p w14:paraId="23D88699" w14:textId="77777777" w:rsidR="00B120B4" w:rsidRPr="004E2140" w:rsidRDefault="00850A94" w:rsidP="00B120B4">
      <w:pPr>
        <w:pBdr>
          <w:top w:val="nil"/>
          <w:left w:val="nil"/>
          <w:bottom w:val="nil"/>
          <w:right w:val="nil"/>
          <w:between w:val="nil"/>
        </w:pBdr>
        <w:spacing w:line="240" w:lineRule="auto"/>
        <w:jc w:val="both"/>
        <w:rPr>
          <w:rFonts w:ascii="Times New Roman" w:eastAsia="Times New Roman" w:hAnsi="Times New Roman" w:cs="Times New Roman"/>
          <w:sz w:val="24"/>
          <w:szCs w:val="24"/>
        </w:rPr>
      </w:pPr>
      <w:sdt>
        <w:sdtPr>
          <w:rPr>
            <w:rFonts w:ascii="Times New Roman" w:hAnsi="Times New Roman" w:cs="Times New Roman"/>
            <w:sz w:val="24"/>
            <w:szCs w:val="24"/>
          </w:rPr>
          <w:tag w:val="goog_rdk_29"/>
          <w:id w:val="-979924479"/>
        </w:sdtPr>
        <w:sdtEndPr/>
        <w:sdtContent>
          <w:r w:rsidR="00B120B4" w:rsidRPr="004E2140">
            <w:rPr>
              <w:rFonts w:ascii="Times New Roman" w:eastAsia="Times New Roman" w:hAnsi="Times New Roman" w:cs="Times New Roman"/>
              <w:sz w:val="24"/>
              <w:szCs w:val="24"/>
            </w:rPr>
            <w:t xml:space="preserve">Adopte las reformas legislativas necesarias para armonizar los códigos penales, tanto a nivel federal como estatal, con los estándares internacionales y regionales de derechos humanos en materia de violencia sexual, particularmente en relación con la definición del delito de violación. Estas reformas deben reconocer que el consentimiento debe ser libre, voluntario, informado, reversible y manifestado sin coerción ni abuso de poder, conforme a las recomendaciones del Comité CEDAW, el Mecanismo de Seguimiento de la Convención de Belém do Pará (MESECVI), y a los lineamientos desarrollados por organismos especializados como </w:t>
          </w:r>
          <w:proofErr w:type="spellStart"/>
          <w:r w:rsidR="00B120B4" w:rsidRPr="004E2140">
            <w:rPr>
              <w:rFonts w:ascii="Times New Roman" w:eastAsia="Times New Roman" w:hAnsi="Times New Roman" w:cs="Times New Roman"/>
              <w:sz w:val="24"/>
              <w:szCs w:val="24"/>
            </w:rPr>
            <w:t>Equality</w:t>
          </w:r>
          <w:proofErr w:type="spellEnd"/>
          <w:r w:rsidR="00B120B4" w:rsidRPr="004E2140">
            <w:rPr>
              <w:rFonts w:ascii="Times New Roman" w:eastAsia="Times New Roman" w:hAnsi="Times New Roman" w:cs="Times New Roman"/>
              <w:sz w:val="24"/>
              <w:szCs w:val="24"/>
            </w:rPr>
            <w:t xml:space="preserve"> </w:t>
          </w:r>
          <w:proofErr w:type="spellStart"/>
          <w:r w:rsidR="00B120B4" w:rsidRPr="004E2140">
            <w:rPr>
              <w:rFonts w:ascii="Times New Roman" w:eastAsia="Times New Roman" w:hAnsi="Times New Roman" w:cs="Times New Roman"/>
              <w:sz w:val="24"/>
              <w:szCs w:val="24"/>
            </w:rPr>
            <w:t>Now</w:t>
          </w:r>
          <w:proofErr w:type="spellEnd"/>
          <w:r w:rsidR="00B120B4" w:rsidRPr="004E2140">
            <w:rPr>
              <w:rFonts w:ascii="Times New Roman" w:eastAsia="Times New Roman" w:hAnsi="Times New Roman" w:cs="Times New Roman"/>
              <w:sz w:val="24"/>
              <w:szCs w:val="24"/>
            </w:rPr>
            <w:t xml:space="preserve">, </w:t>
          </w:r>
          <w:proofErr w:type="spellStart"/>
          <w:r w:rsidR="00B120B4" w:rsidRPr="004E2140">
            <w:rPr>
              <w:rFonts w:ascii="Times New Roman" w:eastAsia="Times New Roman" w:hAnsi="Times New Roman" w:cs="Times New Roman"/>
              <w:sz w:val="24"/>
              <w:szCs w:val="24"/>
            </w:rPr>
            <w:t>ParlAmericas</w:t>
          </w:r>
          <w:proofErr w:type="spellEnd"/>
          <w:r w:rsidR="00B120B4" w:rsidRPr="004E2140">
            <w:rPr>
              <w:rFonts w:ascii="Times New Roman" w:eastAsia="Times New Roman" w:hAnsi="Times New Roman" w:cs="Times New Roman"/>
              <w:sz w:val="24"/>
              <w:szCs w:val="24"/>
            </w:rPr>
            <w:t xml:space="preserve"> y UFEM (Unidad Fiscal Especializada en Violencia contra las Mujeres). Debe eliminarse la exigencia de prueba de resistencia física como indicador de falta de consentimiento y contemplarse una amplia gama de circunstancias coercitivas —incluidos el miedo, amenazas, relaciones de poder, uso de sustancias o incapacidad cognitiva— que anulan el consentimiento. Asimismo, urge eliminar el delito de estupro, por reforzar estereotipos de género nocivos y limitar el acceso a la justicia para adolescentes.</w:t>
          </w:r>
        </w:sdtContent>
      </w:sdt>
      <w:sdt>
        <w:sdtPr>
          <w:rPr>
            <w:rFonts w:ascii="Times New Roman" w:hAnsi="Times New Roman" w:cs="Times New Roman"/>
            <w:sz w:val="24"/>
            <w:szCs w:val="24"/>
          </w:rPr>
          <w:tag w:val="goog_rdk_30"/>
          <w:id w:val="-1269241894"/>
          <w:showingPlcHdr/>
        </w:sdtPr>
        <w:sdtEndPr/>
        <w:sdtContent>
          <w:r w:rsidR="00B120B4" w:rsidRPr="004E2140">
            <w:rPr>
              <w:rFonts w:ascii="Times New Roman" w:hAnsi="Times New Roman" w:cs="Times New Roman"/>
              <w:sz w:val="24"/>
              <w:szCs w:val="24"/>
            </w:rPr>
            <w:t xml:space="preserve">     </w:t>
          </w:r>
        </w:sdtContent>
      </w:sdt>
    </w:p>
    <w:p w14:paraId="44B06F80" w14:textId="77777777" w:rsidR="00B120B4" w:rsidRDefault="00B120B4" w:rsidP="00B120B4">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14:paraId="3FB26C20" w14:textId="77777777" w:rsidR="00B120B4" w:rsidRDefault="00B120B4" w:rsidP="00B120B4">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Modifique los códigos penales para garantizar el enjuiciamiento de oficio (público) de todos los delitos de violencia sexual y que los procedimientos puedan continuar incluso si la víctima o su tutor legal han retirado su acusación o declaración y abolir el requisito de que la víctima o su tutor legal tenga que iniciar un proceso penal (acusación pública privada).</w:t>
      </w:r>
    </w:p>
    <w:p w14:paraId="3AEACD4F" w14:textId="77777777" w:rsidR="00B120B4" w:rsidRDefault="00B120B4" w:rsidP="00B120B4">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14:paraId="5CD326B1" w14:textId="77777777" w:rsidR="00B120B4" w:rsidRDefault="00850A94" w:rsidP="00B120B4">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sdt>
        <w:sdtPr>
          <w:tag w:val="goog_rdk_32"/>
          <w:id w:val="-74361864"/>
        </w:sdtPr>
        <w:sdtEndPr/>
        <w:sdtContent>
          <w:r w:rsidR="00B120B4">
            <w:rPr>
              <w:rFonts w:ascii="Times New Roman" w:eastAsia="Times New Roman" w:hAnsi="Times New Roman" w:cs="Times New Roman"/>
              <w:color w:val="000000"/>
              <w:sz w:val="24"/>
              <w:szCs w:val="24"/>
            </w:rPr>
            <w:t xml:space="preserve">Adopte medidas que aseguren que las investigaciones y procesos relacionados con violencia sexual incorporen un enfoque interseccional, intercultural y de género, tal como recomiendan el </w:t>
          </w:r>
          <w:proofErr w:type="spellStart"/>
          <w:r w:rsidR="00B120B4">
            <w:rPr>
              <w:rFonts w:ascii="Times New Roman" w:eastAsia="Times New Roman" w:hAnsi="Times New Roman" w:cs="Times New Roman"/>
              <w:color w:val="000000"/>
              <w:sz w:val="24"/>
              <w:szCs w:val="24"/>
            </w:rPr>
            <w:t>CoCEDAW</w:t>
          </w:r>
          <w:proofErr w:type="spellEnd"/>
          <w:r w:rsidR="00B120B4">
            <w:rPr>
              <w:rFonts w:ascii="Times New Roman" w:eastAsia="Times New Roman" w:hAnsi="Times New Roman" w:cs="Times New Roman"/>
              <w:color w:val="000000"/>
              <w:sz w:val="24"/>
              <w:szCs w:val="24"/>
            </w:rPr>
            <w:t xml:space="preserve"> y el MESECVI, considerando las múltiples formas de discriminación que enfrentan mujeres y niñas indígenas, afrodescendientes, con discapacidad, migrantes, privadas de libertad, desplazadas y otras en situación de vulnerabilidad. Esto implica la capacitación continua y obligatoria a todos los operadores de justicia —fiscalías, defensores, jueces y peritos— según los estándares de debida diligencia reforzada y buenas prácticas.</w:t>
          </w:r>
        </w:sdtContent>
      </w:sdt>
      <w:sdt>
        <w:sdtPr>
          <w:tag w:val="goog_rdk_33"/>
          <w:id w:val="-1313177357"/>
          <w:showingPlcHdr/>
        </w:sdtPr>
        <w:sdtEndPr/>
        <w:sdtContent>
          <w:r w:rsidR="00B120B4">
            <w:t xml:space="preserve">     </w:t>
          </w:r>
        </w:sdtContent>
      </w:sdt>
    </w:p>
    <w:p w14:paraId="2B8029B8" w14:textId="77777777" w:rsidR="00B120B4" w:rsidRDefault="00B120B4" w:rsidP="00B120B4">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14:paraId="6ECD5461" w14:textId="77777777" w:rsidR="00B120B4" w:rsidRDefault="00B120B4" w:rsidP="00B120B4">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Asegure la sostenibilidad y recursos públicos suficientes para instrumentar las políticas públicas que se derivan de la Ley General de Víctimas y de la Norma Oficial Mexicana NOM-046-SSA2-2005, sobre la violencia familiar, sexual y contra las mujeres; y fortalezca las condiciones laborales y los programas de capacitación al personal médico para que pueda ofrecer atención especializada a las mujeres y las niñas víctimas de la violencia sexual, lo que comprende la prestación de servicios esenciales de anticoncepción de emergencia, profilaxis y aborto.</w:t>
      </w:r>
    </w:p>
    <w:p w14:paraId="28A394D7" w14:textId="77777777" w:rsidR="00B120B4" w:rsidRDefault="00B120B4">
      <w:pPr>
        <w:spacing w:line="240" w:lineRule="auto"/>
        <w:jc w:val="both"/>
        <w:rPr>
          <w:rFonts w:ascii="Times New Roman" w:eastAsia="Times New Roman" w:hAnsi="Times New Roman" w:cs="Times New Roman"/>
          <w:sz w:val="24"/>
          <w:szCs w:val="24"/>
        </w:rPr>
      </w:pPr>
    </w:p>
    <w:sectPr w:rsidR="00B120B4">
      <w:headerReference w:type="default" r:id="rId11"/>
      <w:footerReference w:type="even" r:id="rId12"/>
      <w:footerReference w:type="default" r:id="rId13"/>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9881F0" w14:textId="77777777" w:rsidR="00850A94" w:rsidRDefault="00850A94">
      <w:pPr>
        <w:spacing w:line="240" w:lineRule="auto"/>
      </w:pPr>
      <w:r>
        <w:separator/>
      </w:r>
    </w:p>
  </w:endnote>
  <w:endnote w:type="continuationSeparator" w:id="0">
    <w:p w14:paraId="270391A1" w14:textId="77777777" w:rsidR="00850A94" w:rsidRDefault="00850A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FA82874B-1474-46D0-8456-33C982C3D3E3}"/>
  </w:font>
  <w:font w:name="Calibri">
    <w:panose1 w:val="020F0502020204030204"/>
    <w:charset w:val="00"/>
    <w:family w:val="swiss"/>
    <w:pitch w:val="variable"/>
    <w:sig w:usb0="E4002EFF" w:usb1="C200247B" w:usb2="00000009" w:usb3="00000000" w:csb0="000001FF" w:csb1="00000000"/>
    <w:embedRegular r:id="rId2" w:fontKey="{BE335FA5-2AC5-4C4F-9D0A-B762E1109A1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9C" w14:textId="77777777" w:rsidR="00DD133F" w:rsidRDefault="00EF4153">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end"/>
    </w:r>
  </w:p>
  <w:p w14:paraId="0000009D" w14:textId="77777777" w:rsidR="00DD133F" w:rsidRDefault="00DD133F">
    <w:pPr>
      <w:pBdr>
        <w:top w:val="nil"/>
        <w:left w:val="nil"/>
        <w:bottom w:val="nil"/>
        <w:right w:val="nil"/>
        <w:between w:val="nil"/>
      </w:pBdr>
      <w:tabs>
        <w:tab w:val="center" w:pos="4680"/>
        <w:tab w:val="right" w:pos="9360"/>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9E" w14:textId="413D80EE" w:rsidR="00DD133F" w:rsidRDefault="00EF4153">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725D1C">
      <w:rPr>
        <w:noProof/>
        <w:color w:val="000000"/>
      </w:rPr>
      <w:t>1</w:t>
    </w:r>
    <w:r>
      <w:rPr>
        <w:color w:val="000000"/>
      </w:rPr>
      <w:fldChar w:fldCharType="end"/>
    </w:r>
  </w:p>
  <w:p w14:paraId="0000009F" w14:textId="77777777" w:rsidR="00DD133F" w:rsidRDefault="00EF41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eastAsia="Times New Roman" w:hAnsi="Times New Roman" w:cs="Times New Roman"/>
        <w:sz w:val="20"/>
        <w:szCs w:val="20"/>
      </w:rPr>
    </w:pPr>
    <w:r>
      <w:rPr>
        <w:noProof/>
      </w:rPr>
      <w:drawing>
        <wp:anchor distT="0" distB="0" distL="0" distR="0" simplePos="0" relativeHeight="251660288" behindDoc="1" locked="0" layoutInCell="1" hidden="0" allowOverlap="1" wp14:anchorId="62177738" wp14:editId="39458971">
          <wp:simplePos x="0" y="0"/>
          <wp:positionH relativeFrom="column">
            <wp:posOffset>1</wp:posOffset>
          </wp:positionH>
          <wp:positionV relativeFrom="paragraph">
            <wp:posOffset>-292730</wp:posOffset>
          </wp:positionV>
          <wp:extent cx="5603240" cy="508000"/>
          <wp:effectExtent l="0" t="0" r="0" b="0"/>
          <wp:wrapNone/>
          <wp:docPr id="212406237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5603240" cy="508000"/>
                  </a:xfrm>
                  <a:prstGeom prst="rect">
                    <a:avLst/>
                  </a:prstGeom>
                  <a:ln/>
                </pic:spPr>
              </pic:pic>
            </a:graphicData>
          </a:graphic>
        </wp:anchor>
      </w:drawing>
    </w:r>
  </w:p>
  <w:p w14:paraId="000000A0" w14:textId="77777777" w:rsidR="00DD133F" w:rsidRDefault="00DD133F">
    <w:pPr>
      <w:pBdr>
        <w:top w:val="nil"/>
        <w:left w:val="nil"/>
        <w:bottom w:val="nil"/>
        <w:right w:val="nil"/>
        <w:between w:val="nil"/>
      </w:pBdr>
      <w:tabs>
        <w:tab w:val="center" w:pos="4680"/>
        <w:tab w:val="right" w:pos="9360"/>
      </w:tabs>
      <w:spacing w:line="240" w:lineRule="auto"/>
      <w:ind w:right="360"/>
      <w:rPr>
        <w:rFonts w:ascii="Times New Roman" w:eastAsia="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E2EFB0" w14:textId="77777777" w:rsidR="00850A94" w:rsidRDefault="00850A94">
      <w:pPr>
        <w:spacing w:line="240" w:lineRule="auto"/>
      </w:pPr>
      <w:r>
        <w:separator/>
      </w:r>
    </w:p>
  </w:footnote>
  <w:footnote w:type="continuationSeparator" w:id="0">
    <w:p w14:paraId="1A374864" w14:textId="77777777" w:rsidR="00850A94" w:rsidRDefault="00850A94">
      <w:pPr>
        <w:spacing w:line="240" w:lineRule="auto"/>
      </w:pPr>
      <w:r>
        <w:continuationSeparator/>
      </w:r>
    </w:p>
  </w:footnote>
  <w:footnote w:id="1">
    <w:p w14:paraId="00000078" w14:textId="0C61A52F" w:rsidR="00DD133F" w:rsidRPr="00B120B4" w:rsidRDefault="00EF4153" w:rsidP="00B120B4">
      <w:pPr>
        <w:pBdr>
          <w:top w:val="nil"/>
          <w:left w:val="nil"/>
          <w:bottom w:val="nil"/>
          <w:right w:val="nil"/>
          <w:between w:val="nil"/>
        </w:pBdr>
        <w:spacing w:line="240" w:lineRule="auto"/>
        <w:jc w:val="both"/>
        <w:rPr>
          <w:rFonts w:ascii="Times New Roman" w:eastAsia="Times New Roman" w:hAnsi="Times New Roman" w:cs="Times New Roman"/>
          <w:color w:val="000000"/>
          <w:sz w:val="16"/>
          <w:szCs w:val="16"/>
        </w:rPr>
      </w:pPr>
      <w:r w:rsidRPr="00B120B4">
        <w:rPr>
          <w:rFonts w:ascii="Times New Roman" w:hAnsi="Times New Roman" w:cs="Times New Roman"/>
          <w:sz w:val="16"/>
          <w:szCs w:val="16"/>
          <w:vertAlign w:val="superscript"/>
        </w:rPr>
        <w:footnoteRef/>
      </w:r>
      <w:r w:rsidRPr="00B120B4">
        <w:rPr>
          <w:rFonts w:ascii="Times New Roman" w:hAnsi="Times New Roman" w:cs="Times New Roman"/>
          <w:sz w:val="16"/>
          <w:szCs w:val="16"/>
        </w:rPr>
        <w:t xml:space="preserve"> </w:t>
      </w:r>
      <w:r w:rsidRPr="00B120B4">
        <w:rPr>
          <w:rFonts w:ascii="Times New Roman" w:eastAsia="Times New Roman" w:hAnsi="Times New Roman" w:cs="Times New Roman"/>
          <w:b/>
          <w:i/>
          <w:color w:val="000000"/>
          <w:sz w:val="16"/>
          <w:szCs w:val="16"/>
        </w:rPr>
        <w:t>Aliadas por la Igualdad y la No Violencia</w:t>
      </w:r>
      <w:r w:rsidRPr="00B120B4">
        <w:rPr>
          <w:rFonts w:ascii="Times New Roman" w:eastAsia="Times New Roman" w:hAnsi="Times New Roman" w:cs="Times New Roman"/>
          <w:color w:val="000000"/>
          <w:sz w:val="16"/>
          <w:szCs w:val="16"/>
        </w:rPr>
        <w:t xml:space="preserve"> es una coalición que reúne a organizaciones mexicanas e internacionales que desde el 2020 realizan incidencia e investigación sobre el cumplimiento del Estado mexicano en relación con su obligación de adoptar políticas orientadas a prevenir, erradicar y sancionar las violencias contra las mujeres.  Está conformada por: </w:t>
      </w:r>
      <w:r w:rsidRPr="00B120B4">
        <w:rPr>
          <w:rFonts w:ascii="Times New Roman" w:eastAsia="Times New Roman" w:hAnsi="Times New Roman" w:cs="Times New Roman"/>
          <w:b/>
          <w:sz w:val="16"/>
          <w:szCs w:val="16"/>
        </w:rPr>
        <w:t>Centro por la Justicia y el Derecho Internacional (CEJIL); Colectiva Ciudad y Género, Equality Now; Mujer Ideas Desarrollo Investigación (MIDI); y RAÍCES, Análisis de Género para el Desarrollo.</w:t>
      </w:r>
    </w:p>
  </w:footnote>
  <w:footnote w:id="2">
    <w:p w14:paraId="364F81D3" w14:textId="24E1E9AC" w:rsidR="00B120B4" w:rsidRPr="00B120B4" w:rsidRDefault="00B120B4" w:rsidP="00B120B4">
      <w:pPr>
        <w:pBdr>
          <w:top w:val="nil"/>
          <w:left w:val="nil"/>
          <w:bottom w:val="nil"/>
          <w:right w:val="nil"/>
          <w:between w:val="nil"/>
        </w:pBdr>
        <w:spacing w:line="240" w:lineRule="auto"/>
        <w:rPr>
          <w:rFonts w:ascii="Times New Roman" w:hAnsi="Times New Roman" w:cs="Times New Roman"/>
          <w:color w:val="000000"/>
          <w:sz w:val="16"/>
          <w:szCs w:val="16"/>
        </w:rPr>
      </w:pPr>
      <w:r w:rsidRPr="00B120B4">
        <w:rPr>
          <w:rStyle w:val="Refdenotaalpie"/>
          <w:rFonts w:ascii="Times New Roman" w:hAnsi="Times New Roman" w:cs="Times New Roman"/>
          <w:sz w:val="16"/>
          <w:szCs w:val="16"/>
        </w:rPr>
        <w:footnoteRef/>
      </w:r>
      <w:r w:rsidRPr="00B120B4">
        <w:rPr>
          <w:rFonts w:ascii="Times New Roman" w:hAnsi="Times New Roman" w:cs="Times New Roman"/>
          <w:sz w:val="16"/>
          <w:szCs w:val="16"/>
        </w:rPr>
        <w:t xml:space="preserve"> </w:t>
      </w:r>
      <w:sdt>
        <w:sdtPr>
          <w:rPr>
            <w:rFonts w:ascii="Times New Roman" w:hAnsi="Times New Roman" w:cs="Times New Roman"/>
            <w:sz w:val="16"/>
            <w:szCs w:val="16"/>
          </w:rPr>
          <w:tag w:val="goog_rdk_431"/>
          <w:id w:val="-1546364532"/>
        </w:sdtPr>
        <w:sdtEndPr/>
        <w:sdtContent>
          <w:r w:rsidRPr="00B120B4">
            <w:rPr>
              <w:rFonts w:ascii="Times New Roman" w:hAnsi="Times New Roman" w:cs="Times New Roman"/>
              <w:color w:val="000000"/>
              <w:sz w:val="16"/>
              <w:szCs w:val="16"/>
            </w:rPr>
            <w:t xml:space="preserve">ONU - Comité para la Eliminación de la Discriminación contra la Mujer. </w:t>
          </w:r>
          <w:r w:rsidRPr="00B120B4">
            <w:rPr>
              <w:rFonts w:ascii="Times New Roman" w:hAnsi="Times New Roman" w:cs="Times New Roman"/>
              <w:i/>
              <w:color w:val="000000"/>
              <w:sz w:val="16"/>
              <w:szCs w:val="16"/>
            </w:rPr>
            <w:t>Décimo informe periódico que México debía presentar en 2024 en virtud del artículo 18 de la Convención sobre la Eliminación de Todas las Formas de Discriminación contra la Mujer.</w:t>
          </w:r>
          <w:r w:rsidRPr="00B120B4">
            <w:rPr>
              <w:rFonts w:ascii="Times New Roman" w:hAnsi="Times New Roman" w:cs="Times New Roman"/>
              <w:color w:val="000000"/>
              <w:sz w:val="16"/>
              <w:szCs w:val="16"/>
            </w:rPr>
            <w:t xml:space="preserve"> Doc. CEDAW/C/MEX/10.</w:t>
          </w:r>
        </w:sdtContent>
      </w:sdt>
      <w:sdt>
        <w:sdtPr>
          <w:rPr>
            <w:rFonts w:ascii="Times New Roman" w:hAnsi="Times New Roman" w:cs="Times New Roman"/>
            <w:sz w:val="16"/>
            <w:szCs w:val="16"/>
          </w:rPr>
          <w:tag w:val="goog_rdk_432"/>
          <w:id w:val="-1294127444"/>
        </w:sdtPr>
        <w:sdtEndPr/>
        <w:sdtContent>
          <w:r w:rsidRPr="00B120B4">
            <w:rPr>
              <w:rFonts w:ascii="Times New Roman" w:hAnsi="Times New Roman" w:cs="Times New Roman"/>
              <w:sz w:val="16"/>
              <w:szCs w:val="16"/>
            </w:rPr>
            <w:t xml:space="preserve"> 30 de septiembre de 2024</w:t>
          </w:r>
        </w:sdtContent>
      </w:sdt>
    </w:p>
  </w:footnote>
  <w:footnote w:id="3">
    <w:p w14:paraId="67E527C0" w14:textId="48775418" w:rsidR="00B120B4" w:rsidRPr="00B120B4" w:rsidRDefault="00B120B4" w:rsidP="00B120B4">
      <w:pPr>
        <w:spacing w:line="240" w:lineRule="auto"/>
        <w:rPr>
          <w:rFonts w:ascii="Times New Roman" w:hAnsi="Times New Roman" w:cs="Times New Roman"/>
          <w:sz w:val="16"/>
          <w:szCs w:val="16"/>
        </w:rPr>
      </w:pPr>
      <w:r w:rsidRPr="00B120B4">
        <w:rPr>
          <w:rStyle w:val="Refdenotaalpie"/>
          <w:rFonts w:ascii="Times New Roman" w:hAnsi="Times New Roman" w:cs="Times New Roman"/>
          <w:sz w:val="16"/>
          <w:szCs w:val="16"/>
        </w:rPr>
        <w:footnoteRef/>
      </w:r>
      <w:r w:rsidRPr="00B120B4">
        <w:rPr>
          <w:rFonts w:ascii="Times New Roman" w:hAnsi="Times New Roman" w:cs="Times New Roman"/>
          <w:sz w:val="16"/>
          <w:szCs w:val="16"/>
        </w:rPr>
        <w:t xml:space="preserve"> </w:t>
      </w:r>
      <w:sdt>
        <w:sdtPr>
          <w:rPr>
            <w:rFonts w:ascii="Times New Roman" w:hAnsi="Times New Roman" w:cs="Times New Roman"/>
            <w:sz w:val="16"/>
            <w:szCs w:val="16"/>
          </w:rPr>
          <w:tag w:val="goog_rdk_436"/>
          <w:id w:val="1191569001"/>
        </w:sdtPr>
        <w:sdtEndPr/>
        <w:sdtContent>
          <w:r w:rsidRPr="00B120B4">
            <w:rPr>
              <w:rFonts w:ascii="Times New Roman" w:hAnsi="Times New Roman" w:cs="Times New Roman"/>
              <w:sz w:val="16"/>
              <w:szCs w:val="16"/>
              <w:vertAlign w:val="superscript"/>
            </w:rPr>
            <w:footnoteRef/>
          </w:r>
          <w:sdt>
            <w:sdtPr>
              <w:rPr>
                <w:rFonts w:ascii="Times New Roman" w:hAnsi="Times New Roman" w:cs="Times New Roman"/>
                <w:sz w:val="16"/>
                <w:szCs w:val="16"/>
              </w:rPr>
              <w:tag w:val="goog_rdk_434"/>
              <w:id w:val="-1146195117"/>
            </w:sdtPr>
            <w:sdtEndPr/>
            <w:sdtContent>
              <w:r w:rsidRPr="00B120B4">
                <w:rPr>
                  <w:rFonts w:ascii="Times New Roman" w:hAnsi="Times New Roman" w:cs="Times New Roman"/>
                  <w:color w:val="000000"/>
                  <w:sz w:val="16"/>
                  <w:szCs w:val="16"/>
                </w:rPr>
                <w:t xml:space="preserve"> ONU - Comité para la Eliminación de la Discriminación contra la Mujer. Lista de cuestiones y preguntas previas a la presentación del décimo informe periódico de México. Doc. CEDAW/C/MEX/QPR/10. 14 de noviembre de 2023. </w:t>
              </w:r>
            </w:sdtContent>
          </w:sdt>
          <w:sdt>
            <w:sdtPr>
              <w:rPr>
                <w:rFonts w:ascii="Times New Roman" w:hAnsi="Times New Roman" w:cs="Times New Roman"/>
                <w:sz w:val="16"/>
                <w:szCs w:val="16"/>
              </w:rPr>
              <w:tag w:val="goog_rdk_435"/>
              <w:id w:val="2124885059"/>
            </w:sdtPr>
            <w:sdtEndPr/>
            <w:sdtContent/>
          </w:sdt>
        </w:sdtContent>
      </w:sdt>
    </w:p>
  </w:footnote>
  <w:footnote w:id="4">
    <w:sdt>
      <w:sdtPr>
        <w:rPr>
          <w:rFonts w:ascii="Times New Roman" w:hAnsi="Times New Roman" w:cs="Times New Roman"/>
          <w:sz w:val="16"/>
          <w:szCs w:val="16"/>
        </w:rPr>
        <w:tag w:val="goog_rdk_39"/>
        <w:id w:val="-986627381"/>
      </w:sdtPr>
      <w:sdtEndPr/>
      <w:sdtContent>
        <w:p w14:paraId="000000A1" w14:textId="77777777" w:rsidR="00DD133F" w:rsidRPr="00B120B4" w:rsidRDefault="00EF4153">
          <w:pPr>
            <w:spacing w:line="240" w:lineRule="auto"/>
            <w:rPr>
              <w:rFonts w:ascii="Times New Roman" w:eastAsia="Times New Roman" w:hAnsi="Times New Roman" w:cs="Times New Roman"/>
              <w:sz w:val="16"/>
              <w:szCs w:val="16"/>
            </w:rPr>
          </w:pPr>
          <w:r w:rsidRPr="00B120B4">
            <w:rPr>
              <w:rFonts w:ascii="Times New Roman" w:hAnsi="Times New Roman" w:cs="Times New Roman"/>
              <w:sz w:val="16"/>
              <w:szCs w:val="16"/>
              <w:vertAlign w:val="superscript"/>
            </w:rPr>
            <w:footnoteRef/>
          </w:r>
          <w:sdt>
            <w:sdtPr>
              <w:rPr>
                <w:rFonts w:ascii="Times New Roman" w:hAnsi="Times New Roman" w:cs="Times New Roman"/>
                <w:sz w:val="16"/>
                <w:szCs w:val="16"/>
              </w:rPr>
              <w:tag w:val="goog_rdk_38"/>
              <w:id w:val="-612130828"/>
            </w:sdtPr>
            <w:sdtEndPr/>
            <w:sdtContent>
              <w:r w:rsidRPr="00B120B4">
                <w:rPr>
                  <w:rFonts w:ascii="Times New Roman" w:eastAsia="Times New Roman" w:hAnsi="Times New Roman" w:cs="Times New Roman"/>
                  <w:sz w:val="16"/>
                  <w:szCs w:val="16"/>
                </w:rPr>
                <w:t xml:space="preserve"> A los fines del presente documento, el término “mujer(es)” se refiere a la(s) mujer(es) en toda su diversidad, incluyendo a las mujeres de todos los orígenes étnicos y raciales, estatus sociales, económicos y migratorios, edades discapacidades, identidades de género, orientaciones sexuales, etc.</w:t>
              </w:r>
            </w:sdtContent>
          </w:sdt>
        </w:p>
      </w:sdtContent>
    </w:sdt>
  </w:footnote>
  <w:footnote w:id="5">
    <w:sdt>
      <w:sdtPr>
        <w:rPr>
          <w:rFonts w:ascii="Times New Roman" w:hAnsi="Times New Roman" w:cs="Times New Roman"/>
          <w:sz w:val="16"/>
          <w:szCs w:val="16"/>
        </w:rPr>
        <w:tag w:val="goog_rdk_455"/>
        <w:id w:val="356402128"/>
      </w:sdtPr>
      <w:sdtEndPr/>
      <w:sdtContent>
        <w:p w14:paraId="1AB5E2EE" w14:textId="77777777" w:rsidR="00B120B4" w:rsidRPr="00B120B4" w:rsidRDefault="00B120B4" w:rsidP="00B120B4">
          <w:pPr>
            <w:pBdr>
              <w:top w:val="nil"/>
              <w:left w:val="nil"/>
              <w:bottom w:val="nil"/>
              <w:right w:val="nil"/>
              <w:between w:val="nil"/>
            </w:pBdr>
            <w:rPr>
              <w:rFonts w:ascii="Times New Roman" w:hAnsi="Times New Roman" w:cs="Times New Roman"/>
              <w:sz w:val="16"/>
              <w:szCs w:val="16"/>
            </w:rPr>
          </w:pPr>
          <w:r w:rsidRPr="00B120B4">
            <w:rPr>
              <w:rFonts w:ascii="Times New Roman" w:hAnsi="Times New Roman" w:cs="Times New Roman"/>
              <w:sz w:val="16"/>
              <w:szCs w:val="16"/>
              <w:vertAlign w:val="superscript"/>
            </w:rPr>
            <w:footnoteRef/>
          </w:r>
          <w:sdt>
            <w:sdtPr>
              <w:rPr>
                <w:rFonts w:ascii="Times New Roman" w:hAnsi="Times New Roman" w:cs="Times New Roman"/>
                <w:sz w:val="16"/>
                <w:szCs w:val="16"/>
              </w:rPr>
              <w:tag w:val="goog_rdk_438"/>
              <w:id w:val="1146553264"/>
            </w:sdtPr>
            <w:sdtEndPr/>
            <w:sdtContent>
              <w:sdt>
                <w:sdtPr>
                  <w:rPr>
                    <w:rFonts w:ascii="Times New Roman" w:hAnsi="Times New Roman" w:cs="Times New Roman"/>
                    <w:sz w:val="16"/>
                    <w:szCs w:val="16"/>
                  </w:rPr>
                  <w:tag w:val="goog_rdk_439"/>
                  <w:id w:val="-1150049682"/>
                </w:sdtPr>
                <w:sdtEndPr/>
                <w:sdtContent>
                  <w:r w:rsidRPr="00B120B4">
                    <w:rPr>
                      <w:rFonts w:ascii="Times New Roman" w:hAnsi="Times New Roman" w:cs="Times New Roman"/>
                      <w:sz w:val="16"/>
                      <w:szCs w:val="16"/>
                    </w:rPr>
                    <w:t xml:space="preserve"> ONU - Comité para </w:t>
                  </w:r>
                </w:sdtContent>
              </w:sdt>
              <w:sdt>
                <w:sdtPr>
                  <w:rPr>
                    <w:rFonts w:ascii="Times New Roman" w:hAnsi="Times New Roman" w:cs="Times New Roman"/>
                    <w:sz w:val="16"/>
                    <w:szCs w:val="16"/>
                  </w:rPr>
                  <w:tag w:val="goog_rdk_440"/>
                  <w:id w:val="-920562330"/>
                </w:sdtPr>
                <w:sdtEndPr/>
                <w:sdtContent>
                  <w:r w:rsidRPr="00B120B4">
                    <w:rPr>
                      <w:rFonts w:ascii="Times New Roman" w:hAnsi="Times New Roman" w:cs="Times New Roman"/>
                      <w:sz w:val="16"/>
                      <w:szCs w:val="16"/>
                    </w:rPr>
                    <w:t xml:space="preserve">la Eliminación de la Discriminación contra la Mujer. </w:t>
                  </w:r>
                </w:sdtContent>
              </w:sdt>
              <w:sdt>
                <w:sdtPr>
                  <w:rPr>
                    <w:rFonts w:ascii="Times New Roman" w:hAnsi="Times New Roman" w:cs="Times New Roman"/>
                    <w:sz w:val="16"/>
                    <w:szCs w:val="16"/>
                  </w:rPr>
                  <w:tag w:val="goog_rdk_441"/>
                  <w:id w:val="2049179848"/>
                </w:sdtPr>
                <w:sdtEndPr/>
                <w:sdtContent>
                  <w:r w:rsidRPr="00B120B4">
                    <w:rPr>
                      <w:rFonts w:ascii="Times New Roman" w:hAnsi="Times New Roman" w:cs="Times New Roman"/>
                      <w:sz w:val="16"/>
                      <w:szCs w:val="16"/>
                    </w:rPr>
                    <w:t xml:space="preserve">Observaciones finales sobre el noveno informe periódico de México. </w:t>
                  </w:r>
                </w:sdtContent>
              </w:sdt>
              <w:sdt>
                <w:sdtPr>
                  <w:rPr>
                    <w:rFonts w:ascii="Times New Roman" w:hAnsi="Times New Roman" w:cs="Times New Roman"/>
                    <w:sz w:val="16"/>
                    <w:szCs w:val="16"/>
                  </w:rPr>
                  <w:tag w:val="goog_rdk_442"/>
                  <w:id w:val="960154263"/>
                </w:sdtPr>
                <w:sdtEndPr/>
                <w:sdtContent>
                  <w:r w:rsidRPr="00B120B4">
                    <w:rPr>
                      <w:rFonts w:ascii="Times New Roman" w:hAnsi="Times New Roman" w:cs="Times New Roman"/>
                      <w:sz w:val="16"/>
                      <w:szCs w:val="16"/>
                    </w:rPr>
                    <w:t>Doc. CEDAW/C/MEX/CO/9. 25 de julio de 2018</w:t>
                  </w:r>
                </w:sdtContent>
              </w:sdt>
              <w:sdt>
                <w:sdtPr>
                  <w:rPr>
                    <w:rFonts w:ascii="Times New Roman" w:hAnsi="Times New Roman" w:cs="Times New Roman"/>
                    <w:sz w:val="16"/>
                    <w:szCs w:val="16"/>
                  </w:rPr>
                  <w:tag w:val="goog_rdk_443"/>
                  <w:id w:val="1740599217"/>
                </w:sdtPr>
                <w:sdtEndPr/>
                <w:sdtContent>
                  <w:r w:rsidRPr="00B120B4">
                    <w:rPr>
                      <w:rFonts w:ascii="Times New Roman" w:hAnsi="Times New Roman" w:cs="Times New Roman"/>
                      <w:sz w:val="16"/>
                      <w:szCs w:val="16"/>
                    </w:rPr>
                    <w:t xml:space="preserve">. </w:t>
                  </w:r>
                </w:sdtContent>
              </w:sdt>
            </w:sdtContent>
          </w:sdt>
          <w:sdt>
            <w:sdtPr>
              <w:rPr>
                <w:rFonts w:ascii="Times New Roman" w:hAnsi="Times New Roman" w:cs="Times New Roman"/>
                <w:sz w:val="16"/>
                <w:szCs w:val="16"/>
              </w:rPr>
              <w:tag w:val="goog_rdk_444"/>
              <w:id w:val="-859347897"/>
            </w:sdtPr>
            <w:sdtEndPr/>
            <w:sdtContent>
              <w:sdt>
                <w:sdtPr>
                  <w:rPr>
                    <w:rFonts w:ascii="Times New Roman" w:hAnsi="Times New Roman" w:cs="Times New Roman"/>
                    <w:sz w:val="16"/>
                    <w:szCs w:val="16"/>
                  </w:rPr>
                  <w:tag w:val="goog_rdk_445"/>
                  <w:id w:val="-1026176654"/>
                  <w:showingPlcHdr/>
                </w:sdtPr>
                <w:sdtEndPr/>
                <w:sdtContent>
                  <w:r w:rsidRPr="00B120B4">
                    <w:rPr>
                      <w:rFonts w:ascii="Times New Roman" w:hAnsi="Times New Roman" w:cs="Times New Roman"/>
                      <w:sz w:val="16"/>
                      <w:szCs w:val="16"/>
                    </w:rPr>
                    <w:t xml:space="preserve">     </w:t>
                  </w:r>
                </w:sdtContent>
              </w:sdt>
            </w:sdtContent>
          </w:sdt>
          <w:sdt>
            <w:sdtPr>
              <w:rPr>
                <w:rFonts w:ascii="Times New Roman" w:hAnsi="Times New Roman" w:cs="Times New Roman"/>
                <w:sz w:val="16"/>
                <w:szCs w:val="16"/>
              </w:rPr>
              <w:tag w:val="goog_rdk_448"/>
              <w:id w:val="-112900344"/>
            </w:sdtPr>
            <w:sdtEndPr/>
            <w:sdtContent>
              <w:sdt>
                <w:sdtPr>
                  <w:rPr>
                    <w:rFonts w:ascii="Times New Roman" w:hAnsi="Times New Roman" w:cs="Times New Roman"/>
                    <w:sz w:val="16"/>
                    <w:szCs w:val="16"/>
                  </w:rPr>
                  <w:tag w:val="goog_rdk_449"/>
                  <w:id w:val="1272050978"/>
                </w:sdtPr>
                <w:sdtEndPr/>
                <w:sdtContent/>
              </w:sdt>
              <w:sdt>
                <w:sdtPr>
                  <w:rPr>
                    <w:rFonts w:ascii="Times New Roman" w:hAnsi="Times New Roman" w:cs="Times New Roman"/>
                    <w:sz w:val="16"/>
                    <w:szCs w:val="16"/>
                  </w:rPr>
                  <w:tag w:val="goog_rdk_450"/>
                  <w:id w:val="-1979137696"/>
                  <w:showingPlcHdr/>
                </w:sdtPr>
                <w:sdtEndPr/>
                <w:sdtContent>
                  <w:r w:rsidRPr="00B120B4">
                    <w:rPr>
                      <w:rFonts w:ascii="Times New Roman" w:hAnsi="Times New Roman" w:cs="Times New Roman"/>
                      <w:sz w:val="16"/>
                      <w:szCs w:val="16"/>
                    </w:rPr>
                    <w:t xml:space="preserve">     </w:t>
                  </w:r>
                </w:sdtContent>
              </w:sdt>
            </w:sdtContent>
          </w:sdt>
          <w:sdt>
            <w:sdtPr>
              <w:rPr>
                <w:rFonts w:ascii="Times New Roman" w:hAnsi="Times New Roman" w:cs="Times New Roman"/>
                <w:sz w:val="16"/>
                <w:szCs w:val="16"/>
              </w:rPr>
              <w:tag w:val="goog_rdk_451"/>
              <w:id w:val="-795372240"/>
            </w:sdtPr>
            <w:sdtEndPr/>
            <w:sdtContent>
              <w:sdt>
                <w:sdtPr>
                  <w:rPr>
                    <w:rFonts w:ascii="Times New Roman" w:hAnsi="Times New Roman" w:cs="Times New Roman"/>
                    <w:sz w:val="16"/>
                    <w:szCs w:val="16"/>
                  </w:rPr>
                  <w:tag w:val="goog_rdk_452"/>
                  <w:id w:val="1294800044"/>
                  <w:showingPlcHdr/>
                </w:sdtPr>
                <w:sdtEndPr/>
                <w:sdtContent>
                  <w:r w:rsidRPr="00B120B4">
                    <w:rPr>
                      <w:rFonts w:ascii="Times New Roman" w:hAnsi="Times New Roman" w:cs="Times New Roman"/>
                      <w:sz w:val="16"/>
                      <w:szCs w:val="16"/>
                    </w:rPr>
                    <w:t xml:space="preserve">     </w:t>
                  </w:r>
                </w:sdtContent>
              </w:sdt>
            </w:sdtContent>
          </w:sdt>
          <w:sdt>
            <w:sdtPr>
              <w:rPr>
                <w:rFonts w:ascii="Times New Roman" w:hAnsi="Times New Roman" w:cs="Times New Roman"/>
                <w:sz w:val="16"/>
                <w:szCs w:val="16"/>
              </w:rPr>
              <w:tag w:val="goog_rdk_454"/>
              <w:id w:val="-1437974284"/>
            </w:sdtPr>
            <w:sdtEndPr/>
            <w:sdtContent/>
          </w:sdt>
        </w:p>
      </w:sdtContent>
    </w:sdt>
  </w:footnote>
  <w:footnote w:id="6">
    <w:p w14:paraId="2B791BD7" w14:textId="57F09286" w:rsidR="00B375D3" w:rsidRPr="003D6B67" w:rsidRDefault="00B375D3" w:rsidP="00B375D3">
      <w:pPr>
        <w:pBdr>
          <w:top w:val="nil"/>
          <w:left w:val="nil"/>
          <w:bottom w:val="nil"/>
          <w:right w:val="nil"/>
          <w:between w:val="nil"/>
        </w:pBdr>
        <w:jc w:val="both"/>
        <w:rPr>
          <w:rFonts w:ascii="Times New Roman" w:hAnsi="Times New Roman" w:cs="Times New Roman"/>
          <w:color w:val="000000"/>
          <w:sz w:val="16"/>
          <w:szCs w:val="16"/>
        </w:rPr>
      </w:pPr>
      <w:r w:rsidRPr="003D6B67">
        <w:rPr>
          <w:rStyle w:val="Refdenotaalpie"/>
          <w:rFonts w:ascii="Times New Roman" w:hAnsi="Times New Roman" w:cs="Times New Roman"/>
          <w:sz w:val="16"/>
          <w:szCs w:val="16"/>
        </w:rPr>
        <w:footnoteRef/>
      </w:r>
      <w:r w:rsidRPr="003D6B67">
        <w:rPr>
          <w:rFonts w:ascii="Times New Roman" w:hAnsi="Times New Roman" w:cs="Times New Roman"/>
          <w:sz w:val="16"/>
          <w:szCs w:val="16"/>
        </w:rPr>
        <w:t xml:space="preserve"> </w:t>
      </w:r>
      <w:r w:rsidRPr="003D6B67">
        <w:rPr>
          <w:rFonts w:ascii="Times New Roman" w:hAnsi="Times New Roman" w:cs="Times New Roman"/>
          <w:color w:val="000000"/>
          <w:sz w:val="16"/>
          <w:szCs w:val="16"/>
        </w:rPr>
        <w:t xml:space="preserve">Secretaría de Gobernación, Comisión Nacional de Búsqueda. Versión Estadística RNPDNO. Disponible en: </w:t>
      </w:r>
      <w:hyperlink r:id="rId1">
        <w:r w:rsidRPr="003D6B67">
          <w:rPr>
            <w:rFonts w:ascii="Times New Roman" w:hAnsi="Times New Roman" w:cs="Times New Roman"/>
            <w:color w:val="1155CC"/>
            <w:sz w:val="16"/>
            <w:szCs w:val="16"/>
            <w:u w:val="single"/>
          </w:rPr>
          <w:t>https://versionpublicarnpdno.segob.gob.mx/Dashboard/ContextoGeneral</w:t>
        </w:r>
      </w:hyperlink>
      <w:r w:rsidRPr="003D6B67">
        <w:rPr>
          <w:rFonts w:ascii="Times New Roman" w:hAnsi="Times New Roman" w:cs="Times New Roman"/>
          <w:color w:val="000000"/>
          <w:sz w:val="16"/>
          <w:szCs w:val="16"/>
        </w:rPr>
        <w:t>. Último acceso: 12 de mayo de 2025</w:t>
      </w:r>
    </w:p>
  </w:footnote>
  <w:footnote w:id="7">
    <w:p w14:paraId="323D6B53" w14:textId="65D32E57" w:rsidR="00A40774" w:rsidRPr="003D6B67" w:rsidRDefault="00A40774" w:rsidP="00A40774">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sidRPr="003D6B67">
        <w:rPr>
          <w:rFonts w:ascii="Times New Roman" w:hAnsi="Times New Roman" w:cs="Times New Roman"/>
          <w:sz w:val="16"/>
          <w:szCs w:val="16"/>
          <w:vertAlign w:val="superscript"/>
        </w:rPr>
        <w:footnoteRef/>
      </w:r>
      <w:r w:rsidRPr="003D6B67">
        <w:rPr>
          <w:rFonts w:ascii="Times New Roman" w:eastAsia="Times New Roman" w:hAnsi="Times New Roman" w:cs="Times New Roman"/>
          <w:color w:val="000000"/>
          <w:sz w:val="16"/>
          <w:szCs w:val="16"/>
        </w:rPr>
        <w:t xml:space="preserve"> Secretaría de Seguridad y Protección Ciudadana y Secretariado Ejecutivo del Sistema Nacional de Seguridad Pública. Informe sobre Violencia contra las Mujeres. Incidencia Delictiva y Llamadas de Emergencia 9-1-1. Centro Nacional de Información.  Informe al corte del 31 de diciembre del 2024 e Informe al corte del 31 de marzo. Disponible en: https://drive.google.com/file/d/1zlbk7J_m4ZI1XnM1kp_bPx2UgzgXeC6A/view</w:t>
      </w:r>
    </w:p>
  </w:footnote>
  <w:footnote w:id="8">
    <w:p w14:paraId="0000007C" w14:textId="77777777" w:rsidR="00DD133F" w:rsidRPr="003D6B67" w:rsidRDefault="00EF4153">
      <w:pPr>
        <w:spacing w:line="240" w:lineRule="auto"/>
        <w:jc w:val="both"/>
        <w:rPr>
          <w:rFonts w:ascii="Times New Roman" w:eastAsia="Times New Roman" w:hAnsi="Times New Roman" w:cs="Times New Roman"/>
          <w:sz w:val="16"/>
          <w:szCs w:val="16"/>
          <w:vertAlign w:val="superscript"/>
        </w:rPr>
      </w:pPr>
      <w:r w:rsidRPr="003D6B67">
        <w:rPr>
          <w:rFonts w:ascii="Times New Roman" w:hAnsi="Times New Roman" w:cs="Times New Roman"/>
          <w:sz w:val="16"/>
          <w:szCs w:val="16"/>
          <w:vertAlign w:val="superscript"/>
        </w:rPr>
        <w:footnoteRef/>
      </w:r>
      <w:r w:rsidRPr="003D6B67">
        <w:rPr>
          <w:rFonts w:ascii="Times New Roman" w:eastAsia="Times New Roman" w:hAnsi="Times New Roman" w:cs="Times New Roman"/>
          <w:sz w:val="16"/>
          <w:szCs w:val="16"/>
          <w:vertAlign w:val="superscript"/>
        </w:rPr>
        <w:t xml:space="preserve"> </w:t>
      </w:r>
      <w:r w:rsidRPr="003D6B67">
        <w:rPr>
          <w:rFonts w:ascii="Times New Roman" w:eastAsia="Times New Roman" w:hAnsi="Times New Roman" w:cs="Times New Roman"/>
          <w:sz w:val="16"/>
          <w:szCs w:val="16"/>
        </w:rPr>
        <w:t xml:space="preserve">INEGI. Encuesta Nacional sobre la Dinámica de las Relaciones en los Hogares (ENDIREH) 2021. Disponible en: </w:t>
      </w:r>
      <w:hyperlink r:id="rId2">
        <w:r w:rsidRPr="003D6B67">
          <w:rPr>
            <w:rFonts w:ascii="Times New Roman" w:eastAsia="Times New Roman" w:hAnsi="Times New Roman" w:cs="Times New Roman"/>
            <w:sz w:val="16"/>
            <w:szCs w:val="16"/>
          </w:rPr>
          <w:t xml:space="preserve"> </w:t>
        </w:r>
      </w:hyperlink>
      <w:hyperlink r:id="rId3">
        <w:r w:rsidRPr="003D6B67">
          <w:rPr>
            <w:rFonts w:ascii="Times New Roman" w:eastAsia="Times New Roman" w:hAnsi="Times New Roman" w:cs="Times New Roman"/>
            <w:color w:val="1155CC"/>
            <w:sz w:val="16"/>
            <w:szCs w:val="16"/>
            <w:u w:val="single"/>
          </w:rPr>
          <w:t>https://www.inegi.org.mx/contenidos/programas/endireh/2021/doc/endireh2021_presentacion_ejecutiva.pdf</w:t>
        </w:r>
      </w:hyperlink>
    </w:p>
  </w:footnote>
  <w:footnote w:id="9">
    <w:p w14:paraId="0000007D" w14:textId="77777777" w:rsidR="00DD133F" w:rsidRPr="003D6B67" w:rsidRDefault="00EF4153">
      <w:pPr>
        <w:spacing w:line="240" w:lineRule="auto"/>
        <w:jc w:val="both"/>
        <w:rPr>
          <w:rFonts w:ascii="Times New Roman" w:eastAsia="Times New Roman" w:hAnsi="Times New Roman" w:cs="Times New Roman"/>
          <w:sz w:val="16"/>
          <w:szCs w:val="16"/>
          <w:vertAlign w:val="superscript"/>
        </w:rPr>
      </w:pPr>
      <w:r w:rsidRPr="003D6B67">
        <w:rPr>
          <w:rFonts w:ascii="Times New Roman" w:hAnsi="Times New Roman" w:cs="Times New Roman"/>
          <w:sz w:val="16"/>
          <w:szCs w:val="16"/>
          <w:vertAlign w:val="superscript"/>
        </w:rPr>
        <w:footnoteRef/>
      </w:r>
      <w:r w:rsidRPr="003D6B67">
        <w:rPr>
          <w:rFonts w:ascii="Times New Roman" w:eastAsia="Times New Roman" w:hAnsi="Times New Roman" w:cs="Times New Roman"/>
          <w:sz w:val="16"/>
          <w:szCs w:val="16"/>
          <w:vertAlign w:val="superscript"/>
        </w:rPr>
        <w:t xml:space="preserve"> </w:t>
      </w:r>
      <w:r w:rsidRPr="003D6B67">
        <w:rPr>
          <w:rFonts w:ascii="Times New Roman" w:eastAsia="Times New Roman" w:hAnsi="Times New Roman" w:cs="Times New Roman"/>
          <w:sz w:val="16"/>
          <w:szCs w:val="16"/>
        </w:rPr>
        <w:t>INEGI. Encuesta Nacional sobre la Dinámica de las Relaciones en los Hogares (ENDIREH) 2016. Disponible en:</w:t>
      </w:r>
      <w:hyperlink r:id="rId4">
        <w:r w:rsidRPr="003D6B67">
          <w:rPr>
            <w:rFonts w:ascii="Times New Roman" w:eastAsia="Times New Roman" w:hAnsi="Times New Roman" w:cs="Times New Roman"/>
            <w:sz w:val="16"/>
            <w:szCs w:val="16"/>
          </w:rPr>
          <w:t xml:space="preserve"> </w:t>
        </w:r>
      </w:hyperlink>
      <w:hyperlink r:id="rId5">
        <w:r w:rsidRPr="003D6B67">
          <w:rPr>
            <w:rFonts w:ascii="Times New Roman" w:eastAsia="Times New Roman" w:hAnsi="Times New Roman" w:cs="Times New Roman"/>
            <w:color w:val="1155CC"/>
            <w:sz w:val="16"/>
            <w:szCs w:val="16"/>
            <w:u w:val="single"/>
          </w:rPr>
          <w:t>https://www.inegi.org.mx/contenidos/programas/endireh/2016/doc/endireh2016_presentacion_ejecutiva.pdf</w:t>
        </w:r>
      </w:hyperlink>
    </w:p>
  </w:footnote>
  <w:footnote w:id="10">
    <w:p w14:paraId="0000007E" w14:textId="77777777" w:rsidR="00DD133F" w:rsidRPr="003D6B67" w:rsidRDefault="00EF4153">
      <w:pPr>
        <w:pBdr>
          <w:top w:val="nil"/>
          <w:left w:val="nil"/>
          <w:bottom w:val="nil"/>
          <w:right w:val="nil"/>
          <w:between w:val="nil"/>
        </w:pBdr>
        <w:spacing w:line="240" w:lineRule="auto"/>
        <w:rPr>
          <w:rFonts w:ascii="Times New Roman" w:hAnsi="Times New Roman" w:cs="Times New Roman"/>
          <w:color w:val="000000"/>
          <w:sz w:val="16"/>
          <w:szCs w:val="16"/>
        </w:rPr>
      </w:pPr>
      <w:r w:rsidRPr="003D6B67">
        <w:rPr>
          <w:rFonts w:ascii="Times New Roman" w:hAnsi="Times New Roman" w:cs="Times New Roman"/>
          <w:sz w:val="16"/>
          <w:szCs w:val="16"/>
          <w:vertAlign w:val="superscript"/>
        </w:rPr>
        <w:footnoteRef/>
      </w:r>
      <w:r w:rsidRPr="003D6B67">
        <w:rPr>
          <w:rFonts w:ascii="Times New Roman" w:hAnsi="Times New Roman" w:cs="Times New Roman"/>
          <w:color w:val="000000"/>
          <w:sz w:val="16"/>
          <w:szCs w:val="16"/>
        </w:rPr>
        <w:t xml:space="preserve"> </w:t>
      </w:r>
      <w:r w:rsidRPr="003D6B67">
        <w:rPr>
          <w:rFonts w:ascii="Times New Roman" w:eastAsia="Times New Roman" w:hAnsi="Times New Roman" w:cs="Times New Roman"/>
          <w:color w:val="000000"/>
          <w:sz w:val="16"/>
          <w:szCs w:val="16"/>
        </w:rPr>
        <w:t>Secretaría de Seguridad y Protección Ciudadana y Secretariado Ejecutivo del Sistema Nacional de Seguridad Pública. Informe sobre Violencia contra las Mujeres. Incidencia Delictiva y Llamadas de Emergencia 9-1-1. Centro Nacional de Información.  Informe al corte del 31 de diciembre del 2024.</w:t>
      </w:r>
    </w:p>
  </w:footnote>
  <w:footnote w:id="11">
    <w:p w14:paraId="1B04C2F5" w14:textId="0889B443" w:rsidR="00CF7E72" w:rsidRPr="00E3367F" w:rsidRDefault="00CF7E72" w:rsidP="00CF7E72">
      <w:pPr>
        <w:pBdr>
          <w:top w:val="nil"/>
          <w:left w:val="nil"/>
          <w:bottom w:val="nil"/>
          <w:right w:val="nil"/>
          <w:between w:val="nil"/>
        </w:pBdr>
        <w:rPr>
          <w:rFonts w:ascii="Times New Roman" w:hAnsi="Times New Roman" w:cs="Times New Roman"/>
          <w:i/>
          <w:color w:val="000000"/>
          <w:sz w:val="16"/>
          <w:szCs w:val="16"/>
          <w:lang w:val="en-US"/>
        </w:rPr>
      </w:pPr>
      <w:r w:rsidRPr="00E3367F">
        <w:rPr>
          <w:rStyle w:val="Refdenotaalpie"/>
          <w:rFonts w:ascii="Times New Roman" w:hAnsi="Times New Roman" w:cs="Times New Roman"/>
          <w:sz w:val="16"/>
          <w:szCs w:val="16"/>
        </w:rPr>
        <w:footnoteRef/>
      </w:r>
      <w:r w:rsidRPr="00E3367F">
        <w:rPr>
          <w:rFonts w:ascii="Times New Roman" w:hAnsi="Times New Roman" w:cs="Times New Roman"/>
          <w:sz w:val="16"/>
          <w:szCs w:val="16"/>
        </w:rPr>
        <w:t xml:space="preserve"> </w:t>
      </w:r>
      <w:sdt>
        <w:sdtPr>
          <w:rPr>
            <w:rFonts w:ascii="Times New Roman" w:hAnsi="Times New Roman" w:cs="Times New Roman"/>
            <w:sz w:val="16"/>
            <w:szCs w:val="16"/>
          </w:rPr>
          <w:tag w:val="goog_rdk_456"/>
          <w:id w:val="-1008287626"/>
        </w:sdtPr>
        <w:sdtEndPr/>
        <w:sdtContent>
          <w:r w:rsidRPr="00E3367F">
            <w:rPr>
              <w:rFonts w:ascii="Times New Roman" w:hAnsi="Times New Roman" w:cs="Times New Roman"/>
              <w:color w:val="000000"/>
              <w:sz w:val="16"/>
              <w:szCs w:val="16"/>
            </w:rPr>
            <w:t xml:space="preserve"> MESCEVI. Recomendación General del Comité de Expertas del MESCEVI (No. 3). </w:t>
          </w:r>
          <w:r w:rsidRPr="00E3367F">
            <w:rPr>
              <w:rFonts w:ascii="Times New Roman" w:hAnsi="Times New Roman" w:cs="Times New Roman"/>
              <w:color w:val="000000"/>
              <w:sz w:val="16"/>
              <w:szCs w:val="16"/>
              <w:lang w:val="en-US"/>
            </w:rPr>
            <w:t>V. Series. OEA/</w:t>
          </w:r>
          <w:proofErr w:type="spellStart"/>
          <w:r w:rsidRPr="00E3367F">
            <w:rPr>
              <w:rFonts w:ascii="Times New Roman" w:hAnsi="Times New Roman" w:cs="Times New Roman"/>
              <w:color w:val="000000"/>
              <w:sz w:val="16"/>
              <w:szCs w:val="16"/>
              <w:lang w:val="en-US"/>
            </w:rPr>
            <w:t>Ser.L</w:t>
          </w:r>
          <w:proofErr w:type="spellEnd"/>
          <w:r w:rsidRPr="00E3367F">
            <w:rPr>
              <w:rFonts w:ascii="Times New Roman" w:hAnsi="Times New Roman" w:cs="Times New Roman"/>
              <w:color w:val="000000"/>
              <w:sz w:val="16"/>
              <w:szCs w:val="16"/>
              <w:lang w:val="en-US"/>
            </w:rPr>
            <w:t xml:space="preserve">/II.7.10.MESECVI/CEVI/doc.267/21. 2021. </w:t>
          </w:r>
        </w:sdtContent>
      </w:sdt>
      <w:sdt>
        <w:sdtPr>
          <w:rPr>
            <w:rFonts w:ascii="Times New Roman" w:hAnsi="Times New Roman" w:cs="Times New Roman"/>
            <w:sz w:val="16"/>
            <w:szCs w:val="16"/>
          </w:rPr>
          <w:tag w:val="goog_rdk_457"/>
          <w:id w:val="-515374771"/>
        </w:sdtPr>
        <w:sdtEndPr/>
        <w:sdtContent/>
      </w:sdt>
    </w:p>
  </w:footnote>
  <w:footnote w:id="12">
    <w:p w14:paraId="352F1DCF" w14:textId="18155D8B" w:rsidR="00CF7E72" w:rsidRDefault="00CF7E72">
      <w:pPr>
        <w:pStyle w:val="Textonotapie"/>
      </w:pPr>
      <w:r w:rsidRPr="00E3367F">
        <w:rPr>
          <w:rStyle w:val="Refdenotaalpie"/>
          <w:rFonts w:ascii="Times New Roman" w:hAnsi="Times New Roman" w:cs="Times New Roman"/>
          <w:sz w:val="16"/>
          <w:szCs w:val="16"/>
        </w:rPr>
        <w:footnoteRef/>
      </w:r>
      <w:r w:rsidRPr="00E03900">
        <w:rPr>
          <w:rFonts w:ascii="Times New Roman" w:hAnsi="Times New Roman" w:cs="Times New Roman"/>
          <w:sz w:val="16"/>
          <w:szCs w:val="16"/>
          <w:lang w:val="en-US"/>
        </w:rPr>
        <w:t xml:space="preserve"> </w:t>
      </w:r>
      <w:r w:rsidRPr="00E3367F">
        <w:rPr>
          <w:rFonts w:ascii="Times New Roman" w:hAnsi="Times New Roman" w:cs="Times New Roman"/>
          <w:color w:val="000000"/>
          <w:sz w:val="16"/>
          <w:szCs w:val="16"/>
          <w:lang w:val="en-US"/>
        </w:rPr>
        <w:t xml:space="preserve">Equality Now. </w:t>
      </w:r>
      <w:r w:rsidRPr="00E3367F">
        <w:rPr>
          <w:rFonts w:ascii="Times New Roman" w:hAnsi="Times New Roman" w:cs="Times New Roman"/>
          <w:color w:val="000000"/>
          <w:sz w:val="16"/>
          <w:szCs w:val="16"/>
        </w:rPr>
        <w:t xml:space="preserve">Fracaso en la protección: Cómo las leyes y prácticas discriminatorias en Materia de violencia sexual perjudican a las mujeres, niñas y adolescentes en las américas. 2021. Disponible en: </w:t>
      </w:r>
      <w:hyperlink r:id="rId6">
        <w:r w:rsidRPr="00E3367F">
          <w:rPr>
            <w:rFonts w:ascii="Times New Roman" w:hAnsi="Times New Roman" w:cs="Times New Roman"/>
            <w:color w:val="0000FF"/>
            <w:sz w:val="16"/>
            <w:szCs w:val="16"/>
            <w:u w:val="single"/>
          </w:rPr>
          <w:t>https://equalitynow.storage.googleapis.com/wp-content/uploads/2022/02/25104155/Failure_to_Protect_-_Equality_Now_2021_-_ESP-min.pdf</w:t>
        </w:r>
      </w:hyperlink>
    </w:p>
  </w:footnote>
  <w:footnote w:id="13">
    <w:sdt>
      <w:sdtPr>
        <w:rPr>
          <w:rFonts w:ascii="Times New Roman" w:hAnsi="Times New Roman" w:cs="Times New Roman"/>
          <w:sz w:val="16"/>
          <w:szCs w:val="16"/>
        </w:rPr>
        <w:tag w:val="goog_rdk_42"/>
        <w:id w:val="-43605875"/>
      </w:sdtPr>
      <w:sdtEndPr/>
      <w:sdtContent>
        <w:p w14:paraId="000000A2" w14:textId="77777777" w:rsidR="00DD133F" w:rsidRPr="00132675" w:rsidRDefault="00EF4153" w:rsidP="00132675">
          <w:pPr>
            <w:spacing w:line="240" w:lineRule="auto"/>
            <w:rPr>
              <w:rFonts w:ascii="Times New Roman" w:eastAsia="Times New Roman" w:hAnsi="Times New Roman" w:cs="Times New Roman"/>
              <w:sz w:val="16"/>
              <w:szCs w:val="16"/>
            </w:rPr>
          </w:pPr>
          <w:r w:rsidRPr="00132675">
            <w:rPr>
              <w:rFonts w:ascii="Times New Roman" w:hAnsi="Times New Roman" w:cs="Times New Roman"/>
              <w:sz w:val="16"/>
              <w:szCs w:val="16"/>
              <w:vertAlign w:val="superscript"/>
            </w:rPr>
            <w:footnoteRef/>
          </w:r>
          <w:sdt>
            <w:sdtPr>
              <w:rPr>
                <w:rFonts w:ascii="Times New Roman" w:hAnsi="Times New Roman" w:cs="Times New Roman"/>
                <w:sz w:val="16"/>
                <w:szCs w:val="16"/>
              </w:rPr>
              <w:tag w:val="goog_rdk_41"/>
              <w:id w:val="-1237326509"/>
            </w:sdtPr>
            <w:sdtEndPr/>
            <w:sdtContent>
              <w:r w:rsidRPr="00132675">
                <w:rPr>
                  <w:rFonts w:ascii="Times New Roman" w:eastAsia="Times New Roman" w:hAnsi="Times New Roman" w:cs="Times New Roman"/>
                  <w:sz w:val="16"/>
                  <w:szCs w:val="16"/>
                </w:rPr>
                <w:t xml:space="preserve"> </w:t>
              </w:r>
              <w:proofErr w:type="spellStart"/>
              <w:r w:rsidRPr="00132675">
                <w:rPr>
                  <w:rFonts w:ascii="Times New Roman" w:eastAsia="Times New Roman" w:hAnsi="Times New Roman" w:cs="Times New Roman"/>
                  <w:sz w:val="16"/>
                  <w:szCs w:val="16"/>
                </w:rPr>
                <w:t>ParlAmericas</w:t>
              </w:r>
              <w:proofErr w:type="spellEnd"/>
              <w:r w:rsidRPr="00132675">
                <w:rPr>
                  <w:rFonts w:ascii="Times New Roman" w:eastAsia="Times New Roman" w:hAnsi="Times New Roman" w:cs="Times New Roman"/>
                  <w:sz w:val="16"/>
                  <w:szCs w:val="16"/>
                </w:rPr>
                <w:t xml:space="preserve">, </w:t>
              </w:r>
              <w:proofErr w:type="spellStart"/>
              <w:r w:rsidRPr="00132675">
                <w:rPr>
                  <w:rFonts w:ascii="Times New Roman" w:eastAsia="Times New Roman" w:hAnsi="Times New Roman" w:cs="Times New Roman"/>
                  <w:sz w:val="16"/>
                  <w:szCs w:val="16"/>
                </w:rPr>
                <w:t>Equality</w:t>
              </w:r>
              <w:proofErr w:type="spellEnd"/>
              <w:r w:rsidRPr="00132675">
                <w:rPr>
                  <w:rFonts w:ascii="Times New Roman" w:eastAsia="Times New Roman" w:hAnsi="Times New Roman" w:cs="Times New Roman"/>
                  <w:sz w:val="16"/>
                  <w:szCs w:val="16"/>
                </w:rPr>
                <w:t xml:space="preserve"> </w:t>
              </w:r>
              <w:proofErr w:type="spellStart"/>
              <w:r w:rsidRPr="00132675">
                <w:rPr>
                  <w:rFonts w:ascii="Times New Roman" w:eastAsia="Times New Roman" w:hAnsi="Times New Roman" w:cs="Times New Roman"/>
                  <w:sz w:val="16"/>
                  <w:szCs w:val="16"/>
                </w:rPr>
                <w:t>Now</w:t>
              </w:r>
              <w:proofErr w:type="spellEnd"/>
              <w:r w:rsidRPr="00132675">
                <w:rPr>
                  <w:rFonts w:ascii="Times New Roman" w:eastAsia="Times New Roman" w:hAnsi="Times New Roman" w:cs="Times New Roman"/>
                  <w:sz w:val="16"/>
                  <w:szCs w:val="16"/>
                </w:rPr>
                <w:t>: Guía para legislar sobre violencia sexual: enfoque centrado en el consentimiento. 2025: https://equalitynow.storage.googleapis.com/wp-content/uploads/2024/11/24141433/EN-LAC-Sexual-Violence-Model-Law-ESP-06.pdf</w:t>
              </w:r>
            </w:sdtContent>
          </w:sdt>
        </w:p>
      </w:sdtContent>
    </w:sdt>
  </w:footnote>
  <w:footnote w:id="14">
    <w:p w14:paraId="0000007F" w14:textId="77777777" w:rsidR="00DD133F" w:rsidRPr="000E6682" w:rsidRDefault="00EF4153">
      <w:pPr>
        <w:spacing w:line="240" w:lineRule="auto"/>
        <w:rPr>
          <w:rFonts w:ascii="Times New Roman" w:eastAsia="Times New Roman" w:hAnsi="Times New Roman" w:cs="Times New Roman"/>
          <w:sz w:val="16"/>
          <w:szCs w:val="16"/>
        </w:rPr>
      </w:pPr>
      <w:r w:rsidRPr="000E6682">
        <w:rPr>
          <w:rFonts w:ascii="Times New Roman" w:hAnsi="Times New Roman" w:cs="Times New Roman"/>
          <w:sz w:val="16"/>
          <w:szCs w:val="16"/>
          <w:vertAlign w:val="superscript"/>
        </w:rPr>
        <w:footnoteRef/>
      </w:r>
      <w:r w:rsidRPr="000E6682">
        <w:rPr>
          <w:rFonts w:ascii="Times New Roman" w:eastAsia="Times New Roman" w:hAnsi="Times New Roman" w:cs="Times New Roman"/>
          <w:sz w:val="16"/>
          <w:szCs w:val="16"/>
        </w:rPr>
        <w:t xml:space="preserve"> Fundación para la Equidad, A.C., Centros de Justicia para las Mujeres, Informe nacional 2018-2021,</w:t>
      </w:r>
      <w:hyperlink r:id="rId7">
        <w:r w:rsidRPr="000E6682">
          <w:rPr>
            <w:rFonts w:ascii="Times New Roman" w:eastAsia="Times New Roman" w:hAnsi="Times New Roman" w:cs="Times New Roman"/>
            <w:sz w:val="16"/>
            <w:szCs w:val="16"/>
          </w:rPr>
          <w:t xml:space="preserve"> </w:t>
        </w:r>
      </w:hyperlink>
      <w:hyperlink r:id="rId8">
        <w:r w:rsidRPr="000E6682">
          <w:rPr>
            <w:rFonts w:ascii="Times New Roman" w:eastAsia="Times New Roman" w:hAnsi="Times New Roman" w:cs="Times New Roman"/>
            <w:color w:val="0000FF"/>
            <w:sz w:val="16"/>
            <w:szCs w:val="16"/>
          </w:rPr>
          <w:t>https://equis.org.mx/centros-de-justicia-para-las-mujeres-informe-nacional-2018-2021/</w:t>
        </w:r>
      </w:hyperlink>
    </w:p>
  </w:footnote>
  <w:footnote w:id="15">
    <w:p w14:paraId="00000080" w14:textId="77777777" w:rsidR="00DD133F" w:rsidRPr="000E6682" w:rsidRDefault="00EF4153">
      <w:pPr>
        <w:spacing w:line="240" w:lineRule="auto"/>
        <w:rPr>
          <w:rFonts w:ascii="Times New Roman" w:eastAsia="Times New Roman" w:hAnsi="Times New Roman" w:cs="Times New Roman"/>
          <w:sz w:val="16"/>
          <w:szCs w:val="16"/>
        </w:rPr>
      </w:pPr>
      <w:r w:rsidRPr="000E6682">
        <w:rPr>
          <w:rFonts w:ascii="Times New Roman" w:hAnsi="Times New Roman" w:cs="Times New Roman"/>
          <w:sz w:val="16"/>
          <w:szCs w:val="16"/>
          <w:vertAlign w:val="superscript"/>
        </w:rPr>
        <w:footnoteRef/>
      </w:r>
      <w:r w:rsidRPr="000E6682">
        <w:rPr>
          <w:rFonts w:ascii="Times New Roman" w:eastAsia="Times New Roman" w:hAnsi="Times New Roman" w:cs="Times New Roman"/>
          <w:sz w:val="16"/>
          <w:szCs w:val="16"/>
        </w:rPr>
        <w:t xml:space="preserve"> INEGI, Encuesta Nacional de Victimización y Percepción sobre Seguridad Pública (ENVIPE) 2024, </w:t>
      </w:r>
      <w:hyperlink r:id="rId9">
        <w:r w:rsidRPr="000E6682">
          <w:rPr>
            <w:rFonts w:ascii="Times New Roman" w:eastAsia="Times New Roman" w:hAnsi="Times New Roman" w:cs="Times New Roman"/>
            <w:color w:val="1155CC"/>
            <w:sz w:val="16"/>
            <w:szCs w:val="16"/>
            <w:u w:val="single"/>
          </w:rPr>
          <w:t>https://www.inegi.org.mx/programas/envipe/2024/</w:t>
        </w:r>
      </w:hyperlink>
    </w:p>
  </w:footnote>
  <w:footnote w:id="16">
    <w:p w14:paraId="002461CC" w14:textId="26D77E5F" w:rsidR="00E3367F" w:rsidRPr="000E6682" w:rsidRDefault="00E3367F">
      <w:pPr>
        <w:pStyle w:val="Textonotapie"/>
        <w:rPr>
          <w:rFonts w:ascii="Times New Roman" w:hAnsi="Times New Roman" w:cs="Times New Roman"/>
          <w:sz w:val="16"/>
          <w:szCs w:val="16"/>
        </w:rPr>
      </w:pPr>
      <w:r w:rsidRPr="000E6682">
        <w:rPr>
          <w:rStyle w:val="Refdenotaalpie"/>
          <w:rFonts w:ascii="Times New Roman" w:hAnsi="Times New Roman" w:cs="Times New Roman"/>
          <w:sz w:val="16"/>
          <w:szCs w:val="16"/>
        </w:rPr>
        <w:footnoteRef/>
      </w:r>
      <w:r w:rsidRPr="000E6682">
        <w:rPr>
          <w:rFonts w:ascii="Times New Roman" w:hAnsi="Times New Roman" w:cs="Times New Roman"/>
          <w:sz w:val="16"/>
          <w:szCs w:val="16"/>
        </w:rPr>
        <w:t xml:space="preserve"> </w:t>
      </w:r>
      <w:r w:rsidRPr="000E6682">
        <w:rPr>
          <w:rFonts w:ascii="Times New Roman" w:hAnsi="Times New Roman" w:cs="Times New Roman"/>
          <w:color w:val="000000"/>
          <w:sz w:val="16"/>
          <w:szCs w:val="16"/>
        </w:rPr>
        <w:t>Porcentaje de delitos cometidos en los cuales no hubo denuncia o no se inició una carpeta de investigación.</w:t>
      </w:r>
    </w:p>
  </w:footnote>
  <w:footnote w:id="17">
    <w:p w14:paraId="00000081" w14:textId="77777777" w:rsidR="00DD133F" w:rsidRPr="000E6682" w:rsidRDefault="00EF4153">
      <w:pPr>
        <w:pBdr>
          <w:top w:val="nil"/>
          <w:left w:val="nil"/>
          <w:bottom w:val="nil"/>
          <w:right w:val="nil"/>
          <w:between w:val="nil"/>
        </w:pBdr>
        <w:spacing w:line="240" w:lineRule="auto"/>
        <w:rPr>
          <w:rFonts w:ascii="Times New Roman" w:hAnsi="Times New Roman" w:cs="Times New Roman"/>
          <w:color w:val="000000"/>
          <w:sz w:val="16"/>
          <w:szCs w:val="16"/>
        </w:rPr>
      </w:pPr>
      <w:r w:rsidRPr="000E6682">
        <w:rPr>
          <w:rFonts w:ascii="Times New Roman" w:hAnsi="Times New Roman" w:cs="Times New Roman"/>
          <w:sz w:val="16"/>
          <w:szCs w:val="16"/>
          <w:vertAlign w:val="superscript"/>
        </w:rPr>
        <w:footnoteRef/>
      </w:r>
      <w:r w:rsidRPr="000E6682">
        <w:rPr>
          <w:rFonts w:ascii="Times New Roman" w:hAnsi="Times New Roman" w:cs="Times New Roman"/>
          <w:color w:val="000000"/>
          <w:sz w:val="16"/>
          <w:szCs w:val="16"/>
        </w:rPr>
        <w:t xml:space="preserve"> </w:t>
      </w:r>
      <w:proofErr w:type="spellStart"/>
      <w:r w:rsidRPr="000E6682">
        <w:rPr>
          <w:rFonts w:ascii="Times New Roman" w:eastAsia="Times New Roman" w:hAnsi="Times New Roman" w:cs="Times New Roman"/>
          <w:color w:val="000000"/>
          <w:sz w:val="16"/>
          <w:szCs w:val="16"/>
        </w:rPr>
        <w:t>Op</w:t>
      </w:r>
      <w:proofErr w:type="spellEnd"/>
      <w:r w:rsidRPr="000E6682">
        <w:rPr>
          <w:rFonts w:ascii="Times New Roman" w:eastAsia="Times New Roman" w:hAnsi="Times New Roman" w:cs="Times New Roman"/>
          <w:color w:val="000000"/>
          <w:sz w:val="16"/>
          <w:szCs w:val="16"/>
        </w:rPr>
        <w:t xml:space="preserve">. </w:t>
      </w:r>
      <w:proofErr w:type="spellStart"/>
      <w:r w:rsidRPr="000E6682">
        <w:rPr>
          <w:rFonts w:ascii="Times New Roman" w:eastAsia="Times New Roman" w:hAnsi="Times New Roman" w:cs="Times New Roman"/>
          <w:color w:val="000000"/>
          <w:sz w:val="16"/>
          <w:szCs w:val="16"/>
        </w:rPr>
        <w:t>Cit</w:t>
      </w:r>
      <w:proofErr w:type="spellEnd"/>
      <w:r w:rsidRPr="000E6682">
        <w:rPr>
          <w:rFonts w:ascii="Times New Roman" w:eastAsia="Times New Roman" w:hAnsi="Times New Roman" w:cs="Times New Roman"/>
          <w:color w:val="000000"/>
          <w:sz w:val="16"/>
          <w:szCs w:val="16"/>
        </w:rPr>
        <w:t>, nota 43</w:t>
      </w:r>
    </w:p>
  </w:footnote>
  <w:footnote w:id="18">
    <w:sdt>
      <w:sdtPr>
        <w:rPr>
          <w:rFonts w:ascii="Times New Roman" w:hAnsi="Times New Roman" w:cs="Times New Roman"/>
          <w:sz w:val="16"/>
          <w:szCs w:val="16"/>
        </w:rPr>
        <w:tag w:val="goog_rdk_531"/>
        <w:id w:val="807592791"/>
      </w:sdtPr>
      <w:sdtEndPr/>
      <w:sdtContent>
        <w:p w14:paraId="3D083A88" w14:textId="77777777" w:rsidR="001C4427" w:rsidRPr="003515BB" w:rsidRDefault="001C4427" w:rsidP="001C4427">
          <w:pPr>
            <w:rPr>
              <w:rFonts w:ascii="Times New Roman" w:hAnsi="Times New Roman" w:cs="Times New Roman"/>
              <w:color w:val="000000"/>
              <w:sz w:val="16"/>
              <w:szCs w:val="16"/>
            </w:rPr>
          </w:pPr>
          <w:r w:rsidRPr="003515BB">
            <w:rPr>
              <w:rFonts w:ascii="Times New Roman" w:hAnsi="Times New Roman" w:cs="Times New Roman"/>
              <w:sz w:val="16"/>
              <w:szCs w:val="16"/>
              <w:vertAlign w:val="superscript"/>
            </w:rPr>
            <w:footnoteRef/>
          </w:r>
          <w:sdt>
            <w:sdtPr>
              <w:rPr>
                <w:rFonts w:ascii="Times New Roman" w:hAnsi="Times New Roman" w:cs="Times New Roman"/>
                <w:sz w:val="16"/>
                <w:szCs w:val="16"/>
              </w:rPr>
              <w:tag w:val="goog_rdk_530"/>
              <w:id w:val="1503546697"/>
            </w:sdtPr>
            <w:sdtEndPr/>
            <w:sdtContent>
              <w:r w:rsidRPr="003515BB">
                <w:rPr>
                  <w:rFonts w:ascii="Times New Roman" w:hAnsi="Times New Roman" w:cs="Times New Roman"/>
                  <w:color w:val="000000"/>
                  <w:sz w:val="16"/>
                  <w:szCs w:val="16"/>
                </w:rPr>
                <w:t xml:space="preserve"> CIMAC. Defensoras manifiestan sus razones contra Reforma al Poder Judicial. 04 de septiembre de 2024. Disponible en: </w:t>
              </w:r>
              <w:hyperlink r:id="rId10" w:history="1">
                <w:r w:rsidRPr="003515BB">
                  <w:rPr>
                    <w:rFonts w:ascii="Times New Roman" w:hAnsi="Times New Roman" w:cs="Times New Roman"/>
                    <w:color w:val="000000"/>
                    <w:sz w:val="16"/>
                    <w:szCs w:val="16"/>
                  </w:rPr>
                  <w:t>https://cimacnoticias.com.mx/2024/09/04/defensoras-manifiestan-sus-razones-contra-reforma-al-poder-judicial/</w:t>
                </w:r>
              </w:hyperlink>
              <w:r w:rsidRPr="003515BB">
                <w:rPr>
                  <w:rFonts w:ascii="Times New Roman" w:hAnsi="Times New Roman" w:cs="Times New Roman"/>
                  <w:color w:val="000000"/>
                  <w:sz w:val="16"/>
                  <w:szCs w:val="16"/>
                </w:rPr>
                <w:t xml:space="preserve"> </w:t>
              </w:r>
            </w:sdtContent>
          </w:sdt>
        </w:p>
      </w:sdtContent>
    </w:sdt>
  </w:footnote>
  <w:footnote w:id="19">
    <w:sdt>
      <w:sdtPr>
        <w:rPr>
          <w:rFonts w:ascii="Times New Roman" w:hAnsi="Times New Roman" w:cs="Times New Roman"/>
          <w:sz w:val="16"/>
          <w:szCs w:val="16"/>
        </w:rPr>
        <w:tag w:val="goog_rdk_480"/>
        <w:id w:val="-385418649"/>
      </w:sdtPr>
      <w:sdtEndPr/>
      <w:sdtContent>
        <w:p w14:paraId="634FEA25" w14:textId="77777777" w:rsidR="003F0CA1" w:rsidRPr="003515BB" w:rsidRDefault="003F0CA1" w:rsidP="003F0CA1">
          <w:pPr>
            <w:rPr>
              <w:rFonts w:ascii="Times New Roman" w:hAnsi="Times New Roman" w:cs="Times New Roman"/>
              <w:color w:val="000000"/>
              <w:sz w:val="16"/>
              <w:szCs w:val="16"/>
            </w:rPr>
          </w:pPr>
          <w:r w:rsidRPr="003515BB">
            <w:rPr>
              <w:rFonts w:ascii="Times New Roman" w:hAnsi="Times New Roman" w:cs="Times New Roman"/>
              <w:sz w:val="16"/>
              <w:szCs w:val="16"/>
              <w:vertAlign w:val="superscript"/>
            </w:rPr>
            <w:footnoteRef/>
          </w:r>
          <w:sdt>
            <w:sdtPr>
              <w:rPr>
                <w:rFonts w:ascii="Times New Roman" w:hAnsi="Times New Roman" w:cs="Times New Roman"/>
                <w:sz w:val="16"/>
                <w:szCs w:val="16"/>
              </w:rPr>
              <w:tag w:val="goog_rdk_479"/>
              <w:id w:val="-1494491429"/>
            </w:sdtPr>
            <w:sdtEndPr/>
            <w:sdtContent>
              <w:r w:rsidRPr="003515BB">
                <w:rPr>
                  <w:rFonts w:ascii="Times New Roman" w:hAnsi="Times New Roman" w:cs="Times New Roman"/>
                  <w:color w:val="000000"/>
                  <w:sz w:val="16"/>
                  <w:szCs w:val="16"/>
                </w:rPr>
                <w:t xml:space="preserve"> Corte IDH. Caso Rosendo Cantú y otra Vs. México. Excepción Preliminar, Fondo, Reparaciones y Costas. Sentencia de 31 de agosto de 2010. Serie C No. 216, punto resolutivo 16 u párr. 242; y Caso Fernández Ortega y otros. ss. </w:t>
              </w:r>
              <w:proofErr w:type="spellStart"/>
              <w:r w:rsidRPr="003515BB">
                <w:rPr>
                  <w:rFonts w:ascii="Times New Roman" w:hAnsi="Times New Roman" w:cs="Times New Roman"/>
                  <w:color w:val="000000"/>
                  <w:sz w:val="16"/>
                  <w:szCs w:val="16"/>
                </w:rPr>
                <w:t>México</w:t>
              </w:r>
              <w:proofErr w:type="spellEnd"/>
              <w:r w:rsidRPr="003515BB">
                <w:rPr>
                  <w:rFonts w:ascii="Times New Roman" w:hAnsi="Times New Roman" w:cs="Times New Roman"/>
                  <w:color w:val="000000"/>
                  <w:sz w:val="16"/>
                  <w:szCs w:val="16"/>
                </w:rPr>
                <w:t>. Excepción Preliminar, Fondo, Reparaciones y Costas. Sentencia de 30 de agosto de 2010. Serie C No. 215, punto resolutivo 18 y párr. 256.</w:t>
              </w:r>
            </w:sdtContent>
          </w:sdt>
        </w:p>
      </w:sdtContent>
    </w:sdt>
  </w:footnote>
  <w:footnote w:id="20">
    <w:sdt>
      <w:sdtPr>
        <w:rPr>
          <w:rFonts w:ascii="Times New Roman" w:hAnsi="Times New Roman" w:cs="Times New Roman"/>
          <w:sz w:val="16"/>
          <w:szCs w:val="16"/>
        </w:rPr>
        <w:tag w:val="goog_rdk_486"/>
        <w:id w:val="1106620631"/>
      </w:sdtPr>
      <w:sdtEndPr/>
      <w:sdtContent>
        <w:p w14:paraId="0BD67C44" w14:textId="77777777" w:rsidR="003F0CA1" w:rsidRPr="003515BB" w:rsidRDefault="003F0CA1" w:rsidP="003F0CA1">
          <w:pPr>
            <w:rPr>
              <w:rFonts w:ascii="Times New Roman" w:hAnsi="Times New Roman" w:cs="Times New Roman"/>
              <w:color w:val="000000"/>
              <w:sz w:val="16"/>
              <w:szCs w:val="16"/>
            </w:rPr>
          </w:pPr>
          <w:r w:rsidRPr="003515BB">
            <w:rPr>
              <w:rFonts w:ascii="Times New Roman" w:hAnsi="Times New Roman" w:cs="Times New Roman"/>
              <w:sz w:val="16"/>
              <w:szCs w:val="16"/>
              <w:vertAlign w:val="superscript"/>
            </w:rPr>
            <w:footnoteRef/>
          </w:r>
          <w:sdt>
            <w:sdtPr>
              <w:rPr>
                <w:rFonts w:ascii="Times New Roman" w:hAnsi="Times New Roman" w:cs="Times New Roman"/>
                <w:sz w:val="16"/>
                <w:szCs w:val="16"/>
              </w:rPr>
              <w:tag w:val="goog_rdk_485"/>
              <w:id w:val="1089745180"/>
            </w:sdtPr>
            <w:sdtEndPr/>
            <w:sdtContent>
              <w:r w:rsidRPr="003515BB">
                <w:rPr>
                  <w:rFonts w:ascii="Times New Roman" w:hAnsi="Times New Roman" w:cs="Times New Roman"/>
                  <w:color w:val="000000"/>
                  <w:sz w:val="16"/>
                  <w:szCs w:val="16"/>
                </w:rPr>
                <w:t xml:space="preserve"> Ibid.</w:t>
              </w:r>
            </w:sdtContent>
          </w:sdt>
        </w:p>
      </w:sdtContent>
    </w:sdt>
  </w:footnote>
  <w:footnote w:id="21">
    <w:sdt>
      <w:sdtPr>
        <w:rPr>
          <w:rFonts w:ascii="Times New Roman" w:hAnsi="Times New Roman" w:cs="Times New Roman"/>
          <w:sz w:val="16"/>
          <w:szCs w:val="16"/>
        </w:rPr>
        <w:tag w:val="goog_rdk_499"/>
        <w:id w:val="402647273"/>
      </w:sdtPr>
      <w:sdtEndPr/>
      <w:sdtContent>
        <w:p w14:paraId="3E69E29E" w14:textId="77777777" w:rsidR="003F0CA1" w:rsidRPr="003515BB" w:rsidRDefault="003F0CA1" w:rsidP="003F0CA1">
          <w:pPr>
            <w:rPr>
              <w:rFonts w:ascii="Times New Roman" w:hAnsi="Times New Roman" w:cs="Times New Roman"/>
              <w:color w:val="000000"/>
              <w:sz w:val="16"/>
              <w:szCs w:val="16"/>
            </w:rPr>
          </w:pPr>
          <w:r w:rsidRPr="003515BB">
            <w:rPr>
              <w:rFonts w:ascii="Times New Roman" w:hAnsi="Times New Roman" w:cs="Times New Roman"/>
              <w:sz w:val="16"/>
              <w:szCs w:val="16"/>
              <w:vertAlign w:val="superscript"/>
            </w:rPr>
            <w:footnoteRef/>
          </w:r>
          <w:sdt>
            <w:sdtPr>
              <w:rPr>
                <w:rFonts w:ascii="Times New Roman" w:hAnsi="Times New Roman" w:cs="Times New Roman"/>
                <w:sz w:val="16"/>
                <w:szCs w:val="16"/>
              </w:rPr>
              <w:tag w:val="goog_rdk_498"/>
              <w:id w:val="-572283556"/>
            </w:sdtPr>
            <w:sdtEndPr/>
            <w:sdtContent>
              <w:r w:rsidRPr="003515BB">
                <w:rPr>
                  <w:rFonts w:ascii="Times New Roman" w:hAnsi="Times New Roman" w:cs="Times New Roman"/>
                  <w:color w:val="000000"/>
                  <w:sz w:val="16"/>
                  <w:szCs w:val="16"/>
                </w:rPr>
                <w:t xml:space="preserve">Fiscalía General de la Nación, Protocolo de Investigación Ministerial, Policial y Pericial con Perspectiva de Género para la Violencia Sexual,  Disponible en: </w:t>
              </w:r>
              <w:hyperlink r:id="rId11" w:history="1">
                <w:r w:rsidRPr="003515BB">
                  <w:rPr>
                    <w:rFonts w:ascii="Times New Roman" w:hAnsi="Times New Roman" w:cs="Times New Roman"/>
                    <w:color w:val="000000"/>
                    <w:sz w:val="16"/>
                    <w:szCs w:val="16"/>
                  </w:rPr>
                  <w:t>https://www.fiscalia.gov.co/colombia/wp-content/uploads/2020/07/Protocolo-Violencia-Sexual.pdf</w:t>
                </w:r>
              </w:hyperlink>
              <w:r w:rsidRPr="003515BB">
                <w:rPr>
                  <w:rFonts w:ascii="Times New Roman" w:hAnsi="Times New Roman" w:cs="Times New Roman"/>
                  <w:color w:val="000000"/>
                  <w:sz w:val="16"/>
                  <w:szCs w:val="16"/>
                </w:rPr>
                <w:t xml:space="preserve">  </w:t>
              </w:r>
            </w:sdtContent>
          </w:sdt>
        </w:p>
      </w:sdtContent>
    </w:sdt>
  </w:footnote>
  <w:footnote w:id="22">
    <w:sdt>
      <w:sdtPr>
        <w:rPr>
          <w:rFonts w:ascii="Times New Roman" w:hAnsi="Times New Roman" w:cs="Times New Roman"/>
          <w:sz w:val="16"/>
          <w:szCs w:val="16"/>
        </w:rPr>
        <w:tag w:val="goog_rdk_501"/>
        <w:id w:val="-963423003"/>
      </w:sdtPr>
      <w:sdtEndPr/>
      <w:sdtContent>
        <w:p w14:paraId="7F279DCA" w14:textId="77777777" w:rsidR="003F0CA1" w:rsidRPr="003515BB" w:rsidRDefault="003F0CA1" w:rsidP="003F0CA1">
          <w:pPr>
            <w:rPr>
              <w:rFonts w:ascii="Times New Roman" w:hAnsi="Times New Roman" w:cs="Times New Roman"/>
              <w:color w:val="000000"/>
              <w:sz w:val="16"/>
              <w:szCs w:val="16"/>
            </w:rPr>
          </w:pPr>
          <w:r w:rsidRPr="003515BB">
            <w:rPr>
              <w:rFonts w:ascii="Times New Roman" w:hAnsi="Times New Roman" w:cs="Times New Roman"/>
              <w:sz w:val="16"/>
              <w:szCs w:val="16"/>
              <w:vertAlign w:val="superscript"/>
            </w:rPr>
            <w:footnoteRef/>
          </w:r>
          <w:sdt>
            <w:sdtPr>
              <w:rPr>
                <w:rFonts w:ascii="Times New Roman" w:hAnsi="Times New Roman" w:cs="Times New Roman"/>
                <w:sz w:val="16"/>
                <w:szCs w:val="16"/>
              </w:rPr>
              <w:tag w:val="goog_rdk_500"/>
              <w:id w:val="-1539740250"/>
            </w:sdtPr>
            <w:sdtEndPr/>
            <w:sdtContent>
              <w:r w:rsidRPr="003515BB">
                <w:rPr>
                  <w:rFonts w:ascii="Times New Roman" w:hAnsi="Times New Roman" w:cs="Times New Roman"/>
                  <w:color w:val="000000"/>
                  <w:sz w:val="16"/>
                  <w:szCs w:val="16"/>
                </w:rPr>
                <w:t xml:space="preserve"> Fiscalía General del Estado de Guerrero, Protocolo para la Atención e Investigación Ministerial, Policial y Pericial de los Delitos contra la Libertad Sexual y Normal Desarrollo Psicosexual en el Estado de Guerrero, [en línea] Disponible en: </w:t>
              </w:r>
              <w:hyperlink r:id="rId12" w:history="1">
                <w:r w:rsidRPr="003515BB">
                  <w:rPr>
                    <w:rFonts w:ascii="Times New Roman" w:hAnsi="Times New Roman" w:cs="Times New Roman"/>
                    <w:color w:val="000000"/>
                    <w:sz w:val="16"/>
                    <w:szCs w:val="16"/>
                  </w:rPr>
                  <w:t>https://guerrero.gob.mx/wp-content/uploads/2021/02/Protocolo-Guerrero.pdf</w:t>
                </w:r>
              </w:hyperlink>
            </w:sdtContent>
          </w:sdt>
        </w:p>
      </w:sdtContent>
    </w:sdt>
  </w:footnote>
  <w:footnote w:id="23">
    <w:sdt>
      <w:sdtPr>
        <w:rPr>
          <w:rFonts w:ascii="Times New Roman" w:hAnsi="Times New Roman" w:cs="Times New Roman"/>
          <w:sz w:val="16"/>
          <w:szCs w:val="16"/>
        </w:rPr>
        <w:tag w:val="goog_rdk_503"/>
        <w:id w:val="831873923"/>
      </w:sdtPr>
      <w:sdtEndPr/>
      <w:sdtContent>
        <w:p w14:paraId="2DDD38C8" w14:textId="77777777" w:rsidR="003F0CA1" w:rsidRPr="003515BB" w:rsidRDefault="003F0CA1" w:rsidP="003F0CA1">
          <w:pPr>
            <w:rPr>
              <w:rFonts w:ascii="Times New Roman" w:hAnsi="Times New Roman" w:cs="Times New Roman"/>
              <w:color w:val="000000"/>
              <w:sz w:val="16"/>
              <w:szCs w:val="16"/>
            </w:rPr>
          </w:pPr>
          <w:r w:rsidRPr="003515BB">
            <w:rPr>
              <w:rFonts w:ascii="Times New Roman" w:hAnsi="Times New Roman" w:cs="Times New Roman"/>
              <w:sz w:val="16"/>
              <w:szCs w:val="16"/>
              <w:vertAlign w:val="superscript"/>
            </w:rPr>
            <w:footnoteRef/>
          </w:r>
          <w:sdt>
            <w:sdtPr>
              <w:rPr>
                <w:rFonts w:ascii="Times New Roman" w:hAnsi="Times New Roman" w:cs="Times New Roman"/>
                <w:sz w:val="16"/>
                <w:szCs w:val="16"/>
              </w:rPr>
              <w:tag w:val="goog_rdk_502"/>
              <w:id w:val="984434206"/>
            </w:sdtPr>
            <w:sdtEndPr/>
            <w:sdtContent>
              <w:r w:rsidRPr="003515BB">
                <w:rPr>
                  <w:rFonts w:ascii="Times New Roman" w:hAnsi="Times New Roman" w:cs="Times New Roman"/>
                  <w:color w:val="000000"/>
                  <w:sz w:val="16"/>
                  <w:szCs w:val="16"/>
                </w:rPr>
                <w:t xml:space="preserve"> Secretaría de Salud Federal, Programa de Acción Específico de Salud Sexual y Reproductiva 2020-2024 del Plan de Desarrollo, [en línea] Disponible en: </w:t>
              </w:r>
              <w:hyperlink r:id="rId13" w:history="1">
                <w:r w:rsidRPr="003515BB">
                  <w:rPr>
                    <w:rFonts w:ascii="Times New Roman" w:hAnsi="Times New Roman" w:cs="Times New Roman"/>
                    <w:color w:val="000000"/>
                    <w:sz w:val="16"/>
                    <w:szCs w:val="16"/>
                  </w:rPr>
                  <w:t>https://www.gob.mx/salud/documentos/programa-de-accion-especifico-de-salud-sexual-y-reproductiva-2020-2024</w:t>
                </w:r>
              </w:hyperlink>
            </w:sdtContent>
          </w:sdt>
        </w:p>
      </w:sdtContent>
    </w:sdt>
  </w:footnote>
  <w:footnote w:id="24">
    <w:sdt>
      <w:sdtPr>
        <w:rPr>
          <w:rFonts w:ascii="Times New Roman" w:hAnsi="Times New Roman" w:cs="Times New Roman"/>
          <w:sz w:val="16"/>
          <w:szCs w:val="16"/>
        </w:rPr>
        <w:tag w:val="goog_rdk_521"/>
        <w:id w:val="868881936"/>
      </w:sdtPr>
      <w:sdtEndPr/>
      <w:sdtContent>
        <w:p w14:paraId="1AD827CD" w14:textId="77777777" w:rsidR="003F0CA1" w:rsidRPr="00E51883" w:rsidRDefault="003F0CA1" w:rsidP="00E51883">
          <w:pPr>
            <w:spacing w:line="240" w:lineRule="auto"/>
            <w:jc w:val="both"/>
            <w:rPr>
              <w:rFonts w:ascii="Times New Roman" w:hAnsi="Times New Roman" w:cs="Times New Roman"/>
              <w:color w:val="000000"/>
              <w:sz w:val="16"/>
              <w:szCs w:val="16"/>
            </w:rPr>
          </w:pPr>
          <w:r w:rsidRPr="00E51883">
            <w:rPr>
              <w:rFonts w:ascii="Times New Roman" w:hAnsi="Times New Roman" w:cs="Times New Roman"/>
              <w:sz w:val="16"/>
              <w:szCs w:val="16"/>
              <w:vertAlign w:val="superscript"/>
            </w:rPr>
            <w:footnoteRef/>
          </w:r>
          <w:sdt>
            <w:sdtPr>
              <w:rPr>
                <w:rFonts w:ascii="Times New Roman" w:hAnsi="Times New Roman" w:cs="Times New Roman"/>
                <w:sz w:val="16"/>
                <w:szCs w:val="16"/>
              </w:rPr>
              <w:tag w:val="goog_rdk_520"/>
              <w:id w:val="-101499690"/>
            </w:sdtPr>
            <w:sdtEndPr/>
            <w:sdtContent>
              <w:r w:rsidRPr="00E51883">
                <w:rPr>
                  <w:rFonts w:ascii="Times New Roman" w:hAnsi="Times New Roman" w:cs="Times New Roman"/>
                  <w:color w:val="000000"/>
                  <w:sz w:val="16"/>
                  <w:szCs w:val="16"/>
                </w:rPr>
                <w:t xml:space="preserve"> Gobierno de México, Unidad de Género. Protocolo de investigación ministerial, pericial y policial con perspectiva de género para la violencia sexual. Disponible en: </w:t>
              </w:r>
              <w:hyperlink r:id="rId14" w:history="1">
                <w:r w:rsidRPr="00E51883">
                  <w:rPr>
                    <w:rFonts w:ascii="Times New Roman" w:hAnsi="Times New Roman" w:cs="Times New Roman"/>
                    <w:color w:val="000000"/>
                    <w:sz w:val="16"/>
                    <w:szCs w:val="16"/>
                  </w:rPr>
                  <w:t>https://unidaddegenerosgg.edomex.gob.mx/sites/unidaddegenerosgg.edomex.gob.mx/files/files/Biblioteca%202022/Género%20y%20seguridad/GSEG-9%20Protocolo%20de%20investigación%20ministerial%2C%20pericial%20y%20policial%20con%20perspectiva%20de%20género%20para%20la%20violencia.%20PGR.pdf</w:t>
                </w:r>
              </w:hyperlink>
            </w:sdtContent>
          </w:sdt>
        </w:p>
      </w:sdtContent>
    </w:sdt>
  </w:footnote>
  <w:footnote w:id="25">
    <w:p w14:paraId="00000083" w14:textId="7E48665A" w:rsidR="00DD133F" w:rsidRPr="00E51883" w:rsidRDefault="00EF4153" w:rsidP="00E51883">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sidRPr="00E51883">
        <w:rPr>
          <w:rFonts w:ascii="Times New Roman" w:hAnsi="Times New Roman" w:cs="Times New Roman"/>
          <w:sz w:val="16"/>
          <w:szCs w:val="16"/>
          <w:vertAlign w:val="superscript"/>
        </w:rPr>
        <w:footnoteRef/>
      </w:r>
      <w:r w:rsidRPr="00E51883">
        <w:rPr>
          <w:rFonts w:ascii="Times New Roman" w:eastAsia="Times New Roman" w:hAnsi="Times New Roman" w:cs="Times New Roman"/>
          <w:color w:val="000000"/>
          <w:sz w:val="16"/>
          <w:szCs w:val="16"/>
        </w:rPr>
        <w:t xml:space="preserve"> Anexo 1. Aliadas por la Igualdad y la No Violencia. Desfinanciamiento de la Institucionalidad para la Promoción de la Igualdad Sustantiva y para Prevenir y Atender las Violencias contra las Mujeres y las Niñas.  México: Aliadas, 2025.</w:t>
      </w:r>
    </w:p>
  </w:footnote>
  <w:footnote w:id="26">
    <w:p w14:paraId="7CA6DCDC" w14:textId="05576644" w:rsidR="00EA12AB" w:rsidRPr="00E51883" w:rsidRDefault="00EA12AB" w:rsidP="00E51883">
      <w:pPr>
        <w:pStyle w:val="Textonotapie"/>
        <w:rPr>
          <w:rFonts w:ascii="Times New Roman" w:hAnsi="Times New Roman" w:cs="Times New Roman"/>
          <w:sz w:val="16"/>
          <w:szCs w:val="16"/>
        </w:rPr>
      </w:pPr>
      <w:r w:rsidRPr="00E51883">
        <w:rPr>
          <w:rStyle w:val="Refdenotaalpie"/>
          <w:rFonts w:ascii="Times New Roman" w:hAnsi="Times New Roman" w:cs="Times New Roman"/>
          <w:sz w:val="16"/>
          <w:szCs w:val="16"/>
        </w:rPr>
        <w:footnoteRef/>
      </w:r>
      <w:r w:rsidRPr="00E51883">
        <w:rPr>
          <w:rFonts w:ascii="Times New Roman" w:hAnsi="Times New Roman" w:cs="Times New Roman"/>
          <w:sz w:val="16"/>
          <w:szCs w:val="16"/>
        </w:rPr>
        <w:t xml:space="preserve"> </w:t>
      </w:r>
      <w:r w:rsidRPr="00E51883">
        <w:rPr>
          <w:rFonts w:ascii="Times New Roman" w:hAnsi="Times New Roman" w:cs="Times New Roman"/>
          <w:color w:val="000000"/>
          <w:sz w:val="16"/>
          <w:szCs w:val="16"/>
        </w:rPr>
        <w:t xml:space="preserve">Congreso de los Estados Unidos Mexicanos. Ley Orgánica de la Administración Pública Federal. Publicada el: 20 de marzo de 2025. Disponible en: </w:t>
      </w:r>
      <w:hyperlink r:id="rId15" w:history="1">
        <w:r w:rsidRPr="00E51883">
          <w:rPr>
            <w:rFonts w:ascii="Times New Roman" w:hAnsi="Times New Roman" w:cs="Times New Roman"/>
            <w:color w:val="000000"/>
            <w:sz w:val="16"/>
            <w:szCs w:val="16"/>
          </w:rPr>
          <w:t>https://www.diputados.gob.mx/LeyesBiblio/pdf/LOAPF.pdf</w:t>
        </w:r>
      </w:hyperlink>
    </w:p>
  </w:footnote>
  <w:footnote w:id="27">
    <w:p w14:paraId="63D91BC8" w14:textId="527DE903" w:rsidR="00EA12AB" w:rsidRPr="00952A6F" w:rsidRDefault="00EA12AB">
      <w:pPr>
        <w:pStyle w:val="Textonotapie"/>
        <w:rPr>
          <w:rFonts w:ascii="Times New Roman" w:hAnsi="Times New Roman" w:cs="Times New Roman"/>
          <w:sz w:val="16"/>
          <w:szCs w:val="16"/>
        </w:rPr>
      </w:pPr>
      <w:r w:rsidRPr="00952A6F">
        <w:rPr>
          <w:rStyle w:val="Refdenotaalpie"/>
          <w:rFonts w:ascii="Times New Roman" w:hAnsi="Times New Roman" w:cs="Times New Roman"/>
          <w:sz w:val="16"/>
          <w:szCs w:val="16"/>
        </w:rPr>
        <w:footnoteRef/>
      </w:r>
      <w:r w:rsidRPr="00952A6F">
        <w:rPr>
          <w:rFonts w:ascii="Times New Roman" w:hAnsi="Times New Roman" w:cs="Times New Roman"/>
          <w:sz w:val="16"/>
          <w:szCs w:val="16"/>
        </w:rPr>
        <w:t xml:space="preserve"> </w:t>
      </w:r>
      <w:r w:rsidRPr="00952A6F">
        <w:rPr>
          <w:rFonts w:ascii="Times New Roman" w:hAnsi="Times New Roman" w:cs="Times New Roman"/>
          <w:color w:val="000000"/>
          <w:sz w:val="16"/>
          <w:szCs w:val="16"/>
        </w:rPr>
        <w:t xml:space="preserve">CIMAC. Denuncian despido masivo en </w:t>
      </w:r>
      <w:proofErr w:type="spellStart"/>
      <w:r w:rsidRPr="00952A6F">
        <w:rPr>
          <w:rFonts w:ascii="Times New Roman" w:hAnsi="Times New Roman" w:cs="Times New Roman"/>
          <w:color w:val="000000"/>
          <w:sz w:val="16"/>
          <w:szCs w:val="16"/>
        </w:rPr>
        <w:t>Conavim</w:t>
      </w:r>
      <w:proofErr w:type="spellEnd"/>
      <w:r w:rsidRPr="00952A6F">
        <w:rPr>
          <w:rFonts w:ascii="Times New Roman" w:hAnsi="Times New Roman" w:cs="Times New Roman"/>
          <w:color w:val="000000"/>
          <w:sz w:val="16"/>
          <w:szCs w:val="16"/>
        </w:rPr>
        <w:t xml:space="preserve"> contra 100 trabajadoras. Exigen respuestas a Citlalli Hernández. 06 de enero de 2025. Disponible en: </w:t>
      </w:r>
      <w:hyperlink r:id="rId16" w:history="1">
        <w:r w:rsidRPr="00952A6F">
          <w:rPr>
            <w:rFonts w:ascii="Times New Roman" w:hAnsi="Times New Roman" w:cs="Times New Roman"/>
            <w:color w:val="000000"/>
            <w:sz w:val="16"/>
            <w:szCs w:val="16"/>
          </w:rPr>
          <w:t>https://cimacnoticias.com.mx/2025/01/06/https-cimacnoticias-com-mx-2024-12-20-denuncian-despido-masivo-en-conavim-contra-100-trabajadoras-exigen-respuestas-a-citlalli-hernandez/</w:t>
        </w:r>
      </w:hyperlink>
    </w:p>
  </w:footnote>
  <w:footnote w:id="28">
    <w:p w14:paraId="00000084" w14:textId="17ECDD1E" w:rsidR="00DD133F" w:rsidRPr="00952A6F" w:rsidRDefault="00EF4153">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sidRPr="00952A6F">
        <w:rPr>
          <w:rFonts w:ascii="Times New Roman" w:hAnsi="Times New Roman" w:cs="Times New Roman"/>
          <w:sz w:val="16"/>
          <w:szCs w:val="16"/>
          <w:vertAlign w:val="superscript"/>
        </w:rPr>
        <w:footnoteRef/>
      </w:r>
      <w:r w:rsidRPr="00952A6F">
        <w:rPr>
          <w:rFonts w:ascii="Times New Roman" w:eastAsia="Times New Roman" w:hAnsi="Times New Roman" w:cs="Times New Roman"/>
          <w:color w:val="000000"/>
          <w:sz w:val="16"/>
          <w:szCs w:val="16"/>
        </w:rPr>
        <w:t xml:space="preserve"> </w:t>
      </w:r>
      <w:r w:rsidR="00952A6F" w:rsidRPr="00952A6F">
        <w:rPr>
          <w:rFonts w:ascii="Times New Roman" w:hAnsi="Times New Roman" w:cs="Times New Roman"/>
          <w:color w:val="000000"/>
          <w:sz w:val="16"/>
          <w:szCs w:val="16"/>
        </w:rPr>
        <w:t>Anexo 1. Aliadas por la Igualdad y la No Violencia. Desfinanciamiento de la Institucionalidad para la Promoción de la Igualdad Sustantiva y para Prevenir y Atender las Violencias contra las Mujeres y las Niñas. México: Aliadas, 2025</w:t>
      </w:r>
    </w:p>
  </w:footnote>
  <w:footnote w:id="29">
    <w:sdt>
      <w:sdtPr>
        <w:rPr>
          <w:rFonts w:ascii="Times New Roman" w:hAnsi="Times New Roman" w:cs="Times New Roman"/>
          <w:sz w:val="16"/>
          <w:szCs w:val="16"/>
        </w:rPr>
        <w:tag w:val="goog_rdk_573"/>
        <w:id w:val="-1407143759"/>
      </w:sdtPr>
      <w:sdtEndPr/>
      <w:sdtContent>
        <w:p w14:paraId="41CB6683" w14:textId="77777777" w:rsidR="00E8010B" w:rsidRPr="008575C9" w:rsidRDefault="00E8010B" w:rsidP="008575C9">
          <w:pPr>
            <w:spacing w:line="240" w:lineRule="auto"/>
            <w:rPr>
              <w:rFonts w:ascii="Times New Roman" w:hAnsi="Times New Roman" w:cs="Times New Roman"/>
              <w:color w:val="000000"/>
              <w:sz w:val="16"/>
              <w:szCs w:val="16"/>
            </w:rPr>
          </w:pPr>
          <w:r w:rsidRPr="008575C9">
            <w:rPr>
              <w:rFonts w:ascii="Times New Roman" w:hAnsi="Times New Roman" w:cs="Times New Roman"/>
              <w:sz w:val="16"/>
              <w:szCs w:val="16"/>
              <w:vertAlign w:val="superscript"/>
            </w:rPr>
            <w:footnoteRef/>
          </w:r>
          <w:sdt>
            <w:sdtPr>
              <w:rPr>
                <w:rFonts w:ascii="Times New Roman" w:hAnsi="Times New Roman" w:cs="Times New Roman"/>
                <w:sz w:val="16"/>
                <w:szCs w:val="16"/>
              </w:rPr>
              <w:tag w:val="goog_rdk_572"/>
              <w:id w:val="-1926798082"/>
            </w:sdtPr>
            <w:sdtEndPr/>
            <w:sdtContent>
              <w:r w:rsidRPr="008575C9">
                <w:rPr>
                  <w:rFonts w:ascii="Times New Roman" w:hAnsi="Times New Roman" w:cs="Times New Roman"/>
                  <w:color w:val="000000"/>
                  <w:sz w:val="16"/>
                  <w:szCs w:val="16"/>
                </w:rPr>
                <w:t xml:space="preserve"> Plataforma de Acción de Beijing. Informe Nacional México. 2024. Disponible en: </w:t>
              </w:r>
              <w:hyperlink r:id="rId17" w:history="1">
                <w:r w:rsidRPr="008575C9">
                  <w:rPr>
                    <w:rFonts w:ascii="Times New Roman" w:hAnsi="Times New Roman" w:cs="Times New Roman"/>
                    <w:color w:val="000000"/>
                    <w:sz w:val="16"/>
                    <w:szCs w:val="16"/>
                  </w:rPr>
                  <w:t>https://www.cepal.org/sites/default/files/static/files/mexico_-_informe_nacional_2.pdf</w:t>
                </w:r>
              </w:hyperlink>
              <w:r w:rsidRPr="008575C9">
                <w:rPr>
                  <w:rFonts w:ascii="Times New Roman" w:hAnsi="Times New Roman" w:cs="Times New Roman"/>
                  <w:color w:val="000000"/>
                  <w:sz w:val="16"/>
                  <w:szCs w:val="16"/>
                </w:rPr>
                <w:t xml:space="preserve"> </w:t>
              </w:r>
            </w:sdtContent>
          </w:sdt>
        </w:p>
      </w:sdtContent>
    </w:sdt>
  </w:footnote>
  <w:footnote w:id="30">
    <w:p w14:paraId="1C0CDDAC" w14:textId="77777777" w:rsidR="00061261" w:rsidRPr="008575C9" w:rsidRDefault="00061261" w:rsidP="00061261">
      <w:pPr>
        <w:pBdr>
          <w:top w:val="nil"/>
          <w:left w:val="nil"/>
          <w:bottom w:val="nil"/>
          <w:right w:val="nil"/>
          <w:between w:val="nil"/>
        </w:pBdr>
        <w:spacing w:line="240" w:lineRule="auto"/>
        <w:jc w:val="both"/>
        <w:rPr>
          <w:rFonts w:ascii="Times New Roman" w:eastAsia="Times New Roman" w:hAnsi="Times New Roman" w:cs="Times New Roman"/>
          <w:sz w:val="16"/>
          <w:szCs w:val="16"/>
        </w:rPr>
      </w:pPr>
      <w:r w:rsidRPr="008575C9">
        <w:rPr>
          <w:rFonts w:ascii="Times New Roman" w:hAnsi="Times New Roman" w:cs="Times New Roman"/>
          <w:sz w:val="16"/>
          <w:szCs w:val="16"/>
          <w:vertAlign w:val="superscript"/>
        </w:rPr>
        <w:footnoteRef/>
      </w:r>
      <w:r w:rsidRPr="008575C9">
        <w:rPr>
          <w:rFonts w:ascii="Times New Roman" w:hAnsi="Times New Roman" w:cs="Times New Roman"/>
          <w:sz w:val="16"/>
          <w:szCs w:val="16"/>
        </w:rPr>
        <w:t xml:space="preserve"> </w:t>
      </w:r>
      <w:r w:rsidRPr="008575C9">
        <w:rPr>
          <w:rFonts w:ascii="Times New Roman" w:eastAsia="Times New Roman" w:hAnsi="Times New Roman" w:cs="Times New Roman"/>
          <w:sz w:val="16"/>
          <w:szCs w:val="16"/>
        </w:rPr>
        <w:t xml:space="preserve">La integración de la Cuenta Pública es resultado de los trabajos coordinados entre los poderes Ejecutivo, Legislativo, Judicial, los órganos autónomos, las entidades del sector paraestatal, así como las empresas productivas del Estado. Su contenido incluye también la atención de las recomendaciones formuladas por la Auditoría Superior de la Federación.  La Cámara de Diputados, a través de la Auditoría Superior de la Federación, revisa anualmente la Cuenta Pública del Gobierno Federal. La recibe a más tardar el 30 de abril de cada año y presenta el Informe de Resultados de la Revisión </w:t>
      </w:r>
      <w:proofErr w:type="gramStart"/>
      <w:r w:rsidRPr="008575C9">
        <w:rPr>
          <w:rFonts w:ascii="Times New Roman" w:eastAsia="Times New Roman" w:hAnsi="Times New Roman" w:cs="Times New Roman"/>
          <w:sz w:val="16"/>
          <w:szCs w:val="16"/>
        </w:rPr>
        <w:t>y  fiscalización</w:t>
      </w:r>
      <w:proofErr w:type="gramEnd"/>
      <w:r w:rsidRPr="008575C9">
        <w:rPr>
          <w:rFonts w:ascii="Times New Roman" w:eastAsia="Times New Roman" w:hAnsi="Times New Roman" w:cs="Times New Roman"/>
          <w:sz w:val="16"/>
          <w:szCs w:val="16"/>
        </w:rPr>
        <w:t xml:space="preserve"> de la Cuenta Pública a la Comisión de Vigilancia de la ASF a más tardar el 20 de febrero del año siguiente. Posteriormente, la Comisión de Vigilancia envía un informe a la Comisión de Presupuesto a más tardar el 30 de mayo del mismo año.</w:t>
      </w:r>
    </w:p>
  </w:footnote>
  <w:footnote w:id="31">
    <w:p w14:paraId="34ADA3E9" w14:textId="77777777" w:rsidR="00560AA2" w:rsidRPr="008575C9" w:rsidRDefault="00560AA2" w:rsidP="008575C9">
      <w:pPr>
        <w:pBdr>
          <w:top w:val="nil"/>
          <w:left w:val="nil"/>
          <w:bottom w:val="nil"/>
          <w:right w:val="nil"/>
          <w:between w:val="nil"/>
        </w:pBdr>
        <w:spacing w:line="240" w:lineRule="auto"/>
        <w:rPr>
          <w:rFonts w:ascii="Times New Roman" w:eastAsia="Times New Roman" w:hAnsi="Times New Roman" w:cs="Times New Roman"/>
          <w:sz w:val="16"/>
          <w:szCs w:val="16"/>
        </w:rPr>
      </w:pPr>
      <w:r w:rsidRPr="008575C9">
        <w:rPr>
          <w:rStyle w:val="Refdenotaalpie"/>
          <w:rFonts w:ascii="Times New Roman" w:hAnsi="Times New Roman" w:cs="Times New Roman"/>
          <w:sz w:val="16"/>
          <w:szCs w:val="16"/>
        </w:rPr>
        <w:footnoteRef/>
      </w:r>
      <w:r w:rsidRPr="008575C9">
        <w:rPr>
          <w:rFonts w:ascii="Times New Roman" w:hAnsi="Times New Roman" w:cs="Times New Roman"/>
          <w:sz w:val="16"/>
          <w:szCs w:val="16"/>
        </w:rPr>
        <w:t xml:space="preserve"> </w:t>
      </w:r>
      <w:hyperlink r:id="rId18">
        <w:r w:rsidRPr="008575C9">
          <w:rPr>
            <w:rFonts w:ascii="Times New Roman" w:eastAsia="Times New Roman" w:hAnsi="Times New Roman" w:cs="Times New Roman"/>
            <w:sz w:val="16"/>
            <w:szCs w:val="16"/>
          </w:rPr>
          <w:t>Anexo 1</w:t>
        </w:r>
      </w:hyperlink>
      <w:r w:rsidRPr="008575C9">
        <w:rPr>
          <w:rFonts w:ascii="Times New Roman" w:hAnsi="Times New Roman" w:cs="Times New Roman"/>
          <w:sz w:val="16"/>
          <w:szCs w:val="16"/>
        </w:rPr>
        <w:t xml:space="preserve">. </w:t>
      </w:r>
      <w:r w:rsidRPr="008575C9">
        <w:rPr>
          <w:rFonts w:ascii="Times New Roman" w:eastAsia="Times New Roman" w:hAnsi="Times New Roman" w:cs="Times New Roman"/>
          <w:sz w:val="16"/>
          <w:szCs w:val="16"/>
        </w:rPr>
        <w:t>Aliadas por la Igualdad y la No Violencia. Desfinanciamiento de la Institucionalidad para la Promoción de la Igualdad Sustantiva y para Prevenir y Atender las Violencias contra las Mujeres y las Niñas.  México: Aliadas, 2025.</w:t>
      </w:r>
    </w:p>
  </w:footnote>
  <w:footnote w:id="32">
    <w:p w14:paraId="00000088" w14:textId="77777777" w:rsidR="00DD133F" w:rsidRPr="0015776A" w:rsidRDefault="00EF4153" w:rsidP="008575C9">
      <w:pPr>
        <w:pBdr>
          <w:top w:val="nil"/>
          <w:left w:val="nil"/>
          <w:bottom w:val="nil"/>
          <w:right w:val="nil"/>
          <w:between w:val="nil"/>
        </w:pBdr>
        <w:spacing w:line="240" w:lineRule="auto"/>
        <w:jc w:val="both"/>
        <w:rPr>
          <w:rFonts w:ascii="Times New Roman" w:eastAsia="Times New Roman" w:hAnsi="Times New Roman" w:cs="Times New Roman"/>
          <w:sz w:val="16"/>
          <w:szCs w:val="16"/>
        </w:rPr>
      </w:pPr>
      <w:r w:rsidRPr="008575C9">
        <w:rPr>
          <w:rFonts w:ascii="Times New Roman" w:hAnsi="Times New Roman" w:cs="Times New Roman"/>
          <w:sz w:val="16"/>
          <w:szCs w:val="16"/>
          <w:vertAlign w:val="superscript"/>
        </w:rPr>
        <w:footnoteRef/>
      </w:r>
      <w:r w:rsidRPr="008575C9">
        <w:rPr>
          <w:rFonts w:ascii="Times New Roman" w:hAnsi="Times New Roman" w:cs="Times New Roman"/>
          <w:sz w:val="16"/>
          <w:szCs w:val="16"/>
        </w:rPr>
        <w:t xml:space="preserve"> </w:t>
      </w:r>
      <w:r w:rsidRPr="008575C9">
        <w:rPr>
          <w:rFonts w:ascii="Times New Roman" w:eastAsia="Times New Roman" w:hAnsi="Times New Roman" w:cs="Times New Roman"/>
          <w:sz w:val="16"/>
          <w:szCs w:val="16"/>
        </w:rPr>
        <w:t>Los Ramos Administrativos hacen referencia a una clasificación presupuestaria empleada en el Decreto y para la integración del gasto neto total, que permite identificar, agrupar e integrar la asignación de recursos fiscales de los ejecutores de gasto del Gobierno Federal. Asimismo,</w:t>
      </w:r>
      <w:r w:rsidRPr="0015776A">
        <w:rPr>
          <w:rFonts w:ascii="Times New Roman" w:eastAsia="Times New Roman" w:hAnsi="Times New Roman" w:cs="Times New Roman"/>
          <w:sz w:val="16"/>
          <w:szCs w:val="16"/>
        </w:rPr>
        <w:t xml:space="preserve"> identifica e integra, con base en su agrupación sectorial, a las asignaciones de las entidades apoyadas que reciben recursos fiscales a través de subsidios y/o transferencias. La clasificación presupuestaria se complementa con los Ramos Autónomos (Poder Legislativo, Poder Judicial y Organismos Constitucionales Autónomos) y Ramos Generales (recursos destinados al cumplimiento de las obligaciones del Ejecutivo Federal y a disposiciones legales o del Congreso de la Unión). Glosario para el Proceso Presupuestario. Disponible en:  </w:t>
      </w:r>
      <w:hyperlink r:id="rId19">
        <w:r w:rsidRPr="0015776A">
          <w:rPr>
            <w:rFonts w:ascii="Times New Roman" w:eastAsia="Times New Roman" w:hAnsi="Times New Roman" w:cs="Times New Roman"/>
            <w:sz w:val="16"/>
            <w:szCs w:val="16"/>
          </w:rPr>
          <w:t>https://www.gob.mx/shcp</w:t>
        </w:r>
      </w:hyperlink>
    </w:p>
    <w:p w14:paraId="00000089" w14:textId="77777777" w:rsidR="00DD133F" w:rsidRDefault="00DD133F">
      <w:pPr>
        <w:pBdr>
          <w:top w:val="nil"/>
          <w:left w:val="nil"/>
          <w:bottom w:val="nil"/>
          <w:right w:val="nil"/>
          <w:between w:val="nil"/>
        </w:pBdr>
        <w:spacing w:line="240" w:lineRule="auto"/>
        <w:rPr>
          <w:color w:val="000000"/>
          <w:sz w:val="20"/>
          <w:szCs w:val="20"/>
        </w:rPr>
      </w:pPr>
    </w:p>
  </w:footnote>
  <w:footnote w:id="33">
    <w:p w14:paraId="0000008A" w14:textId="77777777" w:rsidR="00DD133F" w:rsidRDefault="00EF4153" w:rsidP="00132675">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Presupuesto de Egresos de la Federación 2025. Estrategia Programática. Secretaría de Hacienda y Crédito Público. Disponible en: </w:t>
      </w:r>
      <w:hyperlink r:id="rId20">
        <w:r>
          <w:rPr>
            <w:rFonts w:ascii="Times New Roman" w:eastAsia="Times New Roman" w:hAnsi="Times New Roman" w:cs="Times New Roman"/>
            <w:color w:val="0000FF"/>
            <w:sz w:val="16"/>
            <w:szCs w:val="16"/>
          </w:rPr>
          <w:t>https://www.pef.hacienda.gob.mx/work/models/GOpef25P/PEF2025/Loungbqw/docs/54/r54_ep.pdf</w:t>
        </w:r>
      </w:hyperlink>
    </w:p>
  </w:footnote>
  <w:footnote w:id="34">
    <w:p w14:paraId="021303FC" w14:textId="77777777" w:rsidR="00E96616" w:rsidRPr="00D45F4B" w:rsidRDefault="00E96616" w:rsidP="00E96616">
      <w:pPr>
        <w:pStyle w:val="Textonotapie"/>
        <w:rPr>
          <w:rFonts w:ascii="Times New Roman" w:hAnsi="Times New Roman" w:cs="Times New Roman"/>
          <w:sz w:val="16"/>
          <w:szCs w:val="16"/>
        </w:rPr>
      </w:pPr>
      <w:r w:rsidRPr="00D45F4B">
        <w:rPr>
          <w:rStyle w:val="Refdenotaalpie"/>
          <w:rFonts w:ascii="Times New Roman" w:hAnsi="Times New Roman" w:cs="Times New Roman"/>
          <w:sz w:val="16"/>
          <w:szCs w:val="16"/>
        </w:rPr>
        <w:footnoteRef/>
      </w:r>
      <w:r w:rsidRPr="00D45F4B">
        <w:rPr>
          <w:rFonts w:ascii="Times New Roman" w:hAnsi="Times New Roman" w:cs="Times New Roman"/>
          <w:sz w:val="16"/>
          <w:szCs w:val="16"/>
        </w:rPr>
        <w:t xml:space="preserve"> </w:t>
      </w:r>
      <w:r w:rsidRPr="00D45F4B">
        <w:rPr>
          <w:rFonts w:ascii="Times New Roman" w:hAnsi="Times New Roman" w:cs="Times New Roman"/>
          <w:color w:val="000000"/>
          <w:sz w:val="16"/>
          <w:szCs w:val="16"/>
        </w:rPr>
        <w:t xml:space="preserve">Gobierno de México. Informe de Resultados de la CONAVIM 2019-2024. Disponible en: </w:t>
      </w:r>
      <w:hyperlink r:id="rId21" w:history="1">
        <w:r w:rsidRPr="00D45F4B">
          <w:rPr>
            <w:rFonts w:ascii="Times New Roman" w:hAnsi="Times New Roman" w:cs="Times New Roman"/>
            <w:color w:val="000000"/>
            <w:sz w:val="16"/>
            <w:szCs w:val="16"/>
          </w:rPr>
          <w:t>https://www.gob.mx/cms/uploads/attachment/file/948991/INFORME_FINAL_CONAVIM_2018-2024__ULTIMO__COMPRIMIR.pdf</w:t>
        </w:r>
      </w:hyperlink>
    </w:p>
  </w:footnote>
  <w:footnote w:id="35">
    <w:sdt>
      <w:sdtPr>
        <w:rPr>
          <w:rFonts w:ascii="Times New Roman" w:hAnsi="Times New Roman" w:cs="Times New Roman"/>
          <w:sz w:val="16"/>
          <w:szCs w:val="16"/>
        </w:rPr>
        <w:tag w:val="goog_rdk_525"/>
        <w:id w:val="18364569"/>
      </w:sdtPr>
      <w:sdtEndPr/>
      <w:sdtContent>
        <w:p w14:paraId="6C3939F6" w14:textId="77777777" w:rsidR="00BE4C5F" w:rsidRPr="00D45F4B" w:rsidRDefault="00BE4C5F" w:rsidP="00D45F4B">
          <w:pPr>
            <w:spacing w:line="240" w:lineRule="auto"/>
            <w:rPr>
              <w:rFonts w:ascii="Times New Roman" w:hAnsi="Times New Roman" w:cs="Times New Roman"/>
              <w:sz w:val="16"/>
              <w:szCs w:val="16"/>
            </w:rPr>
          </w:pPr>
          <w:r w:rsidRPr="00D45F4B">
            <w:rPr>
              <w:rFonts w:ascii="Times New Roman" w:hAnsi="Times New Roman" w:cs="Times New Roman"/>
              <w:sz w:val="16"/>
              <w:szCs w:val="16"/>
              <w:vertAlign w:val="superscript"/>
            </w:rPr>
            <w:footnoteRef/>
          </w:r>
          <w:sdt>
            <w:sdtPr>
              <w:rPr>
                <w:rFonts w:ascii="Times New Roman" w:hAnsi="Times New Roman" w:cs="Times New Roman"/>
                <w:sz w:val="16"/>
                <w:szCs w:val="16"/>
              </w:rPr>
              <w:tag w:val="goog_rdk_522"/>
              <w:id w:val="-1612885588"/>
            </w:sdtPr>
            <w:sdtEndPr/>
            <w:sdtContent>
              <w:r w:rsidRPr="00D45F4B">
                <w:rPr>
                  <w:rFonts w:ascii="Times New Roman" w:hAnsi="Times New Roman" w:cs="Times New Roman"/>
                  <w:sz w:val="16"/>
                  <w:szCs w:val="16"/>
                </w:rPr>
                <w:t xml:space="preserve"> Congreso de los Estados Unidos Mexicanos. Presupuesto de egresos de la Federación para el ejercicio fiscal 2025. Publicado el 24 de diciembre de 2024. Disponible en: </w:t>
              </w:r>
            </w:sdtContent>
          </w:sdt>
          <w:hyperlink r:id="rId22">
            <w:sdt>
              <w:sdtPr>
                <w:rPr>
                  <w:rFonts w:ascii="Times New Roman" w:hAnsi="Times New Roman" w:cs="Times New Roman"/>
                  <w:sz w:val="16"/>
                  <w:szCs w:val="16"/>
                </w:rPr>
                <w:tag w:val="goog_rdk_523"/>
                <w:id w:val="2036924832"/>
              </w:sdtPr>
              <w:sdtEndPr/>
              <w:sdtContent>
                <w:r w:rsidRPr="00D45F4B">
                  <w:rPr>
                    <w:rFonts w:ascii="Times New Roman" w:hAnsi="Times New Roman" w:cs="Times New Roman"/>
                    <w:color w:val="1155CC"/>
                    <w:sz w:val="16"/>
                    <w:szCs w:val="16"/>
                    <w:u w:val="single"/>
                  </w:rPr>
                  <w:t>https://www.diputados.gob.mx/LeyesBiblio/pdf/PEF_2025.pdf</w:t>
                </w:r>
              </w:sdtContent>
            </w:sdt>
          </w:hyperlink>
          <w:sdt>
            <w:sdtPr>
              <w:rPr>
                <w:rFonts w:ascii="Times New Roman" w:hAnsi="Times New Roman" w:cs="Times New Roman"/>
                <w:sz w:val="16"/>
                <w:szCs w:val="16"/>
              </w:rPr>
              <w:tag w:val="goog_rdk_524"/>
              <w:id w:val="-1905056363"/>
            </w:sdtPr>
            <w:sdtEndPr/>
            <w:sdtContent>
              <w:r w:rsidRPr="00D45F4B">
                <w:rPr>
                  <w:rFonts w:ascii="Times New Roman" w:hAnsi="Times New Roman" w:cs="Times New Roman"/>
                  <w:sz w:val="16"/>
                  <w:szCs w:val="16"/>
                </w:rPr>
                <w:t xml:space="preserve"> </w:t>
              </w:r>
            </w:sdtContent>
          </w:sdt>
        </w:p>
      </w:sdtContent>
    </w:sdt>
  </w:footnote>
  <w:footnote w:id="36">
    <w:sdt>
      <w:sdtPr>
        <w:rPr>
          <w:rFonts w:ascii="Times New Roman" w:hAnsi="Times New Roman" w:cs="Times New Roman"/>
          <w:sz w:val="16"/>
          <w:szCs w:val="16"/>
        </w:rPr>
        <w:tag w:val="goog_rdk_528"/>
        <w:id w:val="-2072949831"/>
      </w:sdtPr>
      <w:sdtEndPr/>
      <w:sdtContent>
        <w:p w14:paraId="6A719424" w14:textId="77777777" w:rsidR="00BE4C5F" w:rsidRPr="00D45F4B" w:rsidRDefault="00BE4C5F" w:rsidP="00D45F4B">
          <w:pPr>
            <w:spacing w:line="240" w:lineRule="auto"/>
            <w:rPr>
              <w:rFonts w:ascii="Times New Roman" w:hAnsi="Times New Roman" w:cs="Times New Roman"/>
              <w:color w:val="000000"/>
              <w:sz w:val="16"/>
              <w:szCs w:val="16"/>
            </w:rPr>
          </w:pPr>
          <w:r w:rsidRPr="00D45F4B">
            <w:rPr>
              <w:rFonts w:ascii="Times New Roman" w:hAnsi="Times New Roman" w:cs="Times New Roman"/>
              <w:sz w:val="16"/>
              <w:szCs w:val="16"/>
              <w:vertAlign w:val="superscript"/>
            </w:rPr>
            <w:footnoteRef/>
          </w:r>
          <w:sdt>
            <w:sdtPr>
              <w:rPr>
                <w:rFonts w:ascii="Times New Roman" w:hAnsi="Times New Roman" w:cs="Times New Roman"/>
                <w:sz w:val="16"/>
                <w:szCs w:val="16"/>
              </w:rPr>
              <w:tag w:val="goog_rdk_527"/>
              <w:id w:val="-1781097622"/>
            </w:sdtPr>
            <w:sdtEndPr/>
            <w:sdtContent>
              <w:r w:rsidRPr="00D45F4B">
                <w:rPr>
                  <w:rFonts w:ascii="Times New Roman" w:hAnsi="Times New Roman" w:cs="Times New Roman"/>
                  <w:color w:val="000000"/>
                  <w:sz w:val="16"/>
                  <w:szCs w:val="16"/>
                </w:rPr>
                <w:t xml:space="preserve"> Congreso de los Estados Unidos Mexicanos. Presupuesto de egresos de la Federación para el ejercicio fiscal 2024. Publicado el 25 de noviembre de 2023. Disponible en: </w:t>
              </w:r>
              <w:hyperlink r:id="rId23" w:history="1">
                <w:r w:rsidRPr="00D45F4B">
                  <w:rPr>
                    <w:rFonts w:ascii="Times New Roman" w:hAnsi="Times New Roman" w:cs="Times New Roman"/>
                    <w:color w:val="000000"/>
                    <w:sz w:val="16"/>
                    <w:szCs w:val="16"/>
                  </w:rPr>
                  <w:t>https://www.diputados.gob.mx/LeyesBiblio//pdf/PEF_2024.pdf</w:t>
                </w:r>
              </w:hyperlink>
              <w:r w:rsidRPr="00D45F4B">
                <w:rPr>
                  <w:rFonts w:ascii="Times New Roman" w:hAnsi="Times New Roman" w:cs="Times New Roman"/>
                  <w:color w:val="000000"/>
                  <w:sz w:val="16"/>
                  <w:szCs w:val="16"/>
                </w:rPr>
                <w:t xml:space="preserve"> </w:t>
              </w:r>
            </w:sdtContent>
          </w:sdt>
        </w:p>
      </w:sdtContent>
    </w:sdt>
  </w:footnote>
  <w:footnote w:id="37">
    <w:p w14:paraId="0000008F" w14:textId="77777777" w:rsidR="00DD133F" w:rsidRPr="00D45F4B" w:rsidRDefault="00EF4153" w:rsidP="00D45F4B">
      <w:pPr>
        <w:spacing w:line="240" w:lineRule="auto"/>
        <w:jc w:val="both"/>
        <w:rPr>
          <w:rFonts w:ascii="Times New Roman" w:eastAsia="Times New Roman" w:hAnsi="Times New Roman" w:cs="Times New Roman"/>
          <w:sz w:val="16"/>
          <w:szCs w:val="16"/>
        </w:rPr>
      </w:pPr>
      <w:r w:rsidRPr="00D45F4B">
        <w:rPr>
          <w:rFonts w:ascii="Times New Roman" w:hAnsi="Times New Roman" w:cs="Times New Roman"/>
          <w:sz w:val="16"/>
          <w:szCs w:val="16"/>
          <w:vertAlign w:val="superscript"/>
        </w:rPr>
        <w:footnoteRef/>
      </w:r>
      <w:r w:rsidRPr="00D45F4B">
        <w:rPr>
          <w:rFonts w:ascii="Times New Roman" w:eastAsia="Times New Roman" w:hAnsi="Times New Roman" w:cs="Times New Roman"/>
          <w:sz w:val="16"/>
          <w:szCs w:val="16"/>
        </w:rPr>
        <w:t xml:space="preserve"> Presupuesto de Egresos de la Federación para el ejercicio fiscal 2025 [PEF]. Diario Oficial de la Federación. 24 de diciembre de 2024. Disponible en:</w:t>
      </w:r>
      <w:hyperlink r:id="rId24">
        <w:r w:rsidRPr="00D45F4B">
          <w:rPr>
            <w:rFonts w:ascii="Times New Roman" w:eastAsia="Times New Roman" w:hAnsi="Times New Roman" w:cs="Times New Roman"/>
            <w:sz w:val="16"/>
            <w:szCs w:val="16"/>
          </w:rPr>
          <w:t xml:space="preserve"> </w:t>
        </w:r>
      </w:hyperlink>
      <w:hyperlink r:id="rId25">
        <w:r w:rsidRPr="00D45F4B">
          <w:rPr>
            <w:rFonts w:ascii="Times New Roman" w:eastAsia="Times New Roman" w:hAnsi="Times New Roman" w:cs="Times New Roman"/>
            <w:color w:val="1155CC"/>
            <w:sz w:val="16"/>
            <w:szCs w:val="16"/>
            <w:u w:val="single"/>
          </w:rPr>
          <w:t>https://www.diputados.gob.mx/LeyesBiblio/pdf/PEF_2025.pdf</w:t>
        </w:r>
      </w:hyperlink>
    </w:p>
  </w:footnote>
  <w:footnote w:id="38">
    <w:p w14:paraId="00000090" w14:textId="77777777" w:rsidR="00DD133F" w:rsidRPr="00D45F4B" w:rsidRDefault="00EF4153" w:rsidP="00D45F4B">
      <w:pPr>
        <w:spacing w:line="240" w:lineRule="auto"/>
        <w:jc w:val="both"/>
        <w:rPr>
          <w:rFonts w:ascii="Times New Roman" w:eastAsia="Times New Roman" w:hAnsi="Times New Roman" w:cs="Times New Roman"/>
          <w:sz w:val="16"/>
          <w:szCs w:val="16"/>
        </w:rPr>
      </w:pPr>
      <w:r w:rsidRPr="00D45F4B">
        <w:rPr>
          <w:rFonts w:ascii="Times New Roman" w:hAnsi="Times New Roman" w:cs="Times New Roman"/>
          <w:sz w:val="16"/>
          <w:szCs w:val="16"/>
          <w:vertAlign w:val="superscript"/>
        </w:rPr>
        <w:footnoteRef/>
      </w:r>
      <w:r w:rsidRPr="00D45F4B">
        <w:rPr>
          <w:rFonts w:ascii="Times New Roman" w:eastAsia="Times New Roman" w:hAnsi="Times New Roman" w:cs="Times New Roman"/>
          <w:sz w:val="16"/>
          <w:szCs w:val="16"/>
        </w:rPr>
        <w:t xml:space="preserve"> Presupuesto de Egresos de la Federación para el ejercicio fiscal 2024 [PEF]. Diario Oficial de la Federación. 25 de noviembre de 2023. Disponible en:</w:t>
      </w:r>
      <w:hyperlink r:id="rId26">
        <w:r w:rsidRPr="00D45F4B">
          <w:rPr>
            <w:rFonts w:ascii="Times New Roman" w:eastAsia="Times New Roman" w:hAnsi="Times New Roman" w:cs="Times New Roman"/>
            <w:sz w:val="16"/>
            <w:szCs w:val="16"/>
          </w:rPr>
          <w:t xml:space="preserve"> </w:t>
        </w:r>
      </w:hyperlink>
      <w:hyperlink r:id="rId27">
        <w:r w:rsidRPr="00D45F4B">
          <w:rPr>
            <w:rFonts w:ascii="Times New Roman" w:eastAsia="Times New Roman" w:hAnsi="Times New Roman" w:cs="Times New Roman"/>
            <w:color w:val="1155CC"/>
            <w:sz w:val="16"/>
            <w:szCs w:val="16"/>
            <w:u w:val="single"/>
          </w:rPr>
          <w:t>https://www.diputados.gob.mx/LeyesBiblio//pdf/PEF_2024.pdf</w:t>
        </w:r>
      </w:hyperlink>
    </w:p>
  </w:footnote>
  <w:footnote w:id="39">
    <w:p w14:paraId="00000092" w14:textId="77777777" w:rsidR="00DD133F" w:rsidRPr="00D45F4B" w:rsidRDefault="00EF4153" w:rsidP="00D45F4B">
      <w:pPr>
        <w:spacing w:line="240" w:lineRule="auto"/>
        <w:jc w:val="both"/>
        <w:rPr>
          <w:rFonts w:ascii="Times New Roman" w:eastAsia="Times New Roman" w:hAnsi="Times New Roman" w:cs="Times New Roman"/>
          <w:sz w:val="16"/>
          <w:szCs w:val="16"/>
        </w:rPr>
      </w:pPr>
      <w:r w:rsidRPr="00D45F4B">
        <w:rPr>
          <w:rFonts w:ascii="Times New Roman" w:hAnsi="Times New Roman" w:cs="Times New Roman"/>
          <w:sz w:val="16"/>
          <w:szCs w:val="16"/>
          <w:vertAlign w:val="superscript"/>
        </w:rPr>
        <w:footnoteRef/>
      </w:r>
      <w:r w:rsidRPr="00D45F4B">
        <w:rPr>
          <w:rFonts w:ascii="Times New Roman" w:eastAsia="Times New Roman" w:hAnsi="Times New Roman" w:cs="Times New Roman"/>
          <w:sz w:val="16"/>
          <w:szCs w:val="16"/>
        </w:rPr>
        <w:t xml:space="preserve"> CEAV. PROGRAMA INSTITUCIONAL DE LA COMISIÓN EJECUTIVA DE ATENCIÓN A VÍCTIMAS (PICEAV) 2020-2024. AVANCE Y RESULTADOS </w:t>
      </w:r>
      <w:proofErr w:type="gramStart"/>
      <w:r w:rsidRPr="00D45F4B">
        <w:rPr>
          <w:rFonts w:ascii="Times New Roman" w:eastAsia="Times New Roman" w:hAnsi="Times New Roman" w:cs="Times New Roman"/>
          <w:sz w:val="16"/>
          <w:szCs w:val="16"/>
        </w:rPr>
        <w:t>Enero</w:t>
      </w:r>
      <w:proofErr w:type="gramEnd"/>
      <w:r w:rsidRPr="00D45F4B">
        <w:rPr>
          <w:rFonts w:ascii="Times New Roman" w:eastAsia="Times New Roman" w:hAnsi="Times New Roman" w:cs="Times New Roman"/>
          <w:sz w:val="16"/>
          <w:szCs w:val="16"/>
        </w:rPr>
        <w:t xml:space="preserve"> 2023 – Junio 2024. Disponible en:</w:t>
      </w:r>
      <w:hyperlink r:id="rId28">
        <w:r w:rsidRPr="00D45F4B">
          <w:rPr>
            <w:rFonts w:ascii="Times New Roman" w:eastAsia="Times New Roman" w:hAnsi="Times New Roman" w:cs="Times New Roman"/>
            <w:sz w:val="16"/>
            <w:szCs w:val="16"/>
          </w:rPr>
          <w:t xml:space="preserve"> </w:t>
        </w:r>
      </w:hyperlink>
      <w:hyperlink r:id="rId29">
        <w:r w:rsidRPr="00D45F4B">
          <w:rPr>
            <w:rFonts w:ascii="Times New Roman" w:eastAsia="Times New Roman" w:hAnsi="Times New Roman" w:cs="Times New Roman"/>
            <w:color w:val="1155CC"/>
            <w:sz w:val="16"/>
            <w:szCs w:val="16"/>
            <w:u w:val="single"/>
          </w:rPr>
          <w:t>https://www.gob.mx/cms/uploads/attachment/file/948839/47_PI_CEAV_AyR2324.pdf</w:t>
        </w:r>
      </w:hyperlink>
    </w:p>
  </w:footnote>
  <w:footnote w:id="40">
    <w:p w14:paraId="00000094" w14:textId="77777777" w:rsidR="00DD133F" w:rsidRPr="00D45F4B" w:rsidRDefault="00EF4153" w:rsidP="00D45F4B">
      <w:pPr>
        <w:spacing w:line="240" w:lineRule="auto"/>
        <w:jc w:val="both"/>
        <w:rPr>
          <w:rFonts w:ascii="Times New Roman" w:eastAsia="Times New Roman" w:hAnsi="Times New Roman" w:cs="Times New Roman"/>
          <w:sz w:val="16"/>
          <w:szCs w:val="16"/>
        </w:rPr>
      </w:pPr>
      <w:r w:rsidRPr="00D45F4B">
        <w:rPr>
          <w:rFonts w:ascii="Times New Roman" w:hAnsi="Times New Roman" w:cs="Times New Roman"/>
          <w:sz w:val="16"/>
          <w:szCs w:val="16"/>
          <w:vertAlign w:val="superscript"/>
        </w:rPr>
        <w:footnoteRef/>
      </w:r>
      <w:r w:rsidRPr="00D45F4B">
        <w:rPr>
          <w:rFonts w:ascii="Times New Roman" w:eastAsia="Times New Roman" w:hAnsi="Times New Roman" w:cs="Times New Roman"/>
          <w:sz w:val="16"/>
          <w:szCs w:val="16"/>
        </w:rPr>
        <w:t xml:space="preserve"> Auditoría Superior de la Federación. Informe Individual del Resultado de la Fiscalización Superior de la Cuenta Pública 2022. Disponible en:</w:t>
      </w:r>
      <w:hyperlink r:id="rId30">
        <w:r w:rsidRPr="00D45F4B">
          <w:rPr>
            <w:rFonts w:ascii="Times New Roman" w:eastAsia="Times New Roman" w:hAnsi="Times New Roman" w:cs="Times New Roman"/>
            <w:sz w:val="16"/>
            <w:szCs w:val="16"/>
          </w:rPr>
          <w:t xml:space="preserve"> </w:t>
        </w:r>
      </w:hyperlink>
      <w:hyperlink r:id="rId31">
        <w:r w:rsidRPr="00D45F4B">
          <w:rPr>
            <w:rFonts w:ascii="Times New Roman" w:eastAsia="Times New Roman" w:hAnsi="Times New Roman" w:cs="Times New Roman"/>
            <w:color w:val="1155CC"/>
            <w:sz w:val="16"/>
            <w:szCs w:val="16"/>
            <w:u w:val="single"/>
          </w:rPr>
          <w:t>https://www.asf.gob.mx/Trans/Informes/IR2022c/Documentos/Auditorias/2022_0057_a.pdf</w:t>
        </w:r>
      </w:hyperlink>
    </w:p>
  </w:footnote>
  <w:footnote w:id="41">
    <w:p w14:paraId="00000095" w14:textId="77777777" w:rsidR="00DD133F" w:rsidRPr="00520364" w:rsidRDefault="00EF4153">
      <w:pPr>
        <w:spacing w:line="240" w:lineRule="auto"/>
        <w:jc w:val="both"/>
        <w:rPr>
          <w:rFonts w:ascii="Times New Roman" w:eastAsia="Times New Roman" w:hAnsi="Times New Roman" w:cs="Times New Roman"/>
          <w:sz w:val="16"/>
          <w:szCs w:val="16"/>
        </w:rPr>
      </w:pPr>
      <w:r w:rsidRPr="00520364">
        <w:rPr>
          <w:rFonts w:ascii="Times New Roman" w:hAnsi="Times New Roman" w:cs="Times New Roman"/>
          <w:sz w:val="16"/>
          <w:szCs w:val="16"/>
          <w:vertAlign w:val="superscript"/>
        </w:rPr>
        <w:footnoteRef/>
      </w:r>
      <w:r w:rsidRPr="00520364">
        <w:rPr>
          <w:rFonts w:ascii="Times New Roman" w:eastAsia="Times New Roman" w:hAnsi="Times New Roman" w:cs="Times New Roman"/>
          <w:sz w:val="16"/>
          <w:szCs w:val="16"/>
        </w:rPr>
        <w:t xml:space="preserve"> Presentación Aliadas “Anexo 13 y los Presupuestos Públicos para la Igualdad de Género y la no violencia contra las mujeres”</w:t>
      </w:r>
    </w:p>
  </w:footnote>
  <w:footnote w:id="42">
    <w:p w14:paraId="00000096" w14:textId="77777777" w:rsidR="00DD133F" w:rsidRPr="00520364" w:rsidRDefault="00EF4153">
      <w:pPr>
        <w:spacing w:line="240" w:lineRule="auto"/>
        <w:jc w:val="both"/>
        <w:rPr>
          <w:rFonts w:ascii="Times New Roman" w:eastAsia="Times New Roman" w:hAnsi="Times New Roman" w:cs="Times New Roman"/>
          <w:color w:val="1155CC"/>
          <w:sz w:val="16"/>
          <w:szCs w:val="16"/>
          <w:u w:val="single"/>
        </w:rPr>
      </w:pPr>
      <w:r w:rsidRPr="00520364">
        <w:rPr>
          <w:rFonts w:ascii="Times New Roman" w:hAnsi="Times New Roman" w:cs="Times New Roman"/>
          <w:sz w:val="16"/>
          <w:szCs w:val="16"/>
          <w:vertAlign w:val="superscript"/>
        </w:rPr>
        <w:footnoteRef/>
      </w:r>
      <w:r w:rsidRPr="00520364">
        <w:rPr>
          <w:rFonts w:ascii="Times New Roman" w:eastAsia="Times New Roman" w:hAnsi="Times New Roman" w:cs="Times New Roman"/>
          <w:sz w:val="16"/>
          <w:szCs w:val="16"/>
        </w:rPr>
        <w:t xml:space="preserve">  INPI. INFORME SOBRE EL CUMPLIMIENTO DE OBJETIVOS Y METAS DE LOS PROGRAMAS SUJETOS A REGLAS DE OPERACIÓN. PROGRAMA PARA EL BIENESTAR INTEGRAL DE LOS PUEBLOS INDÍGENAS Enero-junio 2024. Disponible en:</w:t>
      </w:r>
      <w:hyperlink r:id="rId32">
        <w:r w:rsidRPr="00520364">
          <w:rPr>
            <w:rFonts w:ascii="Times New Roman" w:eastAsia="Times New Roman" w:hAnsi="Times New Roman" w:cs="Times New Roman"/>
            <w:sz w:val="16"/>
            <w:szCs w:val="16"/>
          </w:rPr>
          <w:t xml:space="preserve"> </w:t>
        </w:r>
      </w:hyperlink>
      <w:hyperlink r:id="rId33">
        <w:r w:rsidRPr="00520364">
          <w:rPr>
            <w:rFonts w:ascii="Times New Roman" w:eastAsia="Times New Roman" w:hAnsi="Times New Roman" w:cs="Times New Roman"/>
            <w:color w:val="1155CC"/>
            <w:sz w:val="16"/>
            <w:szCs w:val="16"/>
            <w:u w:val="single"/>
          </w:rPr>
          <w:t>https://www.inpi.gob.mx/focalizada/2024/probipi/economia/INFORME-181-2T2024-PAEI-PROBIPI.pdf</w:t>
        </w:r>
      </w:hyperlink>
    </w:p>
  </w:footnote>
  <w:footnote w:id="43">
    <w:p w14:paraId="00000097" w14:textId="77777777" w:rsidR="00DD133F" w:rsidRPr="00520364" w:rsidRDefault="00EF4153">
      <w:pPr>
        <w:spacing w:line="240" w:lineRule="auto"/>
        <w:jc w:val="both"/>
        <w:rPr>
          <w:rFonts w:ascii="Times New Roman" w:eastAsia="Times New Roman" w:hAnsi="Times New Roman" w:cs="Times New Roman"/>
          <w:sz w:val="16"/>
          <w:szCs w:val="16"/>
        </w:rPr>
      </w:pPr>
      <w:r w:rsidRPr="00520364">
        <w:rPr>
          <w:rFonts w:ascii="Times New Roman" w:hAnsi="Times New Roman" w:cs="Times New Roman"/>
          <w:sz w:val="16"/>
          <w:szCs w:val="16"/>
          <w:vertAlign w:val="superscript"/>
        </w:rPr>
        <w:footnoteRef/>
      </w:r>
      <w:r w:rsidRPr="00520364">
        <w:rPr>
          <w:rFonts w:ascii="Times New Roman" w:eastAsia="Times New Roman" w:hAnsi="Times New Roman" w:cs="Times New Roman"/>
          <w:sz w:val="16"/>
          <w:szCs w:val="16"/>
        </w:rPr>
        <w:t xml:space="preserve"> INPI. INFORME SOBRE EL CUMPLIMIENTO DE OBJETIVOS Y METAS DE LOS PROGRAMAS SUJETOS A REGLAS DE OPERACIÓN. PROGRAMA PARA EL BIENESTAR INTEGRAL DE LOS PUEBLOS INDÍGENAS Enero-diciembre 2024. Disponible en:</w:t>
      </w:r>
      <w:hyperlink r:id="rId34">
        <w:r w:rsidRPr="00520364">
          <w:rPr>
            <w:rFonts w:ascii="Times New Roman" w:eastAsia="Times New Roman" w:hAnsi="Times New Roman" w:cs="Times New Roman"/>
            <w:sz w:val="16"/>
            <w:szCs w:val="16"/>
          </w:rPr>
          <w:t xml:space="preserve"> </w:t>
        </w:r>
      </w:hyperlink>
      <w:hyperlink r:id="rId35">
        <w:r w:rsidRPr="00520364">
          <w:rPr>
            <w:rFonts w:ascii="Times New Roman" w:eastAsia="Times New Roman" w:hAnsi="Times New Roman" w:cs="Times New Roman"/>
            <w:color w:val="1155CC"/>
            <w:sz w:val="16"/>
            <w:szCs w:val="16"/>
            <w:u w:val="single"/>
          </w:rPr>
          <w:t>https://www.inpi.gob.mx/focalizada/2024/probipi/cultura/Informe-S249-PROBIPI-181-75-4T-2024.pdf</w:t>
        </w:r>
      </w:hyperlink>
    </w:p>
  </w:footnote>
  <w:footnote w:id="44">
    <w:p w14:paraId="3756E773" w14:textId="037F82C5" w:rsidR="0011593B" w:rsidRDefault="0011593B">
      <w:pPr>
        <w:pStyle w:val="Textonotapie"/>
      </w:pPr>
      <w:r>
        <w:rPr>
          <w:rStyle w:val="Refdenotaalpie"/>
        </w:rPr>
        <w:footnoteRef/>
      </w:r>
      <w:r>
        <w:t xml:space="preserve"> </w:t>
      </w:r>
      <w:r w:rsidRPr="00520364">
        <w:rPr>
          <w:rFonts w:ascii="Times New Roman" w:hAnsi="Times New Roman" w:cs="Times New Roman"/>
          <w:color w:val="000000"/>
          <w:sz w:val="16"/>
          <w:szCs w:val="16"/>
        </w:rPr>
        <w:t xml:space="preserve">Congreso de los Estados Unidos Mexicanos. Ley Federal de Presupuesto y Responsabilidad Hacendaria. Publicada el 30 de abril de 2024. Disponible en: </w:t>
      </w:r>
      <w:hyperlink r:id="rId36" w:history="1">
        <w:r w:rsidRPr="00520364">
          <w:rPr>
            <w:rFonts w:ascii="Times New Roman" w:hAnsi="Times New Roman" w:cs="Times New Roman"/>
            <w:color w:val="000000"/>
            <w:sz w:val="16"/>
            <w:szCs w:val="16"/>
          </w:rPr>
          <w:t>https://www.diputados.gob.mx/LeyesBiblio/pdf/LFPRH.pdf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9B" w14:textId="2AB16B93" w:rsidR="00DD133F" w:rsidRDefault="00EF4153">
    <w:pPr>
      <w:pBdr>
        <w:top w:val="nil"/>
        <w:left w:val="nil"/>
        <w:bottom w:val="nil"/>
        <w:right w:val="nil"/>
        <w:between w:val="nil"/>
      </w:pBdr>
      <w:tabs>
        <w:tab w:val="center" w:pos="4680"/>
        <w:tab w:val="right" w:pos="9360"/>
      </w:tabs>
      <w:spacing w:line="240" w:lineRule="auto"/>
      <w:rPr>
        <w:color w:val="000000"/>
      </w:rPr>
    </w:pPr>
    <w:r>
      <w:rPr>
        <w:color w:val="000000"/>
      </w:rPr>
      <w:t xml:space="preserve"> </w:t>
    </w:r>
    <w:r>
      <w:rPr>
        <w:b/>
        <w:color w:va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C11AE"/>
    <w:multiLevelType w:val="hybridMultilevel"/>
    <w:tmpl w:val="2A0454B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29891A9A"/>
    <w:multiLevelType w:val="multilevel"/>
    <w:tmpl w:val="73227D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DBA5500"/>
    <w:multiLevelType w:val="multilevel"/>
    <w:tmpl w:val="87B80E0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E632159"/>
    <w:multiLevelType w:val="hybridMultilevel"/>
    <w:tmpl w:val="934C5654"/>
    <w:lvl w:ilvl="0" w:tplc="5E7E9AD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402216C5"/>
    <w:multiLevelType w:val="hybridMultilevel"/>
    <w:tmpl w:val="1056F23E"/>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575F2DBE"/>
    <w:multiLevelType w:val="hybridMultilevel"/>
    <w:tmpl w:val="87C2BE2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33F"/>
    <w:rsid w:val="000222EC"/>
    <w:rsid w:val="000332D6"/>
    <w:rsid w:val="00061261"/>
    <w:rsid w:val="00062475"/>
    <w:rsid w:val="00063EE9"/>
    <w:rsid w:val="000E6682"/>
    <w:rsid w:val="0011593B"/>
    <w:rsid w:val="00125127"/>
    <w:rsid w:val="00132675"/>
    <w:rsid w:val="0015506E"/>
    <w:rsid w:val="0015776A"/>
    <w:rsid w:val="00160A76"/>
    <w:rsid w:val="00163FEC"/>
    <w:rsid w:val="00173524"/>
    <w:rsid w:val="001845D7"/>
    <w:rsid w:val="001846F1"/>
    <w:rsid w:val="00193766"/>
    <w:rsid w:val="001C4427"/>
    <w:rsid w:val="002015FF"/>
    <w:rsid w:val="002223F4"/>
    <w:rsid w:val="0022551A"/>
    <w:rsid w:val="00251E52"/>
    <w:rsid w:val="00286675"/>
    <w:rsid w:val="002C0DB3"/>
    <w:rsid w:val="003316D5"/>
    <w:rsid w:val="00331D97"/>
    <w:rsid w:val="003515BB"/>
    <w:rsid w:val="00376B85"/>
    <w:rsid w:val="003B7252"/>
    <w:rsid w:val="003D6B67"/>
    <w:rsid w:val="003E41C6"/>
    <w:rsid w:val="003F0CA1"/>
    <w:rsid w:val="003F4DBB"/>
    <w:rsid w:val="00407CE3"/>
    <w:rsid w:val="0042098F"/>
    <w:rsid w:val="00424D2B"/>
    <w:rsid w:val="00442FE4"/>
    <w:rsid w:val="00450B9C"/>
    <w:rsid w:val="004562AD"/>
    <w:rsid w:val="004946F6"/>
    <w:rsid w:val="004C4324"/>
    <w:rsid w:val="004D00BC"/>
    <w:rsid w:val="004E2140"/>
    <w:rsid w:val="00517DCB"/>
    <w:rsid w:val="00520364"/>
    <w:rsid w:val="00523C10"/>
    <w:rsid w:val="005313CC"/>
    <w:rsid w:val="00560AA2"/>
    <w:rsid w:val="0059194F"/>
    <w:rsid w:val="005B034D"/>
    <w:rsid w:val="00604EF3"/>
    <w:rsid w:val="00631664"/>
    <w:rsid w:val="006405B2"/>
    <w:rsid w:val="00660038"/>
    <w:rsid w:val="00665CAE"/>
    <w:rsid w:val="0067691E"/>
    <w:rsid w:val="006C2E3D"/>
    <w:rsid w:val="006E0274"/>
    <w:rsid w:val="00725D1C"/>
    <w:rsid w:val="007471EB"/>
    <w:rsid w:val="0075330E"/>
    <w:rsid w:val="007E6968"/>
    <w:rsid w:val="007F4896"/>
    <w:rsid w:val="00815649"/>
    <w:rsid w:val="00821295"/>
    <w:rsid w:val="00850A94"/>
    <w:rsid w:val="008575C9"/>
    <w:rsid w:val="00867FB2"/>
    <w:rsid w:val="00894B0B"/>
    <w:rsid w:val="008A338F"/>
    <w:rsid w:val="008B1F98"/>
    <w:rsid w:val="008F30F7"/>
    <w:rsid w:val="00926C5E"/>
    <w:rsid w:val="00952A6F"/>
    <w:rsid w:val="009541AC"/>
    <w:rsid w:val="009624CC"/>
    <w:rsid w:val="00967F8C"/>
    <w:rsid w:val="009B20A5"/>
    <w:rsid w:val="00A01761"/>
    <w:rsid w:val="00A3396C"/>
    <w:rsid w:val="00A3405C"/>
    <w:rsid w:val="00A40774"/>
    <w:rsid w:val="00A5183F"/>
    <w:rsid w:val="00AA446E"/>
    <w:rsid w:val="00AA6C6B"/>
    <w:rsid w:val="00B00282"/>
    <w:rsid w:val="00B120B4"/>
    <w:rsid w:val="00B375D3"/>
    <w:rsid w:val="00B558B9"/>
    <w:rsid w:val="00B651E2"/>
    <w:rsid w:val="00B9132D"/>
    <w:rsid w:val="00BC3658"/>
    <w:rsid w:val="00BC4FDA"/>
    <w:rsid w:val="00BD2919"/>
    <w:rsid w:val="00BE4C5F"/>
    <w:rsid w:val="00BF2DB3"/>
    <w:rsid w:val="00BF4663"/>
    <w:rsid w:val="00C212E1"/>
    <w:rsid w:val="00C21489"/>
    <w:rsid w:val="00C70B3C"/>
    <w:rsid w:val="00C850B1"/>
    <w:rsid w:val="00C978C5"/>
    <w:rsid w:val="00CA194D"/>
    <w:rsid w:val="00CC75BA"/>
    <w:rsid w:val="00CE57C4"/>
    <w:rsid w:val="00CF7E72"/>
    <w:rsid w:val="00D139BB"/>
    <w:rsid w:val="00D45F4B"/>
    <w:rsid w:val="00D47F62"/>
    <w:rsid w:val="00D55144"/>
    <w:rsid w:val="00D748C0"/>
    <w:rsid w:val="00D97158"/>
    <w:rsid w:val="00DD133F"/>
    <w:rsid w:val="00DD1D62"/>
    <w:rsid w:val="00DD3E31"/>
    <w:rsid w:val="00E03900"/>
    <w:rsid w:val="00E039D5"/>
    <w:rsid w:val="00E23CA4"/>
    <w:rsid w:val="00E3367F"/>
    <w:rsid w:val="00E51883"/>
    <w:rsid w:val="00E8010B"/>
    <w:rsid w:val="00E84D05"/>
    <w:rsid w:val="00E936A5"/>
    <w:rsid w:val="00E96616"/>
    <w:rsid w:val="00EA12AB"/>
    <w:rsid w:val="00ED2FF8"/>
    <w:rsid w:val="00ED5C92"/>
    <w:rsid w:val="00EF4153"/>
    <w:rsid w:val="00F06ED2"/>
    <w:rsid w:val="00F20B0F"/>
    <w:rsid w:val="00FE2B0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2E0E2"/>
  <w15:docId w15:val="{0322345E-A884-744B-8AAD-BC2793734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s-ES_tradnl" w:eastAsia="es-MX"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4626"/>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A02C39"/>
    <w:rPr>
      <w:b/>
      <w:bCs/>
    </w:rPr>
  </w:style>
  <w:style w:type="character" w:customStyle="1" w:styleId="AsuntodelcomentarioCar">
    <w:name w:val="Asunto del comentario Car"/>
    <w:basedOn w:val="TextocomentarioCar"/>
    <w:link w:val="Asuntodelcomentario"/>
    <w:uiPriority w:val="99"/>
    <w:semiHidden/>
    <w:rsid w:val="00A02C39"/>
    <w:rPr>
      <w:b/>
      <w:bCs/>
      <w:sz w:val="20"/>
      <w:szCs w:val="20"/>
    </w:rPr>
  </w:style>
  <w:style w:type="paragraph" w:styleId="Prrafodelista">
    <w:name w:val="List Paragraph"/>
    <w:basedOn w:val="Normal"/>
    <w:link w:val="PrrafodelistaCar"/>
    <w:uiPriority w:val="34"/>
    <w:qFormat/>
    <w:rsid w:val="00A02C39"/>
    <w:pPr>
      <w:ind w:left="720"/>
      <w:contextualSpacing/>
    </w:pPr>
  </w:style>
  <w:style w:type="paragraph" w:styleId="Revisin">
    <w:name w:val="Revision"/>
    <w:hidden/>
    <w:uiPriority w:val="99"/>
    <w:semiHidden/>
    <w:rsid w:val="000F2421"/>
    <w:pPr>
      <w:spacing w:line="240" w:lineRule="auto"/>
    </w:p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Ref. de nota al pi"/>
    <w:basedOn w:val="Normal"/>
    <w:link w:val="TextonotapieCar"/>
    <w:unhideWhenUsed/>
    <w:qFormat/>
    <w:rsid w:val="00C61B8B"/>
    <w:pPr>
      <w:spacing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qFormat/>
    <w:rsid w:val="00C61B8B"/>
    <w:rPr>
      <w:sz w:val="20"/>
      <w:szCs w:val="20"/>
    </w:rPr>
  </w:style>
  <w:style w:type="character" w:styleId="Refdenotaalpie">
    <w:name w:val="footnote reference"/>
    <w:aliases w:val="Footnotes refss,Texto de nota al pie,Appel note de bas de page,Footnote number,referencia nota al pie,BVI fnr,f,4_G,16 Point,Superscript 6 Point,Texto nota al pie,Footnote Reference Char3,Footnote Reference Char1 Char,Footnote text"/>
    <w:basedOn w:val="Fuentedeprrafopredeter"/>
    <w:link w:val="4GCharCharChar"/>
    <w:unhideWhenUsed/>
    <w:qFormat/>
    <w:rsid w:val="00C61B8B"/>
    <w:rPr>
      <w:vertAlign w:val="superscript"/>
    </w:rPr>
  </w:style>
  <w:style w:type="paragraph" w:styleId="NormalWeb">
    <w:name w:val="Normal (Web)"/>
    <w:basedOn w:val="Normal"/>
    <w:uiPriority w:val="99"/>
    <w:semiHidden/>
    <w:unhideWhenUsed/>
    <w:rsid w:val="005875B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Encabezado">
    <w:name w:val="header"/>
    <w:basedOn w:val="Normal"/>
    <w:link w:val="EncabezadoCar"/>
    <w:uiPriority w:val="99"/>
    <w:unhideWhenUsed/>
    <w:rsid w:val="00F2678B"/>
    <w:pPr>
      <w:tabs>
        <w:tab w:val="center" w:pos="4680"/>
        <w:tab w:val="right" w:pos="9360"/>
      </w:tabs>
      <w:spacing w:line="240" w:lineRule="auto"/>
    </w:pPr>
  </w:style>
  <w:style w:type="character" w:customStyle="1" w:styleId="EncabezadoCar">
    <w:name w:val="Encabezado Car"/>
    <w:basedOn w:val="Fuentedeprrafopredeter"/>
    <w:link w:val="Encabezado"/>
    <w:uiPriority w:val="99"/>
    <w:rsid w:val="00F2678B"/>
  </w:style>
  <w:style w:type="paragraph" w:styleId="Piedepgina">
    <w:name w:val="footer"/>
    <w:basedOn w:val="Normal"/>
    <w:link w:val="PiedepginaCar"/>
    <w:uiPriority w:val="99"/>
    <w:unhideWhenUsed/>
    <w:rsid w:val="00F2678B"/>
    <w:pPr>
      <w:tabs>
        <w:tab w:val="center" w:pos="4680"/>
        <w:tab w:val="right" w:pos="9360"/>
      </w:tabs>
      <w:spacing w:line="240" w:lineRule="auto"/>
    </w:pPr>
  </w:style>
  <w:style w:type="character" w:customStyle="1" w:styleId="PiedepginaCar">
    <w:name w:val="Pie de página Car"/>
    <w:basedOn w:val="Fuentedeprrafopredeter"/>
    <w:link w:val="Piedepgina"/>
    <w:uiPriority w:val="99"/>
    <w:rsid w:val="00F2678B"/>
  </w:style>
  <w:style w:type="character" w:styleId="Nmerodepgina">
    <w:name w:val="page number"/>
    <w:basedOn w:val="Fuentedeprrafopredeter"/>
    <w:uiPriority w:val="99"/>
    <w:semiHidden/>
    <w:unhideWhenUsed/>
    <w:rsid w:val="00DA67C7"/>
  </w:style>
  <w:style w:type="character" w:styleId="Hipervnculo">
    <w:name w:val="Hyperlink"/>
    <w:basedOn w:val="Fuentedeprrafopredeter"/>
    <w:rsid w:val="004D4626"/>
    <w:rPr>
      <w:color w:val="0000FF"/>
      <w:u w:val="none"/>
    </w:rPr>
  </w:style>
  <w:style w:type="character" w:styleId="Hipervnculovisitado">
    <w:name w:val="FollowedHyperlink"/>
    <w:basedOn w:val="Fuentedeprrafopredeter"/>
    <w:uiPriority w:val="99"/>
    <w:semiHidden/>
    <w:unhideWhenUsed/>
    <w:rsid w:val="004D4626"/>
    <w:rPr>
      <w:color w:val="800080" w:themeColor="followedHyperlink"/>
      <w:u w:val="single"/>
    </w:rPr>
  </w:style>
  <w:style w:type="character" w:styleId="Mencinsinresolver">
    <w:name w:val="Unresolved Mention"/>
    <w:basedOn w:val="Fuentedeprrafopredeter"/>
    <w:uiPriority w:val="99"/>
    <w:semiHidden/>
    <w:unhideWhenUsed/>
    <w:rsid w:val="00EF3D9C"/>
    <w:rPr>
      <w:color w:val="605E5C"/>
      <w:shd w:val="clear" w:color="auto" w:fill="E1DFDD"/>
    </w:rPr>
  </w:style>
  <w:style w:type="table" w:styleId="Tablaconcuadrcula">
    <w:name w:val="Table Grid"/>
    <w:basedOn w:val="Tablanormal"/>
    <w:uiPriority w:val="39"/>
    <w:rsid w:val="00ED2FF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
    <w:name w:val="__Single Txt"/>
    <w:basedOn w:val="Normal"/>
    <w:link w:val="SingleTxtChar"/>
    <w:qFormat/>
    <w:rsid w:val="0067502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heme="minorHAnsi" w:hAnsi="Times New Roman" w:cs="Times New Roman"/>
      <w:spacing w:val="4"/>
      <w:w w:val="103"/>
      <w:kern w:val="14"/>
      <w:sz w:val="20"/>
      <w:lang w:val="es-ES" w:eastAsia="en-US"/>
    </w:rPr>
  </w:style>
  <w:style w:type="character" w:customStyle="1" w:styleId="SingleTxtChar">
    <w:name w:val="__Single Txt Char"/>
    <w:link w:val="SingleTxt"/>
    <w:locked/>
    <w:rsid w:val="0067502D"/>
    <w:rPr>
      <w:rFonts w:ascii="Times New Roman" w:eastAsiaTheme="minorHAnsi" w:hAnsi="Times New Roman" w:cs="Times New Roman"/>
      <w:spacing w:val="4"/>
      <w:w w:val="103"/>
      <w:kern w:val="14"/>
      <w:sz w:val="20"/>
      <w:lang w:val="es-ES" w:eastAsia="en-US"/>
    </w:rPr>
  </w:style>
  <w:style w:type="paragraph" w:styleId="Textonotaalfinal">
    <w:name w:val="endnote text"/>
    <w:aliases w:val="2_G"/>
    <w:basedOn w:val="Textonotapie"/>
    <w:link w:val="TextonotaalfinalCar"/>
    <w:qFormat/>
    <w:rsid w:val="00A238F0"/>
    <w:pPr>
      <w:tabs>
        <w:tab w:val="right" w:pos="418"/>
      </w:tabs>
      <w:suppressAutoHyphens/>
      <w:spacing w:after="80" w:line="210" w:lineRule="exact"/>
      <w:ind w:left="475" w:hanging="475"/>
    </w:pPr>
    <w:rPr>
      <w:rFonts w:ascii="Times New Roman" w:eastAsiaTheme="minorHAnsi" w:hAnsi="Times New Roman" w:cs="Times New Roman"/>
      <w:spacing w:val="5"/>
      <w:w w:val="104"/>
      <w:sz w:val="17"/>
      <w:szCs w:val="22"/>
      <w:lang w:val="es-ES" w:eastAsia="en-US"/>
    </w:rPr>
  </w:style>
  <w:style w:type="character" w:customStyle="1" w:styleId="TextonotaalfinalCar">
    <w:name w:val="Texto nota al final Car"/>
    <w:aliases w:val="2_G Car"/>
    <w:basedOn w:val="Fuentedeprrafopredeter"/>
    <w:link w:val="Textonotaalfinal"/>
    <w:rsid w:val="00A238F0"/>
    <w:rPr>
      <w:rFonts w:ascii="Times New Roman" w:eastAsiaTheme="minorHAnsi" w:hAnsi="Times New Roman" w:cs="Times New Roman"/>
      <w:spacing w:val="5"/>
      <w:w w:val="104"/>
      <w:sz w:val="17"/>
      <w:lang w:val="es-ES" w:eastAsia="en-US"/>
    </w:rPr>
  </w:style>
  <w:style w:type="table" w:customStyle="1" w:styleId="a">
    <w:basedOn w:val="TableNormal2"/>
    <w:pPr>
      <w:spacing w:line="240" w:lineRule="auto"/>
    </w:pPr>
    <w:tblPr>
      <w:tblStyleRowBandSize w:val="1"/>
      <w:tblStyleColBandSize w:val="1"/>
      <w:tblCellMar>
        <w:left w:w="108" w:type="dxa"/>
        <w:right w:w="108" w:type="dxa"/>
      </w:tblCellMar>
    </w:tblPr>
  </w:style>
  <w:style w:type="paragraph" w:styleId="Sinespaciado">
    <w:name w:val="No Spacing"/>
    <w:link w:val="SinespaciadoCar"/>
    <w:uiPriority w:val="1"/>
    <w:qFormat/>
    <w:rsid w:val="001668EE"/>
    <w:pPr>
      <w:spacing w:line="240" w:lineRule="auto"/>
    </w:pPr>
    <w:rPr>
      <w:rFonts w:asciiTheme="minorHAnsi" w:eastAsiaTheme="minorEastAsia" w:hAnsiTheme="minorHAnsi" w:cstheme="minorBidi"/>
      <w:lang w:val="en-US" w:eastAsia="zh-CN"/>
    </w:rPr>
  </w:style>
  <w:style w:type="character" w:customStyle="1" w:styleId="SinespaciadoCar">
    <w:name w:val="Sin espaciado Car"/>
    <w:basedOn w:val="Fuentedeprrafopredeter"/>
    <w:link w:val="Sinespaciado"/>
    <w:uiPriority w:val="1"/>
    <w:rsid w:val="001668EE"/>
    <w:rPr>
      <w:rFonts w:asciiTheme="minorHAnsi" w:eastAsiaTheme="minorEastAsia" w:hAnsiTheme="minorHAnsi" w:cstheme="minorBidi"/>
      <w:lang w:val="en-US" w:eastAsia="zh-CN"/>
    </w:rPr>
  </w:style>
  <w:style w:type="paragraph" w:customStyle="1" w:styleId="4GCharCharChar">
    <w:name w:val="4_G Char Char Char"/>
    <w:aliases w:val="ftref Char Char Char,-E Fußnotenzeichen Char Char Char,16 Point Char Char Char,Superscript 6 Point Char Char Char,Carattere Char1 Char Char Char,Carattere Char Char Carattere Carattere Char Char Char Char Char"/>
    <w:basedOn w:val="Normal"/>
    <w:link w:val="Refdenotaalpie"/>
    <w:rsid w:val="00134DF7"/>
    <w:pPr>
      <w:spacing w:after="160" w:line="240" w:lineRule="exact"/>
      <w:ind w:right="144"/>
      <w:jc w:val="both"/>
    </w:pPr>
    <w:rPr>
      <w:vertAlign w:val="superscript"/>
    </w:rPr>
  </w:style>
  <w:style w:type="character" w:customStyle="1" w:styleId="PrrafodelistaCar">
    <w:name w:val="Párrafo de lista Car"/>
    <w:basedOn w:val="Fuentedeprrafopredeter"/>
    <w:link w:val="Prrafodelista"/>
    <w:uiPriority w:val="34"/>
    <w:rsid w:val="00B91E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rive.google.com/file/d/1QhJ4Sq85HBgVLLyA5fe5icqGn7EQmb-M/view?usp=sharing" TargetMode="External"/><Relationship Id="rId4" Type="http://schemas.openxmlformats.org/officeDocument/2006/relationships/settings" Target="settings.xml"/><Relationship Id="rId9" Type="http://schemas.openxmlformats.org/officeDocument/2006/relationships/hyperlink" Target="https://www.oas.org/es/mesecvi/docs/MESECVI_CEVI_doc.284_23.rev2.pdf"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3" Type="http://schemas.openxmlformats.org/officeDocument/2006/relationships/hyperlink" Target="https://www.gob.mx/salud/documentos/programa-de-accion-especifico-de-salud-sexual-y-reproductiva-2020-2024" TargetMode="External"/><Relationship Id="rId18" Type="http://schemas.openxmlformats.org/officeDocument/2006/relationships/hyperlink" Target="https://drive.google.com/file/d/1QhJ4Sq85HBgVLLyA5fe5icqGn7EQmb-M/view?usp=sharing" TargetMode="External"/><Relationship Id="rId26" Type="http://schemas.openxmlformats.org/officeDocument/2006/relationships/hyperlink" Target="https://www.diputados.gob.mx/LeyesBiblio/pdf/PEF_2024.pdf" TargetMode="External"/><Relationship Id="rId3" Type="http://schemas.openxmlformats.org/officeDocument/2006/relationships/hyperlink" Target="https://www.inegi.org.mx/contenidos/programas/endireh/2021/doc/endireh2021_presentacion_ejecutiva.pdf" TargetMode="External"/><Relationship Id="rId21" Type="http://schemas.openxmlformats.org/officeDocument/2006/relationships/hyperlink" Target="https://www.gob.mx/cms/uploads/attachment/file/948991/INFORME_FINAL_CONAVIM_2018-2024__ULTIMO__COMPRIMIR.pdf" TargetMode="External"/><Relationship Id="rId34" Type="http://schemas.openxmlformats.org/officeDocument/2006/relationships/hyperlink" Target="https://www.inpi.gob.mx/focalizada/2024/probipi/cultura/Informe-S249-PROBIPI-181-75-4T-2024.pdf" TargetMode="External"/><Relationship Id="rId7" Type="http://schemas.openxmlformats.org/officeDocument/2006/relationships/hyperlink" Target="https://equis.org.mx/centros-de-justicia-para-las-mujeres-informe-nacional-2018-2021/" TargetMode="External"/><Relationship Id="rId12" Type="http://schemas.openxmlformats.org/officeDocument/2006/relationships/hyperlink" Target="https://guerrero.gob.mx/wp-content/uploads/2021/02/Protocolo-Guerrero.pdf" TargetMode="External"/><Relationship Id="rId17" Type="http://schemas.openxmlformats.org/officeDocument/2006/relationships/hyperlink" Target="https://www.cepal.org/sites/default/files/static/files/mexico_-_informe_nacional_2.pdf" TargetMode="External"/><Relationship Id="rId25" Type="http://schemas.openxmlformats.org/officeDocument/2006/relationships/hyperlink" Target="https://www.diputados.gob.mx/LeyesBiblio/pdf/PEF_2025.pdf" TargetMode="External"/><Relationship Id="rId33" Type="http://schemas.openxmlformats.org/officeDocument/2006/relationships/hyperlink" Target="https://www.inpi.gob.mx/focalizada/2024/probipi/economia/INFORME-181-2T2024-PAEI-PROBIPI.pdf" TargetMode="External"/><Relationship Id="rId2" Type="http://schemas.openxmlformats.org/officeDocument/2006/relationships/hyperlink" Target="https://www.inegi.org.mx/contenidos/programas/endireh/2021/doc/endireh2021_presentacion_ejecutiva.pdf" TargetMode="External"/><Relationship Id="rId16" Type="http://schemas.openxmlformats.org/officeDocument/2006/relationships/hyperlink" Target="https://cimacnoticias.com.mx/2025/01/06/https-cimacnoticias-com-mx-2024-12-20-denuncian-despido-masivo-en-conavim-contra-100-trabajadoras-exigen-respuestas-a-citlalli-hernandez/" TargetMode="External"/><Relationship Id="rId20" Type="http://schemas.openxmlformats.org/officeDocument/2006/relationships/hyperlink" Target="https://www.pef.hacienda.gob.mx/work/models/GOpef25P/PEF2025/Loungbqw/docs/54/r54_ep.pdf" TargetMode="External"/><Relationship Id="rId29" Type="http://schemas.openxmlformats.org/officeDocument/2006/relationships/hyperlink" Target="https://www.gob.mx/cms/uploads/attachment/file/948839/47_PI_CEAV_AyR2324.pdf" TargetMode="External"/><Relationship Id="rId1" Type="http://schemas.openxmlformats.org/officeDocument/2006/relationships/hyperlink" Target="https://versionpublicarnpdno.segob.gob.mx/Dashboard/ContextoGeneral" TargetMode="External"/><Relationship Id="rId6" Type="http://schemas.openxmlformats.org/officeDocument/2006/relationships/hyperlink" Target="https://equalitynow.storage.googleapis.com/wp-content/uploads/2022/02/25104155/Failure_to_Protect_-_Equality_Now_2021_-_ESP-min.pdf" TargetMode="External"/><Relationship Id="rId11" Type="http://schemas.openxmlformats.org/officeDocument/2006/relationships/hyperlink" Target="https://www.fiscalia.gov.co/colombia/wp-content/uploads/2020/07/Protocolo-Violencia-Sexual.pdf" TargetMode="External"/><Relationship Id="rId24" Type="http://schemas.openxmlformats.org/officeDocument/2006/relationships/hyperlink" Target="https://www.diputados.gob.mx/LeyesBiblio/pdf/PEF_2025.pdf" TargetMode="External"/><Relationship Id="rId32" Type="http://schemas.openxmlformats.org/officeDocument/2006/relationships/hyperlink" Target="https://www.inpi.gob.mx/focalizada/2024/probipi/economia/INFORME-181-2T2024-PAEI-PROBIPI.pdf" TargetMode="External"/><Relationship Id="rId5" Type="http://schemas.openxmlformats.org/officeDocument/2006/relationships/hyperlink" Target="https://www.inegi.org.mx/contenidos/programas/endireh/2016/doc/endireh2016_presentacion_ejecutiva.pdf" TargetMode="External"/><Relationship Id="rId15" Type="http://schemas.openxmlformats.org/officeDocument/2006/relationships/hyperlink" Target="https://www.diputados.gob.mx/LeyesBiblio/pdf/LOAPF.pdf" TargetMode="External"/><Relationship Id="rId23" Type="http://schemas.openxmlformats.org/officeDocument/2006/relationships/hyperlink" Target="https://www.diputados.gob.mx/LeyesBiblio//pdf/PEF_2024.pdf" TargetMode="External"/><Relationship Id="rId28" Type="http://schemas.openxmlformats.org/officeDocument/2006/relationships/hyperlink" Target="https://www.gob.mx/cms/uploads/attachment/file/948839/47_PI_CEAV_AyR2324.pdf" TargetMode="External"/><Relationship Id="rId36" Type="http://schemas.openxmlformats.org/officeDocument/2006/relationships/hyperlink" Target="https://www.diputados.gob.mx/LeyesBiblio/pdf/LFPRH.pdf" TargetMode="External"/><Relationship Id="rId10" Type="http://schemas.openxmlformats.org/officeDocument/2006/relationships/hyperlink" Target="https://cimacnoticias.com.mx/2024/09/04/defensoras-manifiestan-sus-razones-contra-reforma-al-poder-judicial/" TargetMode="External"/><Relationship Id="rId19" Type="http://schemas.openxmlformats.org/officeDocument/2006/relationships/hyperlink" Target="https://www.gob.mx/shcp" TargetMode="External"/><Relationship Id="rId31" Type="http://schemas.openxmlformats.org/officeDocument/2006/relationships/hyperlink" Target="https://www.asf.gob.mx/Trans/Informes/IR2022c/Documentos/Auditorias/2022_0057_a.pdf" TargetMode="External"/><Relationship Id="rId4" Type="http://schemas.openxmlformats.org/officeDocument/2006/relationships/hyperlink" Target="https://www.inegi.org.mx/contenidos/programas/endireh/2016/doc/endireh2016_presentacion_ejecutiva.pdf" TargetMode="External"/><Relationship Id="rId9" Type="http://schemas.openxmlformats.org/officeDocument/2006/relationships/hyperlink" Target="https://www.inegi.org.mx/programas/envipe/2024/" TargetMode="External"/><Relationship Id="rId14" Type="http://schemas.openxmlformats.org/officeDocument/2006/relationships/hyperlink" Target="https://unidaddegenerosgg.edomex.gob.mx/sites/unidaddegenerosgg.edomex.gob.mx/files/files/Biblioteca%202022/G%C3%A9nero%20y%20seguridad/GSEG-9%20Protocolo%20de%20investigaci%C3%B3n%20ministerial%2C%20pericial%20y%20policial%20con%20perspectiva%20de%20g%C3%A9nero%20para%20la%20violencia.%20PGR.pdf" TargetMode="External"/><Relationship Id="rId22" Type="http://schemas.openxmlformats.org/officeDocument/2006/relationships/hyperlink" Target="https://www.diputados.gob.mx/LeyesBiblio/pdf/PEF_2025.pdf" TargetMode="External"/><Relationship Id="rId27" Type="http://schemas.openxmlformats.org/officeDocument/2006/relationships/hyperlink" Target="https://www.diputados.gob.mx/LeyesBiblio/pdf/PEF_2024.pdf" TargetMode="External"/><Relationship Id="rId30" Type="http://schemas.openxmlformats.org/officeDocument/2006/relationships/hyperlink" Target="https://www.asf.gob.mx/Trans/Informes/IR2022c/Documentos/Auditorias/2022_0057_a.pdf" TargetMode="External"/><Relationship Id="rId35" Type="http://schemas.openxmlformats.org/officeDocument/2006/relationships/hyperlink" Target="https://www.inpi.gob.mx/focalizada/2024/probipi/cultura/Informe-S249-PROBIPI-181-75-4T-2024.pdf" TargetMode="External"/><Relationship Id="rId8" Type="http://schemas.openxmlformats.org/officeDocument/2006/relationships/hyperlink" Target="https://equis.org.mx/centros-de-justicia-para-las-mujeres-informe-nacional-2018-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KHWcBD1mG2jpUYnyasiYFqLKKg==">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Pages>
  <Words>5175</Words>
  <Characters>28467</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aliadas por la igualdad y  la no violencia</dc:creator>
  <cp:lastModifiedBy>Sandra Ramirez</cp:lastModifiedBy>
  <cp:revision>76</cp:revision>
  <dcterms:created xsi:type="dcterms:W3CDTF">2025-05-14T15:12:00Z</dcterms:created>
  <dcterms:modified xsi:type="dcterms:W3CDTF">2025-05-22T17:36:00Z</dcterms:modified>
</cp:coreProperties>
</file>