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50C3E" w14:textId="77777777" w:rsidR="003825B1" w:rsidRDefault="003825B1" w:rsidP="00343EEC">
      <w:pPr>
        <w:spacing w:after="160" w:line="256" w:lineRule="auto"/>
        <w:contextualSpacing/>
        <w:jc w:val="both"/>
        <w:rPr>
          <w:rFonts w:asciiTheme="minorHAnsi" w:eastAsia="Times New Roman" w:hAnsiTheme="minorHAnsi" w:cstheme="minorHAnsi"/>
          <w:lang w:eastAsia="fr-BE"/>
        </w:rPr>
        <w:sectPr w:rsidR="003825B1" w:rsidSect="003825B1">
          <w:footerReference w:type="default" r:id="rId8"/>
          <w:headerReference w:type="first" r:id="rId9"/>
          <w:footerReference w:type="first" r:id="rId10"/>
          <w:pgSz w:w="11906" w:h="16838" w:code="9"/>
          <w:pgMar w:top="2977" w:right="1701" w:bottom="1843" w:left="1701" w:header="709" w:footer="709" w:gutter="0"/>
          <w:cols w:space="708"/>
          <w:titlePg/>
          <w:docGrid w:linePitch="360"/>
        </w:sectPr>
      </w:pPr>
    </w:p>
    <w:p w14:paraId="4DE371E7" w14:textId="77777777" w:rsidR="00947324" w:rsidRPr="00307B6D" w:rsidRDefault="00775036" w:rsidP="00CE5625">
      <w:pPr>
        <w:pStyle w:val="Title"/>
        <w:pBdr>
          <w:bottom w:val="single" w:sz="8" w:space="9" w:color="4472C4" w:themeColor="accent1"/>
        </w:pBdr>
        <w:jc w:val="center"/>
        <w:rPr>
          <w:rFonts w:asciiTheme="minorHAnsi" w:hAnsiTheme="minorHAnsi" w:cstheme="minorHAnsi"/>
          <w:b/>
          <w:color w:val="4472C4" w:themeColor="accent1"/>
          <w:sz w:val="32"/>
          <w:szCs w:val="32"/>
        </w:rPr>
      </w:pPr>
      <w:bookmarkStart w:id="0" w:name="_Hlk171938115"/>
      <w:bookmarkStart w:id="1" w:name="_Hlk176974921"/>
      <w:r>
        <w:rPr>
          <w:rFonts w:asciiTheme="minorHAnsi" w:hAnsiTheme="minorHAnsi" w:cstheme="minorHAnsi"/>
          <w:b/>
          <w:color w:val="4472C4" w:themeColor="accent1"/>
          <w:sz w:val="32"/>
          <w:szCs w:val="32"/>
        </w:rPr>
        <w:t xml:space="preserve">Información adicional </w:t>
      </w:r>
      <w:r w:rsidR="003E7664">
        <w:rPr>
          <w:rFonts w:asciiTheme="minorHAnsi" w:hAnsiTheme="minorHAnsi" w:cstheme="minorHAnsi"/>
          <w:b/>
          <w:color w:val="4472C4" w:themeColor="accent1"/>
          <w:sz w:val="32"/>
          <w:szCs w:val="32"/>
        </w:rPr>
        <w:t xml:space="preserve">para el examen </w:t>
      </w:r>
      <w:r w:rsidR="00324D16">
        <w:rPr>
          <w:rFonts w:asciiTheme="minorHAnsi" w:hAnsiTheme="minorHAnsi" w:cstheme="minorHAnsi"/>
          <w:b/>
          <w:color w:val="4472C4" w:themeColor="accent1"/>
          <w:sz w:val="32"/>
          <w:szCs w:val="32"/>
        </w:rPr>
        <w:t xml:space="preserve">sobre el </w:t>
      </w:r>
      <w:r w:rsidR="00FC5860">
        <w:rPr>
          <w:rFonts w:asciiTheme="minorHAnsi" w:hAnsiTheme="minorHAnsi" w:cstheme="minorHAnsi"/>
          <w:b/>
          <w:color w:val="4472C4" w:themeColor="accent1"/>
          <w:sz w:val="32"/>
          <w:szCs w:val="32"/>
        </w:rPr>
        <w:t>VII informe periódico de España al</w:t>
      </w:r>
      <w:r w:rsidR="008B7236" w:rsidRPr="00307B6D">
        <w:rPr>
          <w:rFonts w:asciiTheme="minorHAnsi" w:hAnsiTheme="minorHAnsi" w:cstheme="minorHAnsi"/>
          <w:b/>
          <w:color w:val="4472C4" w:themeColor="accent1"/>
          <w:sz w:val="32"/>
          <w:szCs w:val="32"/>
        </w:rPr>
        <w:t xml:space="preserve"> </w:t>
      </w:r>
    </w:p>
    <w:p w14:paraId="29957A6B" w14:textId="77777777" w:rsidR="00D84D3B" w:rsidRPr="00307B6D" w:rsidRDefault="00D84D3B" w:rsidP="00CE5625">
      <w:pPr>
        <w:pStyle w:val="Title"/>
        <w:pBdr>
          <w:bottom w:val="single" w:sz="8" w:space="9" w:color="4472C4" w:themeColor="accent1"/>
        </w:pBdr>
        <w:jc w:val="center"/>
        <w:rPr>
          <w:rFonts w:asciiTheme="minorHAnsi" w:hAnsiTheme="minorHAnsi" w:cstheme="minorHAnsi"/>
          <w:b/>
          <w:color w:val="4472C4" w:themeColor="accent1"/>
          <w:sz w:val="32"/>
          <w:szCs w:val="32"/>
        </w:rPr>
      </w:pPr>
      <w:r w:rsidRPr="00307B6D">
        <w:rPr>
          <w:rFonts w:asciiTheme="minorHAnsi" w:hAnsiTheme="minorHAnsi" w:cstheme="minorHAnsi"/>
          <w:b/>
          <w:color w:val="4472C4" w:themeColor="accent1"/>
          <w:sz w:val="32"/>
          <w:szCs w:val="32"/>
        </w:rPr>
        <w:t>Comité de los Derechos del Niño</w:t>
      </w:r>
    </w:p>
    <w:p w14:paraId="668629FE" w14:textId="77777777" w:rsidR="00CA7A47" w:rsidRDefault="00CA7A47" w:rsidP="00CA7A47">
      <w:bookmarkStart w:id="2" w:name="_Hlk171938204"/>
      <w:bookmarkEnd w:id="0"/>
    </w:p>
    <w:p w14:paraId="4405EE48" w14:textId="77777777" w:rsidR="00AE787F" w:rsidRDefault="00CA7A47" w:rsidP="00CA7A47">
      <w:pPr>
        <w:pStyle w:val="NormalInforme"/>
      </w:pPr>
      <w:r>
        <w:t>El Defensor del Pueblo, como Institución Nacional de Derechos Humanos de España (INDH), envió</w:t>
      </w:r>
      <w:r w:rsidR="00AE787F">
        <w:t xml:space="preserve"> su</w:t>
      </w:r>
      <w:r>
        <w:t xml:space="preserve"> informe complementario </w:t>
      </w:r>
      <w:r w:rsidR="00B138F5">
        <w:t xml:space="preserve">al Comité de Derechos del Niño </w:t>
      </w:r>
      <w:r>
        <w:t xml:space="preserve">el 15 de marzo de 2024 y compareció </w:t>
      </w:r>
      <w:r w:rsidR="00B138F5">
        <w:t xml:space="preserve">posteriormente </w:t>
      </w:r>
      <w:r>
        <w:t>en Ginebra en la sesión previa junto a la sociedad civil en septiembre de 2024.</w:t>
      </w:r>
      <w:r w:rsidR="00AA3198">
        <w:t xml:space="preserve"> </w:t>
      </w:r>
      <w:r w:rsidR="00AE787F">
        <w:t>En cumplimiento del plazo para enviar información adicional para el examen periódico a España ante este Comité, procedemos a aportar algunas novedades relacionadas con los temas tratados en este procedimiento.</w:t>
      </w:r>
    </w:p>
    <w:p w14:paraId="32932769" w14:textId="77777777" w:rsidR="00AA3198" w:rsidRDefault="00AA3198" w:rsidP="00CA7A47">
      <w:pPr>
        <w:pStyle w:val="NormalInforme"/>
      </w:pPr>
    </w:p>
    <w:p w14:paraId="525BA629" w14:textId="77777777" w:rsidR="00022F3B" w:rsidRDefault="004D5260" w:rsidP="004D5260">
      <w:pPr>
        <w:pStyle w:val="NormalInforme"/>
        <w:ind w:firstLine="0"/>
        <w:rPr>
          <w:rFonts w:ascii="Calibri" w:eastAsiaTheme="majorEastAsia" w:hAnsi="Calibri" w:cs="Calibri"/>
          <w:b/>
          <w:color w:val="4472C4" w:themeColor="accent1"/>
          <w:sz w:val="28"/>
          <w:szCs w:val="28"/>
          <w:u w:val="single"/>
          <w:lang w:eastAsia="en-GB"/>
        </w:rPr>
      </w:pPr>
      <w:r w:rsidRPr="00356A70">
        <w:rPr>
          <w:rFonts w:ascii="Calibri" w:eastAsiaTheme="majorEastAsia" w:hAnsi="Calibri" w:cs="Calibri"/>
          <w:b/>
          <w:color w:val="4472C4" w:themeColor="accent1"/>
          <w:sz w:val="28"/>
          <w:szCs w:val="28"/>
          <w:u w:val="single"/>
          <w:lang w:eastAsia="en-GB"/>
        </w:rPr>
        <w:t xml:space="preserve">Infancia migrante </w:t>
      </w:r>
      <w:r w:rsidR="005A704D" w:rsidRPr="00356A70">
        <w:rPr>
          <w:rFonts w:ascii="Calibri" w:eastAsiaTheme="majorEastAsia" w:hAnsi="Calibri" w:cs="Calibri"/>
          <w:b/>
          <w:color w:val="4472C4" w:themeColor="accent1"/>
          <w:sz w:val="28"/>
          <w:szCs w:val="28"/>
          <w:u w:val="single"/>
          <w:lang w:eastAsia="en-GB"/>
        </w:rPr>
        <w:t xml:space="preserve">   </w:t>
      </w:r>
    </w:p>
    <w:p w14:paraId="21024385" w14:textId="77777777" w:rsidR="009A7C86" w:rsidRDefault="00D03AA1" w:rsidP="00D03AA1">
      <w:pPr>
        <w:pStyle w:val="NormalInforme"/>
        <w:ind w:firstLine="0"/>
      </w:pPr>
      <w:r>
        <w:tab/>
      </w:r>
      <w:r w:rsidR="00DE778C">
        <w:t>E</w:t>
      </w:r>
      <w:r>
        <w:t xml:space="preserve">l Defensor del Pueblo/INDH publicó en mayo de 2025 el </w:t>
      </w:r>
      <w:hyperlink r:id="rId11" w:history="1">
        <w:r w:rsidR="009A7C86" w:rsidRPr="003C7D72">
          <w:rPr>
            <w:rStyle w:val="Hyperlink"/>
          </w:rPr>
          <w:t>informe “</w:t>
        </w:r>
        <w:r w:rsidR="00B138F5" w:rsidRPr="003C7D72">
          <w:rPr>
            <w:rStyle w:val="Hyperlink"/>
          </w:rPr>
          <w:t>Niñas y niños extranjeros en España solos o acompañados”</w:t>
        </w:r>
      </w:hyperlink>
      <w:r w:rsidR="00B138F5">
        <w:t xml:space="preserve"> (</w:t>
      </w:r>
      <w:r w:rsidR="007944C6">
        <w:t xml:space="preserve">mayo </w:t>
      </w:r>
      <w:r w:rsidR="00B138F5">
        <w:t>2025)</w:t>
      </w:r>
      <w:r w:rsidR="002F6015">
        <w:t xml:space="preserve">, que </w:t>
      </w:r>
      <w:r w:rsidR="009A7C86">
        <w:t>aborda la situación de la infancia migrante en España. Se detiene en dos enfoques que suponen realidades muy distintas, la de aquellos menores que llegan acompañados por s</w:t>
      </w:r>
      <w:r w:rsidR="003C7D72">
        <w:t>u</w:t>
      </w:r>
      <w:r w:rsidR="009A7C86">
        <w:t xml:space="preserve">s familias y la de aquellos que lo hacen completamente solos. </w:t>
      </w:r>
      <w:r w:rsidR="008A59DB">
        <w:t>Los</w:t>
      </w:r>
      <w:r w:rsidR="009A7C86">
        <w:t xml:space="preserve"> </w:t>
      </w:r>
      <w:r w:rsidR="008A59DB">
        <w:t>primeros</w:t>
      </w:r>
      <w:r w:rsidR="009A7C86">
        <w:t xml:space="preserve"> encaran situaciones de </w:t>
      </w:r>
      <w:r w:rsidR="008A59DB">
        <w:t xml:space="preserve">precariedad, enfrentándose </w:t>
      </w:r>
      <w:r w:rsidR="009A7C86">
        <w:t xml:space="preserve">a barreras administrativas y sociales que limitan su </w:t>
      </w:r>
      <w:r w:rsidR="008A59DB">
        <w:t xml:space="preserve">pleno </w:t>
      </w:r>
      <w:r w:rsidR="009A7C86">
        <w:t>acceso a derechos como la sanidad, la educación o la participación en la vida social. La irregularidad en la documentación de sus familias los coloca en una situación de vulnerabilidad constante.</w:t>
      </w:r>
    </w:p>
    <w:p w14:paraId="6EE509E0" w14:textId="77777777" w:rsidR="00B138F5" w:rsidRDefault="009A7C86" w:rsidP="00AA3198">
      <w:pPr>
        <w:pStyle w:val="NormalInforme"/>
      </w:pPr>
      <w:r>
        <w:t xml:space="preserve">Por otro lado, los menores </w:t>
      </w:r>
      <w:r w:rsidR="001A1131">
        <w:t xml:space="preserve">extranjeros </w:t>
      </w:r>
      <w:r>
        <w:t>no acompañados representan una realidad aún más compleja. El informe pone el foco en las deficiencias del sistema de acogida: desde la identificación inicial y la falta de</w:t>
      </w:r>
      <w:r w:rsidR="006D25DD">
        <w:t xml:space="preserve"> acceso a la </w:t>
      </w:r>
      <w:r>
        <w:t xml:space="preserve">información sobre el derecho de asilo, hasta los problemas en los centros de protección </w:t>
      </w:r>
      <w:r w:rsidR="006D25DD">
        <w:t>o</w:t>
      </w:r>
      <w:r>
        <w:t xml:space="preserve"> las dificultades que enfrentan al cumplir la mayoría de edad. En muchos casos, estos jóvenes quedan desprotegidos al salir del sistema, sin acceso claro a vivienda, empleo o estudios.</w:t>
      </w:r>
      <w:r w:rsidR="00AA3198">
        <w:t xml:space="preserve"> </w:t>
      </w:r>
      <w:r>
        <w:t xml:space="preserve">El Defensor del Pueblo </w:t>
      </w:r>
      <w:r>
        <w:lastRenderedPageBreak/>
        <w:t xml:space="preserve">plantea que no se trata solo de gestionar una realidad migratoria, sino de proteger derechos humanos básicos. Por ello, formula recomendaciones concretas </w:t>
      </w:r>
      <w:r w:rsidR="00216C4D">
        <w:t>(ver páginas de 180 a 184</w:t>
      </w:r>
      <w:r w:rsidR="006D25DD">
        <w:t xml:space="preserve"> del informe</w:t>
      </w:r>
      <w:r w:rsidR="00216C4D">
        <w:t xml:space="preserve">) </w:t>
      </w:r>
      <w:r>
        <w:t xml:space="preserve">dirigidas a las </w:t>
      </w:r>
      <w:r w:rsidR="00A15469">
        <w:t xml:space="preserve">diferentes </w:t>
      </w:r>
      <w:r>
        <w:t>administraciones públicas</w:t>
      </w:r>
      <w:r w:rsidR="00A15469">
        <w:t xml:space="preserve">, en el ámbito estatal y autonómico, en el sentido de </w:t>
      </w:r>
      <w:r>
        <w:t>adaptar la legislación, mejorar la coordinación entre instituciones, garantizar recursos adecuados y acompañar de forma efectiva el paso a la vida adulta de los jóvenes ex</w:t>
      </w:r>
      <w:r w:rsidR="00A15469">
        <w:t xml:space="preserve"> </w:t>
      </w:r>
      <w:r>
        <w:t>tutelados.</w:t>
      </w:r>
    </w:p>
    <w:p w14:paraId="63B8B7EE" w14:textId="77777777" w:rsidR="009C474F" w:rsidRDefault="009C474F" w:rsidP="009C474F">
      <w:pPr>
        <w:pStyle w:val="NormalInforme"/>
        <w:ind w:firstLine="0"/>
      </w:pPr>
      <w:r>
        <w:t xml:space="preserve">Entre las recomendaciones formuladas en el </w:t>
      </w:r>
      <w:r w:rsidR="00702A99">
        <w:t>informe,</w:t>
      </w:r>
      <w:r>
        <w:t xml:space="preserve"> se pueden resaltar: </w:t>
      </w:r>
    </w:p>
    <w:p w14:paraId="4075127B" w14:textId="77777777" w:rsidR="009C474F" w:rsidRDefault="009C474F" w:rsidP="009C474F">
      <w:pPr>
        <w:pStyle w:val="NormalInforme"/>
        <w:numPr>
          <w:ilvl w:val="0"/>
          <w:numId w:val="48"/>
        </w:numPr>
      </w:pPr>
      <w:r>
        <w:t>Que se facilite, de oficio, el número de identidad de extranjero (NIE) a todos los niños y niñas menores de 18 años, de nacionalidad extranjera, que cursen en España educación primaria, secundaria obligatoria, ciclos formativos de grado básico, educación postobligatoria.</w:t>
      </w:r>
    </w:p>
    <w:p w14:paraId="6652DD89" w14:textId="77777777" w:rsidR="009C474F" w:rsidRDefault="009C474F" w:rsidP="009C474F">
      <w:pPr>
        <w:pStyle w:val="NormalInforme"/>
        <w:numPr>
          <w:ilvl w:val="0"/>
          <w:numId w:val="48"/>
        </w:numPr>
      </w:pPr>
      <w:r>
        <w:t>Que se facilite de oficio a los menores, miembros de unidades familiares en situación irregular, una confirmación escrita de que se ha prorrogado el plazo para realizar la salida voluntaria o, en su caso, que la decisión de retorno no se ejecutará temporalmente.</w:t>
      </w:r>
    </w:p>
    <w:p w14:paraId="1409BD58" w14:textId="77777777" w:rsidR="009C474F" w:rsidRDefault="009C474F" w:rsidP="009C474F">
      <w:pPr>
        <w:pStyle w:val="NormalInforme"/>
        <w:numPr>
          <w:ilvl w:val="0"/>
          <w:numId w:val="48"/>
        </w:numPr>
      </w:pPr>
      <w:r>
        <w:t>Que se unifiquen las diferentes prácticas detectadas en las llegadas irregulares a costas, tomando en consideración el volumen y los recursos existentes en cada localidad, estableciendo un protocolo adaptado que recoja los siguientes aspectos:</w:t>
      </w:r>
    </w:p>
    <w:p w14:paraId="54B19403" w14:textId="77777777" w:rsidR="009C474F" w:rsidRDefault="009C474F" w:rsidP="009C474F">
      <w:pPr>
        <w:pStyle w:val="NormalInforme"/>
        <w:ind w:left="360"/>
      </w:pPr>
      <w:r>
        <w:t>a) La asistencia de intérpretes y de personal especializado en infancia que facilite la toma de una primera decisión.</w:t>
      </w:r>
    </w:p>
    <w:p w14:paraId="3B881606" w14:textId="77777777" w:rsidR="009C474F" w:rsidRDefault="009C474F" w:rsidP="009C474F">
      <w:pPr>
        <w:pStyle w:val="NormalInforme"/>
        <w:ind w:left="360"/>
      </w:pPr>
      <w:r>
        <w:t>b) La coordinación entre la Administración General del Estado y la entidad de protección de menores autonómica, la trazabilidad de la información sanitaria desde la primera atención (en el muelle, en la costa o en la playa), desde un centro de atención temporal de extranjeros (CATE), desde centros de acogida humanitaria de emergencia y derivación (CAED), desde centros de acogida de menores o desde otros centros de acogida a personas migrantes.</w:t>
      </w:r>
    </w:p>
    <w:p w14:paraId="6EC1C356" w14:textId="77777777" w:rsidR="009C474F" w:rsidRDefault="009C474F" w:rsidP="009C474F">
      <w:pPr>
        <w:pStyle w:val="NormalInforme"/>
        <w:ind w:left="360"/>
      </w:pPr>
      <w:r>
        <w:t>c) Un itinerario en coordinación con Fiscalía, adaptado a los medios materiales y personales de los centros hospitalarios de los lugares de llegada, a fin de que el inicio de los procedimientos de determinación de la edad se reserve a aquellos casos de personas indocumentadas cuya minoría de edad resulte dudosa.</w:t>
      </w:r>
    </w:p>
    <w:p w14:paraId="1A6FAE4F" w14:textId="77777777" w:rsidR="009C474F" w:rsidRDefault="009C474F" w:rsidP="009C474F">
      <w:pPr>
        <w:pStyle w:val="NormalInforme"/>
        <w:numPr>
          <w:ilvl w:val="0"/>
          <w:numId w:val="48"/>
        </w:numPr>
      </w:pPr>
      <w:r>
        <w:lastRenderedPageBreak/>
        <w:t>Que se adopten medidas para mejorar el Registro de Menores Extranjeros no Acompañados, a fin de facilitar el ejercicio de las labores de identificación, localización y protección, y se habilite la opción de análisis de datos masivos para facilitar la comprensión del fenómeno migratorio de la infancia en movilidad.</w:t>
      </w:r>
    </w:p>
    <w:p w14:paraId="497ECE1D" w14:textId="77777777" w:rsidR="009C474F" w:rsidRDefault="009C474F" w:rsidP="009C474F">
      <w:pPr>
        <w:pStyle w:val="NormalInforme"/>
        <w:numPr>
          <w:ilvl w:val="0"/>
          <w:numId w:val="48"/>
        </w:numPr>
      </w:pPr>
      <w:r>
        <w:t>Que se garantice el cumplimiento de la Instrucción conjunta para la formalización de solicitudes de protección internacional, de la Secretaría de Estado de Seguridad y la Subsecretaría del Interior, a fin de hacer efectivas las previsiones existentes respecto de menores de edad acompañados y no acompañados.</w:t>
      </w:r>
    </w:p>
    <w:p w14:paraId="20B5F7F8" w14:textId="77777777" w:rsidR="009C474F" w:rsidRDefault="009C474F" w:rsidP="009C474F">
      <w:pPr>
        <w:pStyle w:val="NormalInforme"/>
        <w:numPr>
          <w:ilvl w:val="0"/>
          <w:numId w:val="48"/>
        </w:numPr>
      </w:pPr>
      <w:r>
        <w:t>Que se garantice el derecho de las niñas y niños acompañados a ser oídos de manera individual en la entrevista de formalización y en la fase de instrucción.</w:t>
      </w:r>
    </w:p>
    <w:p w14:paraId="7FF698DE" w14:textId="77777777" w:rsidR="009C474F" w:rsidRDefault="009C474F" w:rsidP="009C474F">
      <w:pPr>
        <w:pStyle w:val="NormalInforme"/>
        <w:numPr>
          <w:ilvl w:val="0"/>
          <w:numId w:val="48"/>
        </w:numPr>
      </w:pPr>
      <w:r>
        <w:t>Que se revise el Protocolo Marco de Atención a Víctimas de Trata, a la vista del escaso número de menores identificados.</w:t>
      </w:r>
    </w:p>
    <w:p w14:paraId="32536A32" w14:textId="77777777" w:rsidR="009C474F" w:rsidRDefault="009C474F" w:rsidP="009C474F">
      <w:pPr>
        <w:pStyle w:val="NormalInforme"/>
        <w:numPr>
          <w:ilvl w:val="0"/>
          <w:numId w:val="48"/>
        </w:numPr>
      </w:pPr>
      <w:r>
        <w:t>Que se impulsen las actuaciones necesarias a fin de poner en práctica las recomendaciones del Grupo de Expertos en lucha contra la trata de seres humanos del Consejo de Europa (GRETA) de 2023, relativas a menores de edad, sobre la necesidad de aumentar la capacidad de detección, la disponibilidad de recurso seguros y especializados y garantizar que su interés superior sea la consideración principal.</w:t>
      </w:r>
    </w:p>
    <w:p w14:paraId="451DC938" w14:textId="77777777" w:rsidR="00E06918" w:rsidRDefault="00E06918" w:rsidP="00E06918">
      <w:pPr>
        <w:pStyle w:val="NormalInforme"/>
        <w:ind w:firstLine="0"/>
        <w:jc w:val="left"/>
      </w:pPr>
      <w:r>
        <w:t xml:space="preserve">En estas fechas se está elaborando el informe anual de 2026, que será publicado a comienzos del 2026. Se podrá consultar en este enlace: </w:t>
      </w:r>
      <w:hyperlink r:id="rId12" w:history="1">
        <w:r w:rsidRPr="006B3E93">
          <w:rPr>
            <w:rStyle w:val="Hyperlink"/>
          </w:rPr>
          <w:t>https://www.defensordelpueblo.es/informes/resultados-busqueda-informes/?tipo_documento=informe_anual</w:t>
        </w:r>
      </w:hyperlink>
    </w:p>
    <w:p w14:paraId="22BD4702" w14:textId="77777777" w:rsidR="00AA3198" w:rsidRPr="00B138F5" w:rsidRDefault="00AA3198" w:rsidP="00AA3198">
      <w:pPr>
        <w:pStyle w:val="NormalInforme"/>
      </w:pPr>
    </w:p>
    <w:p w14:paraId="5259CD26" w14:textId="77777777" w:rsidR="00A14E5D" w:rsidRDefault="001B012A" w:rsidP="001B012A">
      <w:pPr>
        <w:pStyle w:val="NormalInforme"/>
        <w:ind w:firstLine="0"/>
        <w:rPr>
          <w:rFonts w:ascii="Calibri" w:eastAsiaTheme="majorEastAsia" w:hAnsi="Calibri" w:cs="Calibri"/>
          <w:b/>
          <w:color w:val="4472C4" w:themeColor="accent1"/>
          <w:sz w:val="28"/>
          <w:szCs w:val="28"/>
          <w:u w:val="single"/>
          <w:lang w:eastAsia="en-GB"/>
        </w:rPr>
      </w:pPr>
      <w:r w:rsidRPr="00356A70">
        <w:rPr>
          <w:rFonts w:ascii="Calibri" w:eastAsiaTheme="majorEastAsia" w:hAnsi="Calibri" w:cs="Calibri"/>
          <w:b/>
          <w:color w:val="4472C4" w:themeColor="accent1"/>
          <w:sz w:val="28"/>
          <w:szCs w:val="28"/>
          <w:u w:val="single"/>
          <w:lang w:eastAsia="en-GB"/>
        </w:rPr>
        <w:t>Violencia contra la infancia: Violencia de género vicaria</w:t>
      </w:r>
      <w:r w:rsidR="008860B5" w:rsidRPr="00356A70">
        <w:rPr>
          <w:rFonts w:ascii="Calibri" w:eastAsiaTheme="majorEastAsia" w:hAnsi="Calibri" w:cs="Calibri"/>
          <w:b/>
          <w:color w:val="4472C4" w:themeColor="accent1"/>
          <w:sz w:val="28"/>
          <w:szCs w:val="28"/>
          <w:u w:val="single"/>
          <w:lang w:eastAsia="en-GB"/>
        </w:rPr>
        <w:t xml:space="preserve"> </w:t>
      </w:r>
    </w:p>
    <w:p w14:paraId="5A201833" w14:textId="77777777" w:rsidR="00AA3198" w:rsidRDefault="00EE074B" w:rsidP="001B012A">
      <w:pPr>
        <w:pStyle w:val="NormalInforme"/>
        <w:ind w:firstLine="0"/>
      </w:pPr>
      <w:r>
        <w:t xml:space="preserve">El </w:t>
      </w:r>
      <w:r w:rsidRPr="00EE074B">
        <w:t>informe del Defensor del Pueblo de noviembre de 2024, “</w:t>
      </w:r>
      <w:hyperlink r:id="rId13" w:history="1">
        <w:r w:rsidRPr="00667A43">
          <w:rPr>
            <w:rStyle w:val="Hyperlink"/>
          </w:rPr>
          <w:t>Violencia vicaria de género. Las otras víctimas</w:t>
        </w:r>
      </w:hyperlink>
      <w:r w:rsidRPr="00EE074B">
        <w:t xml:space="preserve">”, </w:t>
      </w:r>
      <w:r>
        <w:t xml:space="preserve">que ya se incluyó en el informe complementario a este Comité, </w:t>
      </w:r>
      <w:r w:rsidRPr="00EE074B">
        <w:t>pone de manifiesto deficiencias</w:t>
      </w:r>
      <w:r w:rsidR="006D25DD">
        <w:t xml:space="preserve"> que mejorar </w:t>
      </w:r>
      <w:r w:rsidRPr="00EE074B">
        <w:t xml:space="preserve">en la detección, prevención y protección frente a esta manifestación extrema de la violencia de género. </w:t>
      </w:r>
    </w:p>
    <w:p w14:paraId="1C4D3DDD" w14:textId="77777777" w:rsidR="00384FFA" w:rsidRDefault="00AA3198" w:rsidP="00E51057">
      <w:pPr>
        <w:pStyle w:val="NormalInforme"/>
      </w:pPr>
      <w:r>
        <w:lastRenderedPageBreak/>
        <w:t xml:space="preserve">El </w:t>
      </w:r>
      <w:hyperlink r:id="rId14" w:history="1">
        <w:r w:rsidRPr="00AA3198">
          <w:rPr>
            <w:rStyle w:val="Hyperlink"/>
          </w:rPr>
          <w:t>Anteproyecto de Ley Orgánica de medidas en materia de violencia vicaria</w:t>
        </w:r>
      </w:hyperlink>
      <w:r>
        <w:t xml:space="preserve">, elaborado por los Ministerios de Igualdad, de la Presidencia, Justicia y Relaciones con las Cortes y el </w:t>
      </w:r>
      <w:r w:rsidR="00E51057">
        <w:t>de Juventud e Infancia y aprobado en Consejo de Ministros el 1 de octubre de 2025 supondrá</w:t>
      </w:r>
      <w:r w:rsidR="006D25DD">
        <w:t>, de ser adoptado,</w:t>
      </w:r>
      <w:r w:rsidR="00384FFA">
        <w:t xml:space="preserve"> </w:t>
      </w:r>
      <w:r w:rsidR="00377DDF">
        <w:t xml:space="preserve"> </w:t>
      </w:r>
      <w:r w:rsidR="00E51057">
        <w:t>la incorporación</w:t>
      </w:r>
      <w:r w:rsidR="00384FFA">
        <w:t xml:space="preserve"> d</w:t>
      </w:r>
      <w:r w:rsidR="00E51057">
        <w:t xml:space="preserve">el artículo 173 bis al Código Penal, </w:t>
      </w:r>
      <w:r w:rsidR="00384FFA">
        <w:t xml:space="preserve">la </w:t>
      </w:r>
      <w:r w:rsidR="00E51057">
        <w:t>modifica</w:t>
      </w:r>
      <w:r w:rsidR="00384FFA">
        <w:t xml:space="preserve">ción de </w:t>
      </w:r>
      <w:r w:rsidR="00E51057">
        <w:t xml:space="preserve">la Ley Integral contra la Violencia de Género, el Código Civil, y otras normas procesales y de protección a la infancia. </w:t>
      </w:r>
      <w:r w:rsidR="00384FFA">
        <w:t xml:space="preserve">Una vez cumplido el trámite de </w:t>
      </w:r>
      <w:r w:rsidR="00384FFA" w:rsidRPr="00384FFA">
        <w:t xml:space="preserve">informe de los órganos consultivos, </w:t>
      </w:r>
      <w:r w:rsidR="00384FFA">
        <w:t xml:space="preserve">tendrá que revisarse de nuevo por el gobierno y remitirse al </w:t>
      </w:r>
      <w:r w:rsidR="00384FFA" w:rsidRPr="00384FFA">
        <w:t>Congreso de los Diputados para su tramitación parlamentaria.</w:t>
      </w:r>
    </w:p>
    <w:p w14:paraId="5A4AF8E3" w14:textId="77777777" w:rsidR="00D1513C" w:rsidRDefault="00EE074B" w:rsidP="00A67BA0">
      <w:pPr>
        <w:pStyle w:val="NormalInforme"/>
      </w:pPr>
      <w:r w:rsidRPr="00EE074B">
        <w:t xml:space="preserve">Entre los principales problemas detectados </w:t>
      </w:r>
      <w:r w:rsidR="00A67BA0">
        <w:t>por el Defensor del Pueblo s</w:t>
      </w:r>
      <w:r w:rsidRPr="00EE074B">
        <w:t>e enc</w:t>
      </w:r>
      <w:r w:rsidR="00667A43">
        <w:t>ontraba</w:t>
      </w:r>
      <w:r w:rsidR="00A67BA0">
        <w:t>n</w:t>
      </w:r>
      <w:r w:rsidRPr="00EE074B">
        <w:t xml:space="preserve"> la escasa visibilidad</w:t>
      </w:r>
      <w:r w:rsidR="00F159F4">
        <w:t xml:space="preserve">, </w:t>
      </w:r>
      <w:r w:rsidRPr="00EE074B">
        <w:t xml:space="preserve">el </w:t>
      </w:r>
      <w:r w:rsidR="00377DDF">
        <w:t xml:space="preserve">aún </w:t>
      </w:r>
      <w:r w:rsidRPr="00EE074B">
        <w:t xml:space="preserve">insuficiente reconocimiento </w:t>
      </w:r>
      <w:r w:rsidR="00377DDF">
        <w:t xml:space="preserve">social e </w:t>
      </w:r>
      <w:r w:rsidRPr="00EE074B">
        <w:t>institucional de la violencia vicaria, así como la falta de herramientas específicas para su identificación precoz.</w:t>
      </w:r>
      <w:r w:rsidR="00667A43">
        <w:t xml:space="preserve"> </w:t>
      </w:r>
      <w:r w:rsidR="00EA2755">
        <w:t xml:space="preserve">También </w:t>
      </w:r>
      <w:r w:rsidRPr="00EE074B">
        <w:t>una fragmentación de la intervención judicial en la situación de conflicto familiar entre distintos juzgados</w:t>
      </w:r>
      <w:r w:rsidR="00A67BA0">
        <w:t xml:space="preserve"> (Juzgado de Violencia sobre la Mujer, Juzgado de Familia o Primera Instancia en el orden civil y Juzgado de lo Penal) </w:t>
      </w:r>
      <w:r w:rsidRPr="00EE074B">
        <w:t xml:space="preserve">que impide una valoración integral del caso y una protección efectiva de los menores, sumada a la insuficiente formación especializada entre los y las profesionales que intervienen en estas situaciones. A ello se añade la ausencia de una coordinación eficaz entre los distintos ámbitos institucionales implicados —judicial, policial, educativo, sanitario y social, lo que genera respuestas dispersas, tardías e insuficientes. </w:t>
      </w:r>
      <w:r w:rsidR="00A67BA0">
        <w:t xml:space="preserve">A través de una batería de medidas, el informe </w:t>
      </w:r>
      <w:r w:rsidRPr="00EE074B">
        <w:t xml:space="preserve">destaca la necesidad de desarrollar un sistema específico de detección y evaluación del riesgo en casos de violencia vicaria o la mejora de la formación especializada en todos los niveles profesionales. Se aboga por la creación de un registro centralizado de datos, la implementación de planes de intervención familiar personalizados y la elaboración de un Plan de Acción Nacional en Violencia Vicaria que garantice una respuesta integral, coordinada y sostenida por los poderes públicos. </w:t>
      </w:r>
    </w:p>
    <w:p w14:paraId="093AFFC0" w14:textId="77777777" w:rsidR="00A67BA0" w:rsidRPr="00EE074B" w:rsidRDefault="00A67BA0" w:rsidP="00A67BA0">
      <w:pPr>
        <w:pStyle w:val="NormalInforme"/>
      </w:pPr>
    </w:p>
    <w:p w14:paraId="37720FB7" w14:textId="77777777" w:rsidR="00F96668" w:rsidRDefault="00F96668" w:rsidP="00F96668">
      <w:pPr>
        <w:spacing w:line="288" w:lineRule="auto"/>
        <w:jc w:val="both"/>
        <w:rPr>
          <w:rFonts w:eastAsiaTheme="majorEastAsia"/>
          <w:b/>
          <w:color w:val="4472C4" w:themeColor="accent1"/>
          <w:sz w:val="28"/>
          <w:szCs w:val="28"/>
          <w:u w:val="single"/>
        </w:rPr>
      </w:pPr>
      <w:r w:rsidRPr="00C9228A">
        <w:rPr>
          <w:rFonts w:eastAsiaTheme="majorEastAsia"/>
          <w:b/>
          <w:color w:val="4472C4" w:themeColor="accent1"/>
          <w:sz w:val="28"/>
          <w:szCs w:val="28"/>
          <w:u w:val="single"/>
        </w:rPr>
        <w:t xml:space="preserve">Niños privados de un entorno familiar. Sistema de protección </w:t>
      </w:r>
    </w:p>
    <w:p w14:paraId="2DD1A457" w14:textId="77777777" w:rsidR="00790973" w:rsidRDefault="00790973" w:rsidP="00790973">
      <w:pPr>
        <w:spacing w:line="288" w:lineRule="auto"/>
        <w:jc w:val="both"/>
        <w:rPr>
          <w:rFonts w:asciiTheme="minorHAnsi" w:eastAsia="Times New Roman" w:hAnsiTheme="minorHAnsi" w:cstheme="minorHAnsi"/>
          <w:color w:val="000000"/>
          <w:sz w:val="24"/>
          <w:szCs w:val="24"/>
          <w:lang w:val="es-ES" w:eastAsia="es-ES"/>
        </w:rPr>
      </w:pPr>
    </w:p>
    <w:p w14:paraId="5E9A74AC" w14:textId="77777777" w:rsidR="00790973" w:rsidRPr="00790973" w:rsidRDefault="003F3342" w:rsidP="007A67FD">
      <w:pPr>
        <w:spacing w:line="288" w:lineRule="auto"/>
        <w:jc w:val="both"/>
        <w:rPr>
          <w:rFonts w:asciiTheme="minorHAnsi" w:eastAsia="Times New Roman" w:hAnsiTheme="minorHAnsi" w:cstheme="minorHAnsi"/>
          <w:color w:val="000000"/>
          <w:sz w:val="24"/>
          <w:szCs w:val="24"/>
          <w:lang w:val="es-ES" w:eastAsia="es-ES"/>
        </w:rPr>
      </w:pPr>
      <w:r w:rsidRPr="003F3342">
        <w:rPr>
          <w:rFonts w:asciiTheme="minorHAnsi" w:eastAsia="Times New Roman" w:hAnsiTheme="minorHAnsi" w:cstheme="minorHAnsi"/>
          <w:color w:val="000000"/>
          <w:sz w:val="24"/>
          <w:szCs w:val="24"/>
          <w:lang w:val="es-ES" w:eastAsia="es-ES"/>
        </w:rPr>
        <w:t xml:space="preserve">Las declaraciones de desamparo y asunción de la tutela por la administración es una competencia autonómica. En este ámbito se </w:t>
      </w:r>
      <w:r w:rsidR="007A67FD">
        <w:rPr>
          <w:rFonts w:asciiTheme="minorHAnsi" w:eastAsia="Times New Roman" w:hAnsiTheme="minorHAnsi" w:cstheme="minorHAnsi"/>
          <w:color w:val="000000"/>
          <w:sz w:val="24"/>
          <w:szCs w:val="24"/>
          <w:lang w:val="es-ES" w:eastAsia="es-ES"/>
        </w:rPr>
        <w:t xml:space="preserve">ha emitido en </w:t>
      </w:r>
      <w:r w:rsidRPr="003F3342">
        <w:rPr>
          <w:rFonts w:asciiTheme="minorHAnsi" w:eastAsia="Times New Roman" w:hAnsiTheme="minorHAnsi" w:cstheme="minorHAnsi"/>
          <w:color w:val="000000"/>
          <w:sz w:val="24"/>
          <w:szCs w:val="24"/>
          <w:lang w:val="es-ES" w:eastAsia="es-ES"/>
        </w:rPr>
        <w:t xml:space="preserve">2025 una </w:t>
      </w:r>
      <w:r w:rsidR="007A67FD" w:rsidRPr="003F3342">
        <w:rPr>
          <w:rFonts w:asciiTheme="minorHAnsi" w:eastAsia="Times New Roman" w:hAnsiTheme="minorHAnsi" w:cstheme="minorHAnsi"/>
          <w:color w:val="000000"/>
          <w:sz w:val="24"/>
          <w:szCs w:val="24"/>
          <w:lang w:val="es-ES" w:eastAsia="es-ES"/>
        </w:rPr>
        <w:t xml:space="preserve">recomendación </w:t>
      </w:r>
      <w:r w:rsidR="007A67FD">
        <w:rPr>
          <w:rFonts w:asciiTheme="minorHAnsi" w:eastAsia="Times New Roman" w:hAnsiTheme="minorHAnsi" w:cstheme="minorHAnsi"/>
          <w:color w:val="000000"/>
          <w:sz w:val="24"/>
          <w:szCs w:val="24"/>
          <w:lang w:val="es-ES" w:eastAsia="es-ES"/>
        </w:rPr>
        <w:t>del Defensor del Pueblo “p</w:t>
      </w:r>
      <w:r w:rsidR="00790973" w:rsidRPr="00790973">
        <w:rPr>
          <w:rFonts w:asciiTheme="minorHAnsi" w:eastAsia="Times New Roman" w:hAnsiTheme="minorHAnsi" w:cstheme="minorHAnsi"/>
          <w:color w:val="000000"/>
          <w:sz w:val="24"/>
          <w:szCs w:val="24"/>
          <w:lang w:val="es-ES" w:eastAsia="es-ES"/>
        </w:rPr>
        <w:t xml:space="preserve">ara que, en cualquier caso, antes de adoptar una medida de </w:t>
      </w:r>
      <w:r w:rsidR="00790973" w:rsidRPr="00790973">
        <w:rPr>
          <w:rFonts w:asciiTheme="minorHAnsi" w:eastAsia="Times New Roman" w:hAnsiTheme="minorHAnsi" w:cstheme="minorHAnsi"/>
          <w:color w:val="000000"/>
          <w:sz w:val="24"/>
          <w:szCs w:val="24"/>
          <w:lang w:val="es-ES" w:eastAsia="es-ES"/>
        </w:rPr>
        <w:lastRenderedPageBreak/>
        <w:t>separación del</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menor de su núcleo familiar, se lleven a cabo todas las actuaciones necesarias de</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comprobación y de intervención familiar, mediante la debida coordinación con</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los servicios sociales municipales y con el centro educativo en el que está el</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menor escolarizado, acerca de las circunstancias que se hayan podido plantear</w:t>
      </w:r>
    </w:p>
    <w:p w14:paraId="667AC6DE" w14:textId="77777777" w:rsidR="00AB7D4B" w:rsidRDefault="00790973" w:rsidP="007A67FD">
      <w:pPr>
        <w:spacing w:line="288" w:lineRule="auto"/>
        <w:jc w:val="both"/>
        <w:rPr>
          <w:rFonts w:asciiTheme="minorHAnsi" w:eastAsia="Times New Roman" w:hAnsiTheme="minorHAnsi" w:cstheme="minorHAnsi"/>
          <w:color w:val="000000"/>
          <w:sz w:val="24"/>
          <w:szCs w:val="24"/>
          <w:lang w:val="es-ES" w:eastAsia="es-ES"/>
        </w:rPr>
      </w:pPr>
      <w:r w:rsidRPr="00790973">
        <w:rPr>
          <w:rFonts w:asciiTheme="minorHAnsi" w:eastAsia="Times New Roman" w:hAnsiTheme="minorHAnsi" w:cstheme="minorHAnsi"/>
          <w:color w:val="000000"/>
          <w:sz w:val="24"/>
          <w:szCs w:val="24"/>
          <w:lang w:val="es-ES" w:eastAsia="es-ES"/>
        </w:rPr>
        <w:t>en una determinada notificación o denuncia anónima</w:t>
      </w:r>
      <w:r>
        <w:rPr>
          <w:rFonts w:asciiTheme="minorHAnsi" w:eastAsia="Times New Roman" w:hAnsiTheme="minorHAnsi" w:cstheme="minorHAnsi"/>
          <w:color w:val="000000"/>
          <w:sz w:val="24"/>
          <w:szCs w:val="24"/>
          <w:lang w:val="es-ES" w:eastAsia="es-ES"/>
        </w:rPr>
        <w:t>”</w:t>
      </w:r>
      <w:r w:rsidRPr="00790973">
        <w:rPr>
          <w:rFonts w:asciiTheme="minorHAnsi" w:eastAsia="Times New Roman" w:hAnsiTheme="minorHAnsi" w:cstheme="minorHAnsi"/>
          <w:color w:val="000000"/>
          <w:sz w:val="24"/>
          <w:szCs w:val="24"/>
          <w:lang w:val="es-ES" w:eastAsia="es-ES"/>
        </w:rPr>
        <w:t>.</w:t>
      </w:r>
    </w:p>
    <w:p w14:paraId="0F2C316E" w14:textId="77777777" w:rsidR="00FA085A" w:rsidRDefault="00FA085A" w:rsidP="00790973">
      <w:pPr>
        <w:spacing w:line="288" w:lineRule="auto"/>
        <w:jc w:val="both"/>
        <w:rPr>
          <w:rFonts w:asciiTheme="minorHAnsi" w:eastAsia="Times New Roman" w:hAnsiTheme="minorHAnsi" w:cstheme="minorHAnsi"/>
          <w:color w:val="000000"/>
          <w:sz w:val="24"/>
          <w:szCs w:val="24"/>
          <w:lang w:val="es-ES" w:eastAsia="es-ES"/>
        </w:rPr>
      </w:pPr>
    </w:p>
    <w:p w14:paraId="2D710953" w14:textId="77777777" w:rsidR="00FA085A" w:rsidRDefault="00FA085A" w:rsidP="00790973">
      <w:pPr>
        <w:spacing w:line="288" w:lineRule="auto"/>
        <w:jc w:val="both"/>
        <w:rPr>
          <w:rFonts w:eastAsiaTheme="majorEastAsia"/>
          <w:b/>
          <w:color w:val="4472C4" w:themeColor="accent1"/>
          <w:sz w:val="28"/>
          <w:szCs w:val="28"/>
          <w:u w:val="single"/>
        </w:rPr>
      </w:pPr>
      <w:r w:rsidRPr="00C85A6A">
        <w:rPr>
          <w:rFonts w:eastAsiaTheme="majorEastAsia"/>
          <w:b/>
          <w:color w:val="4472C4" w:themeColor="accent1"/>
          <w:sz w:val="28"/>
          <w:szCs w:val="28"/>
          <w:u w:val="single"/>
        </w:rPr>
        <w:t>Infancia con discapacidad</w:t>
      </w:r>
    </w:p>
    <w:p w14:paraId="647F901D" w14:textId="77777777" w:rsidR="00FA085A" w:rsidRPr="00790973" w:rsidRDefault="00FA085A" w:rsidP="00790973">
      <w:pPr>
        <w:spacing w:line="288" w:lineRule="auto"/>
        <w:jc w:val="both"/>
        <w:rPr>
          <w:rFonts w:asciiTheme="minorHAnsi" w:eastAsia="Times New Roman" w:hAnsiTheme="minorHAnsi" w:cstheme="minorHAnsi"/>
          <w:color w:val="000000"/>
          <w:sz w:val="24"/>
          <w:szCs w:val="24"/>
          <w:lang w:val="es-ES" w:eastAsia="es-ES"/>
        </w:rPr>
      </w:pPr>
      <w:r w:rsidRPr="00FA085A">
        <w:rPr>
          <w:rFonts w:asciiTheme="minorHAnsi" w:eastAsia="Times New Roman" w:hAnsiTheme="minorHAnsi" w:cstheme="minorHAnsi"/>
          <w:color w:val="000000"/>
          <w:sz w:val="24"/>
          <w:szCs w:val="24"/>
          <w:lang w:val="es-ES" w:eastAsia="es-ES"/>
        </w:rPr>
        <w:t>También se han realizado actuaciones informativas con el Ministerio de Derechos Sociales, Consumo y Agenda 2030 sobre la posible ampliación de la Escala de Valoración Específica (EVE) para valorar la dependencia en menores de 0 a 3 años a los de 0 a 6 años.</w:t>
      </w:r>
    </w:p>
    <w:bookmarkEnd w:id="1"/>
    <w:bookmarkEnd w:id="2"/>
    <w:p w14:paraId="0CC89602" w14:textId="77777777" w:rsidR="0056785D" w:rsidRDefault="0056785D" w:rsidP="00C85A6A">
      <w:pPr>
        <w:pStyle w:val="NormalInforme"/>
        <w:ind w:firstLine="0"/>
        <w:rPr>
          <w:b/>
          <w:color w:val="4472C4" w:themeColor="accent1"/>
        </w:rPr>
      </w:pPr>
    </w:p>
    <w:p w14:paraId="062F8CAB" w14:textId="77777777" w:rsidR="00FA085A" w:rsidRDefault="00691D48" w:rsidP="00C85A6A">
      <w:pPr>
        <w:pStyle w:val="NormalInforme"/>
        <w:ind w:firstLine="0"/>
        <w:rPr>
          <w:rFonts w:ascii="Calibri" w:eastAsiaTheme="majorEastAsia" w:hAnsi="Calibri" w:cs="Calibri"/>
          <w:b/>
          <w:color w:val="4472C4" w:themeColor="accent1"/>
          <w:sz w:val="28"/>
          <w:szCs w:val="28"/>
          <w:u w:val="single"/>
          <w:lang w:eastAsia="en-GB"/>
        </w:rPr>
      </w:pPr>
      <w:r w:rsidRPr="00FA085A">
        <w:rPr>
          <w:rFonts w:ascii="Calibri" w:eastAsiaTheme="majorEastAsia" w:hAnsi="Calibri" w:cs="Calibri"/>
          <w:b/>
          <w:color w:val="4472C4" w:themeColor="accent1"/>
          <w:sz w:val="28"/>
          <w:szCs w:val="28"/>
          <w:u w:val="single"/>
          <w:lang w:eastAsia="en-GB"/>
        </w:rPr>
        <w:t xml:space="preserve">La vulnerabilidad de la infancia en </w:t>
      </w:r>
      <w:r w:rsidR="004E7138" w:rsidRPr="00FA085A">
        <w:rPr>
          <w:rFonts w:ascii="Calibri" w:eastAsiaTheme="majorEastAsia" w:hAnsi="Calibri" w:cs="Calibri"/>
          <w:b/>
          <w:color w:val="4472C4" w:themeColor="accent1"/>
          <w:sz w:val="28"/>
          <w:szCs w:val="28"/>
          <w:u w:val="single"/>
          <w:lang w:eastAsia="en-GB"/>
        </w:rPr>
        <w:t>el ámbito educativo</w:t>
      </w:r>
      <w:r w:rsidRPr="00FA085A">
        <w:rPr>
          <w:rFonts w:ascii="Calibri" w:eastAsiaTheme="majorEastAsia" w:hAnsi="Calibri" w:cs="Calibri"/>
          <w:b/>
          <w:color w:val="4472C4" w:themeColor="accent1"/>
          <w:sz w:val="28"/>
          <w:szCs w:val="28"/>
          <w:u w:val="single"/>
          <w:lang w:eastAsia="en-GB"/>
        </w:rPr>
        <w:t xml:space="preserve"> </w:t>
      </w:r>
    </w:p>
    <w:p w14:paraId="6934299A" w14:textId="77777777" w:rsidR="00FA085A" w:rsidRPr="007A67FD" w:rsidRDefault="004C6EE5" w:rsidP="00C85A6A">
      <w:pPr>
        <w:pStyle w:val="NormalInforme"/>
        <w:ind w:firstLine="0"/>
        <w:rPr>
          <w:rFonts w:cstheme="minorHAnsi"/>
          <w:color w:val="000000"/>
        </w:rPr>
      </w:pPr>
      <w:r w:rsidRPr="00691D48">
        <w:rPr>
          <w:rFonts w:cstheme="minorHAnsi"/>
          <w:color w:val="000000"/>
        </w:rPr>
        <w:t>Las jornadas anuales de ti</w:t>
      </w:r>
      <w:r w:rsidR="00AB7D4B" w:rsidRPr="00691D48">
        <w:rPr>
          <w:rFonts w:cstheme="minorHAnsi"/>
          <w:color w:val="000000"/>
        </w:rPr>
        <w:t>tulares de las defensorías del pueblo</w:t>
      </w:r>
      <w:r w:rsidR="0056785D">
        <w:rPr>
          <w:rFonts w:cstheme="minorHAnsi"/>
          <w:color w:val="000000"/>
        </w:rPr>
        <w:t xml:space="preserve">, formadas por las defensorías autonómicas y el Defensor del Pueblo, </w:t>
      </w:r>
      <w:r w:rsidRPr="00691D48">
        <w:rPr>
          <w:rFonts w:cstheme="minorHAnsi"/>
          <w:color w:val="000000"/>
        </w:rPr>
        <w:t xml:space="preserve"> </w:t>
      </w:r>
      <w:r w:rsidR="0056785D">
        <w:rPr>
          <w:rFonts w:cstheme="minorHAnsi"/>
          <w:color w:val="000000"/>
        </w:rPr>
        <w:t xml:space="preserve">celebradas </w:t>
      </w:r>
      <w:r w:rsidRPr="00691D48">
        <w:rPr>
          <w:rFonts w:cstheme="minorHAnsi"/>
          <w:color w:val="000000"/>
        </w:rPr>
        <w:t xml:space="preserve">en octubre de 2025, </w:t>
      </w:r>
      <w:r w:rsidR="0056785D">
        <w:rPr>
          <w:rFonts w:cstheme="minorHAnsi"/>
          <w:color w:val="000000"/>
        </w:rPr>
        <w:t xml:space="preserve">se dedicaron a </w:t>
      </w:r>
      <w:hyperlink r:id="rId15" w:history="1">
        <w:r w:rsidRPr="00691D48">
          <w:rPr>
            <w:rStyle w:val="Hyperlink"/>
            <w:rFonts w:cstheme="minorHAnsi"/>
            <w:b/>
            <w:bCs/>
          </w:rPr>
          <w:t>La vulnerabilidad en las aulas</w:t>
        </w:r>
      </w:hyperlink>
      <w:r w:rsidR="0056785D">
        <w:rPr>
          <w:rFonts w:cstheme="minorHAnsi"/>
          <w:b/>
          <w:bCs/>
          <w:color w:val="000000"/>
        </w:rPr>
        <w:t xml:space="preserve">. </w:t>
      </w:r>
      <w:r w:rsidR="0056785D" w:rsidRPr="0056785D">
        <w:rPr>
          <w:rFonts w:cstheme="minorHAnsi"/>
          <w:bCs/>
          <w:color w:val="000000"/>
        </w:rPr>
        <w:t>En</w:t>
      </w:r>
      <w:r w:rsidR="00691D48">
        <w:rPr>
          <w:rFonts w:cstheme="minorHAnsi"/>
          <w:color w:val="000000"/>
        </w:rPr>
        <w:t xml:space="preserve"> sus conclusiones </w:t>
      </w:r>
      <w:r w:rsidR="00AB7D4B" w:rsidRPr="00691D48">
        <w:rPr>
          <w:rFonts w:cstheme="minorHAnsi"/>
          <w:color w:val="000000"/>
        </w:rPr>
        <w:t>insta</w:t>
      </w:r>
      <w:r w:rsidR="00691D48">
        <w:rPr>
          <w:rFonts w:cstheme="minorHAnsi"/>
          <w:color w:val="000000"/>
        </w:rPr>
        <w:t>ron</w:t>
      </w:r>
      <w:r w:rsidR="00AB7D4B" w:rsidRPr="00691D48">
        <w:rPr>
          <w:rFonts w:cstheme="minorHAnsi"/>
          <w:color w:val="000000"/>
        </w:rPr>
        <w:t xml:space="preserve"> a las administraciones públicas a revisar e intensificar las medidas preventivas contra el acoso escolar para mejorar su eficacia y han solicitado que se dote a </w:t>
      </w:r>
      <w:r w:rsidR="00AB7D4B" w:rsidRPr="007A67FD">
        <w:rPr>
          <w:rFonts w:cstheme="minorHAnsi"/>
          <w:color w:val="000000"/>
        </w:rPr>
        <w:t>la figura del </w:t>
      </w:r>
      <w:r w:rsidR="00AB7D4B" w:rsidRPr="007A67FD">
        <w:rPr>
          <w:rStyle w:val="Emphasis"/>
          <w:rFonts w:cstheme="minorHAnsi"/>
          <w:i w:val="0"/>
          <w:color w:val="000000"/>
        </w:rPr>
        <w:t>coordinador o coordinadora de bienestar y protección del alumnado</w:t>
      </w:r>
      <w:r w:rsidR="00AB7D4B" w:rsidRPr="007A67FD">
        <w:rPr>
          <w:rFonts w:cstheme="minorHAnsi"/>
          <w:i/>
          <w:color w:val="000000"/>
        </w:rPr>
        <w:t> </w:t>
      </w:r>
      <w:r w:rsidR="00AB7D4B" w:rsidRPr="007A67FD">
        <w:rPr>
          <w:rFonts w:cstheme="minorHAnsi"/>
          <w:color w:val="000000"/>
        </w:rPr>
        <w:t>de todos los recursos necesarios para el debido cumplimiento de sus funciones.</w:t>
      </w:r>
    </w:p>
    <w:p w14:paraId="112CDC9A" w14:textId="77777777" w:rsidR="00FA085A" w:rsidRDefault="0056785D" w:rsidP="00C85A6A">
      <w:pPr>
        <w:pStyle w:val="NormalInforme"/>
        <w:ind w:firstLine="0"/>
        <w:rPr>
          <w:rFonts w:cstheme="minorHAnsi"/>
          <w:color w:val="000000"/>
          <w:lang w:val="es-ES"/>
        </w:rPr>
      </w:pPr>
      <w:r>
        <w:rPr>
          <w:rFonts w:cstheme="minorHAnsi"/>
          <w:color w:val="000000"/>
          <w:lang w:val="es-ES"/>
        </w:rPr>
        <w:t xml:space="preserve">También </w:t>
      </w:r>
      <w:r w:rsidR="00AB7D4B" w:rsidRPr="0056785D">
        <w:rPr>
          <w:rFonts w:cstheme="minorHAnsi"/>
          <w:color w:val="000000"/>
          <w:lang w:val="es-ES"/>
        </w:rPr>
        <w:t>reclaman a los poderes públicos competentes que proporcionen a los centros educativos los recursos necesarios, tanto personales como materiales, y en particular, de profesorado y profesionales que tengan la formación especializada que requiere el alumnado con necesidades específicas de apoyo educativo.</w:t>
      </w:r>
      <w:r w:rsidR="00691D48" w:rsidRPr="0056785D">
        <w:rPr>
          <w:rFonts w:cstheme="minorHAnsi"/>
          <w:color w:val="000000"/>
          <w:lang w:val="es-ES"/>
        </w:rPr>
        <w:t xml:space="preserve"> </w:t>
      </w:r>
      <w:r w:rsidR="00AB7D4B" w:rsidRPr="0056785D">
        <w:rPr>
          <w:rFonts w:cstheme="minorHAnsi"/>
          <w:color w:val="000000"/>
          <w:lang w:val="es-ES"/>
        </w:rPr>
        <w:t>En este contexto, los defensores piden también mejorar la detección y atención temprana a los niños y niñas con necesidades especiales; distribuir de manera equilibrada el alumnado en situación de vulnerabilidad en los procesos de admisión en los centros sostenidos con fondos públicos; garantizar el acceso a todas las etapas educativas a los menores extranjeros en situación administrativa irregular; atender la singularidad y las dificultades que presenta la educación en el ámbito rural; ofertar suficientes plazas de calidad para la población infantil de 0 a 3 años, y promover su gratuidad</w:t>
      </w:r>
      <w:r w:rsidR="004E7138">
        <w:rPr>
          <w:rFonts w:cstheme="minorHAnsi"/>
          <w:color w:val="000000"/>
          <w:lang w:val="es-ES"/>
        </w:rPr>
        <w:t>, entre otras cuestiones.</w:t>
      </w:r>
    </w:p>
    <w:p w14:paraId="0117C9C1" w14:textId="77777777" w:rsidR="00CA5E4E" w:rsidRDefault="00AB7D4B" w:rsidP="00C85A6A">
      <w:pPr>
        <w:pStyle w:val="NormalInforme"/>
        <w:ind w:firstLine="0"/>
        <w:rPr>
          <w:rFonts w:cstheme="minorHAnsi"/>
          <w:color w:val="000000"/>
          <w:lang w:val="es-ES"/>
        </w:rPr>
      </w:pPr>
      <w:r w:rsidRPr="0056785D">
        <w:rPr>
          <w:rFonts w:cstheme="minorHAnsi"/>
          <w:color w:val="000000"/>
          <w:lang w:val="es-ES"/>
        </w:rPr>
        <w:lastRenderedPageBreak/>
        <w:t>Sobre la progresiva implantación de la Inteligencia Artificial (IA) en las aulas creen que debe ser abordada con las debidas garantías y el respeto a los derechos humanos para que produzca utilidades y no genere impactos negativos sobre el bienestar de la infancia y la adolescencia a corto o a largo plazo.</w:t>
      </w:r>
    </w:p>
    <w:p w14:paraId="08A3A15F" w14:textId="77777777" w:rsidR="00B10128" w:rsidRDefault="00B10128" w:rsidP="00C85A6A">
      <w:pPr>
        <w:pStyle w:val="NormalInforme"/>
        <w:ind w:firstLine="0"/>
        <w:rPr>
          <w:rFonts w:cstheme="minorHAnsi"/>
          <w:color w:val="000000"/>
          <w:lang w:val="es-ES"/>
        </w:rPr>
      </w:pPr>
    </w:p>
    <w:p w14:paraId="08726C18" w14:textId="77777777" w:rsidR="00B10128" w:rsidRDefault="00B10128" w:rsidP="00C85A6A">
      <w:pPr>
        <w:pStyle w:val="NormalInforme"/>
        <w:ind w:firstLine="0"/>
        <w:rPr>
          <w:rFonts w:cstheme="minorHAnsi"/>
          <w:color w:val="000000"/>
          <w:lang w:val="es-ES"/>
        </w:rPr>
      </w:pPr>
    </w:p>
    <w:p w14:paraId="28A984A3" w14:textId="77777777" w:rsidR="00B10128" w:rsidRDefault="00B10128" w:rsidP="00C85A6A">
      <w:pPr>
        <w:pStyle w:val="NormalInforme"/>
        <w:ind w:firstLine="0"/>
        <w:rPr>
          <w:rFonts w:cstheme="minorHAnsi"/>
          <w:color w:val="000000"/>
          <w:lang w:val="es-ES"/>
        </w:rPr>
      </w:pPr>
    </w:p>
    <w:p w14:paraId="0A522DFC" w14:textId="77777777" w:rsidR="00B10128" w:rsidRDefault="00B10128" w:rsidP="00B10128">
      <w:pPr>
        <w:pStyle w:val="NormalInforme"/>
        <w:ind w:firstLine="0"/>
        <w:jc w:val="right"/>
        <w:rPr>
          <w:rFonts w:cstheme="minorHAnsi"/>
          <w:color w:val="000000"/>
          <w:lang w:val="es-ES"/>
        </w:rPr>
      </w:pPr>
      <w:r>
        <w:rPr>
          <w:rFonts w:cstheme="minorHAnsi"/>
          <w:color w:val="000000"/>
          <w:lang w:val="es-ES"/>
        </w:rPr>
        <w:t>En Madrid a 11 de diciembre de 2025</w:t>
      </w:r>
    </w:p>
    <w:p w14:paraId="0DBAC054" w14:textId="77777777" w:rsidR="00FA085A" w:rsidRDefault="00FA085A" w:rsidP="00C85A6A">
      <w:pPr>
        <w:pStyle w:val="NormalInforme"/>
        <w:ind w:firstLine="0"/>
        <w:rPr>
          <w:rFonts w:cstheme="minorHAnsi"/>
          <w:color w:val="000000"/>
          <w:lang w:val="es-ES"/>
        </w:rPr>
      </w:pPr>
    </w:p>
    <w:p w14:paraId="507112F2" w14:textId="77777777" w:rsidR="00FA085A" w:rsidRDefault="00FA085A" w:rsidP="00C85A6A">
      <w:pPr>
        <w:pStyle w:val="NormalInforme"/>
        <w:ind w:firstLine="0"/>
        <w:rPr>
          <w:rFonts w:cstheme="minorHAnsi"/>
          <w:color w:val="000000"/>
          <w:lang w:val="es-ES"/>
        </w:rPr>
      </w:pPr>
    </w:p>
    <w:sectPr w:rsidR="00FA085A" w:rsidSect="003825B1">
      <w:headerReference w:type="default" r:id="rId16"/>
      <w:footerReference w:type="default" r:id="rId17"/>
      <w:type w:val="continuous"/>
      <w:pgSz w:w="11906" w:h="16838"/>
      <w:pgMar w:top="297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38E97" w14:textId="77777777" w:rsidR="00D14419" w:rsidRDefault="00D14419" w:rsidP="00A46B59">
      <w:r>
        <w:separator/>
      </w:r>
    </w:p>
  </w:endnote>
  <w:endnote w:type="continuationSeparator" w:id="0">
    <w:p w14:paraId="583A08D9" w14:textId="77777777" w:rsidR="00D14419" w:rsidRDefault="00D14419" w:rsidP="00A4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472504"/>
      <w:docPartObj>
        <w:docPartGallery w:val="Page Numbers (Bottom of Page)"/>
        <w:docPartUnique/>
      </w:docPartObj>
    </w:sdtPr>
    <w:sdtEndPr/>
    <w:sdtContent>
      <w:p w14:paraId="68961759" w14:textId="77777777" w:rsidR="008F4EA4" w:rsidRDefault="008F4EA4">
        <w:pPr>
          <w:pStyle w:val="Footer"/>
          <w:jc w:val="right"/>
        </w:pPr>
        <w:r>
          <w:fldChar w:fldCharType="begin"/>
        </w:r>
        <w:r>
          <w:instrText>PAGE   \* MERGEFORMAT</w:instrText>
        </w:r>
        <w:r>
          <w:fldChar w:fldCharType="separate"/>
        </w:r>
        <w:r>
          <w:rPr>
            <w:lang w:val="es-ES"/>
          </w:rPr>
          <w:t>2</w:t>
        </w:r>
        <w:r>
          <w:fldChar w:fldCharType="end"/>
        </w:r>
      </w:p>
    </w:sdtContent>
  </w:sdt>
  <w:p w14:paraId="610AAE3C" w14:textId="77777777" w:rsidR="008F4EA4" w:rsidRDefault="008F4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16038"/>
      <w:docPartObj>
        <w:docPartGallery w:val="Page Numbers (Bottom of Page)"/>
        <w:docPartUnique/>
      </w:docPartObj>
    </w:sdtPr>
    <w:sdtEndPr/>
    <w:sdtContent>
      <w:p w14:paraId="517B3A2E" w14:textId="77777777" w:rsidR="003825B1" w:rsidRDefault="003825B1" w:rsidP="003825B1">
        <w:pPr>
          <w:pStyle w:val="Footer"/>
          <w:jc w:val="right"/>
        </w:pPr>
        <w:r>
          <w:fldChar w:fldCharType="begin"/>
        </w:r>
        <w:r>
          <w:instrText>PAGE   \* MERGEFORMAT</w:instrText>
        </w:r>
        <w:r>
          <w:fldChar w:fldCharType="separate"/>
        </w:r>
        <w:r>
          <w:t>2</w:t>
        </w:r>
        <w:r>
          <w:fldChar w:fldCharType="end"/>
        </w:r>
      </w:p>
    </w:sdtContent>
  </w:sdt>
  <w:p w14:paraId="7F73D6D7" w14:textId="77777777" w:rsidR="003825B1" w:rsidRDefault="003825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334525"/>
      <w:docPartObj>
        <w:docPartGallery w:val="Page Numbers (Bottom of Page)"/>
        <w:docPartUnique/>
      </w:docPartObj>
    </w:sdtPr>
    <w:sdtEndPr/>
    <w:sdtContent>
      <w:p w14:paraId="603DCBBC" w14:textId="77777777" w:rsidR="003825B1" w:rsidRDefault="003825B1">
        <w:pPr>
          <w:pStyle w:val="Footer"/>
          <w:jc w:val="right"/>
        </w:pPr>
        <w:r>
          <w:fldChar w:fldCharType="begin"/>
        </w:r>
        <w:r>
          <w:instrText>PAGE   \* MERGEFORMAT</w:instrText>
        </w:r>
        <w:r>
          <w:fldChar w:fldCharType="separate"/>
        </w:r>
        <w:r>
          <w:rPr>
            <w:lang w:val="es-ES"/>
          </w:rPr>
          <w:t>2</w:t>
        </w:r>
        <w:r>
          <w:fldChar w:fldCharType="end"/>
        </w:r>
      </w:p>
    </w:sdtContent>
  </w:sdt>
  <w:p w14:paraId="3DBDE7D4" w14:textId="77777777" w:rsidR="003825B1" w:rsidRDefault="00382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7FBB3" w14:textId="77777777" w:rsidR="00D14419" w:rsidRDefault="00D14419" w:rsidP="00A46B59">
      <w:r>
        <w:separator/>
      </w:r>
    </w:p>
  </w:footnote>
  <w:footnote w:type="continuationSeparator" w:id="0">
    <w:p w14:paraId="785D0088" w14:textId="77777777" w:rsidR="00D14419" w:rsidRDefault="00D14419" w:rsidP="00A46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8E341" w14:textId="77777777" w:rsidR="003825B1" w:rsidRDefault="003825B1">
    <w:pPr>
      <w:pStyle w:val="Header"/>
    </w:pPr>
    <w:r>
      <w:rPr>
        <w:noProof/>
      </w:rPr>
      <w:drawing>
        <wp:anchor distT="0" distB="0" distL="114300" distR="114300" simplePos="0" relativeHeight="251659264" behindDoc="0" locked="0" layoutInCell="1" allowOverlap="1" wp14:anchorId="63C37B2A" wp14:editId="5D58D91E">
          <wp:simplePos x="0" y="0"/>
          <wp:positionH relativeFrom="column">
            <wp:posOffset>1950085</wp:posOffset>
          </wp:positionH>
          <wp:positionV relativeFrom="paragraph">
            <wp:posOffset>158252</wp:posOffset>
          </wp:positionV>
          <wp:extent cx="1601470" cy="695960"/>
          <wp:effectExtent l="0" t="0" r="0" b="8890"/>
          <wp:wrapThrough wrapText="bothSides">
            <wp:wrapPolygon edited="0">
              <wp:start x="0" y="0"/>
              <wp:lineTo x="0" y="21285"/>
              <wp:lineTo x="21326" y="21285"/>
              <wp:lineTo x="2132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9238B" w14:textId="77777777" w:rsidR="003825B1" w:rsidRDefault="003825B1">
    <w:pPr>
      <w:pStyle w:val="Header"/>
    </w:pPr>
    <w:r>
      <w:rPr>
        <w:noProof/>
      </w:rPr>
      <w:drawing>
        <wp:anchor distT="0" distB="0" distL="114300" distR="114300" simplePos="0" relativeHeight="251660288" behindDoc="0" locked="0" layoutInCell="1" allowOverlap="1" wp14:anchorId="348E2C17" wp14:editId="4D3E402D">
          <wp:simplePos x="0" y="0"/>
          <wp:positionH relativeFrom="column">
            <wp:posOffset>4187825</wp:posOffset>
          </wp:positionH>
          <wp:positionV relativeFrom="paragraph">
            <wp:posOffset>336360</wp:posOffset>
          </wp:positionV>
          <wp:extent cx="1169670" cy="508000"/>
          <wp:effectExtent l="0" t="0" r="0" b="6350"/>
          <wp:wrapThrough wrapText="bothSides">
            <wp:wrapPolygon edited="0">
              <wp:start x="0" y="0"/>
              <wp:lineTo x="0" y="21060"/>
              <wp:lineTo x="21107" y="21060"/>
              <wp:lineTo x="21107"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670" cy="508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D7D38C"/>
    <w:multiLevelType w:val="hybridMultilevel"/>
    <w:tmpl w:val="00ABEF6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9D6958"/>
    <w:multiLevelType w:val="hybridMultilevel"/>
    <w:tmpl w:val="0A6F1EB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470956D"/>
    <w:multiLevelType w:val="hybridMultilevel"/>
    <w:tmpl w:val="58FC21D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39E0C5"/>
    <w:multiLevelType w:val="hybridMultilevel"/>
    <w:tmpl w:val="8D71476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C145E00"/>
    <w:multiLevelType w:val="hybridMultilevel"/>
    <w:tmpl w:val="7C4D273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3B78B3"/>
    <w:multiLevelType w:val="hybridMultilevel"/>
    <w:tmpl w:val="554E2F8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63D0E08"/>
    <w:multiLevelType w:val="hybridMultilevel"/>
    <w:tmpl w:val="282A34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EF3FB1"/>
    <w:multiLevelType w:val="hybridMultilevel"/>
    <w:tmpl w:val="0B2CF0E0"/>
    <w:lvl w:ilvl="0" w:tplc="0C0A0019">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E3538C"/>
    <w:multiLevelType w:val="hybridMultilevel"/>
    <w:tmpl w:val="DE982D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829FCCD"/>
    <w:multiLevelType w:val="hybridMultilevel"/>
    <w:tmpl w:val="462D9EF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EE6622"/>
    <w:multiLevelType w:val="hybridMultilevel"/>
    <w:tmpl w:val="95B27B8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1" w15:restartNumberingAfterBreak="0">
    <w:nsid w:val="1C84B1E2"/>
    <w:multiLevelType w:val="hybridMultilevel"/>
    <w:tmpl w:val="6DC0D1C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F053FAC"/>
    <w:multiLevelType w:val="hybridMultilevel"/>
    <w:tmpl w:val="BDC22E86"/>
    <w:lvl w:ilvl="0" w:tplc="28A0D33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5A66F7"/>
    <w:multiLevelType w:val="hybridMultilevel"/>
    <w:tmpl w:val="8EA2414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1101284"/>
    <w:multiLevelType w:val="hybridMultilevel"/>
    <w:tmpl w:val="98F6C2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3C14B2B"/>
    <w:multiLevelType w:val="hybridMultilevel"/>
    <w:tmpl w:val="08224770"/>
    <w:lvl w:ilvl="0" w:tplc="ED3C9D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FF0934"/>
    <w:multiLevelType w:val="hybridMultilevel"/>
    <w:tmpl w:val="974A9F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833DAAF"/>
    <w:multiLevelType w:val="hybridMultilevel"/>
    <w:tmpl w:val="38AD982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3BE31F4"/>
    <w:multiLevelType w:val="hybridMultilevel"/>
    <w:tmpl w:val="4DAC29C0"/>
    <w:lvl w:ilvl="0" w:tplc="7B10790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F1310B"/>
    <w:multiLevelType w:val="hybridMultilevel"/>
    <w:tmpl w:val="7B7CC3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8FB406C"/>
    <w:multiLevelType w:val="hybridMultilevel"/>
    <w:tmpl w:val="15E44DFE"/>
    <w:lvl w:ilvl="0" w:tplc="79844A92">
      <w:start w:val="17"/>
      <w:numFmt w:val="bullet"/>
      <w:lvlText w:val="-"/>
      <w:lvlJc w:val="left"/>
      <w:pPr>
        <w:ind w:left="1059" w:hanging="360"/>
      </w:pPr>
      <w:rPr>
        <w:rFonts w:ascii="Trebuchet MS" w:eastAsia="Times New Roman" w:hAnsi="Trebuchet MS" w:cs="Times New Roman" w:hint="default"/>
      </w:rPr>
    </w:lvl>
    <w:lvl w:ilvl="1" w:tplc="0C0A0003" w:tentative="1">
      <w:start w:val="1"/>
      <w:numFmt w:val="bullet"/>
      <w:lvlText w:val="o"/>
      <w:lvlJc w:val="left"/>
      <w:pPr>
        <w:ind w:left="1779" w:hanging="360"/>
      </w:pPr>
      <w:rPr>
        <w:rFonts w:ascii="Courier New" w:hAnsi="Courier New" w:cs="Courier New" w:hint="default"/>
      </w:rPr>
    </w:lvl>
    <w:lvl w:ilvl="2" w:tplc="0C0A0005" w:tentative="1">
      <w:start w:val="1"/>
      <w:numFmt w:val="bullet"/>
      <w:lvlText w:val=""/>
      <w:lvlJc w:val="left"/>
      <w:pPr>
        <w:ind w:left="2499" w:hanging="360"/>
      </w:pPr>
      <w:rPr>
        <w:rFonts w:ascii="Wingdings" w:hAnsi="Wingdings" w:hint="default"/>
      </w:rPr>
    </w:lvl>
    <w:lvl w:ilvl="3" w:tplc="0C0A0001" w:tentative="1">
      <w:start w:val="1"/>
      <w:numFmt w:val="bullet"/>
      <w:lvlText w:val=""/>
      <w:lvlJc w:val="left"/>
      <w:pPr>
        <w:ind w:left="3219" w:hanging="360"/>
      </w:pPr>
      <w:rPr>
        <w:rFonts w:ascii="Symbol" w:hAnsi="Symbol" w:hint="default"/>
      </w:rPr>
    </w:lvl>
    <w:lvl w:ilvl="4" w:tplc="0C0A0003" w:tentative="1">
      <w:start w:val="1"/>
      <w:numFmt w:val="bullet"/>
      <w:lvlText w:val="o"/>
      <w:lvlJc w:val="left"/>
      <w:pPr>
        <w:ind w:left="3939" w:hanging="360"/>
      </w:pPr>
      <w:rPr>
        <w:rFonts w:ascii="Courier New" w:hAnsi="Courier New" w:cs="Courier New" w:hint="default"/>
      </w:rPr>
    </w:lvl>
    <w:lvl w:ilvl="5" w:tplc="0C0A0005" w:tentative="1">
      <w:start w:val="1"/>
      <w:numFmt w:val="bullet"/>
      <w:lvlText w:val=""/>
      <w:lvlJc w:val="left"/>
      <w:pPr>
        <w:ind w:left="4659" w:hanging="360"/>
      </w:pPr>
      <w:rPr>
        <w:rFonts w:ascii="Wingdings" w:hAnsi="Wingdings" w:hint="default"/>
      </w:rPr>
    </w:lvl>
    <w:lvl w:ilvl="6" w:tplc="0C0A0001" w:tentative="1">
      <w:start w:val="1"/>
      <w:numFmt w:val="bullet"/>
      <w:lvlText w:val=""/>
      <w:lvlJc w:val="left"/>
      <w:pPr>
        <w:ind w:left="5379" w:hanging="360"/>
      </w:pPr>
      <w:rPr>
        <w:rFonts w:ascii="Symbol" w:hAnsi="Symbol" w:hint="default"/>
      </w:rPr>
    </w:lvl>
    <w:lvl w:ilvl="7" w:tplc="0C0A0003" w:tentative="1">
      <w:start w:val="1"/>
      <w:numFmt w:val="bullet"/>
      <w:lvlText w:val="o"/>
      <w:lvlJc w:val="left"/>
      <w:pPr>
        <w:ind w:left="6099" w:hanging="360"/>
      </w:pPr>
      <w:rPr>
        <w:rFonts w:ascii="Courier New" w:hAnsi="Courier New" w:cs="Courier New" w:hint="default"/>
      </w:rPr>
    </w:lvl>
    <w:lvl w:ilvl="8" w:tplc="0C0A0005" w:tentative="1">
      <w:start w:val="1"/>
      <w:numFmt w:val="bullet"/>
      <w:lvlText w:val=""/>
      <w:lvlJc w:val="left"/>
      <w:pPr>
        <w:ind w:left="6819" w:hanging="360"/>
      </w:pPr>
      <w:rPr>
        <w:rFonts w:ascii="Wingdings" w:hAnsi="Wingdings" w:hint="default"/>
      </w:rPr>
    </w:lvl>
  </w:abstractNum>
  <w:abstractNum w:abstractNumId="21" w15:restartNumberingAfterBreak="0">
    <w:nsid w:val="3DD56207"/>
    <w:multiLevelType w:val="hybridMultilevel"/>
    <w:tmpl w:val="90DE205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2" w15:restartNumberingAfterBreak="0">
    <w:nsid w:val="3E8C468E"/>
    <w:multiLevelType w:val="hybridMultilevel"/>
    <w:tmpl w:val="A0FEDCF0"/>
    <w:lvl w:ilvl="0" w:tplc="2CD2D7A0">
      <w:start w:val="2"/>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FD34559"/>
    <w:multiLevelType w:val="hybridMultilevel"/>
    <w:tmpl w:val="40DC83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08CA90F"/>
    <w:multiLevelType w:val="hybridMultilevel"/>
    <w:tmpl w:val="E37F8FC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183081A"/>
    <w:multiLevelType w:val="hybridMultilevel"/>
    <w:tmpl w:val="11487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F515B5"/>
    <w:multiLevelType w:val="hybridMultilevel"/>
    <w:tmpl w:val="78FCC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501FB1"/>
    <w:multiLevelType w:val="hybridMultilevel"/>
    <w:tmpl w:val="02CEE0A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4A740B00"/>
    <w:multiLevelType w:val="hybridMultilevel"/>
    <w:tmpl w:val="D7349240"/>
    <w:lvl w:ilvl="0" w:tplc="0CD2371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5E25B1"/>
    <w:multiLevelType w:val="hybridMultilevel"/>
    <w:tmpl w:val="C7882D66"/>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4E9A4103"/>
    <w:multiLevelType w:val="hybridMultilevel"/>
    <w:tmpl w:val="9D08D7F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E55A59"/>
    <w:multiLevelType w:val="hybridMultilevel"/>
    <w:tmpl w:val="69C07A60"/>
    <w:lvl w:ilvl="0" w:tplc="DE920CD4">
      <w:start w:val="17"/>
      <w:numFmt w:val="bullet"/>
      <w:lvlText w:val="-"/>
      <w:lvlJc w:val="left"/>
      <w:pPr>
        <w:ind w:left="1764" w:hanging="360"/>
      </w:pPr>
      <w:rPr>
        <w:rFonts w:ascii="Trebuchet MS" w:eastAsia="Times New Roman" w:hAnsi="Trebuchet MS" w:cs="Times New Roman" w:hint="default"/>
      </w:rPr>
    </w:lvl>
    <w:lvl w:ilvl="1" w:tplc="0C0A0003" w:tentative="1">
      <w:start w:val="1"/>
      <w:numFmt w:val="bullet"/>
      <w:lvlText w:val="o"/>
      <w:lvlJc w:val="left"/>
      <w:pPr>
        <w:ind w:left="2484" w:hanging="360"/>
      </w:pPr>
      <w:rPr>
        <w:rFonts w:ascii="Courier New" w:hAnsi="Courier New" w:cs="Courier New" w:hint="default"/>
      </w:rPr>
    </w:lvl>
    <w:lvl w:ilvl="2" w:tplc="0C0A0005" w:tentative="1">
      <w:start w:val="1"/>
      <w:numFmt w:val="bullet"/>
      <w:lvlText w:val=""/>
      <w:lvlJc w:val="left"/>
      <w:pPr>
        <w:ind w:left="3204" w:hanging="360"/>
      </w:pPr>
      <w:rPr>
        <w:rFonts w:ascii="Wingdings" w:hAnsi="Wingdings" w:hint="default"/>
      </w:rPr>
    </w:lvl>
    <w:lvl w:ilvl="3" w:tplc="0C0A0001" w:tentative="1">
      <w:start w:val="1"/>
      <w:numFmt w:val="bullet"/>
      <w:lvlText w:val=""/>
      <w:lvlJc w:val="left"/>
      <w:pPr>
        <w:ind w:left="3924" w:hanging="360"/>
      </w:pPr>
      <w:rPr>
        <w:rFonts w:ascii="Symbol" w:hAnsi="Symbol" w:hint="default"/>
      </w:rPr>
    </w:lvl>
    <w:lvl w:ilvl="4" w:tplc="0C0A0003" w:tentative="1">
      <w:start w:val="1"/>
      <w:numFmt w:val="bullet"/>
      <w:lvlText w:val="o"/>
      <w:lvlJc w:val="left"/>
      <w:pPr>
        <w:ind w:left="4644" w:hanging="360"/>
      </w:pPr>
      <w:rPr>
        <w:rFonts w:ascii="Courier New" w:hAnsi="Courier New" w:cs="Courier New" w:hint="default"/>
      </w:rPr>
    </w:lvl>
    <w:lvl w:ilvl="5" w:tplc="0C0A0005" w:tentative="1">
      <w:start w:val="1"/>
      <w:numFmt w:val="bullet"/>
      <w:lvlText w:val=""/>
      <w:lvlJc w:val="left"/>
      <w:pPr>
        <w:ind w:left="5364" w:hanging="360"/>
      </w:pPr>
      <w:rPr>
        <w:rFonts w:ascii="Wingdings" w:hAnsi="Wingdings" w:hint="default"/>
      </w:rPr>
    </w:lvl>
    <w:lvl w:ilvl="6" w:tplc="0C0A0001" w:tentative="1">
      <w:start w:val="1"/>
      <w:numFmt w:val="bullet"/>
      <w:lvlText w:val=""/>
      <w:lvlJc w:val="left"/>
      <w:pPr>
        <w:ind w:left="6084" w:hanging="360"/>
      </w:pPr>
      <w:rPr>
        <w:rFonts w:ascii="Symbol" w:hAnsi="Symbol" w:hint="default"/>
      </w:rPr>
    </w:lvl>
    <w:lvl w:ilvl="7" w:tplc="0C0A0003" w:tentative="1">
      <w:start w:val="1"/>
      <w:numFmt w:val="bullet"/>
      <w:lvlText w:val="o"/>
      <w:lvlJc w:val="left"/>
      <w:pPr>
        <w:ind w:left="6804" w:hanging="360"/>
      </w:pPr>
      <w:rPr>
        <w:rFonts w:ascii="Courier New" w:hAnsi="Courier New" w:cs="Courier New" w:hint="default"/>
      </w:rPr>
    </w:lvl>
    <w:lvl w:ilvl="8" w:tplc="0C0A0005" w:tentative="1">
      <w:start w:val="1"/>
      <w:numFmt w:val="bullet"/>
      <w:lvlText w:val=""/>
      <w:lvlJc w:val="left"/>
      <w:pPr>
        <w:ind w:left="7524" w:hanging="360"/>
      </w:pPr>
      <w:rPr>
        <w:rFonts w:ascii="Wingdings" w:hAnsi="Wingdings" w:hint="default"/>
      </w:rPr>
    </w:lvl>
  </w:abstractNum>
  <w:abstractNum w:abstractNumId="32" w15:restartNumberingAfterBreak="0">
    <w:nsid w:val="55DE6C76"/>
    <w:multiLevelType w:val="hybridMultilevel"/>
    <w:tmpl w:val="A566B0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6471768"/>
    <w:multiLevelType w:val="hybridMultilevel"/>
    <w:tmpl w:val="100630BE"/>
    <w:lvl w:ilvl="0" w:tplc="23806D56">
      <w:start w:val="1"/>
      <w:numFmt w:val="upperRoman"/>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579F2D18"/>
    <w:multiLevelType w:val="hybridMultilevel"/>
    <w:tmpl w:val="7C08E4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88520D6"/>
    <w:multiLevelType w:val="hybridMultilevel"/>
    <w:tmpl w:val="C074CA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8BD1C01"/>
    <w:multiLevelType w:val="hybridMultilevel"/>
    <w:tmpl w:val="2542A45C"/>
    <w:lvl w:ilvl="0" w:tplc="B0C29C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733C2B"/>
    <w:multiLevelType w:val="hybridMultilevel"/>
    <w:tmpl w:val="2B3AC7E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E683E07"/>
    <w:multiLevelType w:val="hybridMultilevel"/>
    <w:tmpl w:val="870C1B8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0377A5A"/>
    <w:multiLevelType w:val="hybridMultilevel"/>
    <w:tmpl w:val="4134DB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2E93D5C"/>
    <w:multiLevelType w:val="hybridMultilevel"/>
    <w:tmpl w:val="D26E648C"/>
    <w:lvl w:ilvl="0" w:tplc="A0045D28">
      <w:numFmt w:val="bullet"/>
      <w:lvlText w:val="-"/>
      <w:lvlJc w:val="left"/>
      <w:pPr>
        <w:ind w:left="360" w:hanging="360"/>
      </w:pPr>
      <w:rPr>
        <w:rFonts w:ascii="Trebuchet MS" w:eastAsia="Times New Roman" w:hAnsi="Trebuchet MS"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689907F7"/>
    <w:multiLevelType w:val="hybridMultilevel"/>
    <w:tmpl w:val="1597DD87"/>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CD7318B"/>
    <w:multiLevelType w:val="hybridMultilevel"/>
    <w:tmpl w:val="D0DE4A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F1552B8"/>
    <w:multiLevelType w:val="hybridMultilevel"/>
    <w:tmpl w:val="1700C6C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F735EE4"/>
    <w:multiLevelType w:val="hybridMultilevel"/>
    <w:tmpl w:val="9FA065EA"/>
    <w:lvl w:ilvl="0" w:tplc="948AED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8D4240"/>
    <w:multiLevelType w:val="hybridMultilevel"/>
    <w:tmpl w:val="B43845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D00D53"/>
    <w:multiLevelType w:val="hybridMultilevel"/>
    <w:tmpl w:val="C8E81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BA22E1"/>
    <w:multiLevelType w:val="multilevel"/>
    <w:tmpl w:val="B8D2FF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710621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70950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8949277">
    <w:abstractNumId w:val="17"/>
  </w:num>
  <w:num w:numId="4" w16cid:durableId="1905288800">
    <w:abstractNumId w:val="38"/>
  </w:num>
  <w:num w:numId="5" w16cid:durableId="524558179">
    <w:abstractNumId w:val="6"/>
  </w:num>
  <w:num w:numId="6" w16cid:durableId="1564833595">
    <w:abstractNumId w:val="0"/>
  </w:num>
  <w:num w:numId="7" w16cid:durableId="1183087539">
    <w:abstractNumId w:val="1"/>
  </w:num>
  <w:num w:numId="8" w16cid:durableId="1234467966">
    <w:abstractNumId w:val="2"/>
  </w:num>
  <w:num w:numId="9" w16cid:durableId="51734237">
    <w:abstractNumId w:val="24"/>
  </w:num>
  <w:num w:numId="10" w16cid:durableId="780564932">
    <w:abstractNumId w:val="13"/>
  </w:num>
  <w:num w:numId="11" w16cid:durableId="880018791">
    <w:abstractNumId w:val="5"/>
  </w:num>
  <w:num w:numId="12" w16cid:durableId="144705278">
    <w:abstractNumId w:val="4"/>
  </w:num>
  <w:num w:numId="13" w16cid:durableId="2032101562">
    <w:abstractNumId w:val="11"/>
  </w:num>
  <w:num w:numId="14" w16cid:durableId="2074692987">
    <w:abstractNumId w:val="3"/>
  </w:num>
  <w:num w:numId="15" w16cid:durableId="965040461">
    <w:abstractNumId w:val="9"/>
  </w:num>
  <w:num w:numId="16" w16cid:durableId="1935745262">
    <w:abstractNumId w:val="41"/>
  </w:num>
  <w:num w:numId="17" w16cid:durableId="214658301">
    <w:abstractNumId w:val="36"/>
  </w:num>
  <w:num w:numId="18" w16cid:durableId="2106345110">
    <w:abstractNumId w:val="21"/>
  </w:num>
  <w:num w:numId="19" w16cid:durableId="1332903447">
    <w:abstractNumId w:val="32"/>
  </w:num>
  <w:num w:numId="20" w16cid:durableId="1657108866">
    <w:abstractNumId w:val="26"/>
  </w:num>
  <w:num w:numId="21" w16cid:durableId="46613287">
    <w:abstractNumId w:val="23"/>
  </w:num>
  <w:num w:numId="22" w16cid:durableId="208500370">
    <w:abstractNumId w:val="45"/>
  </w:num>
  <w:num w:numId="23" w16cid:durableId="133521429">
    <w:abstractNumId w:val="19"/>
  </w:num>
  <w:num w:numId="24" w16cid:durableId="1743988688">
    <w:abstractNumId w:val="10"/>
  </w:num>
  <w:num w:numId="25" w16cid:durableId="1123227707">
    <w:abstractNumId w:val="40"/>
  </w:num>
  <w:num w:numId="26" w16cid:durableId="2036271824">
    <w:abstractNumId w:val="28"/>
  </w:num>
  <w:num w:numId="27" w16cid:durableId="1171797499">
    <w:abstractNumId w:val="22"/>
  </w:num>
  <w:num w:numId="28" w16cid:durableId="1504512228">
    <w:abstractNumId w:val="12"/>
  </w:num>
  <w:num w:numId="29" w16cid:durableId="842933611">
    <w:abstractNumId w:val="25"/>
  </w:num>
  <w:num w:numId="30" w16cid:durableId="1339233408">
    <w:abstractNumId w:val="46"/>
  </w:num>
  <w:num w:numId="31" w16cid:durableId="5404824">
    <w:abstractNumId w:val="44"/>
  </w:num>
  <w:num w:numId="32" w16cid:durableId="143856174">
    <w:abstractNumId w:val="18"/>
  </w:num>
  <w:num w:numId="33" w16cid:durableId="341277149">
    <w:abstractNumId w:val="15"/>
  </w:num>
  <w:num w:numId="34" w16cid:durableId="2022704012">
    <w:abstractNumId w:val="7"/>
  </w:num>
  <w:num w:numId="35" w16cid:durableId="789517649">
    <w:abstractNumId w:val="42"/>
  </w:num>
  <w:num w:numId="36" w16cid:durableId="214242114">
    <w:abstractNumId w:val="39"/>
  </w:num>
  <w:num w:numId="37" w16cid:durableId="549418389">
    <w:abstractNumId w:val="16"/>
  </w:num>
  <w:num w:numId="38" w16cid:durableId="1667857293">
    <w:abstractNumId w:val="27"/>
  </w:num>
  <w:num w:numId="39" w16cid:durableId="1069884083">
    <w:abstractNumId w:val="8"/>
  </w:num>
  <w:num w:numId="40" w16cid:durableId="2124225959">
    <w:abstractNumId w:val="34"/>
  </w:num>
  <w:num w:numId="41" w16cid:durableId="446193612">
    <w:abstractNumId w:val="30"/>
  </w:num>
  <w:num w:numId="42" w16cid:durableId="1113523725">
    <w:abstractNumId w:val="35"/>
  </w:num>
  <w:num w:numId="43" w16cid:durableId="959263751">
    <w:abstractNumId w:val="31"/>
  </w:num>
  <w:num w:numId="44" w16cid:durableId="10184781">
    <w:abstractNumId w:val="20"/>
  </w:num>
  <w:num w:numId="45" w16cid:durableId="1178080940">
    <w:abstractNumId w:val="43"/>
  </w:num>
  <w:num w:numId="46" w16cid:durableId="204880030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6842219">
    <w:abstractNumId w:val="14"/>
  </w:num>
  <w:num w:numId="48" w16cid:durableId="137897360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83E"/>
    <w:rsid w:val="000125CA"/>
    <w:rsid w:val="00017EB6"/>
    <w:rsid w:val="00021D38"/>
    <w:rsid w:val="00022F3B"/>
    <w:rsid w:val="0002433E"/>
    <w:rsid w:val="000245F7"/>
    <w:rsid w:val="000247E8"/>
    <w:rsid w:val="0002654F"/>
    <w:rsid w:val="00026E25"/>
    <w:rsid w:val="00031D5F"/>
    <w:rsid w:val="00040032"/>
    <w:rsid w:val="00040E95"/>
    <w:rsid w:val="000441B8"/>
    <w:rsid w:val="00045487"/>
    <w:rsid w:val="000554F2"/>
    <w:rsid w:val="00065F75"/>
    <w:rsid w:val="0006660A"/>
    <w:rsid w:val="00070EB2"/>
    <w:rsid w:val="00072137"/>
    <w:rsid w:val="000727AF"/>
    <w:rsid w:val="00075BDA"/>
    <w:rsid w:val="000925F7"/>
    <w:rsid w:val="00095CC2"/>
    <w:rsid w:val="00097BC9"/>
    <w:rsid w:val="000B38C7"/>
    <w:rsid w:val="000B535D"/>
    <w:rsid w:val="000D13AF"/>
    <w:rsid w:val="000E7A0A"/>
    <w:rsid w:val="000F1ECB"/>
    <w:rsid w:val="001029B0"/>
    <w:rsid w:val="00107129"/>
    <w:rsid w:val="00112A8D"/>
    <w:rsid w:val="001130DC"/>
    <w:rsid w:val="00120704"/>
    <w:rsid w:val="00120E03"/>
    <w:rsid w:val="00122206"/>
    <w:rsid w:val="00122CA2"/>
    <w:rsid w:val="001231CC"/>
    <w:rsid w:val="00137223"/>
    <w:rsid w:val="001374B6"/>
    <w:rsid w:val="00140F9A"/>
    <w:rsid w:val="00140FA7"/>
    <w:rsid w:val="00141014"/>
    <w:rsid w:val="00147C61"/>
    <w:rsid w:val="001511A1"/>
    <w:rsid w:val="001571DB"/>
    <w:rsid w:val="00163C8B"/>
    <w:rsid w:val="001741F8"/>
    <w:rsid w:val="001757E7"/>
    <w:rsid w:val="0019082B"/>
    <w:rsid w:val="00191219"/>
    <w:rsid w:val="00192687"/>
    <w:rsid w:val="001945E9"/>
    <w:rsid w:val="00194BFC"/>
    <w:rsid w:val="0019657F"/>
    <w:rsid w:val="001A1131"/>
    <w:rsid w:val="001A253F"/>
    <w:rsid w:val="001A32A2"/>
    <w:rsid w:val="001A4E04"/>
    <w:rsid w:val="001B012A"/>
    <w:rsid w:val="001B3BA4"/>
    <w:rsid w:val="001C7488"/>
    <w:rsid w:val="001D0FDE"/>
    <w:rsid w:val="001D204C"/>
    <w:rsid w:val="001E4C77"/>
    <w:rsid w:val="001F30F3"/>
    <w:rsid w:val="00201723"/>
    <w:rsid w:val="00202EF7"/>
    <w:rsid w:val="00205D99"/>
    <w:rsid w:val="002114BC"/>
    <w:rsid w:val="00214FBF"/>
    <w:rsid w:val="00216C4D"/>
    <w:rsid w:val="00217D2F"/>
    <w:rsid w:val="00220E16"/>
    <w:rsid w:val="00222B0E"/>
    <w:rsid w:val="00222EA7"/>
    <w:rsid w:val="00224A6A"/>
    <w:rsid w:val="00224EFC"/>
    <w:rsid w:val="00226A5F"/>
    <w:rsid w:val="00226F94"/>
    <w:rsid w:val="002307C5"/>
    <w:rsid w:val="00232B0B"/>
    <w:rsid w:val="0023492C"/>
    <w:rsid w:val="0023698C"/>
    <w:rsid w:val="002421DB"/>
    <w:rsid w:val="00244D29"/>
    <w:rsid w:val="00250600"/>
    <w:rsid w:val="00254F6B"/>
    <w:rsid w:val="002563B9"/>
    <w:rsid w:val="002613A6"/>
    <w:rsid w:val="00263DA6"/>
    <w:rsid w:val="0027060A"/>
    <w:rsid w:val="00276B7B"/>
    <w:rsid w:val="00286784"/>
    <w:rsid w:val="0029140D"/>
    <w:rsid w:val="0029455C"/>
    <w:rsid w:val="002A34BC"/>
    <w:rsid w:val="002A4608"/>
    <w:rsid w:val="002A7B4A"/>
    <w:rsid w:val="002B4855"/>
    <w:rsid w:val="002C2443"/>
    <w:rsid w:val="002C55DD"/>
    <w:rsid w:val="002C57F8"/>
    <w:rsid w:val="002D7A13"/>
    <w:rsid w:val="002E33FE"/>
    <w:rsid w:val="002F49E6"/>
    <w:rsid w:val="002F6015"/>
    <w:rsid w:val="00306B95"/>
    <w:rsid w:val="00307B6D"/>
    <w:rsid w:val="00310605"/>
    <w:rsid w:val="00314E7E"/>
    <w:rsid w:val="003233AF"/>
    <w:rsid w:val="00324D16"/>
    <w:rsid w:val="0033611E"/>
    <w:rsid w:val="00336311"/>
    <w:rsid w:val="00343EEC"/>
    <w:rsid w:val="003468F7"/>
    <w:rsid w:val="00356A70"/>
    <w:rsid w:val="0035793E"/>
    <w:rsid w:val="00364897"/>
    <w:rsid w:val="00365749"/>
    <w:rsid w:val="00370D22"/>
    <w:rsid w:val="00373C1C"/>
    <w:rsid w:val="00377DDF"/>
    <w:rsid w:val="00380CC1"/>
    <w:rsid w:val="00381221"/>
    <w:rsid w:val="003825B1"/>
    <w:rsid w:val="00384FFA"/>
    <w:rsid w:val="0038505E"/>
    <w:rsid w:val="00390B18"/>
    <w:rsid w:val="0039527F"/>
    <w:rsid w:val="00396A8D"/>
    <w:rsid w:val="0039778F"/>
    <w:rsid w:val="003A35A7"/>
    <w:rsid w:val="003A3E6F"/>
    <w:rsid w:val="003A4DC7"/>
    <w:rsid w:val="003A62A5"/>
    <w:rsid w:val="003B2DC4"/>
    <w:rsid w:val="003B7686"/>
    <w:rsid w:val="003C2A17"/>
    <w:rsid w:val="003C3A91"/>
    <w:rsid w:val="003C7D72"/>
    <w:rsid w:val="003D3D08"/>
    <w:rsid w:val="003D536B"/>
    <w:rsid w:val="003E077A"/>
    <w:rsid w:val="003E6B9E"/>
    <w:rsid w:val="003E7664"/>
    <w:rsid w:val="003F3342"/>
    <w:rsid w:val="00400422"/>
    <w:rsid w:val="004005A5"/>
    <w:rsid w:val="00401383"/>
    <w:rsid w:val="004032BB"/>
    <w:rsid w:val="00403320"/>
    <w:rsid w:val="0041030D"/>
    <w:rsid w:val="004111F0"/>
    <w:rsid w:val="00411985"/>
    <w:rsid w:val="004129BD"/>
    <w:rsid w:val="0041475A"/>
    <w:rsid w:val="0043257F"/>
    <w:rsid w:val="004379AD"/>
    <w:rsid w:val="004407E4"/>
    <w:rsid w:val="00450AFD"/>
    <w:rsid w:val="0045178B"/>
    <w:rsid w:val="00453326"/>
    <w:rsid w:val="00462514"/>
    <w:rsid w:val="00462B94"/>
    <w:rsid w:val="00467DBE"/>
    <w:rsid w:val="004728E0"/>
    <w:rsid w:val="00474FB4"/>
    <w:rsid w:val="00476B4F"/>
    <w:rsid w:val="00480832"/>
    <w:rsid w:val="00480BAA"/>
    <w:rsid w:val="0048414F"/>
    <w:rsid w:val="00485C9D"/>
    <w:rsid w:val="004A2B3A"/>
    <w:rsid w:val="004C1B6C"/>
    <w:rsid w:val="004C1BCF"/>
    <w:rsid w:val="004C6EE5"/>
    <w:rsid w:val="004D3208"/>
    <w:rsid w:val="004D3A78"/>
    <w:rsid w:val="004D5260"/>
    <w:rsid w:val="004E018B"/>
    <w:rsid w:val="004E0E8D"/>
    <w:rsid w:val="004E4859"/>
    <w:rsid w:val="004E7138"/>
    <w:rsid w:val="004E7F3B"/>
    <w:rsid w:val="004F2205"/>
    <w:rsid w:val="004F276C"/>
    <w:rsid w:val="00500128"/>
    <w:rsid w:val="005057F8"/>
    <w:rsid w:val="0050628D"/>
    <w:rsid w:val="0050630C"/>
    <w:rsid w:val="00507576"/>
    <w:rsid w:val="00513740"/>
    <w:rsid w:val="00517BB7"/>
    <w:rsid w:val="005258ED"/>
    <w:rsid w:val="00525B7A"/>
    <w:rsid w:val="00526579"/>
    <w:rsid w:val="00527401"/>
    <w:rsid w:val="00530494"/>
    <w:rsid w:val="00530ADB"/>
    <w:rsid w:val="00531549"/>
    <w:rsid w:val="005409DF"/>
    <w:rsid w:val="0054160D"/>
    <w:rsid w:val="005426CA"/>
    <w:rsid w:val="00545CF2"/>
    <w:rsid w:val="00546C4B"/>
    <w:rsid w:val="0055194D"/>
    <w:rsid w:val="005615F9"/>
    <w:rsid w:val="0056280C"/>
    <w:rsid w:val="00566C77"/>
    <w:rsid w:val="0056785D"/>
    <w:rsid w:val="00570A68"/>
    <w:rsid w:val="00570C49"/>
    <w:rsid w:val="00573102"/>
    <w:rsid w:val="0057790F"/>
    <w:rsid w:val="005802B3"/>
    <w:rsid w:val="005810BD"/>
    <w:rsid w:val="005838DD"/>
    <w:rsid w:val="00585920"/>
    <w:rsid w:val="005925E7"/>
    <w:rsid w:val="00594ACA"/>
    <w:rsid w:val="00596E1E"/>
    <w:rsid w:val="00597ACD"/>
    <w:rsid w:val="005A0BC3"/>
    <w:rsid w:val="005A2A8B"/>
    <w:rsid w:val="005A308B"/>
    <w:rsid w:val="005A4D66"/>
    <w:rsid w:val="005A61AA"/>
    <w:rsid w:val="005A67A3"/>
    <w:rsid w:val="005A704D"/>
    <w:rsid w:val="005B2E2C"/>
    <w:rsid w:val="005B5CF9"/>
    <w:rsid w:val="005C1A5B"/>
    <w:rsid w:val="005C29CE"/>
    <w:rsid w:val="005C4FA8"/>
    <w:rsid w:val="005C65DB"/>
    <w:rsid w:val="005D33F6"/>
    <w:rsid w:val="005D3A00"/>
    <w:rsid w:val="005D6437"/>
    <w:rsid w:val="005E0BC7"/>
    <w:rsid w:val="005E18AE"/>
    <w:rsid w:val="005E4949"/>
    <w:rsid w:val="005E7921"/>
    <w:rsid w:val="005F1457"/>
    <w:rsid w:val="005F3289"/>
    <w:rsid w:val="005F3D81"/>
    <w:rsid w:val="005F4965"/>
    <w:rsid w:val="005F6431"/>
    <w:rsid w:val="00617C10"/>
    <w:rsid w:val="00622119"/>
    <w:rsid w:val="006253F9"/>
    <w:rsid w:val="00630D5F"/>
    <w:rsid w:val="0063230F"/>
    <w:rsid w:val="00644DCF"/>
    <w:rsid w:val="00660D00"/>
    <w:rsid w:val="00661FD1"/>
    <w:rsid w:val="00667A43"/>
    <w:rsid w:val="00667BB3"/>
    <w:rsid w:val="00670B71"/>
    <w:rsid w:val="006723DC"/>
    <w:rsid w:val="00675BE1"/>
    <w:rsid w:val="00677EC6"/>
    <w:rsid w:val="00683EA0"/>
    <w:rsid w:val="00684D93"/>
    <w:rsid w:val="00686FF7"/>
    <w:rsid w:val="00691D48"/>
    <w:rsid w:val="00691D98"/>
    <w:rsid w:val="006A2362"/>
    <w:rsid w:val="006B3B2C"/>
    <w:rsid w:val="006B42D4"/>
    <w:rsid w:val="006B663C"/>
    <w:rsid w:val="006B72DF"/>
    <w:rsid w:val="006B7F60"/>
    <w:rsid w:val="006C196E"/>
    <w:rsid w:val="006C1F7C"/>
    <w:rsid w:val="006C2835"/>
    <w:rsid w:val="006C377E"/>
    <w:rsid w:val="006C6B1D"/>
    <w:rsid w:val="006D0348"/>
    <w:rsid w:val="006D25DD"/>
    <w:rsid w:val="006D356E"/>
    <w:rsid w:val="006D3839"/>
    <w:rsid w:val="006D6385"/>
    <w:rsid w:val="006E59FC"/>
    <w:rsid w:val="006E703B"/>
    <w:rsid w:val="006F061B"/>
    <w:rsid w:val="006F1048"/>
    <w:rsid w:val="006F1D26"/>
    <w:rsid w:val="00700B2C"/>
    <w:rsid w:val="00702A99"/>
    <w:rsid w:val="00707821"/>
    <w:rsid w:val="00707EB4"/>
    <w:rsid w:val="00710BDC"/>
    <w:rsid w:val="0071238E"/>
    <w:rsid w:val="0072355B"/>
    <w:rsid w:val="00726D95"/>
    <w:rsid w:val="00731B4B"/>
    <w:rsid w:val="0073283D"/>
    <w:rsid w:val="0073796F"/>
    <w:rsid w:val="00737EC3"/>
    <w:rsid w:val="007421A6"/>
    <w:rsid w:val="007421DC"/>
    <w:rsid w:val="00752E69"/>
    <w:rsid w:val="00757AF2"/>
    <w:rsid w:val="00757BFD"/>
    <w:rsid w:val="00760B98"/>
    <w:rsid w:val="00763042"/>
    <w:rsid w:val="007635B3"/>
    <w:rsid w:val="00775036"/>
    <w:rsid w:val="0077505F"/>
    <w:rsid w:val="00790648"/>
    <w:rsid w:val="007906CB"/>
    <w:rsid w:val="007907E6"/>
    <w:rsid w:val="00790973"/>
    <w:rsid w:val="007942C8"/>
    <w:rsid w:val="007943E1"/>
    <w:rsid w:val="007944C6"/>
    <w:rsid w:val="007A67FD"/>
    <w:rsid w:val="007A7FF3"/>
    <w:rsid w:val="007B4586"/>
    <w:rsid w:val="007C3276"/>
    <w:rsid w:val="007C32E6"/>
    <w:rsid w:val="007C35BB"/>
    <w:rsid w:val="007C70B5"/>
    <w:rsid w:val="007D1B3D"/>
    <w:rsid w:val="007D54D3"/>
    <w:rsid w:val="007D6FE0"/>
    <w:rsid w:val="007E05C7"/>
    <w:rsid w:val="007E2F72"/>
    <w:rsid w:val="007F6E84"/>
    <w:rsid w:val="00801E1B"/>
    <w:rsid w:val="00813733"/>
    <w:rsid w:val="0082373F"/>
    <w:rsid w:val="00823D82"/>
    <w:rsid w:val="008340B1"/>
    <w:rsid w:val="008345E2"/>
    <w:rsid w:val="00834EC1"/>
    <w:rsid w:val="00842A75"/>
    <w:rsid w:val="00842C02"/>
    <w:rsid w:val="00847E5C"/>
    <w:rsid w:val="008547CB"/>
    <w:rsid w:val="00856C97"/>
    <w:rsid w:val="0086506B"/>
    <w:rsid w:val="008656D8"/>
    <w:rsid w:val="00866934"/>
    <w:rsid w:val="008674E8"/>
    <w:rsid w:val="00872750"/>
    <w:rsid w:val="00874BEC"/>
    <w:rsid w:val="008757DC"/>
    <w:rsid w:val="0088222D"/>
    <w:rsid w:val="00883436"/>
    <w:rsid w:val="0088483D"/>
    <w:rsid w:val="008860B5"/>
    <w:rsid w:val="008861D9"/>
    <w:rsid w:val="00891BF5"/>
    <w:rsid w:val="008A2797"/>
    <w:rsid w:val="008A59DB"/>
    <w:rsid w:val="008B128B"/>
    <w:rsid w:val="008B4C7E"/>
    <w:rsid w:val="008B50C2"/>
    <w:rsid w:val="008B7236"/>
    <w:rsid w:val="008C07EC"/>
    <w:rsid w:val="008C2C93"/>
    <w:rsid w:val="008D07F1"/>
    <w:rsid w:val="008D0C23"/>
    <w:rsid w:val="008D2EA4"/>
    <w:rsid w:val="008D7030"/>
    <w:rsid w:val="008D7535"/>
    <w:rsid w:val="008E599C"/>
    <w:rsid w:val="008F4EA4"/>
    <w:rsid w:val="00904AD9"/>
    <w:rsid w:val="009161C1"/>
    <w:rsid w:val="009161E1"/>
    <w:rsid w:val="00920A6F"/>
    <w:rsid w:val="00920E51"/>
    <w:rsid w:val="00926E64"/>
    <w:rsid w:val="00933993"/>
    <w:rsid w:val="00943E21"/>
    <w:rsid w:val="0094650A"/>
    <w:rsid w:val="0094702D"/>
    <w:rsid w:val="00947324"/>
    <w:rsid w:val="0095306E"/>
    <w:rsid w:val="00953DEF"/>
    <w:rsid w:val="00954EF0"/>
    <w:rsid w:val="00964125"/>
    <w:rsid w:val="009648AD"/>
    <w:rsid w:val="00971445"/>
    <w:rsid w:val="00976C38"/>
    <w:rsid w:val="00980147"/>
    <w:rsid w:val="00984546"/>
    <w:rsid w:val="009870F5"/>
    <w:rsid w:val="0098750D"/>
    <w:rsid w:val="00987ED8"/>
    <w:rsid w:val="00997FFA"/>
    <w:rsid w:val="009A1426"/>
    <w:rsid w:val="009A4131"/>
    <w:rsid w:val="009A5291"/>
    <w:rsid w:val="009A7C86"/>
    <w:rsid w:val="009B0697"/>
    <w:rsid w:val="009B1E3C"/>
    <w:rsid w:val="009B7D09"/>
    <w:rsid w:val="009C29EA"/>
    <w:rsid w:val="009C3EC5"/>
    <w:rsid w:val="009C474F"/>
    <w:rsid w:val="009C5A9D"/>
    <w:rsid w:val="009D012A"/>
    <w:rsid w:val="009D2662"/>
    <w:rsid w:val="009D35D5"/>
    <w:rsid w:val="009D7697"/>
    <w:rsid w:val="009E2E24"/>
    <w:rsid w:val="009F30E7"/>
    <w:rsid w:val="009F4C14"/>
    <w:rsid w:val="009F554F"/>
    <w:rsid w:val="009F697A"/>
    <w:rsid w:val="00A06374"/>
    <w:rsid w:val="00A07A83"/>
    <w:rsid w:val="00A10391"/>
    <w:rsid w:val="00A14E5D"/>
    <w:rsid w:val="00A15469"/>
    <w:rsid w:val="00A15BE9"/>
    <w:rsid w:val="00A166DB"/>
    <w:rsid w:val="00A236C3"/>
    <w:rsid w:val="00A23FCE"/>
    <w:rsid w:val="00A27C9C"/>
    <w:rsid w:val="00A304BF"/>
    <w:rsid w:val="00A33720"/>
    <w:rsid w:val="00A368EF"/>
    <w:rsid w:val="00A36A59"/>
    <w:rsid w:val="00A40F76"/>
    <w:rsid w:val="00A452B8"/>
    <w:rsid w:val="00A46B59"/>
    <w:rsid w:val="00A5648D"/>
    <w:rsid w:val="00A6552C"/>
    <w:rsid w:val="00A66668"/>
    <w:rsid w:val="00A67BA0"/>
    <w:rsid w:val="00A71D90"/>
    <w:rsid w:val="00A905C3"/>
    <w:rsid w:val="00A92CF6"/>
    <w:rsid w:val="00A96011"/>
    <w:rsid w:val="00AA0FF2"/>
    <w:rsid w:val="00AA1E51"/>
    <w:rsid w:val="00AA3198"/>
    <w:rsid w:val="00AB5058"/>
    <w:rsid w:val="00AB7D4B"/>
    <w:rsid w:val="00AC0E18"/>
    <w:rsid w:val="00AC17B0"/>
    <w:rsid w:val="00AC1EB4"/>
    <w:rsid w:val="00AC27E8"/>
    <w:rsid w:val="00AC2F1F"/>
    <w:rsid w:val="00AC3207"/>
    <w:rsid w:val="00AC690B"/>
    <w:rsid w:val="00AC7F9D"/>
    <w:rsid w:val="00AE787F"/>
    <w:rsid w:val="00AF0E52"/>
    <w:rsid w:val="00AF20C1"/>
    <w:rsid w:val="00AF6E74"/>
    <w:rsid w:val="00B03B63"/>
    <w:rsid w:val="00B10128"/>
    <w:rsid w:val="00B138F5"/>
    <w:rsid w:val="00B13EDC"/>
    <w:rsid w:val="00B1689A"/>
    <w:rsid w:val="00B22C7E"/>
    <w:rsid w:val="00B23D2D"/>
    <w:rsid w:val="00B240FE"/>
    <w:rsid w:val="00B279B6"/>
    <w:rsid w:val="00B3343A"/>
    <w:rsid w:val="00B36F30"/>
    <w:rsid w:val="00B423CD"/>
    <w:rsid w:val="00B5015E"/>
    <w:rsid w:val="00B501F6"/>
    <w:rsid w:val="00B538FD"/>
    <w:rsid w:val="00B612D4"/>
    <w:rsid w:val="00B6224B"/>
    <w:rsid w:val="00B64D76"/>
    <w:rsid w:val="00B65071"/>
    <w:rsid w:val="00B650B9"/>
    <w:rsid w:val="00B67E6B"/>
    <w:rsid w:val="00B73208"/>
    <w:rsid w:val="00B87066"/>
    <w:rsid w:val="00B94729"/>
    <w:rsid w:val="00B949E1"/>
    <w:rsid w:val="00B95569"/>
    <w:rsid w:val="00B960D7"/>
    <w:rsid w:val="00BA003D"/>
    <w:rsid w:val="00BA16FE"/>
    <w:rsid w:val="00BA2BE7"/>
    <w:rsid w:val="00BA33D2"/>
    <w:rsid w:val="00BA7B27"/>
    <w:rsid w:val="00BB4011"/>
    <w:rsid w:val="00BC3720"/>
    <w:rsid w:val="00BC6ACF"/>
    <w:rsid w:val="00BD10D0"/>
    <w:rsid w:val="00BD182C"/>
    <w:rsid w:val="00BD31AC"/>
    <w:rsid w:val="00BE0B0C"/>
    <w:rsid w:val="00BE683E"/>
    <w:rsid w:val="00C000FB"/>
    <w:rsid w:val="00C03E6A"/>
    <w:rsid w:val="00C0776B"/>
    <w:rsid w:val="00C2076A"/>
    <w:rsid w:val="00C22BD3"/>
    <w:rsid w:val="00C41C98"/>
    <w:rsid w:val="00C42611"/>
    <w:rsid w:val="00C54682"/>
    <w:rsid w:val="00C56643"/>
    <w:rsid w:val="00C60C77"/>
    <w:rsid w:val="00C612E6"/>
    <w:rsid w:val="00C71BB6"/>
    <w:rsid w:val="00C72156"/>
    <w:rsid w:val="00C859A0"/>
    <w:rsid w:val="00C85A6A"/>
    <w:rsid w:val="00C9228A"/>
    <w:rsid w:val="00C94DC5"/>
    <w:rsid w:val="00C95DDE"/>
    <w:rsid w:val="00CA4AE1"/>
    <w:rsid w:val="00CA5E4E"/>
    <w:rsid w:val="00CA7A47"/>
    <w:rsid w:val="00CA7F9F"/>
    <w:rsid w:val="00CB12BA"/>
    <w:rsid w:val="00CB28F9"/>
    <w:rsid w:val="00CB5041"/>
    <w:rsid w:val="00CB65BA"/>
    <w:rsid w:val="00CC09A8"/>
    <w:rsid w:val="00CC4B08"/>
    <w:rsid w:val="00CC60D4"/>
    <w:rsid w:val="00CC661E"/>
    <w:rsid w:val="00CC74A8"/>
    <w:rsid w:val="00CC7E20"/>
    <w:rsid w:val="00CD7955"/>
    <w:rsid w:val="00CE5625"/>
    <w:rsid w:val="00CF6E88"/>
    <w:rsid w:val="00D0369E"/>
    <w:rsid w:val="00D03AA1"/>
    <w:rsid w:val="00D03C9E"/>
    <w:rsid w:val="00D06F61"/>
    <w:rsid w:val="00D12CC8"/>
    <w:rsid w:val="00D14419"/>
    <w:rsid w:val="00D1513C"/>
    <w:rsid w:val="00D1632A"/>
    <w:rsid w:val="00D21583"/>
    <w:rsid w:val="00D27540"/>
    <w:rsid w:val="00D35A0D"/>
    <w:rsid w:val="00D369F9"/>
    <w:rsid w:val="00D42652"/>
    <w:rsid w:val="00D461EC"/>
    <w:rsid w:val="00D50472"/>
    <w:rsid w:val="00D505AE"/>
    <w:rsid w:val="00D5260F"/>
    <w:rsid w:val="00D6497B"/>
    <w:rsid w:val="00D7447E"/>
    <w:rsid w:val="00D84D3B"/>
    <w:rsid w:val="00D92944"/>
    <w:rsid w:val="00D95649"/>
    <w:rsid w:val="00D95F59"/>
    <w:rsid w:val="00DA1BAC"/>
    <w:rsid w:val="00DB05E3"/>
    <w:rsid w:val="00DB522E"/>
    <w:rsid w:val="00DB731B"/>
    <w:rsid w:val="00DC519F"/>
    <w:rsid w:val="00DD7915"/>
    <w:rsid w:val="00DE0FF6"/>
    <w:rsid w:val="00DE555E"/>
    <w:rsid w:val="00DE6A89"/>
    <w:rsid w:val="00DE778C"/>
    <w:rsid w:val="00DF19E3"/>
    <w:rsid w:val="00DF2F2C"/>
    <w:rsid w:val="00E023F0"/>
    <w:rsid w:val="00E05193"/>
    <w:rsid w:val="00E06918"/>
    <w:rsid w:val="00E132A2"/>
    <w:rsid w:val="00E15EF0"/>
    <w:rsid w:val="00E17A90"/>
    <w:rsid w:val="00E2160F"/>
    <w:rsid w:val="00E21A7A"/>
    <w:rsid w:val="00E232CD"/>
    <w:rsid w:val="00E24320"/>
    <w:rsid w:val="00E32D3C"/>
    <w:rsid w:val="00E3628B"/>
    <w:rsid w:val="00E44CD1"/>
    <w:rsid w:val="00E51057"/>
    <w:rsid w:val="00E55CBF"/>
    <w:rsid w:val="00E62A29"/>
    <w:rsid w:val="00E67856"/>
    <w:rsid w:val="00E747F0"/>
    <w:rsid w:val="00E8162A"/>
    <w:rsid w:val="00E864B0"/>
    <w:rsid w:val="00E91F39"/>
    <w:rsid w:val="00EA01FD"/>
    <w:rsid w:val="00EA2755"/>
    <w:rsid w:val="00EA2B87"/>
    <w:rsid w:val="00EA361A"/>
    <w:rsid w:val="00EA4773"/>
    <w:rsid w:val="00EA7673"/>
    <w:rsid w:val="00EB0C16"/>
    <w:rsid w:val="00EB3961"/>
    <w:rsid w:val="00EB3EA6"/>
    <w:rsid w:val="00EB7474"/>
    <w:rsid w:val="00EC2468"/>
    <w:rsid w:val="00EC57AE"/>
    <w:rsid w:val="00ED3DC4"/>
    <w:rsid w:val="00EE074B"/>
    <w:rsid w:val="00EE40DE"/>
    <w:rsid w:val="00EE7201"/>
    <w:rsid w:val="00EF032A"/>
    <w:rsid w:val="00EF1649"/>
    <w:rsid w:val="00EF188A"/>
    <w:rsid w:val="00F077A6"/>
    <w:rsid w:val="00F13846"/>
    <w:rsid w:val="00F1532A"/>
    <w:rsid w:val="00F15442"/>
    <w:rsid w:val="00F159F4"/>
    <w:rsid w:val="00F23F74"/>
    <w:rsid w:val="00F310B6"/>
    <w:rsid w:val="00F36CE1"/>
    <w:rsid w:val="00F41CF8"/>
    <w:rsid w:val="00F45A58"/>
    <w:rsid w:val="00F53E66"/>
    <w:rsid w:val="00F62D3E"/>
    <w:rsid w:val="00F634F8"/>
    <w:rsid w:val="00F67D1D"/>
    <w:rsid w:val="00F72E8F"/>
    <w:rsid w:val="00F87676"/>
    <w:rsid w:val="00F922D9"/>
    <w:rsid w:val="00F92C89"/>
    <w:rsid w:val="00F96668"/>
    <w:rsid w:val="00FA03B0"/>
    <w:rsid w:val="00FA085A"/>
    <w:rsid w:val="00FA48F8"/>
    <w:rsid w:val="00FA5866"/>
    <w:rsid w:val="00FA5FED"/>
    <w:rsid w:val="00FA7E59"/>
    <w:rsid w:val="00FB0AB7"/>
    <w:rsid w:val="00FB1051"/>
    <w:rsid w:val="00FB490C"/>
    <w:rsid w:val="00FC4E7A"/>
    <w:rsid w:val="00FC5860"/>
    <w:rsid w:val="00FC7DBF"/>
    <w:rsid w:val="00FC7FBF"/>
    <w:rsid w:val="00FD015B"/>
    <w:rsid w:val="00FD6656"/>
    <w:rsid w:val="00FD73C0"/>
    <w:rsid w:val="00FD7EA7"/>
    <w:rsid w:val="00FE3776"/>
    <w:rsid w:val="00FE7357"/>
    <w:rsid w:val="00FF40DC"/>
    <w:rsid w:val="00FF512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7E3D5"/>
  <w15:chartTrackingRefBased/>
  <w15:docId w15:val="{313C20C1-4F1A-4267-8C9F-1E55210F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83E"/>
    <w:pPr>
      <w:spacing w:after="0" w:line="240" w:lineRule="auto"/>
    </w:pPr>
    <w:rPr>
      <w:rFonts w:ascii="Calibri" w:hAnsi="Calibri" w:cs="Calibri"/>
      <w:lang w:val="es-ES_tradnl" w:eastAsia="en-GB"/>
    </w:rPr>
  </w:style>
  <w:style w:type="paragraph" w:styleId="Heading1">
    <w:name w:val="heading 1"/>
    <w:basedOn w:val="Normal"/>
    <w:next w:val="Normal"/>
    <w:link w:val="Heading1Char"/>
    <w:uiPriority w:val="9"/>
    <w:qFormat/>
    <w:rsid w:val="00D84D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01E1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4AC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0042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83E"/>
    <w:pPr>
      <w:ind w:left="720"/>
    </w:pPr>
  </w:style>
  <w:style w:type="paragraph" w:customStyle="1" w:styleId="Default">
    <w:name w:val="Default"/>
    <w:basedOn w:val="Normal"/>
    <w:rsid w:val="00BE683E"/>
    <w:pPr>
      <w:autoSpaceDE w:val="0"/>
      <w:autoSpaceDN w:val="0"/>
    </w:pPr>
    <w:rPr>
      <w:rFonts w:ascii="Arial" w:hAnsi="Arial" w:cs="Arial"/>
      <w:color w:val="000000"/>
      <w:sz w:val="24"/>
      <w:szCs w:val="24"/>
      <w:lang w:eastAsia="en-US"/>
    </w:rPr>
  </w:style>
  <w:style w:type="paragraph" w:styleId="NormalWeb">
    <w:name w:val="Normal (Web)"/>
    <w:basedOn w:val="Normal"/>
    <w:uiPriority w:val="99"/>
    <w:unhideWhenUsed/>
    <w:rsid w:val="00C859A0"/>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46B59"/>
    <w:rPr>
      <w:color w:val="0563C1" w:themeColor="hyperlink"/>
      <w:u w:val="single"/>
    </w:rPr>
  </w:style>
  <w:style w:type="paragraph" w:styleId="FootnoteText">
    <w:name w:val="footnote text"/>
    <w:basedOn w:val="Normal"/>
    <w:link w:val="FootnoteTextChar"/>
    <w:uiPriority w:val="99"/>
    <w:unhideWhenUsed/>
    <w:rsid w:val="00A46B59"/>
    <w:rPr>
      <w:rFonts w:asciiTheme="minorHAnsi" w:hAnsiTheme="minorHAnsi" w:cstheme="minorBidi"/>
      <w:sz w:val="20"/>
      <w:szCs w:val="20"/>
      <w:lang w:val="es-ES" w:eastAsia="en-US"/>
    </w:rPr>
  </w:style>
  <w:style w:type="character" w:customStyle="1" w:styleId="FootnoteTextChar">
    <w:name w:val="Footnote Text Char"/>
    <w:basedOn w:val="DefaultParagraphFont"/>
    <w:link w:val="FootnoteText"/>
    <w:uiPriority w:val="99"/>
    <w:rsid w:val="00A46B59"/>
    <w:rPr>
      <w:sz w:val="20"/>
      <w:szCs w:val="20"/>
      <w:lang w:val="es-ES"/>
    </w:rPr>
  </w:style>
  <w:style w:type="character" w:styleId="FootnoteReference">
    <w:name w:val="footnote reference"/>
    <w:basedOn w:val="DefaultParagraphFont"/>
    <w:uiPriority w:val="99"/>
    <w:semiHidden/>
    <w:unhideWhenUsed/>
    <w:rsid w:val="00A46B59"/>
    <w:rPr>
      <w:vertAlign w:val="superscript"/>
    </w:rPr>
  </w:style>
  <w:style w:type="paragraph" w:styleId="BalloonText">
    <w:name w:val="Balloon Text"/>
    <w:basedOn w:val="Normal"/>
    <w:link w:val="BalloonTextChar"/>
    <w:uiPriority w:val="99"/>
    <w:semiHidden/>
    <w:unhideWhenUsed/>
    <w:rsid w:val="00DF19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lang w:eastAsia="en-GB"/>
    </w:rPr>
  </w:style>
  <w:style w:type="paragraph" w:customStyle="1" w:styleId="PARRAFO">
    <w:name w:val="PARRAFO"/>
    <w:basedOn w:val="Normal"/>
    <w:rsid w:val="00C000FB"/>
    <w:pPr>
      <w:overflowPunct w:val="0"/>
      <w:autoSpaceDE w:val="0"/>
      <w:autoSpaceDN w:val="0"/>
      <w:adjustRightInd w:val="0"/>
      <w:spacing w:line="312" w:lineRule="auto"/>
      <w:ind w:firstLine="680"/>
      <w:jc w:val="both"/>
      <w:textAlignment w:val="baseline"/>
    </w:pPr>
    <w:rPr>
      <w:rFonts w:ascii="Trebuchet MS" w:eastAsia="Times New Roman" w:hAnsi="Trebuchet MS" w:cs="Times New Roman"/>
      <w:szCs w:val="20"/>
      <w:lang w:val="es-ES" w:eastAsia="es-ES"/>
    </w:rPr>
  </w:style>
  <w:style w:type="paragraph" w:customStyle="1" w:styleId="NormalInforme">
    <w:name w:val="NormalInforme"/>
    <w:basedOn w:val="Normal"/>
    <w:rsid w:val="0045178B"/>
    <w:pPr>
      <w:tabs>
        <w:tab w:val="left" w:pos="624"/>
      </w:tabs>
      <w:overflowPunct w:val="0"/>
      <w:autoSpaceDE w:val="0"/>
      <w:autoSpaceDN w:val="0"/>
      <w:adjustRightInd w:val="0"/>
      <w:spacing w:before="120" w:after="120" w:line="300" w:lineRule="auto"/>
      <w:ind w:firstLine="567"/>
      <w:jc w:val="both"/>
    </w:pPr>
    <w:rPr>
      <w:rFonts w:asciiTheme="minorHAnsi" w:eastAsia="Times New Roman" w:hAnsiTheme="minorHAnsi" w:cs="Times New Roman"/>
      <w:sz w:val="24"/>
      <w:szCs w:val="20"/>
      <w:lang w:eastAsia="es-ES"/>
    </w:rPr>
  </w:style>
  <w:style w:type="paragraph" w:styleId="Header">
    <w:name w:val="header"/>
    <w:basedOn w:val="Normal"/>
    <w:link w:val="HeaderChar"/>
    <w:uiPriority w:val="99"/>
    <w:unhideWhenUsed/>
    <w:rsid w:val="00686FF7"/>
    <w:pPr>
      <w:tabs>
        <w:tab w:val="center" w:pos="4252"/>
        <w:tab w:val="right" w:pos="8504"/>
      </w:tabs>
    </w:pPr>
  </w:style>
  <w:style w:type="character" w:customStyle="1" w:styleId="HeaderChar">
    <w:name w:val="Header Char"/>
    <w:basedOn w:val="DefaultParagraphFont"/>
    <w:link w:val="Header"/>
    <w:uiPriority w:val="99"/>
    <w:rsid w:val="00686FF7"/>
    <w:rPr>
      <w:rFonts w:ascii="Calibri" w:hAnsi="Calibri" w:cs="Calibri"/>
      <w:lang w:eastAsia="en-GB"/>
    </w:rPr>
  </w:style>
  <w:style w:type="paragraph" w:styleId="Footer">
    <w:name w:val="footer"/>
    <w:basedOn w:val="Normal"/>
    <w:link w:val="FooterChar"/>
    <w:uiPriority w:val="99"/>
    <w:unhideWhenUsed/>
    <w:rsid w:val="00EB3EA6"/>
    <w:pPr>
      <w:tabs>
        <w:tab w:val="center" w:pos="4252"/>
        <w:tab w:val="right" w:pos="8504"/>
      </w:tabs>
      <w:spacing w:before="120" w:after="120"/>
      <w:ind w:left="170"/>
    </w:pPr>
  </w:style>
  <w:style w:type="character" w:customStyle="1" w:styleId="FooterChar">
    <w:name w:val="Footer Char"/>
    <w:basedOn w:val="DefaultParagraphFont"/>
    <w:link w:val="Footer"/>
    <w:uiPriority w:val="99"/>
    <w:rsid w:val="00EB3EA6"/>
    <w:rPr>
      <w:rFonts w:ascii="Calibri" w:hAnsi="Calibri" w:cs="Calibri"/>
      <w:lang w:val="es-ES_tradnl" w:eastAsia="en-GB"/>
    </w:rPr>
  </w:style>
  <w:style w:type="character" w:styleId="Strong">
    <w:name w:val="Strong"/>
    <w:basedOn w:val="DefaultParagraphFont"/>
    <w:uiPriority w:val="22"/>
    <w:qFormat/>
    <w:rsid w:val="00A92CF6"/>
    <w:rPr>
      <w:b/>
      <w:bCs/>
    </w:rPr>
  </w:style>
  <w:style w:type="character" w:styleId="UnresolvedMention">
    <w:name w:val="Unresolved Mention"/>
    <w:basedOn w:val="DefaultParagraphFont"/>
    <w:uiPriority w:val="99"/>
    <w:semiHidden/>
    <w:unhideWhenUsed/>
    <w:rsid w:val="00A304BF"/>
    <w:rPr>
      <w:color w:val="605E5C"/>
      <w:shd w:val="clear" w:color="auto" w:fill="E1DFDD"/>
    </w:rPr>
  </w:style>
  <w:style w:type="character" w:customStyle="1" w:styleId="Heading2Char">
    <w:name w:val="Heading 2 Char"/>
    <w:basedOn w:val="DefaultParagraphFont"/>
    <w:link w:val="Heading2"/>
    <w:uiPriority w:val="9"/>
    <w:semiHidden/>
    <w:rsid w:val="00801E1B"/>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594ACA"/>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476B4F"/>
    <w:rPr>
      <w:color w:val="954F72" w:themeColor="followedHyperlink"/>
      <w:u w:val="single"/>
    </w:rPr>
  </w:style>
  <w:style w:type="paragraph" w:styleId="HTMLPreformatted">
    <w:name w:val="HTML Preformatted"/>
    <w:basedOn w:val="Normal"/>
    <w:link w:val="HTMLPreformattedChar"/>
    <w:uiPriority w:val="99"/>
    <w:semiHidden/>
    <w:unhideWhenUsed/>
    <w:rsid w:val="00202EF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02EF7"/>
    <w:rPr>
      <w:rFonts w:ascii="Consolas" w:hAnsi="Consolas" w:cs="Calibri"/>
      <w:sz w:val="20"/>
      <w:szCs w:val="20"/>
      <w:lang w:eastAsia="en-GB"/>
    </w:rPr>
  </w:style>
  <w:style w:type="character" w:customStyle="1" w:styleId="Heading1Char">
    <w:name w:val="Heading 1 Char"/>
    <w:basedOn w:val="DefaultParagraphFont"/>
    <w:link w:val="Heading1"/>
    <w:uiPriority w:val="9"/>
    <w:rsid w:val="00D84D3B"/>
    <w:rPr>
      <w:rFonts w:asciiTheme="majorHAnsi" w:eastAsiaTheme="majorEastAsia" w:hAnsiTheme="majorHAnsi" w:cstheme="majorBidi"/>
      <w:color w:val="2F5496" w:themeColor="accent1" w:themeShade="BF"/>
      <w:sz w:val="32"/>
      <w:szCs w:val="32"/>
      <w:lang w:eastAsia="en-GB"/>
    </w:rPr>
  </w:style>
  <w:style w:type="paragraph" w:styleId="Title">
    <w:name w:val="Title"/>
    <w:basedOn w:val="Normal"/>
    <w:next w:val="Normal"/>
    <w:link w:val="TitleChar"/>
    <w:uiPriority w:val="10"/>
    <w:qFormat/>
    <w:rsid w:val="00D84D3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lang w:val="es-ES" w:eastAsia="en-US"/>
    </w:rPr>
  </w:style>
  <w:style w:type="character" w:customStyle="1" w:styleId="TitleChar">
    <w:name w:val="Title Char"/>
    <w:basedOn w:val="DefaultParagraphFont"/>
    <w:link w:val="Title"/>
    <w:uiPriority w:val="10"/>
    <w:rsid w:val="00D84D3B"/>
    <w:rPr>
      <w:rFonts w:asciiTheme="majorHAnsi" w:eastAsiaTheme="majorEastAsia" w:hAnsiTheme="majorHAnsi" w:cstheme="majorBidi"/>
      <w:color w:val="323E4F" w:themeColor="text2" w:themeShade="BF"/>
      <w:spacing w:val="5"/>
      <w:sz w:val="52"/>
      <w:szCs w:val="52"/>
      <w:lang w:val="es-ES"/>
    </w:rPr>
  </w:style>
  <w:style w:type="character" w:customStyle="1" w:styleId="Heading4Char">
    <w:name w:val="Heading 4 Char"/>
    <w:basedOn w:val="DefaultParagraphFont"/>
    <w:link w:val="Heading4"/>
    <w:uiPriority w:val="9"/>
    <w:semiHidden/>
    <w:rsid w:val="00400422"/>
    <w:rPr>
      <w:rFonts w:asciiTheme="majorHAnsi" w:eastAsiaTheme="majorEastAsia" w:hAnsiTheme="majorHAnsi" w:cstheme="majorBidi"/>
      <w:i/>
      <w:iCs/>
      <w:color w:val="2F5496" w:themeColor="accent1" w:themeShade="BF"/>
      <w:lang w:val="es-ES_tradnl" w:eastAsia="en-GB"/>
    </w:rPr>
  </w:style>
  <w:style w:type="paragraph" w:customStyle="1" w:styleId="small">
    <w:name w:val="small"/>
    <w:basedOn w:val="Normal"/>
    <w:rsid w:val="00AB7D4B"/>
    <w:pPr>
      <w:spacing w:before="100" w:beforeAutospacing="1" w:after="100" w:afterAutospacing="1"/>
    </w:pPr>
    <w:rPr>
      <w:rFonts w:ascii="Times New Roman" w:eastAsia="Times New Roman" w:hAnsi="Times New Roman" w:cs="Times New Roman"/>
      <w:sz w:val="24"/>
      <w:szCs w:val="24"/>
      <w:lang w:val="es-ES" w:eastAsia="es-ES"/>
    </w:rPr>
  </w:style>
  <w:style w:type="character" w:styleId="Emphasis">
    <w:name w:val="Emphasis"/>
    <w:basedOn w:val="DefaultParagraphFont"/>
    <w:uiPriority w:val="20"/>
    <w:qFormat/>
    <w:rsid w:val="00AB7D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5631">
      <w:bodyDiv w:val="1"/>
      <w:marLeft w:val="0"/>
      <w:marRight w:val="0"/>
      <w:marTop w:val="0"/>
      <w:marBottom w:val="0"/>
      <w:divBdr>
        <w:top w:val="none" w:sz="0" w:space="0" w:color="auto"/>
        <w:left w:val="none" w:sz="0" w:space="0" w:color="auto"/>
        <w:bottom w:val="none" w:sz="0" w:space="0" w:color="auto"/>
        <w:right w:val="none" w:sz="0" w:space="0" w:color="auto"/>
      </w:divBdr>
    </w:div>
    <w:div w:id="89668836">
      <w:bodyDiv w:val="1"/>
      <w:marLeft w:val="0"/>
      <w:marRight w:val="0"/>
      <w:marTop w:val="0"/>
      <w:marBottom w:val="0"/>
      <w:divBdr>
        <w:top w:val="none" w:sz="0" w:space="0" w:color="auto"/>
        <w:left w:val="none" w:sz="0" w:space="0" w:color="auto"/>
        <w:bottom w:val="none" w:sz="0" w:space="0" w:color="auto"/>
        <w:right w:val="none" w:sz="0" w:space="0" w:color="auto"/>
      </w:divBdr>
    </w:div>
    <w:div w:id="195696537">
      <w:bodyDiv w:val="1"/>
      <w:marLeft w:val="0"/>
      <w:marRight w:val="0"/>
      <w:marTop w:val="0"/>
      <w:marBottom w:val="0"/>
      <w:divBdr>
        <w:top w:val="none" w:sz="0" w:space="0" w:color="auto"/>
        <w:left w:val="none" w:sz="0" w:space="0" w:color="auto"/>
        <w:bottom w:val="none" w:sz="0" w:space="0" w:color="auto"/>
        <w:right w:val="none" w:sz="0" w:space="0" w:color="auto"/>
      </w:divBdr>
    </w:div>
    <w:div w:id="222451278">
      <w:bodyDiv w:val="1"/>
      <w:marLeft w:val="0"/>
      <w:marRight w:val="0"/>
      <w:marTop w:val="0"/>
      <w:marBottom w:val="0"/>
      <w:divBdr>
        <w:top w:val="none" w:sz="0" w:space="0" w:color="auto"/>
        <w:left w:val="none" w:sz="0" w:space="0" w:color="auto"/>
        <w:bottom w:val="none" w:sz="0" w:space="0" w:color="auto"/>
        <w:right w:val="none" w:sz="0" w:space="0" w:color="auto"/>
      </w:divBdr>
    </w:div>
    <w:div w:id="388260461">
      <w:bodyDiv w:val="1"/>
      <w:marLeft w:val="0"/>
      <w:marRight w:val="0"/>
      <w:marTop w:val="0"/>
      <w:marBottom w:val="0"/>
      <w:divBdr>
        <w:top w:val="none" w:sz="0" w:space="0" w:color="auto"/>
        <w:left w:val="none" w:sz="0" w:space="0" w:color="auto"/>
        <w:bottom w:val="none" w:sz="0" w:space="0" w:color="auto"/>
        <w:right w:val="none" w:sz="0" w:space="0" w:color="auto"/>
      </w:divBdr>
    </w:div>
    <w:div w:id="555510290">
      <w:bodyDiv w:val="1"/>
      <w:marLeft w:val="0"/>
      <w:marRight w:val="0"/>
      <w:marTop w:val="0"/>
      <w:marBottom w:val="0"/>
      <w:divBdr>
        <w:top w:val="none" w:sz="0" w:space="0" w:color="auto"/>
        <w:left w:val="none" w:sz="0" w:space="0" w:color="auto"/>
        <w:bottom w:val="none" w:sz="0" w:space="0" w:color="auto"/>
        <w:right w:val="none" w:sz="0" w:space="0" w:color="auto"/>
      </w:divBdr>
    </w:div>
    <w:div w:id="592322130">
      <w:bodyDiv w:val="1"/>
      <w:marLeft w:val="0"/>
      <w:marRight w:val="0"/>
      <w:marTop w:val="0"/>
      <w:marBottom w:val="0"/>
      <w:divBdr>
        <w:top w:val="none" w:sz="0" w:space="0" w:color="auto"/>
        <w:left w:val="none" w:sz="0" w:space="0" w:color="auto"/>
        <w:bottom w:val="none" w:sz="0" w:space="0" w:color="auto"/>
        <w:right w:val="none" w:sz="0" w:space="0" w:color="auto"/>
      </w:divBdr>
    </w:div>
    <w:div w:id="677275962">
      <w:bodyDiv w:val="1"/>
      <w:marLeft w:val="0"/>
      <w:marRight w:val="0"/>
      <w:marTop w:val="0"/>
      <w:marBottom w:val="0"/>
      <w:divBdr>
        <w:top w:val="none" w:sz="0" w:space="0" w:color="auto"/>
        <w:left w:val="none" w:sz="0" w:space="0" w:color="auto"/>
        <w:bottom w:val="none" w:sz="0" w:space="0" w:color="auto"/>
        <w:right w:val="none" w:sz="0" w:space="0" w:color="auto"/>
      </w:divBdr>
    </w:div>
    <w:div w:id="712459242">
      <w:bodyDiv w:val="1"/>
      <w:marLeft w:val="0"/>
      <w:marRight w:val="0"/>
      <w:marTop w:val="0"/>
      <w:marBottom w:val="0"/>
      <w:divBdr>
        <w:top w:val="none" w:sz="0" w:space="0" w:color="auto"/>
        <w:left w:val="none" w:sz="0" w:space="0" w:color="auto"/>
        <w:bottom w:val="none" w:sz="0" w:space="0" w:color="auto"/>
        <w:right w:val="none" w:sz="0" w:space="0" w:color="auto"/>
      </w:divBdr>
    </w:div>
    <w:div w:id="725224525">
      <w:bodyDiv w:val="1"/>
      <w:marLeft w:val="0"/>
      <w:marRight w:val="0"/>
      <w:marTop w:val="0"/>
      <w:marBottom w:val="0"/>
      <w:divBdr>
        <w:top w:val="none" w:sz="0" w:space="0" w:color="auto"/>
        <w:left w:val="none" w:sz="0" w:space="0" w:color="auto"/>
        <w:bottom w:val="none" w:sz="0" w:space="0" w:color="auto"/>
        <w:right w:val="none" w:sz="0" w:space="0" w:color="auto"/>
      </w:divBdr>
    </w:div>
    <w:div w:id="756562370">
      <w:bodyDiv w:val="1"/>
      <w:marLeft w:val="0"/>
      <w:marRight w:val="0"/>
      <w:marTop w:val="0"/>
      <w:marBottom w:val="0"/>
      <w:divBdr>
        <w:top w:val="none" w:sz="0" w:space="0" w:color="auto"/>
        <w:left w:val="none" w:sz="0" w:space="0" w:color="auto"/>
        <w:bottom w:val="none" w:sz="0" w:space="0" w:color="auto"/>
        <w:right w:val="none" w:sz="0" w:space="0" w:color="auto"/>
      </w:divBdr>
    </w:div>
    <w:div w:id="941375424">
      <w:bodyDiv w:val="1"/>
      <w:marLeft w:val="0"/>
      <w:marRight w:val="0"/>
      <w:marTop w:val="0"/>
      <w:marBottom w:val="0"/>
      <w:divBdr>
        <w:top w:val="none" w:sz="0" w:space="0" w:color="auto"/>
        <w:left w:val="none" w:sz="0" w:space="0" w:color="auto"/>
        <w:bottom w:val="none" w:sz="0" w:space="0" w:color="auto"/>
        <w:right w:val="none" w:sz="0" w:space="0" w:color="auto"/>
      </w:divBdr>
    </w:div>
    <w:div w:id="1103309068">
      <w:bodyDiv w:val="1"/>
      <w:marLeft w:val="0"/>
      <w:marRight w:val="0"/>
      <w:marTop w:val="0"/>
      <w:marBottom w:val="0"/>
      <w:divBdr>
        <w:top w:val="none" w:sz="0" w:space="0" w:color="auto"/>
        <w:left w:val="none" w:sz="0" w:space="0" w:color="auto"/>
        <w:bottom w:val="none" w:sz="0" w:space="0" w:color="auto"/>
        <w:right w:val="none" w:sz="0" w:space="0" w:color="auto"/>
      </w:divBdr>
    </w:div>
    <w:div w:id="1104614758">
      <w:bodyDiv w:val="1"/>
      <w:marLeft w:val="0"/>
      <w:marRight w:val="0"/>
      <w:marTop w:val="0"/>
      <w:marBottom w:val="0"/>
      <w:divBdr>
        <w:top w:val="none" w:sz="0" w:space="0" w:color="auto"/>
        <w:left w:val="none" w:sz="0" w:space="0" w:color="auto"/>
        <w:bottom w:val="none" w:sz="0" w:space="0" w:color="auto"/>
        <w:right w:val="none" w:sz="0" w:space="0" w:color="auto"/>
      </w:divBdr>
    </w:div>
    <w:div w:id="1248878449">
      <w:bodyDiv w:val="1"/>
      <w:marLeft w:val="0"/>
      <w:marRight w:val="0"/>
      <w:marTop w:val="0"/>
      <w:marBottom w:val="0"/>
      <w:divBdr>
        <w:top w:val="none" w:sz="0" w:space="0" w:color="auto"/>
        <w:left w:val="none" w:sz="0" w:space="0" w:color="auto"/>
        <w:bottom w:val="none" w:sz="0" w:space="0" w:color="auto"/>
        <w:right w:val="none" w:sz="0" w:space="0" w:color="auto"/>
      </w:divBdr>
    </w:div>
    <w:div w:id="1306813076">
      <w:bodyDiv w:val="1"/>
      <w:marLeft w:val="0"/>
      <w:marRight w:val="0"/>
      <w:marTop w:val="0"/>
      <w:marBottom w:val="0"/>
      <w:divBdr>
        <w:top w:val="none" w:sz="0" w:space="0" w:color="auto"/>
        <w:left w:val="none" w:sz="0" w:space="0" w:color="auto"/>
        <w:bottom w:val="none" w:sz="0" w:space="0" w:color="auto"/>
        <w:right w:val="none" w:sz="0" w:space="0" w:color="auto"/>
      </w:divBdr>
    </w:div>
    <w:div w:id="1396006152">
      <w:bodyDiv w:val="1"/>
      <w:marLeft w:val="0"/>
      <w:marRight w:val="0"/>
      <w:marTop w:val="0"/>
      <w:marBottom w:val="0"/>
      <w:divBdr>
        <w:top w:val="none" w:sz="0" w:space="0" w:color="auto"/>
        <w:left w:val="none" w:sz="0" w:space="0" w:color="auto"/>
        <w:bottom w:val="none" w:sz="0" w:space="0" w:color="auto"/>
        <w:right w:val="none" w:sz="0" w:space="0" w:color="auto"/>
      </w:divBdr>
    </w:div>
    <w:div w:id="1538006413">
      <w:bodyDiv w:val="1"/>
      <w:marLeft w:val="0"/>
      <w:marRight w:val="0"/>
      <w:marTop w:val="0"/>
      <w:marBottom w:val="0"/>
      <w:divBdr>
        <w:top w:val="none" w:sz="0" w:space="0" w:color="auto"/>
        <w:left w:val="none" w:sz="0" w:space="0" w:color="auto"/>
        <w:bottom w:val="none" w:sz="0" w:space="0" w:color="auto"/>
        <w:right w:val="none" w:sz="0" w:space="0" w:color="auto"/>
      </w:divBdr>
    </w:div>
    <w:div w:id="1613391937">
      <w:bodyDiv w:val="1"/>
      <w:marLeft w:val="0"/>
      <w:marRight w:val="0"/>
      <w:marTop w:val="0"/>
      <w:marBottom w:val="0"/>
      <w:divBdr>
        <w:top w:val="none" w:sz="0" w:space="0" w:color="auto"/>
        <w:left w:val="none" w:sz="0" w:space="0" w:color="auto"/>
        <w:bottom w:val="none" w:sz="0" w:space="0" w:color="auto"/>
        <w:right w:val="none" w:sz="0" w:space="0" w:color="auto"/>
      </w:divBdr>
    </w:div>
    <w:div w:id="1961104885">
      <w:bodyDiv w:val="1"/>
      <w:marLeft w:val="0"/>
      <w:marRight w:val="0"/>
      <w:marTop w:val="0"/>
      <w:marBottom w:val="0"/>
      <w:divBdr>
        <w:top w:val="none" w:sz="0" w:space="0" w:color="auto"/>
        <w:left w:val="none" w:sz="0" w:space="0" w:color="auto"/>
        <w:bottom w:val="none" w:sz="0" w:space="0" w:color="auto"/>
        <w:right w:val="none" w:sz="0" w:space="0" w:color="auto"/>
      </w:divBdr>
    </w:div>
    <w:div w:id="1963219123">
      <w:bodyDiv w:val="1"/>
      <w:marLeft w:val="0"/>
      <w:marRight w:val="0"/>
      <w:marTop w:val="0"/>
      <w:marBottom w:val="0"/>
      <w:divBdr>
        <w:top w:val="none" w:sz="0" w:space="0" w:color="auto"/>
        <w:left w:val="none" w:sz="0" w:space="0" w:color="auto"/>
        <w:bottom w:val="none" w:sz="0" w:space="0" w:color="auto"/>
        <w:right w:val="none" w:sz="0" w:space="0" w:color="auto"/>
      </w:divBdr>
    </w:div>
    <w:div w:id="1970360883">
      <w:bodyDiv w:val="1"/>
      <w:marLeft w:val="0"/>
      <w:marRight w:val="0"/>
      <w:marTop w:val="0"/>
      <w:marBottom w:val="0"/>
      <w:divBdr>
        <w:top w:val="none" w:sz="0" w:space="0" w:color="auto"/>
        <w:left w:val="none" w:sz="0" w:space="0" w:color="auto"/>
        <w:bottom w:val="none" w:sz="0" w:space="0" w:color="auto"/>
        <w:right w:val="none" w:sz="0" w:space="0" w:color="auto"/>
      </w:divBdr>
    </w:div>
    <w:div w:id="205593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defensordelpueblo.es/wp-content/uploads/2024/11/Violencia_vicaria.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fensordelpueblo.es/informes/resultados-busqueda-informes/?tipo_documento=informe_anual"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fensordelpueblo.es/informe-monografico/ninas-y-ninos-extranjeros-en-espana-solos-o-acompanados/" TargetMode="External"/><Relationship Id="rId5" Type="http://schemas.openxmlformats.org/officeDocument/2006/relationships/webSettings" Target="webSettings.xml"/><Relationship Id="rId15" Type="http://schemas.openxmlformats.org/officeDocument/2006/relationships/hyperlink" Target="https://www.defensordelpueblo.es/noticias/conclusiones-de-las-xxxviii-jornadas-de-coordinacion-de-defensorias-del-pueblo/"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igualdad.gob.es/wp-content/uploads/2025/10/LO-medidas-violencia-vicaria_Audienci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FE47A-8D4D-4B07-9707-4E6839CA4C0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6</Pages>
  <Words>1769</Words>
  <Characters>9819</Characters>
  <Application>Microsoft Office Word</Application>
  <DocSecurity>0</DocSecurity>
  <Lines>160</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Ballestero Beltrán</dc:creator>
  <cp:keywords/>
  <dc:description/>
  <cp:lastModifiedBy>Isabelle Fleche</cp:lastModifiedBy>
  <cp:revision>2</cp:revision>
  <cp:lastPrinted>2024-09-12T17:10:00Z</cp:lastPrinted>
  <dcterms:created xsi:type="dcterms:W3CDTF">2026-01-07T09:53:00Z</dcterms:created>
  <dcterms:modified xsi:type="dcterms:W3CDTF">2026-01-07T09:53:00Z</dcterms:modified>
</cp:coreProperties>
</file>