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9699A" w14:textId="77777777" w:rsidR="0064665A" w:rsidRPr="00937951" w:rsidRDefault="00EC7DC5">
      <w:pPr>
        <w:jc w:val="center"/>
        <w:rPr>
          <w:rFonts w:ascii="Times New Roman" w:eastAsia="Times New Roman" w:hAnsi="Times New Roman" w:cs="Times New Roman"/>
          <w:sz w:val="24"/>
          <w:szCs w:val="24"/>
          <w:lang w:val="fr-FR"/>
        </w:rPr>
      </w:pPr>
      <w:r w:rsidRPr="00937951">
        <w:rPr>
          <w:rFonts w:ascii="Times New Roman" w:eastAsia="Times New Roman" w:hAnsi="Times New Roman" w:cs="Times New Roman"/>
          <w:noProof/>
          <w:sz w:val="24"/>
          <w:szCs w:val="24"/>
          <w:lang w:val="fr-FR"/>
        </w:rPr>
        <w:drawing>
          <wp:inline distT="114300" distB="114300" distL="114300" distR="114300" wp14:anchorId="4E7969E5" wp14:editId="4E7969E6">
            <wp:extent cx="1854925" cy="61830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854925" cy="618308"/>
                    </a:xfrm>
                    <a:prstGeom prst="rect">
                      <a:avLst/>
                    </a:prstGeom>
                    <a:ln/>
                  </pic:spPr>
                </pic:pic>
              </a:graphicData>
            </a:graphic>
          </wp:inline>
        </w:drawing>
      </w:r>
      <w:r w:rsidRPr="00937951">
        <w:rPr>
          <w:rFonts w:ascii="Times New Roman" w:eastAsia="Times New Roman" w:hAnsi="Times New Roman" w:cs="Times New Roman"/>
          <w:sz w:val="24"/>
          <w:szCs w:val="24"/>
          <w:lang w:val="fr-FR"/>
        </w:rPr>
        <w:t xml:space="preserve"> </w:t>
      </w:r>
      <w:r w:rsidRPr="00937951">
        <w:rPr>
          <w:rFonts w:ascii="Times New Roman" w:eastAsia="Times New Roman" w:hAnsi="Times New Roman" w:cs="Times New Roman"/>
          <w:sz w:val="24"/>
          <w:szCs w:val="24"/>
          <w:lang w:val="fr-FR"/>
        </w:rPr>
        <w:tab/>
      </w:r>
      <w:r w:rsidRPr="00937951">
        <w:rPr>
          <w:rFonts w:ascii="Times New Roman" w:eastAsia="Times New Roman" w:hAnsi="Times New Roman" w:cs="Times New Roman"/>
          <w:noProof/>
          <w:sz w:val="24"/>
          <w:szCs w:val="24"/>
          <w:lang w:val="fr-FR"/>
        </w:rPr>
        <w:drawing>
          <wp:inline distT="0" distB="0" distL="114300" distR="114300" wp14:anchorId="4E7969E7" wp14:editId="4E7969E8">
            <wp:extent cx="1069975" cy="7785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69975" cy="778510"/>
                    </a:xfrm>
                    <a:prstGeom prst="rect">
                      <a:avLst/>
                    </a:prstGeom>
                    <a:ln/>
                  </pic:spPr>
                </pic:pic>
              </a:graphicData>
            </a:graphic>
          </wp:inline>
        </w:drawing>
      </w:r>
    </w:p>
    <w:p w14:paraId="4E79699B" w14:textId="77777777" w:rsidR="0064665A" w:rsidRPr="00937951" w:rsidRDefault="0064665A">
      <w:pPr>
        <w:rPr>
          <w:rFonts w:ascii="Times New Roman" w:eastAsia="Times New Roman" w:hAnsi="Times New Roman" w:cs="Times New Roman"/>
          <w:sz w:val="24"/>
          <w:szCs w:val="24"/>
          <w:lang w:val="fr-FR"/>
        </w:rPr>
      </w:pPr>
    </w:p>
    <w:p w14:paraId="20D6BC3A" w14:textId="77777777" w:rsidR="00510AC1" w:rsidRPr="00937951" w:rsidRDefault="00510AC1" w:rsidP="00510AC1">
      <w:pPr>
        <w:rPr>
          <w:rFonts w:ascii="Times New Roman" w:eastAsia="Times New Roman" w:hAnsi="Times New Roman" w:cs="Times New Roman"/>
          <w:sz w:val="24"/>
          <w:szCs w:val="24"/>
          <w:lang w:val="fr-FR"/>
        </w:rPr>
      </w:pPr>
      <w:r w:rsidRPr="00937951">
        <w:rPr>
          <w:rFonts w:ascii="Times New Roman" w:eastAsia="Times New Roman" w:hAnsi="Times New Roman" w:cs="Times New Roman"/>
          <w:sz w:val="24"/>
          <w:szCs w:val="24"/>
          <w:lang w:val="fr-FR"/>
        </w:rPr>
        <w:t>Secrétariat du Comité des droits de l'enfant</w:t>
      </w:r>
    </w:p>
    <w:p w14:paraId="68FFC8F8" w14:textId="77777777" w:rsidR="00510AC1" w:rsidRPr="00937951" w:rsidRDefault="00510AC1" w:rsidP="00510AC1">
      <w:pPr>
        <w:rPr>
          <w:rFonts w:ascii="Times New Roman" w:eastAsia="Times New Roman" w:hAnsi="Times New Roman" w:cs="Times New Roman"/>
          <w:sz w:val="24"/>
          <w:szCs w:val="24"/>
          <w:lang w:val="fr-FR"/>
        </w:rPr>
      </w:pPr>
      <w:r w:rsidRPr="00937951">
        <w:rPr>
          <w:rFonts w:ascii="Times New Roman" w:eastAsia="Times New Roman" w:hAnsi="Times New Roman" w:cs="Times New Roman"/>
          <w:sz w:val="24"/>
          <w:szCs w:val="24"/>
          <w:lang w:val="fr-FR"/>
        </w:rPr>
        <w:t>Haut-Commissariat aux droits de l'homme (HCDH)</w:t>
      </w:r>
    </w:p>
    <w:p w14:paraId="37CDD25F" w14:textId="77777777" w:rsidR="00510AC1" w:rsidRPr="00937951" w:rsidRDefault="00510AC1" w:rsidP="00510AC1">
      <w:pPr>
        <w:rPr>
          <w:rFonts w:ascii="Times New Roman" w:eastAsia="Times New Roman" w:hAnsi="Times New Roman" w:cs="Times New Roman"/>
          <w:sz w:val="24"/>
          <w:szCs w:val="24"/>
          <w:lang w:val="fr-FR"/>
        </w:rPr>
      </w:pPr>
      <w:r w:rsidRPr="00937951">
        <w:rPr>
          <w:rFonts w:ascii="Times New Roman" w:eastAsia="Times New Roman" w:hAnsi="Times New Roman" w:cs="Times New Roman"/>
          <w:sz w:val="24"/>
          <w:szCs w:val="24"/>
          <w:lang w:val="fr-FR"/>
        </w:rPr>
        <w:t>Palais Wilson - 52 rue des Pâquis</w:t>
      </w:r>
    </w:p>
    <w:p w14:paraId="6E0C5F26" w14:textId="77777777" w:rsidR="00510AC1" w:rsidRPr="00937951" w:rsidRDefault="00510AC1" w:rsidP="00510AC1">
      <w:pPr>
        <w:rPr>
          <w:rFonts w:ascii="Times New Roman" w:eastAsia="Times New Roman" w:hAnsi="Times New Roman" w:cs="Times New Roman"/>
          <w:sz w:val="24"/>
          <w:szCs w:val="24"/>
          <w:lang w:val="fr-FR"/>
        </w:rPr>
      </w:pPr>
      <w:r w:rsidRPr="00937951">
        <w:rPr>
          <w:rFonts w:ascii="Times New Roman" w:eastAsia="Times New Roman" w:hAnsi="Times New Roman" w:cs="Times New Roman"/>
          <w:sz w:val="24"/>
          <w:szCs w:val="24"/>
          <w:lang w:val="fr-FR"/>
        </w:rPr>
        <w:t>CH-1201 Genève</w:t>
      </w:r>
    </w:p>
    <w:p w14:paraId="4E7969A0" w14:textId="6BAB306F" w:rsidR="0064665A" w:rsidRPr="00937951" w:rsidRDefault="00510AC1" w:rsidP="00510AC1">
      <w:pPr>
        <w:rPr>
          <w:rFonts w:ascii="Times New Roman" w:eastAsia="Times New Roman" w:hAnsi="Times New Roman" w:cs="Times New Roman"/>
          <w:sz w:val="24"/>
          <w:szCs w:val="24"/>
          <w:lang w:val="fr-FR"/>
        </w:rPr>
      </w:pPr>
      <w:r w:rsidRPr="00937951">
        <w:rPr>
          <w:rFonts w:ascii="Times New Roman" w:eastAsia="Times New Roman" w:hAnsi="Times New Roman" w:cs="Times New Roman"/>
          <w:sz w:val="24"/>
          <w:szCs w:val="24"/>
          <w:lang w:val="fr-FR"/>
        </w:rPr>
        <w:t>Suisse</w:t>
      </w:r>
      <w:r w:rsidR="00EC7DC5" w:rsidRPr="00937951">
        <w:rPr>
          <w:rFonts w:ascii="Times New Roman" w:eastAsia="Times New Roman" w:hAnsi="Times New Roman" w:cs="Times New Roman"/>
          <w:sz w:val="24"/>
          <w:szCs w:val="24"/>
          <w:lang w:val="fr-FR"/>
        </w:rPr>
        <w:t xml:space="preserve"> </w:t>
      </w:r>
    </w:p>
    <w:p w14:paraId="4E7969A1" w14:textId="77777777" w:rsidR="0064665A" w:rsidRPr="00937951" w:rsidRDefault="0064665A">
      <w:pPr>
        <w:rPr>
          <w:rFonts w:ascii="Times New Roman" w:eastAsia="Times New Roman" w:hAnsi="Times New Roman" w:cs="Times New Roman"/>
          <w:sz w:val="24"/>
          <w:szCs w:val="24"/>
          <w:lang w:val="fr-FR"/>
        </w:rPr>
      </w:pPr>
    </w:p>
    <w:p w14:paraId="4E7969A3" w14:textId="24B1F07A" w:rsidR="0064665A" w:rsidRPr="00F815C7" w:rsidRDefault="001A6B1E" w:rsidP="00F815C7">
      <w:pPr>
        <w:pStyle w:val="NormalWeb"/>
        <w:jc w:val="center"/>
        <w:rPr>
          <w:lang w:val="fr-FR"/>
        </w:rPr>
      </w:pPr>
      <w:r w:rsidRPr="00937951">
        <w:rPr>
          <w:b/>
          <w:bCs/>
          <w:u w:val="single"/>
          <w:lang w:val="fr-FR"/>
        </w:rPr>
        <w:t>Informations sur le Mali pour examen par le Comité des droits de l'enfant lors de sa 96ème session (6-24 mai 2024)</w:t>
      </w:r>
      <w:r w:rsidR="00EC7DC5" w:rsidRPr="00937951">
        <w:rPr>
          <w:b/>
          <w:u w:val="single"/>
          <w:lang w:val="fr-FR"/>
        </w:rPr>
        <w:t xml:space="preserve"> </w:t>
      </w:r>
    </w:p>
    <w:p w14:paraId="4E7969A4" w14:textId="347EA80D" w:rsidR="0064665A" w:rsidRPr="00107593" w:rsidRDefault="00EC7DC5" w:rsidP="00107593">
      <w:pPr>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Pr="00107593">
        <w:rPr>
          <w:rFonts w:ascii="Times New Roman" w:eastAsia="Times New Roman" w:hAnsi="Times New Roman" w:cs="Times New Roman"/>
          <w:sz w:val="24"/>
          <w:szCs w:val="24"/>
          <w:lang w:val="fr-FR"/>
        </w:rPr>
        <w:tab/>
      </w:r>
      <w:r w:rsidR="001A6B1E" w:rsidRPr="00107593">
        <w:rPr>
          <w:rFonts w:ascii="Times New Roman" w:eastAsia="Times New Roman" w:hAnsi="Times New Roman" w:cs="Times New Roman"/>
          <w:sz w:val="24"/>
          <w:szCs w:val="24"/>
          <w:lang w:val="fr-FR"/>
        </w:rPr>
        <w:t xml:space="preserve">Le </w:t>
      </w:r>
      <w:r w:rsidRPr="00107593">
        <w:rPr>
          <w:rFonts w:ascii="Times New Roman" w:eastAsia="Times New Roman" w:hAnsi="Times New Roman" w:cs="Times New Roman"/>
          <w:sz w:val="24"/>
          <w:szCs w:val="24"/>
          <w:lang w:val="fr-FR"/>
        </w:rPr>
        <w:t xml:space="preserve">15 </w:t>
      </w:r>
      <w:r w:rsidR="001A6B1E" w:rsidRPr="00107593">
        <w:rPr>
          <w:rFonts w:ascii="Times New Roman" w:eastAsia="Times New Roman" w:hAnsi="Times New Roman" w:cs="Times New Roman"/>
          <w:sz w:val="24"/>
          <w:szCs w:val="24"/>
          <w:lang w:val="fr-FR"/>
        </w:rPr>
        <w:t>av</w:t>
      </w:r>
      <w:r w:rsidRPr="00107593">
        <w:rPr>
          <w:rFonts w:ascii="Times New Roman" w:eastAsia="Times New Roman" w:hAnsi="Times New Roman" w:cs="Times New Roman"/>
          <w:sz w:val="24"/>
          <w:szCs w:val="24"/>
          <w:lang w:val="fr-FR"/>
        </w:rPr>
        <w:t>ril 2024</w:t>
      </w:r>
    </w:p>
    <w:p w14:paraId="4E7969A5" w14:textId="77777777" w:rsidR="0064665A" w:rsidRPr="00107593" w:rsidRDefault="0064665A" w:rsidP="00107593">
      <w:pPr>
        <w:rPr>
          <w:rFonts w:ascii="Times New Roman" w:eastAsia="Times New Roman" w:hAnsi="Times New Roman" w:cs="Times New Roman"/>
          <w:sz w:val="24"/>
          <w:szCs w:val="24"/>
          <w:lang w:val="fr-FR"/>
        </w:rPr>
      </w:pPr>
    </w:p>
    <w:p w14:paraId="4E7969A6" w14:textId="77777777" w:rsidR="0064665A" w:rsidRPr="00107593" w:rsidRDefault="00EC7DC5" w:rsidP="00107593">
      <w:pPr>
        <w:jc w:val="both"/>
        <w:rPr>
          <w:rFonts w:ascii="Times New Roman" w:eastAsia="Times New Roman" w:hAnsi="Times New Roman" w:cs="Times New Roman"/>
          <w:sz w:val="24"/>
          <w:szCs w:val="24"/>
          <w:u w:val="single"/>
          <w:lang w:val="fr-FR"/>
        </w:rPr>
      </w:pPr>
      <w:r w:rsidRPr="00107593">
        <w:rPr>
          <w:rFonts w:ascii="Times New Roman" w:eastAsia="Times New Roman" w:hAnsi="Times New Roman" w:cs="Times New Roman"/>
          <w:sz w:val="24"/>
          <w:szCs w:val="24"/>
          <w:u w:val="single"/>
          <w:lang w:val="fr-FR"/>
        </w:rPr>
        <w:t>Introduction</w:t>
      </w:r>
    </w:p>
    <w:p w14:paraId="4E7969A7" w14:textId="77777777" w:rsidR="0064665A" w:rsidRPr="00107593" w:rsidRDefault="0064665A" w:rsidP="00107593">
      <w:pPr>
        <w:jc w:val="both"/>
        <w:rPr>
          <w:rFonts w:ascii="Times New Roman" w:eastAsia="Times New Roman" w:hAnsi="Times New Roman" w:cs="Times New Roman"/>
          <w:sz w:val="24"/>
          <w:szCs w:val="24"/>
          <w:lang w:val="fr-FR"/>
        </w:rPr>
      </w:pPr>
    </w:p>
    <w:p w14:paraId="4E7969A8" w14:textId="2195B6D3" w:rsidR="0064665A" w:rsidRPr="00107593" w:rsidRDefault="001A6B1E"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Nous soumettons respectueusement ces informations pour examen par le Comité des droits de l'enfant lors de sa 96ème session qui se tiendra du 6 au 24 mai 2024. Ce rapport est soumis conjointement par l'Association Malienne pour le Suivi et l'Orientation des Pratiques Traditionnelles (AMSOPT) et Equality Now en vue de mettre en lumière les violations des droits humains commises à l'encontre des filles en raison de la pratique des mutilations génitales féminines (MGF) au Mali</w:t>
      </w:r>
      <w:r w:rsidR="00EC7DC5" w:rsidRPr="00107593">
        <w:rPr>
          <w:rFonts w:ascii="Times New Roman" w:eastAsia="Times New Roman" w:hAnsi="Times New Roman" w:cs="Times New Roman"/>
          <w:sz w:val="24"/>
          <w:szCs w:val="24"/>
          <w:lang w:val="fr-FR"/>
        </w:rPr>
        <w:t xml:space="preserve">. </w:t>
      </w:r>
    </w:p>
    <w:p w14:paraId="4E7969A9" w14:textId="77777777" w:rsidR="0064665A" w:rsidRPr="00107593" w:rsidRDefault="0064665A" w:rsidP="00107593">
      <w:pPr>
        <w:ind w:left="720"/>
        <w:jc w:val="both"/>
        <w:rPr>
          <w:rFonts w:ascii="Times New Roman" w:eastAsia="Times New Roman" w:hAnsi="Times New Roman" w:cs="Times New Roman"/>
          <w:sz w:val="24"/>
          <w:szCs w:val="24"/>
          <w:lang w:val="fr-FR"/>
        </w:rPr>
      </w:pPr>
    </w:p>
    <w:p w14:paraId="5DC0A14C" w14:textId="14B5405C" w:rsidR="00E71742" w:rsidRPr="00107593" w:rsidRDefault="001A6B1E" w:rsidP="00107593">
      <w:pPr>
        <w:pStyle w:val="NormalWeb"/>
        <w:numPr>
          <w:ilvl w:val="0"/>
          <w:numId w:val="1"/>
        </w:numPr>
        <w:spacing w:before="0" w:beforeAutospacing="0" w:after="0" w:afterAutospacing="0" w:line="276" w:lineRule="auto"/>
        <w:rPr>
          <w:lang w:val="fr-FR"/>
        </w:rPr>
      </w:pPr>
      <w:r w:rsidRPr="00107593">
        <w:rPr>
          <w:b/>
          <w:bCs/>
          <w:lang w:val="fr-FR"/>
        </w:rPr>
        <w:t>AMSOPT</w:t>
      </w:r>
      <w:r w:rsidRPr="00107593">
        <w:rPr>
          <w:lang w:val="fr-FR"/>
        </w:rPr>
        <w:t xml:space="preserve"> est une organisation malienne ayant pour mission de contribuer à l'émancipation et à la promotion des droits et du bien-être des femmes et des enfants au Mali. Ses interventions sont </w:t>
      </w:r>
      <w:r w:rsidR="00C33BE3" w:rsidRPr="00107593">
        <w:rPr>
          <w:lang w:val="fr-FR"/>
        </w:rPr>
        <w:t>ax</w:t>
      </w:r>
      <w:r w:rsidRPr="00107593">
        <w:rPr>
          <w:lang w:val="fr-FR"/>
        </w:rPr>
        <w:t xml:space="preserve">ées sur la lutte contre les pratiques </w:t>
      </w:r>
      <w:r w:rsidR="00EB5A14" w:rsidRPr="00107593">
        <w:rPr>
          <w:lang w:val="fr-FR"/>
        </w:rPr>
        <w:t>nuisibles</w:t>
      </w:r>
      <w:r w:rsidRPr="00107593">
        <w:rPr>
          <w:lang w:val="fr-FR"/>
        </w:rPr>
        <w:t xml:space="preserve"> pour la santé des femmes et des enfants</w:t>
      </w:r>
      <w:r w:rsidR="0015075D" w:rsidRPr="00107593">
        <w:rPr>
          <w:lang w:val="fr-FR"/>
        </w:rPr>
        <w:t>, mais également sur toutes ls autres formes de violences basées sur le genre</w:t>
      </w:r>
      <w:r w:rsidRPr="00107593">
        <w:rPr>
          <w:lang w:val="fr-FR"/>
        </w:rPr>
        <w:t>.</w:t>
      </w:r>
    </w:p>
    <w:p w14:paraId="61B679B2" w14:textId="61063279" w:rsidR="00E71742" w:rsidRPr="00107593" w:rsidRDefault="00E71742" w:rsidP="00107593">
      <w:pPr>
        <w:pStyle w:val="NormalWeb"/>
        <w:spacing w:before="0" w:beforeAutospacing="0" w:after="0" w:afterAutospacing="0" w:line="276" w:lineRule="auto"/>
        <w:rPr>
          <w:lang w:val="fr-FR"/>
        </w:rPr>
      </w:pPr>
    </w:p>
    <w:p w14:paraId="35EE5C5C" w14:textId="19E4F7DD" w:rsidR="00E71742" w:rsidRPr="00107593" w:rsidRDefault="001A6B1E" w:rsidP="00107593">
      <w:pPr>
        <w:pStyle w:val="NormalWeb"/>
        <w:numPr>
          <w:ilvl w:val="0"/>
          <w:numId w:val="1"/>
        </w:numPr>
        <w:spacing w:before="0" w:beforeAutospacing="0" w:after="0" w:afterAutospacing="0" w:line="276" w:lineRule="auto"/>
        <w:rPr>
          <w:lang w:val="fr-FR"/>
        </w:rPr>
      </w:pPr>
      <w:r w:rsidRPr="00107593">
        <w:rPr>
          <w:b/>
          <w:bCs/>
          <w:lang w:val="fr-FR"/>
        </w:rPr>
        <w:t>Equality Now</w:t>
      </w:r>
      <w:r w:rsidRPr="00107593">
        <w:rPr>
          <w:lang w:val="fr-FR"/>
        </w:rPr>
        <w:t xml:space="preserve"> est une ONG internationale de défense des droits </w:t>
      </w:r>
      <w:r w:rsidR="00EB5A14" w:rsidRPr="00107593">
        <w:rPr>
          <w:lang w:val="fr-FR"/>
        </w:rPr>
        <w:t>humains</w:t>
      </w:r>
      <w:r w:rsidRPr="00107593">
        <w:rPr>
          <w:lang w:val="fr-FR"/>
        </w:rPr>
        <w:t>, ayant le statut ECOSOC auprès de l'ONU, dont la mission est de réaliser des changements juridiques et systémiques permettant de lutter contre la violence et la discrimination à l'encontre de toutes les femmes et les filles du monde entier. Fondée en 1992, Equality Now est une organisation internationale qui a des partenaires et des partisans dans toutes les régions. Les principaux domaines d'action d'Equality Now sont la lutte contre la violence sexuelle, l'exploitation sexuelle</w:t>
      </w:r>
      <w:r w:rsidR="00C33BE3" w:rsidRPr="00107593">
        <w:rPr>
          <w:lang w:val="fr-FR"/>
        </w:rPr>
        <w:t xml:space="preserve"> et</w:t>
      </w:r>
      <w:r w:rsidRPr="00107593">
        <w:rPr>
          <w:lang w:val="fr-FR"/>
        </w:rPr>
        <w:t xml:space="preserve"> les pratiques préjudiciables et la réalisation de l'égalité juridique.</w:t>
      </w:r>
    </w:p>
    <w:p w14:paraId="59221F32" w14:textId="77777777" w:rsidR="00E71742" w:rsidRPr="00107593" w:rsidRDefault="00E71742" w:rsidP="00107593">
      <w:pPr>
        <w:pStyle w:val="ListParagraph"/>
        <w:rPr>
          <w:rFonts w:ascii="Times New Roman" w:hAnsi="Times New Roman" w:cs="Times New Roman"/>
          <w:sz w:val="24"/>
          <w:szCs w:val="24"/>
          <w:lang w:val="fr-FR"/>
        </w:rPr>
      </w:pPr>
    </w:p>
    <w:p w14:paraId="4E7969AD" w14:textId="0F50485C" w:rsidR="0064665A" w:rsidRPr="00107593" w:rsidRDefault="00C7254E"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lastRenderedPageBreak/>
        <w:t>Aux termes des articles 6, 16, 17, 18, 19, 22, 24, 27, 29, 34, 37 et 39 de la Convention relative aux droits de l'enfant et des articles 2, 5, 10 et 12 de la Convention sur l'élimination de toutes les formes de discrimination à l'égard des femmes, ainsi que des recommandations générales n° 18 du Comité de la Convention relative aux droits de l'enfant</w:t>
      </w:r>
      <w:r w:rsidR="00C33BE3" w:rsidRPr="00107593">
        <w:rPr>
          <w:rFonts w:ascii="Times New Roman" w:hAnsi="Times New Roman" w:cs="Times New Roman"/>
          <w:sz w:val="24"/>
          <w:szCs w:val="24"/>
          <w:lang w:val="fr-FR"/>
        </w:rPr>
        <w:t>, articles</w:t>
      </w:r>
      <w:r w:rsidRPr="00107593">
        <w:rPr>
          <w:rFonts w:ascii="Times New Roman" w:hAnsi="Times New Roman" w:cs="Times New Roman"/>
          <w:sz w:val="24"/>
          <w:szCs w:val="24"/>
          <w:lang w:val="fr-FR"/>
        </w:rPr>
        <w:t xml:space="preserve"> n° 14, 19 et 31 du Comité de la Convention sur l'élimination de toutes les formes de discrimination à l'égard des femmes, l'État a l'obligation de protéger les femmes et les filles contre les mutilations génitales féminines et a le devoir de poursuivre et de punir les personnes qui se livrent à cette pratique néfaste</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
      </w:r>
      <w:r w:rsidR="00EC7DC5" w:rsidRPr="00107593">
        <w:rPr>
          <w:rFonts w:ascii="Times New Roman" w:eastAsia="Times New Roman" w:hAnsi="Times New Roman" w:cs="Times New Roman"/>
          <w:sz w:val="24"/>
          <w:szCs w:val="24"/>
          <w:lang w:val="fr-FR"/>
        </w:rPr>
        <w:t xml:space="preserve"> </w:t>
      </w:r>
      <w:r w:rsidRPr="00107593">
        <w:rPr>
          <w:rFonts w:ascii="Times New Roman" w:hAnsi="Times New Roman" w:cs="Times New Roman"/>
          <w:sz w:val="24"/>
          <w:szCs w:val="24"/>
          <w:lang w:val="fr-FR"/>
        </w:rPr>
        <w:t>Les informations détaillées dans la présente soumission mettent en évidence le manquement de l'État du Mali à sa responsabilité de protéger les femmes et les filles du Mali contre les MGF.</w:t>
      </w:r>
      <w:r w:rsidR="00EC7DC5" w:rsidRPr="00107593">
        <w:rPr>
          <w:rFonts w:ascii="Times New Roman" w:eastAsia="Times New Roman" w:hAnsi="Times New Roman" w:cs="Times New Roman"/>
          <w:sz w:val="24"/>
          <w:szCs w:val="24"/>
          <w:lang w:val="fr-FR"/>
        </w:rPr>
        <w:t xml:space="preserve"> </w:t>
      </w:r>
    </w:p>
    <w:p w14:paraId="62E126B6" w14:textId="77777777" w:rsidR="00F815C7" w:rsidRDefault="00F815C7" w:rsidP="00107593">
      <w:pPr>
        <w:pStyle w:val="NormalWeb"/>
        <w:spacing w:before="0" w:beforeAutospacing="0" w:after="0" w:afterAutospacing="0" w:line="276" w:lineRule="auto"/>
        <w:ind w:left="360"/>
        <w:rPr>
          <w:u w:val="single"/>
          <w:lang w:val="fr-FR"/>
        </w:rPr>
      </w:pPr>
    </w:p>
    <w:p w14:paraId="0458C7DC" w14:textId="1F2ED654" w:rsidR="00224F1C" w:rsidRPr="00107593" w:rsidRDefault="00224F1C" w:rsidP="00107593">
      <w:pPr>
        <w:pStyle w:val="NormalWeb"/>
        <w:spacing w:before="0" w:beforeAutospacing="0" w:after="0" w:afterAutospacing="0" w:line="276" w:lineRule="auto"/>
        <w:ind w:left="360"/>
        <w:rPr>
          <w:lang w:val="fr-FR"/>
        </w:rPr>
      </w:pPr>
      <w:r w:rsidRPr="00107593">
        <w:rPr>
          <w:u w:val="single"/>
          <w:lang w:val="fr-FR"/>
        </w:rPr>
        <w:t>Prévalence des MGF au Mali</w:t>
      </w:r>
    </w:p>
    <w:p w14:paraId="4E7969AF" w14:textId="77777777" w:rsidR="0064665A" w:rsidRPr="00107593" w:rsidRDefault="0064665A" w:rsidP="00107593">
      <w:pPr>
        <w:jc w:val="both"/>
        <w:rPr>
          <w:rFonts w:ascii="Times New Roman" w:eastAsia="Times New Roman" w:hAnsi="Times New Roman" w:cs="Times New Roman"/>
          <w:sz w:val="24"/>
          <w:szCs w:val="24"/>
          <w:lang w:val="fr-FR"/>
        </w:rPr>
      </w:pPr>
    </w:p>
    <w:p w14:paraId="4E7969B0" w14:textId="3052E320" w:rsidR="0064665A" w:rsidRPr="00107593" w:rsidRDefault="00224F1C"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 xml:space="preserve">Les résultats de l'Enquête démographique et de santé (EDS) de 2018 indiquent que 88,6 % des femmes et des filles âgées de 15 à 49 ans et 73 % des filles âgées de 0 à 14 ans ont subi </w:t>
      </w:r>
      <w:r w:rsidR="0090008C" w:rsidRPr="00107593">
        <w:rPr>
          <w:rFonts w:ascii="Times New Roman" w:hAnsi="Times New Roman" w:cs="Times New Roman"/>
          <w:sz w:val="24"/>
          <w:szCs w:val="24"/>
          <w:lang w:val="fr-FR"/>
        </w:rPr>
        <w:t>la</w:t>
      </w:r>
      <w:r w:rsidRPr="00107593">
        <w:rPr>
          <w:rFonts w:ascii="Times New Roman" w:hAnsi="Times New Roman" w:cs="Times New Roman"/>
          <w:sz w:val="24"/>
          <w:szCs w:val="24"/>
          <w:lang w:val="fr-FR"/>
        </w:rPr>
        <w:t xml:space="preserve"> MGF</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2"/>
      </w:r>
      <w:r w:rsidR="00EC7DC5" w:rsidRPr="00107593">
        <w:rPr>
          <w:rFonts w:ascii="Times New Roman" w:eastAsia="Times New Roman" w:hAnsi="Times New Roman" w:cs="Times New Roman"/>
          <w:sz w:val="24"/>
          <w:szCs w:val="24"/>
          <w:lang w:val="fr-FR"/>
        </w:rPr>
        <w:t xml:space="preserve"> </w:t>
      </w:r>
      <w:r w:rsidR="00035D7A" w:rsidRPr="00107593">
        <w:rPr>
          <w:rFonts w:ascii="Times New Roman" w:hAnsi="Times New Roman" w:cs="Times New Roman"/>
          <w:sz w:val="24"/>
          <w:szCs w:val="24"/>
          <w:lang w:val="fr-FR"/>
        </w:rPr>
        <w:t>En 2022, l'UNICEF</w:t>
      </w:r>
      <w:r w:rsidR="00EC7DC5" w:rsidRPr="00107593">
        <w:rPr>
          <w:rFonts w:ascii="Times New Roman" w:eastAsia="Times New Roman" w:hAnsi="Times New Roman" w:cs="Times New Roman"/>
          <w:sz w:val="24"/>
          <w:szCs w:val="24"/>
          <w:vertAlign w:val="superscript"/>
          <w:lang w:val="fr-FR"/>
        </w:rPr>
        <w:footnoteReference w:id="3"/>
      </w:r>
      <w:r w:rsidR="00EC7DC5" w:rsidRPr="00107593">
        <w:rPr>
          <w:rFonts w:ascii="Times New Roman" w:eastAsia="Times New Roman" w:hAnsi="Times New Roman" w:cs="Times New Roman"/>
          <w:sz w:val="24"/>
          <w:szCs w:val="24"/>
          <w:lang w:val="fr-FR"/>
        </w:rPr>
        <w:t xml:space="preserve"> </w:t>
      </w:r>
      <w:r w:rsidR="00035D7A" w:rsidRPr="00107593">
        <w:rPr>
          <w:rFonts w:ascii="Times New Roman" w:hAnsi="Times New Roman" w:cs="Times New Roman"/>
          <w:sz w:val="24"/>
          <w:szCs w:val="24"/>
          <w:lang w:val="fr-FR"/>
        </w:rPr>
        <w:t xml:space="preserve">a estimé qu'au moins 8 millions de femmes et de filles </w:t>
      </w:r>
      <w:r w:rsidR="0090008C" w:rsidRPr="00107593">
        <w:rPr>
          <w:rFonts w:ascii="Times New Roman" w:hAnsi="Times New Roman" w:cs="Times New Roman"/>
          <w:sz w:val="24"/>
          <w:szCs w:val="24"/>
          <w:lang w:val="fr-FR"/>
        </w:rPr>
        <w:t>avaient</w:t>
      </w:r>
      <w:r w:rsidR="00035D7A" w:rsidRPr="00107593">
        <w:rPr>
          <w:rFonts w:ascii="Times New Roman" w:hAnsi="Times New Roman" w:cs="Times New Roman"/>
          <w:sz w:val="24"/>
          <w:szCs w:val="24"/>
          <w:lang w:val="fr-FR"/>
        </w:rPr>
        <w:t xml:space="preserve"> subi des MGF au Mali, ce qui représente un nombre considérable</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4"/>
      </w:r>
      <w:r w:rsidR="00EC7DC5" w:rsidRPr="00107593">
        <w:rPr>
          <w:rFonts w:ascii="Times New Roman" w:eastAsia="Times New Roman" w:hAnsi="Times New Roman" w:cs="Times New Roman"/>
          <w:sz w:val="24"/>
          <w:szCs w:val="24"/>
          <w:lang w:val="fr-FR"/>
        </w:rPr>
        <w:t xml:space="preserve"> </w:t>
      </w:r>
      <w:r w:rsidR="00633AF4" w:rsidRPr="00107593">
        <w:rPr>
          <w:rFonts w:ascii="Times New Roman" w:hAnsi="Times New Roman" w:cs="Times New Roman"/>
          <w:sz w:val="24"/>
          <w:szCs w:val="24"/>
          <w:lang w:val="fr-FR"/>
        </w:rPr>
        <w:t xml:space="preserve">Il est alarmant de constater que selon ces statistiques,  </w:t>
      </w:r>
      <w:r w:rsidR="00035D7A" w:rsidRPr="00107593">
        <w:rPr>
          <w:rFonts w:ascii="Times New Roman" w:hAnsi="Times New Roman" w:cs="Times New Roman"/>
          <w:sz w:val="24"/>
          <w:szCs w:val="24"/>
          <w:lang w:val="fr-FR"/>
        </w:rPr>
        <w:t>le taux de progrès dans la réduction de la prévalence des MGF dans le pays reste lent, compte tenu de la prévalence toujours élevée des MGF chez les filles de moins de 14 ans</w:t>
      </w:r>
      <w:r w:rsidR="00EC7DC5" w:rsidRPr="00107593">
        <w:rPr>
          <w:rFonts w:ascii="Times New Roman" w:eastAsia="Times New Roman" w:hAnsi="Times New Roman" w:cs="Times New Roman"/>
          <w:sz w:val="24"/>
          <w:szCs w:val="24"/>
          <w:lang w:val="fr-FR"/>
        </w:rPr>
        <w:t xml:space="preserve">. </w:t>
      </w:r>
      <w:r w:rsidR="00035D7A" w:rsidRPr="00107593">
        <w:rPr>
          <w:rFonts w:ascii="Times New Roman" w:hAnsi="Times New Roman" w:cs="Times New Roman"/>
          <w:sz w:val="24"/>
          <w:szCs w:val="24"/>
          <w:lang w:val="fr-FR"/>
        </w:rPr>
        <w:t>Les données concernant les MGF transfrontalières, c'est-à-dire le nombre de femmes et de filles de la région envoyées à l'étranger pour y être excisées, ne sont pas disponibles</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5"/>
      </w:r>
    </w:p>
    <w:p w14:paraId="4E7969B1" w14:textId="77777777" w:rsidR="0064665A" w:rsidRPr="00107593" w:rsidRDefault="0064665A" w:rsidP="00107593">
      <w:pPr>
        <w:jc w:val="both"/>
        <w:rPr>
          <w:rFonts w:ascii="Times New Roman" w:eastAsia="Times New Roman" w:hAnsi="Times New Roman" w:cs="Times New Roman"/>
          <w:sz w:val="24"/>
          <w:szCs w:val="24"/>
          <w:lang w:val="fr-FR"/>
        </w:rPr>
      </w:pPr>
    </w:p>
    <w:p w14:paraId="4E7969B2" w14:textId="34A4F92A" w:rsidR="0064665A" w:rsidRPr="00107593" w:rsidRDefault="0016358A"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 xml:space="preserve">Les données recueillies par l'UNICEF </w:t>
      </w:r>
      <w:r w:rsidR="00633AF4" w:rsidRPr="00107593">
        <w:rPr>
          <w:rFonts w:ascii="Times New Roman" w:hAnsi="Times New Roman" w:cs="Times New Roman"/>
          <w:sz w:val="24"/>
          <w:szCs w:val="24"/>
          <w:lang w:val="fr-FR"/>
        </w:rPr>
        <w:t>démontrent</w:t>
      </w:r>
      <w:r w:rsidRPr="00107593">
        <w:rPr>
          <w:rFonts w:ascii="Times New Roman" w:hAnsi="Times New Roman" w:cs="Times New Roman"/>
          <w:sz w:val="24"/>
          <w:szCs w:val="24"/>
          <w:lang w:val="fr-FR"/>
        </w:rPr>
        <w:t xml:space="preserve"> également que la majorité des femmes et des filles qui subissent des MGF sont jeunes</w:t>
      </w:r>
      <w:r w:rsidR="00633AF4" w:rsidRPr="00107593">
        <w:rPr>
          <w:rFonts w:ascii="Times New Roman" w:hAnsi="Times New Roman" w:cs="Times New Roman"/>
          <w:sz w:val="24"/>
          <w:szCs w:val="24"/>
          <w:lang w:val="fr-FR"/>
        </w:rPr>
        <w:t xml:space="preserve"> : </w:t>
      </w:r>
      <w:r w:rsidRPr="00107593">
        <w:rPr>
          <w:rFonts w:ascii="Times New Roman" w:hAnsi="Times New Roman" w:cs="Times New Roman"/>
          <w:sz w:val="24"/>
          <w:szCs w:val="24"/>
          <w:lang w:val="fr-FR"/>
        </w:rPr>
        <w:t>âgées de 0 à 10 ans. La forme la plus grave de MGF, dans laquelle l'ouverture vaginale est cousue (Type III), est présente dans toutes les régions du Mali où les MGF sont pratiquées ; elle touche 1 fille sur 10 parmi celles ayant subi une MGF.</w:t>
      </w:r>
      <w:r w:rsidR="00EC7DC5" w:rsidRPr="00107593">
        <w:rPr>
          <w:rFonts w:ascii="Times New Roman" w:eastAsia="Times New Roman" w:hAnsi="Times New Roman" w:cs="Times New Roman"/>
          <w:sz w:val="24"/>
          <w:szCs w:val="24"/>
          <w:vertAlign w:val="superscript"/>
          <w:lang w:val="fr-FR"/>
        </w:rPr>
        <w:footnoteReference w:id="6"/>
      </w:r>
    </w:p>
    <w:p w14:paraId="4E7969B3" w14:textId="77777777" w:rsidR="0064665A" w:rsidRPr="00107593" w:rsidRDefault="0064665A" w:rsidP="00107593">
      <w:pPr>
        <w:jc w:val="both"/>
        <w:rPr>
          <w:rFonts w:ascii="Times New Roman" w:eastAsia="Times New Roman" w:hAnsi="Times New Roman" w:cs="Times New Roman"/>
          <w:sz w:val="24"/>
          <w:szCs w:val="24"/>
          <w:lang w:val="fr-FR"/>
        </w:rPr>
      </w:pPr>
    </w:p>
    <w:p w14:paraId="4E7969B4" w14:textId="13E5DE17" w:rsidR="0064665A" w:rsidRPr="00107593" w:rsidRDefault="00406DC6"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lastRenderedPageBreak/>
        <w:t xml:space="preserve">En décembre 2019, le Comité pour l'élimination de toutes les formes de discrimination à l'égard des femmes, dans son enquête </w:t>
      </w:r>
      <w:r w:rsidR="00633AF4" w:rsidRPr="00107593">
        <w:rPr>
          <w:rFonts w:ascii="Times New Roman" w:hAnsi="Times New Roman" w:cs="Times New Roman"/>
          <w:sz w:val="24"/>
          <w:szCs w:val="24"/>
          <w:lang w:val="fr-FR"/>
        </w:rPr>
        <w:t>r</w:t>
      </w:r>
      <w:r w:rsidR="00C2496E" w:rsidRPr="00107593">
        <w:rPr>
          <w:rFonts w:ascii="Times New Roman" w:hAnsi="Times New Roman" w:cs="Times New Roman"/>
          <w:sz w:val="24"/>
          <w:szCs w:val="24"/>
          <w:lang w:val="fr-FR"/>
        </w:rPr>
        <w:t>elative aux</w:t>
      </w:r>
      <w:r w:rsidRPr="00107593">
        <w:rPr>
          <w:rFonts w:ascii="Times New Roman" w:hAnsi="Times New Roman" w:cs="Times New Roman"/>
          <w:sz w:val="24"/>
          <w:szCs w:val="24"/>
          <w:lang w:val="fr-FR"/>
        </w:rPr>
        <w:t xml:space="preserve"> MGF au Mali</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7"/>
      </w:r>
      <w:r w:rsidR="00EC7DC5" w:rsidRPr="00107593">
        <w:rPr>
          <w:rFonts w:ascii="Times New Roman" w:eastAsia="Times New Roman" w:hAnsi="Times New Roman" w:cs="Times New Roman"/>
          <w:sz w:val="24"/>
          <w:szCs w:val="24"/>
          <w:lang w:val="fr-FR"/>
        </w:rPr>
        <w:t xml:space="preserve"> </w:t>
      </w:r>
      <w:r w:rsidRPr="00107593">
        <w:rPr>
          <w:rFonts w:ascii="Times New Roman" w:hAnsi="Times New Roman" w:cs="Times New Roman"/>
          <w:sz w:val="24"/>
          <w:szCs w:val="24"/>
          <w:lang w:val="fr-FR"/>
        </w:rPr>
        <w:t>a mis en évidence les conséquences graves des MGF sur les femmes et les filles maliennes, notamment sur leur santé physique et psychologique et sur leur santé sexuelle et reproductive.</w:t>
      </w:r>
      <w:r w:rsidR="00EC7DC5" w:rsidRPr="00107593">
        <w:rPr>
          <w:rFonts w:ascii="Times New Roman" w:eastAsia="Times New Roman" w:hAnsi="Times New Roman" w:cs="Times New Roman"/>
          <w:sz w:val="24"/>
          <w:szCs w:val="24"/>
          <w:lang w:val="fr-FR"/>
        </w:rPr>
        <w:t xml:space="preserve"> </w:t>
      </w:r>
      <w:r w:rsidRPr="00107593">
        <w:rPr>
          <w:rFonts w:ascii="Times New Roman" w:hAnsi="Times New Roman" w:cs="Times New Roman"/>
          <w:sz w:val="24"/>
          <w:szCs w:val="24"/>
          <w:lang w:val="fr-FR"/>
        </w:rPr>
        <w:t>L'enquête a également démontré que les MGF ont un impact sur le développement de la victime tant dans l'immédiat que tout au long de sa vie, puisqu'elles peuvent entraîner la mort et des complications lors de l'accouchement</w:t>
      </w:r>
      <w:r w:rsidR="00EC7DC5" w:rsidRPr="00107593">
        <w:rPr>
          <w:rFonts w:ascii="Times New Roman" w:eastAsia="Times New Roman" w:hAnsi="Times New Roman" w:cs="Times New Roman"/>
          <w:sz w:val="24"/>
          <w:szCs w:val="24"/>
          <w:lang w:val="fr-FR"/>
        </w:rPr>
        <w:t>.</w:t>
      </w:r>
    </w:p>
    <w:p w14:paraId="4E7969B5" w14:textId="77777777" w:rsidR="0064665A" w:rsidRPr="00107593" w:rsidRDefault="0064665A" w:rsidP="00107593">
      <w:pPr>
        <w:jc w:val="both"/>
        <w:rPr>
          <w:rFonts w:ascii="Times New Roman" w:eastAsia="Times New Roman" w:hAnsi="Times New Roman" w:cs="Times New Roman"/>
          <w:sz w:val="24"/>
          <w:szCs w:val="24"/>
          <w:lang w:val="fr-FR"/>
        </w:rPr>
      </w:pPr>
    </w:p>
    <w:p w14:paraId="4E7969B6" w14:textId="2D964436" w:rsidR="0064665A" w:rsidRPr="00107593" w:rsidRDefault="00916DBA"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L'inaction du gouvernement face aux MGF et son incapacité de traiter ces violations des droits humains avec fermeté ont fait du Mali l'un des pays où la prévalence des MGF est la plus élevée parmi les pays d'Afrique de l'Ouest. Il n'y a pas eu de réduction significative de la tendance ou du taux de prévalence des MGF (les pourcentages et l'âge auxquels les filles sont excisées) au fil des ans.</w:t>
      </w:r>
      <w:r w:rsidR="00EC7DC5" w:rsidRPr="00107593">
        <w:rPr>
          <w:rFonts w:ascii="Times New Roman" w:eastAsia="Times New Roman" w:hAnsi="Times New Roman" w:cs="Times New Roman"/>
          <w:sz w:val="24"/>
          <w:szCs w:val="24"/>
          <w:lang w:val="fr-FR"/>
        </w:rPr>
        <w:t xml:space="preserve"> </w:t>
      </w:r>
    </w:p>
    <w:p w14:paraId="4E7969B7" w14:textId="77777777" w:rsidR="0064665A" w:rsidRPr="00107593" w:rsidRDefault="0064665A" w:rsidP="00107593">
      <w:pPr>
        <w:jc w:val="both"/>
        <w:rPr>
          <w:rFonts w:ascii="Times New Roman" w:eastAsia="Times New Roman" w:hAnsi="Times New Roman" w:cs="Times New Roman"/>
          <w:sz w:val="24"/>
          <w:szCs w:val="24"/>
          <w:lang w:val="fr-FR"/>
        </w:rPr>
      </w:pPr>
    </w:p>
    <w:p w14:paraId="7F3D85CA" w14:textId="77777777" w:rsidR="00916DBA" w:rsidRPr="00107593" w:rsidRDefault="00916DBA" w:rsidP="00107593">
      <w:pPr>
        <w:pStyle w:val="NormalWeb"/>
        <w:spacing w:before="0" w:beforeAutospacing="0" w:after="0" w:afterAutospacing="0" w:line="276" w:lineRule="auto"/>
        <w:rPr>
          <w:lang w:val="fr-FR"/>
        </w:rPr>
      </w:pPr>
      <w:r w:rsidRPr="00107593">
        <w:rPr>
          <w:u w:val="single"/>
          <w:lang w:val="fr-FR"/>
        </w:rPr>
        <w:t>Absence d'interdiction juridique spécifique des mutilations génitales féminines</w:t>
      </w:r>
    </w:p>
    <w:p w14:paraId="4E7969B9" w14:textId="77777777" w:rsidR="0064665A" w:rsidRPr="00107593" w:rsidRDefault="0064665A" w:rsidP="00107593">
      <w:pPr>
        <w:jc w:val="both"/>
        <w:rPr>
          <w:rFonts w:ascii="Times New Roman" w:eastAsia="Times New Roman" w:hAnsi="Times New Roman" w:cs="Times New Roman"/>
          <w:sz w:val="24"/>
          <w:szCs w:val="24"/>
          <w:lang w:val="fr-FR"/>
        </w:rPr>
      </w:pPr>
    </w:p>
    <w:p w14:paraId="4E7969BA" w14:textId="4EAFDF6D" w:rsidR="0064665A" w:rsidRPr="00107593" w:rsidRDefault="00916DBA"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Aucune mention des MGF n'est faite dans la Constitution du Mali</w:t>
      </w:r>
      <w:r w:rsidR="00EC7DC5" w:rsidRPr="00107593">
        <w:rPr>
          <w:rFonts w:ascii="Times New Roman" w:eastAsia="Times New Roman" w:hAnsi="Times New Roman" w:cs="Times New Roman"/>
          <w:sz w:val="24"/>
          <w:szCs w:val="24"/>
          <w:vertAlign w:val="superscript"/>
          <w:lang w:val="fr-FR"/>
        </w:rPr>
        <w:footnoteReference w:id="8"/>
      </w:r>
      <w:r w:rsidR="00EC7DC5" w:rsidRPr="00107593">
        <w:rPr>
          <w:rFonts w:ascii="Times New Roman" w:eastAsia="Times New Roman" w:hAnsi="Times New Roman" w:cs="Times New Roman"/>
          <w:sz w:val="24"/>
          <w:szCs w:val="24"/>
          <w:lang w:val="fr-FR"/>
        </w:rPr>
        <w:t xml:space="preserve"> </w:t>
      </w:r>
      <w:r w:rsidR="009E10F9" w:rsidRPr="00107593">
        <w:rPr>
          <w:rFonts w:ascii="Times New Roman" w:hAnsi="Times New Roman" w:cs="Times New Roman"/>
          <w:sz w:val="24"/>
          <w:szCs w:val="24"/>
          <w:lang w:val="fr-FR"/>
        </w:rPr>
        <w:t>ni dans le Code pénal du Mali</w:t>
      </w:r>
      <w:r w:rsidR="00EC7DC5" w:rsidRPr="00107593">
        <w:rPr>
          <w:rFonts w:ascii="Times New Roman" w:eastAsia="Times New Roman" w:hAnsi="Times New Roman" w:cs="Times New Roman"/>
          <w:sz w:val="24"/>
          <w:szCs w:val="24"/>
          <w:lang w:val="fr-FR"/>
        </w:rPr>
        <w:t xml:space="preserve">. </w:t>
      </w:r>
      <w:r w:rsidR="009E10F9" w:rsidRPr="00107593">
        <w:rPr>
          <w:rFonts w:ascii="Times New Roman" w:hAnsi="Times New Roman" w:cs="Times New Roman"/>
          <w:sz w:val="24"/>
          <w:szCs w:val="24"/>
          <w:lang w:val="fr-FR"/>
        </w:rPr>
        <w:t xml:space="preserve">D'autres textes, tels que l'article 5 du Code des personnes et de la famille de 2011, interdisent "l'atteinte à l'intégrité physique d'une personne, même dans le cadre d'une pratique religieuse ou traditionnelle, lorsqu'elle est préjudiciable à la santé de la personne". Cependant, le Code ne fait aucune mention des MGF et les tribunaux maliens adhèrent au principe de l'application stricte de la loi pénale, qui </w:t>
      </w:r>
      <w:r w:rsidR="00C2496E" w:rsidRPr="00107593">
        <w:rPr>
          <w:rFonts w:ascii="Times New Roman" w:hAnsi="Times New Roman" w:cs="Times New Roman"/>
          <w:sz w:val="24"/>
          <w:szCs w:val="24"/>
          <w:lang w:val="fr-FR"/>
        </w:rPr>
        <w:t xml:space="preserve">exclut la répression </w:t>
      </w:r>
      <w:r w:rsidR="009E10F9" w:rsidRPr="00107593">
        <w:rPr>
          <w:rFonts w:ascii="Times New Roman" w:hAnsi="Times New Roman" w:cs="Times New Roman"/>
          <w:sz w:val="24"/>
          <w:szCs w:val="24"/>
          <w:lang w:val="fr-FR"/>
        </w:rPr>
        <w:t>des actes qui ne sont pas expressément incriminés par la loi</w:t>
      </w:r>
      <w:r w:rsidR="00EC7DC5" w:rsidRPr="00107593">
        <w:rPr>
          <w:rFonts w:ascii="Times New Roman" w:eastAsia="Times New Roman" w:hAnsi="Times New Roman" w:cs="Times New Roman"/>
          <w:sz w:val="24"/>
          <w:szCs w:val="24"/>
          <w:lang w:val="fr-FR"/>
        </w:rPr>
        <w:t xml:space="preserve">. </w:t>
      </w:r>
      <w:r w:rsidR="00EC7DC5" w:rsidRPr="00107593">
        <w:rPr>
          <w:rFonts w:ascii="Times New Roman" w:eastAsia="Times New Roman" w:hAnsi="Times New Roman" w:cs="Times New Roman"/>
          <w:sz w:val="24"/>
          <w:szCs w:val="24"/>
          <w:vertAlign w:val="superscript"/>
          <w:lang w:val="fr-FR"/>
        </w:rPr>
        <w:footnoteReference w:id="9"/>
      </w:r>
      <w:r w:rsidR="00EC7DC5" w:rsidRPr="00107593">
        <w:rPr>
          <w:rFonts w:ascii="Times New Roman" w:eastAsia="Times New Roman" w:hAnsi="Times New Roman" w:cs="Times New Roman"/>
          <w:sz w:val="24"/>
          <w:szCs w:val="24"/>
          <w:lang w:val="fr-FR"/>
        </w:rPr>
        <w:t xml:space="preserve"> </w:t>
      </w:r>
      <w:r w:rsidR="009E10F9" w:rsidRPr="00107593">
        <w:rPr>
          <w:rFonts w:ascii="Times New Roman" w:hAnsi="Times New Roman" w:cs="Times New Roman"/>
          <w:sz w:val="24"/>
          <w:szCs w:val="24"/>
          <w:lang w:val="fr-FR"/>
        </w:rPr>
        <w:t xml:space="preserve">À ce jour, </w:t>
      </w:r>
      <w:r w:rsidR="00C2496E" w:rsidRPr="00107593">
        <w:rPr>
          <w:rFonts w:ascii="Times New Roman" w:hAnsi="Times New Roman" w:cs="Times New Roman"/>
          <w:sz w:val="24"/>
          <w:szCs w:val="24"/>
          <w:lang w:val="fr-FR"/>
        </w:rPr>
        <w:t>aucune</w:t>
      </w:r>
      <w:r w:rsidR="009E10F9" w:rsidRPr="00107593">
        <w:rPr>
          <w:rFonts w:ascii="Times New Roman" w:hAnsi="Times New Roman" w:cs="Times New Roman"/>
          <w:sz w:val="24"/>
          <w:szCs w:val="24"/>
          <w:lang w:val="fr-FR"/>
        </w:rPr>
        <w:t xml:space="preserve"> poursuite pour MGF</w:t>
      </w:r>
      <w:r w:rsidR="00E916B4" w:rsidRPr="00107593">
        <w:rPr>
          <w:rFonts w:ascii="Times New Roman" w:hAnsi="Times New Roman" w:cs="Times New Roman"/>
          <w:sz w:val="24"/>
          <w:szCs w:val="24"/>
          <w:lang w:val="fr-FR"/>
        </w:rPr>
        <w:t xml:space="preserve"> n’a été enregistrée</w:t>
      </w:r>
      <w:r w:rsidR="009E10F9" w:rsidRPr="00107593">
        <w:rPr>
          <w:rFonts w:ascii="Times New Roman" w:hAnsi="Times New Roman" w:cs="Times New Roman"/>
          <w:sz w:val="24"/>
          <w:szCs w:val="24"/>
          <w:lang w:val="fr-FR"/>
        </w:rPr>
        <w:t xml:space="preserve"> en vertu des lois pénales générales du Mali</w:t>
      </w:r>
      <w:r w:rsidR="00EC7DC5" w:rsidRPr="00107593">
        <w:rPr>
          <w:rFonts w:ascii="Times New Roman" w:eastAsia="Times New Roman" w:hAnsi="Times New Roman" w:cs="Times New Roman"/>
          <w:sz w:val="24"/>
          <w:szCs w:val="24"/>
          <w:lang w:val="fr-FR"/>
        </w:rPr>
        <w:t xml:space="preserve">. </w:t>
      </w:r>
    </w:p>
    <w:p w14:paraId="4E7969BB" w14:textId="77777777" w:rsidR="0064665A" w:rsidRPr="00107593" w:rsidRDefault="0064665A" w:rsidP="00107593">
      <w:pPr>
        <w:ind w:left="720"/>
        <w:jc w:val="both"/>
        <w:rPr>
          <w:rFonts w:ascii="Times New Roman" w:eastAsia="Times New Roman" w:hAnsi="Times New Roman" w:cs="Times New Roman"/>
          <w:sz w:val="24"/>
          <w:szCs w:val="24"/>
          <w:lang w:val="fr-FR"/>
        </w:rPr>
      </w:pPr>
    </w:p>
    <w:p w14:paraId="4E7969BC" w14:textId="3C08E9F3" w:rsidR="0064665A" w:rsidRPr="00107593" w:rsidRDefault="009F5B93"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En 2024, le Comité a sollicité des informations concernant les mesures prises par le gouvernement du Mali</w:t>
      </w:r>
      <w:r w:rsidR="00EC7DC5" w:rsidRPr="00107593">
        <w:rPr>
          <w:rFonts w:ascii="Times New Roman" w:eastAsia="Times New Roman" w:hAnsi="Times New Roman" w:cs="Times New Roman"/>
          <w:sz w:val="24"/>
          <w:szCs w:val="24"/>
          <w:vertAlign w:val="superscript"/>
          <w:lang w:val="fr-FR"/>
        </w:rPr>
        <w:footnoteReference w:id="10"/>
      </w:r>
      <w:r w:rsidR="00EC7DC5" w:rsidRPr="00107593">
        <w:rPr>
          <w:rFonts w:ascii="Times New Roman" w:eastAsia="Times New Roman" w:hAnsi="Times New Roman" w:cs="Times New Roman"/>
          <w:sz w:val="24"/>
          <w:szCs w:val="24"/>
          <w:lang w:val="fr-FR"/>
        </w:rPr>
        <w:t xml:space="preserve"> </w:t>
      </w:r>
      <w:r w:rsidRPr="00107593">
        <w:rPr>
          <w:rFonts w:ascii="Times New Roman" w:hAnsi="Times New Roman" w:cs="Times New Roman"/>
          <w:sz w:val="24"/>
          <w:szCs w:val="24"/>
          <w:lang w:val="fr-FR"/>
        </w:rPr>
        <w:t xml:space="preserve">en vue de mettre fin aux mutilations génitales féminines et les actions menées au niveau communautaire pour prévenir de telles pratiques. La réponse du </w:t>
      </w:r>
      <w:r w:rsidRPr="00107593">
        <w:rPr>
          <w:rFonts w:ascii="Times New Roman" w:hAnsi="Times New Roman" w:cs="Times New Roman"/>
          <w:sz w:val="24"/>
          <w:szCs w:val="24"/>
          <w:lang w:val="fr-FR"/>
        </w:rPr>
        <w:lastRenderedPageBreak/>
        <w:t>gouvernement au Comité a fait état de l'avant-projet de loi sur la prévention, la prise en charge et la répression des violences basées sur le genre et d'un avant-projet de loi sur la protection de l'enfant</w:t>
      </w:r>
      <w:r w:rsidR="00EC7DC5" w:rsidRPr="00107593">
        <w:rPr>
          <w:rFonts w:ascii="Times New Roman" w:eastAsia="Times New Roman" w:hAnsi="Times New Roman" w:cs="Times New Roman"/>
          <w:sz w:val="24"/>
          <w:szCs w:val="24"/>
          <w:lang w:val="fr-FR"/>
        </w:rPr>
        <w:t xml:space="preserve">. </w:t>
      </w:r>
      <w:r w:rsidRPr="00107593">
        <w:rPr>
          <w:rFonts w:ascii="Times New Roman" w:hAnsi="Times New Roman" w:cs="Times New Roman"/>
          <w:sz w:val="24"/>
          <w:szCs w:val="24"/>
          <w:lang w:val="fr-FR"/>
        </w:rPr>
        <w:t>Le gouvernement a également précisé au Comité qu'il existait une stratégie nationale multisectorielle et que divers comités avaient été mis en place au niveau communautaire pour assurer le suivi des mesures de protection de l'enfance</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1"/>
      </w:r>
    </w:p>
    <w:p w14:paraId="4E7969BD" w14:textId="77777777" w:rsidR="0064665A" w:rsidRPr="00107593" w:rsidRDefault="0064665A" w:rsidP="00107593">
      <w:pPr>
        <w:jc w:val="both"/>
        <w:rPr>
          <w:rFonts w:ascii="Times New Roman" w:eastAsia="Times New Roman" w:hAnsi="Times New Roman" w:cs="Times New Roman"/>
          <w:sz w:val="24"/>
          <w:szCs w:val="24"/>
          <w:lang w:val="fr-FR"/>
        </w:rPr>
      </w:pPr>
    </w:p>
    <w:p w14:paraId="4E7969BE" w14:textId="08186F06" w:rsidR="0064665A" w:rsidRPr="00107593" w:rsidRDefault="00C961F8"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Toutefois, toutes les tentatives précédentes d'adoption d'une législation sur l'élimination des MGF au Mali ont été bloquées. Par exemple, entre 2002 et 2017, l'opposition des groupes religieux et conservateurs a empêché l'adoption du projet de loi sur l'élimination des MGF. En 2017, un projet de loi sur la prévention, la répression et la prise en charge des victimes de violences basées sur le genre, et dont les dispositions crimina</w:t>
      </w:r>
      <w:r w:rsidR="00A67D20" w:rsidRPr="00107593">
        <w:rPr>
          <w:rFonts w:ascii="Times New Roman" w:hAnsi="Times New Roman" w:cs="Times New Roman"/>
          <w:sz w:val="24"/>
          <w:szCs w:val="24"/>
          <w:lang w:val="fr-FR"/>
        </w:rPr>
        <w:t>lisent les MGF, a été préparé (</w:t>
      </w:r>
      <w:r w:rsidRPr="00107593">
        <w:rPr>
          <w:rFonts w:ascii="Times New Roman" w:hAnsi="Times New Roman" w:cs="Times New Roman"/>
          <w:sz w:val="24"/>
          <w:szCs w:val="24"/>
          <w:lang w:val="fr-FR"/>
        </w:rPr>
        <w:t>tel que souligné par le gouvernement dans sa réponse</w:t>
      </w:r>
      <w:r w:rsidR="00107593" w:rsidRPr="00107593">
        <w:rPr>
          <w:rFonts w:ascii="Times New Roman" w:hAnsi="Times New Roman" w:cs="Times New Roman"/>
          <w:sz w:val="24"/>
          <w:szCs w:val="24"/>
          <w:lang w:val="fr-FR"/>
        </w:rPr>
        <w:t>). Ce texte codifiait également différents crimes de violence sexuelle et prévoyait en outre de « punir la participation ou la complicité dans l'excision/mutilation génitale féminine</w:t>
      </w:r>
      <w:r w:rsidR="00107593" w:rsidRPr="00107593">
        <w:rPr>
          <w:rFonts w:ascii="Times New Roman" w:eastAsia="Times New Roman" w:hAnsi="Times New Roman" w:cs="Times New Roman"/>
          <w:sz w:val="24"/>
          <w:szCs w:val="24"/>
          <w:lang w:val="fr-FR"/>
        </w:rPr>
        <w:t>. »</w:t>
      </w:r>
      <w:r w:rsidR="00107593" w:rsidRPr="00107593">
        <w:rPr>
          <w:rFonts w:ascii="Times New Roman" w:eastAsia="Times New Roman" w:hAnsi="Times New Roman" w:cs="Times New Roman"/>
          <w:sz w:val="24"/>
          <w:szCs w:val="24"/>
          <w:vertAlign w:val="superscript"/>
          <w:lang w:val="fr-FR"/>
        </w:rPr>
        <w:footnoteReference w:id="12"/>
      </w:r>
      <w:r w:rsidR="00107593" w:rsidRPr="00107593">
        <w:rPr>
          <w:rFonts w:ascii="Times New Roman" w:eastAsia="Times New Roman" w:hAnsi="Times New Roman" w:cs="Times New Roman"/>
          <w:sz w:val="24"/>
          <w:szCs w:val="24"/>
          <w:lang w:val="fr-FR"/>
        </w:rPr>
        <w:t xml:space="preserve"> </w:t>
      </w:r>
      <w:r w:rsidR="00107593" w:rsidRPr="00107593">
        <w:rPr>
          <w:rFonts w:ascii="Times New Roman" w:hAnsi="Times New Roman" w:cs="Times New Roman"/>
          <w:sz w:val="24"/>
          <w:szCs w:val="24"/>
          <w:lang w:val="fr-FR"/>
        </w:rPr>
        <w:t>Cependant, certaines données indiquent que ce projet de loi a été abandonné en raison des pressions exercées par les chefs religieux</w:t>
      </w:r>
      <w:hyperlink w:anchor="_ftn2" w:history="1">
        <w:r w:rsidR="00107593" w:rsidRPr="00107593">
          <w:rPr>
            <w:rStyle w:val="Hyperlink"/>
            <w:rFonts w:ascii="Times New Roman" w:hAnsi="Times New Roman" w:cs="Times New Roman"/>
            <w:sz w:val="24"/>
            <w:szCs w:val="24"/>
            <w:vertAlign w:val="superscript"/>
            <w:lang w:val="fr-FR"/>
          </w:rPr>
          <w:t>[</w:t>
        </w:r>
      </w:hyperlink>
      <w:r w:rsidR="00107593" w:rsidRPr="00107593">
        <w:rPr>
          <w:rFonts w:ascii="Times New Roman" w:eastAsia="Times New Roman" w:hAnsi="Times New Roman" w:cs="Times New Roman"/>
          <w:sz w:val="24"/>
          <w:szCs w:val="24"/>
          <w:lang w:val="fr-FR"/>
        </w:rPr>
        <w:t>.</w:t>
      </w:r>
      <w:r w:rsidR="00107593" w:rsidRPr="00107593">
        <w:rPr>
          <w:rFonts w:ascii="Times New Roman" w:eastAsia="Times New Roman" w:hAnsi="Times New Roman" w:cs="Times New Roman"/>
          <w:sz w:val="24"/>
          <w:szCs w:val="24"/>
          <w:vertAlign w:val="superscript"/>
          <w:lang w:val="fr-FR"/>
        </w:rPr>
        <w:footnoteReference w:id="13"/>
      </w:r>
      <w:r w:rsidR="00107593" w:rsidRPr="00107593">
        <w:rPr>
          <w:rFonts w:ascii="Times New Roman" w:eastAsia="Times New Roman" w:hAnsi="Times New Roman" w:cs="Times New Roman"/>
          <w:sz w:val="24"/>
          <w:szCs w:val="24"/>
          <w:lang w:val="fr-FR"/>
        </w:rPr>
        <w:t xml:space="preserve"> </w:t>
      </w:r>
      <w:r w:rsidR="00107593" w:rsidRPr="00107593">
        <w:rPr>
          <w:rFonts w:ascii="Times New Roman" w:hAnsi="Times New Roman" w:cs="Times New Roman"/>
          <w:sz w:val="24"/>
          <w:szCs w:val="24"/>
          <w:lang w:val="fr-FR"/>
        </w:rPr>
        <w:t>D’ailleurs, le gouvernement du Mali n'a pas fourni d'informations sur les mesures prises depuis 2017 pour adopter ce projet de loi ou tout autre texte législatif, ni sur un calendrier de mise en œuvre</w:t>
      </w:r>
      <w:r w:rsidR="00A67D20" w:rsidRPr="00107593">
        <w:rPr>
          <w:rFonts w:ascii="Times New Roman" w:hAnsi="Times New Roman" w:cs="Times New Roman"/>
          <w:sz w:val="24"/>
          <w:szCs w:val="24"/>
          <w:lang w:val="fr-FR"/>
        </w:rPr>
        <w:t>.</w:t>
      </w:r>
      <w:r w:rsidR="00EC7DC5" w:rsidRPr="00107593">
        <w:rPr>
          <w:rFonts w:ascii="Times New Roman" w:eastAsia="Times New Roman" w:hAnsi="Times New Roman" w:cs="Times New Roman"/>
          <w:sz w:val="24"/>
          <w:szCs w:val="24"/>
          <w:lang w:val="fr-FR"/>
        </w:rPr>
        <w:t xml:space="preserve"> </w:t>
      </w:r>
    </w:p>
    <w:p w14:paraId="4E7969BF" w14:textId="77777777" w:rsidR="0064665A" w:rsidRPr="00107593" w:rsidRDefault="0064665A" w:rsidP="00107593">
      <w:pPr>
        <w:ind w:left="720"/>
        <w:jc w:val="both"/>
        <w:rPr>
          <w:rFonts w:ascii="Times New Roman" w:eastAsia="Times New Roman" w:hAnsi="Times New Roman" w:cs="Times New Roman"/>
          <w:sz w:val="24"/>
          <w:szCs w:val="24"/>
          <w:lang w:val="fr-FR"/>
        </w:rPr>
      </w:pPr>
    </w:p>
    <w:p w14:paraId="4E7969C0" w14:textId="2E8AD016" w:rsidR="0064665A" w:rsidRPr="00107593" w:rsidRDefault="00E916B4"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D</w:t>
      </w:r>
      <w:r w:rsidR="003D1DF0" w:rsidRPr="00107593">
        <w:rPr>
          <w:rFonts w:ascii="Times New Roman" w:hAnsi="Times New Roman" w:cs="Times New Roman"/>
          <w:sz w:val="24"/>
          <w:szCs w:val="24"/>
          <w:lang w:val="fr-FR"/>
        </w:rPr>
        <w:t>ans son rapport d'enquête</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4"/>
      </w:r>
      <w:r w:rsidR="00EC7DC5" w:rsidRPr="00107593">
        <w:rPr>
          <w:rFonts w:ascii="Times New Roman" w:eastAsia="Times New Roman" w:hAnsi="Times New Roman" w:cs="Times New Roman"/>
          <w:sz w:val="24"/>
          <w:szCs w:val="24"/>
          <w:lang w:val="fr-FR"/>
        </w:rPr>
        <w:t xml:space="preserve"> </w:t>
      </w:r>
      <w:r w:rsidRPr="00107593">
        <w:rPr>
          <w:rFonts w:ascii="Times New Roman" w:eastAsia="Times New Roman" w:hAnsi="Times New Roman" w:cs="Times New Roman"/>
          <w:sz w:val="24"/>
          <w:szCs w:val="24"/>
          <w:lang w:val="fr-FR"/>
        </w:rPr>
        <w:t>l</w:t>
      </w:r>
      <w:r w:rsidRPr="00107593">
        <w:rPr>
          <w:rFonts w:ascii="Times New Roman" w:hAnsi="Times New Roman" w:cs="Times New Roman"/>
          <w:sz w:val="24"/>
          <w:szCs w:val="24"/>
          <w:lang w:val="fr-FR"/>
        </w:rPr>
        <w:t xml:space="preserve">e Comité de la CEDEF </w:t>
      </w:r>
      <w:r w:rsidR="003D1DF0" w:rsidRPr="00107593">
        <w:rPr>
          <w:rFonts w:ascii="Times New Roman" w:hAnsi="Times New Roman" w:cs="Times New Roman"/>
          <w:sz w:val="24"/>
          <w:szCs w:val="24"/>
          <w:lang w:val="fr-FR"/>
        </w:rPr>
        <w:t>a formulé 31 recommandations au gouvernement du Mali après avoir constaté des violations de l'article 2 de la Convention CEDEF. Il s'agit notamment de « l'adoption du projet de loi portant prévention et répression des violences basées sur le genre, l'assistance aux victimes et l'instauration d'un dialogue national sur les mutilations génitales féminines »</w:t>
      </w:r>
    </w:p>
    <w:p w14:paraId="4E7969C1" w14:textId="77777777" w:rsidR="0064665A" w:rsidRPr="00107593" w:rsidRDefault="0064665A" w:rsidP="00107593">
      <w:pPr>
        <w:ind w:left="720"/>
        <w:jc w:val="both"/>
        <w:rPr>
          <w:rFonts w:ascii="Times New Roman" w:eastAsia="Times New Roman" w:hAnsi="Times New Roman" w:cs="Times New Roman"/>
          <w:sz w:val="24"/>
          <w:szCs w:val="24"/>
          <w:lang w:val="fr-FR"/>
        </w:rPr>
      </w:pPr>
    </w:p>
    <w:p w14:paraId="4E7969C2" w14:textId="3341451F" w:rsidR="0064665A" w:rsidRPr="00107593" w:rsidRDefault="0083780A" w:rsidP="00107593">
      <w:pPr>
        <w:numPr>
          <w:ilvl w:val="0"/>
          <w:numId w:val="1"/>
        </w:numPr>
        <w:jc w:val="both"/>
        <w:rPr>
          <w:rFonts w:ascii="Times New Roman" w:eastAsia="Times New Roman" w:hAnsi="Times New Roman" w:cs="Times New Roman"/>
          <w:sz w:val="24"/>
          <w:szCs w:val="24"/>
          <w:lang w:val="fr-FR"/>
        </w:rPr>
      </w:pPr>
      <w:r w:rsidRPr="00107593">
        <w:rPr>
          <w:rFonts w:ascii="Times New Roman" w:hAnsi="Times New Roman" w:cs="Times New Roman"/>
          <w:sz w:val="24"/>
          <w:szCs w:val="24"/>
          <w:lang w:val="fr-FR"/>
        </w:rPr>
        <w:t>Malgré ces recommandations, l'État n'a pas adopté de loi spécifique interdisant les MGF. L'absence de criminalisation des MGF par l'adoption d'une loi spécifique interdisant les MGF a pour conséquence de laisser perdurer cette pratique inhumaine et néfaste en toute impunité, affectant la vie des femmes et des filles maliennes</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5"/>
      </w:r>
      <w:r w:rsidR="00EC7DC5" w:rsidRPr="00107593">
        <w:rPr>
          <w:rFonts w:ascii="Times New Roman" w:eastAsia="Times New Roman" w:hAnsi="Times New Roman" w:cs="Times New Roman"/>
          <w:sz w:val="24"/>
          <w:szCs w:val="24"/>
          <w:lang w:val="fr-FR"/>
        </w:rPr>
        <w:t xml:space="preserve"> </w:t>
      </w:r>
      <w:r w:rsidR="00937951" w:rsidRPr="00107593">
        <w:rPr>
          <w:rFonts w:ascii="Times New Roman" w:hAnsi="Times New Roman" w:cs="Times New Roman"/>
          <w:sz w:val="24"/>
          <w:szCs w:val="24"/>
          <w:lang w:val="fr-FR"/>
        </w:rPr>
        <w:t xml:space="preserve">L'absence de législation nationale « offre également aux familles et aux exciseuses venant des pays voisins la </w:t>
      </w:r>
      <w:r w:rsidR="00937951" w:rsidRPr="00107593">
        <w:rPr>
          <w:rFonts w:ascii="Times New Roman" w:hAnsi="Times New Roman" w:cs="Times New Roman"/>
          <w:sz w:val="24"/>
          <w:szCs w:val="24"/>
          <w:lang w:val="fr-FR"/>
        </w:rPr>
        <w:lastRenderedPageBreak/>
        <w:t xml:space="preserve">possibilité de traverser les frontières pour éviter des poursuites judiciaires </w:t>
      </w:r>
      <w:r w:rsidR="005A685C" w:rsidRPr="00107593">
        <w:rPr>
          <w:rFonts w:ascii="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6"/>
      </w:r>
      <w:r w:rsidR="00EC7DC5" w:rsidRPr="00107593">
        <w:rPr>
          <w:rFonts w:ascii="Times New Roman" w:eastAsia="Times New Roman" w:hAnsi="Times New Roman" w:cs="Times New Roman"/>
          <w:sz w:val="24"/>
          <w:szCs w:val="24"/>
          <w:lang w:val="fr-FR"/>
        </w:rPr>
        <w:t xml:space="preserve"> </w:t>
      </w:r>
      <w:r w:rsidR="005A685C" w:rsidRPr="00107593">
        <w:rPr>
          <w:rFonts w:ascii="Times New Roman" w:hAnsi="Times New Roman" w:cs="Times New Roman"/>
          <w:sz w:val="24"/>
          <w:szCs w:val="24"/>
          <w:lang w:val="fr-FR"/>
        </w:rPr>
        <w:t>Il a également été prouvé que des filles provenant des pays voisins, et plus particulièrement du Burkina Faso, sont acheminées au Mali pour y être excisées</w:t>
      </w:r>
      <w:r w:rsidR="00EC7DC5" w:rsidRPr="00107593">
        <w:rPr>
          <w:rFonts w:ascii="Times New Roman" w:eastAsia="Times New Roman" w:hAnsi="Times New Roman" w:cs="Times New Roman"/>
          <w:sz w:val="24"/>
          <w:szCs w:val="24"/>
          <w:lang w:val="fr-FR"/>
        </w:rPr>
        <w:t>.</w:t>
      </w:r>
      <w:r w:rsidR="00EC7DC5" w:rsidRPr="00107593">
        <w:rPr>
          <w:rFonts w:ascii="Times New Roman" w:eastAsia="Times New Roman" w:hAnsi="Times New Roman" w:cs="Times New Roman"/>
          <w:sz w:val="24"/>
          <w:szCs w:val="24"/>
          <w:vertAlign w:val="superscript"/>
          <w:lang w:val="fr-FR"/>
        </w:rPr>
        <w:footnoteReference w:id="17"/>
      </w:r>
    </w:p>
    <w:p w14:paraId="4E7969C3" w14:textId="77777777" w:rsidR="0064665A" w:rsidRPr="00107593" w:rsidRDefault="0064665A" w:rsidP="00107593">
      <w:pPr>
        <w:jc w:val="both"/>
        <w:rPr>
          <w:rFonts w:ascii="Times New Roman" w:eastAsia="Times New Roman" w:hAnsi="Times New Roman" w:cs="Times New Roman"/>
          <w:sz w:val="24"/>
          <w:szCs w:val="24"/>
          <w:lang w:val="fr-FR"/>
        </w:rPr>
      </w:pPr>
    </w:p>
    <w:p w14:paraId="4E7969C4" w14:textId="3281232A" w:rsidR="0064665A" w:rsidRPr="00F815C7" w:rsidRDefault="005A685C" w:rsidP="00F815C7">
      <w:pPr>
        <w:pStyle w:val="NormalWeb"/>
        <w:spacing w:before="0" w:beforeAutospacing="0" w:after="0" w:afterAutospacing="0" w:line="276" w:lineRule="auto"/>
        <w:rPr>
          <w:lang w:val="fr-FR"/>
        </w:rPr>
      </w:pPr>
      <w:r w:rsidRPr="00107593">
        <w:rPr>
          <w:u w:val="single"/>
          <w:lang w:val="fr-FR"/>
        </w:rPr>
        <w:t>Inadéquation des interventions au niveau national visant à mettre fin aux mutilations génitales féminines</w:t>
      </w:r>
    </w:p>
    <w:p w14:paraId="4E7969C5" w14:textId="77777777" w:rsidR="0064665A" w:rsidRPr="00107593" w:rsidRDefault="0064665A" w:rsidP="00107593">
      <w:pPr>
        <w:jc w:val="both"/>
        <w:rPr>
          <w:rFonts w:ascii="Times New Roman" w:eastAsia="Times New Roman" w:hAnsi="Times New Roman" w:cs="Times New Roman"/>
          <w:sz w:val="24"/>
          <w:szCs w:val="24"/>
          <w:lang w:val="fr-FR"/>
        </w:rPr>
      </w:pPr>
    </w:p>
    <w:p w14:paraId="4E7969C6" w14:textId="28C93C15" w:rsidR="0064665A" w:rsidRPr="00107593" w:rsidRDefault="00E646CB"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Un Comité national d'action pour l'abandon des pratiques néfastes, créé en 1999, et un Programme national de lutte contre l'excision (PNLE) mis en place</w:t>
      </w:r>
      <w:r w:rsidR="00937951" w:rsidRPr="00107593">
        <w:rPr>
          <w:rFonts w:ascii="Times New Roman" w:eastAsia="Times New Roman" w:hAnsi="Times New Roman" w:cs="Times New Roman"/>
          <w:sz w:val="24"/>
          <w:szCs w:val="24"/>
          <w:lang w:val="fr-FR"/>
        </w:rPr>
        <w:t xml:space="preserve"> en</w:t>
      </w:r>
      <w:r w:rsidRPr="00107593">
        <w:rPr>
          <w:rFonts w:ascii="Times New Roman" w:eastAsia="Times New Roman" w:hAnsi="Times New Roman" w:cs="Times New Roman"/>
          <w:sz w:val="24"/>
          <w:szCs w:val="24"/>
          <w:lang w:val="fr-FR"/>
        </w:rPr>
        <w:t xml:space="preserve"> 2002 existent au ministère de la Promotion de la femme, de l'enfant et de la famille.</w:t>
      </w:r>
      <w:r w:rsidR="00EC7DC5" w:rsidRPr="00107593">
        <w:rPr>
          <w:rFonts w:ascii="Times New Roman" w:eastAsia="Times New Roman" w:hAnsi="Times New Roman" w:cs="Times New Roman"/>
          <w:sz w:val="24"/>
          <w:szCs w:val="24"/>
          <w:lang w:val="fr-FR"/>
        </w:rPr>
        <w:t xml:space="preserve"> </w:t>
      </w:r>
      <w:r w:rsidR="00F152F7" w:rsidRPr="00107593">
        <w:rPr>
          <w:rFonts w:ascii="Times New Roman" w:eastAsia="Times New Roman" w:hAnsi="Times New Roman" w:cs="Times New Roman"/>
          <w:sz w:val="24"/>
          <w:szCs w:val="24"/>
          <w:lang w:val="fr-FR"/>
        </w:rPr>
        <w:t>Le gouvernement a également adopté une Stratégie Nationale Holistique pour Mettre Fin aux Violences Basées sur le Genre au Mali (2019 - 2030), y compris les MGF. Les stratégies proposées pour mettre fin aux MGF sont notamment la sensibilisation, le plaidoyer, le renforcement des capacités des parties prenantes, la prise en charge des cas et la coordination des interventions au sein de la communauté</w:t>
      </w:r>
      <w:r w:rsidR="00EC7DC5" w:rsidRPr="00107593">
        <w:rPr>
          <w:rFonts w:ascii="Times New Roman" w:eastAsia="Times New Roman" w:hAnsi="Times New Roman" w:cs="Times New Roman"/>
          <w:sz w:val="24"/>
          <w:szCs w:val="24"/>
          <w:lang w:val="fr-FR"/>
        </w:rPr>
        <w:t>.</w:t>
      </w:r>
    </w:p>
    <w:p w14:paraId="4E7969C7" w14:textId="77777777" w:rsidR="0064665A" w:rsidRPr="00107593" w:rsidRDefault="0064665A" w:rsidP="00107593">
      <w:pPr>
        <w:jc w:val="both"/>
        <w:rPr>
          <w:rFonts w:ascii="Times New Roman" w:eastAsia="Times New Roman" w:hAnsi="Times New Roman" w:cs="Times New Roman"/>
          <w:sz w:val="24"/>
          <w:szCs w:val="24"/>
          <w:lang w:val="fr-FR"/>
        </w:rPr>
      </w:pPr>
    </w:p>
    <w:p w14:paraId="4E7969C8" w14:textId="0338937C" w:rsidR="0064665A" w:rsidRPr="00107593" w:rsidRDefault="0072021D"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Malheureusement, les politiques et programmes nationaux adoptés à ce jour ne fournissent pas de soutien aux victimes des MGF et ne s'attaquent pas de manière adéquate aux principaux facteurs de cette pratique néfaste pour des raisons de manque de ressources matérielles, financières et humaines ainsi que d'une coordination inadéquate, comme en témoigne la prévalence élevée et persistante des MGF dans le pays</w:t>
      </w:r>
      <w:r w:rsidR="00EC7DC5" w:rsidRPr="00107593">
        <w:rPr>
          <w:rFonts w:ascii="Times New Roman" w:eastAsia="Times New Roman" w:hAnsi="Times New Roman" w:cs="Times New Roman"/>
          <w:sz w:val="24"/>
          <w:szCs w:val="24"/>
          <w:lang w:val="fr-FR"/>
        </w:rPr>
        <w:t xml:space="preserve">. </w:t>
      </w:r>
    </w:p>
    <w:p w14:paraId="4E7969C9" w14:textId="77777777" w:rsidR="0064665A" w:rsidRPr="00107593" w:rsidRDefault="0064665A" w:rsidP="00107593">
      <w:pPr>
        <w:jc w:val="both"/>
        <w:rPr>
          <w:rFonts w:ascii="Times New Roman" w:eastAsia="Times New Roman" w:hAnsi="Times New Roman" w:cs="Times New Roman"/>
          <w:sz w:val="24"/>
          <w:szCs w:val="24"/>
          <w:lang w:val="fr-FR"/>
        </w:rPr>
      </w:pPr>
    </w:p>
    <w:p w14:paraId="4E7969CA" w14:textId="7629EF57" w:rsidR="0064665A" w:rsidRPr="00107593" w:rsidRDefault="0072021D"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En outre, bien que le Mali ait alloué un budget pour la mise en œuvre des politiques, stratégies et plans d'action nationaux visant à mettre fin aux MGF, ces ressources se sont avérées insuffisantes pour garantir la mise en œuvre concrète des interventions au niveau national. En outre, le manque de coordination entre les autorités nationales et locales a exacerbé ce problème</w:t>
      </w:r>
      <w:r w:rsidR="00EC7DC5" w:rsidRPr="00107593">
        <w:rPr>
          <w:rFonts w:ascii="Times New Roman" w:eastAsia="Times New Roman" w:hAnsi="Times New Roman" w:cs="Times New Roman"/>
          <w:sz w:val="24"/>
          <w:szCs w:val="24"/>
          <w:lang w:val="fr-FR"/>
        </w:rPr>
        <w:t xml:space="preserve">. </w:t>
      </w:r>
    </w:p>
    <w:p w14:paraId="4E7969CB" w14:textId="77777777" w:rsidR="0064665A" w:rsidRPr="00107593" w:rsidRDefault="0064665A" w:rsidP="00107593">
      <w:pPr>
        <w:jc w:val="both"/>
        <w:rPr>
          <w:rFonts w:ascii="Times New Roman" w:eastAsia="Times New Roman" w:hAnsi="Times New Roman" w:cs="Times New Roman"/>
          <w:sz w:val="24"/>
          <w:szCs w:val="24"/>
          <w:lang w:val="fr-FR"/>
        </w:rPr>
      </w:pPr>
    </w:p>
    <w:p w14:paraId="4E7969CC" w14:textId="1101C334" w:rsidR="0064665A" w:rsidRPr="00107593" w:rsidRDefault="00CD4B73"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Les actions de sensibilisation menées au niveau national n'ont pas permis d'atteindre les communautés et de sensibiliser ceux qui sont favorables aux mutilations génitales féminines, dont les chefs religieux. Bon nombre de membres de la communauté (environ 75 %) maintiennent des avis positifs concernant les mutilations génitales féminines, si bien que les femmes et les jeunes filles continuent d'être soumises à ces pratiques.</w:t>
      </w:r>
    </w:p>
    <w:p w14:paraId="4E7969CD" w14:textId="77777777" w:rsidR="0064665A" w:rsidRPr="00107593" w:rsidRDefault="0064665A" w:rsidP="00107593">
      <w:pPr>
        <w:jc w:val="both"/>
        <w:rPr>
          <w:rFonts w:ascii="Times New Roman" w:eastAsia="Times New Roman" w:hAnsi="Times New Roman" w:cs="Times New Roman"/>
          <w:sz w:val="24"/>
          <w:szCs w:val="24"/>
          <w:lang w:val="fr-FR"/>
        </w:rPr>
      </w:pPr>
    </w:p>
    <w:p w14:paraId="4E7969CE" w14:textId="1735684B" w:rsidR="0064665A" w:rsidRPr="00107593" w:rsidRDefault="00024657"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 xml:space="preserve">Enfin, s'il ressort des données que le Mali est un pays de destination des MGF, le gouvernement n'a pas déployé d'efforts concertés pour prévenir ou combattre les MGF </w:t>
      </w:r>
      <w:r w:rsidRPr="00107593">
        <w:rPr>
          <w:rFonts w:ascii="Times New Roman" w:eastAsia="Times New Roman" w:hAnsi="Times New Roman" w:cs="Times New Roman"/>
          <w:sz w:val="24"/>
          <w:szCs w:val="24"/>
          <w:lang w:val="fr-FR"/>
        </w:rPr>
        <w:lastRenderedPageBreak/>
        <w:t>transfrontalières sur son territoire, ni pour coordonner son action avec les pays voisins afin de résoudre ce problème</w:t>
      </w:r>
      <w:r w:rsidR="00EC7DC5" w:rsidRPr="00107593">
        <w:rPr>
          <w:rFonts w:ascii="Times New Roman" w:eastAsia="Times New Roman" w:hAnsi="Times New Roman" w:cs="Times New Roman"/>
          <w:sz w:val="24"/>
          <w:szCs w:val="24"/>
          <w:lang w:val="fr-FR"/>
        </w:rPr>
        <w:t xml:space="preserve">. </w:t>
      </w:r>
    </w:p>
    <w:p w14:paraId="4E7969CF" w14:textId="77777777" w:rsidR="0064665A" w:rsidRPr="00107593" w:rsidRDefault="0064665A" w:rsidP="00107593">
      <w:pPr>
        <w:jc w:val="both"/>
        <w:rPr>
          <w:rFonts w:ascii="Times New Roman" w:eastAsia="Times New Roman" w:hAnsi="Times New Roman" w:cs="Times New Roman"/>
          <w:sz w:val="24"/>
          <w:szCs w:val="24"/>
          <w:lang w:val="fr-FR"/>
        </w:rPr>
      </w:pPr>
    </w:p>
    <w:p w14:paraId="4E7969D0" w14:textId="0F37AADC" w:rsidR="0064665A" w:rsidRPr="00107593" w:rsidRDefault="00EC7DC5" w:rsidP="00107593">
      <w:pPr>
        <w:jc w:val="both"/>
        <w:rPr>
          <w:rFonts w:ascii="Times New Roman" w:eastAsia="Times New Roman" w:hAnsi="Times New Roman" w:cs="Times New Roman"/>
          <w:sz w:val="24"/>
          <w:szCs w:val="24"/>
          <w:u w:val="single"/>
          <w:lang w:val="fr-FR"/>
        </w:rPr>
      </w:pPr>
      <w:r w:rsidRPr="00107593">
        <w:rPr>
          <w:rFonts w:ascii="Times New Roman" w:eastAsia="Times New Roman" w:hAnsi="Times New Roman" w:cs="Times New Roman"/>
          <w:sz w:val="24"/>
          <w:szCs w:val="24"/>
          <w:u w:val="single"/>
          <w:lang w:val="fr-FR"/>
        </w:rPr>
        <w:t>Recomm</w:t>
      </w:r>
      <w:r w:rsidR="00024657" w:rsidRPr="00107593">
        <w:rPr>
          <w:rFonts w:ascii="Times New Roman" w:eastAsia="Times New Roman" w:hAnsi="Times New Roman" w:cs="Times New Roman"/>
          <w:sz w:val="24"/>
          <w:szCs w:val="24"/>
          <w:u w:val="single"/>
          <w:lang w:val="fr-FR"/>
        </w:rPr>
        <w:t>a</w:t>
      </w:r>
      <w:r w:rsidRPr="00107593">
        <w:rPr>
          <w:rFonts w:ascii="Times New Roman" w:eastAsia="Times New Roman" w:hAnsi="Times New Roman" w:cs="Times New Roman"/>
          <w:sz w:val="24"/>
          <w:szCs w:val="24"/>
          <w:u w:val="single"/>
          <w:lang w:val="fr-FR"/>
        </w:rPr>
        <w:t>ndations</w:t>
      </w:r>
    </w:p>
    <w:p w14:paraId="4E7969D1" w14:textId="77777777" w:rsidR="0064665A" w:rsidRPr="00107593" w:rsidRDefault="0064665A" w:rsidP="00107593">
      <w:pPr>
        <w:jc w:val="both"/>
        <w:rPr>
          <w:rFonts w:ascii="Times New Roman" w:eastAsia="Times New Roman" w:hAnsi="Times New Roman" w:cs="Times New Roman"/>
          <w:sz w:val="24"/>
          <w:szCs w:val="24"/>
          <w:lang w:val="fr-FR"/>
        </w:rPr>
      </w:pPr>
    </w:p>
    <w:p w14:paraId="4E7969D3" w14:textId="656B1928" w:rsidR="0064665A" w:rsidRPr="00107593" w:rsidRDefault="00937951" w:rsidP="00107593">
      <w:p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Nous exhortons respectueusement le Comité à émettre les recommandations suivantes à l'intention du gouvernement du Mali :</w:t>
      </w:r>
    </w:p>
    <w:p w14:paraId="4E7969D4" w14:textId="4E1D91FE" w:rsidR="0064665A" w:rsidRDefault="002C0918"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P</w:t>
      </w:r>
      <w:r w:rsidR="00024657" w:rsidRPr="00107593">
        <w:rPr>
          <w:rFonts w:ascii="Times New Roman" w:eastAsia="Times New Roman" w:hAnsi="Times New Roman" w:cs="Times New Roman"/>
          <w:sz w:val="24"/>
          <w:szCs w:val="24"/>
          <w:lang w:val="fr-FR"/>
        </w:rPr>
        <w:t>rendre des dispositions immédiates pour adopter une législation qui criminalise les mutilations génitales féminines et punit leurs auteurs</w:t>
      </w:r>
      <w:r w:rsidR="00107593">
        <w:rPr>
          <w:rFonts w:ascii="Times New Roman" w:eastAsia="Times New Roman" w:hAnsi="Times New Roman" w:cs="Times New Roman"/>
          <w:sz w:val="24"/>
          <w:szCs w:val="24"/>
          <w:lang w:val="fr-FR"/>
        </w:rPr>
        <w:t xml:space="preserve"> </w:t>
      </w:r>
      <w:r w:rsidR="00EC7DC5" w:rsidRPr="00107593">
        <w:rPr>
          <w:rFonts w:ascii="Times New Roman" w:eastAsia="Times New Roman" w:hAnsi="Times New Roman" w:cs="Times New Roman"/>
          <w:sz w:val="24"/>
          <w:szCs w:val="24"/>
          <w:lang w:val="fr-FR"/>
        </w:rPr>
        <w:t>;</w:t>
      </w:r>
    </w:p>
    <w:p w14:paraId="4FAA5E92" w14:textId="77777777" w:rsidR="00107593" w:rsidRPr="00107593" w:rsidRDefault="00107593" w:rsidP="00107593">
      <w:pPr>
        <w:ind w:left="360"/>
        <w:jc w:val="both"/>
        <w:rPr>
          <w:rFonts w:ascii="Times New Roman" w:eastAsia="Times New Roman" w:hAnsi="Times New Roman" w:cs="Times New Roman"/>
          <w:sz w:val="24"/>
          <w:szCs w:val="24"/>
          <w:lang w:val="fr-FR"/>
        </w:rPr>
      </w:pPr>
    </w:p>
    <w:p w14:paraId="4E7969D5" w14:textId="598B3FDB" w:rsidR="0064665A" w:rsidRDefault="002C0918"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M</w:t>
      </w:r>
      <w:r w:rsidR="004C3876" w:rsidRPr="00107593">
        <w:rPr>
          <w:rFonts w:ascii="Times New Roman" w:eastAsia="Times New Roman" w:hAnsi="Times New Roman" w:cs="Times New Roman"/>
          <w:sz w:val="24"/>
          <w:szCs w:val="24"/>
          <w:lang w:val="fr-FR"/>
        </w:rPr>
        <w:t>ettre en œuvre les recommandations du Comité de la CEDEF concernant la lutte contre les mutilations génitales féminines, mises en évidence dans son rapport d'enquête de décembre 2019</w:t>
      </w:r>
      <w:r w:rsidR="00107593">
        <w:rPr>
          <w:rFonts w:ascii="Times New Roman" w:eastAsia="Times New Roman" w:hAnsi="Times New Roman" w:cs="Times New Roman"/>
          <w:sz w:val="24"/>
          <w:szCs w:val="24"/>
          <w:lang w:val="fr-FR"/>
        </w:rPr>
        <w:t xml:space="preserve"> </w:t>
      </w:r>
      <w:r w:rsidR="00EC7DC5" w:rsidRPr="00107593">
        <w:rPr>
          <w:rFonts w:ascii="Times New Roman" w:eastAsia="Times New Roman" w:hAnsi="Times New Roman" w:cs="Times New Roman"/>
          <w:sz w:val="24"/>
          <w:szCs w:val="24"/>
          <w:lang w:val="fr-FR"/>
        </w:rPr>
        <w:t>;</w:t>
      </w:r>
    </w:p>
    <w:p w14:paraId="6ABAE968" w14:textId="77777777" w:rsidR="00107593" w:rsidRPr="00107593" w:rsidRDefault="00107593" w:rsidP="00107593">
      <w:pPr>
        <w:ind w:left="720"/>
        <w:jc w:val="both"/>
        <w:rPr>
          <w:rFonts w:ascii="Times New Roman" w:eastAsia="Times New Roman" w:hAnsi="Times New Roman" w:cs="Times New Roman"/>
          <w:sz w:val="24"/>
          <w:szCs w:val="24"/>
          <w:lang w:val="fr-FR"/>
        </w:rPr>
      </w:pPr>
    </w:p>
    <w:p w14:paraId="4E7969D6" w14:textId="42CA8BEF" w:rsidR="0064665A" w:rsidRDefault="00AA6679" w:rsidP="00107593">
      <w:pPr>
        <w:numPr>
          <w:ilvl w:val="0"/>
          <w:numId w:val="1"/>
        </w:numPr>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Améliorer l'accès à la justice en renforçant la capacité des acteurs clés de l'État, y compris les magistrats et les enquêteurs criminels. Cela leur permettra d'identifier et d'enquêter sur les cas de MGF et d'aider les survivants à accéder à la justice, en accordant une attention particulière aux cas où les survivants de MGF sont des mineur</w:t>
      </w:r>
      <w:r w:rsidR="002C0918" w:rsidRPr="00107593">
        <w:rPr>
          <w:rFonts w:ascii="Times New Roman" w:eastAsia="Times New Roman" w:hAnsi="Times New Roman" w:cs="Times New Roman"/>
          <w:sz w:val="24"/>
          <w:szCs w:val="24"/>
          <w:lang w:val="fr-FR"/>
        </w:rPr>
        <w:t>e</w:t>
      </w:r>
      <w:r w:rsidRPr="00107593">
        <w:rPr>
          <w:rFonts w:ascii="Times New Roman" w:eastAsia="Times New Roman" w:hAnsi="Times New Roman" w:cs="Times New Roman"/>
          <w:sz w:val="24"/>
          <w:szCs w:val="24"/>
          <w:lang w:val="fr-FR"/>
        </w:rPr>
        <w:t xml:space="preserve">s </w:t>
      </w:r>
      <w:r w:rsidR="00EC7DC5" w:rsidRPr="00107593">
        <w:rPr>
          <w:rFonts w:ascii="Times New Roman" w:eastAsia="Times New Roman" w:hAnsi="Times New Roman" w:cs="Times New Roman"/>
          <w:sz w:val="24"/>
          <w:szCs w:val="24"/>
          <w:lang w:val="fr-FR"/>
        </w:rPr>
        <w:t xml:space="preserve">; </w:t>
      </w:r>
    </w:p>
    <w:p w14:paraId="145E2BBE" w14:textId="77777777" w:rsidR="00107593" w:rsidRPr="00107593" w:rsidRDefault="00107593" w:rsidP="00107593">
      <w:pPr>
        <w:rPr>
          <w:rFonts w:ascii="Times New Roman" w:eastAsia="Times New Roman" w:hAnsi="Times New Roman" w:cs="Times New Roman"/>
          <w:sz w:val="24"/>
          <w:szCs w:val="24"/>
          <w:lang w:val="fr-FR"/>
        </w:rPr>
      </w:pPr>
    </w:p>
    <w:p w14:paraId="34E7C79D" w14:textId="5C63F313" w:rsidR="00AA6679" w:rsidRPr="00107593" w:rsidRDefault="00AA6679" w:rsidP="00107593">
      <w:pPr>
        <w:numPr>
          <w:ilvl w:val="0"/>
          <w:numId w:val="1"/>
        </w:numPr>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 xml:space="preserve">Mettre en place des dispositions permettant de protéger les témoins afin que les femmes, les jeunes filles et les témoins puissent porter plainte et dénoncer les auteurs </w:t>
      </w:r>
      <w:r w:rsidR="002C0918" w:rsidRPr="00107593">
        <w:rPr>
          <w:rFonts w:ascii="Times New Roman" w:eastAsia="Times New Roman" w:hAnsi="Times New Roman" w:cs="Times New Roman"/>
          <w:sz w:val="24"/>
          <w:szCs w:val="24"/>
          <w:lang w:val="fr-FR"/>
        </w:rPr>
        <w:t xml:space="preserve">de MGF </w:t>
      </w:r>
      <w:r w:rsidRPr="00107593">
        <w:rPr>
          <w:rFonts w:ascii="Times New Roman" w:eastAsia="Times New Roman" w:hAnsi="Times New Roman" w:cs="Times New Roman"/>
          <w:sz w:val="24"/>
          <w:szCs w:val="24"/>
          <w:lang w:val="fr-FR"/>
        </w:rPr>
        <w:t>sans craindre l'intimidation ou les menaces émanant de la communauté ou de l'auteur de l'infraction ;</w:t>
      </w:r>
    </w:p>
    <w:p w14:paraId="14BFDD77" w14:textId="77777777" w:rsidR="00AA6679" w:rsidRPr="00107593" w:rsidRDefault="00AA6679" w:rsidP="00107593">
      <w:pPr>
        <w:ind w:left="720"/>
        <w:rPr>
          <w:rFonts w:ascii="Times New Roman" w:eastAsia="Times New Roman" w:hAnsi="Times New Roman" w:cs="Times New Roman"/>
          <w:sz w:val="24"/>
          <w:szCs w:val="24"/>
          <w:lang w:val="fr-FR"/>
        </w:rPr>
      </w:pPr>
    </w:p>
    <w:p w14:paraId="4E7969D8" w14:textId="28403443" w:rsidR="0064665A" w:rsidRPr="00107593" w:rsidRDefault="00AA6679"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Offrir des soins spécialisés</w:t>
      </w:r>
      <w:r w:rsidR="009D1851" w:rsidRPr="00107593">
        <w:rPr>
          <w:rFonts w:ascii="Times New Roman" w:eastAsia="Times New Roman" w:hAnsi="Times New Roman" w:cs="Times New Roman"/>
          <w:sz w:val="24"/>
          <w:szCs w:val="24"/>
          <w:lang w:val="fr-FR"/>
        </w:rPr>
        <w:t>, gratuits</w:t>
      </w:r>
      <w:r w:rsidRPr="00107593">
        <w:rPr>
          <w:rFonts w:ascii="Times New Roman" w:eastAsia="Times New Roman" w:hAnsi="Times New Roman" w:cs="Times New Roman"/>
          <w:sz w:val="24"/>
          <w:szCs w:val="24"/>
          <w:lang w:val="fr-FR"/>
        </w:rPr>
        <w:t xml:space="preserve"> et appropriés qui soient accessibles aux victimes de mutilations génitales féminines et renforcer les capacités des acteurs concernés, tels que les prestataires de soins de santé, qui travaillent directement avec les femmes et les filles ; </w:t>
      </w:r>
      <w:r w:rsidR="00EC7DC5" w:rsidRPr="00107593">
        <w:rPr>
          <w:rFonts w:ascii="Times New Roman" w:eastAsia="Times New Roman" w:hAnsi="Times New Roman" w:cs="Times New Roman"/>
          <w:sz w:val="24"/>
          <w:szCs w:val="24"/>
          <w:lang w:val="fr-FR"/>
        </w:rPr>
        <w:t xml:space="preserve"> </w:t>
      </w:r>
    </w:p>
    <w:p w14:paraId="14916761" w14:textId="56863CB4" w:rsidR="002C0918" w:rsidRPr="00107593" w:rsidRDefault="002C0918" w:rsidP="00107593">
      <w:pPr>
        <w:jc w:val="both"/>
        <w:rPr>
          <w:rFonts w:ascii="Times New Roman" w:eastAsia="Times New Roman" w:hAnsi="Times New Roman" w:cs="Times New Roman"/>
          <w:sz w:val="24"/>
          <w:szCs w:val="24"/>
          <w:lang w:val="fr-FR"/>
        </w:rPr>
      </w:pPr>
    </w:p>
    <w:p w14:paraId="4E7969D9" w14:textId="2DD8C459" w:rsidR="0064665A" w:rsidRDefault="009814D3"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 xml:space="preserve">Allouer un budget adéquat et durable afin de garantir </w:t>
      </w:r>
      <w:r w:rsidR="002C0918" w:rsidRPr="00107593">
        <w:rPr>
          <w:rFonts w:ascii="Times New Roman" w:eastAsia="Times New Roman" w:hAnsi="Times New Roman" w:cs="Times New Roman"/>
          <w:sz w:val="24"/>
          <w:szCs w:val="24"/>
          <w:lang w:val="fr-FR"/>
        </w:rPr>
        <w:t xml:space="preserve">la mise en œuvre intégrale </w:t>
      </w:r>
      <w:r w:rsidRPr="00107593">
        <w:rPr>
          <w:rFonts w:ascii="Times New Roman" w:eastAsia="Times New Roman" w:hAnsi="Times New Roman" w:cs="Times New Roman"/>
          <w:sz w:val="24"/>
          <w:szCs w:val="24"/>
          <w:lang w:val="fr-FR"/>
        </w:rPr>
        <w:t xml:space="preserve">de la stratégie nationale holistique 2019-2030 visant à mettre fin à la violence basée sur le genre. Ce budget servira également à financer les </w:t>
      </w:r>
      <w:r w:rsidR="009D1851" w:rsidRPr="00107593">
        <w:rPr>
          <w:rFonts w:ascii="Times New Roman" w:eastAsia="Times New Roman" w:hAnsi="Times New Roman" w:cs="Times New Roman"/>
          <w:sz w:val="24"/>
          <w:szCs w:val="24"/>
          <w:lang w:val="fr-FR"/>
        </w:rPr>
        <w:t>activités du Programme national pour l’Abandon des Violences Basées sur le Genre</w:t>
      </w:r>
      <w:r w:rsidRPr="00107593">
        <w:rPr>
          <w:rFonts w:ascii="Times New Roman" w:eastAsia="Times New Roman" w:hAnsi="Times New Roman" w:cs="Times New Roman"/>
          <w:sz w:val="24"/>
          <w:szCs w:val="24"/>
          <w:lang w:val="fr-FR"/>
        </w:rPr>
        <w:t>, y compris les programmes de sensibilisation</w:t>
      </w:r>
      <w:r w:rsidR="00107593">
        <w:rPr>
          <w:rFonts w:ascii="Times New Roman" w:eastAsia="Times New Roman" w:hAnsi="Times New Roman" w:cs="Times New Roman"/>
          <w:sz w:val="24"/>
          <w:szCs w:val="24"/>
          <w:lang w:val="fr-FR"/>
        </w:rPr>
        <w:t xml:space="preserve"> </w:t>
      </w:r>
      <w:r w:rsidR="00EC7DC5" w:rsidRPr="00107593">
        <w:rPr>
          <w:rFonts w:ascii="Times New Roman" w:eastAsia="Times New Roman" w:hAnsi="Times New Roman" w:cs="Times New Roman"/>
          <w:sz w:val="24"/>
          <w:szCs w:val="24"/>
          <w:lang w:val="fr-FR"/>
        </w:rPr>
        <w:t xml:space="preserve">; </w:t>
      </w:r>
    </w:p>
    <w:p w14:paraId="64D6D682" w14:textId="77777777" w:rsidR="00107593" w:rsidRPr="00107593" w:rsidRDefault="00107593" w:rsidP="00107593">
      <w:pPr>
        <w:jc w:val="both"/>
        <w:rPr>
          <w:rFonts w:ascii="Times New Roman" w:eastAsia="Times New Roman" w:hAnsi="Times New Roman" w:cs="Times New Roman"/>
          <w:sz w:val="24"/>
          <w:szCs w:val="24"/>
          <w:lang w:val="fr-FR"/>
        </w:rPr>
      </w:pPr>
    </w:p>
    <w:p w14:paraId="707BAD18" w14:textId="3499E55C" w:rsidR="004A08DC" w:rsidRDefault="009814D3"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Prendre des mesures concrètes destinées à prévenir et à combattre les MGF transfrontalières sur son territoire et collaborer avec les autorités des pays voisins pour assurer une coordination régionale permettant d'éliminer les MGF transfrontalières ;</w:t>
      </w:r>
      <w:r w:rsidR="00EC7DC5" w:rsidRPr="00107593">
        <w:rPr>
          <w:rFonts w:ascii="Times New Roman" w:eastAsia="Times New Roman" w:hAnsi="Times New Roman" w:cs="Times New Roman"/>
          <w:sz w:val="24"/>
          <w:szCs w:val="24"/>
          <w:lang w:val="fr-FR"/>
        </w:rPr>
        <w:t xml:space="preserve"> </w:t>
      </w:r>
    </w:p>
    <w:p w14:paraId="6C6A1540" w14:textId="77777777" w:rsidR="00107593" w:rsidRPr="00107593" w:rsidRDefault="00107593" w:rsidP="00107593">
      <w:pPr>
        <w:ind w:left="360"/>
        <w:jc w:val="both"/>
        <w:rPr>
          <w:rFonts w:ascii="Times New Roman" w:eastAsia="Times New Roman" w:hAnsi="Times New Roman" w:cs="Times New Roman"/>
          <w:sz w:val="24"/>
          <w:szCs w:val="24"/>
          <w:lang w:val="fr-FR"/>
        </w:rPr>
      </w:pPr>
    </w:p>
    <w:p w14:paraId="0440DEA3" w14:textId="77777777" w:rsidR="004A08DC" w:rsidRPr="00107593" w:rsidRDefault="004A08DC" w:rsidP="00107593">
      <w:pPr>
        <w:numPr>
          <w:ilvl w:val="0"/>
          <w:numId w:val="1"/>
        </w:numPr>
        <w:jc w:val="both"/>
        <w:rPr>
          <w:rFonts w:ascii="Times New Roman" w:eastAsia="Times New Roman" w:hAnsi="Times New Roman" w:cs="Times New Roman"/>
          <w:sz w:val="24"/>
          <w:szCs w:val="24"/>
          <w:lang w:val="fr-FR"/>
        </w:rPr>
      </w:pPr>
      <w:r w:rsidRPr="00107593">
        <w:rPr>
          <w:rFonts w:ascii="Times New Roman" w:eastAsia="Times New Roman" w:hAnsi="Times New Roman" w:cs="Times New Roman"/>
          <w:sz w:val="24"/>
          <w:szCs w:val="24"/>
          <w:lang w:val="fr-FR"/>
        </w:rPr>
        <w:t xml:space="preserve">Renforcer les mesures nationales visant à éliminer les stéréotypes de genre et à prévenir la stigmatisation et la discrimination des femmes et des filles non excisées, notamment en </w:t>
      </w:r>
      <w:r w:rsidRPr="00107593">
        <w:rPr>
          <w:rFonts w:ascii="Times New Roman" w:eastAsia="Times New Roman" w:hAnsi="Times New Roman" w:cs="Times New Roman"/>
          <w:sz w:val="24"/>
          <w:szCs w:val="24"/>
          <w:lang w:val="fr-FR"/>
        </w:rPr>
        <w:lastRenderedPageBreak/>
        <w:t>faisant en sorte que ces programmes soient intégrés dans les programmes scolaires afin d'éliminer la stigmatisation et la discrimination. De plus, il convient de prévoir des campagnes de sensibilisation contre les mutilations génitales féminines ciblant les populations rurales et urbaines ainsi que les chefs religieux et les leaders communautaires.</w:t>
      </w:r>
    </w:p>
    <w:p w14:paraId="4E7969DE" w14:textId="6CD1A2A9" w:rsidR="0064665A" w:rsidRPr="00937951" w:rsidRDefault="0064665A" w:rsidP="00107593">
      <w:pPr>
        <w:ind w:left="720"/>
        <w:jc w:val="both"/>
        <w:rPr>
          <w:rFonts w:ascii="Times New Roman" w:eastAsia="Times New Roman" w:hAnsi="Times New Roman" w:cs="Times New Roman"/>
          <w:sz w:val="24"/>
          <w:szCs w:val="24"/>
          <w:lang w:val="fr-FR"/>
        </w:rPr>
      </w:pPr>
    </w:p>
    <w:p w14:paraId="4E7969DF" w14:textId="77777777" w:rsidR="0064665A" w:rsidRPr="00937951" w:rsidRDefault="0064665A" w:rsidP="00107593">
      <w:pPr>
        <w:jc w:val="both"/>
        <w:rPr>
          <w:rFonts w:ascii="Times New Roman" w:eastAsia="Times New Roman" w:hAnsi="Times New Roman" w:cs="Times New Roman"/>
          <w:sz w:val="24"/>
          <w:szCs w:val="24"/>
          <w:lang w:val="fr-FR"/>
        </w:rPr>
      </w:pPr>
    </w:p>
    <w:p w14:paraId="4E7969E0" w14:textId="77777777" w:rsidR="0064665A" w:rsidRPr="00937951" w:rsidRDefault="0064665A" w:rsidP="00107593">
      <w:pPr>
        <w:jc w:val="both"/>
        <w:rPr>
          <w:rFonts w:ascii="Times New Roman" w:eastAsia="Times New Roman" w:hAnsi="Times New Roman" w:cs="Times New Roman"/>
          <w:sz w:val="24"/>
          <w:szCs w:val="24"/>
          <w:lang w:val="fr-FR"/>
        </w:rPr>
      </w:pPr>
    </w:p>
    <w:p w14:paraId="4E7969E4" w14:textId="56098403" w:rsidR="0064665A" w:rsidRPr="00937951" w:rsidRDefault="0064665A" w:rsidP="00107593">
      <w:pPr>
        <w:rPr>
          <w:rFonts w:ascii="Times New Roman" w:eastAsia="Times New Roman" w:hAnsi="Times New Roman" w:cs="Times New Roman"/>
          <w:sz w:val="24"/>
          <w:szCs w:val="24"/>
          <w:lang w:val="fr-FR"/>
        </w:rPr>
      </w:pPr>
    </w:p>
    <w:sectPr w:rsidR="0064665A" w:rsidRPr="0093795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5612" w14:textId="77777777" w:rsidR="0038004D" w:rsidRDefault="0038004D">
      <w:pPr>
        <w:spacing w:line="240" w:lineRule="auto"/>
      </w:pPr>
      <w:r>
        <w:separator/>
      </w:r>
    </w:p>
  </w:endnote>
  <w:endnote w:type="continuationSeparator" w:id="0">
    <w:p w14:paraId="2148EA9F" w14:textId="77777777" w:rsidR="0038004D" w:rsidRDefault="003800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008767"/>
      <w:docPartObj>
        <w:docPartGallery w:val="Page Numbers (Bottom of Page)"/>
        <w:docPartUnique/>
      </w:docPartObj>
    </w:sdtPr>
    <w:sdtEndPr>
      <w:rPr>
        <w:noProof/>
      </w:rPr>
    </w:sdtEndPr>
    <w:sdtContent>
      <w:p w14:paraId="776833F5" w14:textId="21B10755" w:rsidR="00F815C7" w:rsidRDefault="00F815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969E9" w14:textId="6958314D" w:rsidR="0064665A" w:rsidRDefault="0064665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2D5D8" w14:textId="77777777" w:rsidR="0038004D" w:rsidRDefault="0038004D">
      <w:pPr>
        <w:spacing w:line="240" w:lineRule="auto"/>
      </w:pPr>
      <w:r>
        <w:separator/>
      </w:r>
    </w:p>
  </w:footnote>
  <w:footnote w:type="continuationSeparator" w:id="0">
    <w:p w14:paraId="05454ECF" w14:textId="77777777" w:rsidR="0038004D" w:rsidRDefault="0038004D">
      <w:pPr>
        <w:spacing w:line="240" w:lineRule="auto"/>
      </w:pPr>
      <w:r>
        <w:continuationSeparator/>
      </w:r>
    </w:p>
  </w:footnote>
  <w:footnote w:id="1">
    <w:p w14:paraId="4E7969EA" w14:textId="4DFFA37B" w:rsidR="0064665A" w:rsidRPr="00C53F5A" w:rsidRDefault="00EC7DC5">
      <w:pPr>
        <w:spacing w:line="240" w:lineRule="auto"/>
        <w:rPr>
          <w:rFonts w:ascii="Times New Roman" w:eastAsia="Times New Roman" w:hAnsi="Times New Roman" w:cs="Times New Roman"/>
          <w:sz w:val="20"/>
          <w:szCs w:val="20"/>
          <w:lang w:val="fr-FR"/>
        </w:rPr>
      </w:pPr>
      <w:r>
        <w:rPr>
          <w:vertAlign w:val="superscript"/>
        </w:rPr>
        <w:footnoteRef/>
      </w:r>
      <w:r w:rsidRPr="00C7254E">
        <w:rPr>
          <w:rFonts w:ascii="Times New Roman" w:eastAsia="Times New Roman" w:hAnsi="Times New Roman" w:cs="Times New Roman"/>
          <w:sz w:val="20"/>
          <w:szCs w:val="20"/>
          <w:lang w:val="fr-FR"/>
        </w:rPr>
        <w:t xml:space="preserve"> </w:t>
      </w:r>
      <w:r w:rsidR="00C7254E" w:rsidRPr="00C53F5A">
        <w:rPr>
          <w:rFonts w:ascii="Times New Roman" w:hAnsi="Times New Roman" w:cs="Times New Roman"/>
          <w:sz w:val="20"/>
          <w:szCs w:val="20"/>
          <w:lang w:val="fr-FR"/>
        </w:rPr>
        <w:t xml:space="preserve">Comité pour l'élimination de la discrimination à l'égard des femmes, </w:t>
      </w:r>
      <w:r w:rsidR="00C7254E" w:rsidRPr="00C53F5A">
        <w:rPr>
          <w:rFonts w:ascii="Times New Roman" w:hAnsi="Times New Roman" w:cs="Times New Roman"/>
          <w:i/>
          <w:iCs/>
          <w:sz w:val="20"/>
          <w:szCs w:val="20"/>
          <w:lang w:val="fr-FR"/>
        </w:rPr>
        <w:t>Enquête concernant le Mali en vertu de l'article 8 du Protocole facultatif à la Convention sur l'élimination de toutes les formes de discrimination à l'égard des femmes</w:t>
      </w:r>
      <w:r w:rsidR="00C7254E" w:rsidRPr="00C53F5A">
        <w:rPr>
          <w:rFonts w:ascii="Times New Roman" w:hAnsi="Times New Roman" w:cs="Times New Roman"/>
          <w:sz w:val="20"/>
          <w:szCs w:val="20"/>
          <w:lang w:val="fr-FR"/>
        </w:rPr>
        <w:t xml:space="preserve">, CEDAW/C/IR/MLI/1, 24 décembre 2019, disponible à l'adresse </w:t>
      </w:r>
      <w:hyperlink r:id="rId1" w:history="1">
        <w:r w:rsidR="00C7254E" w:rsidRPr="00C53F5A">
          <w:rPr>
            <w:rStyle w:val="Hyperlink"/>
            <w:rFonts w:ascii="Times New Roman" w:hAnsi="Times New Roman" w:cs="Times New Roman"/>
            <w:sz w:val="20"/>
            <w:szCs w:val="20"/>
            <w:lang w:val="fr-FR"/>
          </w:rPr>
          <w:t>suivante : https://tbinternet.ohchr.org/_layouts/15/treatybodyexternal/Download.aspx?</w:t>
        </w:r>
      </w:hyperlink>
      <w:r w:rsidRPr="00C53F5A">
        <w:rPr>
          <w:rFonts w:ascii="Times New Roman" w:eastAsia="Times New Roman" w:hAnsi="Times New Roman" w:cs="Times New Roman"/>
          <w:sz w:val="20"/>
          <w:szCs w:val="20"/>
          <w:lang w:val="fr-FR"/>
        </w:rPr>
        <w:t xml:space="preserve"> </w:t>
      </w:r>
    </w:p>
  </w:footnote>
  <w:footnote w:id="2">
    <w:p w14:paraId="4E7969EB" w14:textId="1AA88B0B" w:rsidR="0064665A" w:rsidRPr="00C53F5A" w:rsidRDefault="00EC7DC5">
      <w:pPr>
        <w:spacing w:line="240" w:lineRule="auto"/>
        <w:rPr>
          <w:rFonts w:ascii="Times New Roman" w:eastAsia="Times New Roman" w:hAnsi="Times New Roman" w:cs="Times New Roman"/>
          <w:sz w:val="20"/>
          <w:szCs w:val="20"/>
          <w:lang w:val="fr-FR"/>
        </w:rPr>
      </w:pPr>
      <w:r w:rsidRPr="00C53F5A">
        <w:rPr>
          <w:rFonts w:ascii="Times New Roman" w:hAnsi="Times New Roman" w:cs="Times New Roman"/>
          <w:sz w:val="20"/>
          <w:szCs w:val="20"/>
          <w:vertAlign w:val="superscript"/>
        </w:rPr>
        <w:footnoteRef/>
      </w:r>
      <w:r w:rsidRPr="00C53F5A">
        <w:rPr>
          <w:rFonts w:ascii="Times New Roman" w:eastAsia="Times New Roman" w:hAnsi="Times New Roman" w:cs="Times New Roman"/>
          <w:sz w:val="20"/>
          <w:szCs w:val="20"/>
          <w:lang w:val="fr-FR"/>
        </w:rPr>
        <w:t xml:space="preserve"> </w:t>
      </w:r>
      <w:r w:rsidR="0016358A" w:rsidRPr="00C53F5A">
        <w:rPr>
          <w:rFonts w:ascii="Times New Roman" w:hAnsi="Times New Roman" w:cs="Times New Roman"/>
          <w:sz w:val="20"/>
          <w:szCs w:val="20"/>
          <w:lang w:val="fr-FR"/>
        </w:rPr>
        <w:t xml:space="preserve">UNICEF, Données sur les mutilations génitales féminines, mars 2024, </w:t>
      </w:r>
      <w:hyperlink r:id="rId2" w:anchor="data" w:history="1">
        <w:r w:rsidR="0016358A" w:rsidRPr="00C53F5A">
          <w:rPr>
            <w:rStyle w:val="Hyperlink"/>
            <w:rFonts w:ascii="Times New Roman" w:hAnsi="Times New Roman" w:cs="Times New Roman"/>
            <w:sz w:val="20"/>
            <w:szCs w:val="20"/>
            <w:lang w:val="fr-FR"/>
          </w:rPr>
          <w:t>https://data.unicef.org/topic/child-protection/female-genital-mutilation/#data</w:t>
        </w:r>
      </w:hyperlink>
    </w:p>
  </w:footnote>
  <w:footnote w:id="3">
    <w:p w14:paraId="4E7969EC" w14:textId="77777777" w:rsidR="0064665A" w:rsidRPr="00C53F5A" w:rsidRDefault="00EC7DC5">
      <w:pPr>
        <w:spacing w:line="240" w:lineRule="auto"/>
        <w:rPr>
          <w:rFonts w:ascii="Times New Roman" w:eastAsia="Times New Roman" w:hAnsi="Times New Roman" w:cs="Times New Roman"/>
          <w:sz w:val="20"/>
          <w:szCs w:val="20"/>
          <w:lang w:val="fr-FR"/>
        </w:rPr>
      </w:pPr>
      <w:r w:rsidRPr="00C53F5A">
        <w:rPr>
          <w:rFonts w:ascii="Times New Roman" w:hAnsi="Times New Roman" w:cs="Times New Roman"/>
          <w:sz w:val="20"/>
          <w:szCs w:val="20"/>
          <w:vertAlign w:val="superscript"/>
        </w:rPr>
        <w:footnoteRef/>
      </w:r>
      <w:r w:rsidRPr="00C53F5A">
        <w:rPr>
          <w:rFonts w:ascii="Times New Roman" w:eastAsia="Times New Roman" w:hAnsi="Times New Roman" w:cs="Times New Roman"/>
          <w:sz w:val="20"/>
          <w:szCs w:val="20"/>
          <w:lang w:val="fr-FR"/>
        </w:rPr>
        <w:t xml:space="preserve"> </w:t>
      </w:r>
      <w:hyperlink r:id="rId3">
        <w:r w:rsidRPr="00C53F5A">
          <w:rPr>
            <w:rFonts w:ascii="Times New Roman" w:eastAsia="Times New Roman" w:hAnsi="Times New Roman" w:cs="Times New Roman"/>
            <w:color w:val="1155CC"/>
            <w:sz w:val="20"/>
            <w:szCs w:val="20"/>
            <w:u w:val="single"/>
            <w:lang w:val="fr-FR"/>
          </w:rPr>
          <w:t>https://www.unicef.org/mali/en/reports/female-genital-mutilation-mali</w:t>
        </w:r>
      </w:hyperlink>
      <w:r w:rsidRPr="00C53F5A">
        <w:rPr>
          <w:rFonts w:ascii="Times New Roman" w:eastAsia="Times New Roman" w:hAnsi="Times New Roman" w:cs="Times New Roman"/>
          <w:sz w:val="20"/>
          <w:szCs w:val="20"/>
          <w:lang w:val="fr-FR"/>
        </w:rPr>
        <w:t xml:space="preserve"> </w:t>
      </w:r>
    </w:p>
  </w:footnote>
  <w:footnote w:id="4">
    <w:p w14:paraId="4E7969ED" w14:textId="77777777" w:rsidR="0064665A" w:rsidRPr="00C53F5A" w:rsidRDefault="00EC7DC5">
      <w:pPr>
        <w:spacing w:line="240" w:lineRule="auto"/>
        <w:rPr>
          <w:rFonts w:ascii="Times New Roman" w:eastAsia="Times New Roman" w:hAnsi="Times New Roman" w:cs="Times New Roman"/>
          <w:sz w:val="20"/>
          <w:szCs w:val="20"/>
          <w:lang w:val="fr-FR"/>
        </w:rPr>
      </w:pPr>
      <w:r w:rsidRPr="00C53F5A">
        <w:rPr>
          <w:rFonts w:ascii="Times New Roman" w:hAnsi="Times New Roman" w:cs="Times New Roman"/>
          <w:sz w:val="20"/>
          <w:szCs w:val="20"/>
          <w:vertAlign w:val="superscript"/>
        </w:rPr>
        <w:footnoteRef/>
      </w:r>
      <w:r w:rsidRPr="00C53F5A">
        <w:rPr>
          <w:rFonts w:ascii="Times New Roman" w:eastAsia="Times New Roman" w:hAnsi="Times New Roman" w:cs="Times New Roman"/>
          <w:sz w:val="20"/>
          <w:szCs w:val="20"/>
          <w:lang w:val="fr-FR"/>
        </w:rPr>
        <w:t xml:space="preserve"> </w:t>
      </w:r>
      <w:hyperlink r:id="rId4" w:anchor=":~:text=This%20statistic%20shows%20the%20total,to%20approximately%2011.41%20million%20inhabitants">
        <w:r w:rsidRPr="00C53F5A">
          <w:rPr>
            <w:rFonts w:ascii="Times New Roman" w:eastAsia="Times New Roman" w:hAnsi="Times New Roman" w:cs="Times New Roman"/>
            <w:color w:val="1155CC"/>
            <w:sz w:val="20"/>
            <w:szCs w:val="20"/>
            <w:u w:val="single"/>
            <w:lang w:val="fr-FR"/>
          </w:rPr>
          <w:t>https://www.statista.com/statistics/967880/total-population-of-mali-by-gender/#:~:text=This%20statistic%20shows%20the%20total,to%20approximately%2011.41%20million%20inhabitants</w:t>
        </w:r>
      </w:hyperlink>
      <w:r w:rsidRPr="00C53F5A">
        <w:rPr>
          <w:rFonts w:ascii="Times New Roman" w:eastAsia="Times New Roman" w:hAnsi="Times New Roman" w:cs="Times New Roman"/>
          <w:sz w:val="20"/>
          <w:szCs w:val="20"/>
          <w:lang w:val="fr-FR"/>
        </w:rPr>
        <w:t xml:space="preserve">. </w:t>
      </w:r>
    </w:p>
  </w:footnote>
  <w:footnote w:id="5">
    <w:p w14:paraId="4E7969EE" w14:textId="77777777" w:rsidR="0064665A" w:rsidRPr="00CD4B73" w:rsidRDefault="00EC7DC5">
      <w:pPr>
        <w:spacing w:line="240" w:lineRule="auto"/>
        <w:rPr>
          <w:rFonts w:ascii="Times New Roman" w:eastAsia="Times New Roman" w:hAnsi="Times New Roman" w:cs="Times New Roman"/>
          <w:sz w:val="20"/>
          <w:szCs w:val="20"/>
          <w:lang w:val="fr-FR"/>
        </w:rPr>
      </w:pPr>
      <w:r w:rsidRPr="00C53F5A">
        <w:rPr>
          <w:rFonts w:ascii="Times New Roman" w:hAnsi="Times New Roman" w:cs="Times New Roman"/>
          <w:sz w:val="20"/>
          <w:szCs w:val="20"/>
          <w:vertAlign w:val="superscript"/>
        </w:rPr>
        <w:footnoteRef/>
      </w:r>
      <w:r w:rsidRPr="00C53F5A">
        <w:rPr>
          <w:rFonts w:ascii="Times New Roman" w:eastAsia="Times New Roman" w:hAnsi="Times New Roman" w:cs="Times New Roman"/>
          <w:sz w:val="20"/>
          <w:szCs w:val="20"/>
          <w:lang w:val="fr-FR"/>
        </w:rPr>
        <w:t xml:space="preserve"> </w:t>
      </w:r>
      <w:hyperlink r:id="rId5">
        <w:r w:rsidRPr="00C53F5A">
          <w:rPr>
            <w:rFonts w:ascii="Times New Roman" w:eastAsia="Times New Roman" w:hAnsi="Times New Roman" w:cs="Times New Roman"/>
            <w:color w:val="1155CC"/>
            <w:sz w:val="20"/>
            <w:szCs w:val="20"/>
            <w:u w:val="single"/>
            <w:lang w:val="fr-FR"/>
          </w:rPr>
          <w:t>https://euaa.europa.eu/sites/default/files/publications/2022-07/2022_7_COI_Report_FGM_MALI_EN.pdf</w:t>
        </w:r>
      </w:hyperlink>
      <w:r w:rsidRPr="00CD4B73">
        <w:rPr>
          <w:rFonts w:ascii="Times New Roman" w:eastAsia="Times New Roman" w:hAnsi="Times New Roman" w:cs="Times New Roman"/>
          <w:sz w:val="20"/>
          <w:szCs w:val="20"/>
          <w:lang w:val="fr-FR"/>
        </w:rPr>
        <w:t xml:space="preserve"> </w:t>
      </w:r>
    </w:p>
  </w:footnote>
  <w:footnote w:id="6">
    <w:p w14:paraId="4E7969EF" w14:textId="77777777" w:rsidR="0064665A" w:rsidRPr="00CD4B73" w:rsidRDefault="00EC7DC5">
      <w:pPr>
        <w:spacing w:line="240" w:lineRule="auto"/>
        <w:rPr>
          <w:rFonts w:ascii="Times New Roman" w:eastAsia="Times New Roman" w:hAnsi="Times New Roman" w:cs="Times New Roman"/>
          <w:sz w:val="20"/>
          <w:szCs w:val="20"/>
          <w:lang w:val="fr-FR"/>
        </w:rPr>
      </w:pPr>
      <w:r>
        <w:rPr>
          <w:vertAlign w:val="superscript"/>
        </w:rPr>
        <w:footnoteRef/>
      </w:r>
      <w:r w:rsidRPr="00CD4B73">
        <w:rPr>
          <w:rFonts w:ascii="Times New Roman" w:eastAsia="Times New Roman" w:hAnsi="Times New Roman" w:cs="Times New Roman"/>
          <w:sz w:val="20"/>
          <w:szCs w:val="20"/>
          <w:lang w:val="fr-FR"/>
        </w:rPr>
        <w:t xml:space="preserve"> </w:t>
      </w:r>
      <w:hyperlink r:id="rId6">
        <w:r w:rsidRPr="00CD4B73">
          <w:rPr>
            <w:rFonts w:ascii="Times New Roman" w:eastAsia="Times New Roman" w:hAnsi="Times New Roman" w:cs="Times New Roman"/>
            <w:color w:val="1155CC"/>
            <w:sz w:val="20"/>
            <w:szCs w:val="20"/>
            <w:u w:val="single"/>
            <w:lang w:val="fr-FR"/>
          </w:rPr>
          <w:t>https://www.unicef.org/mali/en/reports/female-genital-mutilation-mali</w:t>
        </w:r>
      </w:hyperlink>
      <w:r w:rsidRPr="00CD4B73">
        <w:rPr>
          <w:rFonts w:ascii="Times New Roman" w:eastAsia="Times New Roman" w:hAnsi="Times New Roman" w:cs="Times New Roman"/>
          <w:sz w:val="20"/>
          <w:szCs w:val="20"/>
          <w:lang w:val="fr-FR"/>
        </w:rPr>
        <w:t xml:space="preserve"> </w:t>
      </w:r>
    </w:p>
  </w:footnote>
  <w:footnote w:id="7">
    <w:p w14:paraId="4E7969F0" w14:textId="6F93EEBE" w:rsidR="0064665A" w:rsidRPr="004C7101" w:rsidRDefault="00EC7DC5">
      <w:pPr>
        <w:spacing w:line="240" w:lineRule="auto"/>
        <w:rPr>
          <w:rFonts w:ascii="Times New Roman" w:hAnsi="Times New Roman" w:cs="Times New Roman"/>
          <w:lang w:val="fr-FR"/>
        </w:rPr>
      </w:pPr>
      <w:r w:rsidRPr="004C7101">
        <w:rPr>
          <w:rFonts w:ascii="Times New Roman" w:hAnsi="Times New Roman" w:cs="Times New Roman"/>
          <w:vertAlign w:val="superscript"/>
        </w:rPr>
        <w:footnoteRef/>
      </w:r>
      <w:r w:rsidRPr="004C7101">
        <w:rPr>
          <w:rFonts w:ascii="Times New Roman" w:hAnsi="Times New Roman" w:cs="Times New Roman"/>
          <w:lang w:val="fr-FR"/>
        </w:rPr>
        <w:t xml:space="preserve"> </w:t>
      </w:r>
      <w:r w:rsidR="004C7101" w:rsidRPr="004C7101">
        <w:rPr>
          <w:rFonts w:ascii="Times New Roman" w:hAnsi="Times New Roman" w:cs="Times New Roman"/>
          <w:lang w:val="fr-FR"/>
        </w:rPr>
        <w:t>Enquête sur le Mali au titre de l'article 8 du Protocole facultatif à la Convention sur l'élimination de toutes les formes de discrimination à l'égard des femmes, accessible à l'adresse suivante</w:t>
      </w:r>
      <w:r w:rsidRPr="004C7101">
        <w:rPr>
          <w:rFonts w:ascii="Times New Roman" w:eastAsia="Times New Roman" w:hAnsi="Times New Roman" w:cs="Times New Roman"/>
          <w:lang w:val="fr-FR"/>
        </w:rPr>
        <w:t xml:space="preserve">: </w:t>
      </w:r>
      <w:hyperlink r:id="rId7">
        <w:r w:rsidRPr="004C7101">
          <w:rPr>
            <w:rFonts w:ascii="Times New Roman" w:eastAsia="Times New Roman" w:hAnsi="Times New Roman" w:cs="Times New Roman"/>
            <w:color w:val="1155CC"/>
            <w:u w:val="single"/>
            <w:lang w:val="fr-FR"/>
          </w:rPr>
          <w:t>https://tbinternet.ohchr.org/_layouts/15/treatybodyexternal/Download.aspx?symbolno=CEDAW%2F%20C%2FIR%2FMLI%2F1&amp;Lang=en</w:t>
        </w:r>
      </w:hyperlink>
      <w:r w:rsidRPr="004C7101">
        <w:rPr>
          <w:rFonts w:ascii="Times New Roman" w:eastAsia="Times New Roman" w:hAnsi="Times New Roman" w:cs="Times New Roman"/>
          <w:lang w:val="fr-FR"/>
        </w:rPr>
        <w:t xml:space="preserve"> </w:t>
      </w:r>
    </w:p>
  </w:footnote>
  <w:footnote w:id="8">
    <w:p w14:paraId="4E7969F1" w14:textId="5D5F9CF1" w:rsidR="0064665A" w:rsidRPr="004C7101" w:rsidRDefault="00EC7DC5">
      <w:pPr>
        <w:spacing w:line="240" w:lineRule="auto"/>
        <w:rPr>
          <w:rFonts w:ascii="Times New Roman" w:eastAsia="Times New Roman" w:hAnsi="Times New Roman" w:cs="Times New Roman"/>
          <w:lang w:val="fr-FR"/>
        </w:rPr>
      </w:pPr>
      <w:r w:rsidRPr="004C7101">
        <w:rPr>
          <w:rFonts w:ascii="Times New Roman" w:hAnsi="Times New Roman" w:cs="Times New Roman"/>
          <w:vertAlign w:val="superscript"/>
        </w:rPr>
        <w:footnoteRef/>
      </w:r>
      <w:r w:rsidRPr="004C7101">
        <w:rPr>
          <w:rFonts w:ascii="Times New Roman" w:hAnsi="Times New Roman" w:cs="Times New Roman"/>
          <w:lang w:val="fr-FR"/>
        </w:rPr>
        <w:t xml:space="preserve"> </w:t>
      </w:r>
      <w:r w:rsidR="004C7101" w:rsidRPr="004C7101">
        <w:rPr>
          <w:rFonts w:ascii="Times New Roman" w:hAnsi="Times New Roman" w:cs="Times New Roman"/>
          <w:lang w:val="fr-FR"/>
        </w:rPr>
        <w:t>L'article 2 stipule que « Tous les Maliens naissent et demeurent libres et égaux en droits et en devoirs. Toute discrimination fondée sur l'origine sociale, la couleur, la langue, la race, le sexe, la religion et l'opinion politique est interdite »</w:t>
      </w:r>
    </w:p>
  </w:footnote>
  <w:footnote w:id="9">
    <w:p w14:paraId="4E7969F2" w14:textId="01399818" w:rsidR="0064665A" w:rsidRPr="004C7101" w:rsidRDefault="00EC7DC5">
      <w:pPr>
        <w:spacing w:line="240" w:lineRule="auto"/>
        <w:rPr>
          <w:rFonts w:ascii="Times New Roman" w:eastAsia="Times New Roman" w:hAnsi="Times New Roman" w:cs="Times New Roman"/>
          <w:lang w:val="fr-FR"/>
        </w:rPr>
      </w:pPr>
      <w:r w:rsidRPr="004C7101">
        <w:rPr>
          <w:rFonts w:ascii="Times New Roman" w:hAnsi="Times New Roman" w:cs="Times New Roman"/>
          <w:vertAlign w:val="superscript"/>
        </w:rPr>
        <w:footnoteRef/>
      </w:r>
      <w:r w:rsidRPr="004C7101">
        <w:rPr>
          <w:rFonts w:ascii="Times New Roman" w:eastAsia="Times New Roman" w:hAnsi="Times New Roman" w:cs="Times New Roman"/>
          <w:lang w:val="fr-FR"/>
        </w:rPr>
        <w:t xml:space="preserve"> </w:t>
      </w:r>
      <w:r w:rsidR="004C7101" w:rsidRPr="004C7101">
        <w:rPr>
          <w:rFonts w:ascii="Times New Roman" w:hAnsi="Times New Roman" w:cs="Times New Roman"/>
          <w:lang w:val="fr-FR"/>
        </w:rPr>
        <w:t>UNFPA, Analyse des cadres juridiques sur les mutilations génitales féminines dans certains pays d'Afrique de l'Ouest, janvier 2018</w:t>
      </w:r>
      <w:r w:rsidRPr="004C7101">
        <w:rPr>
          <w:rFonts w:ascii="Times New Roman" w:eastAsia="Times New Roman" w:hAnsi="Times New Roman" w:cs="Times New Roman"/>
          <w:lang w:val="fr-FR"/>
        </w:rPr>
        <w:t xml:space="preserve">, </w:t>
      </w:r>
      <w:hyperlink r:id="rId8">
        <w:r w:rsidRPr="004C7101">
          <w:rPr>
            <w:rFonts w:ascii="Times New Roman" w:eastAsia="Times New Roman" w:hAnsi="Times New Roman" w:cs="Times New Roman"/>
            <w:color w:val="1155CC"/>
            <w:u w:val="single"/>
            <w:lang w:val="fr-FR"/>
          </w:rPr>
          <w:t>https://wcaro.unfpa.org/sites/default/files/pub-pdf/UNFPA-ANALYSIS-ON-FGM-WEB.pdf</w:t>
        </w:r>
      </w:hyperlink>
      <w:r w:rsidRPr="004C7101">
        <w:rPr>
          <w:rFonts w:ascii="Times New Roman" w:eastAsia="Times New Roman" w:hAnsi="Times New Roman" w:cs="Times New Roman"/>
          <w:lang w:val="fr-FR"/>
        </w:rPr>
        <w:t xml:space="preserve">?  p. 37 </w:t>
      </w:r>
    </w:p>
  </w:footnote>
  <w:footnote w:id="10">
    <w:p w14:paraId="4E7969F3" w14:textId="739A8F59" w:rsidR="0064665A" w:rsidRPr="003D1DF0" w:rsidRDefault="00EC7DC5">
      <w:pPr>
        <w:rPr>
          <w:rFonts w:ascii="Times New Roman" w:hAnsi="Times New Roman" w:cs="Times New Roman"/>
          <w:sz w:val="20"/>
          <w:szCs w:val="20"/>
          <w:lang w:val="fr-FR"/>
        </w:rPr>
      </w:pPr>
      <w:r w:rsidRPr="004C7101">
        <w:rPr>
          <w:rFonts w:ascii="Times New Roman" w:hAnsi="Times New Roman" w:cs="Times New Roman"/>
          <w:vertAlign w:val="superscript"/>
        </w:rPr>
        <w:footnoteRef/>
      </w:r>
      <w:r w:rsidRPr="004C7101">
        <w:rPr>
          <w:rFonts w:ascii="Times New Roman" w:hAnsi="Times New Roman" w:cs="Times New Roman"/>
          <w:lang w:val="fr-FR"/>
        </w:rPr>
        <w:t xml:space="preserve"> </w:t>
      </w:r>
      <w:r w:rsidR="004C7101" w:rsidRPr="003D1DF0">
        <w:rPr>
          <w:rFonts w:ascii="Times New Roman" w:hAnsi="Times New Roman" w:cs="Times New Roman"/>
          <w:sz w:val="20"/>
          <w:szCs w:val="20"/>
          <w:lang w:val="fr-FR"/>
        </w:rPr>
        <w:t>Liste de problématiques pour le Mali, Comité des droits de l'enfant, 29 septembre 2023, accessible à l'adresse suivante</w:t>
      </w:r>
      <w:r w:rsidRPr="003D1DF0">
        <w:rPr>
          <w:rFonts w:ascii="Times New Roman" w:hAnsi="Times New Roman" w:cs="Times New Roman"/>
          <w:sz w:val="20"/>
          <w:szCs w:val="20"/>
          <w:lang w:val="fr-FR"/>
        </w:rPr>
        <w:t>: https://tbinternet.ohchr.org/_layouts/15/treatybodyexternal/Download.aspx?symbolno=CRC%2FC%2FMLI%2FQ%2F3-5&amp;Lang=en</w:t>
      </w:r>
    </w:p>
  </w:footnote>
  <w:footnote w:id="11">
    <w:p w14:paraId="4E7969F4" w14:textId="640D14DA" w:rsidR="0064665A" w:rsidRPr="003D1DF0" w:rsidRDefault="00EC7DC5">
      <w:pPr>
        <w:rPr>
          <w:rFonts w:ascii="Times New Roman" w:eastAsia="Times New Roman" w:hAnsi="Times New Roman" w:cs="Times New Roman"/>
          <w:sz w:val="20"/>
          <w:szCs w:val="20"/>
          <w:lang w:val="fr-FR"/>
        </w:rPr>
      </w:pPr>
      <w:r w:rsidRPr="003D1DF0">
        <w:rPr>
          <w:rFonts w:ascii="Times New Roman" w:hAnsi="Times New Roman" w:cs="Times New Roman"/>
          <w:sz w:val="20"/>
          <w:szCs w:val="20"/>
          <w:vertAlign w:val="superscript"/>
        </w:rPr>
        <w:footnoteRef/>
      </w:r>
      <w:r w:rsidRPr="003D1DF0">
        <w:rPr>
          <w:rFonts w:ascii="Times New Roman" w:eastAsia="Times New Roman" w:hAnsi="Times New Roman" w:cs="Times New Roman"/>
          <w:sz w:val="20"/>
          <w:szCs w:val="20"/>
          <w:lang w:val="fr-FR"/>
        </w:rPr>
        <w:t xml:space="preserve"> </w:t>
      </w:r>
      <w:r w:rsidR="003D1DF0" w:rsidRPr="003D1DF0">
        <w:rPr>
          <w:rFonts w:ascii="Times New Roman" w:eastAsia="Times New Roman" w:hAnsi="Times New Roman" w:cs="Times New Roman"/>
          <w:sz w:val="20"/>
          <w:szCs w:val="20"/>
          <w:lang w:val="fr-FR"/>
        </w:rPr>
        <w:t>Réponse du gouvernement du Mali à la liste des questions relatives à son troisième au cinquième rapport périodique au Comité des droits de l'enfant (6-24 mai), 2024</w:t>
      </w:r>
      <w:r w:rsidRPr="003D1DF0">
        <w:rPr>
          <w:rFonts w:ascii="Times New Roman" w:eastAsia="Times New Roman" w:hAnsi="Times New Roman" w:cs="Times New Roman"/>
          <w:sz w:val="20"/>
          <w:szCs w:val="20"/>
          <w:lang w:val="fr-FR"/>
        </w:rPr>
        <w:t xml:space="preserve">. </w:t>
      </w:r>
    </w:p>
  </w:footnote>
  <w:footnote w:id="12">
    <w:p w14:paraId="229A32A5" w14:textId="19CDD2B0" w:rsidR="00107593" w:rsidRPr="003D1DF0" w:rsidRDefault="00107593" w:rsidP="00107593">
      <w:pPr>
        <w:spacing w:line="240" w:lineRule="auto"/>
        <w:rPr>
          <w:rFonts w:ascii="Times New Roman" w:eastAsia="Times New Roman" w:hAnsi="Times New Roman" w:cs="Times New Roman"/>
          <w:sz w:val="20"/>
          <w:szCs w:val="20"/>
          <w:lang w:val="fr-FR"/>
        </w:rPr>
      </w:pPr>
      <w:r w:rsidRPr="003D1DF0">
        <w:rPr>
          <w:rFonts w:ascii="Times New Roman" w:hAnsi="Times New Roman" w:cs="Times New Roman"/>
          <w:sz w:val="20"/>
          <w:szCs w:val="20"/>
          <w:vertAlign w:val="superscript"/>
        </w:rPr>
        <w:footnoteRef/>
      </w:r>
      <w:r w:rsidRPr="003D1DF0">
        <w:rPr>
          <w:rFonts w:ascii="Times New Roman" w:hAnsi="Times New Roman" w:cs="Times New Roman"/>
          <w:sz w:val="20"/>
          <w:szCs w:val="20"/>
          <w:lang w:val="fr-FR"/>
        </w:rPr>
        <w:t xml:space="preserve">  Amnesty International, Mali. Crimes sans condamnations. Analyse de la réponse judiciaire aux crimes liés au conflit dans le centre du Mali, 13 avril 2022, https://www.amnesty.org/en/wp-content/uploads/2022/04/AFR3751922022ENGLISH.pdf ?</w:t>
      </w:r>
      <w:r w:rsidRPr="003D1DF0">
        <w:rPr>
          <w:rFonts w:ascii="Times New Roman" w:eastAsia="Times New Roman" w:hAnsi="Times New Roman" w:cs="Times New Roman"/>
          <w:sz w:val="20"/>
          <w:szCs w:val="20"/>
          <w:lang w:val="fr-FR"/>
        </w:rPr>
        <w:t>, https://www.amnesty.org/en/wp-content/uploads/2022/04/AFR3751922022ENGLISH.pdf?</w:t>
      </w:r>
    </w:p>
  </w:footnote>
  <w:footnote w:id="13">
    <w:p w14:paraId="109597F2" w14:textId="77777777" w:rsidR="00107593" w:rsidRPr="00CD4B73" w:rsidRDefault="00107593" w:rsidP="00107593">
      <w:pPr>
        <w:spacing w:line="240" w:lineRule="auto"/>
        <w:rPr>
          <w:rFonts w:ascii="Times New Roman" w:eastAsia="Times New Roman" w:hAnsi="Times New Roman" w:cs="Times New Roman"/>
          <w:sz w:val="20"/>
          <w:szCs w:val="20"/>
          <w:lang w:val="fr-FR"/>
        </w:rPr>
      </w:pPr>
      <w:r w:rsidRPr="003D1DF0">
        <w:rPr>
          <w:rFonts w:ascii="Times New Roman" w:hAnsi="Times New Roman" w:cs="Times New Roman"/>
          <w:sz w:val="20"/>
          <w:szCs w:val="20"/>
          <w:vertAlign w:val="superscript"/>
        </w:rPr>
        <w:footnoteRef/>
      </w:r>
      <w:r w:rsidRPr="00CD4B73">
        <w:rPr>
          <w:rFonts w:ascii="Times New Roman" w:eastAsia="Times New Roman" w:hAnsi="Times New Roman" w:cs="Times New Roman"/>
          <w:sz w:val="20"/>
          <w:szCs w:val="20"/>
          <w:lang w:val="fr-FR"/>
        </w:rPr>
        <w:t>/</w:t>
      </w:r>
      <w:hyperlink r:id="rId9">
        <w:r w:rsidRPr="00CD4B73">
          <w:rPr>
            <w:rFonts w:ascii="Times New Roman" w:eastAsia="Times New Roman" w:hAnsi="Times New Roman" w:cs="Times New Roman"/>
            <w:color w:val="1155CC"/>
            <w:sz w:val="20"/>
            <w:szCs w:val="20"/>
            <w:u w:val="single"/>
            <w:lang w:val="fr-FR"/>
          </w:rPr>
          <w:t>https://euaa.europa.eu/sites/default/files/publications/2022-07/2022_7_COI_Report_FGM_MALI_EN.pdf</w:t>
        </w:r>
      </w:hyperlink>
      <w:r w:rsidRPr="00CD4B73">
        <w:rPr>
          <w:rFonts w:ascii="Times New Roman" w:eastAsia="Times New Roman" w:hAnsi="Times New Roman" w:cs="Times New Roman"/>
          <w:sz w:val="20"/>
          <w:szCs w:val="20"/>
          <w:lang w:val="fr-FR"/>
        </w:rPr>
        <w:t xml:space="preserve"> </w:t>
      </w:r>
    </w:p>
  </w:footnote>
  <w:footnote w:id="14">
    <w:p w14:paraId="4E7969F7" w14:textId="5CD6C8FD" w:rsidR="0064665A" w:rsidRPr="003D1DF0" w:rsidRDefault="00EC7DC5">
      <w:pPr>
        <w:spacing w:line="240" w:lineRule="auto"/>
        <w:rPr>
          <w:rFonts w:ascii="Times New Roman" w:eastAsia="Times New Roman" w:hAnsi="Times New Roman" w:cs="Times New Roman"/>
          <w:sz w:val="20"/>
          <w:szCs w:val="20"/>
          <w:lang w:val="fr-FR"/>
        </w:rPr>
      </w:pPr>
      <w:r w:rsidRPr="003D1DF0">
        <w:rPr>
          <w:rFonts w:ascii="Times New Roman" w:hAnsi="Times New Roman" w:cs="Times New Roman"/>
          <w:sz w:val="20"/>
          <w:szCs w:val="20"/>
          <w:vertAlign w:val="superscript"/>
        </w:rPr>
        <w:footnoteRef/>
      </w:r>
      <w:r w:rsidRPr="003D1DF0">
        <w:rPr>
          <w:rFonts w:ascii="Times New Roman" w:eastAsia="Times New Roman" w:hAnsi="Times New Roman" w:cs="Times New Roman"/>
          <w:sz w:val="20"/>
          <w:szCs w:val="20"/>
          <w:lang w:val="fr-FR"/>
        </w:rPr>
        <w:t xml:space="preserve"> </w:t>
      </w:r>
      <w:r w:rsidR="003D1DF0" w:rsidRPr="003D1DF0">
        <w:rPr>
          <w:rFonts w:ascii="Times New Roman" w:eastAsia="Times New Roman" w:hAnsi="Times New Roman" w:cs="Times New Roman"/>
          <w:sz w:val="20"/>
          <w:szCs w:val="20"/>
          <w:lang w:val="fr-FR"/>
        </w:rPr>
        <w:t xml:space="preserve">Enquête concernant le Mali en vertu de l'article 8 du Protocole facultatif à la Convention sur l'élimination de toutes les formes de discrimination à l'égard des femmes, paragraphe 81 (a), accessible à l'adresse : </w:t>
      </w:r>
      <w:hyperlink r:id="rId10">
        <w:r w:rsidRPr="003D1DF0">
          <w:rPr>
            <w:rFonts w:ascii="Times New Roman" w:eastAsia="Times New Roman" w:hAnsi="Times New Roman" w:cs="Times New Roman"/>
            <w:color w:val="1155CC"/>
            <w:sz w:val="20"/>
            <w:szCs w:val="20"/>
            <w:u w:val="single"/>
            <w:lang w:val="fr-FR"/>
          </w:rPr>
          <w:t>https://tbinternet.ohchr.org/_layouts/15/treatybodyexternal/Download.aspx?symbolno=CEDAW%2F%20C%2FIR%2FMLI%2F1&amp;Lang=en</w:t>
        </w:r>
      </w:hyperlink>
      <w:r w:rsidRPr="003D1DF0">
        <w:rPr>
          <w:rFonts w:ascii="Times New Roman" w:eastAsia="Times New Roman" w:hAnsi="Times New Roman" w:cs="Times New Roman"/>
          <w:sz w:val="20"/>
          <w:szCs w:val="20"/>
          <w:lang w:val="fr-FR"/>
        </w:rPr>
        <w:t xml:space="preserve"> </w:t>
      </w:r>
    </w:p>
  </w:footnote>
  <w:footnote w:id="15">
    <w:p w14:paraId="4E7969F8" w14:textId="14DC54F8" w:rsidR="0064665A" w:rsidRPr="00CD4B73" w:rsidRDefault="00EC7DC5">
      <w:pPr>
        <w:spacing w:line="240" w:lineRule="auto"/>
        <w:rPr>
          <w:rFonts w:ascii="Times New Roman" w:eastAsia="Times New Roman" w:hAnsi="Times New Roman" w:cs="Times New Roman"/>
          <w:sz w:val="20"/>
          <w:szCs w:val="20"/>
          <w:lang w:val="fr-FR"/>
        </w:rPr>
      </w:pPr>
      <w:r>
        <w:rPr>
          <w:vertAlign w:val="superscript"/>
        </w:rPr>
        <w:footnoteRef/>
      </w:r>
      <w:r w:rsidR="00107593" w:rsidRPr="00CD4B73">
        <w:rPr>
          <w:rFonts w:ascii="Times New Roman" w:eastAsia="Times New Roman" w:hAnsi="Times New Roman" w:cs="Times New Roman"/>
          <w:sz w:val="20"/>
          <w:szCs w:val="20"/>
          <w:lang w:val="fr-FR"/>
        </w:rPr>
        <w:t>/</w:t>
      </w:r>
      <w:hyperlink r:id="rId11">
        <w:r w:rsidR="00107593" w:rsidRPr="00CD4B73">
          <w:rPr>
            <w:rFonts w:ascii="Times New Roman" w:eastAsia="Times New Roman" w:hAnsi="Times New Roman" w:cs="Times New Roman"/>
            <w:color w:val="1155CC"/>
            <w:sz w:val="20"/>
            <w:szCs w:val="20"/>
            <w:u w:val="single"/>
            <w:lang w:val="fr-FR"/>
          </w:rPr>
          <w:t>https://euaa.europa.eu/sites/default/files/publications/2022-07/2022_7_COI_Report_FGM_MALI_EN.pdf</w:t>
        </w:r>
      </w:hyperlink>
      <w:r w:rsidRPr="00CD4B73">
        <w:rPr>
          <w:rFonts w:ascii="Times New Roman" w:eastAsia="Times New Roman" w:hAnsi="Times New Roman" w:cs="Times New Roman"/>
          <w:sz w:val="20"/>
          <w:szCs w:val="20"/>
          <w:lang w:val="fr-FR"/>
        </w:rPr>
        <w:t xml:space="preserve"> </w:t>
      </w:r>
    </w:p>
  </w:footnote>
  <w:footnote w:id="16">
    <w:p w14:paraId="4E7969F9" w14:textId="0D133719" w:rsidR="0064665A" w:rsidRDefault="00EC7D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Orchid Project </w:t>
      </w:r>
      <w:r w:rsidR="00937951">
        <w:rPr>
          <w:rFonts w:ascii="Times New Roman" w:eastAsia="Times New Roman" w:hAnsi="Times New Roman" w:cs="Times New Roman"/>
          <w:sz w:val="20"/>
          <w:szCs w:val="20"/>
        </w:rPr>
        <w:t>et</w:t>
      </w:r>
      <w:r>
        <w:rPr>
          <w:rFonts w:ascii="Times New Roman" w:eastAsia="Times New Roman" w:hAnsi="Times New Roman" w:cs="Times New Roman"/>
          <w:sz w:val="20"/>
          <w:szCs w:val="20"/>
        </w:rPr>
        <w:t xml:space="preserve"> 28 Too Many (2022) FGM/C in Mali: Country Profile Update June 2022, https://www.fgmcri.org/country/mali/</w:t>
      </w:r>
    </w:p>
  </w:footnote>
  <w:footnote w:id="17">
    <w:p w14:paraId="4E7969FA" w14:textId="77777777" w:rsidR="0064665A" w:rsidRDefault="00EC7D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D1EB9"/>
    <w:multiLevelType w:val="multilevel"/>
    <w:tmpl w:val="9ED86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D463A2"/>
    <w:multiLevelType w:val="multilevel"/>
    <w:tmpl w:val="052CAC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6B93DC3"/>
    <w:multiLevelType w:val="multilevel"/>
    <w:tmpl w:val="2C529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9D4D17"/>
    <w:multiLevelType w:val="multilevel"/>
    <w:tmpl w:val="3C42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6675297">
    <w:abstractNumId w:val="1"/>
  </w:num>
  <w:num w:numId="2" w16cid:durableId="209071047">
    <w:abstractNumId w:val="3"/>
  </w:num>
  <w:num w:numId="3" w16cid:durableId="764106826">
    <w:abstractNumId w:val="0"/>
  </w:num>
  <w:num w:numId="4" w16cid:durableId="1195382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65A"/>
    <w:rsid w:val="00024657"/>
    <w:rsid w:val="00035D7A"/>
    <w:rsid w:val="00067BAB"/>
    <w:rsid w:val="00107593"/>
    <w:rsid w:val="0015075D"/>
    <w:rsid w:val="0016358A"/>
    <w:rsid w:val="001A43A1"/>
    <w:rsid w:val="001A6B1E"/>
    <w:rsid w:val="00204957"/>
    <w:rsid w:val="00205EB6"/>
    <w:rsid w:val="00224F1C"/>
    <w:rsid w:val="002426DF"/>
    <w:rsid w:val="002C0918"/>
    <w:rsid w:val="0038004D"/>
    <w:rsid w:val="003D1DF0"/>
    <w:rsid w:val="00406DC6"/>
    <w:rsid w:val="004A08DC"/>
    <w:rsid w:val="004C3876"/>
    <w:rsid w:val="004C43AE"/>
    <w:rsid w:val="004C7101"/>
    <w:rsid w:val="00510AC1"/>
    <w:rsid w:val="005A1BAE"/>
    <w:rsid w:val="005A685C"/>
    <w:rsid w:val="00633AF4"/>
    <w:rsid w:val="0064665A"/>
    <w:rsid w:val="00667762"/>
    <w:rsid w:val="0072021D"/>
    <w:rsid w:val="0083780A"/>
    <w:rsid w:val="0090008C"/>
    <w:rsid w:val="00916DBA"/>
    <w:rsid w:val="00937951"/>
    <w:rsid w:val="009814D3"/>
    <w:rsid w:val="009D1851"/>
    <w:rsid w:val="009E10F9"/>
    <w:rsid w:val="009F5B93"/>
    <w:rsid w:val="00A67D20"/>
    <w:rsid w:val="00AA6679"/>
    <w:rsid w:val="00B508E1"/>
    <w:rsid w:val="00BA168B"/>
    <w:rsid w:val="00C2496E"/>
    <w:rsid w:val="00C33BE3"/>
    <w:rsid w:val="00C53F5A"/>
    <w:rsid w:val="00C7254E"/>
    <w:rsid w:val="00C961F8"/>
    <w:rsid w:val="00CA4728"/>
    <w:rsid w:val="00CD4B73"/>
    <w:rsid w:val="00DE2F5B"/>
    <w:rsid w:val="00E646CB"/>
    <w:rsid w:val="00E71742"/>
    <w:rsid w:val="00E916B4"/>
    <w:rsid w:val="00EB5A14"/>
    <w:rsid w:val="00EC6236"/>
    <w:rsid w:val="00EC7DC5"/>
    <w:rsid w:val="00F152F7"/>
    <w:rsid w:val="00F81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9699A"/>
  <w15:docId w15:val="{5D190EE0-C7E8-4963-B786-046F31EB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1A6B1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71742"/>
    <w:pPr>
      <w:ind w:left="720"/>
      <w:contextualSpacing/>
    </w:pPr>
  </w:style>
  <w:style w:type="character" w:styleId="Hyperlink">
    <w:name w:val="Hyperlink"/>
    <w:basedOn w:val="DefaultParagraphFont"/>
    <w:uiPriority w:val="99"/>
    <w:unhideWhenUsed/>
    <w:rsid w:val="00C7254E"/>
    <w:rPr>
      <w:color w:val="0000FF"/>
      <w:u w:val="single"/>
    </w:rPr>
  </w:style>
  <w:style w:type="paragraph" w:styleId="Revision">
    <w:name w:val="Revision"/>
    <w:hidden/>
    <w:uiPriority w:val="99"/>
    <w:semiHidden/>
    <w:rsid w:val="0015075D"/>
    <w:pPr>
      <w:spacing w:line="240" w:lineRule="auto"/>
    </w:pPr>
  </w:style>
  <w:style w:type="paragraph" w:styleId="Header">
    <w:name w:val="header"/>
    <w:basedOn w:val="Normal"/>
    <w:link w:val="HeaderChar"/>
    <w:uiPriority w:val="99"/>
    <w:unhideWhenUsed/>
    <w:rsid w:val="00F815C7"/>
    <w:pPr>
      <w:tabs>
        <w:tab w:val="center" w:pos="4513"/>
        <w:tab w:val="right" w:pos="9026"/>
      </w:tabs>
      <w:spacing w:line="240" w:lineRule="auto"/>
    </w:pPr>
  </w:style>
  <w:style w:type="character" w:customStyle="1" w:styleId="HeaderChar">
    <w:name w:val="Header Char"/>
    <w:basedOn w:val="DefaultParagraphFont"/>
    <w:link w:val="Header"/>
    <w:uiPriority w:val="99"/>
    <w:rsid w:val="00F815C7"/>
  </w:style>
  <w:style w:type="paragraph" w:styleId="Footer">
    <w:name w:val="footer"/>
    <w:basedOn w:val="Normal"/>
    <w:link w:val="FooterChar"/>
    <w:uiPriority w:val="99"/>
    <w:unhideWhenUsed/>
    <w:rsid w:val="00F815C7"/>
    <w:pPr>
      <w:tabs>
        <w:tab w:val="center" w:pos="4513"/>
        <w:tab w:val="right" w:pos="9026"/>
      </w:tabs>
      <w:spacing w:line="240" w:lineRule="auto"/>
    </w:pPr>
  </w:style>
  <w:style w:type="character" w:customStyle="1" w:styleId="FooterChar">
    <w:name w:val="Footer Char"/>
    <w:basedOn w:val="DefaultParagraphFont"/>
    <w:link w:val="Footer"/>
    <w:uiPriority w:val="99"/>
    <w:rsid w:val="00F81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3650">
      <w:bodyDiv w:val="1"/>
      <w:marLeft w:val="0"/>
      <w:marRight w:val="0"/>
      <w:marTop w:val="0"/>
      <w:marBottom w:val="0"/>
      <w:divBdr>
        <w:top w:val="none" w:sz="0" w:space="0" w:color="auto"/>
        <w:left w:val="none" w:sz="0" w:space="0" w:color="auto"/>
        <w:bottom w:val="none" w:sz="0" w:space="0" w:color="auto"/>
        <w:right w:val="none" w:sz="0" w:space="0" w:color="auto"/>
      </w:divBdr>
    </w:div>
    <w:div w:id="113602857">
      <w:bodyDiv w:val="1"/>
      <w:marLeft w:val="0"/>
      <w:marRight w:val="0"/>
      <w:marTop w:val="0"/>
      <w:marBottom w:val="0"/>
      <w:divBdr>
        <w:top w:val="none" w:sz="0" w:space="0" w:color="auto"/>
        <w:left w:val="none" w:sz="0" w:space="0" w:color="auto"/>
        <w:bottom w:val="none" w:sz="0" w:space="0" w:color="auto"/>
        <w:right w:val="none" w:sz="0" w:space="0" w:color="auto"/>
      </w:divBdr>
    </w:div>
    <w:div w:id="207574024">
      <w:bodyDiv w:val="1"/>
      <w:marLeft w:val="0"/>
      <w:marRight w:val="0"/>
      <w:marTop w:val="0"/>
      <w:marBottom w:val="0"/>
      <w:divBdr>
        <w:top w:val="none" w:sz="0" w:space="0" w:color="auto"/>
        <w:left w:val="none" w:sz="0" w:space="0" w:color="auto"/>
        <w:bottom w:val="none" w:sz="0" w:space="0" w:color="auto"/>
        <w:right w:val="none" w:sz="0" w:space="0" w:color="auto"/>
      </w:divBdr>
    </w:div>
    <w:div w:id="877426366">
      <w:bodyDiv w:val="1"/>
      <w:marLeft w:val="0"/>
      <w:marRight w:val="0"/>
      <w:marTop w:val="0"/>
      <w:marBottom w:val="0"/>
      <w:divBdr>
        <w:top w:val="none" w:sz="0" w:space="0" w:color="auto"/>
        <w:left w:val="none" w:sz="0" w:space="0" w:color="auto"/>
        <w:bottom w:val="none" w:sz="0" w:space="0" w:color="auto"/>
        <w:right w:val="none" w:sz="0" w:space="0" w:color="auto"/>
      </w:divBdr>
    </w:div>
    <w:div w:id="939721564">
      <w:bodyDiv w:val="1"/>
      <w:marLeft w:val="0"/>
      <w:marRight w:val="0"/>
      <w:marTop w:val="0"/>
      <w:marBottom w:val="0"/>
      <w:divBdr>
        <w:top w:val="none" w:sz="0" w:space="0" w:color="auto"/>
        <w:left w:val="none" w:sz="0" w:space="0" w:color="auto"/>
        <w:bottom w:val="none" w:sz="0" w:space="0" w:color="auto"/>
        <w:right w:val="none" w:sz="0" w:space="0" w:color="auto"/>
      </w:divBdr>
    </w:div>
    <w:div w:id="1106390461">
      <w:bodyDiv w:val="1"/>
      <w:marLeft w:val="0"/>
      <w:marRight w:val="0"/>
      <w:marTop w:val="0"/>
      <w:marBottom w:val="0"/>
      <w:divBdr>
        <w:top w:val="none" w:sz="0" w:space="0" w:color="auto"/>
        <w:left w:val="none" w:sz="0" w:space="0" w:color="auto"/>
        <w:bottom w:val="none" w:sz="0" w:space="0" w:color="auto"/>
        <w:right w:val="none" w:sz="0" w:space="0" w:color="auto"/>
      </w:divBdr>
    </w:div>
    <w:div w:id="1314212689">
      <w:bodyDiv w:val="1"/>
      <w:marLeft w:val="0"/>
      <w:marRight w:val="0"/>
      <w:marTop w:val="0"/>
      <w:marBottom w:val="0"/>
      <w:divBdr>
        <w:top w:val="none" w:sz="0" w:space="0" w:color="auto"/>
        <w:left w:val="none" w:sz="0" w:space="0" w:color="auto"/>
        <w:bottom w:val="none" w:sz="0" w:space="0" w:color="auto"/>
        <w:right w:val="none" w:sz="0" w:space="0" w:color="auto"/>
      </w:divBdr>
    </w:div>
    <w:div w:id="1434789187">
      <w:bodyDiv w:val="1"/>
      <w:marLeft w:val="0"/>
      <w:marRight w:val="0"/>
      <w:marTop w:val="0"/>
      <w:marBottom w:val="0"/>
      <w:divBdr>
        <w:top w:val="none" w:sz="0" w:space="0" w:color="auto"/>
        <w:left w:val="none" w:sz="0" w:space="0" w:color="auto"/>
        <w:bottom w:val="none" w:sz="0" w:space="0" w:color="auto"/>
        <w:right w:val="none" w:sz="0" w:space="0" w:color="auto"/>
      </w:divBdr>
    </w:div>
    <w:div w:id="1444691829">
      <w:bodyDiv w:val="1"/>
      <w:marLeft w:val="0"/>
      <w:marRight w:val="0"/>
      <w:marTop w:val="0"/>
      <w:marBottom w:val="0"/>
      <w:divBdr>
        <w:top w:val="none" w:sz="0" w:space="0" w:color="auto"/>
        <w:left w:val="none" w:sz="0" w:space="0" w:color="auto"/>
        <w:bottom w:val="none" w:sz="0" w:space="0" w:color="auto"/>
        <w:right w:val="none" w:sz="0" w:space="0" w:color="auto"/>
      </w:divBdr>
    </w:div>
    <w:div w:id="1551459675">
      <w:bodyDiv w:val="1"/>
      <w:marLeft w:val="0"/>
      <w:marRight w:val="0"/>
      <w:marTop w:val="0"/>
      <w:marBottom w:val="0"/>
      <w:divBdr>
        <w:top w:val="none" w:sz="0" w:space="0" w:color="auto"/>
        <w:left w:val="none" w:sz="0" w:space="0" w:color="auto"/>
        <w:bottom w:val="none" w:sz="0" w:space="0" w:color="auto"/>
        <w:right w:val="none" w:sz="0" w:space="0" w:color="auto"/>
      </w:divBdr>
    </w:div>
    <w:div w:id="1850678194">
      <w:bodyDiv w:val="1"/>
      <w:marLeft w:val="0"/>
      <w:marRight w:val="0"/>
      <w:marTop w:val="0"/>
      <w:marBottom w:val="0"/>
      <w:divBdr>
        <w:top w:val="none" w:sz="0" w:space="0" w:color="auto"/>
        <w:left w:val="none" w:sz="0" w:space="0" w:color="auto"/>
        <w:bottom w:val="none" w:sz="0" w:space="0" w:color="auto"/>
        <w:right w:val="none" w:sz="0" w:space="0" w:color="auto"/>
      </w:divBdr>
    </w:div>
    <w:div w:id="204697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caro.unfpa.org/sites/default/files/pub-pdf/UNFPA-ANALYSIS-ON-FGM-WEB.pdf" TargetMode="External"/><Relationship Id="rId3" Type="http://schemas.openxmlformats.org/officeDocument/2006/relationships/hyperlink" Target="https://www.unicef.org/mali/en/reports/female-genital-mutilation-mali" TargetMode="External"/><Relationship Id="rId7" Type="http://schemas.openxmlformats.org/officeDocument/2006/relationships/hyperlink" Target="https://tbinternet.ohchr.org/_layouts/15/treatybodyexternal/Download.aspx?symbolno=CEDAW%2F%20C%2FIR%2FMLI%2F1&amp;Lang=en" TargetMode="External"/><Relationship Id="rId2" Type="http://schemas.openxmlformats.org/officeDocument/2006/relationships/hyperlink" Target="https://data.unicef.org/topic/child-protection/female-genital-mutilation/" TargetMode="External"/><Relationship Id="rId1" Type="http://schemas.openxmlformats.org/officeDocument/2006/relationships/hyperlink" Target="file:///C:\Users\BALLO\Downloads\suivante%20:%20https:\tbinternet.ohchr.org\_layouts\15\treatybodyexternal\Download.aspx%3f" TargetMode="External"/><Relationship Id="rId6" Type="http://schemas.openxmlformats.org/officeDocument/2006/relationships/hyperlink" Target="https://www.unicef.org/mali/en/reports/female-genital-mutilation-mali" TargetMode="External"/><Relationship Id="rId11" Type="http://schemas.openxmlformats.org/officeDocument/2006/relationships/hyperlink" Target="https://euaa.europa.eu/sites/default/files/publications/2022-07/2022_7_COI_Report_FGM_MALI_EN.pdf" TargetMode="External"/><Relationship Id="rId5" Type="http://schemas.openxmlformats.org/officeDocument/2006/relationships/hyperlink" Target="https://euaa.europa.eu/sites/default/files/publications/2022-07/2022_7_COI_Report_FGM_MALI_EN.pdf" TargetMode="External"/><Relationship Id="rId10" Type="http://schemas.openxmlformats.org/officeDocument/2006/relationships/hyperlink" Target="https://tbinternet.ohchr.org/_layouts/15/treatybodyexternal/Download.aspx?symbolno=CEDAW%2F%20C%2FIR%2FMLI%2F1&amp;Lang=en" TargetMode="External"/><Relationship Id="rId4" Type="http://schemas.openxmlformats.org/officeDocument/2006/relationships/hyperlink" Target="https://www.statista.com/statistics/967880/total-population-of-mali-by-gender/" TargetMode="External"/><Relationship Id="rId9" Type="http://schemas.openxmlformats.org/officeDocument/2006/relationships/hyperlink" Target="https://euaa.europa.eu/sites/default/files/publications/2022-07/2022_7_COI_Report_FGM_MALI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1973</Words>
  <Characters>11249</Characters>
  <Application>Microsoft Office Word</Application>
  <DocSecurity>0</DocSecurity>
  <Lines>93</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Mugambi</dc:creator>
  <cp:lastModifiedBy>James Boit</cp:lastModifiedBy>
  <cp:revision>2</cp:revision>
  <dcterms:created xsi:type="dcterms:W3CDTF">2024-04-21T12:26:00Z</dcterms:created>
  <dcterms:modified xsi:type="dcterms:W3CDTF">2024-04-21T12:26:00Z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93426a6467f82e49d33900220b1cf1ebd7209675c2e8e3b49b8ba23ca61bea8b</vt:lpwstr>
  </property>
</Properties>
</file>