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D4F994F" w:rsidR="00C60456" w:rsidRPr="00C4458A" w:rsidRDefault="00C60456">
      <w:pPr>
        <w:spacing w:after="200" w:line="360" w:lineRule="auto"/>
        <w:ind w:left="720"/>
        <w:jc w:val="center"/>
        <w:rPr>
          <w:b/>
          <w:color w:val="0B5394"/>
          <w:sz w:val="36"/>
          <w:szCs w:val="36"/>
        </w:rPr>
      </w:pPr>
    </w:p>
    <w:p w14:paraId="00000003" w14:textId="7447F704" w:rsidR="00C60456" w:rsidRPr="00C4458A" w:rsidRDefault="00C60456" w:rsidP="005F75A8">
      <w:pPr>
        <w:spacing w:line="360" w:lineRule="auto"/>
        <w:ind w:left="720"/>
        <w:jc w:val="center"/>
        <w:rPr>
          <w:b/>
          <w:color w:val="0B5394"/>
          <w:sz w:val="36"/>
          <w:szCs w:val="36"/>
        </w:rPr>
      </w:pPr>
    </w:p>
    <w:p w14:paraId="00000004" w14:textId="3596AB7B" w:rsidR="00C60456" w:rsidRPr="00C4458A" w:rsidRDefault="008A1D61">
      <w:pPr>
        <w:spacing w:after="200" w:line="360" w:lineRule="auto"/>
        <w:ind w:left="720"/>
        <w:jc w:val="center"/>
        <w:rPr>
          <w:b/>
          <w:color w:val="0B5394"/>
          <w:sz w:val="36"/>
          <w:szCs w:val="36"/>
        </w:rPr>
      </w:pPr>
      <w:r w:rsidRPr="00D15792">
        <w:rPr>
          <w:b/>
          <w:color w:val="0B5394"/>
          <w:sz w:val="36"/>
          <w:szCs w:val="36"/>
        </w:rPr>
        <w:t xml:space="preserve">ACTUALIZACION DEL </w:t>
      </w:r>
      <w:r w:rsidR="0007730F" w:rsidRPr="00D15792">
        <w:rPr>
          <w:b/>
          <w:color w:val="0B5394"/>
          <w:sz w:val="36"/>
          <w:szCs w:val="36"/>
        </w:rPr>
        <w:t>INFORME</w:t>
      </w:r>
      <w:r w:rsidR="0007730F" w:rsidRPr="00C4458A">
        <w:rPr>
          <w:b/>
          <w:color w:val="0B5394"/>
          <w:sz w:val="36"/>
          <w:szCs w:val="36"/>
        </w:rPr>
        <w:t xml:space="preserve"> ALTERNO PREPARADO POR ORGANIZACIONES DE LA SOCIEDAD CIVIL ANTE EL COMITÉ DE LOS DERECHOS DEL NIÑO DE LAS NACIONES UNIDAS</w:t>
      </w:r>
    </w:p>
    <w:p w14:paraId="00000005" w14:textId="258DC53C" w:rsidR="00C60456" w:rsidRPr="00C4458A" w:rsidRDefault="0007730F">
      <w:pPr>
        <w:spacing w:after="200" w:line="360" w:lineRule="auto"/>
        <w:ind w:left="720"/>
        <w:jc w:val="center"/>
        <w:rPr>
          <w:b/>
          <w:color w:val="0B5394"/>
          <w:sz w:val="36"/>
          <w:szCs w:val="36"/>
        </w:rPr>
      </w:pPr>
      <w:r w:rsidRPr="00C4458A">
        <w:rPr>
          <w:b/>
          <w:color w:val="0B5394"/>
          <w:sz w:val="36"/>
          <w:szCs w:val="36"/>
        </w:rPr>
        <w:t>202</w:t>
      </w:r>
      <w:r w:rsidR="000D2BEB" w:rsidRPr="00C4458A">
        <w:rPr>
          <w:b/>
          <w:color w:val="0B5394"/>
          <w:sz w:val="36"/>
          <w:szCs w:val="36"/>
        </w:rPr>
        <w:t>5</w:t>
      </w:r>
    </w:p>
    <w:p w14:paraId="00000006" w14:textId="77777777" w:rsidR="00C60456" w:rsidRPr="00C4458A" w:rsidRDefault="00C60456" w:rsidP="005F75A8">
      <w:pPr>
        <w:spacing w:line="360" w:lineRule="auto"/>
        <w:ind w:left="720"/>
        <w:jc w:val="center"/>
        <w:rPr>
          <w:b/>
          <w:color w:val="0B5394"/>
          <w:sz w:val="36"/>
          <w:szCs w:val="36"/>
        </w:rPr>
      </w:pPr>
    </w:p>
    <w:p w14:paraId="00000007" w14:textId="3865DB5F" w:rsidR="00C60456" w:rsidRPr="00C4458A" w:rsidRDefault="0007730F" w:rsidP="006D2058">
      <w:pPr>
        <w:spacing w:after="200" w:line="360" w:lineRule="auto"/>
        <w:ind w:left="567" w:right="571"/>
        <w:jc w:val="both"/>
        <w:rPr>
          <w:rFonts w:ascii="Roboto" w:eastAsia="Roboto" w:hAnsi="Roboto" w:cs="Roboto"/>
          <w:color w:val="0D0D0D"/>
          <w:sz w:val="24"/>
          <w:szCs w:val="24"/>
        </w:rPr>
      </w:pPr>
      <w:r w:rsidRPr="00C4458A">
        <w:rPr>
          <w:b/>
          <w:sz w:val="24"/>
          <w:szCs w:val="24"/>
        </w:rPr>
        <w:t xml:space="preserve">Presentado por: </w:t>
      </w:r>
      <w:r w:rsidRPr="00C4458A">
        <w:rPr>
          <w:rFonts w:ascii="Roboto" w:eastAsia="Roboto" w:hAnsi="Roboto" w:cs="Roboto"/>
          <w:color w:val="0D0D0D"/>
          <w:sz w:val="24"/>
          <w:szCs w:val="24"/>
        </w:rPr>
        <w:t>Asociación Santa Rita para la Educación y Promoción (FUNSAREP), Centro Cultural las Colinas (CECUCOL), Corporación Convivamos, Fundación Creciendo Unidos, FIAN Colombia, Humanidad Vigente Corporación Jurídica (HVCJ), PAS (Pensamiento y Acción Social), Plataforma Colombiana por el Protagonismo de Niñas, Niños y Jóvenes, Terre des Hommes Alemania (TDHA), Terre des Hommes Suiza (TDHS).</w:t>
      </w:r>
    </w:p>
    <w:p w14:paraId="43DAAFD4" w14:textId="108FB932" w:rsidR="001077BB" w:rsidRPr="00C4458A" w:rsidRDefault="0007730F" w:rsidP="001077BB">
      <w:pPr>
        <w:pStyle w:val="NormalWeb"/>
      </w:pPr>
      <w:r w:rsidRPr="00C4458A">
        <w:rPr>
          <w:noProof/>
        </w:rPr>
        <w:drawing>
          <wp:anchor distT="0" distB="0" distL="114300" distR="114300" simplePos="0" relativeHeight="251660288" behindDoc="0" locked="0" layoutInCell="1" allowOverlap="1" wp14:anchorId="1DC9053D" wp14:editId="5E193204">
            <wp:simplePos x="0" y="0"/>
            <wp:positionH relativeFrom="margin">
              <wp:posOffset>2265901</wp:posOffset>
            </wp:positionH>
            <wp:positionV relativeFrom="paragraph">
              <wp:posOffset>276998</wp:posOffset>
            </wp:positionV>
            <wp:extent cx="1581785" cy="98869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81785" cy="988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494C" w:rsidRPr="00C4458A">
        <w:rPr>
          <w:noProof/>
        </w:rPr>
        <w:drawing>
          <wp:anchor distT="0" distB="0" distL="114300" distR="114300" simplePos="0" relativeHeight="251658240" behindDoc="0" locked="0" layoutInCell="1" allowOverlap="1" wp14:anchorId="7CE48C11" wp14:editId="3D5FA978">
            <wp:simplePos x="0" y="0"/>
            <wp:positionH relativeFrom="margin">
              <wp:posOffset>-29182</wp:posOffset>
            </wp:positionH>
            <wp:positionV relativeFrom="paragraph">
              <wp:posOffset>245137</wp:posOffset>
            </wp:positionV>
            <wp:extent cx="581025" cy="762635"/>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025" cy="762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5F496E" w14:textId="79D6556B" w:rsidR="000D1300" w:rsidRPr="00C4458A" w:rsidRDefault="00EF494C" w:rsidP="000D1300">
      <w:pPr>
        <w:pStyle w:val="NormalWeb"/>
      </w:pPr>
      <w:r w:rsidRPr="00C4458A">
        <w:rPr>
          <w:noProof/>
        </w:rPr>
        <w:drawing>
          <wp:anchor distT="0" distB="0" distL="114300" distR="114300" simplePos="0" relativeHeight="251659264" behindDoc="0" locked="0" layoutInCell="1" allowOverlap="1" wp14:anchorId="11EAAA12" wp14:editId="72D1003C">
            <wp:simplePos x="0" y="0"/>
            <wp:positionH relativeFrom="column">
              <wp:posOffset>765810</wp:posOffset>
            </wp:positionH>
            <wp:positionV relativeFrom="paragraph">
              <wp:posOffset>81915</wp:posOffset>
            </wp:positionV>
            <wp:extent cx="1503045" cy="480695"/>
            <wp:effectExtent l="0" t="0" r="190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3045" cy="480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458A">
        <w:rPr>
          <w:noProof/>
        </w:rPr>
        <w:drawing>
          <wp:anchor distT="0" distB="0" distL="114300" distR="114300" simplePos="0" relativeHeight="251661312" behindDoc="0" locked="0" layoutInCell="1" allowOverlap="1" wp14:anchorId="64B9DBAD" wp14:editId="5F020516">
            <wp:simplePos x="0" y="0"/>
            <wp:positionH relativeFrom="column">
              <wp:posOffset>5119978</wp:posOffset>
            </wp:positionH>
            <wp:positionV relativeFrom="paragraph">
              <wp:posOffset>219269</wp:posOffset>
            </wp:positionV>
            <wp:extent cx="1502875" cy="663128"/>
            <wp:effectExtent l="0" t="0" r="2540" b="381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02875" cy="663128"/>
                    </a:xfrm>
                    <a:prstGeom prst="rect">
                      <a:avLst/>
                    </a:prstGeom>
                  </pic:spPr>
                </pic:pic>
              </a:graphicData>
            </a:graphic>
          </wp:anchor>
        </w:drawing>
      </w:r>
      <w:r w:rsidRPr="00C4458A">
        <w:rPr>
          <w:noProof/>
        </w:rPr>
        <w:drawing>
          <wp:anchor distT="0" distB="0" distL="114300" distR="114300" simplePos="0" relativeHeight="251662336" behindDoc="0" locked="0" layoutInCell="1" allowOverlap="1" wp14:anchorId="464E3A3B" wp14:editId="2AB1363A">
            <wp:simplePos x="0" y="0"/>
            <wp:positionH relativeFrom="column">
              <wp:posOffset>3939982</wp:posOffset>
            </wp:positionH>
            <wp:positionV relativeFrom="paragraph">
              <wp:posOffset>183239</wp:posOffset>
            </wp:positionV>
            <wp:extent cx="1078230" cy="606425"/>
            <wp:effectExtent l="0" t="0" r="7620" b="317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8230" cy="606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1CB509" w14:textId="760B0701" w:rsidR="00D2780D" w:rsidRPr="00C4458A" w:rsidRDefault="00D2780D" w:rsidP="00D2780D">
      <w:pPr>
        <w:pStyle w:val="NormalWeb"/>
      </w:pPr>
    </w:p>
    <w:p w14:paraId="5E1D5D0C" w14:textId="132E5F37" w:rsidR="00B238E6" w:rsidRPr="00C4458A" w:rsidRDefault="00EF494C" w:rsidP="00B238E6">
      <w:pPr>
        <w:pStyle w:val="NormalWeb"/>
      </w:pPr>
      <w:r w:rsidRPr="00C4458A">
        <w:rPr>
          <w:noProof/>
        </w:rPr>
        <w:drawing>
          <wp:anchor distT="0" distB="0" distL="114300" distR="114300" simplePos="0" relativeHeight="251665408" behindDoc="0" locked="0" layoutInCell="1" allowOverlap="1" wp14:anchorId="3C5873CD" wp14:editId="54C8F622">
            <wp:simplePos x="0" y="0"/>
            <wp:positionH relativeFrom="column">
              <wp:posOffset>5247005</wp:posOffset>
            </wp:positionH>
            <wp:positionV relativeFrom="paragraph">
              <wp:posOffset>161290</wp:posOffset>
            </wp:positionV>
            <wp:extent cx="1350645" cy="512445"/>
            <wp:effectExtent l="0" t="0" r="190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645" cy="512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458A">
        <w:rPr>
          <w:noProof/>
        </w:rPr>
        <w:drawing>
          <wp:anchor distT="0" distB="0" distL="114300" distR="114300" simplePos="0" relativeHeight="251667456" behindDoc="0" locked="0" layoutInCell="1" allowOverlap="1" wp14:anchorId="1D3CDD84" wp14:editId="583B379A">
            <wp:simplePos x="0" y="0"/>
            <wp:positionH relativeFrom="column">
              <wp:posOffset>3676516</wp:posOffset>
            </wp:positionH>
            <wp:positionV relativeFrom="paragraph">
              <wp:posOffset>280835</wp:posOffset>
            </wp:positionV>
            <wp:extent cx="1516953" cy="256343"/>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2062"/>
                    <a:stretch/>
                  </pic:blipFill>
                  <pic:spPr bwMode="auto">
                    <a:xfrm>
                      <a:off x="0" y="0"/>
                      <a:ext cx="1516953" cy="256343"/>
                    </a:xfrm>
                    <a:prstGeom prst="rect">
                      <a:avLst/>
                    </a:prstGeom>
                    <a:ln>
                      <a:noFill/>
                    </a:ln>
                    <a:extLst>
                      <a:ext uri="{53640926-AAD7-44D8-BBD7-CCE9431645EC}">
                        <a14:shadowObscured xmlns:a14="http://schemas.microsoft.com/office/drawing/2010/main"/>
                      </a:ext>
                    </a:extLst>
                  </pic:spPr>
                </pic:pic>
              </a:graphicData>
            </a:graphic>
          </wp:anchor>
        </w:drawing>
      </w:r>
      <w:r w:rsidRPr="00C4458A">
        <w:rPr>
          <w:noProof/>
        </w:rPr>
        <w:drawing>
          <wp:anchor distT="0" distB="0" distL="114300" distR="114300" simplePos="0" relativeHeight="251664384" behindDoc="0" locked="0" layoutInCell="1" allowOverlap="1" wp14:anchorId="629AB356" wp14:editId="3A650DB6">
            <wp:simplePos x="0" y="0"/>
            <wp:positionH relativeFrom="column">
              <wp:posOffset>1020445</wp:posOffset>
            </wp:positionH>
            <wp:positionV relativeFrom="paragraph">
              <wp:posOffset>8835</wp:posOffset>
            </wp:positionV>
            <wp:extent cx="628650" cy="666799"/>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8650" cy="666799"/>
                    </a:xfrm>
                    <a:prstGeom prst="rect">
                      <a:avLst/>
                    </a:prstGeom>
                    <a:noFill/>
                    <a:ln>
                      <a:noFill/>
                    </a:ln>
                  </pic:spPr>
                </pic:pic>
              </a:graphicData>
            </a:graphic>
          </wp:anchor>
        </w:drawing>
      </w:r>
      <w:r w:rsidRPr="00C4458A">
        <w:rPr>
          <w:noProof/>
        </w:rPr>
        <w:drawing>
          <wp:anchor distT="0" distB="0" distL="114300" distR="114300" simplePos="0" relativeHeight="251663360" behindDoc="0" locked="0" layoutInCell="1" allowOverlap="1" wp14:anchorId="5898FC27" wp14:editId="4D628954">
            <wp:simplePos x="0" y="0"/>
            <wp:positionH relativeFrom="margin">
              <wp:posOffset>-398477</wp:posOffset>
            </wp:positionH>
            <wp:positionV relativeFrom="paragraph">
              <wp:posOffset>157867</wp:posOffset>
            </wp:positionV>
            <wp:extent cx="1270000" cy="422910"/>
            <wp:effectExtent l="0" t="0" r="635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70000" cy="422910"/>
                    </a:xfrm>
                    <a:prstGeom prst="rect">
                      <a:avLst/>
                    </a:prstGeom>
                    <a:noFill/>
                    <a:ln>
                      <a:noFill/>
                    </a:ln>
                  </pic:spPr>
                </pic:pic>
              </a:graphicData>
            </a:graphic>
          </wp:anchor>
        </w:drawing>
      </w:r>
      <w:r w:rsidRPr="00C4458A">
        <w:rPr>
          <w:noProof/>
        </w:rPr>
        <w:drawing>
          <wp:anchor distT="0" distB="0" distL="114300" distR="114300" simplePos="0" relativeHeight="251666432" behindDoc="0" locked="0" layoutInCell="1" allowOverlap="1" wp14:anchorId="152C4345" wp14:editId="07C0A2F7">
            <wp:simplePos x="0" y="0"/>
            <wp:positionH relativeFrom="margin">
              <wp:posOffset>1679575</wp:posOffset>
            </wp:positionH>
            <wp:positionV relativeFrom="paragraph">
              <wp:posOffset>10160</wp:posOffset>
            </wp:positionV>
            <wp:extent cx="1897380" cy="803275"/>
            <wp:effectExtent l="0" t="0" r="762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97380" cy="803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1DC15B" w14:textId="5A7C60DC" w:rsidR="00924EFA" w:rsidRPr="00C4458A" w:rsidRDefault="00924EFA"/>
    <w:sdt>
      <w:sdtPr>
        <w:rPr>
          <w:rFonts w:ascii="Arial" w:eastAsia="Arial" w:hAnsi="Arial" w:cs="Arial"/>
          <w:b w:val="0"/>
          <w:color w:val="auto"/>
          <w:sz w:val="22"/>
          <w:szCs w:val="22"/>
          <w:lang w:val="es-CO" w:eastAsia="en-GB"/>
        </w:rPr>
        <w:id w:val="273059362"/>
        <w:docPartObj>
          <w:docPartGallery w:val="Table of Contents"/>
          <w:docPartUnique/>
        </w:docPartObj>
      </w:sdtPr>
      <w:sdtEndPr>
        <w:rPr>
          <w:bCs/>
        </w:rPr>
      </w:sdtEndPr>
      <w:sdtContent>
        <w:p w14:paraId="059FF806" w14:textId="1E1710D6" w:rsidR="00C76D00" w:rsidRDefault="00C76D00">
          <w:pPr>
            <w:pStyle w:val="TOCHeading"/>
            <w:rPr>
              <w:rFonts w:asciiTheme="minorBidi" w:hAnsiTheme="minorBidi" w:cstheme="minorBidi"/>
              <w:sz w:val="22"/>
              <w:szCs w:val="22"/>
              <w:lang w:val="es-CO"/>
            </w:rPr>
          </w:pPr>
          <w:r w:rsidRPr="00C4458A">
            <w:rPr>
              <w:rFonts w:asciiTheme="minorBidi" w:hAnsiTheme="minorBidi" w:cstheme="minorBidi"/>
              <w:sz w:val="22"/>
              <w:szCs w:val="22"/>
              <w:lang w:val="es-CO"/>
            </w:rPr>
            <w:t>Conten</w:t>
          </w:r>
          <w:r w:rsidR="006B27B8">
            <w:rPr>
              <w:rFonts w:asciiTheme="minorBidi" w:hAnsiTheme="minorBidi" w:cstheme="minorBidi"/>
              <w:sz w:val="22"/>
              <w:szCs w:val="22"/>
              <w:lang w:val="es-CO"/>
            </w:rPr>
            <w:t>ido</w:t>
          </w:r>
        </w:p>
        <w:p w14:paraId="69EE3497" w14:textId="77777777" w:rsidR="006B27B8" w:rsidRPr="006B27B8" w:rsidRDefault="006B27B8" w:rsidP="006B27B8">
          <w:pPr>
            <w:rPr>
              <w:lang w:eastAsia="en-US"/>
            </w:rPr>
          </w:pPr>
        </w:p>
        <w:p w14:paraId="4429C165" w14:textId="3BDEDF54" w:rsidR="0060489C" w:rsidRDefault="00C76D00">
          <w:pPr>
            <w:pStyle w:val="TOC1"/>
            <w:tabs>
              <w:tab w:val="right" w:leader="dot" w:pos="9350"/>
            </w:tabs>
            <w:rPr>
              <w:rFonts w:cstheme="minorBidi"/>
              <w:noProof/>
              <w:kern w:val="2"/>
              <w:sz w:val="24"/>
              <w:szCs w:val="24"/>
              <w:lang w:val="es-CO" w:eastAsia="es-CO"/>
              <w14:ligatures w14:val="standardContextual"/>
            </w:rPr>
          </w:pPr>
          <w:r w:rsidRPr="00C4458A">
            <w:rPr>
              <w:rFonts w:asciiTheme="minorBidi" w:hAnsiTheme="minorBidi" w:cstheme="minorBidi"/>
              <w:lang w:val="es-CO"/>
            </w:rPr>
            <w:fldChar w:fldCharType="begin"/>
          </w:r>
          <w:r w:rsidRPr="00C4458A">
            <w:rPr>
              <w:rFonts w:asciiTheme="minorBidi" w:hAnsiTheme="minorBidi" w:cstheme="minorBidi"/>
              <w:lang w:val="es-CO"/>
            </w:rPr>
            <w:instrText xml:space="preserve"> TOC \o "1-3" \h \z \u </w:instrText>
          </w:r>
          <w:r w:rsidRPr="00C4458A">
            <w:rPr>
              <w:rFonts w:asciiTheme="minorBidi" w:hAnsiTheme="minorBidi" w:cstheme="minorBidi"/>
              <w:lang w:val="es-CO"/>
            </w:rPr>
            <w:fldChar w:fldCharType="separate"/>
          </w:r>
          <w:hyperlink w:anchor="_Toc216258179" w:history="1">
            <w:r w:rsidR="0060489C" w:rsidRPr="003D3424">
              <w:rPr>
                <w:rStyle w:val="Hyperlink"/>
                <w:noProof/>
              </w:rPr>
              <w:t>INTRODUCCIÓN</w:t>
            </w:r>
            <w:r w:rsidR="0060489C">
              <w:rPr>
                <w:noProof/>
                <w:webHidden/>
              </w:rPr>
              <w:tab/>
            </w:r>
            <w:r w:rsidR="0060489C">
              <w:rPr>
                <w:noProof/>
                <w:webHidden/>
              </w:rPr>
              <w:fldChar w:fldCharType="begin"/>
            </w:r>
            <w:r w:rsidR="0060489C">
              <w:rPr>
                <w:noProof/>
                <w:webHidden/>
              </w:rPr>
              <w:instrText xml:space="preserve"> PAGEREF _Toc216258179 \h </w:instrText>
            </w:r>
            <w:r w:rsidR="0060489C">
              <w:rPr>
                <w:noProof/>
                <w:webHidden/>
              </w:rPr>
            </w:r>
            <w:r w:rsidR="0060489C">
              <w:rPr>
                <w:noProof/>
                <w:webHidden/>
              </w:rPr>
              <w:fldChar w:fldCharType="separate"/>
            </w:r>
            <w:r w:rsidR="0060489C">
              <w:rPr>
                <w:noProof/>
                <w:webHidden/>
              </w:rPr>
              <w:t>3</w:t>
            </w:r>
            <w:r w:rsidR="0060489C">
              <w:rPr>
                <w:noProof/>
                <w:webHidden/>
              </w:rPr>
              <w:fldChar w:fldCharType="end"/>
            </w:r>
          </w:hyperlink>
        </w:p>
        <w:p w14:paraId="10ED27FF" w14:textId="26D7A466"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80" w:history="1">
            <w:r w:rsidRPr="003D3424">
              <w:rPr>
                <w:rStyle w:val="Hyperlink"/>
                <w:noProof/>
              </w:rPr>
              <w:t>Presentación</w:t>
            </w:r>
            <w:r>
              <w:rPr>
                <w:noProof/>
                <w:webHidden/>
              </w:rPr>
              <w:tab/>
            </w:r>
            <w:r>
              <w:rPr>
                <w:noProof/>
                <w:webHidden/>
              </w:rPr>
              <w:fldChar w:fldCharType="begin"/>
            </w:r>
            <w:r>
              <w:rPr>
                <w:noProof/>
                <w:webHidden/>
              </w:rPr>
              <w:instrText xml:space="preserve"> PAGEREF _Toc216258180 \h </w:instrText>
            </w:r>
            <w:r>
              <w:rPr>
                <w:noProof/>
                <w:webHidden/>
              </w:rPr>
            </w:r>
            <w:r>
              <w:rPr>
                <w:noProof/>
                <w:webHidden/>
              </w:rPr>
              <w:fldChar w:fldCharType="separate"/>
            </w:r>
            <w:r>
              <w:rPr>
                <w:noProof/>
                <w:webHidden/>
              </w:rPr>
              <w:t>3</w:t>
            </w:r>
            <w:r>
              <w:rPr>
                <w:noProof/>
                <w:webHidden/>
              </w:rPr>
              <w:fldChar w:fldCharType="end"/>
            </w:r>
          </w:hyperlink>
        </w:p>
        <w:p w14:paraId="75240F1E" w14:textId="2C2B76AA"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81" w:history="1">
            <w:r w:rsidRPr="003D3424">
              <w:rPr>
                <w:rStyle w:val="Hyperlink"/>
                <w:noProof/>
              </w:rPr>
              <w:t>Enfoque metodológico</w:t>
            </w:r>
            <w:r>
              <w:rPr>
                <w:noProof/>
                <w:webHidden/>
              </w:rPr>
              <w:tab/>
            </w:r>
            <w:r>
              <w:rPr>
                <w:noProof/>
                <w:webHidden/>
              </w:rPr>
              <w:fldChar w:fldCharType="begin"/>
            </w:r>
            <w:r>
              <w:rPr>
                <w:noProof/>
                <w:webHidden/>
              </w:rPr>
              <w:instrText xml:space="preserve"> PAGEREF _Toc216258181 \h </w:instrText>
            </w:r>
            <w:r>
              <w:rPr>
                <w:noProof/>
                <w:webHidden/>
              </w:rPr>
            </w:r>
            <w:r>
              <w:rPr>
                <w:noProof/>
                <w:webHidden/>
              </w:rPr>
              <w:fldChar w:fldCharType="separate"/>
            </w:r>
            <w:r>
              <w:rPr>
                <w:noProof/>
                <w:webHidden/>
              </w:rPr>
              <w:t>5</w:t>
            </w:r>
            <w:r>
              <w:rPr>
                <w:noProof/>
                <w:webHidden/>
              </w:rPr>
              <w:fldChar w:fldCharType="end"/>
            </w:r>
          </w:hyperlink>
        </w:p>
        <w:p w14:paraId="0364D58F" w14:textId="74C261B8"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82" w:history="1">
            <w:r w:rsidRPr="003D3424">
              <w:rPr>
                <w:rStyle w:val="Hyperlink"/>
                <w:noProof/>
              </w:rPr>
              <w:t>Marco normativo</w:t>
            </w:r>
            <w:r>
              <w:rPr>
                <w:noProof/>
                <w:webHidden/>
              </w:rPr>
              <w:tab/>
            </w:r>
            <w:r>
              <w:rPr>
                <w:noProof/>
                <w:webHidden/>
              </w:rPr>
              <w:fldChar w:fldCharType="begin"/>
            </w:r>
            <w:r>
              <w:rPr>
                <w:noProof/>
                <w:webHidden/>
              </w:rPr>
              <w:instrText xml:space="preserve"> PAGEREF _Toc216258182 \h </w:instrText>
            </w:r>
            <w:r>
              <w:rPr>
                <w:noProof/>
                <w:webHidden/>
              </w:rPr>
            </w:r>
            <w:r>
              <w:rPr>
                <w:noProof/>
                <w:webHidden/>
              </w:rPr>
              <w:fldChar w:fldCharType="separate"/>
            </w:r>
            <w:r>
              <w:rPr>
                <w:noProof/>
                <w:webHidden/>
              </w:rPr>
              <w:t>6</w:t>
            </w:r>
            <w:r>
              <w:rPr>
                <w:noProof/>
                <w:webHidden/>
              </w:rPr>
              <w:fldChar w:fldCharType="end"/>
            </w:r>
          </w:hyperlink>
        </w:p>
        <w:p w14:paraId="4E61728A" w14:textId="0AD0BA02"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83" w:history="1">
            <w:r w:rsidRPr="003D3424">
              <w:rPr>
                <w:rStyle w:val="Hyperlink"/>
                <w:noProof/>
              </w:rPr>
              <w:t xml:space="preserve">CAPÍTULO 1: </w:t>
            </w:r>
            <w:r w:rsidRPr="003D3424">
              <w:rPr>
                <w:rStyle w:val="Hyperlink"/>
                <w:bCs/>
                <w:noProof/>
              </w:rPr>
              <w:t>RECLUTAMIENTO, USO Y VINCULACIÓN DE NIÑAS, NIÑOS Y ADOLESCENTES EN EL CONTEXTO DEL CONFLICTO ARMADO</w:t>
            </w:r>
            <w:r>
              <w:rPr>
                <w:noProof/>
                <w:webHidden/>
              </w:rPr>
              <w:tab/>
            </w:r>
            <w:r>
              <w:rPr>
                <w:noProof/>
                <w:webHidden/>
              </w:rPr>
              <w:fldChar w:fldCharType="begin"/>
            </w:r>
            <w:r>
              <w:rPr>
                <w:noProof/>
                <w:webHidden/>
              </w:rPr>
              <w:instrText xml:space="preserve"> PAGEREF _Toc216258183 \h </w:instrText>
            </w:r>
            <w:r>
              <w:rPr>
                <w:noProof/>
                <w:webHidden/>
              </w:rPr>
            </w:r>
            <w:r>
              <w:rPr>
                <w:noProof/>
                <w:webHidden/>
              </w:rPr>
              <w:fldChar w:fldCharType="separate"/>
            </w:r>
            <w:r>
              <w:rPr>
                <w:noProof/>
                <w:webHidden/>
              </w:rPr>
              <w:t>8</w:t>
            </w:r>
            <w:r>
              <w:rPr>
                <w:noProof/>
                <w:webHidden/>
              </w:rPr>
              <w:fldChar w:fldCharType="end"/>
            </w:r>
          </w:hyperlink>
        </w:p>
        <w:p w14:paraId="0B73FCB1" w14:textId="3A4F4312"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84" w:history="1">
            <w:r w:rsidRPr="003D3424">
              <w:rPr>
                <w:rStyle w:val="Hyperlink"/>
                <w:noProof/>
              </w:rPr>
              <w:t>Persistencia del reclutamiento y utilización de NNA por actores armados</w:t>
            </w:r>
            <w:r>
              <w:rPr>
                <w:noProof/>
                <w:webHidden/>
              </w:rPr>
              <w:tab/>
            </w:r>
            <w:r>
              <w:rPr>
                <w:noProof/>
                <w:webHidden/>
              </w:rPr>
              <w:fldChar w:fldCharType="begin"/>
            </w:r>
            <w:r>
              <w:rPr>
                <w:noProof/>
                <w:webHidden/>
              </w:rPr>
              <w:instrText xml:space="preserve"> PAGEREF _Toc216258184 \h </w:instrText>
            </w:r>
            <w:r>
              <w:rPr>
                <w:noProof/>
                <w:webHidden/>
              </w:rPr>
            </w:r>
            <w:r>
              <w:rPr>
                <w:noProof/>
                <w:webHidden/>
              </w:rPr>
              <w:fldChar w:fldCharType="separate"/>
            </w:r>
            <w:r>
              <w:rPr>
                <w:noProof/>
                <w:webHidden/>
              </w:rPr>
              <w:t>8</w:t>
            </w:r>
            <w:r>
              <w:rPr>
                <w:noProof/>
                <w:webHidden/>
              </w:rPr>
              <w:fldChar w:fldCharType="end"/>
            </w:r>
          </w:hyperlink>
        </w:p>
        <w:p w14:paraId="7BB1BCA2" w14:textId="08BD2C18"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85" w:history="1">
            <w:r w:rsidRPr="003D3424">
              <w:rPr>
                <w:rStyle w:val="Hyperlink"/>
                <w:noProof/>
              </w:rPr>
              <w:t>Impacto desproporcionado en comunidades indígenas y afrocolombianas</w:t>
            </w:r>
            <w:r>
              <w:rPr>
                <w:noProof/>
                <w:webHidden/>
              </w:rPr>
              <w:tab/>
            </w:r>
            <w:r>
              <w:rPr>
                <w:noProof/>
                <w:webHidden/>
              </w:rPr>
              <w:fldChar w:fldCharType="begin"/>
            </w:r>
            <w:r>
              <w:rPr>
                <w:noProof/>
                <w:webHidden/>
              </w:rPr>
              <w:instrText xml:space="preserve"> PAGEREF _Toc216258185 \h </w:instrText>
            </w:r>
            <w:r>
              <w:rPr>
                <w:noProof/>
                <w:webHidden/>
              </w:rPr>
            </w:r>
            <w:r>
              <w:rPr>
                <w:noProof/>
                <w:webHidden/>
              </w:rPr>
              <w:fldChar w:fldCharType="separate"/>
            </w:r>
            <w:r>
              <w:rPr>
                <w:noProof/>
                <w:webHidden/>
              </w:rPr>
              <w:t>10</w:t>
            </w:r>
            <w:r>
              <w:rPr>
                <w:noProof/>
                <w:webHidden/>
              </w:rPr>
              <w:fldChar w:fldCharType="end"/>
            </w:r>
          </w:hyperlink>
        </w:p>
        <w:p w14:paraId="6C9E84BD" w14:textId="362E8D9F"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86" w:history="1">
            <w:r w:rsidRPr="003D3424">
              <w:rPr>
                <w:rStyle w:val="Hyperlink"/>
                <w:noProof/>
              </w:rPr>
              <w:t>Situación de las niñas reclutadas y violencia sexual</w:t>
            </w:r>
            <w:r>
              <w:rPr>
                <w:noProof/>
                <w:webHidden/>
              </w:rPr>
              <w:tab/>
            </w:r>
            <w:r>
              <w:rPr>
                <w:noProof/>
                <w:webHidden/>
              </w:rPr>
              <w:fldChar w:fldCharType="begin"/>
            </w:r>
            <w:r>
              <w:rPr>
                <w:noProof/>
                <w:webHidden/>
              </w:rPr>
              <w:instrText xml:space="preserve"> PAGEREF _Toc216258186 \h </w:instrText>
            </w:r>
            <w:r>
              <w:rPr>
                <w:noProof/>
                <w:webHidden/>
              </w:rPr>
            </w:r>
            <w:r>
              <w:rPr>
                <w:noProof/>
                <w:webHidden/>
              </w:rPr>
              <w:fldChar w:fldCharType="separate"/>
            </w:r>
            <w:r>
              <w:rPr>
                <w:noProof/>
                <w:webHidden/>
              </w:rPr>
              <w:t>12</w:t>
            </w:r>
            <w:r>
              <w:rPr>
                <w:noProof/>
                <w:webHidden/>
              </w:rPr>
              <w:fldChar w:fldCharType="end"/>
            </w:r>
          </w:hyperlink>
        </w:p>
        <w:p w14:paraId="18574A76" w14:textId="01ED7499"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87" w:history="1">
            <w:r w:rsidRPr="003D3424">
              <w:rPr>
                <w:rStyle w:val="Hyperlink"/>
                <w:noProof/>
              </w:rPr>
              <w:t>Deficiencias del Estado en prevención, protección y reintegración</w:t>
            </w:r>
            <w:r>
              <w:rPr>
                <w:noProof/>
                <w:webHidden/>
              </w:rPr>
              <w:tab/>
            </w:r>
            <w:r>
              <w:rPr>
                <w:noProof/>
                <w:webHidden/>
              </w:rPr>
              <w:fldChar w:fldCharType="begin"/>
            </w:r>
            <w:r>
              <w:rPr>
                <w:noProof/>
                <w:webHidden/>
              </w:rPr>
              <w:instrText xml:space="preserve"> PAGEREF _Toc216258187 \h </w:instrText>
            </w:r>
            <w:r>
              <w:rPr>
                <w:noProof/>
                <w:webHidden/>
              </w:rPr>
            </w:r>
            <w:r>
              <w:rPr>
                <w:noProof/>
                <w:webHidden/>
              </w:rPr>
              <w:fldChar w:fldCharType="separate"/>
            </w:r>
            <w:r>
              <w:rPr>
                <w:noProof/>
                <w:webHidden/>
              </w:rPr>
              <w:t>13</w:t>
            </w:r>
            <w:r>
              <w:rPr>
                <w:noProof/>
                <w:webHidden/>
              </w:rPr>
              <w:fldChar w:fldCharType="end"/>
            </w:r>
          </w:hyperlink>
        </w:p>
        <w:p w14:paraId="67D057D2" w14:textId="212B28E8"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88" w:history="1">
            <w:r w:rsidRPr="003D3424">
              <w:rPr>
                <w:rStyle w:val="Hyperlink"/>
                <w:noProof/>
              </w:rPr>
              <w:t>Violación del principio de protección especial en acciones militares del Estado</w:t>
            </w:r>
            <w:r>
              <w:rPr>
                <w:noProof/>
                <w:webHidden/>
              </w:rPr>
              <w:tab/>
            </w:r>
            <w:r>
              <w:rPr>
                <w:noProof/>
                <w:webHidden/>
              </w:rPr>
              <w:fldChar w:fldCharType="begin"/>
            </w:r>
            <w:r>
              <w:rPr>
                <w:noProof/>
                <w:webHidden/>
              </w:rPr>
              <w:instrText xml:space="preserve"> PAGEREF _Toc216258188 \h </w:instrText>
            </w:r>
            <w:r>
              <w:rPr>
                <w:noProof/>
                <w:webHidden/>
              </w:rPr>
            </w:r>
            <w:r>
              <w:rPr>
                <w:noProof/>
                <w:webHidden/>
              </w:rPr>
              <w:fldChar w:fldCharType="separate"/>
            </w:r>
            <w:r>
              <w:rPr>
                <w:noProof/>
                <w:webHidden/>
              </w:rPr>
              <w:t>15</w:t>
            </w:r>
            <w:r>
              <w:rPr>
                <w:noProof/>
                <w:webHidden/>
              </w:rPr>
              <w:fldChar w:fldCharType="end"/>
            </w:r>
          </w:hyperlink>
        </w:p>
        <w:p w14:paraId="3EC61404" w14:textId="4A2B5CBB"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89" w:history="1">
            <w:r w:rsidRPr="003D3424">
              <w:rPr>
                <w:rStyle w:val="Hyperlink"/>
                <w:noProof/>
              </w:rPr>
              <w:t>Bombardeos militares en Colombia (agosto–noviembre de 2025) con NNA reclutados fallecidos</w:t>
            </w:r>
            <w:r>
              <w:rPr>
                <w:noProof/>
                <w:webHidden/>
              </w:rPr>
              <w:tab/>
            </w:r>
            <w:r>
              <w:rPr>
                <w:noProof/>
                <w:webHidden/>
              </w:rPr>
              <w:fldChar w:fldCharType="begin"/>
            </w:r>
            <w:r>
              <w:rPr>
                <w:noProof/>
                <w:webHidden/>
              </w:rPr>
              <w:instrText xml:space="preserve"> PAGEREF _Toc216258189 \h </w:instrText>
            </w:r>
            <w:r>
              <w:rPr>
                <w:noProof/>
                <w:webHidden/>
              </w:rPr>
            </w:r>
            <w:r>
              <w:rPr>
                <w:noProof/>
                <w:webHidden/>
              </w:rPr>
              <w:fldChar w:fldCharType="separate"/>
            </w:r>
            <w:r>
              <w:rPr>
                <w:noProof/>
                <w:webHidden/>
              </w:rPr>
              <w:t>15</w:t>
            </w:r>
            <w:r>
              <w:rPr>
                <w:noProof/>
                <w:webHidden/>
              </w:rPr>
              <w:fldChar w:fldCharType="end"/>
            </w:r>
          </w:hyperlink>
        </w:p>
        <w:p w14:paraId="4FFAB98A" w14:textId="6BAA8CE5" w:rsidR="0060489C" w:rsidRDefault="0060489C">
          <w:pPr>
            <w:pStyle w:val="TOC1"/>
            <w:tabs>
              <w:tab w:val="right" w:leader="dot" w:pos="9350"/>
            </w:tabs>
            <w:rPr>
              <w:rFonts w:cstheme="minorBidi"/>
              <w:noProof/>
              <w:kern w:val="2"/>
              <w:sz w:val="24"/>
              <w:szCs w:val="24"/>
              <w:lang w:val="es-CO" w:eastAsia="es-CO"/>
              <w14:ligatures w14:val="standardContextual"/>
            </w:rPr>
          </w:pPr>
          <w:hyperlink w:anchor="_Toc216258190" w:history="1">
            <w:r w:rsidRPr="003D3424">
              <w:rPr>
                <w:rStyle w:val="Hyperlink"/>
                <w:noProof/>
              </w:rPr>
              <w:t>CAPÍTULO 2: INFANCIAS Y ARMAS: ENTRE LA PROTECCIÓN NEGADA Y LA EXPANSIÓN DEL RIESGO</w:t>
            </w:r>
            <w:r>
              <w:rPr>
                <w:noProof/>
                <w:webHidden/>
              </w:rPr>
              <w:tab/>
            </w:r>
            <w:r>
              <w:rPr>
                <w:noProof/>
                <w:webHidden/>
              </w:rPr>
              <w:fldChar w:fldCharType="begin"/>
            </w:r>
            <w:r>
              <w:rPr>
                <w:noProof/>
                <w:webHidden/>
              </w:rPr>
              <w:instrText xml:space="preserve"> PAGEREF _Toc216258190 \h </w:instrText>
            </w:r>
            <w:r>
              <w:rPr>
                <w:noProof/>
                <w:webHidden/>
              </w:rPr>
            </w:r>
            <w:r>
              <w:rPr>
                <w:noProof/>
                <w:webHidden/>
              </w:rPr>
              <w:fldChar w:fldCharType="separate"/>
            </w:r>
            <w:r>
              <w:rPr>
                <w:noProof/>
                <w:webHidden/>
              </w:rPr>
              <w:t>17</w:t>
            </w:r>
            <w:r>
              <w:rPr>
                <w:noProof/>
                <w:webHidden/>
              </w:rPr>
              <w:fldChar w:fldCharType="end"/>
            </w:r>
          </w:hyperlink>
        </w:p>
        <w:p w14:paraId="60ACC609" w14:textId="64D8ECFE"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91" w:history="1">
            <w:r w:rsidRPr="003D3424">
              <w:rPr>
                <w:rStyle w:val="Hyperlink"/>
                <w:noProof/>
              </w:rPr>
              <w:t>Proliferación de armas y su impacto en la violencia letal contra NNA</w:t>
            </w:r>
            <w:r>
              <w:rPr>
                <w:noProof/>
                <w:webHidden/>
              </w:rPr>
              <w:tab/>
            </w:r>
            <w:r>
              <w:rPr>
                <w:noProof/>
                <w:webHidden/>
              </w:rPr>
              <w:fldChar w:fldCharType="begin"/>
            </w:r>
            <w:r>
              <w:rPr>
                <w:noProof/>
                <w:webHidden/>
              </w:rPr>
              <w:instrText xml:space="preserve"> PAGEREF _Toc216258191 \h </w:instrText>
            </w:r>
            <w:r>
              <w:rPr>
                <w:noProof/>
                <w:webHidden/>
              </w:rPr>
            </w:r>
            <w:r>
              <w:rPr>
                <w:noProof/>
                <w:webHidden/>
              </w:rPr>
              <w:fldChar w:fldCharType="separate"/>
            </w:r>
            <w:r>
              <w:rPr>
                <w:noProof/>
                <w:webHidden/>
              </w:rPr>
              <w:t>18</w:t>
            </w:r>
            <w:r>
              <w:rPr>
                <w:noProof/>
                <w:webHidden/>
              </w:rPr>
              <w:fldChar w:fldCharType="end"/>
            </w:r>
          </w:hyperlink>
        </w:p>
        <w:p w14:paraId="5F363E7B" w14:textId="7609FEFC"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92" w:history="1">
            <w:r w:rsidRPr="003D3424">
              <w:rPr>
                <w:rStyle w:val="Hyperlink"/>
                <w:noProof/>
              </w:rPr>
              <w:t>Uso instrumental de NNA en hechos delictivos con armas de fuego</w:t>
            </w:r>
            <w:r>
              <w:rPr>
                <w:noProof/>
                <w:webHidden/>
              </w:rPr>
              <w:tab/>
            </w:r>
            <w:r>
              <w:rPr>
                <w:noProof/>
                <w:webHidden/>
              </w:rPr>
              <w:fldChar w:fldCharType="begin"/>
            </w:r>
            <w:r>
              <w:rPr>
                <w:noProof/>
                <w:webHidden/>
              </w:rPr>
              <w:instrText xml:space="preserve"> PAGEREF _Toc216258192 \h </w:instrText>
            </w:r>
            <w:r>
              <w:rPr>
                <w:noProof/>
                <w:webHidden/>
              </w:rPr>
            </w:r>
            <w:r>
              <w:rPr>
                <w:noProof/>
                <w:webHidden/>
              </w:rPr>
              <w:fldChar w:fldCharType="separate"/>
            </w:r>
            <w:r>
              <w:rPr>
                <w:noProof/>
                <w:webHidden/>
              </w:rPr>
              <w:t>19</w:t>
            </w:r>
            <w:r>
              <w:rPr>
                <w:noProof/>
                <w:webHidden/>
              </w:rPr>
              <w:fldChar w:fldCharType="end"/>
            </w:r>
          </w:hyperlink>
        </w:p>
        <w:p w14:paraId="3F07CE26" w14:textId="162A19A8"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93" w:history="1">
            <w:r w:rsidRPr="003D3424">
              <w:rPr>
                <w:rStyle w:val="Hyperlink"/>
                <w:noProof/>
              </w:rPr>
              <w:t>Comercio internacional de armas y responsabilidad empresarial: impactos en la niñez</w:t>
            </w:r>
            <w:r>
              <w:rPr>
                <w:noProof/>
                <w:webHidden/>
              </w:rPr>
              <w:tab/>
            </w:r>
            <w:r>
              <w:rPr>
                <w:noProof/>
                <w:webHidden/>
              </w:rPr>
              <w:fldChar w:fldCharType="begin"/>
            </w:r>
            <w:r>
              <w:rPr>
                <w:noProof/>
                <w:webHidden/>
              </w:rPr>
              <w:instrText xml:space="preserve"> PAGEREF _Toc216258193 \h </w:instrText>
            </w:r>
            <w:r>
              <w:rPr>
                <w:noProof/>
                <w:webHidden/>
              </w:rPr>
            </w:r>
            <w:r>
              <w:rPr>
                <w:noProof/>
                <w:webHidden/>
              </w:rPr>
              <w:fldChar w:fldCharType="separate"/>
            </w:r>
            <w:r>
              <w:rPr>
                <w:noProof/>
                <w:webHidden/>
              </w:rPr>
              <w:t>20</w:t>
            </w:r>
            <w:r>
              <w:rPr>
                <w:noProof/>
                <w:webHidden/>
              </w:rPr>
              <w:fldChar w:fldCharType="end"/>
            </w:r>
          </w:hyperlink>
        </w:p>
        <w:p w14:paraId="297C5D00" w14:textId="388B9A93"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94" w:history="1">
            <w:r w:rsidRPr="003D3424">
              <w:rPr>
                <w:rStyle w:val="Hyperlink"/>
                <w:noProof/>
              </w:rPr>
              <w:t>Efectos letales del acceso generalizado a armas en entornos comunitarios</w:t>
            </w:r>
            <w:r>
              <w:rPr>
                <w:noProof/>
                <w:webHidden/>
              </w:rPr>
              <w:tab/>
            </w:r>
            <w:r>
              <w:rPr>
                <w:noProof/>
                <w:webHidden/>
              </w:rPr>
              <w:fldChar w:fldCharType="begin"/>
            </w:r>
            <w:r>
              <w:rPr>
                <w:noProof/>
                <w:webHidden/>
              </w:rPr>
              <w:instrText xml:space="preserve"> PAGEREF _Toc216258194 \h </w:instrText>
            </w:r>
            <w:r>
              <w:rPr>
                <w:noProof/>
                <w:webHidden/>
              </w:rPr>
            </w:r>
            <w:r>
              <w:rPr>
                <w:noProof/>
                <w:webHidden/>
              </w:rPr>
              <w:fldChar w:fldCharType="separate"/>
            </w:r>
            <w:r>
              <w:rPr>
                <w:noProof/>
                <w:webHidden/>
              </w:rPr>
              <w:t>22</w:t>
            </w:r>
            <w:r>
              <w:rPr>
                <w:noProof/>
                <w:webHidden/>
              </w:rPr>
              <w:fldChar w:fldCharType="end"/>
            </w:r>
          </w:hyperlink>
        </w:p>
        <w:p w14:paraId="230890A2" w14:textId="7DACE344"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95" w:history="1">
            <w:r w:rsidRPr="003D3424">
              <w:rPr>
                <w:rStyle w:val="Hyperlink"/>
                <w:noProof/>
              </w:rPr>
              <w:t>Retrocesos legislativos: criminalización de adolescentes y flexibilización del porte de armas</w:t>
            </w:r>
            <w:r>
              <w:rPr>
                <w:noProof/>
                <w:webHidden/>
              </w:rPr>
              <w:tab/>
            </w:r>
            <w:r>
              <w:rPr>
                <w:noProof/>
                <w:webHidden/>
              </w:rPr>
              <w:fldChar w:fldCharType="begin"/>
            </w:r>
            <w:r>
              <w:rPr>
                <w:noProof/>
                <w:webHidden/>
              </w:rPr>
              <w:instrText xml:space="preserve"> PAGEREF _Toc216258195 \h </w:instrText>
            </w:r>
            <w:r>
              <w:rPr>
                <w:noProof/>
                <w:webHidden/>
              </w:rPr>
            </w:r>
            <w:r>
              <w:rPr>
                <w:noProof/>
                <w:webHidden/>
              </w:rPr>
              <w:fldChar w:fldCharType="separate"/>
            </w:r>
            <w:r>
              <w:rPr>
                <w:noProof/>
                <w:webHidden/>
              </w:rPr>
              <w:t>23</w:t>
            </w:r>
            <w:r>
              <w:rPr>
                <w:noProof/>
                <w:webHidden/>
              </w:rPr>
              <w:fldChar w:fldCharType="end"/>
            </w:r>
          </w:hyperlink>
        </w:p>
        <w:p w14:paraId="1AA16335" w14:textId="0EEF199A" w:rsidR="0060489C" w:rsidRDefault="0060489C">
          <w:pPr>
            <w:pStyle w:val="TOC1"/>
            <w:tabs>
              <w:tab w:val="right" w:leader="dot" w:pos="9350"/>
            </w:tabs>
            <w:rPr>
              <w:rFonts w:cstheme="minorBidi"/>
              <w:noProof/>
              <w:kern w:val="2"/>
              <w:sz w:val="24"/>
              <w:szCs w:val="24"/>
              <w:lang w:val="es-CO" w:eastAsia="es-CO"/>
              <w14:ligatures w14:val="standardContextual"/>
            </w:rPr>
          </w:pPr>
          <w:hyperlink w:anchor="_Toc216258196" w:history="1">
            <w:r w:rsidRPr="003D3424">
              <w:rPr>
                <w:rStyle w:val="Hyperlink"/>
                <w:noProof/>
              </w:rPr>
              <w:t>CAPÍTULO 3. MARKETING DIGITAL DE PCBUS: VULNERACIÓN DEL DERECHO HUMANO A LA ALIMENTACIÓN Y LA SOBERANÍA ALIMENTARIA EN NNA</w:t>
            </w:r>
            <w:r>
              <w:rPr>
                <w:noProof/>
                <w:webHidden/>
              </w:rPr>
              <w:tab/>
            </w:r>
            <w:r>
              <w:rPr>
                <w:noProof/>
                <w:webHidden/>
              </w:rPr>
              <w:fldChar w:fldCharType="begin"/>
            </w:r>
            <w:r>
              <w:rPr>
                <w:noProof/>
                <w:webHidden/>
              </w:rPr>
              <w:instrText xml:space="preserve"> PAGEREF _Toc216258196 \h </w:instrText>
            </w:r>
            <w:r>
              <w:rPr>
                <w:noProof/>
                <w:webHidden/>
              </w:rPr>
            </w:r>
            <w:r>
              <w:rPr>
                <w:noProof/>
                <w:webHidden/>
              </w:rPr>
              <w:fldChar w:fldCharType="separate"/>
            </w:r>
            <w:r>
              <w:rPr>
                <w:noProof/>
                <w:webHidden/>
              </w:rPr>
              <w:t>24</w:t>
            </w:r>
            <w:r>
              <w:rPr>
                <w:noProof/>
                <w:webHidden/>
              </w:rPr>
              <w:fldChar w:fldCharType="end"/>
            </w:r>
          </w:hyperlink>
        </w:p>
        <w:p w14:paraId="3C679F40" w14:textId="302E865E"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97" w:history="1">
            <w:r w:rsidRPr="003D3424">
              <w:rPr>
                <w:rStyle w:val="Hyperlink"/>
                <w:noProof/>
              </w:rPr>
              <w:t>Recolección de datos personales y segmentación digital: una práctica que vulnera derechos fundamentales</w:t>
            </w:r>
            <w:r>
              <w:rPr>
                <w:noProof/>
                <w:webHidden/>
              </w:rPr>
              <w:tab/>
            </w:r>
            <w:r>
              <w:rPr>
                <w:noProof/>
                <w:webHidden/>
              </w:rPr>
              <w:fldChar w:fldCharType="begin"/>
            </w:r>
            <w:r>
              <w:rPr>
                <w:noProof/>
                <w:webHidden/>
              </w:rPr>
              <w:instrText xml:space="preserve"> PAGEREF _Toc216258197 \h </w:instrText>
            </w:r>
            <w:r>
              <w:rPr>
                <w:noProof/>
                <w:webHidden/>
              </w:rPr>
            </w:r>
            <w:r>
              <w:rPr>
                <w:noProof/>
                <w:webHidden/>
              </w:rPr>
              <w:fldChar w:fldCharType="separate"/>
            </w:r>
            <w:r>
              <w:rPr>
                <w:noProof/>
                <w:webHidden/>
              </w:rPr>
              <w:t>25</w:t>
            </w:r>
            <w:r>
              <w:rPr>
                <w:noProof/>
                <w:webHidden/>
              </w:rPr>
              <w:fldChar w:fldCharType="end"/>
            </w:r>
          </w:hyperlink>
        </w:p>
        <w:p w14:paraId="6E554086" w14:textId="1AC84623"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98" w:history="1">
            <w:r w:rsidRPr="003D3424">
              <w:rPr>
                <w:rStyle w:val="Hyperlink"/>
                <w:noProof/>
              </w:rPr>
              <w:t>Marketing digital de productos ultraprocesados: una amenaza estructural al Derecho Humano a la Alimentación y a la Soberanía Alimentaria</w:t>
            </w:r>
            <w:r>
              <w:rPr>
                <w:noProof/>
                <w:webHidden/>
              </w:rPr>
              <w:tab/>
            </w:r>
            <w:r>
              <w:rPr>
                <w:noProof/>
                <w:webHidden/>
              </w:rPr>
              <w:fldChar w:fldCharType="begin"/>
            </w:r>
            <w:r>
              <w:rPr>
                <w:noProof/>
                <w:webHidden/>
              </w:rPr>
              <w:instrText xml:space="preserve"> PAGEREF _Toc216258198 \h </w:instrText>
            </w:r>
            <w:r>
              <w:rPr>
                <w:noProof/>
                <w:webHidden/>
              </w:rPr>
            </w:r>
            <w:r>
              <w:rPr>
                <w:noProof/>
                <w:webHidden/>
              </w:rPr>
              <w:fldChar w:fldCharType="separate"/>
            </w:r>
            <w:r>
              <w:rPr>
                <w:noProof/>
                <w:webHidden/>
              </w:rPr>
              <w:t>27</w:t>
            </w:r>
            <w:r>
              <w:rPr>
                <w:noProof/>
                <w:webHidden/>
              </w:rPr>
              <w:fldChar w:fldCharType="end"/>
            </w:r>
          </w:hyperlink>
        </w:p>
        <w:p w14:paraId="5799528F" w14:textId="390A371C" w:rsidR="0060489C" w:rsidRDefault="0060489C">
          <w:pPr>
            <w:pStyle w:val="TOC2"/>
            <w:tabs>
              <w:tab w:val="right" w:leader="dot" w:pos="9350"/>
            </w:tabs>
            <w:rPr>
              <w:rFonts w:cstheme="minorBidi"/>
              <w:noProof/>
              <w:kern w:val="2"/>
              <w:sz w:val="24"/>
              <w:szCs w:val="24"/>
              <w:lang w:val="es-CO" w:eastAsia="es-CO"/>
              <w14:ligatures w14:val="standardContextual"/>
            </w:rPr>
          </w:pPr>
          <w:hyperlink w:anchor="_Toc216258199" w:history="1">
            <w:r w:rsidRPr="003D3424">
              <w:rPr>
                <w:rStyle w:val="Hyperlink"/>
                <w:noProof/>
              </w:rPr>
              <w:t>Obligaciones del Estado y vacíos normativos: hacia una regulación efectiva del marketing digital de PCBUs</w:t>
            </w:r>
            <w:r>
              <w:rPr>
                <w:noProof/>
                <w:webHidden/>
              </w:rPr>
              <w:tab/>
            </w:r>
            <w:r>
              <w:rPr>
                <w:noProof/>
                <w:webHidden/>
              </w:rPr>
              <w:fldChar w:fldCharType="begin"/>
            </w:r>
            <w:r>
              <w:rPr>
                <w:noProof/>
                <w:webHidden/>
              </w:rPr>
              <w:instrText xml:space="preserve"> PAGEREF _Toc216258199 \h </w:instrText>
            </w:r>
            <w:r>
              <w:rPr>
                <w:noProof/>
                <w:webHidden/>
              </w:rPr>
            </w:r>
            <w:r>
              <w:rPr>
                <w:noProof/>
                <w:webHidden/>
              </w:rPr>
              <w:fldChar w:fldCharType="separate"/>
            </w:r>
            <w:r>
              <w:rPr>
                <w:noProof/>
                <w:webHidden/>
              </w:rPr>
              <w:t>29</w:t>
            </w:r>
            <w:r>
              <w:rPr>
                <w:noProof/>
                <w:webHidden/>
              </w:rPr>
              <w:fldChar w:fldCharType="end"/>
            </w:r>
          </w:hyperlink>
        </w:p>
        <w:p w14:paraId="300117C9" w14:textId="531FE159" w:rsidR="0060489C" w:rsidRDefault="0060489C">
          <w:pPr>
            <w:pStyle w:val="TOC1"/>
            <w:tabs>
              <w:tab w:val="right" w:leader="dot" w:pos="9350"/>
            </w:tabs>
            <w:rPr>
              <w:rFonts w:cstheme="minorBidi"/>
              <w:noProof/>
              <w:kern w:val="2"/>
              <w:sz w:val="24"/>
              <w:szCs w:val="24"/>
              <w:lang w:val="es-CO" w:eastAsia="es-CO"/>
              <w14:ligatures w14:val="standardContextual"/>
            </w:rPr>
          </w:pPr>
          <w:hyperlink w:anchor="_Toc216258200" w:history="1">
            <w:r w:rsidRPr="003D3424">
              <w:rPr>
                <w:rStyle w:val="Hyperlink"/>
                <w:noProof/>
              </w:rPr>
              <w:t>Convergencias estructurales: el entorno digital como espacio de vulneración de derechos</w:t>
            </w:r>
            <w:r>
              <w:rPr>
                <w:noProof/>
                <w:webHidden/>
              </w:rPr>
              <w:tab/>
            </w:r>
            <w:r>
              <w:rPr>
                <w:noProof/>
                <w:webHidden/>
              </w:rPr>
              <w:fldChar w:fldCharType="begin"/>
            </w:r>
            <w:r>
              <w:rPr>
                <w:noProof/>
                <w:webHidden/>
              </w:rPr>
              <w:instrText xml:space="preserve"> PAGEREF _Toc216258200 \h </w:instrText>
            </w:r>
            <w:r>
              <w:rPr>
                <w:noProof/>
                <w:webHidden/>
              </w:rPr>
            </w:r>
            <w:r>
              <w:rPr>
                <w:noProof/>
                <w:webHidden/>
              </w:rPr>
              <w:fldChar w:fldCharType="separate"/>
            </w:r>
            <w:r>
              <w:rPr>
                <w:noProof/>
                <w:webHidden/>
              </w:rPr>
              <w:t>30</w:t>
            </w:r>
            <w:r>
              <w:rPr>
                <w:noProof/>
                <w:webHidden/>
              </w:rPr>
              <w:fldChar w:fldCharType="end"/>
            </w:r>
          </w:hyperlink>
        </w:p>
        <w:p w14:paraId="34FA39B6" w14:textId="064B1B16" w:rsidR="0060489C" w:rsidRDefault="0060489C">
          <w:pPr>
            <w:pStyle w:val="TOC1"/>
            <w:tabs>
              <w:tab w:val="right" w:leader="dot" w:pos="9350"/>
            </w:tabs>
            <w:rPr>
              <w:rFonts w:cstheme="minorBidi"/>
              <w:noProof/>
              <w:kern w:val="2"/>
              <w:sz w:val="24"/>
              <w:szCs w:val="24"/>
              <w:lang w:val="es-CO" w:eastAsia="es-CO"/>
              <w14:ligatures w14:val="standardContextual"/>
            </w:rPr>
          </w:pPr>
          <w:hyperlink w:anchor="_Toc216258201" w:history="1">
            <w:r w:rsidRPr="003D3424">
              <w:rPr>
                <w:rStyle w:val="Hyperlink"/>
                <w:noProof/>
              </w:rPr>
              <w:t>RECOMENDACIONES AL ESTADO COLOMBIANO</w:t>
            </w:r>
            <w:r>
              <w:rPr>
                <w:noProof/>
                <w:webHidden/>
              </w:rPr>
              <w:tab/>
            </w:r>
            <w:r>
              <w:rPr>
                <w:noProof/>
                <w:webHidden/>
              </w:rPr>
              <w:fldChar w:fldCharType="begin"/>
            </w:r>
            <w:r>
              <w:rPr>
                <w:noProof/>
                <w:webHidden/>
              </w:rPr>
              <w:instrText xml:space="preserve"> PAGEREF _Toc216258201 \h </w:instrText>
            </w:r>
            <w:r>
              <w:rPr>
                <w:noProof/>
                <w:webHidden/>
              </w:rPr>
            </w:r>
            <w:r>
              <w:rPr>
                <w:noProof/>
                <w:webHidden/>
              </w:rPr>
              <w:fldChar w:fldCharType="separate"/>
            </w:r>
            <w:r>
              <w:rPr>
                <w:noProof/>
                <w:webHidden/>
              </w:rPr>
              <w:t>31</w:t>
            </w:r>
            <w:r>
              <w:rPr>
                <w:noProof/>
                <w:webHidden/>
              </w:rPr>
              <w:fldChar w:fldCharType="end"/>
            </w:r>
          </w:hyperlink>
        </w:p>
        <w:p w14:paraId="16B2D1D1" w14:textId="7E84BDBA" w:rsidR="00924EFA" w:rsidRPr="00C4458A" w:rsidRDefault="00C76D00" w:rsidP="006A5420">
          <w:r w:rsidRPr="00C4458A">
            <w:rPr>
              <w:rFonts w:asciiTheme="minorBidi" w:hAnsiTheme="minorBidi" w:cstheme="minorBidi"/>
              <w:b/>
              <w:bCs/>
            </w:rPr>
            <w:fldChar w:fldCharType="end"/>
          </w:r>
        </w:p>
      </w:sdtContent>
    </w:sdt>
    <w:p w14:paraId="4F0DC632" w14:textId="77777777" w:rsidR="003E1281" w:rsidRDefault="003E1281">
      <w:pPr>
        <w:rPr>
          <w:b/>
          <w:color w:val="365F91" w:themeColor="accent1" w:themeShade="BF"/>
          <w:sz w:val="24"/>
          <w:szCs w:val="40"/>
        </w:rPr>
      </w:pPr>
      <w:bookmarkStart w:id="0" w:name="_Toc181285155"/>
      <w:r>
        <w:br w:type="page"/>
      </w:r>
    </w:p>
    <w:p w14:paraId="0000000C" w14:textId="6F70A243" w:rsidR="00C60456" w:rsidRPr="00C4458A" w:rsidRDefault="0007730F" w:rsidP="00924EFA">
      <w:pPr>
        <w:pStyle w:val="Heading1"/>
      </w:pPr>
      <w:bookmarkStart w:id="1" w:name="_Toc216258179"/>
      <w:r w:rsidRPr="00C4458A">
        <w:lastRenderedPageBreak/>
        <w:t>INTRODUCCIÓN</w:t>
      </w:r>
      <w:bookmarkEnd w:id="0"/>
      <w:bookmarkEnd w:id="1"/>
    </w:p>
    <w:p w14:paraId="0000000D" w14:textId="0C9FED29" w:rsidR="00C60456" w:rsidRPr="00C4458A" w:rsidRDefault="000231F9" w:rsidP="00924EFA">
      <w:pPr>
        <w:pStyle w:val="Heading2"/>
      </w:pPr>
      <w:bookmarkStart w:id="2" w:name="_Toc181285156"/>
      <w:bookmarkStart w:id="3" w:name="_Toc216258180"/>
      <w:r w:rsidRPr="00C4458A">
        <w:t>Presentación</w:t>
      </w:r>
      <w:bookmarkEnd w:id="2"/>
      <w:bookmarkEnd w:id="3"/>
    </w:p>
    <w:p w14:paraId="4DB8F521" w14:textId="50D30B77" w:rsidR="00322BE3" w:rsidRPr="00322BE3" w:rsidRDefault="008A1D61" w:rsidP="00322BE3">
      <w:pPr>
        <w:spacing w:after="200" w:line="360" w:lineRule="auto"/>
        <w:jc w:val="both"/>
        <w:rPr>
          <w:sz w:val="24"/>
          <w:szCs w:val="24"/>
        </w:rPr>
      </w:pPr>
      <w:r w:rsidRPr="0003348E">
        <w:rPr>
          <w:sz w:val="24"/>
          <w:szCs w:val="24"/>
        </w:rPr>
        <w:t>El informe</w:t>
      </w:r>
      <w:r w:rsidR="00322BE3" w:rsidRPr="0003348E">
        <w:rPr>
          <w:sz w:val="24"/>
          <w:szCs w:val="24"/>
        </w:rPr>
        <w:t xml:space="preserve"> alterno</w:t>
      </w:r>
      <w:r w:rsidR="00BA138C" w:rsidRPr="0003348E">
        <w:rPr>
          <w:sz w:val="24"/>
          <w:szCs w:val="24"/>
        </w:rPr>
        <w:t xml:space="preserve">, presentado </w:t>
      </w:r>
      <w:r w:rsidRPr="0003348E">
        <w:rPr>
          <w:sz w:val="24"/>
          <w:szCs w:val="24"/>
        </w:rPr>
        <w:t>a final de 2024,</w:t>
      </w:r>
      <w:r>
        <w:rPr>
          <w:sz w:val="24"/>
          <w:szCs w:val="24"/>
        </w:rPr>
        <w:t xml:space="preserve"> </w:t>
      </w:r>
      <w:r w:rsidRPr="00322BE3">
        <w:rPr>
          <w:sz w:val="24"/>
          <w:szCs w:val="24"/>
        </w:rPr>
        <w:t>es</w:t>
      </w:r>
      <w:r w:rsidR="00322BE3" w:rsidRPr="00322BE3">
        <w:rPr>
          <w:sz w:val="24"/>
          <w:szCs w:val="24"/>
        </w:rPr>
        <w:t xml:space="preserve"> el resultado de un proceso de construcción colectiva impulsado por organizaciones sociales con amplia trayectoria en la defensa de los derechos de </w:t>
      </w:r>
      <w:r w:rsidR="0002528C">
        <w:rPr>
          <w:sz w:val="24"/>
          <w:szCs w:val="24"/>
        </w:rPr>
        <w:t>niñas, niños y adolescentes (</w:t>
      </w:r>
      <w:r w:rsidR="00322BE3" w:rsidRPr="00322BE3">
        <w:rPr>
          <w:sz w:val="24"/>
          <w:szCs w:val="24"/>
        </w:rPr>
        <w:t>NNA</w:t>
      </w:r>
      <w:r w:rsidR="0002528C">
        <w:rPr>
          <w:sz w:val="24"/>
          <w:szCs w:val="24"/>
        </w:rPr>
        <w:t>)</w:t>
      </w:r>
      <w:r w:rsidR="00322BE3" w:rsidRPr="00322BE3">
        <w:rPr>
          <w:sz w:val="24"/>
          <w:szCs w:val="24"/>
        </w:rPr>
        <w:t xml:space="preserve"> en Colombia. Su elaboración se fundamenta en ejercicios rigurosos de documentación, análisis e investigación participativa, realizados entre 2023 y 2025 en diversos territorios del país, muchos de ellos marcados por el conflicto armado, la exclusión estructural y la desprotección institucional. A través de estudios de caso, consultas comunitarias, entrevistas, talleres y espacios deliberativos, este documento recoge la voz directa de </w:t>
      </w:r>
      <w:r w:rsidR="00E26E26">
        <w:rPr>
          <w:sz w:val="24"/>
          <w:szCs w:val="24"/>
        </w:rPr>
        <w:t>NNA</w:t>
      </w:r>
      <w:r w:rsidR="00322BE3" w:rsidRPr="00322BE3">
        <w:rPr>
          <w:sz w:val="24"/>
          <w:szCs w:val="24"/>
        </w:rPr>
        <w:t>: son ellos quienes nombran las violencias que enfrentan, interpelan las respuestas estatales y formulan propuestas de transformación.</w:t>
      </w:r>
    </w:p>
    <w:p w14:paraId="2F6345DE" w14:textId="5023A147" w:rsidR="007445FB" w:rsidRPr="007445FB" w:rsidRDefault="007445FB" w:rsidP="007445FB">
      <w:pPr>
        <w:spacing w:after="200" w:line="360" w:lineRule="auto"/>
        <w:jc w:val="both"/>
        <w:rPr>
          <w:sz w:val="24"/>
          <w:szCs w:val="24"/>
        </w:rPr>
      </w:pPr>
      <w:r w:rsidRPr="007445FB">
        <w:rPr>
          <w:sz w:val="24"/>
          <w:szCs w:val="24"/>
        </w:rPr>
        <w:t>Frente al informe presentado por el Estado colombiano</w:t>
      </w:r>
      <w:r w:rsidRPr="0003348E">
        <w:rPr>
          <w:sz w:val="24"/>
          <w:szCs w:val="24"/>
        </w:rPr>
        <w:t>,</w:t>
      </w:r>
      <w:r w:rsidR="00BA138C" w:rsidRPr="0003348E">
        <w:rPr>
          <w:sz w:val="24"/>
          <w:szCs w:val="24"/>
        </w:rPr>
        <w:t xml:space="preserve"> e</w:t>
      </w:r>
      <w:r w:rsidR="00714C0C" w:rsidRPr="0003348E">
        <w:rPr>
          <w:sz w:val="24"/>
          <w:szCs w:val="24"/>
        </w:rPr>
        <w:t>ste</w:t>
      </w:r>
      <w:r w:rsidR="00BA138C" w:rsidRPr="0003348E">
        <w:rPr>
          <w:sz w:val="24"/>
          <w:szCs w:val="24"/>
        </w:rPr>
        <w:t xml:space="preserve"> I</w:t>
      </w:r>
      <w:r w:rsidRPr="0003348E">
        <w:rPr>
          <w:sz w:val="24"/>
          <w:szCs w:val="24"/>
        </w:rPr>
        <w:t>nforme alterno expone</w:t>
      </w:r>
      <w:r w:rsidRPr="007445FB">
        <w:rPr>
          <w:sz w:val="24"/>
          <w:szCs w:val="24"/>
        </w:rPr>
        <w:t xml:space="preserve"> omisiones graves, silencios institucionales y narrativas que fragmentan o diluyen la magnitud de las violencias que afectan a la niñez en el país. La omisión de aspectos sustantivos —como el persistente reclutamiento de NNA, la proliferación de armas en sus entornos, el impacto del marketing digital de productos ultraprocesados o la ausencia de garantías reales de restitución de derechos— revela </w:t>
      </w:r>
      <w:r>
        <w:rPr>
          <w:sz w:val="24"/>
          <w:szCs w:val="24"/>
        </w:rPr>
        <w:t>tanto la</w:t>
      </w:r>
      <w:r w:rsidRPr="007445FB">
        <w:rPr>
          <w:sz w:val="24"/>
          <w:szCs w:val="24"/>
        </w:rPr>
        <w:t xml:space="preserve"> visión parcializada</w:t>
      </w:r>
      <w:r>
        <w:rPr>
          <w:sz w:val="24"/>
          <w:szCs w:val="24"/>
        </w:rPr>
        <w:t xml:space="preserve"> como el </w:t>
      </w:r>
      <w:r w:rsidRPr="007445FB">
        <w:rPr>
          <w:sz w:val="24"/>
          <w:szCs w:val="24"/>
        </w:rPr>
        <w:t>desinterés estructural por reconocer la profundidad y sistematicidad de las afectaciones.</w:t>
      </w:r>
    </w:p>
    <w:p w14:paraId="62B25F13" w14:textId="350B6FC9" w:rsidR="00C94EDC" w:rsidRDefault="00C94EDC" w:rsidP="00C94EDC">
      <w:pPr>
        <w:spacing w:after="200" w:line="360" w:lineRule="auto"/>
        <w:jc w:val="both"/>
        <w:rPr>
          <w:sz w:val="24"/>
          <w:szCs w:val="24"/>
        </w:rPr>
      </w:pPr>
      <w:r w:rsidRPr="00C94EDC">
        <w:rPr>
          <w:sz w:val="24"/>
          <w:szCs w:val="24"/>
        </w:rPr>
        <w:t xml:space="preserve">En particular, el informe estatal guarda silencio absoluto sobre la participación de la Fuerza Pública en acciones cívico-militares y otras intervenciones armadas que comprometen la vida e integridad de NNA. Este silencio resulta aún más alarmante ante hechos recientes como la reanudación de bombardeos en zonas rurales con víctimas infantiles, </w:t>
      </w:r>
      <w:r w:rsidR="00E26E26">
        <w:rPr>
          <w:sz w:val="24"/>
          <w:szCs w:val="24"/>
        </w:rPr>
        <w:t>NNA</w:t>
      </w:r>
      <w:r w:rsidR="00E26E26" w:rsidRPr="00C94EDC">
        <w:rPr>
          <w:sz w:val="24"/>
          <w:szCs w:val="24"/>
        </w:rPr>
        <w:t xml:space="preserve"> </w:t>
      </w:r>
      <w:r w:rsidRPr="00C94EDC">
        <w:rPr>
          <w:sz w:val="24"/>
          <w:szCs w:val="24"/>
        </w:rPr>
        <w:t xml:space="preserve">reclutados o afectados por el conflicto armado. </w:t>
      </w:r>
      <w:r w:rsidRPr="0003348E">
        <w:rPr>
          <w:sz w:val="24"/>
          <w:szCs w:val="24"/>
        </w:rPr>
        <w:t>En</w:t>
      </w:r>
      <w:r w:rsidR="00BA138C" w:rsidRPr="0003348E">
        <w:rPr>
          <w:sz w:val="24"/>
          <w:szCs w:val="24"/>
        </w:rPr>
        <w:t xml:space="preserve"> este caso, </w:t>
      </w:r>
      <w:r w:rsidR="008A1D61" w:rsidRPr="0003348E">
        <w:rPr>
          <w:sz w:val="24"/>
          <w:szCs w:val="24"/>
        </w:rPr>
        <w:t>est</w:t>
      </w:r>
      <w:r w:rsidR="00BA138C" w:rsidRPr="0003348E">
        <w:rPr>
          <w:sz w:val="24"/>
          <w:szCs w:val="24"/>
        </w:rPr>
        <w:t>a actualización del Informe alterno</w:t>
      </w:r>
      <w:r w:rsidRPr="00C94EDC">
        <w:rPr>
          <w:sz w:val="24"/>
          <w:szCs w:val="24"/>
        </w:rPr>
        <w:t xml:space="preserve"> recoge evidencia crítica desde tres ejes fundamentales y se sostiene sobre los aportes técnicos, jurídicos y comunitarios de organizaciones que acompañan de manera directa procesos territoriales de exigibilidad, litigio y reparación.</w:t>
      </w:r>
    </w:p>
    <w:p w14:paraId="52879A92" w14:textId="7E4040C8" w:rsidR="009C20AA" w:rsidRPr="009C20AA" w:rsidRDefault="009C20AA" w:rsidP="009C20AA">
      <w:pPr>
        <w:spacing w:after="200" w:line="360" w:lineRule="auto"/>
        <w:jc w:val="both"/>
        <w:rPr>
          <w:sz w:val="24"/>
          <w:szCs w:val="24"/>
        </w:rPr>
      </w:pPr>
      <w:r w:rsidRPr="009C20AA">
        <w:rPr>
          <w:sz w:val="24"/>
          <w:szCs w:val="24"/>
        </w:rPr>
        <w:lastRenderedPageBreak/>
        <w:t>Humanidad Vigente aporta una documentación exhaustiva sobre el reclutamiento, los procesos de desvinculación incompletos, la revictimización institucional y la falta de garantías efectivas de no repetición. Su análisis revela los vacíos estructurales del sistema de protección y los límites reales en el acceso a la justicia para NNA víctimas de grupos armados.</w:t>
      </w:r>
    </w:p>
    <w:p w14:paraId="3741BD70" w14:textId="77777777" w:rsidR="009C20AA" w:rsidRPr="009C20AA" w:rsidRDefault="009C20AA" w:rsidP="002816EB">
      <w:pPr>
        <w:spacing w:after="200" w:line="360" w:lineRule="auto"/>
        <w:jc w:val="both"/>
        <w:rPr>
          <w:sz w:val="24"/>
          <w:szCs w:val="24"/>
        </w:rPr>
      </w:pPr>
      <w:r w:rsidRPr="009C20AA">
        <w:rPr>
          <w:sz w:val="24"/>
          <w:szCs w:val="24"/>
        </w:rPr>
        <w:t>TDH Alemania profundiza en la circulación, porte y uso de armas por parte de NNA, especialmente en zonas rurales, de frontera y periferias urbanas, y alerta sobre los riesgos asociados a la permisividad institucional y la desregulación del comercio y tráfico de armas. El informe cuestiona la ausencia de un enfoque preventivo y de una política efectiva de control.</w:t>
      </w:r>
    </w:p>
    <w:p w14:paraId="700D48D4" w14:textId="4BAA523F" w:rsidR="009C20AA" w:rsidRPr="009C20AA" w:rsidRDefault="009C20AA" w:rsidP="002816EB">
      <w:pPr>
        <w:spacing w:after="200" w:line="360" w:lineRule="auto"/>
        <w:jc w:val="both"/>
        <w:rPr>
          <w:sz w:val="24"/>
          <w:szCs w:val="24"/>
        </w:rPr>
      </w:pPr>
      <w:r w:rsidRPr="009C20AA">
        <w:rPr>
          <w:sz w:val="24"/>
          <w:szCs w:val="24"/>
        </w:rPr>
        <w:t>FIAN Colombia analiza el impacto del marketing digital de productos comestibles y bebibles ultraprocesados dirigido a la infancia. Denuncia el uso ilegítimo de datos personales con fines comerciales, la normalización del hiperconsumo alimentario, y cómo estas estrategias vulneran el Derecho Humano a la Alimentación</w:t>
      </w:r>
      <w:r w:rsidR="00727BA7">
        <w:rPr>
          <w:sz w:val="24"/>
          <w:szCs w:val="24"/>
        </w:rPr>
        <w:t xml:space="preserve"> y Nutrición Adecuadas</w:t>
      </w:r>
      <w:r w:rsidRPr="009C20AA">
        <w:rPr>
          <w:sz w:val="24"/>
          <w:szCs w:val="24"/>
        </w:rPr>
        <w:t xml:space="preserve"> (DHANA) y la Soberanía Alimentaria (SOBAL), especialmente en entornos </w:t>
      </w:r>
      <w:r w:rsidR="00727BA7">
        <w:rPr>
          <w:sz w:val="24"/>
          <w:szCs w:val="24"/>
        </w:rPr>
        <w:t>educativos</w:t>
      </w:r>
      <w:r w:rsidRPr="009C20AA">
        <w:rPr>
          <w:sz w:val="24"/>
          <w:szCs w:val="24"/>
        </w:rPr>
        <w:t xml:space="preserve"> y digitales.</w:t>
      </w:r>
    </w:p>
    <w:p w14:paraId="48AFD05F" w14:textId="77777777" w:rsidR="009C20AA" w:rsidRPr="009C20AA" w:rsidRDefault="009C20AA" w:rsidP="009C20AA">
      <w:pPr>
        <w:spacing w:after="200" w:line="360" w:lineRule="auto"/>
        <w:jc w:val="both"/>
        <w:rPr>
          <w:sz w:val="24"/>
          <w:szCs w:val="24"/>
        </w:rPr>
      </w:pPr>
      <w:r w:rsidRPr="009C20AA">
        <w:rPr>
          <w:sz w:val="24"/>
          <w:szCs w:val="24"/>
        </w:rPr>
        <w:t xml:space="preserve">Este documento se organiza en tres capítulos temáticos, cada uno de los cuales responde a las preocupaciones planteadas por el Comité de los Derechos del Niño en la </w:t>
      </w:r>
      <w:proofErr w:type="spellStart"/>
      <w:r w:rsidRPr="009C20AA">
        <w:rPr>
          <w:sz w:val="24"/>
          <w:szCs w:val="24"/>
        </w:rPr>
        <w:t>pre-sesión</w:t>
      </w:r>
      <w:proofErr w:type="spellEnd"/>
      <w:r w:rsidRPr="009C20AA">
        <w:rPr>
          <w:sz w:val="24"/>
          <w:szCs w:val="24"/>
        </w:rPr>
        <w:t xml:space="preserve"> del 6 de febrero de 2025 y dialoga con las preguntas del </w:t>
      </w:r>
      <w:r w:rsidRPr="009C20AA">
        <w:rPr>
          <w:i/>
          <w:iCs/>
          <w:sz w:val="24"/>
          <w:szCs w:val="24"/>
        </w:rPr>
        <w:t>Listado de Cuestiones</w:t>
      </w:r>
      <w:r w:rsidRPr="009C20AA">
        <w:rPr>
          <w:sz w:val="24"/>
          <w:szCs w:val="24"/>
        </w:rPr>
        <w:t xml:space="preserve"> enviado al Estado colombiano. Los tres capítulos combinan análisis político, diagnóstico técnico, evidencia empírica y propuestas concretas.</w:t>
      </w:r>
    </w:p>
    <w:p w14:paraId="3EE0D369" w14:textId="6B7262E3" w:rsidR="009C20AA" w:rsidRPr="009C20AA" w:rsidRDefault="009C20AA" w:rsidP="008C3C27">
      <w:pPr>
        <w:tabs>
          <w:tab w:val="num" w:pos="720"/>
        </w:tabs>
        <w:spacing w:after="200" w:line="360" w:lineRule="auto"/>
        <w:jc w:val="both"/>
        <w:rPr>
          <w:sz w:val="24"/>
          <w:szCs w:val="24"/>
        </w:rPr>
      </w:pPr>
      <w:r w:rsidRPr="009C20AA">
        <w:rPr>
          <w:sz w:val="24"/>
          <w:szCs w:val="24"/>
        </w:rPr>
        <w:t>El Capítulo I visibiliza omisiones estructurales y el debilitamiento institucional en contextos de ruralidad, pobreza y conflicto armado, donde las respuestas estatales resultan insuficientes, desarticuladas o inexistentes.</w:t>
      </w:r>
      <w:r w:rsidR="005A2362">
        <w:rPr>
          <w:sz w:val="24"/>
          <w:szCs w:val="24"/>
        </w:rPr>
        <w:t xml:space="preserve"> </w:t>
      </w:r>
      <w:r w:rsidRPr="009C20AA">
        <w:rPr>
          <w:sz w:val="24"/>
          <w:szCs w:val="24"/>
        </w:rPr>
        <w:t xml:space="preserve">El Capítulo II documenta violencias ejercidas o toleradas por el Estado, incluyendo bombardeos con </w:t>
      </w:r>
      <w:r w:rsidR="00727BA7">
        <w:rPr>
          <w:sz w:val="24"/>
          <w:szCs w:val="24"/>
        </w:rPr>
        <w:t xml:space="preserve">NNA como </w:t>
      </w:r>
      <w:r w:rsidRPr="009C20AA">
        <w:rPr>
          <w:sz w:val="24"/>
          <w:szCs w:val="24"/>
        </w:rPr>
        <w:t>víctimas, criminalización del porte de armas por parte de adolescentes, racismo institucional e intervenciones militares inadecuadas.</w:t>
      </w:r>
      <w:r w:rsidR="008C3C27">
        <w:rPr>
          <w:sz w:val="24"/>
          <w:szCs w:val="24"/>
        </w:rPr>
        <w:t xml:space="preserve"> </w:t>
      </w:r>
      <w:r w:rsidRPr="009C20AA">
        <w:rPr>
          <w:sz w:val="24"/>
          <w:szCs w:val="24"/>
        </w:rPr>
        <w:t xml:space="preserve">El Capítulo III revela las dinámicas de captura corporativa en políticas públicas, el uso indebido de datos personales de NNA para fines </w:t>
      </w:r>
      <w:r w:rsidRPr="009C20AA">
        <w:rPr>
          <w:sz w:val="24"/>
          <w:szCs w:val="24"/>
        </w:rPr>
        <w:lastRenderedPageBreak/>
        <w:t>comerciales, la desregulación del marketing digital de productos nocivos, y la fragilidad de las garantías para el DHANA y la SOBAL.</w:t>
      </w:r>
    </w:p>
    <w:p w14:paraId="521B3CC2" w14:textId="77777777" w:rsidR="009C20AA" w:rsidRPr="009C20AA" w:rsidRDefault="009C20AA" w:rsidP="009C20AA">
      <w:pPr>
        <w:spacing w:after="200" w:line="360" w:lineRule="auto"/>
        <w:jc w:val="both"/>
        <w:rPr>
          <w:sz w:val="24"/>
          <w:szCs w:val="24"/>
        </w:rPr>
      </w:pPr>
      <w:r w:rsidRPr="009C20AA">
        <w:rPr>
          <w:sz w:val="24"/>
          <w:szCs w:val="24"/>
        </w:rPr>
        <w:t>De manera transversal, los tres capítulos ponen en evidencia un fenómeno común: el uso de plataformas digitales, redes sociales y entornos virtuales como escenarios de vulneración de derechos. Desde el reclutamiento y la instrumentalización de NNA por actores armados, hasta la mercantilización de sus datos personales y la exposición sistemática a mensajes nocivos, el espacio digital se ha convertido en un nuevo campo de disputa ética, jurídica y política para la protección integral de la niñez.</w:t>
      </w:r>
    </w:p>
    <w:p w14:paraId="79F6C19A" w14:textId="353A6D32" w:rsidR="009C20AA" w:rsidRPr="009C20AA" w:rsidRDefault="009C20AA" w:rsidP="009C20AA">
      <w:pPr>
        <w:spacing w:after="200" w:line="360" w:lineRule="auto"/>
        <w:jc w:val="both"/>
        <w:rPr>
          <w:sz w:val="24"/>
          <w:szCs w:val="24"/>
        </w:rPr>
      </w:pPr>
      <w:r w:rsidRPr="009C20AA">
        <w:rPr>
          <w:sz w:val="24"/>
          <w:szCs w:val="24"/>
        </w:rPr>
        <w:t xml:space="preserve">Este informe alterno, por tanto, es también un llamado urgente al Comité de Derechos del Niño y a la comunidad internacional para que se exija al Estado colombiano una respuesta coherente, sostenida y transformadora que garantice los derechos de </w:t>
      </w:r>
      <w:r w:rsidR="00E26E26">
        <w:rPr>
          <w:sz w:val="24"/>
          <w:szCs w:val="24"/>
        </w:rPr>
        <w:t>NNA</w:t>
      </w:r>
      <w:r w:rsidRPr="009C20AA">
        <w:rPr>
          <w:sz w:val="24"/>
          <w:szCs w:val="24"/>
        </w:rPr>
        <w:t xml:space="preserve"> en todos los territorios, lenguajes y entornos.</w:t>
      </w:r>
    </w:p>
    <w:p w14:paraId="5D4FAFBD" w14:textId="77777777" w:rsidR="00C4033C" w:rsidRPr="00C4033C" w:rsidRDefault="00C4033C" w:rsidP="00C4033C">
      <w:pPr>
        <w:pStyle w:val="Heading2"/>
      </w:pPr>
      <w:bookmarkStart w:id="4" w:name="_Toc216258181"/>
      <w:r w:rsidRPr="00C4033C">
        <w:t>Enfoque metodológico</w:t>
      </w:r>
      <w:bookmarkEnd w:id="4"/>
    </w:p>
    <w:p w14:paraId="3FADD42C" w14:textId="58730F86" w:rsidR="00C4033C" w:rsidRPr="00C4033C" w:rsidRDefault="00C4033C" w:rsidP="00DE75AB">
      <w:pPr>
        <w:spacing w:after="240" w:line="360" w:lineRule="auto"/>
        <w:jc w:val="both"/>
        <w:rPr>
          <w:sz w:val="24"/>
          <w:szCs w:val="24"/>
        </w:rPr>
      </w:pPr>
      <w:r w:rsidRPr="00C4033C">
        <w:rPr>
          <w:sz w:val="24"/>
          <w:szCs w:val="24"/>
        </w:rPr>
        <w:t>La elaboración de este informe se sustentó en una estrategia metodológica cualitativa que combinó revisión sistemática de fuentes oficiales, normativas y jurisprudenciales; análisis documental de estudios e investigaciones producidos por las organizaciones firmantes</w:t>
      </w:r>
      <w:r w:rsidR="00F02CA3">
        <w:rPr>
          <w:sz w:val="24"/>
          <w:szCs w:val="24"/>
        </w:rPr>
        <w:t xml:space="preserve">. </w:t>
      </w:r>
      <w:r w:rsidRPr="00C4033C">
        <w:rPr>
          <w:sz w:val="24"/>
          <w:szCs w:val="24"/>
        </w:rPr>
        <w:t xml:space="preserve">La priorización de los temas abordados respondió tanto a la identificación de vacíos sustantivos y omisiones graves en el informe presentado por el Estado colombiano, como a la experticia acumulada de las organizaciones firmantes, su presencia territorial y sus capacidades técnicas para documentar y sustentar problemáticas estructurales que afectan los derechos de </w:t>
      </w:r>
      <w:r w:rsidR="00E26E26">
        <w:rPr>
          <w:sz w:val="24"/>
          <w:szCs w:val="24"/>
        </w:rPr>
        <w:t>NNA</w:t>
      </w:r>
      <w:r w:rsidRPr="00C4033C">
        <w:rPr>
          <w:sz w:val="24"/>
          <w:szCs w:val="24"/>
        </w:rPr>
        <w:t>.</w:t>
      </w:r>
    </w:p>
    <w:p w14:paraId="0F4B49AA" w14:textId="02E475A7" w:rsidR="00C4033C" w:rsidRDefault="00FD4359" w:rsidP="00DE75AB">
      <w:pPr>
        <w:spacing w:after="240" w:line="360" w:lineRule="auto"/>
        <w:jc w:val="both"/>
        <w:rPr>
          <w:sz w:val="24"/>
          <w:szCs w:val="24"/>
        </w:rPr>
      </w:pPr>
      <w:r w:rsidRPr="00FD4359">
        <w:rPr>
          <w:sz w:val="24"/>
          <w:szCs w:val="24"/>
        </w:rPr>
        <w:t xml:space="preserve">El informe </w:t>
      </w:r>
      <w:r w:rsidR="004E5762">
        <w:rPr>
          <w:sz w:val="24"/>
          <w:szCs w:val="24"/>
        </w:rPr>
        <w:t>r</w:t>
      </w:r>
      <w:r w:rsidRPr="00FD4359">
        <w:rPr>
          <w:sz w:val="24"/>
          <w:szCs w:val="24"/>
        </w:rPr>
        <w:t xml:space="preserve">econoce las múltiples condiciones estructurales que inciden en la vulneración de derechos de </w:t>
      </w:r>
      <w:r w:rsidR="00E26E26">
        <w:rPr>
          <w:sz w:val="24"/>
          <w:szCs w:val="24"/>
        </w:rPr>
        <w:t>NNA</w:t>
      </w:r>
      <w:r w:rsidRPr="00FD4359">
        <w:rPr>
          <w:sz w:val="24"/>
          <w:szCs w:val="24"/>
        </w:rPr>
        <w:t>: la pobreza persistente, la permanencia del conflicto armado, la exclusión étnico-racial, la ruralidad profunda y los desplazamientos forzados configuran escenarios de riesgo que no pueden ser abordados de forma homogénea ni descontextualizada. Cada una de estas dimensiones exige respuestas integrales, situadas y sensibles a las particularidades de los territorios y las trayectorias de vida de las infancias afectadas.</w:t>
      </w:r>
    </w:p>
    <w:p w14:paraId="124C4AC3" w14:textId="77777777" w:rsidR="00DD39DA" w:rsidRPr="00DD39DA" w:rsidRDefault="00DD39DA" w:rsidP="008D2899">
      <w:pPr>
        <w:pStyle w:val="Heading2"/>
        <w:spacing w:before="0"/>
      </w:pPr>
      <w:bookmarkStart w:id="5" w:name="_Toc216258182"/>
      <w:r w:rsidRPr="00DD39DA">
        <w:lastRenderedPageBreak/>
        <w:t>Marco normativo</w:t>
      </w:r>
      <w:bookmarkEnd w:id="5"/>
    </w:p>
    <w:p w14:paraId="255727E9" w14:textId="7B318FD6" w:rsidR="00EC03BF" w:rsidRPr="00EC03BF" w:rsidRDefault="00EC03BF" w:rsidP="00DE75AB">
      <w:pPr>
        <w:spacing w:after="200" w:line="360" w:lineRule="auto"/>
        <w:jc w:val="both"/>
        <w:rPr>
          <w:sz w:val="24"/>
          <w:szCs w:val="24"/>
        </w:rPr>
      </w:pPr>
      <w:r w:rsidRPr="00EC03BF">
        <w:rPr>
          <w:sz w:val="24"/>
          <w:szCs w:val="24"/>
        </w:rPr>
        <w:t xml:space="preserve">Durante el período 2024–2025, el Estado colombiano no ha adoptado reformas legislativas orientadas a fortalecer los derechos de </w:t>
      </w:r>
      <w:r w:rsidR="00E26E26">
        <w:rPr>
          <w:sz w:val="24"/>
          <w:szCs w:val="24"/>
        </w:rPr>
        <w:t>NNA</w:t>
      </w:r>
      <w:r w:rsidRPr="00EC03BF">
        <w:rPr>
          <w:sz w:val="24"/>
          <w:szCs w:val="24"/>
        </w:rPr>
        <w:t>. Por el contrario, se ha consolidado una narrativa estatal que instrumentaliza el lenguaje de los derechos sin traducirlo en políticas públicas efectivas, presupuesto asignado o mecanismos de exigibilidad. Esta distancia entre norma y realidad evidencia una voluntad política que no prioriza a la infancia.</w:t>
      </w:r>
    </w:p>
    <w:p w14:paraId="1BA2CC45" w14:textId="4E98AC29" w:rsidR="00EC03BF" w:rsidRPr="00EC03BF" w:rsidRDefault="00EC03BF" w:rsidP="00DE75AB">
      <w:pPr>
        <w:spacing w:after="200" w:line="360" w:lineRule="auto"/>
        <w:jc w:val="both"/>
        <w:rPr>
          <w:sz w:val="24"/>
          <w:szCs w:val="24"/>
        </w:rPr>
      </w:pPr>
      <w:r w:rsidRPr="00EC03BF">
        <w:rPr>
          <w:sz w:val="24"/>
          <w:szCs w:val="24"/>
        </w:rPr>
        <w:t xml:space="preserve">Más grave aún, se ha intensificado la presión de sectores políticos conservadores que promueven discursos de </w:t>
      </w:r>
      <w:proofErr w:type="spellStart"/>
      <w:r w:rsidRPr="00EC03BF">
        <w:rPr>
          <w:sz w:val="24"/>
          <w:szCs w:val="24"/>
        </w:rPr>
        <w:t>punitivismo</w:t>
      </w:r>
      <w:proofErr w:type="spellEnd"/>
      <w:r w:rsidRPr="00EC03BF">
        <w:rPr>
          <w:sz w:val="24"/>
          <w:szCs w:val="24"/>
        </w:rPr>
        <w:t>, control social y regresividad normativa. Desde estos sectores, se ha planteado la reducción de la edad penal para adolescentes, la flexibilización del porte de armas y la estigmatización de enfoques diferenciales de género y diversidad. Estas iniciativas, muchas veces impulsadas desde el Congreso y amplificadas en medios y redes sociales, no solo contradicen los compromisos internacionales del Estado colombiano, sino que configuran una amenaza directa al principio de interés superior de</w:t>
      </w:r>
      <w:r w:rsidR="00727BA7">
        <w:rPr>
          <w:sz w:val="24"/>
          <w:szCs w:val="24"/>
        </w:rPr>
        <w:t xml:space="preserve"> NNA.</w:t>
      </w:r>
    </w:p>
    <w:p w14:paraId="5E0617AA" w14:textId="6089E440" w:rsidR="00A3517E" w:rsidRDefault="00EC03BF" w:rsidP="00A3517E">
      <w:pPr>
        <w:spacing w:after="240" w:line="360" w:lineRule="auto"/>
        <w:jc w:val="both"/>
        <w:rPr>
          <w:sz w:val="24"/>
          <w:szCs w:val="24"/>
        </w:rPr>
      </w:pPr>
      <w:r w:rsidRPr="00EC03BF">
        <w:rPr>
          <w:sz w:val="24"/>
          <w:szCs w:val="24"/>
        </w:rPr>
        <w:t xml:space="preserve">En lugar de avanzar hacia una legislación protectora e integral, el país enfrenta una ofensiva ideológica que busca restringir derechos, deslegitimar la participación de </w:t>
      </w:r>
      <w:r w:rsidR="00E26E26">
        <w:rPr>
          <w:sz w:val="24"/>
          <w:szCs w:val="24"/>
        </w:rPr>
        <w:t>NNA</w:t>
      </w:r>
      <w:r w:rsidR="00E26E26" w:rsidRPr="00EC03BF">
        <w:rPr>
          <w:sz w:val="24"/>
          <w:szCs w:val="24"/>
        </w:rPr>
        <w:t xml:space="preserve"> </w:t>
      </w:r>
      <w:r w:rsidRPr="00EC03BF">
        <w:rPr>
          <w:sz w:val="24"/>
          <w:szCs w:val="24"/>
        </w:rPr>
        <w:t xml:space="preserve">en espacios públicos, y desmontar estándares que han sido construidos durante décadas. </w:t>
      </w:r>
      <w:r w:rsidR="00A3517E" w:rsidRPr="00A3517E">
        <w:rPr>
          <w:sz w:val="24"/>
          <w:szCs w:val="24"/>
        </w:rPr>
        <w:t>En este contexto, la función del presente informe es advertir con claridad que el andamiaje normativo enfrenta riesgos reales de ser socavado por discursos de odio, expresiones de populismo punitivo y procesos de captura institucional impulsados por intereses políticos que contravienen los principios de los derechos humanos.</w:t>
      </w:r>
    </w:p>
    <w:p w14:paraId="098B64D3" w14:textId="7FA593CB" w:rsidR="007210D0" w:rsidRPr="007210D0" w:rsidRDefault="007210D0" w:rsidP="00A3517E">
      <w:pPr>
        <w:spacing w:after="240" w:line="360" w:lineRule="auto"/>
        <w:jc w:val="both"/>
        <w:rPr>
          <w:sz w:val="24"/>
          <w:szCs w:val="24"/>
        </w:rPr>
      </w:pPr>
      <w:r w:rsidRPr="007210D0">
        <w:rPr>
          <w:sz w:val="24"/>
          <w:szCs w:val="24"/>
        </w:rPr>
        <w:t xml:space="preserve">Lejos de avanzar hacia el cumplimiento pleno de las obligaciones internacionales suscritas por el Estado colombiano, en los últimos dos años se han intensificado prácticas estatales que contradicen de forma directa el corpus normativo que protege a </w:t>
      </w:r>
      <w:r w:rsidR="00FB7BF4">
        <w:rPr>
          <w:sz w:val="24"/>
          <w:szCs w:val="24"/>
        </w:rPr>
        <w:t>NNA</w:t>
      </w:r>
      <w:r w:rsidRPr="007210D0">
        <w:rPr>
          <w:sz w:val="24"/>
          <w:szCs w:val="24"/>
        </w:rPr>
        <w:t xml:space="preserve"> en contextos de conflicto armado. A pesar de que el país ha ratificado instrumentos como el Protocolo Facultativo de la Convención sobre los Derechos del Niño relativo a la participación de niños en los conflictos armados, el Estatuto de Roma y el Protocolo Adicional II a los Convenios de Ginebra, se observa una regresión alarmante en el </w:t>
      </w:r>
      <w:r w:rsidRPr="007210D0">
        <w:rPr>
          <w:sz w:val="24"/>
          <w:szCs w:val="24"/>
        </w:rPr>
        <w:lastRenderedPageBreak/>
        <w:t xml:space="preserve">tratamiento que se le otorga a </w:t>
      </w:r>
      <w:r w:rsidR="00E26E26">
        <w:rPr>
          <w:sz w:val="24"/>
          <w:szCs w:val="24"/>
        </w:rPr>
        <w:t>NNA</w:t>
      </w:r>
      <w:r w:rsidR="00E26E26" w:rsidRPr="007210D0">
        <w:rPr>
          <w:sz w:val="24"/>
          <w:szCs w:val="24"/>
        </w:rPr>
        <w:t xml:space="preserve"> </w:t>
      </w:r>
      <w:r w:rsidRPr="007210D0">
        <w:rPr>
          <w:sz w:val="24"/>
          <w:szCs w:val="24"/>
        </w:rPr>
        <w:t>reclutados forzadamente por grupos armados</w:t>
      </w:r>
      <w:r w:rsidR="00AB2480">
        <w:rPr>
          <w:sz w:val="24"/>
          <w:szCs w:val="24"/>
        </w:rPr>
        <w:t>, así como el accionar de las fuerzas militares</w:t>
      </w:r>
      <w:r w:rsidRPr="007210D0">
        <w:rPr>
          <w:sz w:val="24"/>
          <w:szCs w:val="24"/>
        </w:rPr>
        <w:t>.</w:t>
      </w:r>
    </w:p>
    <w:p w14:paraId="43A799D7" w14:textId="22A95A37" w:rsidR="007210D0" w:rsidRPr="007210D0" w:rsidRDefault="007210D0" w:rsidP="00DE75AB">
      <w:pPr>
        <w:spacing w:after="200" w:line="360" w:lineRule="auto"/>
        <w:jc w:val="both"/>
        <w:rPr>
          <w:sz w:val="24"/>
          <w:szCs w:val="24"/>
        </w:rPr>
      </w:pPr>
      <w:r w:rsidRPr="007210D0">
        <w:rPr>
          <w:sz w:val="24"/>
          <w:szCs w:val="24"/>
        </w:rPr>
        <w:t>Un ejemplo emblemático de esta regresión lo constituye la reactivación de bombardeos en zonas rurales con presencia confirmada de NNA vinculados a estructuras armadas ilegales. El caso ocurrido en noviembre de 2025 en el departamento del Guaviare —en el que murieron al menos siete niños y niñas— ha sido ampliamente documentado por la Defensoría del Pueblo y organizaciones sociales, evidenciando</w:t>
      </w:r>
      <w:r w:rsidR="005B40E8">
        <w:rPr>
          <w:sz w:val="24"/>
          <w:szCs w:val="24"/>
        </w:rPr>
        <w:t xml:space="preserve"> </w:t>
      </w:r>
      <w:r w:rsidR="005B40E8" w:rsidRPr="005B40E8">
        <w:rPr>
          <w:sz w:val="24"/>
          <w:szCs w:val="24"/>
        </w:rPr>
        <w:t>una vulneración frontal al principio de humanidad que sustenta el Derecho Internacional Humanitario, desdibujando sus límites éticos y normativos incluso en el escenario más extremo del conflicto.</w:t>
      </w:r>
      <w:r w:rsidR="0025174A">
        <w:rPr>
          <w:sz w:val="24"/>
          <w:szCs w:val="24"/>
        </w:rPr>
        <w:t xml:space="preserve"> </w:t>
      </w:r>
      <w:r w:rsidRPr="007210D0">
        <w:rPr>
          <w:sz w:val="24"/>
          <w:szCs w:val="24"/>
        </w:rPr>
        <w:t>En sus comunicados oficiales, la Defensoría ha reiterado que la condición de infancia no se pierde por la cooptación forzada: aun en los casos en que hayan sido convertidos en combatientes, los NNA conservan su estatus de víctimas y su derecho a la protección diferenciada.</w:t>
      </w:r>
    </w:p>
    <w:p w14:paraId="0FC5A6DF" w14:textId="6C486FB4" w:rsidR="007210D0" w:rsidRPr="007210D0" w:rsidRDefault="007210D0" w:rsidP="00DE75AB">
      <w:pPr>
        <w:spacing w:after="200" w:line="360" w:lineRule="auto"/>
        <w:jc w:val="both"/>
        <w:rPr>
          <w:sz w:val="24"/>
          <w:szCs w:val="24"/>
        </w:rPr>
      </w:pPr>
      <w:r w:rsidRPr="007210D0">
        <w:rPr>
          <w:sz w:val="24"/>
          <w:szCs w:val="24"/>
        </w:rPr>
        <w:t>A esta situación se suma una narrativa oficial que legitima el uso desproporcionado de la fuerza. Declaraciones del Ministro de Defensa</w:t>
      </w:r>
      <w:r w:rsidR="002F74DA">
        <w:rPr>
          <w:sz w:val="24"/>
          <w:szCs w:val="24"/>
        </w:rPr>
        <w:t xml:space="preserve"> </w:t>
      </w:r>
      <w:r w:rsidRPr="007210D0">
        <w:rPr>
          <w:sz w:val="24"/>
          <w:szCs w:val="24"/>
        </w:rPr>
        <w:t xml:space="preserve">—como “lo que mata no es la edad, es el arma” o la afirmación según la cual quienes se vinculan a hostilidades “pierden toda protección sin distinción alguna”— expresan un desconocimiento flagrante de las normas del DIH y promueven una peligrosa doctrina que deshumaniza a </w:t>
      </w:r>
      <w:r w:rsidR="00732055">
        <w:rPr>
          <w:sz w:val="24"/>
          <w:szCs w:val="24"/>
        </w:rPr>
        <w:t>NNA</w:t>
      </w:r>
      <w:r w:rsidRPr="007210D0">
        <w:rPr>
          <w:sz w:val="24"/>
          <w:szCs w:val="24"/>
        </w:rPr>
        <w:t xml:space="preserve"> involucrad</w:t>
      </w:r>
      <w:r w:rsidR="00732055">
        <w:rPr>
          <w:sz w:val="24"/>
          <w:szCs w:val="24"/>
        </w:rPr>
        <w:t>os</w:t>
      </w:r>
      <w:r w:rsidRPr="007210D0">
        <w:rPr>
          <w:sz w:val="24"/>
          <w:szCs w:val="24"/>
        </w:rPr>
        <w:t xml:space="preserve"> en conflictos. Estas afirmaciones constituyen no solo un retroceso discursivo sino un obstáculo estructural para la garantía de derechos.</w:t>
      </w:r>
    </w:p>
    <w:p w14:paraId="2C9F83B7" w14:textId="7AAAF1BC" w:rsidR="00A5201E" w:rsidRDefault="007210D0" w:rsidP="00DE75AB">
      <w:pPr>
        <w:spacing w:line="360" w:lineRule="auto"/>
        <w:jc w:val="both"/>
        <w:rPr>
          <w:sz w:val="24"/>
          <w:szCs w:val="24"/>
        </w:rPr>
      </w:pPr>
      <w:r w:rsidRPr="007210D0">
        <w:rPr>
          <w:sz w:val="24"/>
          <w:szCs w:val="24"/>
        </w:rPr>
        <w:t>En lugar de adoptar una doctrina de seguridad humana, consagrada en la Ley 2272 de 2022, el Estado ha replegado sus estrategias hacia enfoques militaristas que ignoran alertas tempranas, denuncias territoriales y estándares internacionales. Esta tendencia, alentada por sectores políticos que buscan flexibilizar las normas sobre edad de responsabilidad penal y minimizar la protección especial de la niñez, pone en grave riesgo los compromisos internacionales del país y desvirtúa la esencia misma del principio de humanidad que sustenta el Derecho Internacional Humanitario.</w:t>
      </w:r>
    </w:p>
    <w:p w14:paraId="0B08A1E6" w14:textId="77777777" w:rsidR="00A5201E" w:rsidRDefault="00A5201E">
      <w:pPr>
        <w:rPr>
          <w:sz w:val="24"/>
          <w:szCs w:val="24"/>
        </w:rPr>
      </w:pPr>
      <w:r>
        <w:rPr>
          <w:sz w:val="24"/>
          <w:szCs w:val="24"/>
        </w:rPr>
        <w:br w:type="page"/>
      </w:r>
    </w:p>
    <w:p w14:paraId="6F63AE78" w14:textId="130FD0DC" w:rsidR="0012067D" w:rsidRDefault="0012067D" w:rsidP="000C6B6E">
      <w:pPr>
        <w:pStyle w:val="Heading2"/>
        <w:spacing w:line="360" w:lineRule="auto"/>
        <w:jc w:val="center"/>
        <w:rPr>
          <w:bCs/>
          <w:szCs w:val="40"/>
        </w:rPr>
      </w:pPr>
      <w:bookmarkStart w:id="6" w:name="_Toc216258183"/>
      <w:r w:rsidRPr="00A918BE">
        <w:rPr>
          <w:szCs w:val="40"/>
        </w:rPr>
        <w:lastRenderedPageBreak/>
        <w:t xml:space="preserve">CAPÍTULO 1: </w:t>
      </w:r>
      <w:r w:rsidRPr="0012067D">
        <w:rPr>
          <w:bCs/>
          <w:szCs w:val="40"/>
        </w:rPr>
        <w:t xml:space="preserve">RECLUTAMIENTO, USO Y VINCULACIÓN DE </w:t>
      </w:r>
      <w:r w:rsidR="002B1327">
        <w:rPr>
          <w:bCs/>
          <w:szCs w:val="40"/>
        </w:rPr>
        <w:t xml:space="preserve">NIÑAS, NIÑOS Y ADOLESCENTES </w:t>
      </w:r>
      <w:r w:rsidRPr="0012067D">
        <w:rPr>
          <w:bCs/>
          <w:szCs w:val="40"/>
        </w:rPr>
        <w:t>EN EL CONTEXTO DEL CONFLICTO ARMADO</w:t>
      </w:r>
      <w:bookmarkEnd w:id="6"/>
    </w:p>
    <w:p w14:paraId="5C31D44F" w14:textId="476BBDF6" w:rsidR="001E2A7E" w:rsidRPr="007C222C" w:rsidRDefault="001E2A7E" w:rsidP="001E2A7E">
      <w:pPr>
        <w:spacing w:before="240" w:after="240" w:line="360" w:lineRule="auto"/>
        <w:rPr>
          <w:sz w:val="24"/>
          <w:szCs w:val="24"/>
        </w:rPr>
      </w:pPr>
      <w:r w:rsidRPr="007C222C">
        <w:rPr>
          <w:sz w:val="24"/>
          <w:szCs w:val="24"/>
        </w:rPr>
        <w:t xml:space="preserve">Este capítulo se construye en diálogo directo con las preguntas formuladas por el Comité de los Derechos del Niño en el marco de la </w:t>
      </w:r>
      <w:proofErr w:type="spellStart"/>
      <w:r w:rsidRPr="007C222C">
        <w:rPr>
          <w:sz w:val="24"/>
          <w:szCs w:val="24"/>
        </w:rPr>
        <w:t>pre-sesión</w:t>
      </w:r>
      <w:proofErr w:type="spellEnd"/>
      <w:r w:rsidRPr="007C222C">
        <w:rPr>
          <w:sz w:val="24"/>
          <w:szCs w:val="24"/>
        </w:rPr>
        <w:t xml:space="preserve"> realizada con organizaciones de la sociedad civil. Particularmente, responde a la inquietud planteada en relación con los patrones de reclutamiento de niñas</w:t>
      </w:r>
      <w:r w:rsidR="00797CAF">
        <w:rPr>
          <w:sz w:val="24"/>
          <w:szCs w:val="24"/>
        </w:rPr>
        <w:t>,</w:t>
      </w:r>
      <w:r w:rsidRPr="007C222C">
        <w:rPr>
          <w:sz w:val="24"/>
          <w:szCs w:val="24"/>
        </w:rPr>
        <w:t xml:space="preserve"> niños en Colombia (pregunta 22), así como a las preocupaciones expresadas sobre la eficacia de las políticas públicas de protección (preguntas 2, 3, 4 y 12), la necesidad de adoptar enfoques interseccionales frente a la discriminación étnica y territorial (pregunta 10), y la persistencia de violencias específicas contra niñas y adolescentes mujeres (preguntas 7 y 16).</w:t>
      </w:r>
    </w:p>
    <w:p w14:paraId="7EAAAFF7" w14:textId="605386A5" w:rsidR="001E2A7E" w:rsidRPr="001E2A7E" w:rsidRDefault="00014720" w:rsidP="008A12B4">
      <w:pPr>
        <w:spacing w:before="240" w:line="360" w:lineRule="auto"/>
        <w:rPr>
          <w:sz w:val="24"/>
          <w:szCs w:val="24"/>
        </w:rPr>
      </w:pPr>
      <w:r>
        <w:rPr>
          <w:sz w:val="24"/>
          <w:szCs w:val="24"/>
        </w:rPr>
        <w:t>E</w:t>
      </w:r>
      <w:r w:rsidR="001E2A7E" w:rsidRPr="001E2A7E">
        <w:rPr>
          <w:sz w:val="24"/>
          <w:szCs w:val="24"/>
        </w:rPr>
        <w:t xml:space="preserve">l capítulo presenta un análisis detallado sobre la persistencia del reclutamiento, uso y utilización de </w:t>
      </w:r>
      <w:r w:rsidR="00E26E26">
        <w:rPr>
          <w:sz w:val="24"/>
          <w:szCs w:val="24"/>
        </w:rPr>
        <w:t>NNA</w:t>
      </w:r>
      <w:r w:rsidR="00E26E26" w:rsidRPr="001E2A7E">
        <w:rPr>
          <w:sz w:val="24"/>
          <w:szCs w:val="24"/>
        </w:rPr>
        <w:t xml:space="preserve"> </w:t>
      </w:r>
      <w:r w:rsidR="001E2A7E" w:rsidRPr="001E2A7E">
        <w:rPr>
          <w:sz w:val="24"/>
          <w:szCs w:val="24"/>
        </w:rPr>
        <w:t xml:space="preserve">por parte de actores armados ilegales en el periodo 2023–2024, la desprotección estatal estructural que lo posibilita, y las respuestas —aún insuficientes— en materia de prevención, desvinculación y reparación integral. El contenido se basa en la investigación </w:t>
      </w:r>
      <w:r w:rsidR="001E2A7E" w:rsidRPr="001E2A7E">
        <w:rPr>
          <w:i/>
          <w:iCs/>
          <w:sz w:val="24"/>
          <w:szCs w:val="24"/>
        </w:rPr>
        <w:t xml:space="preserve">“Reclutamiento y protección integral de niñas, niños y jóvenes” </w:t>
      </w:r>
      <w:r w:rsidR="001E2A7E" w:rsidRPr="001E2A7E">
        <w:rPr>
          <w:sz w:val="24"/>
          <w:szCs w:val="24"/>
        </w:rPr>
        <w:t>desarrollada por Humanidad Vigente Corporación Jurídica (2025), e incorpora fuentes oficiales, informes internacionales y marcos normativos vigentes, con un enfoque diferencial, territorial y de derechos humanos.</w:t>
      </w:r>
      <w:r w:rsidR="008D52EE">
        <w:rPr>
          <w:sz w:val="24"/>
          <w:szCs w:val="24"/>
        </w:rPr>
        <w:t xml:space="preserve"> </w:t>
      </w:r>
    </w:p>
    <w:p w14:paraId="69C7C09B" w14:textId="5B223011" w:rsidR="00A3683C" w:rsidRPr="00A3683C" w:rsidRDefault="00A3683C" w:rsidP="008D52EE">
      <w:pPr>
        <w:pStyle w:val="Heading2"/>
        <w:spacing w:after="0"/>
      </w:pPr>
      <w:bookmarkStart w:id="7" w:name="_Toc216258184"/>
      <w:r w:rsidRPr="00A3683C">
        <w:t>Persistencia del reclutamiento y utilización de NNA por actores armados</w:t>
      </w:r>
      <w:bookmarkEnd w:id="7"/>
    </w:p>
    <w:p w14:paraId="13C10C1A" w14:textId="165D8909" w:rsidR="0098103B" w:rsidRPr="009A6181" w:rsidRDefault="00926BCD" w:rsidP="0098103B">
      <w:pPr>
        <w:spacing w:before="240" w:after="240" w:line="360" w:lineRule="auto"/>
        <w:rPr>
          <w:sz w:val="24"/>
          <w:szCs w:val="24"/>
        </w:rPr>
      </w:pPr>
      <w:r w:rsidRPr="00926BCD">
        <w:rPr>
          <w:sz w:val="24"/>
          <w:szCs w:val="24"/>
        </w:rPr>
        <w:t xml:space="preserve">El reclutamiento forzado y la utilización de </w:t>
      </w:r>
      <w:r w:rsidR="003403EE">
        <w:rPr>
          <w:sz w:val="24"/>
          <w:szCs w:val="24"/>
        </w:rPr>
        <w:t>niñas, niños y adolescentes</w:t>
      </w:r>
      <w:r w:rsidR="00E26E26" w:rsidRPr="00926BCD">
        <w:rPr>
          <w:sz w:val="24"/>
          <w:szCs w:val="24"/>
        </w:rPr>
        <w:t xml:space="preserve"> </w:t>
      </w:r>
      <w:r w:rsidRPr="00926BCD">
        <w:rPr>
          <w:sz w:val="24"/>
          <w:szCs w:val="24"/>
        </w:rPr>
        <w:t xml:space="preserve">por parte de actores armados —tanto legales como ilegales— continúan siendo violaciones graves, sistemáticas y persistentes de los derechos humanos, reconocidas como una de las peores formas de violencia contra la niñez y la adolescencia en el país. </w:t>
      </w:r>
      <w:r w:rsidR="0098103B" w:rsidRPr="009A6181">
        <w:rPr>
          <w:sz w:val="24"/>
          <w:szCs w:val="24"/>
        </w:rPr>
        <w:t>Esta situación vulnera disposiciones del derecho interno y también compromisos internacionales que el Estado colombiano ha asumido en el marco de tratados y estándares de derechos humanos.</w:t>
      </w:r>
    </w:p>
    <w:p w14:paraId="372B4DA1" w14:textId="6FFA076D" w:rsidR="00AF2521" w:rsidRPr="002E7018" w:rsidRDefault="00AF2521" w:rsidP="0098103B">
      <w:pPr>
        <w:spacing w:before="240" w:after="240" w:line="360" w:lineRule="auto"/>
        <w:rPr>
          <w:sz w:val="24"/>
          <w:szCs w:val="24"/>
        </w:rPr>
      </w:pPr>
      <w:r w:rsidRPr="002E7018">
        <w:rPr>
          <w:sz w:val="24"/>
          <w:szCs w:val="24"/>
        </w:rPr>
        <w:lastRenderedPageBreak/>
        <w:t>La evidencia más reciente, incluida en el informe de Humanidad Vigente (2025), confirma que durante el periodo 2023–2024 el fenómeno se mantuvo como una práctica estructural atribuida mayoritariamente a grupos armados ilegales, aunque también persisten serias omisiones institucionales que limitan su prevención, atención y sanción. En paralelo, la Oficina del Alto Comisionado de las Naciones Unidas para los Derechos Humanos en Colombia (OHCHR) verificó 474 casos confirmados de reclutamiento y/o utilización de NNA entre 2022 y 2024</w:t>
      </w:r>
      <w:r>
        <w:rPr>
          <w:rStyle w:val="FootnoteReference"/>
          <w:sz w:val="24"/>
          <w:szCs w:val="24"/>
        </w:rPr>
        <w:footnoteReference w:id="1"/>
      </w:r>
      <w:r w:rsidRPr="002E7018">
        <w:rPr>
          <w:sz w:val="24"/>
          <w:szCs w:val="24"/>
        </w:rPr>
        <w:t>, lo que representa un aumento sostenido frente a años anteriores.</w:t>
      </w:r>
    </w:p>
    <w:p w14:paraId="5AFC488E" w14:textId="589D9478" w:rsidR="00AF2521" w:rsidRPr="00424EC8" w:rsidRDefault="00AF2521" w:rsidP="00AF2521">
      <w:pPr>
        <w:spacing w:before="240" w:line="360" w:lineRule="auto"/>
        <w:rPr>
          <w:sz w:val="24"/>
          <w:szCs w:val="24"/>
        </w:rPr>
      </w:pPr>
      <w:r w:rsidRPr="00424EC8">
        <w:rPr>
          <w:sz w:val="24"/>
          <w:szCs w:val="24"/>
        </w:rPr>
        <w:t>Solo en 2024, la Defensoría del Pueblo reportó inicialmente 184 casos, aunque cifras más recientes de esta misma entidad elevan ese número a 624 víctimas</w:t>
      </w:r>
      <w:r w:rsidRPr="00424EC8">
        <w:rPr>
          <w:rStyle w:val="FootnoteReference"/>
          <w:sz w:val="24"/>
          <w:szCs w:val="24"/>
        </w:rPr>
        <w:footnoteReference w:id="2"/>
      </w:r>
      <w:r w:rsidRPr="00424EC8">
        <w:rPr>
          <w:sz w:val="24"/>
          <w:szCs w:val="24"/>
        </w:rPr>
        <w:t>, de las cuales el 62 % son niños y el 38 % niñas. Fuentes periodísticas complementarias reportaron 533 casos durante el mismo año, incluyendo 323 niños y 210 niñas</w:t>
      </w:r>
      <w:r w:rsidRPr="00424EC8">
        <w:rPr>
          <w:rStyle w:val="FootnoteReference"/>
          <w:sz w:val="24"/>
          <w:szCs w:val="24"/>
        </w:rPr>
        <w:footnoteReference w:id="3"/>
      </w:r>
      <w:r w:rsidRPr="00424EC8">
        <w:rPr>
          <w:sz w:val="24"/>
          <w:szCs w:val="24"/>
        </w:rPr>
        <w:t>. Esta variabilidad cuantitativa revela, además de la magnitud del problema, la existencia de subregistros importantes producto del temor, la desconfianza institucional y la normalización de la violencia.</w:t>
      </w:r>
    </w:p>
    <w:p w14:paraId="1D9B5462" w14:textId="40F99953" w:rsidR="00AB11CA" w:rsidRDefault="00AB11CA" w:rsidP="00AB11CA">
      <w:pPr>
        <w:spacing w:before="240" w:line="360" w:lineRule="auto"/>
        <w:rPr>
          <w:sz w:val="24"/>
          <w:szCs w:val="24"/>
        </w:rPr>
      </w:pPr>
      <w:r w:rsidRPr="00AB11CA">
        <w:rPr>
          <w:sz w:val="24"/>
          <w:szCs w:val="24"/>
        </w:rPr>
        <w:t>La persistencia del reclutamiento y utilización de NNA se explica, en parte, por factores estructurales y territoriales que configuran entornos de alto riesgo. En zonas rurales con baja presencia estatal, pobreza crónica, confinamiento por minas antipersonal, desescolarización y escasas oportunidades de subsistencia, los actores armados</w:t>
      </w:r>
      <w:r w:rsidR="00C05B95">
        <w:rPr>
          <w:sz w:val="24"/>
          <w:szCs w:val="24"/>
        </w:rPr>
        <w:t xml:space="preserve"> </w:t>
      </w:r>
      <w:r w:rsidR="00C05B95" w:rsidRPr="00C05B95">
        <w:rPr>
          <w:sz w:val="24"/>
          <w:szCs w:val="24"/>
        </w:rPr>
        <w:t xml:space="preserve">aprovechan las condiciones de vulnerabilidad que estos contextos representan para </w:t>
      </w:r>
      <w:r w:rsidR="00C05B95">
        <w:rPr>
          <w:sz w:val="24"/>
          <w:szCs w:val="24"/>
        </w:rPr>
        <w:t xml:space="preserve">NNA </w:t>
      </w:r>
      <w:r w:rsidRPr="00AB11CA">
        <w:rPr>
          <w:sz w:val="24"/>
          <w:szCs w:val="24"/>
        </w:rPr>
        <w:t xml:space="preserve">para captarlos bajo promesas engañosas, coerción o manipulación emocional. Regiones como Cauca, Chocó, Nariño, Catatumbo, Meta y Guaviare siguen siendo epicentros críticos de esta práctica, como lo documentó OHCHR durante el primer </w:t>
      </w:r>
      <w:r w:rsidRPr="00AB11CA">
        <w:rPr>
          <w:sz w:val="24"/>
          <w:szCs w:val="24"/>
        </w:rPr>
        <w:lastRenderedPageBreak/>
        <w:t>semestre de 2025, evidenciando un recrudecimiento del conflicto y la intensificación de ataques incluso contra escolares.</w:t>
      </w:r>
    </w:p>
    <w:p w14:paraId="7D6D417F" w14:textId="77777777" w:rsidR="00137E9C" w:rsidRPr="00137E9C" w:rsidRDefault="00137E9C" w:rsidP="00137E9C">
      <w:pPr>
        <w:spacing w:before="240" w:line="360" w:lineRule="auto"/>
        <w:rPr>
          <w:sz w:val="24"/>
          <w:szCs w:val="24"/>
        </w:rPr>
      </w:pPr>
      <w:r w:rsidRPr="00137E9C">
        <w:rPr>
          <w:sz w:val="24"/>
          <w:szCs w:val="24"/>
        </w:rPr>
        <w:t>Adicionalmente, el uso de plataformas digitales y redes sociales como mecanismos de captación se ha convertido en una tendencia creciente, tal como advierten tanto ONU Derechos Humanos como informes de organizaciones defensoras, lo que complica aún más las estrategias de prevención y seguimiento. Este fenómeno ha facilitado nuevas formas de explotación, con menores posibilidades de control, e incrementa el riesgo para adolescentes en contextos urbanos y semiurbanos.</w:t>
      </w:r>
    </w:p>
    <w:p w14:paraId="6376960D" w14:textId="77777777" w:rsidR="00137E9C" w:rsidRPr="00137E9C" w:rsidRDefault="00137E9C" w:rsidP="00137E9C">
      <w:pPr>
        <w:spacing w:before="240" w:line="360" w:lineRule="auto"/>
        <w:rPr>
          <w:sz w:val="24"/>
          <w:szCs w:val="24"/>
        </w:rPr>
      </w:pPr>
      <w:r w:rsidRPr="00137E9C">
        <w:rPr>
          <w:sz w:val="24"/>
          <w:szCs w:val="24"/>
        </w:rPr>
        <w:t>A pesar del robusto marco jurídico vigente, tanto nacional (Ley 1098 de 2006, art. 188D del Código Penal, Sentencias C-240 de 2009 y T-005 de 2024) como internacional (Convención sobre los Derechos del Niño, Convenio 182 de la OIT, Protocolo Facultativo de la CDN sobre participación de niños en conflictos armados), el Estado colombiano no ha logrado desplegar una respuesta integral, coordinada y eficaz que permita erradicar esta práctica. La debilidad institucional, la desarticulación de políticas públicas y la persistente impunidad frente a estos hechos siguen siendo obstáculos críticos para cumplir los compromisos internacionales asumidos.</w:t>
      </w:r>
    </w:p>
    <w:p w14:paraId="576766BC" w14:textId="1CFF9C04" w:rsidR="00137E9C" w:rsidRPr="000D72C8" w:rsidRDefault="00137E9C" w:rsidP="00137E9C">
      <w:pPr>
        <w:spacing w:before="240" w:line="360" w:lineRule="auto"/>
        <w:rPr>
          <w:sz w:val="24"/>
          <w:szCs w:val="24"/>
        </w:rPr>
      </w:pPr>
      <w:r w:rsidRPr="00137E9C">
        <w:rPr>
          <w:sz w:val="24"/>
          <w:szCs w:val="24"/>
        </w:rPr>
        <w:t xml:space="preserve">Los datos aquí presentados muestran que el fenómeno no ha sido contenido y que, por </w:t>
      </w:r>
      <w:r w:rsidRPr="000D72C8">
        <w:rPr>
          <w:sz w:val="24"/>
          <w:szCs w:val="24"/>
        </w:rPr>
        <w:t>el contrario, se ha transformado y expandido ante la ausencia de una política estatal coherente, territorializada y con enfoque diferencial. La investigación de Humanidad Vigente concluye que el reclutamiento de NNA es siempre forzado —incluso cuando se presenta como "voluntario"— y exige la adopción urgente de medidas estructurales, no meramente reactivas, que aborden las causas profundas del problema, incluyendo la pobreza, la exclusión y la falta de garantías de vida digna en los territorios más afectados.</w:t>
      </w:r>
    </w:p>
    <w:p w14:paraId="64D17D48" w14:textId="77777777" w:rsidR="008309F0" w:rsidRPr="008309F0" w:rsidRDefault="008309F0" w:rsidP="00D23D52">
      <w:pPr>
        <w:pStyle w:val="Heading2"/>
      </w:pPr>
      <w:bookmarkStart w:id="8" w:name="_Toc216258185"/>
      <w:r w:rsidRPr="008309F0">
        <w:t>Impacto desproporcionado en comunidades indígenas y afrocolombianas</w:t>
      </w:r>
      <w:bookmarkEnd w:id="8"/>
    </w:p>
    <w:p w14:paraId="0509E1AB" w14:textId="427BEB81" w:rsidR="00BB3CD0" w:rsidRDefault="00BB3CD0" w:rsidP="00BB3CD0">
      <w:pPr>
        <w:spacing w:before="240" w:after="200" w:line="360" w:lineRule="auto"/>
        <w:jc w:val="both"/>
        <w:rPr>
          <w:sz w:val="24"/>
          <w:szCs w:val="24"/>
        </w:rPr>
      </w:pPr>
      <w:r w:rsidRPr="00BB3CD0">
        <w:rPr>
          <w:sz w:val="24"/>
          <w:szCs w:val="24"/>
        </w:rPr>
        <w:t xml:space="preserve">El reclutamiento y la utilización de NNA por parte de actores armados en Colombia exhibe una tendencia alarmante de victimización desproporcionada hacia comunidades étnicas históricamente marginadas. Esta sobrerrepresentación no es circunstancial: se enraíza </w:t>
      </w:r>
      <w:r w:rsidRPr="00BB3CD0">
        <w:rPr>
          <w:sz w:val="24"/>
          <w:szCs w:val="24"/>
        </w:rPr>
        <w:lastRenderedPageBreak/>
        <w:t>en una estructura de exclusión territorial, pobreza sistémica, racismo institucional y abandono estatal que continúa perpetuando múltiples formas de violencia contra los pueblos indígenas y afrocolombianos.</w:t>
      </w:r>
    </w:p>
    <w:p w14:paraId="7FFB60A4" w14:textId="77777777" w:rsidR="00EF12D6" w:rsidRPr="00724CA2" w:rsidRDefault="00EF12D6" w:rsidP="00EF12D6">
      <w:pPr>
        <w:spacing w:before="240" w:after="200" w:line="360" w:lineRule="auto"/>
        <w:jc w:val="both"/>
        <w:rPr>
          <w:sz w:val="24"/>
          <w:szCs w:val="24"/>
        </w:rPr>
      </w:pPr>
      <w:r w:rsidRPr="00724CA2">
        <w:rPr>
          <w:sz w:val="24"/>
          <w:szCs w:val="24"/>
        </w:rPr>
        <w:t>La investigación de Humanidad Vigente (2025) confirma que durante el año 2023 el 68,4 % de los casos de reclutamiento documentados correspondieron a NNA indígenas, configurando un patrón estructural de victimización étnica. Esta misma tendencia ha sido documentada en las estadísticas oficiales del Instituto Colombiano de Bienestar Familiar (ICBF): entre 2013 y 2022, la proporción de NNA indígenas atendidos en programas especializados de desvinculación aumentó del 14 % al 34 %, y en el caso de la población afrocolombiana, del 12 % al 17 %. Estos datos revelan que la pertenencia étnica y la ubicación geográfica se constituyen como factores de riesgo interrelacionados que exigen un abordaje interseccional y territorializado.</w:t>
      </w:r>
    </w:p>
    <w:p w14:paraId="7ED0A685" w14:textId="77777777" w:rsidR="009424B6" w:rsidRPr="009424B6" w:rsidRDefault="009424B6" w:rsidP="009424B6">
      <w:pPr>
        <w:spacing w:before="240" w:after="200" w:line="360" w:lineRule="auto"/>
        <w:jc w:val="both"/>
        <w:rPr>
          <w:sz w:val="24"/>
          <w:szCs w:val="24"/>
        </w:rPr>
      </w:pPr>
      <w:r w:rsidRPr="009424B6">
        <w:rPr>
          <w:sz w:val="24"/>
          <w:szCs w:val="24"/>
        </w:rPr>
        <w:t>Los hallazgos de la Oficina del Alto Comisionado de las Naciones Unidas para los Derechos Humanos (OHCHR, 2025) refuerzan este diagnóstico. Entre 2022 y 2024, el 48,3 % de las víctimas verificadas de reclutamiento y utilización eran NNA pertenecientes a comunidades indígenas o afrodescendientes, con 260 indígenas y 58 afrodescendientes documentados como víctimas. De acuerdo con la ONU, los grupos armados ilegales han intensificado la captación de NNA indígenas por considerar que su conocimiento del territorio y su identidad cultural fortalecen el control social y logístico sobre las comunidades.</w:t>
      </w:r>
    </w:p>
    <w:p w14:paraId="2591255E" w14:textId="2CC95A7E" w:rsidR="009424B6" w:rsidRPr="00DD0F22" w:rsidRDefault="009424B6" w:rsidP="009424B6">
      <w:pPr>
        <w:spacing w:before="240" w:after="200" w:line="360" w:lineRule="auto"/>
        <w:jc w:val="both"/>
        <w:rPr>
          <w:sz w:val="24"/>
          <w:szCs w:val="24"/>
        </w:rPr>
      </w:pPr>
      <w:r w:rsidRPr="00DD0F22">
        <w:rPr>
          <w:sz w:val="24"/>
          <w:szCs w:val="24"/>
        </w:rPr>
        <w:t xml:space="preserve">Este fenómeno tiene expresiones particularmente graves en territorios como el departamento del Cauca. El Consejo Regional Indígena del Cauca (CRIC) reportó que solo en 2025 desaparecieron 28 niñas y niños, mientras al menos 69 </w:t>
      </w:r>
      <w:r w:rsidR="009E7CB0">
        <w:rPr>
          <w:sz w:val="24"/>
          <w:szCs w:val="24"/>
        </w:rPr>
        <w:t xml:space="preserve">NNA </w:t>
      </w:r>
      <w:r w:rsidRPr="00DD0F22">
        <w:rPr>
          <w:sz w:val="24"/>
          <w:szCs w:val="24"/>
        </w:rPr>
        <w:t>del pueblo Nasa fueron reclutados por grupos armados. En paralelo, en regiones como el Valle del Cauca —con alta densidad de población afrodescendiente—, se estima que más del 10 % de los casos de reclutamiento en 2024 afectaron a NNA afrocolombianos, confirmando la sistematicidad de esta violencia étnico-racial.</w:t>
      </w:r>
    </w:p>
    <w:p w14:paraId="33CE31D4" w14:textId="10E862B4" w:rsidR="009424B6" w:rsidRPr="009424B6" w:rsidRDefault="009424B6" w:rsidP="009424B6">
      <w:pPr>
        <w:spacing w:before="240" w:after="200" w:line="360" w:lineRule="auto"/>
        <w:jc w:val="both"/>
        <w:rPr>
          <w:sz w:val="24"/>
          <w:szCs w:val="24"/>
        </w:rPr>
      </w:pPr>
      <w:r w:rsidRPr="009424B6">
        <w:rPr>
          <w:sz w:val="24"/>
          <w:szCs w:val="24"/>
        </w:rPr>
        <w:t xml:space="preserve">La persistencia de esta situación entra en tensión directa con los compromisos del Estado colombiano en materia de derechos de la niñez y diversidad étnica. El Comité de </w:t>
      </w:r>
      <w:r w:rsidRPr="009424B6">
        <w:rPr>
          <w:sz w:val="24"/>
          <w:szCs w:val="24"/>
        </w:rPr>
        <w:lastRenderedPageBreak/>
        <w:t>los Derechos del Niño ha reiterado la necesidad de adoptar un enfoque interseccional en las políticas de prevención del reclutamiento (Pregunta 10), reconociendo cómo la discriminación estructural se entrelaza con la edad, el género, la etnicidad y la pertenencia territorial. No obstante, la evidencia documentada demuestra que los enfoques institucionales han sido insuficientes para prevenir eficazmente estas violaciones ni para garantizar la protección cultural, comunitaria y espiritual de los NNA indígenas y afrodescendientes.</w:t>
      </w:r>
      <w:r w:rsidR="00FC341E">
        <w:rPr>
          <w:sz w:val="24"/>
          <w:szCs w:val="24"/>
        </w:rPr>
        <w:t xml:space="preserve"> </w:t>
      </w:r>
      <w:r w:rsidRPr="009424B6">
        <w:rPr>
          <w:sz w:val="24"/>
          <w:szCs w:val="24"/>
        </w:rPr>
        <w:t>La desprotección sistemática de estos pueblos revela la urgencia de políticas públicas diferenciadas, diseñadas con participación de las comunidades, y basadas en una comprensión interseccional de la violencia que enfrentan. Cualquier estrategia estatal que ignore estas dimensiones perpetúa la exclusión</w:t>
      </w:r>
      <w:r w:rsidR="005277C7">
        <w:rPr>
          <w:sz w:val="24"/>
          <w:szCs w:val="24"/>
        </w:rPr>
        <w:t xml:space="preserve"> y </w:t>
      </w:r>
      <w:r w:rsidRPr="009424B6">
        <w:rPr>
          <w:sz w:val="24"/>
          <w:szCs w:val="24"/>
        </w:rPr>
        <w:t>debilita gravemente la protección integral de la infancia étnica en contextos de conflicto armado.</w:t>
      </w:r>
    </w:p>
    <w:p w14:paraId="3F98C413" w14:textId="77777777" w:rsidR="008309F0" w:rsidRPr="008309F0" w:rsidRDefault="008309F0" w:rsidP="00DD63FA">
      <w:pPr>
        <w:pStyle w:val="Heading2"/>
      </w:pPr>
      <w:bookmarkStart w:id="9" w:name="_Toc216258186"/>
      <w:r w:rsidRPr="008309F0">
        <w:t>Situación de las niñas reclutadas y violencia sexual</w:t>
      </w:r>
      <w:bookmarkEnd w:id="9"/>
    </w:p>
    <w:p w14:paraId="43FD5914" w14:textId="56C2AEBB" w:rsidR="00E96ECF" w:rsidRPr="00E96ECF" w:rsidRDefault="00E96ECF" w:rsidP="00E96ECF">
      <w:pPr>
        <w:spacing w:before="240" w:after="200" w:line="360" w:lineRule="auto"/>
        <w:jc w:val="both"/>
        <w:rPr>
          <w:sz w:val="24"/>
          <w:szCs w:val="24"/>
        </w:rPr>
      </w:pPr>
      <w:r w:rsidRPr="00E96ECF">
        <w:rPr>
          <w:sz w:val="24"/>
          <w:szCs w:val="24"/>
        </w:rPr>
        <w:t xml:space="preserve">Las niñas constituyen una proporción significativa de las víctimas del reclutamiento forzado por parte de grupos armados en Colombia, y enfrentan formas específicas y agravadas de violencia basadas en género. Esta situación profundiza su </w:t>
      </w:r>
      <w:r w:rsidR="00F21345">
        <w:rPr>
          <w:sz w:val="24"/>
          <w:szCs w:val="24"/>
        </w:rPr>
        <w:t xml:space="preserve">condición de </w:t>
      </w:r>
      <w:r w:rsidRPr="00E96ECF">
        <w:rPr>
          <w:sz w:val="24"/>
          <w:szCs w:val="24"/>
        </w:rPr>
        <w:t>vulnerabilidad,</w:t>
      </w:r>
      <w:r w:rsidR="008210F3">
        <w:rPr>
          <w:sz w:val="24"/>
          <w:szCs w:val="24"/>
        </w:rPr>
        <w:t xml:space="preserve"> pero, además, </w:t>
      </w:r>
      <w:r w:rsidRPr="00E96ECF">
        <w:rPr>
          <w:sz w:val="24"/>
          <w:szCs w:val="24"/>
        </w:rPr>
        <w:t>configura un patrón sistemático de violaciones a derechos humanos que continúa siendo invisibilizado en las respuestas institucionales.</w:t>
      </w:r>
    </w:p>
    <w:p w14:paraId="694F3273" w14:textId="77777777" w:rsidR="00E96ECF" w:rsidRPr="00E96ECF" w:rsidRDefault="00E96ECF" w:rsidP="00E96ECF">
      <w:pPr>
        <w:spacing w:before="240" w:after="200" w:line="360" w:lineRule="auto"/>
        <w:jc w:val="both"/>
        <w:rPr>
          <w:sz w:val="24"/>
          <w:szCs w:val="24"/>
        </w:rPr>
      </w:pPr>
      <w:r w:rsidRPr="00E96ECF">
        <w:rPr>
          <w:sz w:val="24"/>
          <w:szCs w:val="24"/>
        </w:rPr>
        <w:t xml:space="preserve">Según el informe de Humanidad Vigente (2025), los grupos armados ilegales ejercen control sobre las niñas reclutadas mediante violencia sexual, utilizada como instrumento de dominación territorial y </w:t>
      </w:r>
      <w:proofErr w:type="spellStart"/>
      <w:r w:rsidRPr="00E96ECF">
        <w:rPr>
          <w:sz w:val="24"/>
          <w:szCs w:val="24"/>
        </w:rPr>
        <w:t>disciplinamiento</w:t>
      </w:r>
      <w:proofErr w:type="spellEnd"/>
      <w:r w:rsidRPr="00E96ECF">
        <w:rPr>
          <w:sz w:val="24"/>
          <w:szCs w:val="24"/>
        </w:rPr>
        <w:t xml:space="preserve"> interno. Esta violencia no es episódica ni incidental: es una práctica extendida que se expresa durante el reclutamiento —cuando muchas niñas son forzadas a abandonar sus hogares mediante engaños o coerción— y continúa al interior de las estructuras armadas, donde son sometidas a abusos sexuales, explotación reproductiva, embarazos forzados y control corporal sistemático.</w:t>
      </w:r>
    </w:p>
    <w:p w14:paraId="1E4F4BFB" w14:textId="77777777" w:rsidR="00E96ECF" w:rsidRPr="00E96ECF" w:rsidRDefault="00E96ECF" w:rsidP="00E96ECF">
      <w:pPr>
        <w:spacing w:before="240" w:after="200" w:line="360" w:lineRule="auto"/>
        <w:jc w:val="both"/>
        <w:rPr>
          <w:sz w:val="24"/>
          <w:szCs w:val="24"/>
        </w:rPr>
      </w:pPr>
      <w:r w:rsidRPr="00E96ECF">
        <w:rPr>
          <w:sz w:val="24"/>
          <w:szCs w:val="24"/>
        </w:rPr>
        <w:t xml:space="preserve">Además, las formas de captación de niñas adoptan dinámicas encubiertas que agravan su subordinación. Informes recientes de Naciones Unidas sobre niñez y conflicto armado han documentado el uso de estrategias de “cortejo”, en las que combatientes simulan vínculos afectivos o relaciones sentimentales para justificar la apropiación sexual de </w:t>
      </w:r>
      <w:r w:rsidRPr="00E96ECF">
        <w:rPr>
          <w:sz w:val="24"/>
          <w:szCs w:val="24"/>
        </w:rPr>
        <w:lastRenderedPageBreak/>
        <w:t>niñas y adolescentes (ONU Derechos Humanos, 2025). Esta instrumentalización emocional refuerza la dependencia, naturaliza la subordinación y encubre prácticas sistemáticas de violencia sexual en contextos de conflicto.</w:t>
      </w:r>
    </w:p>
    <w:p w14:paraId="6322ACBB" w14:textId="6BB54905" w:rsidR="00E96ECF" w:rsidRPr="005B0E97" w:rsidRDefault="00E96ECF" w:rsidP="00E96ECF">
      <w:pPr>
        <w:spacing w:before="240" w:after="200" w:line="360" w:lineRule="auto"/>
        <w:jc w:val="both"/>
        <w:rPr>
          <w:sz w:val="24"/>
          <w:szCs w:val="24"/>
        </w:rPr>
      </w:pPr>
      <w:r w:rsidRPr="005B0E97">
        <w:rPr>
          <w:sz w:val="24"/>
          <w:szCs w:val="24"/>
        </w:rPr>
        <w:t xml:space="preserve">La estigmatización posterior al proceso de desvinculación constituye otro componente crítico de esta cadena de violencias. Numerosas niñas regresan a sus comunidades con embarazos forzados o hijos nacidos de violaciones, lo que intensifica su exclusión, profundiza su daño psicosocial y limita su acceso efectivo a procesos de reparación integral. </w:t>
      </w:r>
    </w:p>
    <w:p w14:paraId="40037D50" w14:textId="12B1FCFE" w:rsidR="000F621D" w:rsidRPr="00BE4FB1" w:rsidRDefault="00E96ECF" w:rsidP="003A4261">
      <w:pPr>
        <w:spacing w:before="240" w:line="360" w:lineRule="auto"/>
        <w:jc w:val="both"/>
        <w:rPr>
          <w:sz w:val="24"/>
          <w:szCs w:val="24"/>
        </w:rPr>
      </w:pPr>
      <w:r w:rsidRPr="00E96ECF">
        <w:rPr>
          <w:sz w:val="24"/>
          <w:szCs w:val="24"/>
        </w:rPr>
        <w:t>Este panorama exige una respuesta urgente y diferenciada por parte del Estado colombiano, que reconozca la especificidad de los impactos de género en los contextos de reclutamiento forzado y violencia armada. Los mecanismos de protección deben adoptar un enfoque interseccional que articule la perspectiva de género con otras variables de exclusión —como la edad, la etnicidad o el territorio—, en cumplimiento de las recomendaciones del Comité de los Derechos del Niño (preguntas 10 y 22). A la fecha, el Estado no ha desarrollado políticas de prevención y reparación que respondan de forma integral a las múltiples formas de violencia que enfrentan las niñas reclutadas, ni ha garantizado su protección diferencial con base en estándares internacionales de derechos humanos.</w:t>
      </w:r>
    </w:p>
    <w:p w14:paraId="11FDA0F0" w14:textId="77777777" w:rsidR="008309F0" w:rsidRPr="008309F0" w:rsidRDefault="008309F0" w:rsidP="00851709">
      <w:pPr>
        <w:pStyle w:val="Heading2"/>
      </w:pPr>
      <w:bookmarkStart w:id="10" w:name="_Toc216258187"/>
      <w:r w:rsidRPr="008309F0">
        <w:t>Deficiencias del Estado en prevención, protección y reintegración</w:t>
      </w:r>
      <w:bookmarkEnd w:id="10"/>
    </w:p>
    <w:p w14:paraId="341C3088" w14:textId="6E55E43E" w:rsidR="003A4261" w:rsidRPr="003A4261" w:rsidRDefault="003A4261" w:rsidP="003A4261">
      <w:pPr>
        <w:spacing w:before="240" w:after="200" w:line="360" w:lineRule="auto"/>
        <w:jc w:val="both"/>
        <w:rPr>
          <w:sz w:val="24"/>
          <w:szCs w:val="24"/>
        </w:rPr>
      </w:pPr>
      <w:r w:rsidRPr="003A4261">
        <w:rPr>
          <w:sz w:val="24"/>
          <w:szCs w:val="24"/>
        </w:rPr>
        <w:t>Pese a contar con un marco normativo formalmente robusto —incluidas la Ley 1098 de 2006, el Plan Nacional de Desarrollo</w:t>
      </w:r>
      <w:r w:rsidR="00F21345">
        <w:rPr>
          <w:sz w:val="24"/>
          <w:szCs w:val="24"/>
        </w:rPr>
        <w:t xml:space="preserve">, la </w:t>
      </w:r>
      <w:r w:rsidR="00F21345" w:rsidRPr="00F21345">
        <w:rPr>
          <w:sz w:val="24"/>
          <w:szCs w:val="24"/>
        </w:rPr>
        <w:t>política pública de prevención de reclutamiento, uso y utilización (RUU) y</w:t>
      </w:r>
      <w:r w:rsidRPr="003A4261">
        <w:rPr>
          <w:sz w:val="24"/>
          <w:szCs w:val="24"/>
        </w:rPr>
        <w:t xml:space="preserve"> estrategias como CIPRUNNA—, el Estado colombiano continúa fallando de forma sistemática en la prevención, atención y reintegración de NNA reclutados por actores armados. Las políticas públicas vigentes carecen de coherencia territorial, sostenibilidad financiera y coordinación intersectorial. Esto se traduce en una respuesta fragmentada, tardía y, con frecuencia, meramente simbólica.</w:t>
      </w:r>
    </w:p>
    <w:p w14:paraId="387E9238" w14:textId="42992D9E" w:rsidR="003A4261" w:rsidRPr="003A4261" w:rsidRDefault="003A4261" w:rsidP="003A4261">
      <w:pPr>
        <w:spacing w:before="240" w:after="200" w:line="360" w:lineRule="auto"/>
        <w:jc w:val="both"/>
        <w:rPr>
          <w:sz w:val="24"/>
          <w:szCs w:val="24"/>
        </w:rPr>
      </w:pPr>
      <w:r w:rsidRPr="003A4261">
        <w:rPr>
          <w:sz w:val="24"/>
          <w:szCs w:val="24"/>
        </w:rPr>
        <w:t>Humanidad Vigente (2025) revela que muchas alertas tempranas no derivan en acciones concretas, especialmente en zonas rurales o de control armado</w:t>
      </w:r>
      <w:r w:rsidR="00DE7708">
        <w:rPr>
          <w:sz w:val="24"/>
          <w:szCs w:val="24"/>
        </w:rPr>
        <w:t xml:space="preserve">. </w:t>
      </w:r>
      <w:r w:rsidR="00DE7708" w:rsidRPr="00DE7708">
        <w:rPr>
          <w:sz w:val="24"/>
          <w:szCs w:val="24"/>
        </w:rPr>
        <w:t xml:space="preserve">En 2023, la Defensoría </w:t>
      </w:r>
      <w:r w:rsidR="00DE7708" w:rsidRPr="00DE7708">
        <w:rPr>
          <w:sz w:val="24"/>
          <w:szCs w:val="24"/>
        </w:rPr>
        <w:lastRenderedPageBreak/>
        <w:t xml:space="preserve">del Pueblo emitió 32 Alertas Tempranas que advertían sobre el riesgo de reclutamiento, uso y utilización de </w:t>
      </w:r>
      <w:r w:rsidR="00E26E26">
        <w:rPr>
          <w:sz w:val="24"/>
          <w:szCs w:val="24"/>
        </w:rPr>
        <w:t>NNA</w:t>
      </w:r>
      <w:r w:rsidR="00DE7708" w:rsidRPr="00DE7708">
        <w:rPr>
          <w:sz w:val="24"/>
          <w:szCs w:val="24"/>
        </w:rPr>
        <w:t>. No obstante, estas alertas no se tradujeron en una respuesta estatal articulada y efectiva que lograra prevenir estas violaciones.</w:t>
      </w:r>
      <w:r w:rsidR="00DE7708">
        <w:rPr>
          <w:sz w:val="24"/>
          <w:szCs w:val="24"/>
        </w:rPr>
        <w:t xml:space="preserve"> </w:t>
      </w:r>
      <w:r w:rsidRPr="003A4261">
        <w:rPr>
          <w:sz w:val="24"/>
          <w:szCs w:val="24"/>
        </w:rPr>
        <w:t>Estos datos evidencian que el enfoque estatal continúa siendo reactivo y limitado, más orientado al control estadístico que a la transformación estructural del riesgo.</w:t>
      </w:r>
    </w:p>
    <w:p w14:paraId="6ABC4CC0" w14:textId="77777777" w:rsidR="003A4261" w:rsidRPr="003A4261" w:rsidRDefault="003A4261" w:rsidP="003A4261">
      <w:pPr>
        <w:spacing w:before="240" w:after="200" w:line="360" w:lineRule="auto"/>
        <w:jc w:val="both"/>
        <w:rPr>
          <w:sz w:val="24"/>
          <w:szCs w:val="24"/>
        </w:rPr>
      </w:pPr>
      <w:r w:rsidRPr="003A4261">
        <w:rPr>
          <w:sz w:val="24"/>
          <w:szCs w:val="24"/>
        </w:rPr>
        <w:t>En el componente de reintegración, las brechas son aún más críticas. Las rutas post-desvinculación carecen de continuidad, enfoque diferencial y garantías efectivas. La estrategia “Camino Diferencial de Vida”, surgida tras el acuerdo de paz con las FARC, ha sido implementada con enormes vacíos: no existen protocolos adecuados para pueblos indígenas o comunidades afrodescendientes, y el financiamiento es precario y concentrado en zonas urbanas priorizadas, dejando a decenas de municipios sin cobertura ni seguimiento. La desvinculación, en muchos casos, se limita a una atención inicial, sin acompañamiento educativo, comunitario o psicosocial de mediano plazo.</w:t>
      </w:r>
    </w:p>
    <w:p w14:paraId="54D95CDB" w14:textId="77777777" w:rsidR="003A4261" w:rsidRPr="003A4261" w:rsidRDefault="003A4261" w:rsidP="003A4261">
      <w:pPr>
        <w:spacing w:before="240" w:after="200" w:line="360" w:lineRule="auto"/>
        <w:jc w:val="both"/>
        <w:rPr>
          <w:sz w:val="24"/>
          <w:szCs w:val="24"/>
        </w:rPr>
      </w:pPr>
      <w:r w:rsidRPr="003A4261">
        <w:rPr>
          <w:sz w:val="24"/>
          <w:szCs w:val="24"/>
        </w:rPr>
        <w:t xml:space="preserve">La respuesta judicial también reproduce esta lógica de fragmentación. Aunque existen mecanismos legales como la acción de tutela, la experiencia demuestra que su activación es excepcional, lenta y, en ocasiones, </w:t>
      </w:r>
      <w:proofErr w:type="spellStart"/>
      <w:r w:rsidRPr="003A4261">
        <w:rPr>
          <w:sz w:val="24"/>
          <w:szCs w:val="24"/>
        </w:rPr>
        <w:t>revictimizante</w:t>
      </w:r>
      <w:proofErr w:type="spellEnd"/>
      <w:r w:rsidRPr="003A4261">
        <w:rPr>
          <w:sz w:val="24"/>
          <w:szCs w:val="24"/>
        </w:rPr>
        <w:t>. La carga de la prueba recae en las familias o comunidades, y no en el Estado, lo que constituye una forma de abandono institucional encubierto. La ausencia de datos desagregados, monitoreo efectivo y medidas estructurales refuerza un escenario de impunidad y desprotección prolongada.</w:t>
      </w:r>
    </w:p>
    <w:p w14:paraId="31CC281C" w14:textId="243F7CDC" w:rsidR="003A4261" w:rsidRPr="003A4261" w:rsidRDefault="003A4261" w:rsidP="00F21345">
      <w:pPr>
        <w:spacing w:before="240" w:after="200" w:line="360" w:lineRule="auto"/>
        <w:jc w:val="both"/>
        <w:rPr>
          <w:sz w:val="24"/>
          <w:szCs w:val="24"/>
        </w:rPr>
      </w:pPr>
      <w:r w:rsidRPr="003A4261">
        <w:rPr>
          <w:sz w:val="24"/>
          <w:szCs w:val="24"/>
        </w:rPr>
        <w:t xml:space="preserve">En suma, </w:t>
      </w:r>
      <w:r w:rsidR="00F21345">
        <w:rPr>
          <w:sz w:val="24"/>
          <w:szCs w:val="24"/>
        </w:rPr>
        <w:t xml:space="preserve">aunque </w:t>
      </w:r>
      <w:r w:rsidRPr="003A4261">
        <w:rPr>
          <w:sz w:val="24"/>
          <w:szCs w:val="24"/>
        </w:rPr>
        <w:t xml:space="preserve">el Estado colombiano cuenta con </w:t>
      </w:r>
      <w:r w:rsidR="00F21345">
        <w:rPr>
          <w:sz w:val="24"/>
          <w:szCs w:val="24"/>
        </w:rPr>
        <w:t xml:space="preserve">una </w:t>
      </w:r>
      <w:r w:rsidR="00F21345" w:rsidRPr="00F21345">
        <w:rPr>
          <w:sz w:val="24"/>
          <w:szCs w:val="24"/>
        </w:rPr>
        <w:t>Política Pública de Prevención del Reclutamiento, Utilización, Uso y Violencia Sexual (RUUVS) contra Niños, Niñas y Adolescentes (NNA)</w:t>
      </w:r>
      <w:r w:rsidR="00F21345">
        <w:rPr>
          <w:sz w:val="24"/>
          <w:szCs w:val="24"/>
        </w:rPr>
        <w:t xml:space="preserve">, existen dificultades en su implementación, </w:t>
      </w:r>
      <w:r w:rsidRPr="003A4261">
        <w:rPr>
          <w:sz w:val="24"/>
          <w:szCs w:val="24"/>
        </w:rPr>
        <w:t>las omisiones estructurales —territoriales, presupuestales, étnicas y de género— perpetúan la vulnerabilidad de NNA, contradiciendo los estándares internacionales y las recomendaciones reiteradas del Comité sobre los Derechos del Niño (preguntas 4, 7, 10 y 22). La persistencia de este vacío político no solo revictimiza a quienes han sido reclutados, sino que permite que esta grave violación se mantenga como una amenaza activa en todo el territorio nacional.</w:t>
      </w:r>
    </w:p>
    <w:p w14:paraId="466677AD" w14:textId="77777777" w:rsidR="008309F0" w:rsidRPr="008309F0" w:rsidRDefault="008309F0" w:rsidP="00B867C5">
      <w:pPr>
        <w:pStyle w:val="Heading2"/>
      </w:pPr>
      <w:bookmarkStart w:id="11" w:name="_Toc216258188"/>
      <w:r w:rsidRPr="008309F0">
        <w:lastRenderedPageBreak/>
        <w:t>Violación del principio de protección especial en acciones militares del Estado</w:t>
      </w:r>
      <w:bookmarkEnd w:id="11"/>
    </w:p>
    <w:p w14:paraId="5CAAF2AD" w14:textId="304964B3" w:rsidR="00D63FBE" w:rsidRDefault="008309F0" w:rsidP="00D63FBE">
      <w:pPr>
        <w:spacing w:before="240" w:after="200" w:line="360" w:lineRule="auto"/>
        <w:jc w:val="both"/>
        <w:rPr>
          <w:sz w:val="24"/>
          <w:szCs w:val="24"/>
        </w:rPr>
      </w:pPr>
      <w:r w:rsidRPr="008309F0">
        <w:rPr>
          <w:sz w:val="24"/>
          <w:szCs w:val="24"/>
        </w:rPr>
        <w:t xml:space="preserve">El principio de protección especial de la niñez se ve vulnerado cuando el Estado emprende operaciones militares sin las debidas garantías para </w:t>
      </w:r>
      <w:r w:rsidR="00F41047">
        <w:rPr>
          <w:sz w:val="24"/>
          <w:szCs w:val="24"/>
        </w:rPr>
        <w:t>NNA</w:t>
      </w:r>
      <w:r w:rsidRPr="008309F0">
        <w:rPr>
          <w:sz w:val="24"/>
          <w:szCs w:val="24"/>
        </w:rPr>
        <w:t>. La Sentencia T-005 de 2024</w:t>
      </w:r>
      <w:r w:rsidR="007B70AD">
        <w:rPr>
          <w:sz w:val="24"/>
          <w:szCs w:val="24"/>
        </w:rPr>
        <w:t xml:space="preserve"> </w:t>
      </w:r>
      <w:r w:rsidR="00266B6B" w:rsidRPr="00D74267">
        <w:rPr>
          <w:sz w:val="24"/>
          <w:szCs w:val="24"/>
        </w:rPr>
        <w:t>representa un hito en la actualización del estándar de protección de los derechos de NN</w:t>
      </w:r>
      <w:r w:rsidR="007B70AD">
        <w:rPr>
          <w:sz w:val="24"/>
          <w:szCs w:val="24"/>
        </w:rPr>
        <w:t>A</w:t>
      </w:r>
      <w:r w:rsidR="00266B6B" w:rsidRPr="00D74267">
        <w:rPr>
          <w:sz w:val="24"/>
          <w:szCs w:val="24"/>
        </w:rPr>
        <w:t xml:space="preserve"> en contextos de conflicto armado. </w:t>
      </w:r>
      <w:r w:rsidR="00CB314F">
        <w:rPr>
          <w:sz w:val="24"/>
          <w:szCs w:val="24"/>
        </w:rPr>
        <w:t xml:space="preserve">Además de </w:t>
      </w:r>
      <w:r w:rsidR="00266B6B" w:rsidRPr="00D74267">
        <w:rPr>
          <w:sz w:val="24"/>
          <w:szCs w:val="24"/>
        </w:rPr>
        <w:t>reafirma</w:t>
      </w:r>
      <w:r w:rsidR="00CB314F">
        <w:rPr>
          <w:sz w:val="24"/>
          <w:szCs w:val="24"/>
        </w:rPr>
        <w:t>r</w:t>
      </w:r>
      <w:r w:rsidR="00266B6B" w:rsidRPr="00D74267">
        <w:rPr>
          <w:sz w:val="24"/>
          <w:szCs w:val="24"/>
        </w:rPr>
        <w:t xml:space="preserve"> la prohibición de su participación en iniciativas impulsadas por la Fuerza Pública</w:t>
      </w:r>
      <w:r w:rsidR="00CB314F">
        <w:rPr>
          <w:sz w:val="24"/>
          <w:szCs w:val="24"/>
        </w:rPr>
        <w:t xml:space="preserve"> </w:t>
      </w:r>
      <w:r w:rsidR="00266B6B" w:rsidRPr="00D74267">
        <w:rPr>
          <w:sz w:val="24"/>
          <w:szCs w:val="24"/>
        </w:rPr>
        <w:t xml:space="preserve">ordena de manera explícita la abstención de cualquier acción cívico-militar o social que involucre a esta población. </w:t>
      </w:r>
      <w:r w:rsidR="00CB314F">
        <w:rPr>
          <w:sz w:val="24"/>
          <w:szCs w:val="24"/>
        </w:rPr>
        <w:t xml:space="preserve"> </w:t>
      </w:r>
      <w:r w:rsidR="00266B6B" w:rsidRPr="00D74267">
        <w:rPr>
          <w:sz w:val="24"/>
          <w:szCs w:val="24"/>
        </w:rPr>
        <w:t>Asimismo, refuerza el principio de conducción civil de la oferta institucional estatal, subrayando que toda política pública dirigida a NN</w:t>
      </w:r>
      <w:r w:rsidR="0004372A">
        <w:rPr>
          <w:sz w:val="24"/>
          <w:szCs w:val="24"/>
        </w:rPr>
        <w:t>A</w:t>
      </w:r>
      <w:r w:rsidR="00266B6B" w:rsidRPr="00D74267">
        <w:rPr>
          <w:sz w:val="24"/>
          <w:szCs w:val="24"/>
        </w:rPr>
        <w:t xml:space="preserve"> en zonas afectadas por el conflicto debe estar bajo liderazgo civil, con enfoque de derechos, participación comunitaria y control social. </w:t>
      </w:r>
    </w:p>
    <w:p w14:paraId="21F709C4" w14:textId="0CAF709A" w:rsidR="007C47DA" w:rsidRPr="006A38A9" w:rsidRDefault="007C47DA" w:rsidP="006A38A9">
      <w:pPr>
        <w:spacing w:line="360" w:lineRule="auto"/>
        <w:rPr>
          <w:sz w:val="24"/>
          <w:szCs w:val="24"/>
        </w:rPr>
      </w:pPr>
      <w:r w:rsidRPr="006A38A9">
        <w:rPr>
          <w:sz w:val="24"/>
          <w:szCs w:val="24"/>
        </w:rPr>
        <w:t>El rol de Humanidad Vigente (HVCJ) fue determinante: junto con la Fundación Regional de Derechos Humanos Joel Sierra, accionó en tutela contra el Ministerio de Defensa-Ejército Nacional y la Gobernación de Arauca, documentando jornadas cívico-militares en 2021 y 2022 —desfiles con participación de NNJ, actividades en instituciones educativas, “juramentos” de patrulleritos escolares— en territorios altamente afectados por el conflicto. La argumentación acreditó que estas prácticas exponen a la niñez a riesgos de estigmatización, retaliación y cooptación simbólica, erosionan el principio de distinción y vulneran derechos fundamentales (vida, integridad, libertad de expresión y el derecho a no participar del conflicto armado), además de quebrantar obligaciones internacionales en materia de protección de la infancia (Corte Constitucional, 2024; Convención sobre los Derechos del Niño, 1989). La Corte concedió el amparo y ordenó cesar estas prácticas y trasladar las actividades hacia instituciones civiles, reafirmando que la presencia estatal en comunidades debe fortalecer derechos, nunca diluirlos en lógicas de guerra.</w:t>
      </w:r>
      <w:r w:rsidR="00DF1C22">
        <w:rPr>
          <w:sz w:val="24"/>
          <w:szCs w:val="24"/>
        </w:rPr>
        <w:t xml:space="preserve"> </w:t>
      </w:r>
    </w:p>
    <w:p w14:paraId="1E5E2E8D" w14:textId="24C30E4C" w:rsidR="000B7DAE" w:rsidRPr="000B7DAE" w:rsidRDefault="000B7DAE" w:rsidP="000B7DAE">
      <w:pPr>
        <w:pStyle w:val="Heading2"/>
        <w:spacing w:line="360" w:lineRule="auto"/>
      </w:pPr>
      <w:bookmarkStart w:id="12" w:name="_Toc216258189"/>
      <w:r w:rsidRPr="000B7DAE">
        <w:t xml:space="preserve">Bombardeos militares en Colombia (agosto–noviembre de 2025) con </w:t>
      </w:r>
      <w:r w:rsidR="0014720C">
        <w:t>NNA</w:t>
      </w:r>
      <w:r w:rsidRPr="000B7DAE">
        <w:t xml:space="preserve"> reclutados fallecidos</w:t>
      </w:r>
      <w:bookmarkEnd w:id="12"/>
    </w:p>
    <w:p w14:paraId="18680A0A" w14:textId="25DE5236" w:rsidR="009510ED" w:rsidRDefault="007C0B02" w:rsidP="009510ED">
      <w:pPr>
        <w:spacing w:before="240" w:after="200" w:line="360" w:lineRule="auto"/>
        <w:jc w:val="both"/>
        <w:rPr>
          <w:sz w:val="24"/>
          <w:szCs w:val="24"/>
        </w:rPr>
      </w:pPr>
      <w:r w:rsidRPr="007C0B02">
        <w:rPr>
          <w:sz w:val="24"/>
          <w:szCs w:val="24"/>
        </w:rPr>
        <w:t>Entre agosto y noviembre de 2025 se registraron cuatro operativos militares en Colombia en los cuales murieron NNA que habían sido reclutados por grupos armados ilegales</w:t>
      </w:r>
      <w:r w:rsidR="00B32F61">
        <w:rPr>
          <w:sz w:val="24"/>
          <w:szCs w:val="24"/>
        </w:rPr>
        <w:t xml:space="preserve">. </w:t>
      </w:r>
      <w:r w:rsidRPr="007C0B02">
        <w:rPr>
          <w:sz w:val="24"/>
          <w:szCs w:val="24"/>
        </w:rPr>
        <w:lastRenderedPageBreak/>
        <w:t xml:space="preserve">Estos bombardeos ocurrieron en distintas zonas del país y dejaron en total al menos 15 </w:t>
      </w:r>
      <w:r w:rsidR="009E7CB0">
        <w:rPr>
          <w:sz w:val="24"/>
          <w:szCs w:val="24"/>
        </w:rPr>
        <w:t>NNA</w:t>
      </w:r>
      <w:r w:rsidRPr="007C0B02">
        <w:rPr>
          <w:sz w:val="24"/>
          <w:szCs w:val="24"/>
        </w:rPr>
        <w:t xml:space="preserve"> fallecidos, según confirmó el Instituto Nacional de Medicina Legal</w:t>
      </w:r>
      <w:r w:rsidR="002250A6">
        <w:rPr>
          <w:rStyle w:val="FootnoteReference"/>
          <w:sz w:val="24"/>
          <w:szCs w:val="24"/>
        </w:rPr>
        <w:footnoteReference w:id="4"/>
      </w:r>
      <w:r w:rsidR="00C334EF">
        <w:rPr>
          <w:sz w:val="24"/>
          <w:szCs w:val="24"/>
        </w:rPr>
        <w:t xml:space="preserve">. </w:t>
      </w:r>
      <w:r w:rsidR="008309F0" w:rsidRPr="008309F0">
        <w:rPr>
          <w:sz w:val="24"/>
          <w:szCs w:val="24"/>
        </w:rPr>
        <w:t xml:space="preserve">La Defensoría reportó que parte de estos </w:t>
      </w:r>
      <w:r w:rsidR="008B1DEC">
        <w:rPr>
          <w:sz w:val="24"/>
          <w:szCs w:val="24"/>
        </w:rPr>
        <w:t>NNA</w:t>
      </w:r>
      <w:r w:rsidR="008309F0" w:rsidRPr="008309F0">
        <w:rPr>
          <w:sz w:val="24"/>
          <w:szCs w:val="24"/>
        </w:rPr>
        <w:t xml:space="preserve"> estaban reportados como desaparecidos o reclutados por grupos ilegales antes de fallecer en los ataques</w:t>
      </w:r>
      <w:r w:rsidR="00A41DB2">
        <w:rPr>
          <w:rStyle w:val="FootnoteReference"/>
          <w:sz w:val="24"/>
          <w:szCs w:val="24"/>
        </w:rPr>
        <w:footnoteReference w:id="5"/>
      </w:r>
      <w:r w:rsidR="00A41DB2">
        <w:rPr>
          <w:sz w:val="24"/>
          <w:szCs w:val="24"/>
        </w:rPr>
        <w:t xml:space="preserve">. </w:t>
      </w:r>
      <w:r w:rsidR="008309F0" w:rsidRPr="008309F0">
        <w:rPr>
          <w:sz w:val="24"/>
          <w:szCs w:val="24"/>
        </w:rPr>
        <w:t>UNICEF recordó al Estado que “los derechos de los niños deben protegerse en todo momento” e instó a cesar el reclutamiento</w:t>
      </w:r>
      <w:r w:rsidR="001E036F">
        <w:rPr>
          <w:sz w:val="24"/>
          <w:szCs w:val="24"/>
        </w:rPr>
        <w:t>.</w:t>
      </w:r>
      <w:r w:rsidR="00675D16">
        <w:rPr>
          <w:sz w:val="24"/>
          <w:szCs w:val="24"/>
        </w:rPr>
        <w:t xml:space="preserve"> </w:t>
      </w:r>
      <w:r w:rsidR="008309F0" w:rsidRPr="008309F0">
        <w:rPr>
          <w:sz w:val="24"/>
          <w:szCs w:val="24"/>
        </w:rPr>
        <w:t>En el discurso oficial algunos líderes incluso justificaron las acciones militares alegando dificultades técnicas o estrategias de inteligencia, minimizando así la necesidad de un enfoque preventivo</w:t>
      </w:r>
      <w:r w:rsidR="004B43A0">
        <w:rPr>
          <w:rStyle w:val="FootnoteReference"/>
          <w:sz w:val="24"/>
          <w:szCs w:val="24"/>
        </w:rPr>
        <w:footnoteReference w:id="6"/>
      </w:r>
      <w:r w:rsidR="008309F0" w:rsidRPr="008309F0">
        <w:rPr>
          <w:sz w:val="24"/>
          <w:szCs w:val="24"/>
        </w:rPr>
        <w:t>.</w:t>
      </w:r>
    </w:p>
    <w:p w14:paraId="09543A9D" w14:textId="6B23CF7A" w:rsidR="0072701C" w:rsidRDefault="0072701C" w:rsidP="009510ED">
      <w:pPr>
        <w:spacing w:before="240" w:after="200" w:line="360" w:lineRule="auto"/>
        <w:jc w:val="both"/>
        <w:rPr>
          <w:sz w:val="24"/>
          <w:szCs w:val="24"/>
        </w:rPr>
      </w:pPr>
      <w:r>
        <w:rPr>
          <w:sz w:val="24"/>
          <w:szCs w:val="24"/>
        </w:rPr>
        <w:t>Esto evidencia que, s</w:t>
      </w:r>
      <w:r w:rsidR="00615619" w:rsidRPr="00615619">
        <w:rPr>
          <w:sz w:val="24"/>
          <w:szCs w:val="24"/>
        </w:rPr>
        <w:t xml:space="preserve">i bien el fenómeno se analiza principalmente respecto a grupos armados ilegales, </w:t>
      </w:r>
      <w:r w:rsidR="00B641C5">
        <w:rPr>
          <w:sz w:val="24"/>
          <w:szCs w:val="24"/>
        </w:rPr>
        <w:t xml:space="preserve">hay deficiencia </w:t>
      </w:r>
      <w:r w:rsidR="00615619" w:rsidRPr="00615619">
        <w:rPr>
          <w:sz w:val="24"/>
          <w:szCs w:val="24"/>
        </w:rPr>
        <w:t xml:space="preserve">de datos sistemáticos sobre el uso de </w:t>
      </w:r>
      <w:r w:rsidR="00B641C5">
        <w:rPr>
          <w:sz w:val="24"/>
          <w:szCs w:val="24"/>
        </w:rPr>
        <w:t xml:space="preserve">NNA </w:t>
      </w:r>
      <w:r w:rsidR="00615619" w:rsidRPr="00615619">
        <w:rPr>
          <w:sz w:val="24"/>
          <w:szCs w:val="24"/>
        </w:rPr>
        <w:t>por parte de la Fuerza Pública. Existen reportes fragmentarios de </w:t>
      </w:r>
      <w:r w:rsidR="00496B28">
        <w:rPr>
          <w:sz w:val="24"/>
          <w:szCs w:val="24"/>
        </w:rPr>
        <w:t>s</w:t>
      </w:r>
      <w:r w:rsidR="009510ED">
        <w:rPr>
          <w:sz w:val="24"/>
          <w:szCs w:val="24"/>
        </w:rPr>
        <w:t>u</w:t>
      </w:r>
      <w:r w:rsidR="00496B28">
        <w:rPr>
          <w:sz w:val="24"/>
          <w:szCs w:val="24"/>
        </w:rPr>
        <w:t xml:space="preserve"> </w:t>
      </w:r>
      <w:r w:rsidR="00615619" w:rsidRPr="00615619">
        <w:rPr>
          <w:sz w:val="24"/>
          <w:szCs w:val="24"/>
        </w:rPr>
        <w:t>participación en actividades cívico-militares u operativos de inteligencia militar, pero no hay bases de datos consolidadas que permitan dimensionar la magnitud real de estas prácticas en el ámbito estatal</w:t>
      </w:r>
      <w:r w:rsidR="009510ED">
        <w:rPr>
          <w:sz w:val="24"/>
          <w:szCs w:val="24"/>
        </w:rPr>
        <w:t xml:space="preserve"> (Humanidad Vigente, 2025)</w:t>
      </w:r>
      <w:r w:rsidR="00615619" w:rsidRPr="00615619">
        <w:rPr>
          <w:sz w:val="24"/>
          <w:szCs w:val="24"/>
        </w:rPr>
        <w:t>. Esta ausencia de información dificulta una evaluación completa del problema dado que cualquier involucramiento de NN</w:t>
      </w:r>
      <w:r w:rsidR="006D79F1">
        <w:rPr>
          <w:sz w:val="24"/>
          <w:szCs w:val="24"/>
        </w:rPr>
        <w:t>A</w:t>
      </w:r>
      <w:r w:rsidR="00615619" w:rsidRPr="00615619">
        <w:rPr>
          <w:sz w:val="24"/>
          <w:szCs w:val="24"/>
        </w:rPr>
        <w:t xml:space="preserve"> en acciones militares –sea legal o ilegal– contraviene las normas nacionales y los estándares internacionales de protección infantil.</w:t>
      </w:r>
    </w:p>
    <w:p w14:paraId="57DB5934" w14:textId="77777777" w:rsidR="0072701C" w:rsidRDefault="0072701C">
      <w:pPr>
        <w:rPr>
          <w:sz w:val="24"/>
          <w:szCs w:val="24"/>
        </w:rPr>
      </w:pPr>
      <w:r>
        <w:rPr>
          <w:sz w:val="24"/>
          <w:szCs w:val="24"/>
        </w:rPr>
        <w:br w:type="page"/>
      </w:r>
    </w:p>
    <w:p w14:paraId="30B0439A" w14:textId="31D97DEB" w:rsidR="000C734B" w:rsidRPr="000C734B" w:rsidRDefault="000C734B" w:rsidP="000C734B">
      <w:pPr>
        <w:pStyle w:val="Heading1"/>
        <w:spacing w:line="360" w:lineRule="auto"/>
      </w:pPr>
      <w:bookmarkStart w:id="13" w:name="_Toc216258190"/>
      <w:r>
        <w:rPr>
          <w:szCs w:val="24"/>
        </w:rPr>
        <w:lastRenderedPageBreak/>
        <w:t xml:space="preserve">CAPÍTULO 2: </w:t>
      </w:r>
      <w:r w:rsidR="00175C02" w:rsidRPr="00175C02">
        <w:t>INFANCIAS Y ARMAS: ENTRE LA PROTECCIÓN NEGADA Y LA EXPANSIÓN DEL RIESGO</w:t>
      </w:r>
      <w:bookmarkEnd w:id="13"/>
    </w:p>
    <w:p w14:paraId="58B13E27" w14:textId="583FD9B8" w:rsidR="006E1702" w:rsidRPr="006E1702" w:rsidRDefault="006E1702" w:rsidP="006E1702">
      <w:pPr>
        <w:spacing w:before="240" w:after="240" w:line="360" w:lineRule="auto"/>
        <w:jc w:val="both"/>
        <w:rPr>
          <w:sz w:val="24"/>
          <w:szCs w:val="24"/>
        </w:rPr>
      </w:pPr>
      <w:r w:rsidRPr="006E1702">
        <w:rPr>
          <w:sz w:val="24"/>
          <w:szCs w:val="24"/>
        </w:rPr>
        <w:t xml:space="preserve">Este capítulo se construye a partir del análisis elaborado por </w:t>
      </w:r>
      <w:r w:rsidRPr="006E1702">
        <w:rPr>
          <w:i/>
          <w:iCs/>
          <w:sz w:val="24"/>
          <w:szCs w:val="24"/>
        </w:rPr>
        <w:t>Terre des Hommes Alemania (</w:t>
      </w:r>
      <w:proofErr w:type="spellStart"/>
      <w:r w:rsidRPr="006E1702">
        <w:rPr>
          <w:i/>
          <w:iCs/>
          <w:sz w:val="24"/>
          <w:szCs w:val="24"/>
        </w:rPr>
        <w:t>tdhA</w:t>
      </w:r>
      <w:proofErr w:type="spellEnd"/>
      <w:r w:rsidRPr="006E1702">
        <w:rPr>
          <w:i/>
          <w:iCs/>
          <w:sz w:val="24"/>
          <w:szCs w:val="24"/>
        </w:rPr>
        <w:t xml:space="preserve">) </w:t>
      </w:r>
      <w:r w:rsidRPr="006E1702">
        <w:rPr>
          <w:sz w:val="24"/>
          <w:szCs w:val="24"/>
        </w:rPr>
        <w:t xml:space="preserve">sobre la relación entre </w:t>
      </w:r>
      <w:r w:rsidR="00426015">
        <w:rPr>
          <w:sz w:val="24"/>
          <w:szCs w:val="24"/>
        </w:rPr>
        <w:t>niñas, niños y adolescentes</w:t>
      </w:r>
      <w:r w:rsidRPr="006E1702">
        <w:rPr>
          <w:sz w:val="24"/>
          <w:szCs w:val="24"/>
        </w:rPr>
        <w:t xml:space="preserve"> y la proliferación de armas en Colombia. Se recogen aquí sus hallazgos, preocupaciones y recomendaciones en torno a la situación crítica que viven miles de NNA en contextos atravesados por el tráfico ilícito de armas, la violencia letal y el debilitamiento de las garantías de protección.</w:t>
      </w:r>
    </w:p>
    <w:p w14:paraId="22AA5010" w14:textId="69B0BE49" w:rsidR="006E1702" w:rsidRPr="006E1702" w:rsidRDefault="006E1702" w:rsidP="006E1702">
      <w:pPr>
        <w:spacing w:before="240" w:after="240" w:line="360" w:lineRule="auto"/>
        <w:jc w:val="both"/>
        <w:rPr>
          <w:sz w:val="24"/>
          <w:szCs w:val="24"/>
        </w:rPr>
      </w:pPr>
      <w:r w:rsidRPr="006E1702">
        <w:rPr>
          <w:sz w:val="24"/>
          <w:szCs w:val="24"/>
        </w:rPr>
        <w:t xml:space="preserve">A pesar de la entrada en vigor del Tratado sobre el Comercio de Armas en 2014 y de su reciente ratificación por parte del Estado colombiano (enero de 2025), el país continúa enfrentando una grave problemática de circulación masiva de armas de fuego —en su mayoría ilegales—, que afecta de forma directa los derechos de la niñez. La existencia de más de 4,9 millones de armas en manos de civiles, el alto número de homicidios contra </w:t>
      </w:r>
      <w:r w:rsidR="009E7CB0">
        <w:rPr>
          <w:sz w:val="24"/>
          <w:szCs w:val="24"/>
        </w:rPr>
        <w:t>NNA</w:t>
      </w:r>
      <w:r w:rsidRPr="006E1702">
        <w:rPr>
          <w:sz w:val="24"/>
          <w:szCs w:val="24"/>
        </w:rPr>
        <w:t>, y las reiteradas capturas de adolescentes por porte de armas, reflejan un entorno marcado por la normalización de la violencia armada.</w:t>
      </w:r>
    </w:p>
    <w:p w14:paraId="7ACE2CE2" w14:textId="3CE8976A" w:rsidR="006E1702" w:rsidRPr="006E1702" w:rsidRDefault="006E1702" w:rsidP="006E1702">
      <w:pPr>
        <w:spacing w:before="240" w:after="240" w:line="360" w:lineRule="auto"/>
        <w:jc w:val="both"/>
        <w:rPr>
          <w:sz w:val="24"/>
          <w:szCs w:val="24"/>
        </w:rPr>
      </w:pPr>
      <w:r w:rsidRPr="006E1702">
        <w:rPr>
          <w:sz w:val="24"/>
          <w:szCs w:val="24"/>
        </w:rPr>
        <w:t xml:space="preserve">A ello se suman iniciativas legislativas regresivas que buscan reducir la edad de imputabilidad penal de adolescentes y facilitar el porte civil de armas, lo que podría agravar exponencialmente los riesgos para NNA. Esta situación contrasta con </w:t>
      </w:r>
      <w:r w:rsidR="001127EC">
        <w:rPr>
          <w:sz w:val="24"/>
          <w:szCs w:val="24"/>
        </w:rPr>
        <w:t>la Doctrina de la</w:t>
      </w:r>
      <w:r w:rsidRPr="006E1702">
        <w:rPr>
          <w:sz w:val="24"/>
          <w:szCs w:val="24"/>
        </w:rPr>
        <w:t xml:space="preserve"> protección integral y el interés superior de</w:t>
      </w:r>
      <w:r w:rsidR="001127EC">
        <w:rPr>
          <w:sz w:val="24"/>
          <w:szCs w:val="24"/>
        </w:rPr>
        <w:t xml:space="preserve"> NNA</w:t>
      </w:r>
      <w:r w:rsidRPr="006E1702">
        <w:rPr>
          <w:sz w:val="24"/>
          <w:szCs w:val="24"/>
        </w:rPr>
        <w:t>, reconocidos tanto en el derecho nacional como en los estándares internacionales.</w:t>
      </w:r>
    </w:p>
    <w:p w14:paraId="60831101" w14:textId="10C62D21" w:rsidR="00212B65" w:rsidRDefault="006E1702" w:rsidP="00212B65">
      <w:pPr>
        <w:spacing w:before="240" w:line="360" w:lineRule="auto"/>
        <w:jc w:val="both"/>
        <w:rPr>
          <w:sz w:val="24"/>
          <w:szCs w:val="24"/>
        </w:rPr>
      </w:pPr>
      <w:r w:rsidRPr="006E1702">
        <w:rPr>
          <w:sz w:val="24"/>
          <w:szCs w:val="24"/>
        </w:rPr>
        <w:t>El capítulo abordará tres dimensiones clave: (i) el vínculo entre proliferación armada y violencia contra la infancia; (</w:t>
      </w:r>
      <w:proofErr w:type="spellStart"/>
      <w:r w:rsidRPr="006E1702">
        <w:rPr>
          <w:sz w:val="24"/>
          <w:szCs w:val="24"/>
        </w:rPr>
        <w:t>ii</w:t>
      </w:r>
      <w:proofErr w:type="spellEnd"/>
      <w:r w:rsidRPr="006E1702">
        <w:rPr>
          <w:sz w:val="24"/>
          <w:szCs w:val="24"/>
        </w:rPr>
        <w:t xml:space="preserve">) las afectaciones específicas que enfrentan </w:t>
      </w:r>
      <w:r w:rsidR="00F21345">
        <w:rPr>
          <w:sz w:val="24"/>
          <w:szCs w:val="24"/>
        </w:rPr>
        <w:t xml:space="preserve">NNA </w:t>
      </w:r>
      <w:r w:rsidRPr="006E1702">
        <w:rPr>
          <w:sz w:val="24"/>
          <w:szCs w:val="24"/>
        </w:rPr>
        <w:t>en este contexto; y (</w:t>
      </w:r>
      <w:proofErr w:type="spellStart"/>
      <w:r w:rsidRPr="006E1702">
        <w:rPr>
          <w:sz w:val="24"/>
          <w:szCs w:val="24"/>
        </w:rPr>
        <w:t>iii</w:t>
      </w:r>
      <w:proofErr w:type="spellEnd"/>
      <w:r w:rsidRPr="006E1702">
        <w:rPr>
          <w:sz w:val="24"/>
          <w:szCs w:val="24"/>
        </w:rPr>
        <w:t xml:space="preserve">) las amenazas legislativas que profundizan la desprotección. Este análisis se articula con varias de las preguntas planteadas por el Comité en la </w:t>
      </w:r>
      <w:proofErr w:type="spellStart"/>
      <w:r w:rsidRPr="006E1702">
        <w:rPr>
          <w:sz w:val="24"/>
          <w:szCs w:val="24"/>
        </w:rPr>
        <w:t>pre-sesión</w:t>
      </w:r>
      <w:proofErr w:type="spellEnd"/>
      <w:r w:rsidRPr="006E1702">
        <w:rPr>
          <w:sz w:val="24"/>
          <w:szCs w:val="24"/>
        </w:rPr>
        <w:t xml:space="preserve"> de 2025, particularmente aquellas relacionadas con </w:t>
      </w:r>
      <w:r w:rsidR="00215608" w:rsidRPr="006E1702">
        <w:rPr>
          <w:sz w:val="24"/>
          <w:szCs w:val="24"/>
        </w:rPr>
        <w:t>acceso a justicia (pregunta 7)</w:t>
      </w:r>
      <w:r w:rsidR="00215608">
        <w:rPr>
          <w:sz w:val="24"/>
          <w:szCs w:val="24"/>
        </w:rPr>
        <w:t>,</w:t>
      </w:r>
      <w:r w:rsidR="00215608" w:rsidRPr="006E1702">
        <w:rPr>
          <w:sz w:val="24"/>
          <w:szCs w:val="24"/>
        </w:rPr>
        <w:t xml:space="preserve"> </w:t>
      </w:r>
      <w:r w:rsidRPr="006E1702">
        <w:rPr>
          <w:sz w:val="24"/>
          <w:szCs w:val="24"/>
        </w:rPr>
        <w:t xml:space="preserve">reclutamiento forzado (pregunta 22), </w:t>
      </w:r>
      <w:r w:rsidR="00044B27" w:rsidRPr="006E1702">
        <w:rPr>
          <w:sz w:val="24"/>
          <w:szCs w:val="24"/>
        </w:rPr>
        <w:t>justicia juvenil (pregunta 25),</w:t>
      </w:r>
      <w:r w:rsidR="00044B27">
        <w:rPr>
          <w:sz w:val="24"/>
          <w:szCs w:val="24"/>
        </w:rPr>
        <w:t xml:space="preserve"> y</w:t>
      </w:r>
      <w:r w:rsidR="00044B27" w:rsidRPr="006E1702">
        <w:rPr>
          <w:sz w:val="24"/>
          <w:szCs w:val="24"/>
        </w:rPr>
        <w:t xml:space="preserve"> </w:t>
      </w:r>
      <w:r w:rsidRPr="006E1702">
        <w:rPr>
          <w:sz w:val="24"/>
          <w:szCs w:val="24"/>
        </w:rPr>
        <w:t>violencia armada (preguntas 13</w:t>
      </w:r>
      <w:r w:rsidR="00EC0E34">
        <w:rPr>
          <w:sz w:val="24"/>
          <w:szCs w:val="24"/>
        </w:rPr>
        <w:t xml:space="preserve"> y </w:t>
      </w:r>
      <w:r w:rsidRPr="006E1702">
        <w:rPr>
          <w:sz w:val="24"/>
          <w:szCs w:val="24"/>
        </w:rPr>
        <w:t>24)</w:t>
      </w:r>
      <w:r w:rsidR="00044B27">
        <w:rPr>
          <w:sz w:val="24"/>
          <w:szCs w:val="24"/>
        </w:rPr>
        <w:t xml:space="preserve">. </w:t>
      </w:r>
    </w:p>
    <w:p w14:paraId="5C78060B" w14:textId="08B5501B" w:rsidR="005B750E" w:rsidRPr="005B750E" w:rsidRDefault="005B750E" w:rsidP="00212B65">
      <w:pPr>
        <w:pStyle w:val="Heading2"/>
        <w:spacing w:line="360" w:lineRule="auto"/>
      </w:pPr>
      <w:bookmarkStart w:id="14" w:name="_Toc216258191"/>
      <w:r w:rsidRPr="005B750E">
        <w:lastRenderedPageBreak/>
        <w:t xml:space="preserve">Proliferación de armas y su impacto en la violencia letal contra </w:t>
      </w:r>
      <w:r w:rsidR="00E26E26">
        <w:t>NNA</w:t>
      </w:r>
      <w:bookmarkEnd w:id="14"/>
    </w:p>
    <w:p w14:paraId="038CC080" w14:textId="1CDA3CCF" w:rsidR="005B750E" w:rsidRPr="005B750E" w:rsidRDefault="005B750E" w:rsidP="005B750E">
      <w:pPr>
        <w:spacing w:before="240" w:after="240" w:line="360" w:lineRule="auto"/>
        <w:jc w:val="both"/>
        <w:rPr>
          <w:sz w:val="24"/>
          <w:szCs w:val="24"/>
        </w:rPr>
      </w:pPr>
      <w:r w:rsidRPr="005B750E">
        <w:rPr>
          <w:sz w:val="24"/>
          <w:szCs w:val="24"/>
        </w:rPr>
        <w:t>E</w:t>
      </w:r>
      <w:r w:rsidR="00AB0243">
        <w:rPr>
          <w:sz w:val="24"/>
          <w:szCs w:val="24"/>
        </w:rPr>
        <w:t xml:space="preserve">n el informe presentado por </w:t>
      </w:r>
      <w:proofErr w:type="spellStart"/>
      <w:r w:rsidRPr="00AB0243">
        <w:rPr>
          <w:i/>
          <w:iCs/>
          <w:sz w:val="24"/>
          <w:szCs w:val="24"/>
        </w:rPr>
        <w:t>tdhA</w:t>
      </w:r>
      <w:proofErr w:type="spellEnd"/>
      <w:r w:rsidRPr="00AB0243">
        <w:rPr>
          <w:i/>
          <w:iCs/>
          <w:sz w:val="24"/>
          <w:szCs w:val="24"/>
        </w:rPr>
        <w:t xml:space="preserve"> </w:t>
      </w:r>
      <w:r w:rsidRPr="005B750E">
        <w:rPr>
          <w:sz w:val="24"/>
          <w:szCs w:val="24"/>
        </w:rPr>
        <w:t>sobre el acceso de la niñez a armas de fuego</w:t>
      </w:r>
      <w:r w:rsidR="00AB0243">
        <w:rPr>
          <w:sz w:val="24"/>
          <w:szCs w:val="24"/>
        </w:rPr>
        <w:t>,</w:t>
      </w:r>
      <w:r w:rsidRPr="005B750E">
        <w:rPr>
          <w:sz w:val="24"/>
          <w:szCs w:val="24"/>
        </w:rPr>
        <w:t xml:space="preserve"> destaca cómo la presencia masiva de armas en manos de civiles, así como su circulación ilegal, agrava las condiciones de inseguridad y vulnerabilidad de la niñez en Colombia.</w:t>
      </w:r>
    </w:p>
    <w:p w14:paraId="49C19337" w14:textId="6BBC8576" w:rsidR="005B750E" w:rsidRPr="005B750E" w:rsidRDefault="005B750E" w:rsidP="005B750E">
      <w:pPr>
        <w:spacing w:before="240" w:after="240" w:line="360" w:lineRule="auto"/>
        <w:jc w:val="both"/>
        <w:rPr>
          <w:sz w:val="24"/>
          <w:szCs w:val="24"/>
        </w:rPr>
      </w:pPr>
      <w:r w:rsidRPr="005B750E">
        <w:rPr>
          <w:sz w:val="24"/>
          <w:szCs w:val="24"/>
        </w:rPr>
        <w:t xml:space="preserve">A pesar de que el Estado colombiano ratificó en enero de 2025 el Tratado de Comercio de Armas, que obliga a prevenir el desvío y uso indebido de armamento para cometer violaciones de derechos humanos, las cifras demuestran que este compromiso no ha implicado transformaciones sustantivas en el terreno. De acuerdo con Small Arms </w:t>
      </w:r>
      <w:proofErr w:type="spellStart"/>
      <w:r w:rsidRPr="005B750E">
        <w:rPr>
          <w:sz w:val="24"/>
          <w:szCs w:val="24"/>
        </w:rPr>
        <w:t>Survey</w:t>
      </w:r>
      <w:proofErr w:type="spellEnd"/>
      <w:r w:rsidR="007B19FC">
        <w:rPr>
          <w:sz w:val="24"/>
          <w:szCs w:val="24"/>
        </w:rPr>
        <w:t>,</w:t>
      </w:r>
      <w:r w:rsidRPr="005B750E">
        <w:rPr>
          <w:sz w:val="24"/>
          <w:szCs w:val="24"/>
        </w:rPr>
        <w:t xml:space="preserve"> </w:t>
      </w:r>
      <w:r w:rsidR="007B19FC">
        <w:rPr>
          <w:sz w:val="24"/>
          <w:szCs w:val="24"/>
        </w:rPr>
        <w:t xml:space="preserve">en </w:t>
      </w:r>
      <w:r w:rsidRPr="005B750E">
        <w:rPr>
          <w:sz w:val="24"/>
          <w:szCs w:val="24"/>
        </w:rPr>
        <w:t>2017 había cerca de 5 millones de armas en manos de civiles en Colombia, de las cuales el 86 % eran ilegales. La fuerza pública reportaba entonces unas 350.689 armas registradas, mientras que otros organismos estatales contaban con aproximadamente 283.000.</w:t>
      </w:r>
    </w:p>
    <w:p w14:paraId="22397EF9" w14:textId="4EB977C7" w:rsidR="005B750E" w:rsidRPr="005B750E" w:rsidRDefault="005B750E" w:rsidP="005B750E">
      <w:pPr>
        <w:spacing w:before="240" w:after="240" w:line="360" w:lineRule="auto"/>
        <w:jc w:val="both"/>
        <w:rPr>
          <w:sz w:val="24"/>
          <w:szCs w:val="24"/>
        </w:rPr>
      </w:pPr>
      <w:r w:rsidRPr="005B750E">
        <w:rPr>
          <w:sz w:val="24"/>
          <w:szCs w:val="24"/>
        </w:rPr>
        <w:t xml:space="preserve">Este acceso masivo a armamento ha incidido directamente en la letalidad de la violencia contra </w:t>
      </w:r>
      <w:r w:rsidR="00E26E26">
        <w:rPr>
          <w:sz w:val="24"/>
          <w:szCs w:val="24"/>
        </w:rPr>
        <w:t>NNA</w:t>
      </w:r>
      <w:r w:rsidR="00232882">
        <w:rPr>
          <w:sz w:val="24"/>
          <w:szCs w:val="24"/>
        </w:rPr>
        <w:t xml:space="preserve">. </w:t>
      </w:r>
      <w:r w:rsidRPr="005B750E">
        <w:rPr>
          <w:sz w:val="24"/>
          <w:szCs w:val="24"/>
        </w:rPr>
        <w:t xml:space="preserve">Según la Policía Nacional, entre 2020 y abril de 2024 fueron asesinados 1.650 </w:t>
      </w:r>
      <w:r w:rsidR="009E7CB0">
        <w:rPr>
          <w:sz w:val="24"/>
          <w:szCs w:val="24"/>
        </w:rPr>
        <w:t>NNA</w:t>
      </w:r>
      <w:r w:rsidRPr="005B750E">
        <w:rPr>
          <w:sz w:val="24"/>
          <w:szCs w:val="24"/>
        </w:rPr>
        <w:t xml:space="preserve"> con armas de fuego. En el mismo periodo, 1.055 adolescentes fueron capturados por el delito de homicidio, lo que evidencia una doble exposición: como víctimas y como victimarios en contextos donde la violencia se ha naturalizado. Solo en 2022 se registraron 13.939 homicidios en el país, con una tasa de 26,97 por cada 100.000 habitantes —una de las más altas de la última década— y en la mayoría de los casos se utilizó un arma de fuego como instrumento principal.</w:t>
      </w:r>
    </w:p>
    <w:p w14:paraId="12C8CFB5" w14:textId="77777777" w:rsidR="005B750E" w:rsidRPr="005B750E" w:rsidRDefault="005B750E" w:rsidP="005B750E">
      <w:pPr>
        <w:spacing w:before="240" w:after="240" w:line="360" w:lineRule="auto"/>
        <w:jc w:val="both"/>
        <w:rPr>
          <w:sz w:val="24"/>
          <w:szCs w:val="24"/>
        </w:rPr>
      </w:pPr>
      <w:r w:rsidRPr="005B750E">
        <w:rPr>
          <w:sz w:val="24"/>
          <w:szCs w:val="24"/>
        </w:rPr>
        <w:t>Estas cifras dan cuenta de un entorno de alta letalidad que afecta especialmente a la infancia y adolescencia, y que se vincula con la escasa regulación real sobre la circulación de armas, la débil fiscalización del comercio legal y la permisividad frente al tráfico ilegal. El Comité de los Derechos del Niño ha advertido que los Estados deben “prevenir y erradicar la disponibilidad de armas en manos de particulares” cuando esto represente un riesgo para el interés superior del niño. Sin embargo, tanto las observaciones de 2015 como el último informe estatal de Colombia omiten referencias directas al tráfico, porte y uso de armas y su impacto específico sobre la niñez.</w:t>
      </w:r>
    </w:p>
    <w:p w14:paraId="3CD4FD8A" w14:textId="77777777" w:rsidR="005B750E" w:rsidRDefault="005B750E" w:rsidP="005B750E">
      <w:pPr>
        <w:spacing w:before="240" w:after="240" w:line="360" w:lineRule="auto"/>
        <w:jc w:val="both"/>
        <w:rPr>
          <w:sz w:val="24"/>
          <w:szCs w:val="24"/>
        </w:rPr>
      </w:pPr>
      <w:r w:rsidRPr="005B750E">
        <w:rPr>
          <w:sz w:val="24"/>
          <w:szCs w:val="24"/>
        </w:rPr>
        <w:lastRenderedPageBreak/>
        <w:t>Esta omisión es alarmante si se considera el llamado reiterado de la Resolución 1612 (2005) del Consejo de Seguridad de la ONU, que subraya la relación entre el uso de niños soldados y el tráfico ilícito de armas pequeñas. Aunque dicha resolución está vigente, el tema ha sido sistemáticamente excluido de las agendas prioritarias. Esta negligencia se traduce en la persistencia de escenarios donde la circulación de armas y su impacto devastador en la vida de miles de niñas y niños permanece invisibilizado y sin una respuesta estatal efectiva.</w:t>
      </w:r>
    </w:p>
    <w:p w14:paraId="646D1D60" w14:textId="2244507C" w:rsidR="00BD0788" w:rsidRPr="00BD0788" w:rsidRDefault="00BD0788" w:rsidP="00834EA8">
      <w:pPr>
        <w:pStyle w:val="Heading2"/>
        <w:spacing w:line="360" w:lineRule="auto"/>
      </w:pPr>
      <w:bookmarkStart w:id="15" w:name="_Toc216258192"/>
      <w:r w:rsidRPr="00BD0788">
        <w:t xml:space="preserve">Uso instrumental de </w:t>
      </w:r>
      <w:r w:rsidR="00E26E26">
        <w:t>NNA</w:t>
      </w:r>
      <w:r w:rsidRPr="00BD0788">
        <w:t xml:space="preserve"> en hechos delictivos con armas de fuego</w:t>
      </w:r>
      <w:bookmarkEnd w:id="15"/>
    </w:p>
    <w:p w14:paraId="490CD9B8" w14:textId="49912139" w:rsidR="00BD0788" w:rsidRPr="00BD0788" w:rsidRDefault="00BD0788" w:rsidP="00BD0788">
      <w:pPr>
        <w:spacing w:before="240" w:after="240" w:line="360" w:lineRule="auto"/>
        <w:jc w:val="both"/>
        <w:rPr>
          <w:sz w:val="24"/>
          <w:szCs w:val="24"/>
        </w:rPr>
      </w:pPr>
      <w:r w:rsidRPr="00BD0788">
        <w:rPr>
          <w:sz w:val="24"/>
          <w:szCs w:val="24"/>
        </w:rPr>
        <w:t xml:space="preserve">El informe elaborado por </w:t>
      </w:r>
      <w:proofErr w:type="spellStart"/>
      <w:r w:rsidRPr="00AD6BA3">
        <w:rPr>
          <w:i/>
          <w:iCs/>
          <w:sz w:val="24"/>
          <w:szCs w:val="24"/>
        </w:rPr>
        <w:t>tdhA</w:t>
      </w:r>
      <w:proofErr w:type="spellEnd"/>
      <w:r w:rsidRPr="00BD0788">
        <w:rPr>
          <w:sz w:val="24"/>
          <w:szCs w:val="24"/>
        </w:rPr>
        <w:t xml:space="preserve"> subraya una de las formas más preocupantes de afectación de la niñez en el contexto de violencia armada en Colombia: su uso instrumental en la comisión de delitos relacionados con armas de fuego. Esta situación representa una grave vulneración de derechos, </w:t>
      </w:r>
      <w:r w:rsidR="00EC1291">
        <w:rPr>
          <w:sz w:val="24"/>
          <w:szCs w:val="24"/>
        </w:rPr>
        <w:t xml:space="preserve">pero, sobre todo, </w:t>
      </w:r>
      <w:r w:rsidRPr="00BD0788">
        <w:rPr>
          <w:sz w:val="24"/>
          <w:szCs w:val="24"/>
        </w:rPr>
        <w:t>una expresión de la descomposición del entorno social, institucional y legal que debería garantizar la protección integral de NNA.</w:t>
      </w:r>
    </w:p>
    <w:p w14:paraId="0D094CA0" w14:textId="77777777" w:rsidR="00BD0788" w:rsidRPr="00BD0788" w:rsidRDefault="00BD0788" w:rsidP="00BD0788">
      <w:pPr>
        <w:spacing w:before="240" w:after="240" w:line="360" w:lineRule="auto"/>
        <w:jc w:val="both"/>
        <w:rPr>
          <w:sz w:val="24"/>
          <w:szCs w:val="24"/>
        </w:rPr>
      </w:pPr>
      <w:r w:rsidRPr="00BD0788">
        <w:rPr>
          <w:sz w:val="24"/>
          <w:szCs w:val="24"/>
        </w:rPr>
        <w:t>Entre 2015 y 2022, la Dirección de Investigación Criminal e INTERPOL (DIJIN) reportó que 8.982 adolescentes fueron aprehendidos bajo el artículo 365 del Código Penal, que sanciona la “fabricación, tráfico, porte o tenencia de armas de fuego, accesorios, partes o municiones”. Este dato ilustra cómo, en múltiples territorios del país, los NNA están siendo reclutados o utilizados por redes delictivas, incluyendo grupos armados ilegales, para portar, transportar o incluso emplear armamento en contextos de conflicto o criminalidad urbana.</w:t>
      </w:r>
    </w:p>
    <w:p w14:paraId="38CD555E" w14:textId="77777777" w:rsidR="00BD0788" w:rsidRPr="00BD0788" w:rsidRDefault="00BD0788" w:rsidP="00BD0788">
      <w:pPr>
        <w:spacing w:before="240" w:after="240" w:line="360" w:lineRule="auto"/>
        <w:jc w:val="both"/>
        <w:rPr>
          <w:sz w:val="24"/>
          <w:szCs w:val="24"/>
        </w:rPr>
      </w:pPr>
      <w:r w:rsidRPr="00BD0788">
        <w:rPr>
          <w:sz w:val="24"/>
          <w:szCs w:val="24"/>
        </w:rPr>
        <w:t>Además, según cifras de la Defensoría del Pueblo a julio de 2021, al menos 7.754 adolescentes y jóvenes se encontraban vinculados al Sistema de Responsabilidad Penal para Adolescentes (SRPA), la mayoría por delitos cometidos con armas de fuego o en contextos de violencia armada. En centros de reclusión juvenil, el 90 % de los internos eran hombres y el 10 % mujeres, lo que también revela un patrón de género diferenciado en esta problemática. Las conductas de mayor ingreso al sistema incluían tráfico de estupefacientes, hurto, lesiones personales y porte ilegal de armas.</w:t>
      </w:r>
    </w:p>
    <w:p w14:paraId="3850B650" w14:textId="77777777" w:rsidR="00BD0788" w:rsidRPr="00BD0788" w:rsidRDefault="00BD0788" w:rsidP="00BD0788">
      <w:pPr>
        <w:spacing w:before="240" w:after="240" w:line="360" w:lineRule="auto"/>
        <w:jc w:val="both"/>
        <w:rPr>
          <w:sz w:val="24"/>
          <w:szCs w:val="24"/>
        </w:rPr>
      </w:pPr>
      <w:r w:rsidRPr="00BD0788">
        <w:rPr>
          <w:sz w:val="24"/>
          <w:szCs w:val="24"/>
        </w:rPr>
        <w:lastRenderedPageBreak/>
        <w:t>Este fenómeno responde a múltiples factores: la presencia de economías ilegales, la falta de oportunidades educativas y laborales, la debilidad institucional, y la creciente naturalización de la violencia como forma de resolución de conflictos o afirmación de poder en contextos juveniles. En muchos casos, los NNA son usados como “escudos penales”, es decir, como autores materiales de delitos por parte de adultos que instrumentalizan su minoría de edad para evitar mayores sanciones legales.</w:t>
      </w:r>
    </w:p>
    <w:p w14:paraId="3B6B2B71" w14:textId="59C9C3F9" w:rsidR="00BD0788" w:rsidRPr="003F5C0A" w:rsidRDefault="00BD0788" w:rsidP="00BD0788">
      <w:pPr>
        <w:spacing w:before="240" w:after="240" w:line="360" w:lineRule="auto"/>
        <w:jc w:val="both"/>
        <w:rPr>
          <w:sz w:val="24"/>
          <w:szCs w:val="24"/>
        </w:rPr>
      </w:pPr>
      <w:r w:rsidRPr="003F5C0A">
        <w:rPr>
          <w:sz w:val="24"/>
          <w:szCs w:val="24"/>
        </w:rPr>
        <w:t>En lugar de responder con una política pública integral de prevención, protección y restauración de derechos, algunos sectores políticos han propuesto reformas regresivas que ponen en entredicho el principio de interés superior del niño. En 2025, por ejemplo, fueron radicadas en el Congreso iniciativas legislativas para reducir la edad de responsabilidad penal de 18 a 16 años, argumentando casos emblemáticos de homicidio presuntamente cometidos por adolescentes. Esta medida, además de ineficaz, representa un retroceso normativo que contradice los estándares internacionales de protección a la infancia, tal como lo ha reiterado el Comité de los Derechos del Niño en diversas observaciones finales.</w:t>
      </w:r>
      <w:r w:rsidR="00834EA8" w:rsidRPr="003F5C0A">
        <w:rPr>
          <w:sz w:val="24"/>
          <w:szCs w:val="24"/>
        </w:rPr>
        <w:t xml:space="preserve"> </w:t>
      </w:r>
      <w:r w:rsidRPr="003F5C0A">
        <w:rPr>
          <w:sz w:val="24"/>
          <w:szCs w:val="24"/>
        </w:rPr>
        <w:t xml:space="preserve">La respuesta estatal debe enfocarse en desmantelar las redes de criminalidad que instrumentalizan a </w:t>
      </w:r>
      <w:r w:rsidR="00B80D70">
        <w:rPr>
          <w:sz w:val="24"/>
          <w:szCs w:val="24"/>
        </w:rPr>
        <w:t>NNA</w:t>
      </w:r>
      <w:r w:rsidRPr="003F5C0A">
        <w:rPr>
          <w:sz w:val="24"/>
          <w:szCs w:val="24"/>
        </w:rPr>
        <w:t>, fortalecer los programas de inclusión social, y robustecer el SRPA desde un enfoque restaurativo, no punitivo. La violencia que rodea a los NNA no puede ser combatida con más castigo, sino con políticas integrales que respondan a las causas estructurales que los exponen al uso de armas y al delito.</w:t>
      </w:r>
    </w:p>
    <w:p w14:paraId="677F59D0" w14:textId="77777777" w:rsidR="003B0CED" w:rsidRPr="003B0CED" w:rsidRDefault="003B0CED" w:rsidP="00834EA8">
      <w:pPr>
        <w:pStyle w:val="Heading2"/>
        <w:spacing w:line="360" w:lineRule="auto"/>
      </w:pPr>
      <w:bookmarkStart w:id="16" w:name="_Toc216258193"/>
      <w:r w:rsidRPr="003B0CED">
        <w:t>Comercio internacional de armas y responsabilidad empresarial: impactos en la niñez</w:t>
      </w:r>
      <w:bookmarkEnd w:id="16"/>
    </w:p>
    <w:p w14:paraId="1BA56D70" w14:textId="77777777" w:rsidR="003B0CED" w:rsidRPr="003B0CED" w:rsidRDefault="003B0CED" w:rsidP="003B0CED">
      <w:pPr>
        <w:spacing w:before="240" w:after="240" w:line="360" w:lineRule="auto"/>
        <w:jc w:val="both"/>
        <w:rPr>
          <w:sz w:val="24"/>
          <w:szCs w:val="24"/>
        </w:rPr>
      </w:pPr>
      <w:r w:rsidRPr="003B0CED">
        <w:rPr>
          <w:sz w:val="24"/>
          <w:szCs w:val="24"/>
        </w:rPr>
        <w:t>La ratificación del Tratado sobre el Comercio de Armas (TCA) por parte del Estado colombiano en enero de 2025 representa un hito importante en materia de compromisos internacionales, al asumir obligaciones específicas para prevenir el desvío de armas y mitigar su impacto en los derechos humanos, incluidos los de la infancia. Sin embargo, esta adhesión llega tarde —once años después de la entrada en vigor del tratado— y en un contexto marcado por la ausencia histórica de controles efectivos sobre el flujo de armas hacia y dentro del país.</w:t>
      </w:r>
    </w:p>
    <w:p w14:paraId="3464123E" w14:textId="09EAC463" w:rsidR="003B0CED" w:rsidRPr="003B0CED" w:rsidRDefault="003E2E7C" w:rsidP="003B0CED">
      <w:pPr>
        <w:spacing w:before="240" w:after="240" w:line="360" w:lineRule="auto"/>
        <w:jc w:val="both"/>
        <w:rPr>
          <w:sz w:val="24"/>
          <w:szCs w:val="24"/>
        </w:rPr>
      </w:pPr>
      <w:r>
        <w:rPr>
          <w:sz w:val="24"/>
          <w:szCs w:val="24"/>
        </w:rPr>
        <w:lastRenderedPageBreak/>
        <w:t xml:space="preserve">En Colombia, a </w:t>
      </w:r>
      <w:r w:rsidR="00B00720">
        <w:rPr>
          <w:sz w:val="24"/>
          <w:szCs w:val="24"/>
        </w:rPr>
        <w:t>los casi cinco millones</w:t>
      </w:r>
      <w:r w:rsidR="003130BF">
        <w:rPr>
          <w:sz w:val="24"/>
          <w:szCs w:val="24"/>
        </w:rPr>
        <w:t xml:space="preserve"> de </w:t>
      </w:r>
      <w:r w:rsidR="003B0CED" w:rsidRPr="003B0CED">
        <w:rPr>
          <w:sz w:val="24"/>
          <w:szCs w:val="24"/>
        </w:rPr>
        <w:t xml:space="preserve">armas en manos de civiles </w:t>
      </w:r>
      <w:r w:rsidR="003130BF">
        <w:rPr>
          <w:sz w:val="24"/>
          <w:szCs w:val="24"/>
        </w:rPr>
        <w:t>(</w:t>
      </w:r>
      <w:r w:rsidR="00B00720" w:rsidRPr="003B0CED">
        <w:rPr>
          <w:sz w:val="24"/>
          <w:szCs w:val="24"/>
        </w:rPr>
        <w:t xml:space="preserve">Small Arms </w:t>
      </w:r>
      <w:proofErr w:type="spellStart"/>
      <w:r w:rsidR="00B00720" w:rsidRPr="003B0CED">
        <w:rPr>
          <w:sz w:val="24"/>
          <w:szCs w:val="24"/>
        </w:rPr>
        <w:t>Survey</w:t>
      </w:r>
      <w:proofErr w:type="spellEnd"/>
      <w:r w:rsidR="00B00720">
        <w:rPr>
          <w:sz w:val="24"/>
          <w:szCs w:val="24"/>
        </w:rPr>
        <w:t xml:space="preserve">, 2017), </w:t>
      </w:r>
      <w:r w:rsidR="003B0CED" w:rsidRPr="003B0CED">
        <w:rPr>
          <w:sz w:val="24"/>
          <w:szCs w:val="24"/>
        </w:rPr>
        <w:t>se suman las armas en poder de organismos estatales y de la Fuerza Pública, que en conjunto superan el medio millón. Este arsenal circulante ha alimentado las dinámicas de violencia armada y ha potenciado el involucramiento directo e indirecto de NNA en conflictos armados, economías ilegales y hechos de violencia común.</w:t>
      </w:r>
    </w:p>
    <w:p w14:paraId="7E1CA2F8" w14:textId="70DAA211" w:rsidR="003B0CED" w:rsidRPr="003B0CED" w:rsidRDefault="003B0CED" w:rsidP="003B0CED">
      <w:pPr>
        <w:spacing w:before="240" w:after="240" w:line="360" w:lineRule="auto"/>
        <w:jc w:val="both"/>
        <w:rPr>
          <w:sz w:val="24"/>
          <w:szCs w:val="24"/>
        </w:rPr>
      </w:pPr>
      <w:r w:rsidRPr="003B0CED">
        <w:rPr>
          <w:sz w:val="24"/>
          <w:szCs w:val="24"/>
        </w:rPr>
        <w:t xml:space="preserve">La cadena de suministro internacional de armas también ha contribuido a esta situación. El caso de la empresa alemana </w:t>
      </w:r>
      <w:r w:rsidRPr="003B0CED">
        <w:rPr>
          <w:i/>
          <w:iCs/>
          <w:sz w:val="24"/>
          <w:szCs w:val="24"/>
        </w:rPr>
        <w:t>SIG Sauer</w:t>
      </w:r>
      <w:r w:rsidRPr="003B0CED">
        <w:rPr>
          <w:sz w:val="24"/>
          <w:szCs w:val="24"/>
        </w:rPr>
        <w:t xml:space="preserve">, condenada en 2019 por exportaciones ilegales de 38.000 pistolas a Colombia a través de Estados Unidos, es un ejemplo emblemático de cómo las lagunas regulatorias y la connivencia empresarial pueden desembocar en violaciones masivas de derechos humanos. El Tribunal Regional de Kiel dictó penas suspendidas y multas significativas a los directivos, y ordenó el reembolso de 11 millones de euros, sentencia que fue confirmada en 2021 por el Tribunal Federal de Justicia de Karlsruhe. Este armamento terminó circulando en un país marcado por décadas de conflicto armado y violencia estructural, afectando a miles de </w:t>
      </w:r>
      <w:r w:rsidR="00B22737">
        <w:rPr>
          <w:sz w:val="24"/>
          <w:szCs w:val="24"/>
        </w:rPr>
        <w:t>NNA</w:t>
      </w:r>
      <w:r w:rsidRPr="003B0CED">
        <w:rPr>
          <w:sz w:val="24"/>
          <w:szCs w:val="24"/>
        </w:rPr>
        <w:t>, ya sea como portadores de estas armas o como víctimas directas.</w:t>
      </w:r>
    </w:p>
    <w:p w14:paraId="2BA50B1E" w14:textId="77777777" w:rsidR="003B0CED" w:rsidRPr="003B0CED" w:rsidRDefault="003B0CED" w:rsidP="003B0CED">
      <w:pPr>
        <w:spacing w:before="240" w:after="240" w:line="360" w:lineRule="auto"/>
        <w:jc w:val="both"/>
        <w:rPr>
          <w:sz w:val="24"/>
          <w:szCs w:val="24"/>
        </w:rPr>
      </w:pPr>
      <w:r w:rsidRPr="003B0CED">
        <w:rPr>
          <w:sz w:val="24"/>
          <w:szCs w:val="24"/>
        </w:rPr>
        <w:t xml:space="preserve">Durante el Paro Nacional de 2021, al menos cuatro NNA fueron asesinados con armas de fuego, una de las cuales era de la marca </w:t>
      </w:r>
      <w:r w:rsidRPr="003B0CED">
        <w:rPr>
          <w:i/>
          <w:iCs/>
          <w:sz w:val="24"/>
          <w:szCs w:val="24"/>
        </w:rPr>
        <w:t>SIG Sauer</w:t>
      </w:r>
      <w:r w:rsidRPr="003B0CED">
        <w:rPr>
          <w:sz w:val="24"/>
          <w:szCs w:val="24"/>
        </w:rPr>
        <w:t>. Este hecho revela que la proliferación de armamento no es un fenómeno abstracto ni lejano, sino una amenaza concreta para la vida y la integridad de la infancia colombiana, incluso en contextos de protesta social y participación ciudadana.</w:t>
      </w:r>
    </w:p>
    <w:p w14:paraId="75A83DA9" w14:textId="77777777" w:rsidR="003B0CED" w:rsidRPr="003B0CED" w:rsidRDefault="003B0CED" w:rsidP="003B0CED">
      <w:pPr>
        <w:spacing w:before="240" w:after="240" w:line="360" w:lineRule="auto"/>
        <w:jc w:val="both"/>
        <w:rPr>
          <w:sz w:val="24"/>
          <w:szCs w:val="24"/>
        </w:rPr>
      </w:pPr>
      <w:r w:rsidRPr="003B0CED">
        <w:rPr>
          <w:sz w:val="24"/>
          <w:szCs w:val="24"/>
        </w:rPr>
        <w:t>La normativa nacional aún carece de mecanismos sólidos para garantizar la trazabilidad de las armas y exigir responsabilidades empresariales ante violaciones de derechos humanos. Tampoco se ha avanzado en protocolos que impongan criterios de debida diligencia a las empresas exportadoras o comercializadoras de armas, como lo exige el artículo 7 del TCA. En este sentido, el Estado colombiano no solo debe cumplir con sus obligaciones de control, sino también asegurar que los actores privados bajo su jurisdicción respeten los derechos de la niñez en toda la cadena comercial.</w:t>
      </w:r>
    </w:p>
    <w:p w14:paraId="52526C56" w14:textId="77777777" w:rsidR="003B0CED" w:rsidRDefault="003B0CED" w:rsidP="003B0CED">
      <w:pPr>
        <w:spacing w:before="240" w:after="240" w:line="360" w:lineRule="auto"/>
        <w:jc w:val="both"/>
        <w:rPr>
          <w:sz w:val="24"/>
          <w:szCs w:val="24"/>
        </w:rPr>
      </w:pPr>
      <w:r w:rsidRPr="003B0CED">
        <w:rPr>
          <w:sz w:val="24"/>
          <w:szCs w:val="24"/>
        </w:rPr>
        <w:t xml:space="preserve">Frente a esta realidad, el Comité de los Derechos del Niño está llamado a exigir al Estado colombiano la implementación rigurosa del TCA con enfoque de niñez, así como la </w:t>
      </w:r>
      <w:r w:rsidRPr="003B0CED">
        <w:rPr>
          <w:sz w:val="24"/>
          <w:szCs w:val="24"/>
        </w:rPr>
        <w:lastRenderedPageBreak/>
        <w:t>incorporación de cláusulas de protección infantil en los acuerdos de comercio y seguridad. Igualmente, se requiere promover mecanismos de monitoreo empresarial que impidan que compañías armamentistas lucren con la violencia que destruye la vida de miles de niños y niñas.</w:t>
      </w:r>
    </w:p>
    <w:p w14:paraId="7652427B" w14:textId="77777777" w:rsidR="00DE3192" w:rsidRPr="00DE3192" w:rsidRDefault="00DE3192" w:rsidP="00DE3192">
      <w:pPr>
        <w:pStyle w:val="Heading2"/>
      </w:pPr>
      <w:bookmarkStart w:id="17" w:name="_Toc216258194"/>
      <w:r w:rsidRPr="00DE3192">
        <w:t>Efectos letales del acceso generalizado a armas en entornos comunitarios</w:t>
      </w:r>
      <w:bookmarkEnd w:id="17"/>
    </w:p>
    <w:p w14:paraId="4CCD6B82" w14:textId="5B996172" w:rsidR="00DE3192" w:rsidRPr="00DE3192" w:rsidRDefault="00DE3192" w:rsidP="00DE3192">
      <w:pPr>
        <w:spacing w:before="240" w:after="240" w:line="360" w:lineRule="auto"/>
        <w:jc w:val="both"/>
        <w:rPr>
          <w:sz w:val="24"/>
          <w:szCs w:val="24"/>
        </w:rPr>
      </w:pPr>
      <w:r w:rsidRPr="00DE3192">
        <w:rPr>
          <w:sz w:val="24"/>
          <w:szCs w:val="24"/>
        </w:rPr>
        <w:t>La circulación masiva y desregulada de armas de fuego en los territorios colombianos tiene un impacto devastador sobre NNA, tanto en su integridad física como en sus entornos de desarrollo. La presencia de armamento —legal o ilegal—incrementa el riesgo de homicidios y lesiones</w:t>
      </w:r>
      <w:r w:rsidR="00D72942">
        <w:rPr>
          <w:sz w:val="24"/>
          <w:szCs w:val="24"/>
        </w:rPr>
        <w:t xml:space="preserve"> y </w:t>
      </w:r>
      <w:r w:rsidRPr="00DE3192">
        <w:rPr>
          <w:sz w:val="24"/>
          <w:szCs w:val="24"/>
        </w:rPr>
        <w:t>naturaliza la violencia como forma de resolución de conflictos y fragiliza los vínculos comunitarios.</w:t>
      </w:r>
    </w:p>
    <w:p w14:paraId="7FA239C2" w14:textId="77777777" w:rsidR="00DE3192" w:rsidRPr="00DE3192" w:rsidRDefault="00DE3192" w:rsidP="00DE3192">
      <w:pPr>
        <w:spacing w:before="240" w:after="240" w:line="360" w:lineRule="auto"/>
        <w:jc w:val="both"/>
        <w:rPr>
          <w:sz w:val="24"/>
          <w:szCs w:val="24"/>
        </w:rPr>
      </w:pPr>
      <w:r w:rsidRPr="00DE3192">
        <w:rPr>
          <w:sz w:val="24"/>
          <w:szCs w:val="24"/>
        </w:rPr>
        <w:t>En 2022, Colombia registró 13.939 homicidios, una de las tasas más altas de la última década (26,97 por cada 100.000 habitantes), superando el objetivo trazado por los Objetivos de Desarrollo del Milenio (23,2 para ese año). El arma de fuego fue el instrumento más utilizado para cometer estos homicidios, según lo evidenció el análisis causal oficial. Este patrón se reproduce también entre la niñez y adolescencia: entre 2020 y el 13 de abril de 2024, 1.650 NNA fueron asesinados en el país, de acuerdo con datos de la DIJIN–Policía Nacional.</w:t>
      </w:r>
    </w:p>
    <w:p w14:paraId="0D8EB806" w14:textId="23BBEA8A" w:rsidR="00DE3192" w:rsidRPr="00DE3192" w:rsidRDefault="00DE3192" w:rsidP="00DE3192">
      <w:pPr>
        <w:spacing w:before="240" w:after="240" w:line="360" w:lineRule="auto"/>
        <w:jc w:val="both"/>
        <w:rPr>
          <w:sz w:val="24"/>
          <w:szCs w:val="24"/>
        </w:rPr>
      </w:pPr>
      <w:r w:rsidRPr="00DE3192">
        <w:rPr>
          <w:sz w:val="24"/>
          <w:szCs w:val="24"/>
        </w:rPr>
        <w:t xml:space="preserve">De forma paralela, 1.053 adolescentes y dos </w:t>
      </w:r>
      <w:r w:rsidR="00AF67AC">
        <w:rPr>
          <w:sz w:val="24"/>
          <w:szCs w:val="24"/>
        </w:rPr>
        <w:t>niños</w:t>
      </w:r>
      <w:r w:rsidRPr="00DE3192">
        <w:rPr>
          <w:sz w:val="24"/>
          <w:szCs w:val="24"/>
        </w:rPr>
        <w:t xml:space="preserve"> fueron aprehendidos por el presunto delito de homicidio durante el mismo periodo, lo que sugiere que la niñez está siendo no solo víctima, sino también instrumentalizada en hechos violentos, a menudo bajo el control de estructuras criminales.</w:t>
      </w:r>
    </w:p>
    <w:p w14:paraId="37366B10" w14:textId="43481581" w:rsidR="00DE3192" w:rsidRPr="00DE3192" w:rsidRDefault="00DE3192" w:rsidP="00DE3192">
      <w:pPr>
        <w:spacing w:before="240" w:after="240" w:line="360" w:lineRule="auto"/>
        <w:jc w:val="both"/>
        <w:rPr>
          <w:sz w:val="24"/>
          <w:szCs w:val="24"/>
        </w:rPr>
      </w:pPr>
      <w:r w:rsidRPr="00DE3192">
        <w:rPr>
          <w:sz w:val="24"/>
          <w:szCs w:val="24"/>
        </w:rPr>
        <w:t xml:space="preserve">Esta situación evidencia una falla estructural del Estado para prevenir el acceso de </w:t>
      </w:r>
      <w:r w:rsidR="0033324D">
        <w:rPr>
          <w:sz w:val="24"/>
          <w:szCs w:val="24"/>
        </w:rPr>
        <w:t>NNA</w:t>
      </w:r>
      <w:r w:rsidRPr="00DE3192">
        <w:rPr>
          <w:sz w:val="24"/>
          <w:szCs w:val="24"/>
        </w:rPr>
        <w:t xml:space="preserve"> a armas de fuego, controlar los flujos ilícitos y garantizar entornos seguros para el desarrollo infantil. Pese a las advertencias contenidas en la resolución 1612 del Consejo de Seguridad de Naciones Unidas —que señala el nexo entre la presencia de armas ligeras y la utilización de niños en conflictos armados—, las respuestas del Estado colombiano han sido débiles, parciales y fragmentadas. No existe, a la fecha, una política </w:t>
      </w:r>
      <w:r w:rsidRPr="00DE3192">
        <w:rPr>
          <w:sz w:val="24"/>
          <w:szCs w:val="24"/>
        </w:rPr>
        <w:lastRenderedPageBreak/>
        <w:t>pública integral que aborde el impacto de la proliferación armada en la vida cotidiana de las comunidades y, en particular, de sus integrantes más jóvenes.</w:t>
      </w:r>
    </w:p>
    <w:p w14:paraId="3DB61716" w14:textId="77777777" w:rsidR="00DE3192" w:rsidRPr="00DE3192" w:rsidRDefault="00DE3192" w:rsidP="00DE3192">
      <w:pPr>
        <w:spacing w:before="240" w:after="240" w:line="360" w:lineRule="auto"/>
        <w:jc w:val="both"/>
        <w:rPr>
          <w:sz w:val="24"/>
          <w:szCs w:val="24"/>
        </w:rPr>
      </w:pPr>
      <w:r w:rsidRPr="00DE3192">
        <w:rPr>
          <w:sz w:val="24"/>
          <w:szCs w:val="24"/>
        </w:rPr>
        <w:t>Los datos disponibles también alertan sobre una dimensión de género en esta problemática. En el Sistema de Responsabilidad Penal para Adolescentes (SRPA), al menos 7.754 adolescentes y jóvenes se encontraban vinculados a procesos judiciales a julio de 2021. De estos, el 90 % eran hombres y el 10 % mujeres. Las principales conductas asociadas incluían porte ilegal de armas de fuego, lo que confirma la centralidad de estos dispositivos en los conflictos urbanos y rurales que involucran a NNA.</w:t>
      </w:r>
    </w:p>
    <w:p w14:paraId="0DA06B68" w14:textId="3E4157BC" w:rsidR="00DE3192" w:rsidRDefault="00DE3192" w:rsidP="00DE3192">
      <w:pPr>
        <w:spacing w:before="240" w:after="240" w:line="360" w:lineRule="auto"/>
        <w:jc w:val="both"/>
        <w:rPr>
          <w:sz w:val="24"/>
          <w:szCs w:val="24"/>
        </w:rPr>
      </w:pPr>
      <w:r w:rsidRPr="00DE3192">
        <w:rPr>
          <w:sz w:val="24"/>
          <w:szCs w:val="24"/>
        </w:rPr>
        <w:t xml:space="preserve">La violencia armada, lejos de ser un fenómeno excepcional, se ha instalado en la cotidianidad de muchos territorios como un modo de existencia forzado, donde la niñez queda atrapada entre el miedo, la exclusión y la ausencia estatal. Urge, por tanto, que el Estado colombiano despliegue una estrategia nacional para reducir la disponibilidad de armas en manos de civiles, avanzar en su incautación efectiva y erradicar las lógicas de violencia que cercan el horizonte vital de millones de </w:t>
      </w:r>
      <w:r w:rsidR="0002528C">
        <w:rPr>
          <w:sz w:val="24"/>
          <w:szCs w:val="24"/>
        </w:rPr>
        <w:t>NNA</w:t>
      </w:r>
      <w:r w:rsidRPr="00DE3192">
        <w:rPr>
          <w:sz w:val="24"/>
          <w:szCs w:val="24"/>
        </w:rPr>
        <w:t>.</w:t>
      </w:r>
    </w:p>
    <w:p w14:paraId="7130F90D" w14:textId="77777777" w:rsidR="00FB4DEA" w:rsidRPr="00FB4DEA" w:rsidRDefault="00FB4DEA" w:rsidP="00834EA8">
      <w:pPr>
        <w:pStyle w:val="Heading2"/>
        <w:spacing w:line="360" w:lineRule="auto"/>
      </w:pPr>
      <w:bookmarkStart w:id="18" w:name="_Toc216258195"/>
      <w:r w:rsidRPr="00FB4DEA">
        <w:t>Retrocesos legislativos: criminalización de adolescentes y flexibilización del porte de armas</w:t>
      </w:r>
      <w:bookmarkEnd w:id="18"/>
    </w:p>
    <w:p w14:paraId="7ECF575D" w14:textId="77777777" w:rsidR="00FB4DEA" w:rsidRPr="00FB4DEA" w:rsidRDefault="00FB4DEA" w:rsidP="00FB4DEA">
      <w:pPr>
        <w:spacing w:before="240" w:after="240" w:line="360" w:lineRule="auto"/>
        <w:jc w:val="both"/>
        <w:rPr>
          <w:sz w:val="24"/>
          <w:szCs w:val="24"/>
        </w:rPr>
      </w:pPr>
      <w:r w:rsidRPr="00FB4DEA">
        <w:rPr>
          <w:sz w:val="24"/>
          <w:szCs w:val="24"/>
        </w:rPr>
        <w:t>En 2025, el Congreso colombiano ha sido escenario de iniciativas legislativas preocupantes que amenazan con debilitar la protección de los derechos de la niñez y adolescencia, especialmente en contextos de violencia armada. Estas propuestas, impulsadas bajo una narrativa punitiva y de “mano dura”, reflejan una tendencia regresiva en materia de justicia juvenil y control de armas, lo que contraviene estándares internacionales y recomendaciones previas del Comité de los Derechos del Niño.</w:t>
      </w:r>
    </w:p>
    <w:p w14:paraId="735788E3" w14:textId="77777777" w:rsidR="00FB4DEA" w:rsidRPr="00FB4DEA" w:rsidRDefault="00FB4DEA" w:rsidP="00FB4DEA">
      <w:pPr>
        <w:spacing w:before="240" w:after="240" w:line="360" w:lineRule="auto"/>
        <w:jc w:val="both"/>
        <w:rPr>
          <w:sz w:val="24"/>
          <w:szCs w:val="24"/>
        </w:rPr>
      </w:pPr>
      <w:r w:rsidRPr="00FB4DEA">
        <w:rPr>
          <w:sz w:val="24"/>
          <w:szCs w:val="24"/>
        </w:rPr>
        <w:t xml:space="preserve">Por un lado, se ha planteado la reducción de la edad penal en el Sistema de Responsabilidad Penal para Adolescentes (SRPA), bajándola de 18 a 16 años. Esta iniciativa surge tras el asesinato de un líder político a manos de un adolescente, caso que fue utilizado para justificar la necesidad de endurecer las penas. Sin embargo, esta medida desconoce los principios fundamentales del sistema de justicia juvenil, como el </w:t>
      </w:r>
      <w:r w:rsidRPr="00FB4DEA">
        <w:rPr>
          <w:sz w:val="24"/>
          <w:szCs w:val="24"/>
        </w:rPr>
        <w:lastRenderedPageBreak/>
        <w:t>interés superior del niño, el enfoque restaurativo y la proporcionalidad. Tal reforma no aborda las causas estructurales de la violencia juvenil —como la exclusión, la pobreza y la falta de oportunidades— y refuerza la lógica de la criminalización selectiva de adolescentes en situación de vulnerabilidad.</w:t>
      </w:r>
    </w:p>
    <w:p w14:paraId="002B6148" w14:textId="3F29D6E2" w:rsidR="00FB4DEA" w:rsidRPr="00FB4DEA" w:rsidRDefault="00FB4DEA" w:rsidP="00FB4DEA">
      <w:pPr>
        <w:spacing w:before="240" w:after="240" w:line="360" w:lineRule="auto"/>
        <w:jc w:val="both"/>
        <w:rPr>
          <w:sz w:val="24"/>
          <w:szCs w:val="24"/>
        </w:rPr>
      </w:pPr>
      <w:r w:rsidRPr="00FB4DEA">
        <w:rPr>
          <w:sz w:val="24"/>
          <w:szCs w:val="24"/>
        </w:rPr>
        <w:t xml:space="preserve">Simultáneamente, otra propuesta legislativa busca flexibilizar el porte de armas para civiles, levantando el decreto presidencial que actualmente lo restringe. Sus promotores argumentan que la ciudadanía debe tener herramientas para defenderse frente al aumento de la delincuencia. No obstante, esta flexibilización contradice la evidencia disponible: el aumento de armas en circulación incrementa los riesgos de violencia letal, especialmente para </w:t>
      </w:r>
      <w:r w:rsidR="0002528C">
        <w:rPr>
          <w:sz w:val="24"/>
          <w:szCs w:val="24"/>
        </w:rPr>
        <w:t>NNA</w:t>
      </w:r>
      <w:r w:rsidRPr="00FB4DEA">
        <w:rPr>
          <w:sz w:val="24"/>
          <w:szCs w:val="24"/>
        </w:rPr>
        <w:t>. También desvirtúa los compromisos internacionales asumidos por Colombia tras la ratificación del Tratado de Comercio de Armas en 2025, cuyo espíritu es precisamente limitar la proliferación armada y prevenir su impacto en poblaciones vulnerables.</w:t>
      </w:r>
    </w:p>
    <w:p w14:paraId="1B3FC187" w14:textId="77777777" w:rsidR="00FB4DEA" w:rsidRPr="00FB4DEA" w:rsidRDefault="00FB4DEA" w:rsidP="00FB4DEA">
      <w:pPr>
        <w:spacing w:before="240" w:after="240" w:line="360" w:lineRule="auto"/>
        <w:jc w:val="both"/>
        <w:rPr>
          <w:sz w:val="24"/>
          <w:szCs w:val="24"/>
        </w:rPr>
      </w:pPr>
      <w:r w:rsidRPr="00FB4DEA">
        <w:rPr>
          <w:sz w:val="24"/>
          <w:szCs w:val="24"/>
        </w:rPr>
        <w:t>Estas iniciativas legislativas revelan un doble movimiento de desprotección: mientras se endurecen las medidas contra adolescentes en conflicto con la ley, se debilita el control estatal sobre las armas en la sociedad. Esta combinación resulta especialmente lesiva para los NNA, quienes no solo enfrentan mayor riesgo de ser víctimas de violencia, sino que son más susceptibles de ser instrumentalizados en circuitos delictivos.</w:t>
      </w:r>
    </w:p>
    <w:p w14:paraId="51D3CC65" w14:textId="289FF4D1" w:rsidR="00FB4DEA" w:rsidRDefault="00FB4DEA" w:rsidP="00FB4DEA">
      <w:pPr>
        <w:spacing w:before="240" w:after="240" w:line="360" w:lineRule="auto"/>
        <w:jc w:val="both"/>
        <w:rPr>
          <w:sz w:val="24"/>
          <w:szCs w:val="24"/>
        </w:rPr>
      </w:pPr>
      <w:r w:rsidRPr="00FB4DEA">
        <w:rPr>
          <w:sz w:val="24"/>
          <w:szCs w:val="24"/>
        </w:rPr>
        <w:t>Ante este panorama, es urgente que el Estado colombiano reafirme su compromiso con la justicia restaurativa y con políticas públicas que prioricen la prevención, la inclusión y la protección integral de los NNA. El Comité debe exhortar al Estado a abstenerse de reformas regresivas que desnaturalicen la justicia juvenil o faciliten la proliferación de armas, y a garantizar mecanismos de participación significativa para la niñez en los debates legislativos que inciden directamente en su vida y dignidad.</w:t>
      </w:r>
    </w:p>
    <w:p w14:paraId="4CF90135" w14:textId="7D396E2B" w:rsidR="00CD6C72" w:rsidRDefault="00100A12" w:rsidP="00CD6C72">
      <w:pPr>
        <w:pStyle w:val="Heading1"/>
        <w:spacing w:line="360" w:lineRule="auto"/>
      </w:pPr>
      <w:bookmarkStart w:id="19" w:name="_Toc216258196"/>
      <w:r>
        <w:rPr>
          <w:szCs w:val="24"/>
        </w:rPr>
        <w:t xml:space="preserve">CAPÍTULO 3. </w:t>
      </w:r>
      <w:r w:rsidRPr="00CD6C72">
        <w:t xml:space="preserve">MARKETING DIGITAL DE PCBUS: VULNERACIÓN DEL DERECHO HUMANO A LA ALIMENTACIÓN Y LA SOBERANÍA ALIMENTARIA EN </w:t>
      </w:r>
      <w:r w:rsidR="00E8793F">
        <w:t>NNA</w:t>
      </w:r>
      <w:bookmarkEnd w:id="19"/>
    </w:p>
    <w:p w14:paraId="131B8E73" w14:textId="7F46F80D" w:rsidR="000A2FF5" w:rsidRDefault="000A2FF5" w:rsidP="000A2FF5">
      <w:pPr>
        <w:spacing w:before="240" w:line="360" w:lineRule="auto"/>
        <w:jc w:val="both"/>
        <w:rPr>
          <w:sz w:val="24"/>
          <w:szCs w:val="24"/>
        </w:rPr>
      </w:pPr>
      <w:r>
        <w:rPr>
          <w:sz w:val="24"/>
          <w:szCs w:val="24"/>
        </w:rPr>
        <w:t xml:space="preserve">Este capítulo se construye con base en el insumo aportado por FIAN Colombia, a partir de su análisis sobre los impactos del marketing digital de productos comestibles y </w:t>
      </w:r>
      <w:r>
        <w:rPr>
          <w:sz w:val="24"/>
          <w:szCs w:val="24"/>
        </w:rPr>
        <w:lastRenderedPageBreak/>
        <w:t xml:space="preserve">bebibles </w:t>
      </w:r>
      <w:proofErr w:type="spellStart"/>
      <w:r>
        <w:rPr>
          <w:sz w:val="24"/>
          <w:szCs w:val="24"/>
        </w:rPr>
        <w:t>ultraprocesados</w:t>
      </w:r>
      <w:proofErr w:type="spellEnd"/>
      <w:r>
        <w:rPr>
          <w:sz w:val="24"/>
          <w:szCs w:val="24"/>
        </w:rPr>
        <w:t xml:space="preserve"> (</w:t>
      </w:r>
      <w:proofErr w:type="spellStart"/>
      <w:r>
        <w:rPr>
          <w:sz w:val="24"/>
          <w:szCs w:val="24"/>
        </w:rPr>
        <w:t>PCBUs</w:t>
      </w:r>
      <w:proofErr w:type="spellEnd"/>
      <w:r>
        <w:rPr>
          <w:sz w:val="24"/>
          <w:szCs w:val="24"/>
        </w:rPr>
        <w:t xml:space="preserve">) en la garantía de los derechos de </w:t>
      </w:r>
      <w:r w:rsidR="00F33188">
        <w:rPr>
          <w:sz w:val="24"/>
          <w:szCs w:val="24"/>
        </w:rPr>
        <w:t>niñas, niños y adolescentes</w:t>
      </w:r>
      <w:r>
        <w:rPr>
          <w:sz w:val="24"/>
          <w:szCs w:val="24"/>
        </w:rPr>
        <w:t>. El documento examina cómo estas estrategias comerciales, que han migrado de forma acelerada hacia los entornos digitales, configuran una amenaza estructural para el Derecho Humano a la Alimentación Adecuada (DHANA) y la Soberanía Alimentaria (SOBAL), en un contexto marcado por la ausencia de una regulación eficaz y la normalización del hiperconsumo.</w:t>
      </w:r>
    </w:p>
    <w:p w14:paraId="233482EF" w14:textId="77777777" w:rsidR="000A2FF5" w:rsidRDefault="000A2FF5" w:rsidP="000A2FF5">
      <w:pPr>
        <w:spacing w:before="240" w:line="360" w:lineRule="auto"/>
        <w:jc w:val="both"/>
        <w:rPr>
          <w:sz w:val="24"/>
          <w:szCs w:val="24"/>
        </w:rPr>
      </w:pPr>
      <w:r>
        <w:rPr>
          <w:sz w:val="24"/>
          <w:szCs w:val="24"/>
        </w:rPr>
        <w:t xml:space="preserve">Los hallazgos aquí sistematizados se relacionan directamente con las preocupaciones planteadas por el Comité de Derechos del Niño, especialmente en torno al uso de datos personales y la exposición de NNA a contenidos nocivos en medios digitales, en particular con la </w:t>
      </w:r>
      <w:r>
        <w:rPr>
          <w:i/>
          <w:iCs/>
          <w:sz w:val="24"/>
          <w:szCs w:val="24"/>
        </w:rPr>
        <w:t>pregunta 6, literal g,</w:t>
      </w:r>
      <w:r>
        <w:rPr>
          <w:sz w:val="24"/>
          <w:szCs w:val="24"/>
        </w:rPr>
        <w:t xml:space="preserve"> del </w:t>
      </w:r>
      <w:r>
        <w:rPr>
          <w:i/>
          <w:iCs/>
          <w:sz w:val="24"/>
          <w:szCs w:val="24"/>
        </w:rPr>
        <w:t>Listado de cuestiones previas</w:t>
      </w:r>
      <w:r>
        <w:rPr>
          <w:sz w:val="24"/>
          <w:szCs w:val="24"/>
        </w:rPr>
        <w:t xml:space="preserve">, en la cual se solicita información sobre las medidas adoptadas para garantizar la protección de NNA en el entorno digital, incluida la adopción de un marco legislativo al respecto. Y, aunque en las preguntas de la </w:t>
      </w:r>
      <w:proofErr w:type="spellStart"/>
      <w:r>
        <w:rPr>
          <w:sz w:val="24"/>
          <w:szCs w:val="24"/>
        </w:rPr>
        <w:t>Pre-sesión</w:t>
      </w:r>
      <w:proofErr w:type="spellEnd"/>
      <w:r>
        <w:rPr>
          <w:sz w:val="24"/>
          <w:szCs w:val="24"/>
        </w:rPr>
        <w:t xml:space="preserve"> no se abordan de forma directa el derecho a la alimentación adecuada ni la soberanía alimentaria de NNA, la pregunta 32 menciona que el acceso a la alimentación de niñas y niños pobres es un problema estructural, e interroga sobre la existencia de una estrategia nacional de lucha contra la pobreza, su impacto real y los mecanismos de seguimiento asociados. Este señalamiento confirma la preocupación del Comité por las condiciones materiales que afectan el disfrute pleno del DHANA, especialmente en contextos de desigualdad. </w:t>
      </w:r>
    </w:p>
    <w:p w14:paraId="308FC44C" w14:textId="77777777" w:rsidR="000A2FF5" w:rsidRDefault="000A2FF5" w:rsidP="000A2FF5">
      <w:pPr>
        <w:spacing w:before="240" w:line="360" w:lineRule="auto"/>
        <w:jc w:val="both"/>
        <w:rPr>
          <w:sz w:val="24"/>
          <w:szCs w:val="24"/>
        </w:rPr>
      </w:pPr>
      <w:r>
        <w:rPr>
          <w:sz w:val="24"/>
          <w:szCs w:val="24"/>
        </w:rPr>
        <w:t>Este capítulo plantea un análisis crítico de las lógicas de segmentación algorítmica, el uso ilegítimo de datos personales, la explotación emocional y los modelos de negocio que priorizan el lucro sobre los derechos fundamentales. Además, formula un llamado al Estado colombiano para que adopte una legislación robusta, coherente y efectiva que prohíba la mercantilización de las infancias en el ecosistema digital y garantice la prevalencia de sus derechos frente a los intereses comerciales.</w:t>
      </w:r>
    </w:p>
    <w:p w14:paraId="70B646AB" w14:textId="77777777" w:rsidR="00BE673E" w:rsidRPr="00BE673E" w:rsidRDefault="00BE673E" w:rsidP="00BE673E">
      <w:pPr>
        <w:pStyle w:val="Heading2"/>
        <w:spacing w:line="360" w:lineRule="auto"/>
      </w:pPr>
      <w:bookmarkStart w:id="20" w:name="_Toc216258197"/>
      <w:r w:rsidRPr="00BE673E">
        <w:t>Recolección de datos personales y segmentación digital: una práctica que vulnera derechos fundamentales</w:t>
      </w:r>
      <w:bookmarkEnd w:id="20"/>
    </w:p>
    <w:p w14:paraId="0683AA73" w14:textId="38BC6CC4" w:rsidR="000A2FF5" w:rsidRDefault="000A2FF5" w:rsidP="000A2FF5">
      <w:pPr>
        <w:spacing w:before="240" w:line="360" w:lineRule="auto"/>
        <w:jc w:val="both"/>
        <w:rPr>
          <w:sz w:val="24"/>
          <w:szCs w:val="24"/>
        </w:rPr>
      </w:pPr>
      <w:r>
        <w:rPr>
          <w:sz w:val="24"/>
          <w:szCs w:val="24"/>
        </w:rPr>
        <w:t xml:space="preserve">El marketing digital dirigido a </w:t>
      </w:r>
      <w:r w:rsidR="00494693">
        <w:rPr>
          <w:sz w:val="24"/>
          <w:szCs w:val="24"/>
        </w:rPr>
        <w:t>niñas, niños y adolescentes</w:t>
      </w:r>
      <w:r>
        <w:rPr>
          <w:sz w:val="24"/>
          <w:szCs w:val="24"/>
        </w:rPr>
        <w:t xml:space="preserve"> se basa en prácticas de recopilación masiva de datos personales, que son procesados para construir perfiles y </w:t>
      </w:r>
      <w:r>
        <w:rPr>
          <w:sz w:val="24"/>
          <w:szCs w:val="24"/>
        </w:rPr>
        <w:lastRenderedPageBreak/>
        <w:t xml:space="preserve">orientar contenidos altamente personalizados y persuasivos. Esta dinámica es particularmente problemática en el caso de los productos comestibles y bebibles </w:t>
      </w:r>
      <w:proofErr w:type="spellStart"/>
      <w:r>
        <w:rPr>
          <w:sz w:val="24"/>
          <w:szCs w:val="24"/>
        </w:rPr>
        <w:t>ultraprocesados</w:t>
      </w:r>
      <w:proofErr w:type="spellEnd"/>
      <w:r>
        <w:rPr>
          <w:sz w:val="24"/>
          <w:szCs w:val="24"/>
        </w:rPr>
        <w:t xml:space="preserve"> (</w:t>
      </w:r>
      <w:proofErr w:type="spellStart"/>
      <w:r>
        <w:rPr>
          <w:sz w:val="24"/>
          <w:szCs w:val="24"/>
        </w:rPr>
        <w:t>PCBUs</w:t>
      </w:r>
      <w:proofErr w:type="spellEnd"/>
      <w:r>
        <w:rPr>
          <w:sz w:val="24"/>
          <w:szCs w:val="24"/>
        </w:rPr>
        <w:t>), donde los datos recabados se utilizan para diseñar campañas publicitarias conductuales</w:t>
      </w:r>
      <w:r>
        <w:t xml:space="preserve"> que</w:t>
      </w:r>
      <w:r>
        <w:rPr>
          <w:sz w:val="24"/>
          <w:szCs w:val="24"/>
        </w:rPr>
        <w:t xml:space="preserve"> fomentan el hiperconsumo y alteran los patrones alimentarios infantiles.</w:t>
      </w:r>
    </w:p>
    <w:p w14:paraId="042EB72D" w14:textId="77777777" w:rsidR="000A2FF5" w:rsidRDefault="000A2FF5" w:rsidP="000A2FF5">
      <w:pPr>
        <w:spacing w:before="240" w:line="360" w:lineRule="auto"/>
        <w:jc w:val="both"/>
        <w:rPr>
          <w:sz w:val="24"/>
          <w:szCs w:val="24"/>
        </w:rPr>
      </w:pPr>
      <w:r>
        <w:rPr>
          <w:sz w:val="24"/>
          <w:szCs w:val="24"/>
        </w:rPr>
        <w:t>La jurisprudencia colombiana establece límites explícitos a este tipo de tratamiento de datos. El artículo 7 de la Ley Estatutaria 1581 de 2012 prohíbe el tratamiento de datos personales de NNA, salvo aquellos de naturaleza pública. Asimismo, el Decreto 1074 de 2015 estipula que cualquier uso de estos datos debe cumplir dos requisitos esenciales: respetar el interés superior del menor y asegurar el respeto de sus derechos fundamentales. A pesar de ello, la práctica comercial demuestra una tendencia sistemática a ignorar estas salvaguardas.</w:t>
      </w:r>
    </w:p>
    <w:p w14:paraId="0F35F212" w14:textId="77777777" w:rsidR="000A2FF5" w:rsidRDefault="000A2FF5" w:rsidP="000A2FF5">
      <w:pPr>
        <w:spacing w:before="240" w:line="360" w:lineRule="auto"/>
        <w:jc w:val="both"/>
        <w:rPr>
          <w:sz w:val="24"/>
          <w:szCs w:val="24"/>
        </w:rPr>
      </w:pPr>
      <w:r>
        <w:rPr>
          <w:sz w:val="24"/>
          <w:szCs w:val="24"/>
        </w:rPr>
        <w:t xml:space="preserve">La Corte Constitucional, en su Sentencia C-748 de 2011, dejó claro que el tratamiento excepcional de datos de NNA solo puede darse si responde al interés superior del niño, respeta sus derechos fundamentales, toma en cuenta su madurez para opinar y cumple con los principios generales de protección de datos. Bajo estas condiciones, la recopilación de información con fines de segmentación publicitaria de </w:t>
      </w:r>
      <w:proofErr w:type="spellStart"/>
      <w:r>
        <w:rPr>
          <w:sz w:val="24"/>
          <w:szCs w:val="24"/>
        </w:rPr>
        <w:t>PCBUs</w:t>
      </w:r>
      <w:proofErr w:type="spellEnd"/>
      <w:r>
        <w:rPr>
          <w:sz w:val="24"/>
          <w:szCs w:val="24"/>
        </w:rPr>
        <w:t xml:space="preserve"> no solo incumple la norma, sino que vulnera de manera directa y deliberada los derechos de esta población.</w:t>
      </w:r>
    </w:p>
    <w:p w14:paraId="23946346" w14:textId="505EDDE0" w:rsidR="000A2FF5" w:rsidRDefault="000A2FF5" w:rsidP="000A2FF5">
      <w:pPr>
        <w:spacing w:before="240" w:line="360" w:lineRule="auto"/>
        <w:jc w:val="both"/>
        <w:rPr>
          <w:sz w:val="24"/>
          <w:szCs w:val="24"/>
        </w:rPr>
      </w:pPr>
      <w:r>
        <w:rPr>
          <w:sz w:val="24"/>
          <w:szCs w:val="24"/>
        </w:rPr>
        <w:t>Las agencias de marketing digital, en colaboración con redes sociales y plataformas digitales, extraen información sensible sobre rutinas, emociones, gustos e interacciones digitales de NNA para dirigirles mensajes publicitarios adaptados. Estos anuncios suelen integrar estrategias de gamificación, recompensas inmediatas y personajes animados, con el objetivo de estimular respuestas compulsivas y fidelizar el consumo. Tales mecanismos no s</w:t>
      </w:r>
      <w:r w:rsidR="00B75E83">
        <w:rPr>
          <w:sz w:val="24"/>
          <w:szCs w:val="24"/>
        </w:rPr>
        <w:t>o</w:t>
      </w:r>
      <w:r>
        <w:rPr>
          <w:sz w:val="24"/>
          <w:szCs w:val="24"/>
        </w:rPr>
        <w:t>lo</w:t>
      </w:r>
      <w:sdt>
        <w:sdtPr>
          <w:tag w:val="goog_rdk_6"/>
          <w:id w:val="1582786252"/>
        </w:sdtPr>
        <w:sdtEndPr/>
        <w:sdtContent>
          <w:sdt>
            <w:sdtPr>
              <w:tag w:val="goog_rdk_7"/>
              <w:id w:val="1737178448"/>
            </w:sdtPr>
            <w:sdtEndPr/>
            <w:sdtContent>
              <w:r>
                <w:t xml:space="preserve"> </w:t>
              </w:r>
            </w:sdtContent>
          </w:sdt>
        </w:sdtContent>
      </w:sdt>
      <w:r>
        <w:rPr>
          <w:sz w:val="24"/>
          <w:szCs w:val="24"/>
        </w:rPr>
        <w:t>contravienen el principio de autonomía progresiva, sino que configuran entornos de consumo manipulativos que instrumentalizan emocionalmente a los NNA.</w:t>
      </w:r>
    </w:p>
    <w:p w14:paraId="0EB139E4" w14:textId="77777777" w:rsidR="000A2FF5" w:rsidRDefault="000A2FF5" w:rsidP="000A2FF5">
      <w:pPr>
        <w:spacing w:before="240" w:line="360" w:lineRule="auto"/>
        <w:jc w:val="both"/>
        <w:rPr>
          <w:sz w:val="24"/>
          <w:szCs w:val="24"/>
        </w:rPr>
      </w:pPr>
      <w:r>
        <w:rPr>
          <w:sz w:val="24"/>
          <w:szCs w:val="24"/>
        </w:rPr>
        <w:t xml:space="preserve">El vacío regulatorio es aún más evidente cuando se trata de empresas extranjeras que argumentan no tener domicilio en Colombia y, por tanto, no estar obligadas a cumplir su </w:t>
      </w:r>
      <w:r>
        <w:rPr>
          <w:sz w:val="24"/>
          <w:szCs w:val="24"/>
        </w:rPr>
        <w:lastRenderedPageBreak/>
        <w:t>legislación. Esta situación deja a la niñez colombiana expuesta a una lógica de explotación comercial sin garantías ni mecanismos eficaces de protección, en clara contravía del principio de prevalencia de sus derechos.</w:t>
      </w:r>
    </w:p>
    <w:p w14:paraId="4006A1EA" w14:textId="61634E56" w:rsidR="000A2FF5" w:rsidRDefault="000A2FF5" w:rsidP="000A2FF5">
      <w:pPr>
        <w:spacing w:before="240" w:line="360" w:lineRule="auto"/>
        <w:jc w:val="both"/>
        <w:rPr>
          <w:sz w:val="24"/>
          <w:szCs w:val="24"/>
        </w:rPr>
      </w:pPr>
      <w:r>
        <w:rPr>
          <w:sz w:val="24"/>
          <w:szCs w:val="24"/>
        </w:rPr>
        <w:t xml:space="preserve">En este escenario, el Comité de los Derechos del Niño ha llamado la atención sobre la necesidad de adoptar marcos legislativos que regulen la publicidad digital dirigida a </w:t>
      </w:r>
      <w:r w:rsidR="008E2382">
        <w:rPr>
          <w:sz w:val="24"/>
          <w:szCs w:val="24"/>
        </w:rPr>
        <w:t>NNA</w:t>
      </w:r>
      <w:r>
        <w:rPr>
          <w:sz w:val="24"/>
          <w:szCs w:val="24"/>
        </w:rPr>
        <w:t xml:space="preserve"> y limiten la economía de datos. A través de la </w:t>
      </w:r>
      <w:r>
        <w:rPr>
          <w:i/>
          <w:iCs/>
          <w:sz w:val="24"/>
          <w:szCs w:val="24"/>
        </w:rPr>
        <w:t>pregunta 6 literal g</w:t>
      </w:r>
      <w:r>
        <w:rPr>
          <w:sz w:val="24"/>
          <w:szCs w:val="24"/>
        </w:rPr>
        <w:t xml:space="preserve"> del </w:t>
      </w:r>
      <w:r>
        <w:rPr>
          <w:i/>
          <w:iCs/>
          <w:sz w:val="24"/>
          <w:szCs w:val="24"/>
        </w:rPr>
        <w:t>Listado de cuestiones previas</w:t>
      </w:r>
      <w:r>
        <w:rPr>
          <w:sz w:val="24"/>
          <w:szCs w:val="24"/>
        </w:rPr>
        <w:t xml:space="preserve">, el Comité solicita al Estado colombiano información sobre las medidas adoptadas en esta materia. La omisión normativa y la falta de acción estatal revelan una deuda estructural que sigue dejando a </w:t>
      </w:r>
      <w:r w:rsidR="0002528C">
        <w:rPr>
          <w:sz w:val="24"/>
          <w:szCs w:val="24"/>
        </w:rPr>
        <w:t xml:space="preserve">NNA </w:t>
      </w:r>
      <w:r>
        <w:rPr>
          <w:sz w:val="24"/>
          <w:szCs w:val="24"/>
        </w:rPr>
        <w:t>desprotegidos en los entornos digitales.</w:t>
      </w:r>
    </w:p>
    <w:p w14:paraId="7FDC5508" w14:textId="77777777" w:rsidR="00B1685B" w:rsidRPr="00B1685B" w:rsidRDefault="00B1685B" w:rsidP="00143CEB">
      <w:pPr>
        <w:pStyle w:val="Heading2"/>
        <w:spacing w:line="360" w:lineRule="auto"/>
      </w:pPr>
      <w:bookmarkStart w:id="21" w:name="_Toc216258198"/>
      <w:r w:rsidRPr="00B1685B">
        <w:t>Marketing digital de productos ultraprocesados: una amenaza estructural al Derecho Humano a la Alimentación y a la Soberanía Alimentaria</w:t>
      </w:r>
      <w:bookmarkEnd w:id="21"/>
    </w:p>
    <w:p w14:paraId="55312090" w14:textId="0AC7BD61" w:rsidR="000A2FF5" w:rsidRDefault="000A2FF5" w:rsidP="000A2FF5">
      <w:pPr>
        <w:spacing w:before="240" w:line="360" w:lineRule="auto"/>
        <w:jc w:val="both"/>
        <w:rPr>
          <w:sz w:val="24"/>
          <w:szCs w:val="24"/>
        </w:rPr>
      </w:pPr>
      <w:r>
        <w:rPr>
          <w:sz w:val="24"/>
          <w:szCs w:val="24"/>
        </w:rPr>
        <w:t xml:space="preserve">La exposición constante de </w:t>
      </w:r>
      <w:r w:rsidR="00494693">
        <w:rPr>
          <w:sz w:val="24"/>
          <w:szCs w:val="24"/>
        </w:rPr>
        <w:t>niñas, niños y adolescentes</w:t>
      </w:r>
      <w:r>
        <w:rPr>
          <w:sz w:val="24"/>
          <w:szCs w:val="24"/>
        </w:rPr>
        <w:t xml:space="preserve"> a la publicidad digital de productos comestibles y bebibles </w:t>
      </w:r>
      <w:proofErr w:type="spellStart"/>
      <w:r>
        <w:rPr>
          <w:sz w:val="24"/>
          <w:szCs w:val="24"/>
        </w:rPr>
        <w:t>ultraprocesados</w:t>
      </w:r>
      <w:proofErr w:type="spellEnd"/>
      <w:r>
        <w:rPr>
          <w:sz w:val="24"/>
          <w:szCs w:val="24"/>
        </w:rPr>
        <w:t xml:space="preserve"> (</w:t>
      </w:r>
      <w:proofErr w:type="spellStart"/>
      <w:r>
        <w:rPr>
          <w:sz w:val="24"/>
          <w:szCs w:val="24"/>
        </w:rPr>
        <w:t>PCBUs</w:t>
      </w:r>
      <w:proofErr w:type="spellEnd"/>
      <w:r>
        <w:rPr>
          <w:sz w:val="24"/>
          <w:szCs w:val="24"/>
        </w:rPr>
        <w:t>) constituye una amenaza directa al Derecho Humano a una Alimentación Adecuada (DHANA) y a la Soberanía Alimentaria (SOBAL). Esta situación se agrava cuando dicha publicidad emplea mecanismos altamente persuasivos que condicionan los gustos, hábitos y preferencias alimentarias de las infancias, reemplazando progresivamente alimentos reales por productos artificiales, densos en calorías vacías y pobres en nutrientes.</w:t>
      </w:r>
    </w:p>
    <w:p w14:paraId="58BB065C" w14:textId="3BEE4D76" w:rsidR="000A2FF5" w:rsidRDefault="000A2FF5" w:rsidP="000A2FF5">
      <w:pPr>
        <w:spacing w:before="240" w:line="360" w:lineRule="auto"/>
        <w:jc w:val="both"/>
        <w:rPr>
          <w:sz w:val="24"/>
          <w:szCs w:val="24"/>
        </w:rPr>
      </w:pPr>
      <w:r>
        <w:rPr>
          <w:sz w:val="24"/>
          <w:szCs w:val="24"/>
        </w:rPr>
        <w:t xml:space="preserve">Distintos estudios han documentado que la publicidad de </w:t>
      </w:r>
      <w:proofErr w:type="spellStart"/>
      <w:r>
        <w:rPr>
          <w:sz w:val="24"/>
          <w:szCs w:val="24"/>
        </w:rPr>
        <w:t>PCBUs</w:t>
      </w:r>
      <w:proofErr w:type="spellEnd"/>
      <w:r>
        <w:rPr>
          <w:sz w:val="24"/>
          <w:szCs w:val="24"/>
        </w:rPr>
        <w:t xml:space="preserve"> dirigida a </w:t>
      </w:r>
      <w:r w:rsidR="00C81CCB">
        <w:rPr>
          <w:sz w:val="24"/>
          <w:szCs w:val="24"/>
        </w:rPr>
        <w:t>NNA</w:t>
      </w:r>
      <w:r>
        <w:rPr>
          <w:sz w:val="24"/>
          <w:szCs w:val="24"/>
        </w:rPr>
        <w:t xml:space="preserve"> recurre a estrategias sofisticadas de diseño emocional —como personajes animados, retos digitales, recompensas </w:t>
      </w:r>
      <w:proofErr w:type="spellStart"/>
      <w:r>
        <w:rPr>
          <w:sz w:val="24"/>
          <w:szCs w:val="24"/>
        </w:rPr>
        <w:t>gamificadas</w:t>
      </w:r>
      <w:proofErr w:type="spellEnd"/>
      <w:r>
        <w:rPr>
          <w:sz w:val="24"/>
          <w:szCs w:val="24"/>
        </w:rPr>
        <w:t xml:space="preserve"> e influenciadores infantiles— que, además de aumentar la atracción, buscan fidelizar desde edades tempranas a consumidores potenciales para productos ultraprocesados. Estas campañas crean un entorno en el cual el consumo de </w:t>
      </w:r>
      <w:proofErr w:type="spellStart"/>
      <w:r>
        <w:rPr>
          <w:sz w:val="24"/>
          <w:szCs w:val="24"/>
        </w:rPr>
        <w:t>PCBUs</w:t>
      </w:r>
      <w:proofErr w:type="spellEnd"/>
      <w:r>
        <w:rPr>
          <w:sz w:val="24"/>
          <w:szCs w:val="24"/>
        </w:rPr>
        <w:t xml:space="preserve"> se normaliza como parte de la vida cotidiana, desdibujando la frontera entre juego, entretenimiento y consumo comercial.</w:t>
      </w:r>
    </w:p>
    <w:p w14:paraId="19EFCD4B" w14:textId="123168E8" w:rsidR="000A2FF5" w:rsidRDefault="000A2FF5" w:rsidP="000A2FF5">
      <w:pPr>
        <w:spacing w:before="240" w:line="360" w:lineRule="auto"/>
        <w:jc w:val="both"/>
        <w:rPr>
          <w:sz w:val="24"/>
          <w:szCs w:val="24"/>
        </w:rPr>
      </w:pPr>
      <w:r>
        <w:rPr>
          <w:sz w:val="24"/>
          <w:szCs w:val="24"/>
        </w:rPr>
        <w:t xml:space="preserve">En Colombia se evidencia que la exposición a este tipo de publicidad está asociada con un aumento en el consumo de </w:t>
      </w:r>
      <w:proofErr w:type="spellStart"/>
      <w:r>
        <w:rPr>
          <w:sz w:val="24"/>
          <w:szCs w:val="24"/>
        </w:rPr>
        <w:t>PCBUs</w:t>
      </w:r>
      <w:proofErr w:type="spellEnd"/>
      <w:r w:rsidR="00AE3FC9">
        <w:t xml:space="preserve"> </w:t>
      </w:r>
      <w:r>
        <w:rPr>
          <w:sz w:val="24"/>
          <w:szCs w:val="24"/>
        </w:rPr>
        <w:t xml:space="preserve">y con tendencias crecientes de sobrepeso y </w:t>
      </w:r>
      <w:r>
        <w:rPr>
          <w:sz w:val="24"/>
          <w:szCs w:val="24"/>
        </w:rPr>
        <w:lastRenderedPageBreak/>
        <w:t>obesidad infantil. Estas transformaciones dietéticas implican, en términos estructurales, un retroceso en la garantía del DHANA, al romper el vínculo con prácticas alimentarias saludables, culturalmente pertinentes y basadas en sistemas locales de producción.</w:t>
      </w:r>
    </w:p>
    <w:p w14:paraId="1FA36FDE" w14:textId="1EEC61DC" w:rsidR="000A2FF5" w:rsidRDefault="000A2FF5" w:rsidP="000A2FF5">
      <w:pPr>
        <w:spacing w:before="240" w:line="360" w:lineRule="auto"/>
        <w:jc w:val="both"/>
        <w:rPr>
          <w:sz w:val="24"/>
          <w:szCs w:val="24"/>
        </w:rPr>
      </w:pPr>
      <w:r>
        <w:rPr>
          <w:sz w:val="24"/>
          <w:szCs w:val="24"/>
        </w:rPr>
        <w:t xml:space="preserve">Además, el marketing digital introduce patrones homogéneos de consumo que debilitan la SOBAL, entendida como el derecho de los pueblos a definir sus políticas alimentarias de acuerdo con sus particularidades territoriales, culturales y productivas. La hegemonía de la “dieta corporativa” —basada en </w:t>
      </w:r>
      <w:proofErr w:type="spellStart"/>
      <w:r>
        <w:rPr>
          <w:sz w:val="24"/>
          <w:szCs w:val="24"/>
        </w:rPr>
        <w:t>PCBUs</w:t>
      </w:r>
      <w:proofErr w:type="spellEnd"/>
      <w:r>
        <w:rPr>
          <w:sz w:val="24"/>
          <w:szCs w:val="24"/>
        </w:rPr>
        <w:t xml:space="preserve"> industrializados,</w:t>
      </w:r>
      <w:r w:rsidR="00AE3FC9">
        <w:rPr>
          <w:sz w:val="24"/>
          <w:szCs w:val="24"/>
        </w:rPr>
        <w:t xml:space="preserve"> </w:t>
      </w:r>
      <w:r>
        <w:rPr>
          <w:sz w:val="24"/>
          <w:szCs w:val="24"/>
        </w:rPr>
        <w:t>estandarizados y altamente rentables para la industria— desplaza los alimentos tradicionales, fragmenta los sistemas agroalimentarios comunitarios y erosiona los saberes culinarios propios de las infancias rurales y urbanas populares.</w:t>
      </w:r>
    </w:p>
    <w:p w14:paraId="5C076546" w14:textId="12957F9F" w:rsidR="000A2FF5" w:rsidRDefault="000A2FF5" w:rsidP="000A2FF5">
      <w:pPr>
        <w:spacing w:before="240" w:line="360" w:lineRule="auto"/>
        <w:jc w:val="both"/>
        <w:rPr>
          <w:sz w:val="24"/>
          <w:szCs w:val="24"/>
        </w:rPr>
      </w:pPr>
      <w:r>
        <w:rPr>
          <w:sz w:val="24"/>
          <w:szCs w:val="24"/>
        </w:rPr>
        <w:t xml:space="preserve">Este impacto no ha pasado desapercibido en la agenda internacional. La Organización Mundial de la Salud y el Consejo Noruego del Consumidor han alertado sobre los daños provocados por la mercantilización digital de la infancia y han exhortado a los Estados a adoptar marcos normativos integrales que restrinjan la publicidad de productos no saludables dirigida a </w:t>
      </w:r>
      <w:r w:rsidR="00BB6D8A">
        <w:rPr>
          <w:sz w:val="24"/>
          <w:szCs w:val="24"/>
        </w:rPr>
        <w:t>NNA</w:t>
      </w:r>
      <w:r>
        <w:rPr>
          <w:sz w:val="24"/>
          <w:szCs w:val="24"/>
        </w:rPr>
        <w:t xml:space="preserve">. En ese mismo sentido, la Observación General </w:t>
      </w:r>
      <w:proofErr w:type="spellStart"/>
      <w:r>
        <w:rPr>
          <w:sz w:val="24"/>
          <w:szCs w:val="24"/>
        </w:rPr>
        <w:t>Nº</w:t>
      </w:r>
      <w:proofErr w:type="spellEnd"/>
      <w:r>
        <w:rPr>
          <w:sz w:val="24"/>
          <w:szCs w:val="24"/>
        </w:rPr>
        <w:t xml:space="preserve"> 25 del Comité sobre los Derechos del Niño ha señalado que el entorno digital debe regirse por el principio del interés superior del niño, lo cual implica garantizar una regulación estricta que impida su explotación comercial.</w:t>
      </w:r>
    </w:p>
    <w:p w14:paraId="22C50F2A" w14:textId="7FF67C94" w:rsidR="000A2FF5" w:rsidRDefault="000A2FF5" w:rsidP="000A2FF5">
      <w:pPr>
        <w:spacing w:before="240" w:line="360" w:lineRule="auto"/>
        <w:jc w:val="both"/>
        <w:rPr>
          <w:sz w:val="24"/>
          <w:szCs w:val="24"/>
        </w:rPr>
      </w:pPr>
      <w:r>
        <w:rPr>
          <w:sz w:val="24"/>
          <w:szCs w:val="24"/>
        </w:rPr>
        <w:t xml:space="preserve">A pesar de ello, el Estado colombiano no ha adoptado medidas robustas para limitar el marketing digital de </w:t>
      </w:r>
      <w:proofErr w:type="spellStart"/>
      <w:r>
        <w:rPr>
          <w:sz w:val="24"/>
          <w:szCs w:val="24"/>
        </w:rPr>
        <w:t>PCBUs</w:t>
      </w:r>
      <w:proofErr w:type="spellEnd"/>
      <w:r>
        <w:rPr>
          <w:sz w:val="24"/>
          <w:szCs w:val="24"/>
        </w:rPr>
        <w:t xml:space="preserve"> ni para proteger activamente el DHANA y la SOBAL de </w:t>
      </w:r>
      <w:r w:rsidR="0002528C">
        <w:rPr>
          <w:sz w:val="24"/>
          <w:szCs w:val="24"/>
        </w:rPr>
        <w:t>NNA</w:t>
      </w:r>
      <w:r>
        <w:rPr>
          <w:sz w:val="24"/>
          <w:szCs w:val="24"/>
        </w:rPr>
        <w:t xml:space="preserve">. El vacío regulatorio permite que empresas nacionales y extranjeras recopilen datos de </w:t>
      </w:r>
      <w:r w:rsidR="006350DF">
        <w:rPr>
          <w:sz w:val="24"/>
          <w:szCs w:val="24"/>
        </w:rPr>
        <w:t>NNA</w:t>
      </w:r>
      <w:r>
        <w:rPr>
          <w:sz w:val="24"/>
          <w:szCs w:val="24"/>
        </w:rPr>
        <w:t>, los segmenten y les dirijan mensajes altamente persuasivos que naturalizan el consumo de productos que atentan contra su salud presente y futura.</w:t>
      </w:r>
    </w:p>
    <w:p w14:paraId="7CE384D6" w14:textId="77777777" w:rsidR="000A2FF5" w:rsidRDefault="000A2FF5" w:rsidP="000A2FF5">
      <w:pPr>
        <w:spacing w:before="240" w:line="360" w:lineRule="auto"/>
        <w:jc w:val="both"/>
        <w:rPr>
          <w:sz w:val="24"/>
          <w:szCs w:val="24"/>
        </w:rPr>
      </w:pPr>
      <w:r>
        <w:rPr>
          <w:sz w:val="24"/>
          <w:szCs w:val="24"/>
        </w:rPr>
        <w:t>En consecuencia, la inacción estatal frente a esta forma de marketing digital no solo vulnera derechos fundamentales, sino que perpetúa un modelo alimentario basado en la desigualdad, el consumo impuesto y la subordinación tecnológica. Es imprescindible que Colombia avance hacia un marco normativo que proteja integralmente a las infancias del bombardeo publicitario digital y garantice el acceso a una alimentación sana, sostenible y soberana.</w:t>
      </w:r>
    </w:p>
    <w:p w14:paraId="05FE4E1E" w14:textId="7C7025AA" w:rsidR="00F36C2E" w:rsidRPr="00F36C2E" w:rsidRDefault="00F36C2E" w:rsidP="00F36C2E">
      <w:pPr>
        <w:pStyle w:val="Heading2"/>
        <w:spacing w:line="360" w:lineRule="auto"/>
      </w:pPr>
      <w:bookmarkStart w:id="22" w:name="_Toc216258199"/>
      <w:r w:rsidRPr="00F36C2E">
        <w:lastRenderedPageBreak/>
        <w:t xml:space="preserve">Obligaciones del Estado y vacíos normativos: hacia una regulación efectiva del marketing digital </w:t>
      </w:r>
      <w:r w:rsidR="006350DF">
        <w:t xml:space="preserve">de </w:t>
      </w:r>
      <w:proofErr w:type="spellStart"/>
      <w:r w:rsidR="006350DF">
        <w:t>PCBUs</w:t>
      </w:r>
      <w:bookmarkEnd w:id="22"/>
      <w:proofErr w:type="spellEnd"/>
    </w:p>
    <w:p w14:paraId="2E268287" w14:textId="358C0347" w:rsidR="000A2FF5" w:rsidRDefault="000A2FF5" w:rsidP="000A2FF5">
      <w:pPr>
        <w:spacing w:before="240" w:line="360" w:lineRule="auto"/>
        <w:jc w:val="both"/>
        <w:rPr>
          <w:sz w:val="24"/>
          <w:szCs w:val="24"/>
        </w:rPr>
      </w:pPr>
      <w:r>
        <w:rPr>
          <w:sz w:val="24"/>
          <w:szCs w:val="24"/>
        </w:rPr>
        <w:t xml:space="preserve">El Estado colombiano tiene la obligación jurídica, ética y política de garantizar </w:t>
      </w:r>
      <w:r w:rsidR="00BE08A0">
        <w:rPr>
          <w:sz w:val="24"/>
          <w:szCs w:val="24"/>
        </w:rPr>
        <w:t xml:space="preserve">la protección y desarrollo integral </w:t>
      </w:r>
      <w:r>
        <w:rPr>
          <w:sz w:val="24"/>
          <w:szCs w:val="24"/>
        </w:rPr>
        <w:t xml:space="preserve">de </w:t>
      </w:r>
      <w:r w:rsidR="00494693">
        <w:rPr>
          <w:sz w:val="24"/>
          <w:szCs w:val="24"/>
        </w:rPr>
        <w:t>niñas, niños y adolescentes</w:t>
      </w:r>
      <w:r w:rsidR="00BE08A0" w:rsidRPr="00BE08A0">
        <w:t xml:space="preserve"> </w:t>
      </w:r>
      <w:r w:rsidR="00BE08A0" w:rsidRPr="00BE08A0">
        <w:rPr>
          <w:sz w:val="24"/>
          <w:szCs w:val="24"/>
        </w:rPr>
        <w:t>entre la que se incluye la garantía de derechos fundamentales incluidos el Derecho Humano a la Alimentación Adecuada (DHANA)</w:t>
      </w:r>
      <w:r>
        <w:rPr>
          <w:sz w:val="24"/>
          <w:szCs w:val="24"/>
        </w:rPr>
        <w:t xml:space="preserve">, la Soberanía Alimentaria (SOBAL) y la protección frente a toda forma de explotación comercial. Esta responsabilidad adquiere especial urgencia ante el avance de estrategias de marketing digital que, mediante la recolección de datos personales y técnicas de segmentación algorítmica, promueven el consumo de productos comestibles y bebibles </w:t>
      </w:r>
      <w:proofErr w:type="spellStart"/>
      <w:r>
        <w:rPr>
          <w:sz w:val="24"/>
          <w:szCs w:val="24"/>
        </w:rPr>
        <w:t>ultraprocesados</w:t>
      </w:r>
      <w:proofErr w:type="spellEnd"/>
      <w:r>
        <w:rPr>
          <w:sz w:val="24"/>
          <w:szCs w:val="24"/>
        </w:rPr>
        <w:t xml:space="preserve"> (</w:t>
      </w:r>
      <w:proofErr w:type="spellStart"/>
      <w:r>
        <w:rPr>
          <w:sz w:val="24"/>
          <w:szCs w:val="24"/>
        </w:rPr>
        <w:t>PCBUs</w:t>
      </w:r>
      <w:proofErr w:type="spellEnd"/>
      <w:r>
        <w:rPr>
          <w:sz w:val="24"/>
          <w:szCs w:val="24"/>
        </w:rPr>
        <w:t>), vulnerando directamente estos derechos.</w:t>
      </w:r>
    </w:p>
    <w:p w14:paraId="166A308A" w14:textId="2FF5D7B8" w:rsidR="000A2FF5" w:rsidRDefault="000A2FF5" w:rsidP="000A2FF5">
      <w:pPr>
        <w:spacing w:before="240" w:line="360" w:lineRule="auto"/>
        <w:jc w:val="both"/>
        <w:rPr>
          <w:sz w:val="24"/>
          <w:szCs w:val="24"/>
        </w:rPr>
      </w:pPr>
      <w:r>
        <w:rPr>
          <w:sz w:val="24"/>
          <w:szCs w:val="24"/>
        </w:rPr>
        <w:t xml:space="preserve">El marco normativo nacional establece límites explícitos al tratamiento de datos personales de </w:t>
      </w:r>
      <w:r w:rsidR="00521EDA">
        <w:rPr>
          <w:sz w:val="24"/>
          <w:szCs w:val="24"/>
        </w:rPr>
        <w:t>NNA</w:t>
      </w:r>
      <w:r>
        <w:rPr>
          <w:sz w:val="24"/>
          <w:szCs w:val="24"/>
        </w:rPr>
        <w:t>. La Ley Estatutaria 1581 de 2012 y su decreto reglamentario prohíben el uso de datos personales de NNA, salvo cuando este responda al interés superior del niño y respete sus derechos fundamentales. Sin embargo, en la práctica, este principio ha sido interpretado de manera ambigua y su aplicación es débil frente a los avances tecnológicos y comerciales del marketing digital.</w:t>
      </w:r>
    </w:p>
    <w:p w14:paraId="02D4DA28" w14:textId="14ABD6DF" w:rsidR="000A2FF5" w:rsidRDefault="000A2FF5" w:rsidP="000A2FF5">
      <w:pPr>
        <w:spacing w:before="240" w:line="360" w:lineRule="auto"/>
        <w:jc w:val="both"/>
        <w:rPr>
          <w:sz w:val="24"/>
          <w:szCs w:val="24"/>
        </w:rPr>
      </w:pPr>
      <w:r>
        <w:rPr>
          <w:sz w:val="24"/>
          <w:szCs w:val="24"/>
        </w:rPr>
        <w:t xml:space="preserve">La jurisprudencia constitucional (Sentencia C-748 de 2011) ha establecido que el tratamiento de datos de NNA debe cumplir condiciones excepcionales, incluyendo la participación informada según el nivel de madurez, el respeto de sus derechos y el cumplimiento de principios de legalidad, finalidad, necesidad y proporcionalidad. No obstante, la ausencia de un marco regulatorio específico sobre el uso de datos para fines publicitarios dirigidos a </w:t>
      </w:r>
      <w:r w:rsidR="00BE08A0">
        <w:rPr>
          <w:sz w:val="24"/>
          <w:szCs w:val="24"/>
        </w:rPr>
        <w:t>NNA</w:t>
      </w:r>
      <w:r>
        <w:rPr>
          <w:sz w:val="24"/>
          <w:szCs w:val="24"/>
        </w:rPr>
        <w:t xml:space="preserve"> permite que empresas —incluidas multinacionales que operan sin sede legal en el país— se escuden en vacíos legales para continuar con prácticas comerciales intrusivas y nocivas.</w:t>
      </w:r>
    </w:p>
    <w:p w14:paraId="3AC1D09A" w14:textId="77777777" w:rsidR="000A2FF5" w:rsidRDefault="000A2FF5" w:rsidP="000A2FF5">
      <w:pPr>
        <w:spacing w:before="240" w:line="360" w:lineRule="auto"/>
        <w:jc w:val="both"/>
        <w:rPr>
          <w:sz w:val="24"/>
          <w:szCs w:val="24"/>
        </w:rPr>
      </w:pPr>
      <w:r>
        <w:rPr>
          <w:sz w:val="24"/>
          <w:szCs w:val="24"/>
        </w:rPr>
        <w:t xml:space="preserve">En este contexto, el Estado colombiano no ha adoptado una política pública integral para enfrentar la expansión del marketing digital alimentario. Tampoco ha establecido mecanismos eficaces de vigilancia ni sanciones frente a la utilización indebida de datos personales de NNA por parte de empresas que comercializan </w:t>
      </w:r>
      <w:proofErr w:type="spellStart"/>
      <w:r>
        <w:rPr>
          <w:sz w:val="24"/>
          <w:szCs w:val="24"/>
        </w:rPr>
        <w:t>PCBUs</w:t>
      </w:r>
      <w:proofErr w:type="spellEnd"/>
      <w:r>
        <w:rPr>
          <w:sz w:val="24"/>
          <w:szCs w:val="24"/>
        </w:rPr>
        <w:t xml:space="preserve">. Esta omisión </w:t>
      </w:r>
      <w:r>
        <w:rPr>
          <w:sz w:val="24"/>
          <w:szCs w:val="24"/>
        </w:rPr>
        <w:lastRenderedPageBreak/>
        <w:t>configura una vulneración sistemática del DHANA y de la SOBAL, y pone en entredicho el cumplimiento de los compromisos internacionales asumidos por Colombia en el marco de la Convención sobre los Derechos del Niño y de la Agenda 2030. Frente a esta situación, es imperativo que el Estado adopte una serie de medidas regulatorias urgentes</w:t>
      </w:r>
    </w:p>
    <w:p w14:paraId="386C73E6" w14:textId="101A3B28" w:rsidR="000A2FF5" w:rsidRDefault="000A2FF5" w:rsidP="000A2FF5">
      <w:pPr>
        <w:spacing w:before="240" w:line="360" w:lineRule="auto"/>
        <w:jc w:val="both"/>
        <w:rPr>
          <w:sz w:val="24"/>
          <w:szCs w:val="24"/>
        </w:rPr>
      </w:pPr>
      <w:r>
        <w:rPr>
          <w:sz w:val="24"/>
          <w:szCs w:val="24"/>
        </w:rPr>
        <w:t xml:space="preserve">En suma, la inacción normativa y la debilidad institucional frente al marketing digital </w:t>
      </w:r>
      <w:sdt>
        <w:sdtPr>
          <w:tag w:val="goog_rdk_22"/>
          <w:id w:val="1788075310"/>
        </w:sdtPr>
        <w:sdtEndPr/>
        <w:sdtContent>
          <w:r>
            <w:rPr>
              <w:sz w:val="24"/>
              <w:szCs w:val="24"/>
            </w:rPr>
            <w:t xml:space="preserve">de </w:t>
          </w:r>
          <w:proofErr w:type="spellStart"/>
          <w:r>
            <w:rPr>
              <w:sz w:val="24"/>
              <w:szCs w:val="24"/>
            </w:rPr>
            <w:t>PCBUs</w:t>
          </w:r>
          <w:proofErr w:type="spellEnd"/>
        </w:sdtContent>
      </w:sdt>
      <w:r w:rsidR="00AE3FC9">
        <w:t xml:space="preserve"> </w:t>
      </w:r>
      <w:r>
        <w:rPr>
          <w:sz w:val="24"/>
          <w:szCs w:val="24"/>
        </w:rPr>
        <w:t xml:space="preserve">no son simples omisiones técnicas, sino manifestaciones de una negligencia estructural que expone a </w:t>
      </w:r>
      <w:r w:rsidR="00BE08A0">
        <w:rPr>
          <w:sz w:val="24"/>
          <w:szCs w:val="24"/>
        </w:rPr>
        <w:t>NNA</w:t>
      </w:r>
      <w:r>
        <w:rPr>
          <w:sz w:val="24"/>
          <w:szCs w:val="24"/>
        </w:rPr>
        <w:t xml:space="preserve"> a dinámicas comerciales abusivas. Asegurar la protección integral de NNA en el entorno digital implica asumir que </w:t>
      </w:r>
      <w:r w:rsidR="00BE08A0">
        <w:rPr>
          <w:sz w:val="24"/>
          <w:szCs w:val="24"/>
        </w:rPr>
        <w:t>la publicidad</w:t>
      </w:r>
      <w:r>
        <w:rPr>
          <w:sz w:val="24"/>
          <w:szCs w:val="24"/>
        </w:rPr>
        <w:t xml:space="preserve"> de </w:t>
      </w:r>
      <w:proofErr w:type="spellStart"/>
      <w:r>
        <w:rPr>
          <w:sz w:val="24"/>
          <w:szCs w:val="24"/>
        </w:rPr>
        <w:t>PCBUs</w:t>
      </w:r>
      <w:proofErr w:type="spellEnd"/>
      <w:r>
        <w:rPr>
          <w:sz w:val="24"/>
          <w:szCs w:val="24"/>
        </w:rPr>
        <w:t xml:space="preserve"> no solo afecta su salud física, sino que atenta contra su dignidad, autonomía y desarrollo. Regularla con decisión y perspectiva de derechos es una deuda inaplazable del Estado colombiano.</w:t>
      </w:r>
    </w:p>
    <w:p w14:paraId="1A1FAD86" w14:textId="02ACA89E" w:rsidR="002B053E" w:rsidRPr="002B053E" w:rsidRDefault="002B053E" w:rsidP="002B053E">
      <w:pPr>
        <w:pStyle w:val="Heading1"/>
        <w:spacing w:line="360" w:lineRule="auto"/>
      </w:pPr>
      <w:bookmarkStart w:id="23" w:name="_Toc216258200"/>
      <w:r w:rsidRPr="002B053E">
        <w:t>Convergencias estructurales: el entorno digital como espacio de vulneración de derechos</w:t>
      </w:r>
      <w:bookmarkEnd w:id="23"/>
    </w:p>
    <w:p w14:paraId="43491D98" w14:textId="38DDB880" w:rsidR="00954810" w:rsidRDefault="00954810" w:rsidP="00954810">
      <w:pPr>
        <w:spacing w:before="240" w:line="360" w:lineRule="auto"/>
        <w:jc w:val="both"/>
        <w:rPr>
          <w:sz w:val="24"/>
          <w:szCs w:val="24"/>
        </w:rPr>
      </w:pPr>
      <w:r>
        <w:rPr>
          <w:sz w:val="24"/>
          <w:szCs w:val="24"/>
        </w:rPr>
        <w:t xml:space="preserve">A lo largo de los tres ejes temáticos desarrollados —reclutamiento, uso y utilización de NNA en el conflicto armado; acceso y circulación de armas; y marketing digital de productos comestibles y bebibles ultraprocesados— se evidencia un patrón común alarmante: el papel central que cumplen las plataformas digitales, redes sociales y entornos virtuales en la reproducción y agravamiento de las </w:t>
      </w:r>
      <w:r w:rsidR="00BE08A0">
        <w:rPr>
          <w:sz w:val="24"/>
          <w:szCs w:val="24"/>
        </w:rPr>
        <w:t>amenazas, vulneraciones y violencias</w:t>
      </w:r>
      <w:r>
        <w:rPr>
          <w:sz w:val="24"/>
          <w:szCs w:val="24"/>
        </w:rPr>
        <w:t xml:space="preserve"> que afectan a </w:t>
      </w:r>
      <w:r w:rsidR="00BE08A0">
        <w:rPr>
          <w:sz w:val="24"/>
          <w:szCs w:val="24"/>
        </w:rPr>
        <w:t xml:space="preserve">NNA </w:t>
      </w:r>
      <w:r>
        <w:rPr>
          <w:sz w:val="24"/>
          <w:szCs w:val="24"/>
        </w:rPr>
        <w:t>en Colombia.</w:t>
      </w:r>
    </w:p>
    <w:p w14:paraId="00E5B784" w14:textId="77777777" w:rsidR="00E97A33" w:rsidRDefault="00954810" w:rsidP="00954810">
      <w:pPr>
        <w:spacing w:before="240" w:line="360" w:lineRule="auto"/>
        <w:jc w:val="both"/>
        <w:rPr>
          <w:sz w:val="24"/>
          <w:szCs w:val="24"/>
        </w:rPr>
      </w:pPr>
      <w:r>
        <w:rPr>
          <w:sz w:val="24"/>
          <w:szCs w:val="24"/>
        </w:rPr>
        <w:t xml:space="preserve">Lejos de ser escenarios neutros o meramente recreativos, los </w:t>
      </w:r>
      <w:r w:rsidR="0088060D">
        <w:rPr>
          <w:sz w:val="24"/>
          <w:szCs w:val="24"/>
        </w:rPr>
        <w:t>entornos</w:t>
      </w:r>
      <w:r>
        <w:rPr>
          <w:sz w:val="24"/>
          <w:szCs w:val="24"/>
        </w:rPr>
        <w:t xml:space="preserve"> digitales se han convertido en dispositivos funcionales para prácticas que vulneran gravemente los derechos humanos de NNA. En el eje del conflicto armado, las redes sociales y plataformas son utilizadas por grupos armados ilegales como mecanismos de captación, adoctrinamiento, control emocional y reclutamiento de NNA, mediante promesas, vínculos afectivos simulados o manipulación psicológica. </w:t>
      </w:r>
    </w:p>
    <w:p w14:paraId="56910F05" w14:textId="6CB747E5" w:rsidR="00E97A33" w:rsidRDefault="006121AF" w:rsidP="00954810">
      <w:pPr>
        <w:spacing w:before="240" w:line="360" w:lineRule="auto"/>
        <w:jc w:val="both"/>
        <w:rPr>
          <w:sz w:val="24"/>
          <w:szCs w:val="24"/>
        </w:rPr>
      </w:pPr>
      <w:r w:rsidRPr="006121AF">
        <w:rPr>
          <w:sz w:val="24"/>
          <w:szCs w:val="24"/>
        </w:rPr>
        <w:t xml:space="preserve">En el ámbito de las armas, estas plataformas operan como canales de comercialización ilegal y de naturalización del porte de armas entre adolescentes, especialmente en contextos de exclusión y criminalización. En el eje de la alimentación, las grandes </w:t>
      </w:r>
      <w:r w:rsidRPr="006121AF">
        <w:rPr>
          <w:sz w:val="24"/>
          <w:szCs w:val="24"/>
        </w:rPr>
        <w:lastRenderedPageBreak/>
        <w:t xml:space="preserve">corporaciones despliegan campañas de marketing digital dirigidas a </w:t>
      </w:r>
      <w:r>
        <w:rPr>
          <w:sz w:val="24"/>
          <w:szCs w:val="24"/>
        </w:rPr>
        <w:t>NNA</w:t>
      </w:r>
      <w:r w:rsidRPr="006121AF">
        <w:rPr>
          <w:sz w:val="24"/>
          <w:szCs w:val="24"/>
        </w:rPr>
        <w:t xml:space="preserve">, explotando sus datos personales, diseñando contenidos </w:t>
      </w:r>
      <w:proofErr w:type="spellStart"/>
      <w:r w:rsidRPr="006121AF">
        <w:rPr>
          <w:sz w:val="24"/>
          <w:szCs w:val="24"/>
        </w:rPr>
        <w:t>hiperpersuasivos</w:t>
      </w:r>
      <w:proofErr w:type="spellEnd"/>
      <w:r w:rsidRPr="006121AF">
        <w:rPr>
          <w:sz w:val="24"/>
          <w:szCs w:val="24"/>
        </w:rPr>
        <w:t xml:space="preserve"> y promoviendo el consumo de productos ultraprocesados que afectan su salud, su autonomía y su soberanía alimentaria. Todo ello se ve agravado por la captura corporativa del Estado, mediante la cual intereses económicos interfieren en la toma de decisiones públicas y vulneran de manera directa los derechos de </w:t>
      </w:r>
      <w:r>
        <w:rPr>
          <w:sz w:val="24"/>
          <w:szCs w:val="24"/>
        </w:rPr>
        <w:t>NNA</w:t>
      </w:r>
      <w:r w:rsidRPr="006121AF">
        <w:rPr>
          <w:sz w:val="24"/>
          <w:szCs w:val="24"/>
        </w:rPr>
        <w:t>.</w:t>
      </w:r>
    </w:p>
    <w:p w14:paraId="470A70D1" w14:textId="77777777" w:rsidR="00E97A33" w:rsidRDefault="00954810" w:rsidP="00E97A33">
      <w:pPr>
        <w:spacing w:before="240" w:line="360" w:lineRule="auto"/>
        <w:jc w:val="both"/>
        <w:rPr>
          <w:sz w:val="24"/>
          <w:szCs w:val="24"/>
        </w:rPr>
      </w:pPr>
      <w:r>
        <w:rPr>
          <w:sz w:val="24"/>
          <w:szCs w:val="24"/>
        </w:rPr>
        <w:t xml:space="preserve">Esta convergencia revela que los entornos digitales, además de mediar las violencias, las amplifican, sofistican y ocultan bajo narrativas de entretenimiento, conectividad o “libre mercado”. </w:t>
      </w:r>
    </w:p>
    <w:p w14:paraId="1B343018" w14:textId="419688C9" w:rsidR="00E97A33" w:rsidRDefault="00954810" w:rsidP="00E97A33">
      <w:pPr>
        <w:spacing w:before="240" w:line="360" w:lineRule="auto"/>
        <w:jc w:val="both"/>
        <w:rPr>
          <w:sz w:val="24"/>
          <w:szCs w:val="24"/>
        </w:rPr>
      </w:pPr>
      <w:r>
        <w:rPr>
          <w:sz w:val="24"/>
          <w:szCs w:val="24"/>
        </w:rPr>
        <w:t xml:space="preserve">En este sentido, la desprotección digital de NNA es un problema estructural que atraviesa el conjunto de las políticas públicas, y cuya respuesta requiere una regulación coherente, un enfoque de derechos integral y una voluntad política decidida. Cualquier esfuerzo de prevención, reparación o garantía de derechos para NNA en Colombia que ignore la dimensión digital de estas vulneraciones estará condenado a la ineficacia. </w:t>
      </w:r>
    </w:p>
    <w:p w14:paraId="592F1B18" w14:textId="7526AECA" w:rsidR="004F09DB" w:rsidRPr="001043EF" w:rsidRDefault="001043EF" w:rsidP="001043EF">
      <w:pPr>
        <w:pStyle w:val="Heading1"/>
      </w:pPr>
      <w:bookmarkStart w:id="24" w:name="_Toc216258201"/>
      <w:r w:rsidRPr="001043EF">
        <w:t>RECOMENDACIONES</w:t>
      </w:r>
      <w:r w:rsidR="008707EC">
        <w:t xml:space="preserve"> AL ESTADO COLOMBIANO</w:t>
      </w:r>
      <w:bookmarkEnd w:id="24"/>
    </w:p>
    <w:p w14:paraId="5AE5861B" w14:textId="77777777" w:rsidR="00FB2FFF" w:rsidRPr="00FB2FFF" w:rsidRDefault="00FB2FFF" w:rsidP="00FB2FFF">
      <w:pPr>
        <w:spacing w:before="240" w:line="360" w:lineRule="auto"/>
        <w:jc w:val="both"/>
        <w:rPr>
          <w:b/>
          <w:bCs/>
          <w:sz w:val="24"/>
          <w:szCs w:val="24"/>
        </w:rPr>
      </w:pPr>
      <w:r w:rsidRPr="00FB2FFF">
        <w:rPr>
          <w:b/>
          <w:bCs/>
          <w:sz w:val="24"/>
          <w:szCs w:val="24"/>
        </w:rPr>
        <w:t>Eje 1: Niñez, conflicto armado y omisión estatal</w:t>
      </w:r>
    </w:p>
    <w:p w14:paraId="3256A123" w14:textId="474CB8FC" w:rsidR="00FB2FFF" w:rsidRPr="00FB2FFF" w:rsidRDefault="007B6DBA" w:rsidP="007B6DBA">
      <w:pPr>
        <w:numPr>
          <w:ilvl w:val="0"/>
          <w:numId w:val="26"/>
        </w:numPr>
        <w:spacing w:before="240" w:line="360" w:lineRule="auto"/>
        <w:jc w:val="both"/>
        <w:rPr>
          <w:sz w:val="24"/>
          <w:szCs w:val="24"/>
        </w:rPr>
      </w:pPr>
      <w:r>
        <w:rPr>
          <w:sz w:val="24"/>
          <w:szCs w:val="24"/>
        </w:rPr>
        <w:t xml:space="preserve">Avanzar en la implementación de la </w:t>
      </w:r>
      <w:r w:rsidRPr="007B6DBA">
        <w:rPr>
          <w:sz w:val="24"/>
          <w:szCs w:val="24"/>
        </w:rPr>
        <w:t>política pública de prevención de reclutamiento utilización y uso</w:t>
      </w:r>
      <w:r>
        <w:rPr>
          <w:sz w:val="24"/>
          <w:szCs w:val="24"/>
        </w:rPr>
        <w:t xml:space="preserve">, de manera </w:t>
      </w:r>
      <w:r w:rsidR="00FB2FFF" w:rsidRPr="00FB2FFF">
        <w:rPr>
          <w:sz w:val="24"/>
          <w:szCs w:val="24"/>
        </w:rPr>
        <w:t>integral, interseccional y con enfoque territorial para la prevención del reclutamiento</w:t>
      </w:r>
      <w:r w:rsidR="00F12715">
        <w:rPr>
          <w:sz w:val="24"/>
          <w:szCs w:val="24"/>
        </w:rPr>
        <w:t xml:space="preserve"> de NNA</w:t>
      </w:r>
      <w:r w:rsidR="00FB2FFF" w:rsidRPr="00FB2FFF">
        <w:rPr>
          <w:sz w:val="24"/>
          <w:szCs w:val="24"/>
        </w:rPr>
        <w:t>, que supere la lógica reactiva de las alertas tempranas y se construya con participación de las comunidades afectadas.</w:t>
      </w:r>
    </w:p>
    <w:p w14:paraId="407081B3"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Fortalecer los mecanismos de atención y reintegración para NNA desvinculados, con garantías reales de reparación integral, rutas diferenciadas para pueblos indígenas y afrodescendientes, y seguimiento psicosocial sostenido.</w:t>
      </w:r>
    </w:p>
    <w:p w14:paraId="372C7C88"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Prohibir de forma efectiva la participación directa o encubierta de la Fuerza Pública en actividades que involucren a la niñez en contextos de conflicto armado, y garantizar la conducción civil en todas las acciones estatales en zonas de riesgo.</w:t>
      </w:r>
    </w:p>
    <w:p w14:paraId="0F4211A5" w14:textId="77777777" w:rsidR="00FB2FFF" w:rsidRPr="00FB2FFF" w:rsidRDefault="00FB2FFF" w:rsidP="00D839FA">
      <w:pPr>
        <w:spacing w:before="240" w:line="360" w:lineRule="auto"/>
        <w:jc w:val="both"/>
        <w:rPr>
          <w:b/>
          <w:bCs/>
          <w:sz w:val="24"/>
          <w:szCs w:val="24"/>
        </w:rPr>
      </w:pPr>
      <w:r w:rsidRPr="00FB2FFF">
        <w:rPr>
          <w:b/>
          <w:bCs/>
          <w:sz w:val="24"/>
          <w:szCs w:val="24"/>
        </w:rPr>
        <w:lastRenderedPageBreak/>
        <w:t>Eje 2: Niñez, armas y violencia institucional</w:t>
      </w:r>
    </w:p>
    <w:p w14:paraId="74AB98D7"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Implementar un sistema robusto de monitoreo, prevención y control del acceso de NNA a armas de fuego, que incluya medidas para combatir el tráfico ilícito y rastrear las rutas de circulación en los territorios.</w:t>
      </w:r>
    </w:p>
    <w:p w14:paraId="76136F41"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Establecer una prohibición estricta del apoyo, directo o indirecto, a empresas vinculadas al comercio ilegal de armas que hayan contribuido a violaciones de derechos humanos en el país.</w:t>
      </w:r>
    </w:p>
    <w:p w14:paraId="62A01A41"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Rechazar cualquier intento de reforma legal que reduzca la edad de responsabilidad penal para adolescentes o flexibilice el porte de armas entre civiles, por contradecir estándares internacionales de protección de la niñez.</w:t>
      </w:r>
    </w:p>
    <w:p w14:paraId="59860C11" w14:textId="77777777" w:rsidR="00FB2FFF" w:rsidRPr="00FB2FFF" w:rsidRDefault="00FB2FFF" w:rsidP="0010447F">
      <w:pPr>
        <w:spacing w:before="240" w:line="360" w:lineRule="auto"/>
        <w:jc w:val="both"/>
        <w:rPr>
          <w:b/>
          <w:bCs/>
          <w:sz w:val="24"/>
          <w:szCs w:val="24"/>
        </w:rPr>
      </w:pPr>
      <w:r w:rsidRPr="00FB2FFF">
        <w:rPr>
          <w:b/>
          <w:bCs/>
          <w:sz w:val="24"/>
          <w:szCs w:val="24"/>
        </w:rPr>
        <w:t>Eje 3: Niñez, marketing digital y derecho a la alimentación</w:t>
      </w:r>
    </w:p>
    <w:p w14:paraId="0689BB20"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 xml:space="preserve">Regular el marketing digital de productos comestibles y bebibles </w:t>
      </w:r>
      <w:proofErr w:type="spellStart"/>
      <w:r w:rsidRPr="00FB2FFF">
        <w:rPr>
          <w:sz w:val="24"/>
          <w:szCs w:val="24"/>
        </w:rPr>
        <w:t>ultraprocesados</w:t>
      </w:r>
      <w:proofErr w:type="spellEnd"/>
      <w:r w:rsidRPr="00FB2FFF">
        <w:rPr>
          <w:sz w:val="24"/>
          <w:szCs w:val="24"/>
        </w:rPr>
        <w:t xml:space="preserve"> (</w:t>
      </w:r>
      <w:proofErr w:type="spellStart"/>
      <w:r w:rsidRPr="00FB2FFF">
        <w:rPr>
          <w:sz w:val="24"/>
          <w:szCs w:val="24"/>
        </w:rPr>
        <w:t>PCBUs</w:t>
      </w:r>
      <w:proofErr w:type="spellEnd"/>
      <w:r w:rsidRPr="00FB2FFF">
        <w:rPr>
          <w:sz w:val="24"/>
          <w:szCs w:val="24"/>
        </w:rPr>
        <w:t>) dirigido a NNA, incluyendo la prohibición del tratamiento de sus datos personales con fines publicitarios, en coherencia con el interés superior del niño.</w:t>
      </w:r>
    </w:p>
    <w:p w14:paraId="6CDC7105"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Establecer marcos normativos que restrinjan la publicidad de alimentos no saludables en plataformas digitales, en consonancia con las recomendaciones de la OMS y otros organismos internacionales.</w:t>
      </w:r>
    </w:p>
    <w:p w14:paraId="5FE8C812"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Fortalecer políticas públicas que promuevan la alimentación saludable, la educación alimentaria crítica y la soberanía alimentaria, priorizando el consumo de alimentos reales y locales frente a la dieta corporativa impuesta por la industria.</w:t>
      </w:r>
    </w:p>
    <w:p w14:paraId="0050531A"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Formular e implementar una estrategia nacional para la protección de NNA en entornos digitales, que articule acciones entre el sistema de protección infantil, las autoridades regulatorias, el sector educativo y las plataformas tecnológicas.</w:t>
      </w:r>
    </w:p>
    <w:p w14:paraId="2490C9E3"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 xml:space="preserve">Exigir a empresas tecnológicas y publicitarias —nacionales y extranjeras— el cumplimiento de los principios de protección de datos personales de NNA, </w:t>
      </w:r>
      <w:r w:rsidRPr="00FB2FFF">
        <w:rPr>
          <w:sz w:val="24"/>
          <w:szCs w:val="24"/>
        </w:rPr>
        <w:lastRenderedPageBreak/>
        <w:t>estableciendo sanciones por el uso indebido de su información con fines comerciales o de captación ilegal.</w:t>
      </w:r>
    </w:p>
    <w:p w14:paraId="619DE135"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Incorporar de manera transversal el enfoque digital en las políticas de prevención de violencias contra NNA, reconociendo que los entornos virtuales son hoy escenarios críticos de vulneración de derechos y requieren respuesta estatal urgente.</w:t>
      </w:r>
    </w:p>
    <w:p w14:paraId="00D58B05" w14:textId="2E9BF38C" w:rsidR="00FB2FFF" w:rsidRPr="00FB2FFF" w:rsidRDefault="00FB2FFF" w:rsidP="00FB2FFF">
      <w:pPr>
        <w:numPr>
          <w:ilvl w:val="0"/>
          <w:numId w:val="26"/>
        </w:numPr>
        <w:spacing w:before="240" w:line="360" w:lineRule="auto"/>
        <w:jc w:val="both"/>
        <w:rPr>
          <w:sz w:val="24"/>
          <w:szCs w:val="24"/>
        </w:rPr>
      </w:pPr>
      <w:r w:rsidRPr="00FB2FFF">
        <w:rPr>
          <w:sz w:val="24"/>
          <w:szCs w:val="24"/>
        </w:rPr>
        <w:t xml:space="preserve">Promulgar una normativa específica que prohíba de forma expresa el uso de datos personales de </w:t>
      </w:r>
      <w:r w:rsidR="003E07FA">
        <w:rPr>
          <w:sz w:val="24"/>
          <w:szCs w:val="24"/>
        </w:rPr>
        <w:t>niñas, niños y adolescentes</w:t>
      </w:r>
      <w:r w:rsidRPr="00FB2FFF">
        <w:rPr>
          <w:sz w:val="24"/>
          <w:szCs w:val="24"/>
        </w:rPr>
        <w:t xml:space="preserve"> con fines comerciales en el entorno digital, especialmente para la publicidad de productos ultraprocesados.</w:t>
      </w:r>
    </w:p>
    <w:p w14:paraId="1B42ED59"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Establecer una autoridad independiente encargada de supervisar el cumplimiento de estas normas, con capacidad para imponer sanciones a empresas infractoras, incluidas las transnacionales sin sede en Colombia.</w:t>
      </w:r>
    </w:p>
    <w:p w14:paraId="71984174"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Desarrollar campañas de alfabetización digital crítica dirigidas a niños, niñas y adolescentes, educadores y familias, para visibilizar los riesgos del marketing digital y promover hábitos alimentarios saludables.</w:t>
      </w:r>
    </w:p>
    <w:p w14:paraId="7913E77A" w14:textId="77777777" w:rsidR="00FB2FFF" w:rsidRPr="00FB2FFF" w:rsidRDefault="00FB2FFF" w:rsidP="00FB2FFF">
      <w:pPr>
        <w:numPr>
          <w:ilvl w:val="0"/>
          <w:numId w:val="26"/>
        </w:numPr>
        <w:spacing w:before="240" w:line="360" w:lineRule="auto"/>
        <w:jc w:val="both"/>
        <w:rPr>
          <w:sz w:val="24"/>
          <w:szCs w:val="24"/>
        </w:rPr>
      </w:pPr>
      <w:r w:rsidRPr="00FB2FFF">
        <w:rPr>
          <w:sz w:val="24"/>
          <w:szCs w:val="24"/>
        </w:rPr>
        <w:t>Incorporar el enfoque de derechos y la protección del interés superior del niño en todas las políticas públicas relacionadas con alimentación, tecnología, comunicaciones y publicidad.</w:t>
      </w:r>
    </w:p>
    <w:p w14:paraId="0DE22016" w14:textId="5E3C7A78" w:rsidR="00BB7379" w:rsidRPr="00FB2FFF" w:rsidRDefault="00FB2FFF" w:rsidP="00FB2FFF">
      <w:pPr>
        <w:numPr>
          <w:ilvl w:val="0"/>
          <w:numId w:val="26"/>
        </w:numPr>
        <w:spacing w:before="240" w:line="360" w:lineRule="auto"/>
        <w:jc w:val="both"/>
        <w:rPr>
          <w:sz w:val="24"/>
          <w:szCs w:val="24"/>
        </w:rPr>
      </w:pPr>
      <w:r w:rsidRPr="00FB2FFF">
        <w:rPr>
          <w:sz w:val="24"/>
          <w:szCs w:val="24"/>
        </w:rPr>
        <w:t xml:space="preserve">Garantizar que las plataformas digitales, redes sociales y empresas tecnológicas establezcan filtros y mecanismos de control que impidan la exposición de </w:t>
      </w:r>
      <w:r w:rsidR="003E6B5E">
        <w:rPr>
          <w:sz w:val="24"/>
          <w:szCs w:val="24"/>
        </w:rPr>
        <w:t>niñas, niños y adolescentes</w:t>
      </w:r>
      <w:r w:rsidRPr="00FB2FFF">
        <w:rPr>
          <w:sz w:val="24"/>
          <w:szCs w:val="24"/>
        </w:rPr>
        <w:t xml:space="preserve"> a contenidos nocivos o dirigidos a la promoción de </w:t>
      </w:r>
      <w:proofErr w:type="spellStart"/>
      <w:r w:rsidRPr="00FB2FFF">
        <w:rPr>
          <w:sz w:val="24"/>
          <w:szCs w:val="24"/>
        </w:rPr>
        <w:t>PCBUs</w:t>
      </w:r>
      <w:proofErr w:type="spellEnd"/>
      <w:r w:rsidRPr="00FB2FFF">
        <w:rPr>
          <w:sz w:val="24"/>
          <w:szCs w:val="24"/>
        </w:rPr>
        <w:t>.</w:t>
      </w:r>
    </w:p>
    <w:sectPr w:rsidR="00BB7379" w:rsidRPr="00FB2FF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2367C" w14:textId="77777777" w:rsidR="00803A33" w:rsidRPr="00C4458A" w:rsidRDefault="00803A33">
      <w:pPr>
        <w:spacing w:line="240" w:lineRule="auto"/>
      </w:pPr>
      <w:r w:rsidRPr="00C4458A">
        <w:separator/>
      </w:r>
    </w:p>
  </w:endnote>
  <w:endnote w:type="continuationSeparator" w:id="0">
    <w:p w14:paraId="7955586A" w14:textId="77777777" w:rsidR="00803A33" w:rsidRPr="00C4458A" w:rsidRDefault="00803A33">
      <w:pPr>
        <w:spacing w:line="240" w:lineRule="auto"/>
      </w:pPr>
      <w:r w:rsidRPr="00C445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A4DDCFF-074A-4ABE-B330-9D7CCDE92F2F}"/>
    <w:embedBold r:id="rId2" w:fontKey="{8FB165B2-AAB8-420F-83C6-B045DA3761EA}"/>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3" w:fontKey="{8A656E0D-2A09-4C03-9DCE-8601781C4CDB}"/>
  </w:font>
  <w:font w:name="Roboto">
    <w:charset w:val="00"/>
    <w:family w:val="auto"/>
    <w:pitch w:val="variable"/>
    <w:sig w:usb0="E0000AFF" w:usb1="5000217F" w:usb2="00000021" w:usb3="00000000" w:csb0="0000019F" w:csb1="00000000"/>
    <w:embedRegular r:id="rId4" w:fontKey="{6874E438-8E5A-4B9E-8087-1445CC7FADE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75DEE" w14:textId="77777777" w:rsidR="00803A33" w:rsidRPr="00C4458A" w:rsidRDefault="00803A33">
      <w:pPr>
        <w:spacing w:line="240" w:lineRule="auto"/>
      </w:pPr>
      <w:r w:rsidRPr="00C4458A">
        <w:separator/>
      </w:r>
    </w:p>
  </w:footnote>
  <w:footnote w:type="continuationSeparator" w:id="0">
    <w:p w14:paraId="50C82206" w14:textId="77777777" w:rsidR="00803A33" w:rsidRPr="00C4458A" w:rsidRDefault="00803A33">
      <w:pPr>
        <w:spacing w:line="240" w:lineRule="auto"/>
      </w:pPr>
      <w:r w:rsidRPr="00C4458A">
        <w:continuationSeparator/>
      </w:r>
    </w:p>
  </w:footnote>
  <w:footnote w:id="1">
    <w:p w14:paraId="134DF222" w14:textId="77777777" w:rsidR="00AF2521" w:rsidRDefault="00AF2521" w:rsidP="00AF2521">
      <w:pPr>
        <w:pStyle w:val="FootnoteText"/>
      </w:pPr>
      <w:r>
        <w:rPr>
          <w:rStyle w:val="FootnoteReference"/>
        </w:rPr>
        <w:footnoteRef/>
      </w:r>
      <w:r>
        <w:t xml:space="preserve"> </w:t>
      </w:r>
      <w:r w:rsidRPr="004A5E18">
        <w:t xml:space="preserve">Oficina en Colombia del Alto Comisionado de las Naciones Unidas para los Derechos Humanos. (2025, 27 de junio). Atrapados en las redes del conflicto: aumento del reclutamiento de niñas y niños en Colombia. Nota informativa. </w:t>
      </w:r>
      <w:r>
        <w:t xml:space="preserve">Disponible en: </w:t>
      </w:r>
      <w:hyperlink r:id="rId1" w:history="1">
        <w:r w:rsidRPr="002D3C58">
          <w:rPr>
            <w:rStyle w:val="Hyperlink"/>
          </w:rPr>
          <w:t>https://colombia.un.org/sites/default/files/2025-06/06-27-2025-version-diagramada-nota-informativa-1%20%282%29.pdf</w:t>
        </w:r>
      </w:hyperlink>
      <w:r>
        <w:t xml:space="preserve"> </w:t>
      </w:r>
    </w:p>
  </w:footnote>
  <w:footnote w:id="2">
    <w:p w14:paraId="23A6E30B" w14:textId="77777777" w:rsidR="00AF2521" w:rsidRDefault="00AF2521" w:rsidP="00AF2521">
      <w:pPr>
        <w:pStyle w:val="FootnoteText"/>
      </w:pPr>
      <w:r>
        <w:rPr>
          <w:rStyle w:val="FootnoteReference"/>
        </w:rPr>
        <w:footnoteRef/>
      </w:r>
      <w:r>
        <w:t xml:space="preserve"> </w:t>
      </w:r>
      <w:hyperlink r:id="rId2" w:history="1">
        <w:r w:rsidRPr="002D3C58">
          <w:rPr>
            <w:rStyle w:val="Hyperlink"/>
          </w:rPr>
          <w:t>https://www.swissinfo.ch/spa/al-menos-123-menores-han-sido-reclutados-por-grupos-armados-este-a%C3%B1o-en-colombia/90179244</w:t>
        </w:r>
      </w:hyperlink>
      <w:r>
        <w:t xml:space="preserve"> </w:t>
      </w:r>
    </w:p>
  </w:footnote>
  <w:footnote w:id="3">
    <w:p w14:paraId="56A1EC96" w14:textId="77777777" w:rsidR="00AF2521" w:rsidRDefault="00AF2521" w:rsidP="00AF2521">
      <w:pPr>
        <w:pStyle w:val="FootnoteText"/>
      </w:pPr>
      <w:r>
        <w:rPr>
          <w:rStyle w:val="FootnoteReference"/>
        </w:rPr>
        <w:footnoteRef/>
      </w:r>
      <w:r>
        <w:t xml:space="preserve"> </w:t>
      </w:r>
      <w:r w:rsidRPr="00622098">
        <w:t>Defensoría del Pueblo. (202</w:t>
      </w:r>
      <w:r>
        <w:t>4</w:t>
      </w:r>
      <w:r w:rsidRPr="00622098">
        <w:t>). Defensoría del Pueblo registró 184 casos de reclutamiento de menores en 2023 [Comunicación en redes sociales]. Bogotá, 18 de enero de 2024.</w:t>
      </w:r>
      <w:r>
        <w:t xml:space="preserve"> Disponible en: </w:t>
      </w:r>
      <w:hyperlink r:id="rId3" w:history="1">
        <w:r w:rsidRPr="002D3C58">
          <w:rPr>
            <w:rStyle w:val="Hyperlink"/>
          </w:rPr>
          <w:t>https://www.defensoria.gov.co/-/defensor%C3%ADa-del-pueblo-registr%C3%B3-184-casos-de-reclutamiento-de-menores-en-2023</w:t>
        </w:r>
      </w:hyperlink>
      <w:r>
        <w:t xml:space="preserve"> </w:t>
      </w:r>
    </w:p>
  </w:footnote>
  <w:footnote w:id="4">
    <w:p w14:paraId="4327913B" w14:textId="5A42223B" w:rsidR="002250A6" w:rsidRDefault="002250A6">
      <w:pPr>
        <w:pStyle w:val="FootnoteText"/>
      </w:pPr>
      <w:r>
        <w:rPr>
          <w:rStyle w:val="FootnoteReference"/>
        </w:rPr>
        <w:footnoteRef/>
      </w:r>
      <w:r>
        <w:t xml:space="preserve"> </w:t>
      </w:r>
      <w:r w:rsidRPr="002250A6">
        <w:t xml:space="preserve">El País. (2025, 17 noviembre). Medicina Legal informa de 15 niños muertos en operativos militares en Colombia entre agosto y noviembre. Dsponible en: </w:t>
      </w:r>
      <w:hyperlink r:id="rId4" w:history="1">
        <w:r w:rsidRPr="002D3C58">
          <w:rPr>
            <w:rStyle w:val="Hyperlink"/>
          </w:rPr>
          <w:t>https://elpais.com/america-colombia/2025-11-18/medicina-legal-informa-de-15-ninos-muertos-en-bombardeos-militares-en-colombia-entre-agosto-y-noviembre.html</w:t>
        </w:r>
      </w:hyperlink>
      <w:r>
        <w:t xml:space="preserve"> </w:t>
      </w:r>
    </w:p>
  </w:footnote>
  <w:footnote w:id="5">
    <w:p w14:paraId="69D11C61" w14:textId="011D3462" w:rsidR="00A41DB2" w:rsidRDefault="00A41DB2" w:rsidP="007B74C7">
      <w:pPr>
        <w:pStyle w:val="FootnoteText"/>
        <w:jc w:val="both"/>
      </w:pPr>
      <w:r>
        <w:rPr>
          <w:rStyle w:val="FootnoteReference"/>
        </w:rPr>
        <w:footnoteRef/>
      </w:r>
      <w:r>
        <w:t xml:space="preserve"> </w:t>
      </w:r>
      <w:r w:rsidR="00202EC7" w:rsidRPr="00202EC7">
        <w:t xml:space="preserve">Infobae. (2025, 18 noviembre). Unicef publicó mensaje en medio del escándalo por los menores muertos en bombardeos: “Es urgente poner fin al reclutamiento”. Recuperado de </w:t>
      </w:r>
      <w:hyperlink r:id="rId5" w:history="1">
        <w:r w:rsidR="00202EC7" w:rsidRPr="002D3C58">
          <w:rPr>
            <w:rStyle w:val="Hyperlink"/>
          </w:rPr>
          <w:t>https://www.infobae.com/colombia/2025/11/18/unicef-lanzo-pulla-en-medio-del-escandalo-de-los-menores-muertos-en-medio-de-bombardeos-es-urgente-poner-fin-al-reclutamiento/</w:t>
        </w:r>
      </w:hyperlink>
      <w:r w:rsidR="00202EC7">
        <w:t xml:space="preserve"> </w:t>
      </w:r>
    </w:p>
  </w:footnote>
  <w:footnote w:id="6">
    <w:p w14:paraId="27BE05A4" w14:textId="77777777" w:rsidR="004B43A0" w:rsidRDefault="004B43A0" w:rsidP="004B43A0">
      <w:pPr>
        <w:pStyle w:val="FootnoteText"/>
      </w:pPr>
      <w:r>
        <w:rPr>
          <w:rStyle w:val="FootnoteReference"/>
        </w:rPr>
        <w:footnoteRef/>
      </w:r>
      <w:r>
        <w:t xml:space="preserve"> </w:t>
      </w:r>
      <w:r w:rsidRPr="00603E3B">
        <w:t xml:space="preserve">El País. (2025, 20 noviembre). Los bombardeos en los que murieron niños exponen las contradicciones de la izquierda y la derecha colombiana. Dsponible en: </w:t>
      </w:r>
      <w:hyperlink r:id="rId6" w:history="1">
        <w:r w:rsidRPr="002D3C58">
          <w:rPr>
            <w:rStyle w:val="Hyperlink"/>
          </w:rPr>
          <w:t>https://elpais.com/america-colombia/2025-11-20/los-bombardeos-en-los-que-murieron-ninos-exponen-las-contradicciones-de-la-izquierda-y-la-derecha-colombiana.html</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2E97"/>
    <w:multiLevelType w:val="multilevel"/>
    <w:tmpl w:val="05920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456AA"/>
    <w:multiLevelType w:val="multilevel"/>
    <w:tmpl w:val="1FEE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10BA6"/>
    <w:multiLevelType w:val="multilevel"/>
    <w:tmpl w:val="42D41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43AC2"/>
    <w:multiLevelType w:val="multilevel"/>
    <w:tmpl w:val="BAE21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C6965"/>
    <w:multiLevelType w:val="multilevel"/>
    <w:tmpl w:val="2326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A4631"/>
    <w:multiLevelType w:val="hybridMultilevel"/>
    <w:tmpl w:val="280C9E8A"/>
    <w:lvl w:ilvl="0" w:tplc="3A36B0AC">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EB0E3D"/>
    <w:multiLevelType w:val="multilevel"/>
    <w:tmpl w:val="D3AC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7852FB"/>
    <w:multiLevelType w:val="multilevel"/>
    <w:tmpl w:val="526A22C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CF0638C"/>
    <w:multiLevelType w:val="multilevel"/>
    <w:tmpl w:val="7A360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215384"/>
    <w:multiLevelType w:val="multilevel"/>
    <w:tmpl w:val="9238E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850566"/>
    <w:multiLevelType w:val="multilevel"/>
    <w:tmpl w:val="A482B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E2535C"/>
    <w:multiLevelType w:val="multilevel"/>
    <w:tmpl w:val="8A74E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DC1961"/>
    <w:multiLevelType w:val="multilevel"/>
    <w:tmpl w:val="BBCC0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581FB1"/>
    <w:multiLevelType w:val="multilevel"/>
    <w:tmpl w:val="2528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153750"/>
    <w:multiLevelType w:val="multilevel"/>
    <w:tmpl w:val="58F8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A647A9"/>
    <w:multiLevelType w:val="multilevel"/>
    <w:tmpl w:val="CBDA0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EF1215"/>
    <w:multiLevelType w:val="multilevel"/>
    <w:tmpl w:val="E744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506AA2"/>
    <w:multiLevelType w:val="multilevel"/>
    <w:tmpl w:val="1408D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C00CB7"/>
    <w:multiLevelType w:val="hybridMultilevel"/>
    <w:tmpl w:val="81867582"/>
    <w:lvl w:ilvl="0" w:tplc="9B546F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3E7601F"/>
    <w:multiLevelType w:val="multilevel"/>
    <w:tmpl w:val="9BB4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7B3997"/>
    <w:multiLevelType w:val="multilevel"/>
    <w:tmpl w:val="0792B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8F2585"/>
    <w:multiLevelType w:val="multilevel"/>
    <w:tmpl w:val="5770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402693"/>
    <w:multiLevelType w:val="multilevel"/>
    <w:tmpl w:val="1C66D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EA2E86"/>
    <w:multiLevelType w:val="multilevel"/>
    <w:tmpl w:val="13FA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E02E4C"/>
    <w:multiLevelType w:val="multilevel"/>
    <w:tmpl w:val="BA76B1C8"/>
    <w:lvl w:ilvl="0">
      <w:start w:val="1"/>
      <w:numFmt w:val="decimal"/>
      <w:lvlText w:val="%1."/>
      <w:lvlJc w:val="left"/>
      <w:pPr>
        <w:ind w:left="720" w:hanging="360"/>
      </w:pPr>
      <w:rPr>
        <w:highlight w:val="yellow"/>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4C813FFC"/>
    <w:multiLevelType w:val="multilevel"/>
    <w:tmpl w:val="D9C8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E10FA3"/>
    <w:multiLevelType w:val="multilevel"/>
    <w:tmpl w:val="40D6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5906BA"/>
    <w:multiLevelType w:val="hybridMultilevel"/>
    <w:tmpl w:val="3EAA60D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8" w15:restartNumberingAfterBreak="0">
    <w:nsid w:val="687648A6"/>
    <w:multiLevelType w:val="multilevel"/>
    <w:tmpl w:val="7BAA8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AA1490"/>
    <w:multiLevelType w:val="multilevel"/>
    <w:tmpl w:val="31C6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830578"/>
    <w:multiLevelType w:val="multilevel"/>
    <w:tmpl w:val="EE26E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A70E76"/>
    <w:multiLevelType w:val="multilevel"/>
    <w:tmpl w:val="CF848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8111082">
    <w:abstractNumId w:val="7"/>
  </w:num>
  <w:num w:numId="2" w16cid:durableId="1610236085">
    <w:abstractNumId w:val="24"/>
  </w:num>
  <w:num w:numId="3" w16cid:durableId="696270495">
    <w:abstractNumId w:val="5"/>
  </w:num>
  <w:num w:numId="4" w16cid:durableId="1169978665">
    <w:abstractNumId w:val="27"/>
  </w:num>
  <w:num w:numId="5" w16cid:durableId="1202010262">
    <w:abstractNumId w:val="28"/>
  </w:num>
  <w:num w:numId="6" w16cid:durableId="1194803494">
    <w:abstractNumId w:val="25"/>
  </w:num>
  <w:num w:numId="7" w16cid:durableId="904070225">
    <w:abstractNumId w:val="15"/>
  </w:num>
  <w:num w:numId="8" w16cid:durableId="1994483058">
    <w:abstractNumId w:val="11"/>
  </w:num>
  <w:num w:numId="9" w16cid:durableId="1337657197">
    <w:abstractNumId w:val="16"/>
  </w:num>
  <w:num w:numId="10" w16cid:durableId="1125662243">
    <w:abstractNumId w:val="12"/>
  </w:num>
  <w:num w:numId="11" w16cid:durableId="1417827014">
    <w:abstractNumId w:val="31"/>
  </w:num>
  <w:num w:numId="12" w16cid:durableId="1075585966">
    <w:abstractNumId w:val="23"/>
  </w:num>
  <w:num w:numId="13" w16cid:durableId="728725166">
    <w:abstractNumId w:val="0"/>
  </w:num>
  <w:num w:numId="14" w16cid:durableId="1833175754">
    <w:abstractNumId w:val="29"/>
  </w:num>
  <w:num w:numId="15" w16cid:durableId="182324172">
    <w:abstractNumId w:val="17"/>
  </w:num>
  <w:num w:numId="16" w16cid:durableId="1453132486">
    <w:abstractNumId w:val="21"/>
  </w:num>
  <w:num w:numId="17" w16cid:durableId="1685740269">
    <w:abstractNumId w:val="3"/>
  </w:num>
  <w:num w:numId="18" w16cid:durableId="547230854">
    <w:abstractNumId w:val="4"/>
  </w:num>
  <w:num w:numId="19" w16cid:durableId="735052758">
    <w:abstractNumId w:val="9"/>
  </w:num>
  <w:num w:numId="20" w16cid:durableId="841747121">
    <w:abstractNumId w:val="18"/>
  </w:num>
  <w:num w:numId="21" w16cid:durableId="1036077282">
    <w:abstractNumId w:val="20"/>
  </w:num>
  <w:num w:numId="22" w16cid:durableId="2014605959">
    <w:abstractNumId w:val="2"/>
  </w:num>
  <w:num w:numId="23" w16cid:durableId="332031588">
    <w:abstractNumId w:val="10"/>
  </w:num>
  <w:num w:numId="24" w16cid:durableId="90974953">
    <w:abstractNumId w:val="22"/>
  </w:num>
  <w:num w:numId="25" w16cid:durableId="1351450439">
    <w:abstractNumId w:val="26"/>
  </w:num>
  <w:num w:numId="26" w16cid:durableId="553199346">
    <w:abstractNumId w:val="6"/>
  </w:num>
  <w:num w:numId="27" w16cid:durableId="1404064980">
    <w:abstractNumId w:val="1"/>
  </w:num>
  <w:num w:numId="28" w16cid:durableId="1876576097">
    <w:abstractNumId w:val="30"/>
  </w:num>
  <w:num w:numId="29" w16cid:durableId="1056398033">
    <w:abstractNumId w:val="13"/>
  </w:num>
  <w:num w:numId="30" w16cid:durableId="2017730869">
    <w:abstractNumId w:val="8"/>
  </w:num>
  <w:num w:numId="31" w16cid:durableId="1944922415">
    <w:abstractNumId w:val="19"/>
  </w:num>
  <w:num w:numId="32" w16cid:durableId="11111711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456"/>
    <w:rsid w:val="000040A2"/>
    <w:rsid w:val="00007B63"/>
    <w:rsid w:val="00010F61"/>
    <w:rsid w:val="00014720"/>
    <w:rsid w:val="000231F9"/>
    <w:rsid w:val="0002378B"/>
    <w:rsid w:val="0002528C"/>
    <w:rsid w:val="00027C4F"/>
    <w:rsid w:val="0003348E"/>
    <w:rsid w:val="0004372A"/>
    <w:rsid w:val="00044B27"/>
    <w:rsid w:val="00044E0E"/>
    <w:rsid w:val="0004649C"/>
    <w:rsid w:val="00051162"/>
    <w:rsid w:val="00067341"/>
    <w:rsid w:val="00070022"/>
    <w:rsid w:val="00072D1A"/>
    <w:rsid w:val="0007730F"/>
    <w:rsid w:val="000804BB"/>
    <w:rsid w:val="00085FC1"/>
    <w:rsid w:val="00097684"/>
    <w:rsid w:val="000A201F"/>
    <w:rsid w:val="000A2FF5"/>
    <w:rsid w:val="000A5CB1"/>
    <w:rsid w:val="000A6DBE"/>
    <w:rsid w:val="000B43D9"/>
    <w:rsid w:val="000B6421"/>
    <w:rsid w:val="000B7DAE"/>
    <w:rsid w:val="000C2130"/>
    <w:rsid w:val="000C3E0E"/>
    <w:rsid w:val="000C6B6E"/>
    <w:rsid w:val="000C734B"/>
    <w:rsid w:val="000D1300"/>
    <w:rsid w:val="000D20EE"/>
    <w:rsid w:val="000D2BEB"/>
    <w:rsid w:val="000D5352"/>
    <w:rsid w:val="000D72C8"/>
    <w:rsid w:val="000F03C6"/>
    <w:rsid w:val="000F437E"/>
    <w:rsid w:val="000F5BB6"/>
    <w:rsid w:val="000F621D"/>
    <w:rsid w:val="00100A12"/>
    <w:rsid w:val="00103E4F"/>
    <w:rsid w:val="001043EF"/>
    <w:rsid w:val="0010447F"/>
    <w:rsid w:val="00105EAB"/>
    <w:rsid w:val="001074CA"/>
    <w:rsid w:val="001077BB"/>
    <w:rsid w:val="00111806"/>
    <w:rsid w:val="001127EC"/>
    <w:rsid w:val="00113194"/>
    <w:rsid w:val="00114C87"/>
    <w:rsid w:val="0012020B"/>
    <w:rsid w:val="0012067D"/>
    <w:rsid w:val="0013511B"/>
    <w:rsid w:val="00137CF7"/>
    <w:rsid w:val="00137E9C"/>
    <w:rsid w:val="00143CEB"/>
    <w:rsid w:val="0014720C"/>
    <w:rsid w:val="0015126C"/>
    <w:rsid w:val="001642DF"/>
    <w:rsid w:val="001710F3"/>
    <w:rsid w:val="001716FB"/>
    <w:rsid w:val="00175C02"/>
    <w:rsid w:val="001944F7"/>
    <w:rsid w:val="001A6132"/>
    <w:rsid w:val="001B0FC4"/>
    <w:rsid w:val="001C234E"/>
    <w:rsid w:val="001C3E31"/>
    <w:rsid w:val="001D106B"/>
    <w:rsid w:val="001D288D"/>
    <w:rsid w:val="001E036F"/>
    <w:rsid w:val="001E10BE"/>
    <w:rsid w:val="001E2A7E"/>
    <w:rsid w:val="001E59DC"/>
    <w:rsid w:val="001E5BA2"/>
    <w:rsid w:val="001F15E7"/>
    <w:rsid w:val="001F3484"/>
    <w:rsid w:val="001F5236"/>
    <w:rsid w:val="00202C3C"/>
    <w:rsid w:val="00202EC7"/>
    <w:rsid w:val="002063A3"/>
    <w:rsid w:val="00206B53"/>
    <w:rsid w:val="0021270F"/>
    <w:rsid w:val="00212B65"/>
    <w:rsid w:val="00215608"/>
    <w:rsid w:val="00222ACA"/>
    <w:rsid w:val="002250A6"/>
    <w:rsid w:val="00225268"/>
    <w:rsid w:val="0023274C"/>
    <w:rsid w:val="00232882"/>
    <w:rsid w:val="002361C0"/>
    <w:rsid w:val="00244E56"/>
    <w:rsid w:val="00246575"/>
    <w:rsid w:val="00246F41"/>
    <w:rsid w:val="00247B12"/>
    <w:rsid w:val="0025174A"/>
    <w:rsid w:val="00252625"/>
    <w:rsid w:val="00252B46"/>
    <w:rsid w:val="00253076"/>
    <w:rsid w:val="00254E5D"/>
    <w:rsid w:val="002566E4"/>
    <w:rsid w:val="0026245E"/>
    <w:rsid w:val="002647B3"/>
    <w:rsid w:val="00266B6B"/>
    <w:rsid w:val="00266E07"/>
    <w:rsid w:val="002765B7"/>
    <w:rsid w:val="0028128D"/>
    <w:rsid w:val="002816EB"/>
    <w:rsid w:val="00287C1C"/>
    <w:rsid w:val="00292082"/>
    <w:rsid w:val="002A07F6"/>
    <w:rsid w:val="002A1861"/>
    <w:rsid w:val="002A4630"/>
    <w:rsid w:val="002B053E"/>
    <w:rsid w:val="002B1107"/>
    <w:rsid w:val="002B1327"/>
    <w:rsid w:val="002B7EC1"/>
    <w:rsid w:val="002C18A2"/>
    <w:rsid w:val="002D595A"/>
    <w:rsid w:val="002E7018"/>
    <w:rsid w:val="002F60AB"/>
    <w:rsid w:val="002F6F9F"/>
    <w:rsid w:val="002F7014"/>
    <w:rsid w:val="002F74DA"/>
    <w:rsid w:val="002F75F6"/>
    <w:rsid w:val="003015A2"/>
    <w:rsid w:val="003130BF"/>
    <w:rsid w:val="00313A52"/>
    <w:rsid w:val="00314415"/>
    <w:rsid w:val="00322BE3"/>
    <w:rsid w:val="0032501E"/>
    <w:rsid w:val="00325881"/>
    <w:rsid w:val="00331489"/>
    <w:rsid w:val="0033324D"/>
    <w:rsid w:val="003341B7"/>
    <w:rsid w:val="003403EE"/>
    <w:rsid w:val="0034058F"/>
    <w:rsid w:val="00356254"/>
    <w:rsid w:val="00383A96"/>
    <w:rsid w:val="003923FE"/>
    <w:rsid w:val="00395D3E"/>
    <w:rsid w:val="003A3DA8"/>
    <w:rsid w:val="003A4261"/>
    <w:rsid w:val="003A733F"/>
    <w:rsid w:val="003B0CED"/>
    <w:rsid w:val="003B34FC"/>
    <w:rsid w:val="003C3FB1"/>
    <w:rsid w:val="003D04AF"/>
    <w:rsid w:val="003D09F6"/>
    <w:rsid w:val="003D1349"/>
    <w:rsid w:val="003D3BF4"/>
    <w:rsid w:val="003E07FA"/>
    <w:rsid w:val="003E1281"/>
    <w:rsid w:val="003E2652"/>
    <w:rsid w:val="003E2E7C"/>
    <w:rsid w:val="003E6B5E"/>
    <w:rsid w:val="003F0FD7"/>
    <w:rsid w:val="003F34E9"/>
    <w:rsid w:val="003F5C0A"/>
    <w:rsid w:val="004060BC"/>
    <w:rsid w:val="00417EEB"/>
    <w:rsid w:val="00423439"/>
    <w:rsid w:val="00424EC8"/>
    <w:rsid w:val="00426015"/>
    <w:rsid w:val="004277DE"/>
    <w:rsid w:val="00430745"/>
    <w:rsid w:val="00430CE1"/>
    <w:rsid w:val="00445EC1"/>
    <w:rsid w:val="004521F4"/>
    <w:rsid w:val="00453B7D"/>
    <w:rsid w:val="00453C5C"/>
    <w:rsid w:val="00455E41"/>
    <w:rsid w:val="00456E84"/>
    <w:rsid w:val="00460483"/>
    <w:rsid w:val="00467DAB"/>
    <w:rsid w:val="00476A98"/>
    <w:rsid w:val="00494693"/>
    <w:rsid w:val="004956CC"/>
    <w:rsid w:val="00496B28"/>
    <w:rsid w:val="00497CD2"/>
    <w:rsid w:val="004A5E18"/>
    <w:rsid w:val="004B1706"/>
    <w:rsid w:val="004B2B9E"/>
    <w:rsid w:val="004B43A0"/>
    <w:rsid w:val="004B7929"/>
    <w:rsid w:val="004C22D9"/>
    <w:rsid w:val="004C2F32"/>
    <w:rsid w:val="004C5560"/>
    <w:rsid w:val="004C5E6A"/>
    <w:rsid w:val="004D1F77"/>
    <w:rsid w:val="004D4AFC"/>
    <w:rsid w:val="004D5C32"/>
    <w:rsid w:val="004E5762"/>
    <w:rsid w:val="004E5876"/>
    <w:rsid w:val="004E7D0B"/>
    <w:rsid w:val="004F03F5"/>
    <w:rsid w:val="004F09DB"/>
    <w:rsid w:val="004F3234"/>
    <w:rsid w:val="004F64F6"/>
    <w:rsid w:val="00502637"/>
    <w:rsid w:val="00502F74"/>
    <w:rsid w:val="00521EDA"/>
    <w:rsid w:val="00525EB2"/>
    <w:rsid w:val="005277C7"/>
    <w:rsid w:val="00535C03"/>
    <w:rsid w:val="00552719"/>
    <w:rsid w:val="0055440D"/>
    <w:rsid w:val="00554A43"/>
    <w:rsid w:val="00563FC5"/>
    <w:rsid w:val="00570A70"/>
    <w:rsid w:val="005733D7"/>
    <w:rsid w:val="00576901"/>
    <w:rsid w:val="005858CD"/>
    <w:rsid w:val="005920B4"/>
    <w:rsid w:val="005A2362"/>
    <w:rsid w:val="005A6A75"/>
    <w:rsid w:val="005B0025"/>
    <w:rsid w:val="005B0C30"/>
    <w:rsid w:val="005B0E97"/>
    <w:rsid w:val="005B14FA"/>
    <w:rsid w:val="005B40E8"/>
    <w:rsid w:val="005B628D"/>
    <w:rsid w:val="005B721C"/>
    <w:rsid w:val="005B750E"/>
    <w:rsid w:val="005C2818"/>
    <w:rsid w:val="005C57FD"/>
    <w:rsid w:val="005C6E3E"/>
    <w:rsid w:val="005E4F1B"/>
    <w:rsid w:val="005F75A8"/>
    <w:rsid w:val="00603E3B"/>
    <w:rsid w:val="0060489C"/>
    <w:rsid w:val="00605304"/>
    <w:rsid w:val="006121AF"/>
    <w:rsid w:val="00612C2E"/>
    <w:rsid w:val="00615484"/>
    <w:rsid w:val="00615619"/>
    <w:rsid w:val="00622098"/>
    <w:rsid w:val="00622E43"/>
    <w:rsid w:val="00624449"/>
    <w:rsid w:val="00626F17"/>
    <w:rsid w:val="00627F82"/>
    <w:rsid w:val="00632BD2"/>
    <w:rsid w:val="006350DF"/>
    <w:rsid w:val="006432F1"/>
    <w:rsid w:val="00645FE0"/>
    <w:rsid w:val="00647F17"/>
    <w:rsid w:val="00655128"/>
    <w:rsid w:val="006578E1"/>
    <w:rsid w:val="006603E6"/>
    <w:rsid w:val="00662210"/>
    <w:rsid w:val="00664E4E"/>
    <w:rsid w:val="006714AC"/>
    <w:rsid w:val="00675D16"/>
    <w:rsid w:val="006763C6"/>
    <w:rsid w:val="00676A37"/>
    <w:rsid w:val="0068531B"/>
    <w:rsid w:val="0069112F"/>
    <w:rsid w:val="0069413C"/>
    <w:rsid w:val="006A38A9"/>
    <w:rsid w:val="006A5420"/>
    <w:rsid w:val="006A7164"/>
    <w:rsid w:val="006A75FA"/>
    <w:rsid w:val="006A7750"/>
    <w:rsid w:val="006B27B8"/>
    <w:rsid w:val="006B769A"/>
    <w:rsid w:val="006C0F72"/>
    <w:rsid w:val="006D2058"/>
    <w:rsid w:val="006D266C"/>
    <w:rsid w:val="006D79F1"/>
    <w:rsid w:val="006E1702"/>
    <w:rsid w:val="006E4B76"/>
    <w:rsid w:val="006E6B1A"/>
    <w:rsid w:val="006F5B05"/>
    <w:rsid w:val="007001F4"/>
    <w:rsid w:val="00702B5B"/>
    <w:rsid w:val="00706E9F"/>
    <w:rsid w:val="00714C0C"/>
    <w:rsid w:val="007210D0"/>
    <w:rsid w:val="00724CA2"/>
    <w:rsid w:val="0072701C"/>
    <w:rsid w:val="00727BA7"/>
    <w:rsid w:val="00730C0A"/>
    <w:rsid w:val="00732055"/>
    <w:rsid w:val="007445FB"/>
    <w:rsid w:val="0074549C"/>
    <w:rsid w:val="00747C86"/>
    <w:rsid w:val="00753585"/>
    <w:rsid w:val="007552E3"/>
    <w:rsid w:val="00755807"/>
    <w:rsid w:val="00773C59"/>
    <w:rsid w:val="00773DB2"/>
    <w:rsid w:val="00781303"/>
    <w:rsid w:val="00782A50"/>
    <w:rsid w:val="00784D68"/>
    <w:rsid w:val="00785291"/>
    <w:rsid w:val="00787A87"/>
    <w:rsid w:val="00797CAF"/>
    <w:rsid w:val="007A2318"/>
    <w:rsid w:val="007A40A0"/>
    <w:rsid w:val="007B19FC"/>
    <w:rsid w:val="007B36EF"/>
    <w:rsid w:val="007B3BB0"/>
    <w:rsid w:val="007B454F"/>
    <w:rsid w:val="007B4D45"/>
    <w:rsid w:val="007B4E81"/>
    <w:rsid w:val="007B6DBA"/>
    <w:rsid w:val="007B70AD"/>
    <w:rsid w:val="007B74C7"/>
    <w:rsid w:val="007C0B02"/>
    <w:rsid w:val="007C222C"/>
    <w:rsid w:val="007C47DA"/>
    <w:rsid w:val="007C6B6F"/>
    <w:rsid w:val="007D0979"/>
    <w:rsid w:val="007E3CB1"/>
    <w:rsid w:val="007E4924"/>
    <w:rsid w:val="007F192D"/>
    <w:rsid w:val="007F241C"/>
    <w:rsid w:val="007F4341"/>
    <w:rsid w:val="007F7F12"/>
    <w:rsid w:val="00803823"/>
    <w:rsid w:val="00803A33"/>
    <w:rsid w:val="00813326"/>
    <w:rsid w:val="0081361C"/>
    <w:rsid w:val="008142A1"/>
    <w:rsid w:val="008210F3"/>
    <w:rsid w:val="008309F0"/>
    <w:rsid w:val="00831462"/>
    <w:rsid w:val="00834EA8"/>
    <w:rsid w:val="00843705"/>
    <w:rsid w:val="00847236"/>
    <w:rsid w:val="00847DE0"/>
    <w:rsid w:val="00847EF5"/>
    <w:rsid w:val="00851709"/>
    <w:rsid w:val="00852433"/>
    <w:rsid w:val="008572A0"/>
    <w:rsid w:val="00857AA5"/>
    <w:rsid w:val="00860AED"/>
    <w:rsid w:val="008707EC"/>
    <w:rsid w:val="0088060D"/>
    <w:rsid w:val="008856CD"/>
    <w:rsid w:val="008865F4"/>
    <w:rsid w:val="00886F1C"/>
    <w:rsid w:val="00892065"/>
    <w:rsid w:val="008942E3"/>
    <w:rsid w:val="00896D8A"/>
    <w:rsid w:val="008A12B4"/>
    <w:rsid w:val="008A1D61"/>
    <w:rsid w:val="008B1C44"/>
    <w:rsid w:val="008B1DEC"/>
    <w:rsid w:val="008C17B6"/>
    <w:rsid w:val="008C3647"/>
    <w:rsid w:val="008C3C27"/>
    <w:rsid w:val="008D1D0E"/>
    <w:rsid w:val="008D2899"/>
    <w:rsid w:val="008D2B9C"/>
    <w:rsid w:val="008D52EE"/>
    <w:rsid w:val="008D61A0"/>
    <w:rsid w:val="008E2382"/>
    <w:rsid w:val="008E37D1"/>
    <w:rsid w:val="008E3B2D"/>
    <w:rsid w:val="008E427B"/>
    <w:rsid w:val="008F015F"/>
    <w:rsid w:val="008F3A93"/>
    <w:rsid w:val="008F6099"/>
    <w:rsid w:val="008F6158"/>
    <w:rsid w:val="009024A8"/>
    <w:rsid w:val="00905F32"/>
    <w:rsid w:val="00924EFA"/>
    <w:rsid w:val="00926B7B"/>
    <w:rsid w:val="00926BCD"/>
    <w:rsid w:val="00940B29"/>
    <w:rsid w:val="009424B6"/>
    <w:rsid w:val="0094313A"/>
    <w:rsid w:val="009510ED"/>
    <w:rsid w:val="00954810"/>
    <w:rsid w:val="00963A81"/>
    <w:rsid w:val="00971445"/>
    <w:rsid w:val="00976E1C"/>
    <w:rsid w:val="0098103B"/>
    <w:rsid w:val="00981A6E"/>
    <w:rsid w:val="009842AC"/>
    <w:rsid w:val="00985495"/>
    <w:rsid w:val="00990039"/>
    <w:rsid w:val="009A6181"/>
    <w:rsid w:val="009B3C4C"/>
    <w:rsid w:val="009C20AA"/>
    <w:rsid w:val="009E2238"/>
    <w:rsid w:val="009E6008"/>
    <w:rsid w:val="009E7CB0"/>
    <w:rsid w:val="009F1A29"/>
    <w:rsid w:val="009F2DAD"/>
    <w:rsid w:val="00A03613"/>
    <w:rsid w:val="00A03F8B"/>
    <w:rsid w:val="00A3517E"/>
    <w:rsid w:val="00A3683C"/>
    <w:rsid w:val="00A412C6"/>
    <w:rsid w:val="00A41DB2"/>
    <w:rsid w:val="00A51215"/>
    <w:rsid w:val="00A5201E"/>
    <w:rsid w:val="00A54B18"/>
    <w:rsid w:val="00A67D20"/>
    <w:rsid w:val="00A74DC6"/>
    <w:rsid w:val="00A75519"/>
    <w:rsid w:val="00A83644"/>
    <w:rsid w:val="00A83842"/>
    <w:rsid w:val="00A840F9"/>
    <w:rsid w:val="00A912F8"/>
    <w:rsid w:val="00A918BE"/>
    <w:rsid w:val="00AA0070"/>
    <w:rsid w:val="00AA044C"/>
    <w:rsid w:val="00AA111F"/>
    <w:rsid w:val="00AB0243"/>
    <w:rsid w:val="00AB11CA"/>
    <w:rsid w:val="00AB2480"/>
    <w:rsid w:val="00AB2988"/>
    <w:rsid w:val="00AC08E1"/>
    <w:rsid w:val="00AD6BA3"/>
    <w:rsid w:val="00AE0018"/>
    <w:rsid w:val="00AE2EDA"/>
    <w:rsid w:val="00AE3FC9"/>
    <w:rsid w:val="00AE4182"/>
    <w:rsid w:val="00AF2521"/>
    <w:rsid w:val="00AF3ECC"/>
    <w:rsid w:val="00AF67AC"/>
    <w:rsid w:val="00B00720"/>
    <w:rsid w:val="00B0345B"/>
    <w:rsid w:val="00B0383A"/>
    <w:rsid w:val="00B0718A"/>
    <w:rsid w:val="00B1506E"/>
    <w:rsid w:val="00B164E0"/>
    <w:rsid w:val="00B1685B"/>
    <w:rsid w:val="00B20344"/>
    <w:rsid w:val="00B22737"/>
    <w:rsid w:val="00B23037"/>
    <w:rsid w:val="00B238E6"/>
    <w:rsid w:val="00B2772F"/>
    <w:rsid w:val="00B32F61"/>
    <w:rsid w:val="00B35EEC"/>
    <w:rsid w:val="00B434C0"/>
    <w:rsid w:val="00B43661"/>
    <w:rsid w:val="00B614A5"/>
    <w:rsid w:val="00B6194B"/>
    <w:rsid w:val="00B641C5"/>
    <w:rsid w:val="00B664A8"/>
    <w:rsid w:val="00B75E83"/>
    <w:rsid w:val="00B775B1"/>
    <w:rsid w:val="00B8097E"/>
    <w:rsid w:val="00B80D70"/>
    <w:rsid w:val="00B80E07"/>
    <w:rsid w:val="00B8229E"/>
    <w:rsid w:val="00B84631"/>
    <w:rsid w:val="00B867C5"/>
    <w:rsid w:val="00B92CCC"/>
    <w:rsid w:val="00BA138C"/>
    <w:rsid w:val="00BB3CD0"/>
    <w:rsid w:val="00BB493C"/>
    <w:rsid w:val="00BB6D8A"/>
    <w:rsid w:val="00BB7379"/>
    <w:rsid w:val="00BD0788"/>
    <w:rsid w:val="00BD420C"/>
    <w:rsid w:val="00BD6C90"/>
    <w:rsid w:val="00BE08A0"/>
    <w:rsid w:val="00BE1B21"/>
    <w:rsid w:val="00BE20E6"/>
    <w:rsid w:val="00BE280E"/>
    <w:rsid w:val="00BE4FB1"/>
    <w:rsid w:val="00BE5488"/>
    <w:rsid w:val="00BE673E"/>
    <w:rsid w:val="00BF0BD7"/>
    <w:rsid w:val="00BF51D7"/>
    <w:rsid w:val="00BF62EC"/>
    <w:rsid w:val="00C02338"/>
    <w:rsid w:val="00C0260B"/>
    <w:rsid w:val="00C02901"/>
    <w:rsid w:val="00C05B95"/>
    <w:rsid w:val="00C0606E"/>
    <w:rsid w:val="00C06222"/>
    <w:rsid w:val="00C10888"/>
    <w:rsid w:val="00C1568E"/>
    <w:rsid w:val="00C25779"/>
    <w:rsid w:val="00C334EF"/>
    <w:rsid w:val="00C3446B"/>
    <w:rsid w:val="00C35316"/>
    <w:rsid w:val="00C362E9"/>
    <w:rsid w:val="00C4033C"/>
    <w:rsid w:val="00C40931"/>
    <w:rsid w:val="00C40B75"/>
    <w:rsid w:val="00C4458A"/>
    <w:rsid w:val="00C5502D"/>
    <w:rsid w:val="00C60456"/>
    <w:rsid w:val="00C61A6F"/>
    <w:rsid w:val="00C677DA"/>
    <w:rsid w:val="00C67B46"/>
    <w:rsid w:val="00C75328"/>
    <w:rsid w:val="00C76BBC"/>
    <w:rsid w:val="00C76D00"/>
    <w:rsid w:val="00C800E7"/>
    <w:rsid w:val="00C81CCB"/>
    <w:rsid w:val="00C82DED"/>
    <w:rsid w:val="00C84A79"/>
    <w:rsid w:val="00C856C0"/>
    <w:rsid w:val="00C92C5F"/>
    <w:rsid w:val="00C93F7A"/>
    <w:rsid w:val="00C94EDC"/>
    <w:rsid w:val="00CB314F"/>
    <w:rsid w:val="00CB4886"/>
    <w:rsid w:val="00CC6453"/>
    <w:rsid w:val="00CC6DE9"/>
    <w:rsid w:val="00CD6C72"/>
    <w:rsid w:val="00CE0BD4"/>
    <w:rsid w:val="00D15792"/>
    <w:rsid w:val="00D1752C"/>
    <w:rsid w:val="00D23D52"/>
    <w:rsid w:val="00D23F8B"/>
    <w:rsid w:val="00D24AB4"/>
    <w:rsid w:val="00D2780D"/>
    <w:rsid w:val="00D278B6"/>
    <w:rsid w:val="00D33015"/>
    <w:rsid w:val="00D365E2"/>
    <w:rsid w:val="00D47BBE"/>
    <w:rsid w:val="00D53ED6"/>
    <w:rsid w:val="00D562F1"/>
    <w:rsid w:val="00D61F38"/>
    <w:rsid w:val="00D6370F"/>
    <w:rsid w:val="00D63FBE"/>
    <w:rsid w:val="00D72942"/>
    <w:rsid w:val="00D73041"/>
    <w:rsid w:val="00D74267"/>
    <w:rsid w:val="00D76E63"/>
    <w:rsid w:val="00D770F5"/>
    <w:rsid w:val="00D77F3C"/>
    <w:rsid w:val="00D81E80"/>
    <w:rsid w:val="00D839FA"/>
    <w:rsid w:val="00D86B4A"/>
    <w:rsid w:val="00D95B74"/>
    <w:rsid w:val="00DA499A"/>
    <w:rsid w:val="00DA663B"/>
    <w:rsid w:val="00DB10B7"/>
    <w:rsid w:val="00DB1644"/>
    <w:rsid w:val="00DB2507"/>
    <w:rsid w:val="00DB2686"/>
    <w:rsid w:val="00DB66FF"/>
    <w:rsid w:val="00DB7993"/>
    <w:rsid w:val="00DD0F22"/>
    <w:rsid w:val="00DD1BCD"/>
    <w:rsid w:val="00DD39DA"/>
    <w:rsid w:val="00DD63FA"/>
    <w:rsid w:val="00DD7BA5"/>
    <w:rsid w:val="00DE2E11"/>
    <w:rsid w:val="00DE3192"/>
    <w:rsid w:val="00DE668F"/>
    <w:rsid w:val="00DE68DD"/>
    <w:rsid w:val="00DE75AB"/>
    <w:rsid w:val="00DE7708"/>
    <w:rsid w:val="00DF1C22"/>
    <w:rsid w:val="00DF6E5C"/>
    <w:rsid w:val="00DF72A2"/>
    <w:rsid w:val="00E0414C"/>
    <w:rsid w:val="00E13227"/>
    <w:rsid w:val="00E13DF9"/>
    <w:rsid w:val="00E16222"/>
    <w:rsid w:val="00E16A7E"/>
    <w:rsid w:val="00E26E26"/>
    <w:rsid w:val="00E30897"/>
    <w:rsid w:val="00E3452A"/>
    <w:rsid w:val="00E40347"/>
    <w:rsid w:val="00E4215E"/>
    <w:rsid w:val="00E45E59"/>
    <w:rsid w:val="00E508B0"/>
    <w:rsid w:val="00E56ABB"/>
    <w:rsid w:val="00E5711B"/>
    <w:rsid w:val="00E618CA"/>
    <w:rsid w:val="00E62549"/>
    <w:rsid w:val="00E65946"/>
    <w:rsid w:val="00E674F9"/>
    <w:rsid w:val="00E705BF"/>
    <w:rsid w:val="00E74CD0"/>
    <w:rsid w:val="00E81065"/>
    <w:rsid w:val="00E8793F"/>
    <w:rsid w:val="00E93611"/>
    <w:rsid w:val="00E96ECF"/>
    <w:rsid w:val="00E9763F"/>
    <w:rsid w:val="00E97A33"/>
    <w:rsid w:val="00E97C15"/>
    <w:rsid w:val="00EB7989"/>
    <w:rsid w:val="00EC03BF"/>
    <w:rsid w:val="00EC0E34"/>
    <w:rsid w:val="00EC1291"/>
    <w:rsid w:val="00EC3408"/>
    <w:rsid w:val="00EE1CF5"/>
    <w:rsid w:val="00EE5F09"/>
    <w:rsid w:val="00EF12D6"/>
    <w:rsid w:val="00EF494C"/>
    <w:rsid w:val="00EF7023"/>
    <w:rsid w:val="00F00682"/>
    <w:rsid w:val="00F02CA3"/>
    <w:rsid w:val="00F07571"/>
    <w:rsid w:val="00F12715"/>
    <w:rsid w:val="00F12E54"/>
    <w:rsid w:val="00F14950"/>
    <w:rsid w:val="00F20350"/>
    <w:rsid w:val="00F21345"/>
    <w:rsid w:val="00F33188"/>
    <w:rsid w:val="00F36C2E"/>
    <w:rsid w:val="00F41047"/>
    <w:rsid w:val="00F7205B"/>
    <w:rsid w:val="00F74937"/>
    <w:rsid w:val="00F75BEB"/>
    <w:rsid w:val="00F80BB4"/>
    <w:rsid w:val="00F8448A"/>
    <w:rsid w:val="00F9092F"/>
    <w:rsid w:val="00F94D8F"/>
    <w:rsid w:val="00F969DC"/>
    <w:rsid w:val="00FA1605"/>
    <w:rsid w:val="00FA7DDE"/>
    <w:rsid w:val="00FB2FFF"/>
    <w:rsid w:val="00FB4DEA"/>
    <w:rsid w:val="00FB7BF4"/>
    <w:rsid w:val="00FC22AF"/>
    <w:rsid w:val="00FC2923"/>
    <w:rsid w:val="00FC292C"/>
    <w:rsid w:val="00FC341E"/>
    <w:rsid w:val="00FD0EC1"/>
    <w:rsid w:val="00FD4359"/>
    <w:rsid w:val="00FE19AE"/>
    <w:rsid w:val="00FF069F"/>
    <w:rsid w:val="00FF2767"/>
    <w:rsid w:val="00FF78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76765A"/>
  <w15:docId w15:val="{38A228E3-8D82-4CD0-9F4B-C659350E0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Heading1">
    <w:name w:val="heading 1"/>
    <w:basedOn w:val="Normal"/>
    <w:next w:val="Normal"/>
    <w:uiPriority w:val="9"/>
    <w:qFormat/>
    <w:rsid w:val="00A5201E"/>
    <w:pPr>
      <w:keepNext/>
      <w:keepLines/>
      <w:spacing w:before="400" w:after="120"/>
      <w:jc w:val="center"/>
      <w:outlineLvl w:val="0"/>
    </w:pPr>
    <w:rPr>
      <w:b/>
      <w:color w:val="365F91" w:themeColor="accent1" w:themeShade="BF"/>
      <w:sz w:val="24"/>
      <w:szCs w:val="40"/>
    </w:rPr>
  </w:style>
  <w:style w:type="paragraph" w:styleId="Heading2">
    <w:name w:val="heading 2"/>
    <w:basedOn w:val="Normal"/>
    <w:next w:val="Normal"/>
    <w:uiPriority w:val="9"/>
    <w:unhideWhenUsed/>
    <w:qFormat/>
    <w:rsid w:val="00924EFA"/>
    <w:pPr>
      <w:keepNext/>
      <w:keepLines/>
      <w:spacing w:before="360" w:after="120"/>
      <w:outlineLvl w:val="1"/>
    </w:pPr>
    <w:rPr>
      <w:b/>
      <w:color w:val="365F91" w:themeColor="accent1" w:themeShade="BF"/>
      <w:sz w:val="24"/>
      <w:szCs w:val="32"/>
    </w:rPr>
  </w:style>
  <w:style w:type="paragraph" w:styleId="Heading3">
    <w:name w:val="heading 3"/>
    <w:basedOn w:val="Normal"/>
    <w:next w:val="Normal"/>
    <w:uiPriority w:val="9"/>
    <w:unhideWhenUsed/>
    <w:qFormat/>
    <w:rsid w:val="00924EFA"/>
    <w:pPr>
      <w:keepNext/>
      <w:keepLines/>
      <w:spacing w:before="320" w:after="80"/>
      <w:outlineLvl w:val="2"/>
    </w:pPr>
    <w:rPr>
      <w:i/>
      <w:color w:val="365F91" w:themeColor="accent1" w:themeShade="BF"/>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231F9"/>
    <w:pPr>
      <w:keepNext/>
      <w:keepLines/>
      <w:spacing w:after="60"/>
    </w:pPr>
    <w:rPr>
      <w:b/>
      <w:color w:val="365F91" w:themeColor="accent1" w:themeShade="BF"/>
      <w:sz w:val="28"/>
      <w:szCs w:val="52"/>
    </w:rPr>
  </w:style>
  <w:style w:type="paragraph" w:styleId="Subtitle">
    <w:name w:val="Subtitle"/>
    <w:basedOn w:val="Normal"/>
    <w:next w:val="Normal"/>
    <w:uiPriority w:val="11"/>
    <w:qFormat/>
    <w:rsid w:val="000231F9"/>
    <w:pPr>
      <w:keepNext/>
      <w:keepLines/>
      <w:spacing w:after="320"/>
    </w:pPr>
    <w:rPr>
      <w:b/>
      <w:color w:val="365F91" w:themeColor="accent1" w:themeShade="BF"/>
      <w:sz w:val="24"/>
      <w:szCs w:val="30"/>
    </w:rPr>
  </w:style>
  <w:style w:type="paragraph" w:styleId="FootnoteText">
    <w:name w:val="footnote text"/>
    <w:basedOn w:val="Normal"/>
    <w:link w:val="FootnoteTextChar"/>
    <w:uiPriority w:val="99"/>
    <w:semiHidden/>
    <w:unhideWhenUsed/>
    <w:rsid w:val="000231F9"/>
    <w:pPr>
      <w:spacing w:line="240" w:lineRule="auto"/>
    </w:pPr>
    <w:rPr>
      <w:sz w:val="20"/>
      <w:szCs w:val="20"/>
    </w:rPr>
  </w:style>
  <w:style w:type="character" w:customStyle="1" w:styleId="FootnoteTextChar">
    <w:name w:val="Footnote Text Char"/>
    <w:basedOn w:val="DefaultParagraphFont"/>
    <w:link w:val="FootnoteText"/>
    <w:uiPriority w:val="99"/>
    <w:semiHidden/>
    <w:rsid w:val="000231F9"/>
    <w:rPr>
      <w:sz w:val="20"/>
      <w:szCs w:val="20"/>
    </w:rPr>
  </w:style>
  <w:style w:type="character" w:styleId="FootnoteReference">
    <w:name w:val="footnote reference"/>
    <w:basedOn w:val="DefaultParagraphFont"/>
    <w:uiPriority w:val="99"/>
    <w:semiHidden/>
    <w:unhideWhenUsed/>
    <w:rsid w:val="000231F9"/>
    <w:rPr>
      <w:vertAlign w:val="superscript"/>
    </w:rPr>
  </w:style>
  <w:style w:type="character" w:styleId="IntenseEmphasis">
    <w:name w:val="Intense Emphasis"/>
    <w:basedOn w:val="DefaultParagraphFont"/>
    <w:uiPriority w:val="21"/>
    <w:qFormat/>
    <w:rsid w:val="00924EFA"/>
    <w:rPr>
      <w:i/>
      <w:iCs/>
      <w:color w:val="4F81BD" w:themeColor="accent1"/>
    </w:rPr>
  </w:style>
  <w:style w:type="character" w:styleId="SubtleEmphasis">
    <w:name w:val="Subtle Emphasis"/>
    <w:basedOn w:val="DefaultParagraphFont"/>
    <w:uiPriority w:val="19"/>
    <w:qFormat/>
    <w:rsid w:val="00924EFA"/>
    <w:rPr>
      <w:i/>
      <w:iCs/>
      <w:color w:val="404040" w:themeColor="text1" w:themeTint="BF"/>
    </w:rPr>
  </w:style>
  <w:style w:type="character" w:styleId="Emphasis">
    <w:name w:val="Emphasis"/>
    <w:basedOn w:val="DefaultParagraphFont"/>
    <w:uiPriority w:val="20"/>
    <w:qFormat/>
    <w:rsid w:val="00924EFA"/>
    <w:rPr>
      <w:i/>
      <w:iCs/>
    </w:rPr>
  </w:style>
  <w:style w:type="paragraph" w:styleId="TOCHeading">
    <w:name w:val="TOC Heading"/>
    <w:basedOn w:val="Heading1"/>
    <w:next w:val="Normal"/>
    <w:uiPriority w:val="39"/>
    <w:unhideWhenUsed/>
    <w:qFormat/>
    <w:rsid w:val="00924EFA"/>
    <w:pPr>
      <w:spacing w:before="240" w:after="0" w:line="259" w:lineRule="auto"/>
      <w:outlineLvl w:val="9"/>
    </w:pPr>
    <w:rPr>
      <w:rFonts w:asciiTheme="majorHAnsi" w:eastAsiaTheme="majorEastAsia" w:hAnsiTheme="majorHAnsi" w:cstheme="majorBidi"/>
      <w:sz w:val="32"/>
      <w:szCs w:val="32"/>
      <w:lang w:val="en-US" w:eastAsia="en-US"/>
    </w:rPr>
  </w:style>
  <w:style w:type="paragraph" w:styleId="TOC2">
    <w:name w:val="toc 2"/>
    <w:basedOn w:val="Normal"/>
    <w:next w:val="Normal"/>
    <w:autoRedefine/>
    <w:uiPriority w:val="39"/>
    <w:unhideWhenUsed/>
    <w:rsid w:val="00924EFA"/>
    <w:pPr>
      <w:spacing w:after="100" w:line="259" w:lineRule="auto"/>
      <w:ind w:left="220"/>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924EFA"/>
    <w:pPr>
      <w:spacing w:after="100" w:line="259" w:lineRule="auto"/>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924EFA"/>
    <w:pPr>
      <w:spacing w:after="100" w:line="259" w:lineRule="auto"/>
      <w:ind w:left="440"/>
    </w:pPr>
    <w:rPr>
      <w:rFonts w:asciiTheme="minorHAnsi" w:eastAsiaTheme="minorEastAsia" w:hAnsiTheme="minorHAnsi" w:cs="Times New Roman"/>
      <w:lang w:val="en-US" w:eastAsia="en-US"/>
    </w:rPr>
  </w:style>
  <w:style w:type="character" w:styleId="Hyperlink">
    <w:name w:val="Hyperlink"/>
    <w:basedOn w:val="DefaultParagraphFont"/>
    <w:uiPriority w:val="99"/>
    <w:unhideWhenUsed/>
    <w:rsid w:val="00924EFA"/>
    <w:rPr>
      <w:color w:val="0000FF" w:themeColor="hyperlink"/>
      <w:u w:val="single"/>
    </w:rPr>
  </w:style>
  <w:style w:type="paragraph" w:styleId="ListParagraph">
    <w:name w:val="List Paragraph"/>
    <w:basedOn w:val="Normal"/>
    <w:uiPriority w:val="34"/>
    <w:qFormat/>
    <w:rsid w:val="006A5420"/>
    <w:pPr>
      <w:ind w:left="720"/>
      <w:contextualSpacing/>
    </w:pPr>
  </w:style>
  <w:style w:type="paragraph" w:styleId="Revision">
    <w:name w:val="Revision"/>
    <w:hidden/>
    <w:uiPriority w:val="99"/>
    <w:semiHidden/>
    <w:rsid w:val="00430CE1"/>
    <w:pPr>
      <w:spacing w:line="240" w:lineRule="auto"/>
    </w:pPr>
  </w:style>
  <w:style w:type="character" w:styleId="CommentReference">
    <w:name w:val="annotation reference"/>
    <w:basedOn w:val="DefaultParagraphFont"/>
    <w:uiPriority w:val="99"/>
    <w:semiHidden/>
    <w:unhideWhenUsed/>
    <w:rsid w:val="00430CE1"/>
    <w:rPr>
      <w:sz w:val="16"/>
      <w:szCs w:val="16"/>
    </w:rPr>
  </w:style>
  <w:style w:type="paragraph" w:styleId="CommentText">
    <w:name w:val="annotation text"/>
    <w:basedOn w:val="Normal"/>
    <w:link w:val="CommentTextChar"/>
    <w:uiPriority w:val="99"/>
    <w:unhideWhenUsed/>
    <w:rsid w:val="00430CE1"/>
    <w:pPr>
      <w:spacing w:line="240" w:lineRule="auto"/>
    </w:pPr>
    <w:rPr>
      <w:sz w:val="20"/>
      <w:szCs w:val="20"/>
    </w:rPr>
  </w:style>
  <w:style w:type="character" w:customStyle="1" w:styleId="CommentTextChar">
    <w:name w:val="Comment Text Char"/>
    <w:basedOn w:val="DefaultParagraphFont"/>
    <w:link w:val="CommentText"/>
    <w:uiPriority w:val="99"/>
    <w:rsid w:val="00430CE1"/>
    <w:rPr>
      <w:sz w:val="20"/>
      <w:szCs w:val="20"/>
    </w:rPr>
  </w:style>
  <w:style w:type="paragraph" w:styleId="CommentSubject">
    <w:name w:val="annotation subject"/>
    <w:basedOn w:val="CommentText"/>
    <w:next w:val="CommentText"/>
    <w:link w:val="CommentSubjectChar"/>
    <w:uiPriority w:val="99"/>
    <w:semiHidden/>
    <w:unhideWhenUsed/>
    <w:rsid w:val="00430CE1"/>
    <w:rPr>
      <w:b/>
      <w:bCs/>
    </w:rPr>
  </w:style>
  <w:style w:type="character" w:customStyle="1" w:styleId="CommentSubjectChar">
    <w:name w:val="Comment Subject Char"/>
    <w:basedOn w:val="CommentTextChar"/>
    <w:link w:val="CommentSubject"/>
    <w:uiPriority w:val="99"/>
    <w:semiHidden/>
    <w:rsid w:val="00430CE1"/>
    <w:rPr>
      <w:b/>
      <w:bCs/>
      <w:sz w:val="20"/>
      <w:szCs w:val="20"/>
    </w:rPr>
  </w:style>
  <w:style w:type="paragraph" w:styleId="NormalWeb">
    <w:name w:val="Normal (Web)"/>
    <w:basedOn w:val="Normal"/>
    <w:uiPriority w:val="99"/>
    <w:semiHidden/>
    <w:unhideWhenUsed/>
    <w:rsid w:val="0075580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Header">
    <w:name w:val="header"/>
    <w:basedOn w:val="Normal"/>
    <w:link w:val="HeaderChar"/>
    <w:uiPriority w:val="99"/>
    <w:unhideWhenUsed/>
    <w:rsid w:val="00D47BBE"/>
    <w:pPr>
      <w:tabs>
        <w:tab w:val="center" w:pos="4680"/>
        <w:tab w:val="right" w:pos="9360"/>
      </w:tabs>
      <w:spacing w:line="240" w:lineRule="auto"/>
    </w:pPr>
  </w:style>
  <w:style w:type="character" w:customStyle="1" w:styleId="HeaderChar">
    <w:name w:val="Header Char"/>
    <w:basedOn w:val="DefaultParagraphFont"/>
    <w:link w:val="Header"/>
    <w:uiPriority w:val="99"/>
    <w:rsid w:val="00D47BBE"/>
    <w:rPr>
      <w:lang w:val="es-CO"/>
    </w:rPr>
  </w:style>
  <w:style w:type="paragraph" w:styleId="Footer">
    <w:name w:val="footer"/>
    <w:basedOn w:val="Normal"/>
    <w:link w:val="FooterChar"/>
    <w:uiPriority w:val="99"/>
    <w:unhideWhenUsed/>
    <w:rsid w:val="00D47BBE"/>
    <w:pPr>
      <w:tabs>
        <w:tab w:val="center" w:pos="4680"/>
        <w:tab w:val="right" w:pos="9360"/>
      </w:tabs>
      <w:spacing w:line="240" w:lineRule="auto"/>
    </w:pPr>
  </w:style>
  <w:style w:type="character" w:customStyle="1" w:styleId="FooterChar">
    <w:name w:val="Footer Char"/>
    <w:basedOn w:val="DefaultParagraphFont"/>
    <w:link w:val="Footer"/>
    <w:uiPriority w:val="99"/>
    <w:rsid w:val="00D47BBE"/>
    <w:rPr>
      <w:lang w:val="es-CO"/>
    </w:rPr>
  </w:style>
  <w:style w:type="character" w:styleId="UnresolvedMention">
    <w:name w:val="Unresolved Mention"/>
    <w:basedOn w:val="DefaultParagraphFont"/>
    <w:uiPriority w:val="99"/>
    <w:semiHidden/>
    <w:unhideWhenUsed/>
    <w:rsid w:val="003D1349"/>
    <w:rPr>
      <w:color w:val="605E5C"/>
      <w:shd w:val="clear" w:color="auto" w:fill="E1DFDD"/>
    </w:rPr>
  </w:style>
  <w:style w:type="character" w:styleId="FollowedHyperlink">
    <w:name w:val="FollowedHyperlink"/>
    <w:basedOn w:val="DefaultParagraphFont"/>
    <w:uiPriority w:val="99"/>
    <w:semiHidden/>
    <w:unhideWhenUsed/>
    <w:rsid w:val="001074C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357324">
      <w:bodyDiv w:val="1"/>
      <w:marLeft w:val="0"/>
      <w:marRight w:val="0"/>
      <w:marTop w:val="0"/>
      <w:marBottom w:val="0"/>
      <w:divBdr>
        <w:top w:val="none" w:sz="0" w:space="0" w:color="auto"/>
        <w:left w:val="none" w:sz="0" w:space="0" w:color="auto"/>
        <w:bottom w:val="none" w:sz="0" w:space="0" w:color="auto"/>
        <w:right w:val="none" w:sz="0" w:space="0" w:color="auto"/>
      </w:divBdr>
    </w:div>
    <w:div w:id="793670340">
      <w:bodyDiv w:val="1"/>
      <w:marLeft w:val="0"/>
      <w:marRight w:val="0"/>
      <w:marTop w:val="0"/>
      <w:marBottom w:val="0"/>
      <w:divBdr>
        <w:top w:val="none" w:sz="0" w:space="0" w:color="auto"/>
        <w:left w:val="none" w:sz="0" w:space="0" w:color="auto"/>
        <w:bottom w:val="none" w:sz="0" w:space="0" w:color="auto"/>
        <w:right w:val="none" w:sz="0" w:space="0" w:color="auto"/>
      </w:divBdr>
    </w:div>
    <w:div w:id="1129201774">
      <w:bodyDiv w:val="1"/>
      <w:marLeft w:val="0"/>
      <w:marRight w:val="0"/>
      <w:marTop w:val="0"/>
      <w:marBottom w:val="0"/>
      <w:divBdr>
        <w:top w:val="none" w:sz="0" w:space="0" w:color="auto"/>
        <w:left w:val="none" w:sz="0" w:space="0" w:color="auto"/>
        <w:bottom w:val="none" w:sz="0" w:space="0" w:color="auto"/>
        <w:right w:val="none" w:sz="0" w:space="0" w:color="auto"/>
      </w:divBdr>
    </w:div>
    <w:div w:id="1506894455">
      <w:bodyDiv w:val="1"/>
      <w:marLeft w:val="0"/>
      <w:marRight w:val="0"/>
      <w:marTop w:val="0"/>
      <w:marBottom w:val="0"/>
      <w:divBdr>
        <w:top w:val="none" w:sz="0" w:space="0" w:color="auto"/>
        <w:left w:val="none" w:sz="0" w:space="0" w:color="auto"/>
        <w:bottom w:val="none" w:sz="0" w:space="0" w:color="auto"/>
        <w:right w:val="none" w:sz="0" w:space="0" w:color="auto"/>
      </w:divBdr>
    </w:div>
    <w:div w:id="1542128526">
      <w:bodyDiv w:val="1"/>
      <w:marLeft w:val="0"/>
      <w:marRight w:val="0"/>
      <w:marTop w:val="0"/>
      <w:marBottom w:val="0"/>
      <w:divBdr>
        <w:top w:val="none" w:sz="0" w:space="0" w:color="auto"/>
        <w:left w:val="none" w:sz="0" w:space="0" w:color="auto"/>
        <w:bottom w:val="none" w:sz="0" w:space="0" w:color="auto"/>
        <w:right w:val="none" w:sz="0" w:space="0" w:color="auto"/>
      </w:divBdr>
    </w:div>
    <w:div w:id="1997688143">
      <w:bodyDiv w:val="1"/>
      <w:marLeft w:val="0"/>
      <w:marRight w:val="0"/>
      <w:marTop w:val="0"/>
      <w:marBottom w:val="0"/>
      <w:divBdr>
        <w:top w:val="none" w:sz="0" w:space="0" w:color="auto"/>
        <w:left w:val="none" w:sz="0" w:space="0" w:color="auto"/>
        <w:bottom w:val="none" w:sz="0" w:space="0" w:color="auto"/>
        <w:right w:val="none" w:sz="0" w:space="0" w:color="auto"/>
      </w:divBdr>
    </w:div>
    <w:div w:id="2060859825">
      <w:bodyDiv w:val="1"/>
      <w:marLeft w:val="0"/>
      <w:marRight w:val="0"/>
      <w:marTop w:val="0"/>
      <w:marBottom w:val="0"/>
      <w:divBdr>
        <w:top w:val="none" w:sz="0" w:space="0" w:color="auto"/>
        <w:left w:val="none" w:sz="0" w:space="0" w:color="auto"/>
        <w:bottom w:val="none" w:sz="0" w:space="0" w:color="auto"/>
        <w:right w:val="none" w:sz="0" w:space="0" w:color="auto"/>
      </w:divBdr>
    </w:div>
    <w:div w:id="2083138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defensoria.gov.co/-/defensor%C3%ADa-del-pueblo-registr%C3%B3-184-casos-de-reclutamiento-de-menores-en-2023" TargetMode="External"/><Relationship Id="rId2" Type="http://schemas.openxmlformats.org/officeDocument/2006/relationships/hyperlink" Target="https://www.swissinfo.ch/spa/al-menos-123-menores-han-sido-reclutados-por-grupos-armados-este-a%C3%B1o-en-colombia/90179244" TargetMode="External"/><Relationship Id="rId1" Type="http://schemas.openxmlformats.org/officeDocument/2006/relationships/hyperlink" Target="https://colombia.un.org/sites/default/files/2025-06/06-27-2025-version-diagramada-nota-informativa-1%20%282%29.pdf" TargetMode="External"/><Relationship Id="rId6" Type="http://schemas.openxmlformats.org/officeDocument/2006/relationships/hyperlink" Target="https://elpais.com/america-colombia/2025-11-20/los-bombardeos-en-los-que-murieron-ninos-exponen-las-contradicciones-de-la-izquierda-y-la-derecha-colombiana.html" TargetMode="External"/><Relationship Id="rId5" Type="http://schemas.openxmlformats.org/officeDocument/2006/relationships/hyperlink" Target="https://www.infobae.com/colombia/2025/11/18/unicef-lanzo-pulla-en-medio-del-escandalo-de-los-menores-muertos-en-medio-de-bombardeos-es-urgente-poner-fin-al-reclutamiento/" TargetMode="External"/><Relationship Id="rId4" Type="http://schemas.openxmlformats.org/officeDocument/2006/relationships/hyperlink" Target="https://elpais.com/america-colombia/2025-11-18/medicina-legal-informa-de-15-ninos-muertos-en-bombardeos-militares-en-colombia-entre-agosto-y-noviembr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696E3-78AF-4428-B908-6EA8E419982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33</Pages>
  <Words>9167</Words>
  <Characters>60047</Characters>
  <Application>Microsoft Office Word</Application>
  <DocSecurity>0</DocSecurity>
  <Lines>1154</Lines>
  <Paragraphs>494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FUNSAREP - LENOVOIP3</dc:creator>
  <cp:lastModifiedBy>Isabelle Fleche</cp:lastModifiedBy>
  <cp:revision>2</cp:revision>
  <dcterms:created xsi:type="dcterms:W3CDTF">2026-01-07T10:56:00Z</dcterms:created>
  <dcterms:modified xsi:type="dcterms:W3CDTF">2026-01-07T10:56:00Z</dcterms:modified>
</cp:coreProperties>
</file>