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C1C90" w14:textId="39CE5FDE" w:rsidR="00F71EBE" w:rsidRPr="00F71EBE" w:rsidRDefault="00E30B35" w:rsidP="00E30B35">
      <w:pPr>
        <w:contextualSpacing/>
        <w:jc w:val="center"/>
        <w:rPr>
          <w:rFonts w:ascii="MetaPro-Norm" w:hAnsi="MetaPro-Norm"/>
          <w:color w:val="000000" w:themeColor="text1"/>
          <w:sz w:val="22"/>
          <w:szCs w:val="22"/>
        </w:rPr>
      </w:pPr>
      <w:r w:rsidRPr="00F71EBE">
        <w:rPr>
          <w:rFonts w:ascii="MetaPro-Norm" w:hAnsi="MetaPro-Norm"/>
          <w:noProof/>
          <w:color w:val="000000" w:themeColor="text1"/>
          <w:sz w:val="22"/>
          <w:szCs w:val="22"/>
        </w:rPr>
        <w:drawing>
          <wp:inline distT="0" distB="0" distL="0" distR="0" wp14:anchorId="7AE973C8" wp14:editId="690BB7C4">
            <wp:extent cx="1013460" cy="101346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HRW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3460" cy="1013460"/>
                    </a:xfrm>
                    <a:prstGeom prst="rect">
                      <a:avLst/>
                    </a:prstGeom>
                    <a:noFill/>
                    <a:ln>
                      <a:noFill/>
                    </a:ln>
                  </pic:spPr>
                </pic:pic>
              </a:graphicData>
            </a:graphic>
          </wp:inline>
        </w:drawing>
      </w:r>
    </w:p>
    <w:p w14:paraId="5FE0937B" w14:textId="77777777" w:rsidR="00F71EBE" w:rsidRPr="00F71EBE" w:rsidRDefault="00F71EBE" w:rsidP="00F71EBE">
      <w:pPr>
        <w:contextualSpacing/>
        <w:jc w:val="center"/>
        <w:rPr>
          <w:rFonts w:ascii="MetaPro-Norm" w:eastAsia="Calibri" w:hAnsi="MetaPro-Norm"/>
          <w:color w:val="000000" w:themeColor="text1"/>
          <w:sz w:val="22"/>
          <w:szCs w:val="22"/>
        </w:rPr>
      </w:pPr>
    </w:p>
    <w:p w14:paraId="05103FD3" w14:textId="77777777" w:rsidR="00232532" w:rsidRDefault="00F71EBE" w:rsidP="00F71EBE">
      <w:pPr>
        <w:pStyle w:val="NoSpacing"/>
        <w:contextualSpacing/>
        <w:jc w:val="center"/>
        <w:rPr>
          <w:rFonts w:ascii="MetaPro-Norm" w:hAnsi="MetaPro-Norm"/>
          <w:b/>
          <w:bCs/>
          <w:color w:val="000000" w:themeColor="text1"/>
          <w:lang w:val="en-US"/>
        </w:rPr>
      </w:pPr>
      <w:r w:rsidRPr="00F71EBE">
        <w:rPr>
          <w:rFonts w:ascii="MetaPro-Norm" w:hAnsi="MetaPro-Norm"/>
          <w:b/>
          <w:bCs/>
          <w:color w:val="000000" w:themeColor="text1"/>
          <w:lang w:val="en-US"/>
        </w:rPr>
        <w:t xml:space="preserve">Human Rights Watch </w:t>
      </w:r>
    </w:p>
    <w:p w14:paraId="2233DFFC" w14:textId="5B6D380D" w:rsidR="00232532" w:rsidRDefault="00F71EBE" w:rsidP="00232532">
      <w:pPr>
        <w:pStyle w:val="NoSpacing"/>
        <w:contextualSpacing/>
        <w:jc w:val="center"/>
        <w:rPr>
          <w:rFonts w:ascii="MetaPro-Norm" w:hAnsi="MetaPro-Norm"/>
          <w:b/>
          <w:bCs/>
          <w:color w:val="000000" w:themeColor="text1"/>
          <w:lang w:val="en-US"/>
        </w:rPr>
      </w:pPr>
      <w:r w:rsidRPr="00F71EBE">
        <w:rPr>
          <w:rFonts w:ascii="MetaPro-Norm" w:hAnsi="MetaPro-Norm"/>
          <w:b/>
          <w:bCs/>
          <w:color w:val="000000" w:themeColor="text1"/>
          <w:lang w:val="en-US"/>
        </w:rPr>
        <w:t xml:space="preserve">Submission to the </w:t>
      </w:r>
      <w:bookmarkStart w:id="0" w:name="_Hlk534376786"/>
      <w:r w:rsidRPr="00F71EBE">
        <w:rPr>
          <w:rFonts w:ascii="MetaPro-Norm" w:hAnsi="MetaPro-Norm"/>
          <w:b/>
          <w:bCs/>
          <w:color w:val="000000" w:themeColor="text1"/>
          <w:lang w:val="en-US"/>
        </w:rPr>
        <w:t xml:space="preserve">Committee </w:t>
      </w:r>
      <w:bookmarkEnd w:id="0"/>
      <w:r w:rsidRPr="00F71EBE">
        <w:rPr>
          <w:rFonts w:ascii="MetaPro-Norm" w:hAnsi="MetaPro-Norm"/>
          <w:b/>
          <w:bCs/>
          <w:color w:val="000000" w:themeColor="text1"/>
          <w:lang w:val="en-US"/>
        </w:rPr>
        <w:t xml:space="preserve">on the Elimination of Discrimination against Women </w:t>
      </w:r>
    </w:p>
    <w:p w14:paraId="4586C75A" w14:textId="37646999" w:rsidR="00F71EBE" w:rsidRPr="00F71EBE" w:rsidRDefault="00F71EBE" w:rsidP="00F71EBE">
      <w:pPr>
        <w:pStyle w:val="NoSpacing"/>
        <w:contextualSpacing/>
        <w:jc w:val="center"/>
        <w:rPr>
          <w:rFonts w:ascii="MetaPro-Norm" w:hAnsi="MetaPro-Norm"/>
          <w:b/>
          <w:bCs/>
          <w:color w:val="000000" w:themeColor="text1"/>
          <w:lang w:val="en-US"/>
        </w:rPr>
      </w:pPr>
      <w:r w:rsidRPr="00F71EBE">
        <w:rPr>
          <w:rFonts w:ascii="MetaPro-Norm" w:hAnsi="MetaPro-Norm"/>
          <w:b/>
          <w:bCs/>
          <w:color w:val="000000" w:themeColor="text1"/>
          <w:lang w:val="en-US"/>
        </w:rPr>
        <w:t>Review of Niger</w:t>
      </w:r>
    </w:p>
    <w:p w14:paraId="5E9A9039" w14:textId="77777777" w:rsidR="00F71EBE" w:rsidRPr="00F71EBE" w:rsidRDefault="00F71EBE" w:rsidP="00F71EBE">
      <w:pPr>
        <w:pStyle w:val="NoSpacing"/>
        <w:contextualSpacing/>
        <w:jc w:val="center"/>
        <w:rPr>
          <w:rFonts w:ascii="MetaPro-Norm" w:hAnsi="MetaPro-Norm"/>
          <w:b/>
          <w:bCs/>
          <w:color w:val="000000" w:themeColor="text1"/>
          <w:lang w:val="en-US"/>
        </w:rPr>
      </w:pPr>
      <w:r w:rsidRPr="00F71EBE">
        <w:rPr>
          <w:rFonts w:ascii="MetaPro-Norm" w:hAnsi="MetaPro-Norm"/>
          <w:b/>
          <w:bCs/>
          <w:lang w:val="en-US"/>
        </w:rPr>
        <w:t>81</w:t>
      </w:r>
      <w:r w:rsidRPr="00F71EBE">
        <w:rPr>
          <w:rFonts w:ascii="MetaPro-Norm" w:hAnsi="MetaPro-Norm"/>
          <w:b/>
          <w:bCs/>
          <w:vertAlign w:val="superscript"/>
          <w:lang w:val="en-US"/>
        </w:rPr>
        <w:t>st</w:t>
      </w:r>
      <w:r w:rsidRPr="00F71EBE">
        <w:rPr>
          <w:rFonts w:ascii="MetaPro-Norm" w:hAnsi="MetaPro-Norm"/>
          <w:b/>
          <w:bCs/>
          <w:lang w:val="en-US"/>
        </w:rPr>
        <w:t xml:space="preserve"> Pre-Session </w:t>
      </w:r>
    </w:p>
    <w:p w14:paraId="6A9BD450" w14:textId="77777777" w:rsidR="00F71EBE" w:rsidRPr="00F71EBE" w:rsidRDefault="00F71EBE" w:rsidP="00F71EBE">
      <w:pPr>
        <w:pStyle w:val="NoSpacing"/>
        <w:contextualSpacing/>
        <w:jc w:val="center"/>
        <w:rPr>
          <w:rFonts w:ascii="MetaPro-Norm" w:hAnsi="MetaPro-Norm"/>
          <w:i/>
          <w:iCs/>
          <w:color w:val="000000" w:themeColor="text1"/>
          <w:lang w:val="en-US"/>
        </w:rPr>
      </w:pPr>
      <w:r w:rsidRPr="00F71EBE">
        <w:rPr>
          <w:rFonts w:ascii="MetaPro-Norm" w:hAnsi="MetaPro-Norm"/>
          <w:b/>
          <w:bCs/>
          <w:i/>
          <w:iCs/>
          <w:color w:val="000000" w:themeColor="text1"/>
          <w:lang w:val="en-US"/>
        </w:rPr>
        <w:t>June 2021</w:t>
      </w:r>
      <w:r w:rsidRPr="00F71EBE">
        <w:rPr>
          <w:rFonts w:ascii="MetaPro-Norm" w:hAnsi="MetaPro-Norm"/>
          <w:i/>
          <w:iCs/>
          <w:color w:val="000000" w:themeColor="text1"/>
          <w:lang w:val="en-US"/>
        </w:rPr>
        <w:br/>
      </w:r>
    </w:p>
    <w:p w14:paraId="772CF9B2" w14:textId="472B9E29" w:rsidR="00F71EBE" w:rsidRPr="00F71EBE" w:rsidRDefault="00F71EBE" w:rsidP="00F71EBE">
      <w:pPr>
        <w:rPr>
          <w:rFonts w:ascii="MetaPro-Norm" w:hAnsi="MetaPro-Norm"/>
          <w:b/>
          <w:bCs/>
          <w:sz w:val="22"/>
          <w:szCs w:val="22"/>
        </w:rPr>
      </w:pPr>
      <w:r w:rsidRPr="00F71EBE">
        <w:rPr>
          <w:rFonts w:ascii="MetaPro-Norm" w:hAnsi="MetaPro-Norm"/>
          <w:sz w:val="22"/>
          <w:szCs w:val="22"/>
        </w:rPr>
        <w:t>We write in advance of the 81</w:t>
      </w:r>
      <w:r w:rsidRPr="00F71EBE">
        <w:rPr>
          <w:rFonts w:ascii="MetaPro-Norm" w:hAnsi="MetaPro-Norm"/>
          <w:sz w:val="22"/>
          <w:szCs w:val="22"/>
          <w:vertAlign w:val="superscript"/>
        </w:rPr>
        <w:t>st</w:t>
      </w:r>
      <w:r w:rsidRPr="00F71EBE">
        <w:rPr>
          <w:rFonts w:ascii="MetaPro-Norm" w:hAnsi="MetaPro-Norm"/>
          <w:sz w:val="22"/>
          <w:szCs w:val="22"/>
        </w:rPr>
        <w:t xml:space="preserve"> pre-session of the Committee on the Elimination of Discrimination against Women and its </w:t>
      </w:r>
      <w:r w:rsidR="00151AC5">
        <w:rPr>
          <w:rFonts w:ascii="MetaPro-Norm" w:hAnsi="MetaPro-Norm"/>
          <w:sz w:val="22"/>
          <w:szCs w:val="22"/>
        </w:rPr>
        <w:t>adoption of a list of issues prior to reporting regarding</w:t>
      </w:r>
      <w:r w:rsidRPr="00F71EBE">
        <w:rPr>
          <w:rFonts w:ascii="MetaPro-Norm" w:hAnsi="MetaPro-Norm"/>
          <w:sz w:val="22"/>
          <w:szCs w:val="22"/>
        </w:rPr>
        <w:t xml:space="preserve"> Niger’s compliance with the Convention on the Elimination of All Forms of Discrimination against Women. This submission includes </w:t>
      </w:r>
      <w:r w:rsidR="0058054D">
        <w:rPr>
          <w:rFonts w:ascii="MetaPro-Norm" w:hAnsi="MetaPro-Norm"/>
          <w:sz w:val="22"/>
          <w:szCs w:val="22"/>
        </w:rPr>
        <w:t xml:space="preserve">information on </w:t>
      </w:r>
      <w:r w:rsidR="00C7203B" w:rsidRPr="00C7203B">
        <w:rPr>
          <w:rFonts w:ascii="MetaPro-Norm" w:hAnsi="MetaPro-Norm"/>
          <w:bCs/>
          <w:iCs/>
          <w:sz w:val="22"/>
          <w:szCs w:val="22"/>
        </w:rPr>
        <w:t xml:space="preserve">barriers to the right to primary and secondary education </w:t>
      </w:r>
      <w:r w:rsidR="0058054D">
        <w:rPr>
          <w:rFonts w:ascii="MetaPro-Norm" w:hAnsi="MetaPro-Norm"/>
          <w:bCs/>
          <w:iCs/>
          <w:sz w:val="22"/>
          <w:szCs w:val="22"/>
        </w:rPr>
        <w:t xml:space="preserve">in Niger </w:t>
      </w:r>
      <w:r w:rsidR="00C7203B" w:rsidRPr="00C7203B">
        <w:rPr>
          <w:rFonts w:ascii="MetaPro-Norm" w:hAnsi="MetaPro-Norm"/>
          <w:bCs/>
          <w:iCs/>
          <w:sz w:val="22"/>
          <w:szCs w:val="22"/>
        </w:rPr>
        <w:t xml:space="preserve">and </w:t>
      </w:r>
      <w:r w:rsidR="0058054D">
        <w:rPr>
          <w:rFonts w:ascii="MetaPro-Norm" w:hAnsi="MetaPro-Norm"/>
          <w:bCs/>
          <w:iCs/>
          <w:sz w:val="22"/>
          <w:szCs w:val="22"/>
        </w:rPr>
        <w:t xml:space="preserve">the country’s efforts to </w:t>
      </w:r>
      <w:r w:rsidR="00C7203B" w:rsidRPr="00C7203B">
        <w:rPr>
          <w:rFonts w:ascii="MetaPro-Norm" w:hAnsi="MetaPro-Norm"/>
          <w:bCs/>
          <w:iCs/>
          <w:sz w:val="22"/>
          <w:szCs w:val="22"/>
        </w:rPr>
        <w:t>protect education from attack</w:t>
      </w:r>
      <w:r w:rsidR="0058054D">
        <w:rPr>
          <w:rFonts w:ascii="MetaPro-Norm" w:hAnsi="MetaPro-Norm"/>
          <w:bCs/>
          <w:iCs/>
          <w:sz w:val="22"/>
          <w:szCs w:val="22"/>
        </w:rPr>
        <w:t xml:space="preserve"> during armed conflict</w:t>
      </w:r>
      <w:r w:rsidR="00C7203B" w:rsidRPr="00C7203B">
        <w:rPr>
          <w:rFonts w:ascii="MetaPro-Norm" w:hAnsi="MetaPro-Norm"/>
          <w:bCs/>
          <w:iCs/>
          <w:sz w:val="22"/>
          <w:szCs w:val="22"/>
        </w:rPr>
        <w:t>.</w:t>
      </w:r>
    </w:p>
    <w:p w14:paraId="257421C4" w14:textId="7340178B" w:rsidR="00F71EBE" w:rsidRPr="00F71EBE" w:rsidRDefault="00F71EBE">
      <w:pPr>
        <w:rPr>
          <w:rFonts w:ascii="MetaPro-Norm" w:hAnsi="MetaPro-Norm"/>
          <w:sz w:val="22"/>
          <w:szCs w:val="22"/>
        </w:rPr>
      </w:pPr>
    </w:p>
    <w:p w14:paraId="5FC5A66A" w14:textId="4813915E" w:rsidR="00F71EBE" w:rsidRDefault="00F71EBE" w:rsidP="00F71EBE">
      <w:pPr>
        <w:rPr>
          <w:rFonts w:ascii="MetaPro-Norm" w:hAnsi="MetaPro-Norm"/>
          <w:b/>
          <w:i/>
          <w:sz w:val="22"/>
          <w:szCs w:val="22"/>
        </w:rPr>
      </w:pPr>
      <w:r w:rsidRPr="00F71EBE">
        <w:rPr>
          <w:rFonts w:ascii="MetaPro-Norm" w:hAnsi="MetaPro-Norm"/>
          <w:b/>
          <w:i/>
          <w:sz w:val="22"/>
          <w:szCs w:val="22"/>
        </w:rPr>
        <w:t>Barriers to the Right to Primary and Secondary Education (</w:t>
      </w:r>
      <w:r>
        <w:rPr>
          <w:rFonts w:ascii="MetaPro-Norm" w:hAnsi="MetaPro-Norm"/>
          <w:b/>
          <w:i/>
          <w:sz w:val="22"/>
          <w:szCs w:val="22"/>
        </w:rPr>
        <w:t>A</w:t>
      </w:r>
      <w:r w:rsidRPr="00F71EBE">
        <w:rPr>
          <w:rFonts w:ascii="MetaPro-Norm" w:hAnsi="MetaPro-Norm"/>
          <w:b/>
          <w:i/>
          <w:sz w:val="22"/>
          <w:szCs w:val="22"/>
        </w:rPr>
        <w:t xml:space="preserve">rticle </w:t>
      </w:r>
      <w:r w:rsidR="00344E8B">
        <w:rPr>
          <w:rFonts w:ascii="MetaPro-Norm" w:hAnsi="MetaPro-Norm"/>
          <w:b/>
          <w:i/>
          <w:sz w:val="22"/>
          <w:szCs w:val="22"/>
        </w:rPr>
        <w:t>10</w:t>
      </w:r>
      <w:r w:rsidR="00960861">
        <w:rPr>
          <w:rFonts w:ascii="MetaPro-Norm" w:hAnsi="MetaPro-Norm"/>
          <w:b/>
          <w:i/>
          <w:sz w:val="22"/>
          <w:szCs w:val="22"/>
        </w:rPr>
        <w:t xml:space="preserve"> and 16</w:t>
      </w:r>
      <w:r w:rsidRPr="00F71EBE">
        <w:rPr>
          <w:rFonts w:ascii="MetaPro-Norm" w:hAnsi="MetaPro-Norm"/>
          <w:b/>
          <w:i/>
          <w:sz w:val="22"/>
          <w:szCs w:val="22"/>
        </w:rPr>
        <w:t>)</w:t>
      </w:r>
    </w:p>
    <w:p w14:paraId="1FA59B44" w14:textId="77777777" w:rsidR="00F71EBE" w:rsidRPr="00F71EBE" w:rsidRDefault="00F71EBE" w:rsidP="00F71EBE">
      <w:pPr>
        <w:rPr>
          <w:rFonts w:ascii="MetaPro-Norm" w:hAnsi="MetaPro-Norm"/>
          <w:sz w:val="22"/>
          <w:szCs w:val="22"/>
        </w:rPr>
      </w:pPr>
    </w:p>
    <w:p w14:paraId="4756C7E2" w14:textId="7DA47D18" w:rsidR="00344E8B" w:rsidRPr="00344E8B" w:rsidRDefault="00344E8B" w:rsidP="00EC4B13">
      <w:pPr>
        <w:rPr>
          <w:rFonts w:ascii="MetaPro-Norm" w:hAnsi="MetaPro-Norm"/>
          <w:i/>
          <w:iCs/>
          <w:sz w:val="22"/>
          <w:szCs w:val="22"/>
        </w:rPr>
      </w:pPr>
      <w:r w:rsidRPr="00344E8B">
        <w:rPr>
          <w:rFonts w:ascii="MetaPro-Norm" w:hAnsi="MetaPro-Norm"/>
          <w:i/>
          <w:iCs/>
          <w:sz w:val="22"/>
          <w:szCs w:val="22"/>
        </w:rPr>
        <w:t>Pregnant Pupils</w:t>
      </w:r>
    </w:p>
    <w:p w14:paraId="0D48FE12" w14:textId="29DEA5C1" w:rsidR="004A6F64" w:rsidRDefault="0073083B" w:rsidP="00F71EBE">
      <w:pPr>
        <w:rPr>
          <w:rFonts w:ascii="MetaPro-Norm" w:hAnsi="MetaPro-Norm"/>
          <w:sz w:val="22"/>
          <w:szCs w:val="22"/>
        </w:rPr>
      </w:pPr>
      <w:r>
        <w:rPr>
          <w:rFonts w:ascii="MetaPro-Norm" w:hAnsi="MetaPro-Norm"/>
          <w:sz w:val="22"/>
          <w:szCs w:val="22"/>
        </w:rPr>
        <w:t>Niger has one of the highest rates of adolescent pregnancy, according to UNICEF data analy</w:t>
      </w:r>
      <w:r w:rsidR="00232532">
        <w:rPr>
          <w:rFonts w:ascii="MetaPro-Norm" w:hAnsi="MetaPro-Norm"/>
          <w:sz w:val="22"/>
          <w:szCs w:val="22"/>
        </w:rPr>
        <w:t>z</w:t>
      </w:r>
      <w:r>
        <w:rPr>
          <w:rFonts w:ascii="MetaPro-Norm" w:hAnsi="MetaPro-Norm"/>
          <w:sz w:val="22"/>
          <w:szCs w:val="22"/>
        </w:rPr>
        <w:t>ed by Human Rights Watch.</w:t>
      </w:r>
      <w:r>
        <w:rPr>
          <w:rStyle w:val="FootnoteReference"/>
          <w:rFonts w:ascii="MetaPro-Norm" w:hAnsi="MetaPro-Norm"/>
          <w:sz w:val="22"/>
          <w:szCs w:val="22"/>
        </w:rPr>
        <w:footnoteReference w:id="1"/>
      </w:r>
      <w:r>
        <w:rPr>
          <w:rFonts w:ascii="MetaPro-Norm" w:hAnsi="MetaPro-Norm"/>
          <w:sz w:val="22"/>
          <w:szCs w:val="22"/>
        </w:rPr>
        <w:t xml:space="preserve"> </w:t>
      </w:r>
      <w:r w:rsidR="00E774B0">
        <w:rPr>
          <w:rFonts w:ascii="MetaPro-Norm" w:hAnsi="MetaPro-Norm"/>
          <w:sz w:val="22"/>
          <w:szCs w:val="22"/>
        </w:rPr>
        <w:t>In Niger, 180 per 1000 women ages 15-19 gave birth.</w:t>
      </w:r>
      <w:r w:rsidR="00E774B0">
        <w:rPr>
          <w:rStyle w:val="FootnoteReference"/>
          <w:rFonts w:ascii="MetaPro-Norm" w:hAnsi="MetaPro-Norm"/>
          <w:sz w:val="22"/>
          <w:szCs w:val="22"/>
        </w:rPr>
        <w:footnoteReference w:id="2"/>
      </w:r>
      <w:r w:rsidR="00E774B0">
        <w:rPr>
          <w:rFonts w:ascii="MetaPro-Norm" w:hAnsi="MetaPro-Norm"/>
          <w:sz w:val="22"/>
          <w:szCs w:val="22"/>
        </w:rPr>
        <w:t xml:space="preserve"> </w:t>
      </w:r>
      <w:r w:rsidR="004A6F64">
        <w:rPr>
          <w:rFonts w:ascii="MetaPro-Norm" w:hAnsi="MetaPro-Norm"/>
          <w:sz w:val="22"/>
          <w:szCs w:val="22"/>
        </w:rPr>
        <w:t>Only 42 percent of girls are enrolled in basic education, compared with 58 percent of boys, according to the Nigerien government.</w:t>
      </w:r>
      <w:r w:rsidR="004A6F64">
        <w:rPr>
          <w:rStyle w:val="FootnoteReference"/>
          <w:rFonts w:ascii="MetaPro-Norm" w:hAnsi="MetaPro-Norm"/>
          <w:sz w:val="22"/>
          <w:szCs w:val="22"/>
        </w:rPr>
        <w:footnoteReference w:id="3"/>
      </w:r>
      <w:r w:rsidR="004A6F64">
        <w:rPr>
          <w:rFonts w:ascii="MetaPro-Norm" w:hAnsi="MetaPro-Norm"/>
          <w:sz w:val="22"/>
          <w:szCs w:val="22"/>
        </w:rPr>
        <w:t xml:space="preserve"> Many girls’ education suffers </w:t>
      </w:r>
      <w:proofErr w:type="gramStart"/>
      <w:r w:rsidR="004A6F64">
        <w:rPr>
          <w:rFonts w:ascii="MetaPro-Norm" w:hAnsi="MetaPro-Norm"/>
          <w:sz w:val="22"/>
          <w:szCs w:val="22"/>
        </w:rPr>
        <w:t>as a result of</w:t>
      </w:r>
      <w:proofErr w:type="gramEnd"/>
      <w:r w:rsidR="004A6F64">
        <w:rPr>
          <w:rFonts w:ascii="MetaPro-Norm" w:hAnsi="MetaPro-Norm"/>
          <w:sz w:val="22"/>
          <w:szCs w:val="22"/>
        </w:rPr>
        <w:t xml:space="preserve"> early marriage and pregnancy.</w:t>
      </w:r>
      <w:r w:rsidR="00D22ACF">
        <w:rPr>
          <w:rStyle w:val="FootnoteReference"/>
          <w:rFonts w:ascii="MetaPro-Norm" w:hAnsi="MetaPro-Norm"/>
          <w:sz w:val="22"/>
          <w:szCs w:val="22"/>
        </w:rPr>
        <w:footnoteReference w:id="4"/>
      </w:r>
      <w:r w:rsidR="004A6F64">
        <w:rPr>
          <w:rFonts w:ascii="MetaPro-Norm" w:hAnsi="MetaPro-Norm"/>
          <w:sz w:val="22"/>
          <w:szCs w:val="22"/>
        </w:rPr>
        <w:t xml:space="preserve"> </w:t>
      </w:r>
    </w:p>
    <w:p w14:paraId="0AD01BF3" w14:textId="77777777" w:rsidR="004A6F64" w:rsidRDefault="004A6F64" w:rsidP="00F71EBE">
      <w:pPr>
        <w:rPr>
          <w:rFonts w:ascii="MetaPro-Norm" w:hAnsi="MetaPro-Norm"/>
          <w:sz w:val="22"/>
          <w:szCs w:val="22"/>
        </w:rPr>
      </w:pPr>
    </w:p>
    <w:p w14:paraId="352370F9" w14:textId="5D89AA10" w:rsidR="00F71EBE" w:rsidRDefault="00EC4B13" w:rsidP="00F71EBE">
      <w:pPr>
        <w:rPr>
          <w:rFonts w:ascii="MetaPro-Norm" w:hAnsi="MetaPro-Norm"/>
          <w:sz w:val="22"/>
          <w:szCs w:val="22"/>
        </w:rPr>
      </w:pPr>
      <w:r>
        <w:rPr>
          <w:rFonts w:ascii="MetaPro-Norm" w:hAnsi="MetaPro-Norm"/>
          <w:sz w:val="22"/>
          <w:szCs w:val="22"/>
        </w:rPr>
        <w:t>Niger is among 24</w:t>
      </w:r>
      <w:r w:rsidRPr="00EC4B13">
        <w:rPr>
          <w:rFonts w:ascii="MetaPro-Norm" w:hAnsi="MetaPro-Norm"/>
          <w:sz w:val="22"/>
          <w:szCs w:val="22"/>
        </w:rPr>
        <w:t xml:space="preserve"> countries </w:t>
      </w:r>
      <w:r>
        <w:rPr>
          <w:rFonts w:ascii="MetaPro-Norm" w:hAnsi="MetaPro-Norm"/>
          <w:sz w:val="22"/>
          <w:szCs w:val="22"/>
        </w:rPr>
        <w:t xml:space="preserve">that </w:t>
      </w:r>
      <w:r w:rsidRPr="00EC4B13">
        <w:rPr>
          <w:rFonts w:ascii="MetaPro-Norm" w:hAnsi="MetaPro-Norm"/>
          <w:sz w:val="22"/>
          <w:szCs w:val="22"/>
        </w:rPr>
        <w:t>lack a policy or law to protect pregnant girls’ right to</w:t>
      </w:r>
      <w:r w:rsidR="00A17A55">
        <w:rPr>
          <w:rFonts w:ascii="MetaPro-Norm" w:hAnsi="MetaPro-Norm"/>
          <w:sz w:val="22"/>
          <w:szCs w:val="22"/>
        </w:rPr>
        <w:t xml:space="preserve"> </w:t>
      </w:r>
      <w:r w:rsidR="00A17F06">
        <w:rPr>
          <w:rFonts w:ascii="MetaPro-Norm" w:hAnsi="MetaPro-Norm"/>
          <w:sz w:val="22"/>
          <w:szCs w:val="22"/>
        </w:rPr>
        <w:t>e</w:t>
      </w:r>
      <w:r w:rsidRPr="00EC4B13">
        <w:rPr>
          <w:rFonts w:ascii="MetaPro-Norm" w:hAnsi="MetaPro-Norm"/>
          <w:sz w:val="22"/>
          <w:szCs w:val="22"/>
        </w:rPr>
        <w:t>ducation</w:t>
      </w:r>
      <w:r w:rsidR="00E774B0">
        <w:rPr>
          <w:rFonts w:ascii="MetaPro-Norm" w:hAnsi="MetaPro-Norm"/>
          <w:sz w:val="22"/>
          <w:szCs w:val="22"/>
        </w:rPr>
        <w:t xml:space="preserve">, based on research by Human Rights Watch on </w:t>
      </w:r>
      <w:r w:rsidR="00E774B0" w:rsidRPr="00F71EBE">
        <w:rPr>
          <w:rFonts w:ascii="MetaPro-Norm" w:hAnsi="MetaPro-Norm"/>
          <w:sz w:val="22"/>
          <w:szCs w:val="22"/>
        </w:rPr>
        <w:t>pregnant pupils</w:t>
      </w:r>
      <w:r w:rsidR="00E774B0">
        <w:rPr>
          <w:rFonts w:ascii="MetaPro-Norm" w:hAnsi="MetaPro-Norm"/>
          <w:sz w:val="22"/>
          <w:szCs w:val="22"/>
        </w:rPr>
        <w:t>’</w:t>
      </w:r>
      <w:r w:rsidR="00E774B0" w:rsidRPr="00F71EBE">
        <w:rPr>
          <w:rFonts w:ascii="MetaPro-Norm" w:hAnsi="MetaPro-Norm"/>
          <w:sz w:val="22"/>
          <w:szCs w:val="22"/>
        </w:rPr>
        <w:t xml:space="preserve"> and adolescent parents</w:t>
      </w:r>
      <w:r w:rsidR="00E774B0">
        <w:rPr>
          <w:rFonts w:ascii="MetaPro-Norm" w:hAnsi="MetaPro-Norm"/>
          <w:sz w:val="22"/>
          <w:szCs w:val="22"/>
        </w:rPr>
        <w:t>’</w:t>
      </w:r>
      <w:r w:rsidR="00E774B0" w:rsidRPr="00F71EBE">
        <w:rPr>
          <w:rFonts w:ascii="MetaPro-Norm" w:hAnsi="MetaPro-Norm"/>
          <w:sz w:val="22"/>
          <w:szCs w:val="22"/>
        </w:rPr>
        <w:t xml:space="preserve"> right</w:t>
      </w:r>
      <w:r w:rsidR="00E774B0">
        <w:rPr>
          <w:rFonts w:ascii="MetaPro-Norm" w:hAnsi="MetaPro-Norm"/>
          <w:sz w:val="22"/>
          <w:szCs w:val="22"/>
        </w:rPr>
        <w:t>s</w:t>
      </w:r>
      <w:r w:rsidR="00E774B0" w:rsidRPr="00F71EBE">
        <w:rPr>
          <w:rFonts w:ascii="MetaPro-Norm" w:hAnsi="MetaPro-Norm"/>
          <w:sz w:val="22"/>
          <w:szCs w:val="22"/>
        </w:rPr>
        <w:t xml:space="preserve"> to primary and secondary education in all African Union member countries.</w:t>
      </w:r>
      <w:r w:rsidR="00E774B0" w:rsidRPr="00F71EBE">
        <w:rPr>
          <w:rStyle w:val="FootnoteReference"/>
          <w:rFonts w:ascii="MetaPro-Norm" w:hAnsi="MetaPro-Norm"/>
          <w:sz w:val="22"/>
          <w:szCs w:val="22"/>
        </w:rPr>
        <w:footnoteReference w:id="5"/>
      </w:r>
      <w:r>
        <w:rPr>
          <w:rFonts w:ascii="MetaPro-Norm" w:hAnsi="MetaPro-Norm"/>
          <w:sz w:val="22"/>
          <w:szCs w:val="22"/>
        </w:rPr>
        <w:t xml:space="preserve"> </w:t>
      </w:r>
      <w:r w:rsidRPr="00EC4B13">
        <w:rPr>
          <w:rFonts w:ascii="MetaPro-Norm" w:hAnsi="MetaPro-Norm"/>
          <w:sz w:val="22"/>
          <w:szCs w:val="22"/>
        </w:rPr>
        <w:lastRenderedPageBreak/>
        <w:t>This</w:t>
      </w:r>
      <w:r>
        <w:rPr>
          <w:rFonts w:ascii="MetaPro-Norm" w:hAnsi="MetaPro-Norm"/>
          <w:sz w:val="22"/>
          <w:szCs w:val="22"/>
        </w:rPr>
        <w:t xml:space="preserve"> </w:t>
      </w:r>
      <w:r w:rsidRPr="00EC4B13">
        <w:rPr>
          <w:rFonts w:ascii="MetaPro-Norm" w:hAnsi="MetaPro-Norm"/>
          <w:sz w:val="22"/>
          <w:szCs w:val="22"/>
        </w:rPr>
        <w:t>often leads to irregular enforcement of compulsory education at the school level, where</w:t>
      </w:r>
      <w:r>
        <w:rPr>
          <w:rFonts w:ascii="MetaPro-Norm" w:hAnsi="MetaPro-Norm"/>
          <w:sz w:val="22"/>
          <w:szCs w:val="22"/>
        </w:rPr>
        <w:t xml:space="preserve"> </w:t>
      </w:r>
      <w:r w:rsidRPr="00EC4B13">
        <w:rPr>
          <w:rFonts w:ascii="MetaPro-Norm" w:hAnsi="MetaPro-Norm"/>
          <w:sz w:val="22"/>
          <w:szCs w:val="22"/>
        </w:rPr>
        <w:t>school officials can decide what happens with a pregnant girl’s education</w:t>
      </w:r>
      <w:r w:rsidR="00F71EBE" w:rsidRPr="00F71EBE">
        <w:rPr>
          <w:rFonts w:ascii="MetaPro-Norm" w:hAnsi="MetaPro-Norm"/>
          <w:sz w:val="22"/>
          <w:szCs w:val="22"/>
        </w:rPr>
        <w:t>.</w:t>
      </w:r>
      <w:r w:rsidR="00A17F06" w:rsidRPr="00A17F06">
        <w:rPr>
          <w:rFonts w:ascii="MetaPro-Norm" w:hAnsi="MetaPro-Norm"/>
          <w:sz w:val="22"/>
          <w:szCs w:val="22"/>
        </w:rPr>
        <w:t xml:space="preserve"> </w:t>
      </w:r>
    </w:p>
    <w:p w14:paraId="0AE5FC84" w14:textId="34151CEF" w:rsidR="00344E8B" w:rsidRDefault="00344E8B" w:rsidP="00F71EBE">
      <w:pPr>
        <w:rPr>
          <w:rFonts w:ascii="MetaPro-Norm" w:hAnsi="MetaPro-Norm"/>
          <w:bCs/>
          <w:iCs/>
          <w:sz w:val="22"/>
          <w:szCs w:val="22"/>
        </w:rPr>
      </w:pPr>
    </w:p>
    <w:p w14:paraId="12D64EDD" w14:textId="77777777" w:rsidR="00344E8B" w:rsidRPr="00344E8B" w:rsidRDefault="00344E8B" w:rsidP="00344E8B">
      <w:pPr>
        <w:rPr>
          <w:rFonts w:ascii="MetaPro-Norm" w:hAnsi="MetaPro-Norm"/>
          <w:bCs/>
          <w:i/>
          <w:sz w:val="22"/>
          <w:szCs w:val="22"/>
        </w:rPr>
      </w:pPr>
      <w:r w:rsidRPr="00195239">
        <w:rPr>
          <w:rFonts w:ascii="MetaPro-Norm" w:hAnsi="MetaPro-Norm"/>
          <w:bCs/>
          <w:i/>
          <w:sz w:val="22"/>
          <w:szCs w:val="22"/>
        </w:rPr>
        <w:t>Child Marriage</w:t>
      </w:r>
    </w:p>
    <w:p w14:paraId="429C3AF1" w14:textId="77777777" w:rsidR="00344E8B" w:rsidRDefault="00344E8B" w:rsidP="00344E8B">
      <w:pPr>
        <w:rPr>
          <w:rFonts w:ascii="MetaPro-Norm" w:hAnsi="MetaPro-Norm"/>
          <w:bCs/>
          <w:iCs/>
          <w:sz w:val="22"/>
          <w:szCs w:val="22"/>
        </w:rPr>
      </w:pPr>
      <w:r w:rsidRPr="00195239">
        <w:rPr>
          <w:rFonts w:ascii="MetaPro-Norm" w:hAnsi="MetaPro-Norm"/>
          <w:bCs/>
          <w:iCs/>
          <w:sz w:val="22"/>
          <w:szCs w:val="22"/>
        </w:rPr>
        <w:t>In sub-Saharan Africa, a staggering 40 percent of girls marry before age 18, and African countries account for 15 of the 20 countries with the highest rates of child marriage</w:t>
      </w:r>
      <w:r>
        <w:rPr>
          <w:rFonts w:ascii="MetaPro-Norm" w:hAnsi="MetaPro-Norm"/>
          <w:bCs/>
          <w:iCs/>
          <w:sz w:val="22"/>
          <w:szCs w:val="22"/>
        </w:rPr>
        <w:t xml:space="preserve">. </w:t>
      </w:r>
      <w:r w:rsidRPr="00195239">
        <w:rPr>
          <w:rFonts w:ascii="MetaPro-Norm" w:hAnsi="MetaPro-Norm"/>
          <w:bCs/>
          <w:iCs/>
          <w:sz w:val="22"/>
          <w:szCs w:val="22"/>
        </w:rPr>
        <w:t>Without progress to prevent child marriage, the number of girls married as children will double by 2050, and Africa will surpass South Asia as the region with the highest number of child brides in the world.</w:t>
      </w:r>
      <w:r>
        <w:rPr>
          <w:rStyle w:val="FootnoteReference"/>
          <w:rFonts w:ascii="MetaPro-Norm" w:hAnsi="MetaPro-Norm"/>
          <w:bCs/>
          <w:iCs/>
          <w:sz w:val="22"/>
          <w:szCs w:val="22"/>
        </w:rPr>
        <w:footnoteReference w:id="6"/>
      </w:r>
    </w:p>
    <w:p w14:paraId="7E8E1467" w14:textId="77777777" w:rsidR="00344E8B" w:rsidRDefault="00344E8B" w:rsidP="00344E8B">
      <w:pPr>
        <w:rPr>
          <w:rFonts w:ascii="MetaPro-Norm" w:hAnsi="MetaPro-Norm"/>
          <w:bCs/>
          <w:iCs/>
          <w:sz w:val="22"/>
          <w:szCs w:val="22"/>
        </w:rPr>
      </w:pPr>
    </w:p>
    <w:p w14:paraId="54B4F8D9" w14:textId="1FC43143" w:rsidR="00344E8B" w:rsidRDefault="00344E8B" w:rsidP="00F71EBE">
      <w:pPr>
        <w:rPr>
          <w:rFonts w:ascii="MetaPro-Norm" w:hAnsi="MetaPro-Norm"/>
          <w:bCs/>
          <w:iCs/>
          <w:sz w:val="22"/>
          <w:szCs w:val="22"/>
        </w:rPr>
      </w:pPr>
      <w:r>
        <w:rPr>
          <w:rFonts w:ascii="MetaPro-Norm" w:hAnsi="MetaPro-Norm"/>
          <w:bCs/>
          <w:iCs/>
          <w:sz w:val="22"/>
          <w:szCs w:val="22"/>
        </w:rPr>
        <w:t xml:space="preserve">According to UNICEF, </w:t>
      </w:r>
      <w:r w:rsidRPr="00195239">
        <w:rPr>
          <w:rFonts w:ascii="MetaPro-Norm" w:hAnsi="MetaPro-Norm"/>
          <w:bCs/>
          <w:iCs/>
          <w:sz w:val="22"/>
          <w:szCs w:val="22"/>
        </w:rPr>
        <w:t xml:space="preserve">Niger has the highest rate of child marriage in the world. Before the pandemic, </w:t>
      </w:r>
      <w:r>
        <w:rPr>
          <w:rFonts w:ascii="MetaPro-Norm" w:hAnsi="MetaPro-Norm"/>
          <w:bCs/>
          <w:iCs/>
          <w:sz w:val="22"/>
          <w:szCs w:val="22"/>
        </w:rPr>
        <w:t>three</w:t>
      </w:r>
      <w:r w:rsidRPr="00195239">
        <w:rPr>
          <w:rFonts w:ascii="MetaPro-Norm" w:hAnsi="MetaPro-Norm"/>
          <w:bCs/>
          <w:iCs/>
          <w:sz w:val="22"/>
          <w:szCs w:val="22"/>
        </w:rPr>
        <w:t xml:space="preserve"> in </w:t>
      </w:r>
      <w:r>
        <w:rPr>
          <w:rFonts w:ascii="MetaPro-Norm" w:hAnsi="MetaPro-Norm"/>
          <w:bCs/>
          <w:iCs/>
          <w:sz w:val="22"/>
          <w:szCs w:val="22"/>
        </w:rPr>
        <w:t>four</w:t>
      </w:r>
      <w:r w:rsidRPr="00195239">
        <w:rPr>
          <w:rFonts w:ascii="MetaPro-Norm" w:hAnsi="MetaPro-Norm"/>
          <w:bCs/>
          <w:iCs/>
          <w:sz w:val="22"/>
          <w:szCs w:val="22"/>
        </w:rPr>
        <w:t xml:space="preserve"> girls are married</w:t>
      </w:r>
      <w:r>
        <w:rPr>
          <w:rFonts w:ascii="MetaPro-Norm" w:hAnsi="MetaPro-Norm"/>
          <w:bCs/>
          <w:iCs/>
          <w:sz w:val="22"/>
          <w:szCs w:val="22"/>
        </w:rPr>
        <w:t xml:space="preserve"> in Niger</w:t>
      </w:r>
      <w:r w:rsidRPr="00195239">
        <w:rPr>
          <w:rFonts w:ascii="MetaPro-Norm" w:hAnsi="MetaPro-Norm"/>
          <w:bCs/>
          <w:iCs/>
          <w:sz w:val="22"/>
          <w:szCs w:val="22"/>
        </w:rPr>
        <w:t xml:space="preserve"> before </w:t>
      </w:r>
      <w:r>
        <w:rPr>
          <w:rFonts w:ascii="MetaPro-Norm" w:hAnsi="MetaPro-Norm"/>
          <w:bCs/>
          <w:iCs/>
          <w:sz w:val="22"/>
          <w:szCs w:val="22"/>
        </w:rPr>
        <w:t xml:space="preserve">they turn </w:t>
      </w:r>
      <w:r w:rsidR="00232532">
        <w:rPr>
          <w:rFonts w:ascii="MetaPro-Norm" w:hAnsi="MetaPro-Norm"/>
          <w:bCs/>
          <w:iCs/>
          <w:sz w:val="22"/>
          <w:szCs w:val="22"/>
        </w:rPr>
        <w:t>18</w:t>
      </w:r>
      <w:r w:rsidRPr="00195239">
        <w:rPr>
          <w:rFonts w:ascii="MetaPro-Norm" w:hAnsi="MetaPro-Norm"/>
          <w:bCs/>
          <w:iCs/>
          <w:sz w:val="22"/>
          <w:szCs w:val="22"/>
        </w:rPr>
        <w:t xml:space="preserve">. In some areas, the rates are even higher: in the region of </w:t>
      </w:r>
      <w:proofErr w:type="spellStart"/>
      <w:r w:rsidRPr="00195239">
        <w:rPr>
          <w:rFonts w:ascii="MetaPro-Norm" w:hAnsi="MetaPro-Norm"/>
          <w:bCs/>
          <w:iCs/>
          <w:sz w:val="22"/>
          <w:szCs w:val="22"/>
        </w:rPr>
        <w:t>Maradi</w:t>
      </w:r>
      <w:proofErr w:type="spellEnd"/>
      <w:r w:rsidRPr="00195239">
        <w:rPr>
          <w:rFonts w:ascii="MetaPro-Norm" w:hAnsi="MetaPro-Norm"/>
          <w:bCs/>
          <w:iCs/>
          <w:sz w:val="22"/>
          <w:szCs w:val="22"/>
        </w:rPr>
        <w:t>, 89</w:t>
      </w:r>
      <w:r>
        <w:rPr>
          <w:rFonts w:ascii="MetaPro-Norm" w:hAnsi="MetaPro-Norm"/>
          <w:bCs/>
          <w:iCs/>
          <w:sz w:val="22"/>
          <w:szCs w:val="22"/>
        </w:rPr>
        <w:t xml:space="preserve"> percent</w:t>
      </w:r>
      <w:r w:rsidRPr="00195239">
        <w:rPr>
          <w:rFonts w:ascii="MetaPro-Norm" w:hAnsi="MetaPro-Norm"/>
          <w:bCs/>
          <w:iCs/>
          <w:sz w:val="22"/>
          <w:szCs w:val="22"/>
        </w:rPr>
        <w:t xml:space="preserve"> of girls are married as children.</w:t>
      </w:r>
      <w:r>
        <w:rPr>
          <w:rFonts w:ascii="MetaPro-Norm" w:hAnsi="MetaPro-Norm"/>
          <w:bCs/>
          <w:iCs/>
          <w:sz w:val="22"/>
          <w:szCs w:val="22"/>
        </w:rPr>
        <w:t xml:space="preserve"> The onset of </w:t>
      </w:r>
      <w:r w:rsidR="00232532">
        <w:rPr>
          <w:rFonts w:ascii="MetaPro-Norm" w:hAnsi="MetaPro-Norm"/>
          <w:bCs/>
          <w:iCs/>
          <w:sz w:val="22"/>
          <w:szCs w:val="22"/>
        </w:rPr>
        <w:t xml:space="preserve">the </w:t>
      </w:r>
      <w:r>
        <w:rPr>
          <w:rFonts w:ascii="MetaPro-Norm" w:hAnsi="MetaPro-Norm"/>
          <w:bCs/>
          <w:iCs/>
          <w:sz w:val="22"/>
          <w:szCs w:val="22"/>
        </w:rPr>
        <w:t>Covid</w:t>
      </w:r>
      <w:r w:rsidRPr="00195239">
        <w:rPr>
          <w:rFonts w:ascii="MetaPro-Norm" w:hAnsi="MetaPro-Norm"/>
          <w:bCs/>
          <w:iCs/>
          <w:sz w:val="22"/>
          <w:szCs w:val="22"/>
        </w:rPr>
        <w:t xml:space="preserve">-19 </w:t>
      </w:r>
      <w:r w:rsidR="00232532">
        <w:rPr>
          <w:rFonts w:ascii="MetaPro-Norm" w:hAnsi="MetaPro-Norm"/>
          <w:bCs/>
          <w:iCs/>
          <w:sz w:val="22"/>
          <w:szCs w:val="22"/>
        </w:rPr>
        <w:t xml:space="preserve">pandemic </w:t>
      </w:r>
      <w:r w:rsidRPr="00195239">
        <w:rPr>
          <w:rFonts w:ascii="MetaPro-Norm" w:hAnsi="MetaPro-Norm"/>
          <w:bCs/>
          <w:iCs/>
          <w:sz w:val="22"/>
          <w:szCs w:val="22"/>
        </w:rPr>
        <w:t>has created significant additional pressure on an already overburdened health and social service delivery systems and exacerbat</w:t>
      </w:r>
      <w:r>
        <w:rPr>
          <w:rFonts w:ascii="MetaPro-Norm" w:hAnsi="MetaPro-Norm"/>
          <w:bCs/>
          <w:iCs/>
          <w:sz w:val="22"/>
          <w:szCs w:val="22"/>
        </w:rPr>
        <w:t>ed</w:t>
      </w:r>
      <w:r w:rsidRPr="00195239">
        <w:rPr>
          <w:rFonts w:ascii="MetaPro-Norm" w:hAnsi="MetaPro-Norm"/>
          <w:bCs/>
          <w:iCs/>
          <w:sz w:val="22"/>
          <w:szCs w:val="22"/>
        </w:rPr>
        <w:t xml:space="preserve"> vulnerabilities in affected populations.</w:t>
      </w:r>
      <w:r>
        <w:rPr>
          <w:rStyle w:val="FootnoteReference"/>
          <w:rFonts w:ascii="MetaPro-Norm" w:hAnsi="MetaPro-Norm"/>
          <w:bCs/>
          <w:iCs/>
          <w:sz w:val="22"/>
          <w:szCs w:val="22"/>
        </w:rPr>
        <w:footnoteReference w:id="7"/>
      </w:r>
    </w:p>
    <w:p w14:paraId="5AA50316" w14:textId="77777777" w:rsidR="00344E8B" w:rsidRDefault="00344E8B" w:rsidP="00F71EBE">
      <w:pPr>
        <w:rPr>
          <w:rFonts w:ascii="MetaPro-Norm" w:hAnsi="MetaPro-Norm"/>
          <w:bCs/>
          <w:iCs/>
          <w:sz w:val="22"/>
          <w:szCs w:val="22"/>
        </w:rPr>
      </w:pPr>
    </w:p>
    <w:p w14:paraId="2903D385" w14:textId="7DBF0B81" w:rsidR="00344E8B" w:rsidRDefault="00344E8B" w:rsidP="00F71EBE">
      <w:pPr>
        <w:rPr>
          <w:rFonts w:ascii="MetaPro-Norm" w:hAnsi="MetaPro-Norm"/>
          <w:bCs/>
          <w:iCs/>
          <w:sz w:val="22"/>
          <w:szCs w:val="22"/>
        </w:rPr>
      </w:pPr>
      <w:r w:rsidRPr="00195239">
        <w:rPr>
          <w:rFonts w:ascii="MetaPro-Norm" w:hAnsi="MetaPro-Norm"/>
          <w:bCs/>
          <w:iCs/>
          <w:sz w:val="22"/>
          <w:szCs w:val="22"/>
        </w:rPr>
        <w:t xml:space="preserve">The link between education and the prevalence of child marriage is </w:t>
      </w:r>
      <w:r>
        <w:rPr>
          <w:rFonts w:ascii="MetaPro-Norm" w:hAnsi="MetaPro-Norm"/>
          <w:bCs/>
          <w:iCs/>
          <w:sz w:val="22"/>
          <w:szCs w:val="22"/>
        </w:rPr>
        <w:t>clear</w:t>
      </w:r>
      <w:r w:rsidR="000E3F95">
        <w:rPr>
          <w:rFonts w:ascii="MetaPro-Norm" w:hAnsi="MetaPro-Norm"/>
          <w:bCs/>
          <w:iCs/>
          <w:sz w:val="22"/>
          <w:szCs w:val="22"/>
        </w:rPr>
        <w:t>:</w:t>
      </w:r>
      <w:r>
        <w:rPr>
          <w:rFonts w:ascii="MetaPro-Norm" w:hAnsi="MetaPro-Norm"/>
          <w:bCs/>
          <w:iCs/>
          <w:sz w:val="22"/>
          <w:szCs w:val="22"/>
        </w:rPr>
        <w:t xml:space="preserve"> </w:t>
      </w:r>
      <w:r w:rsidRPr="00195239">
        <w:rPr>
          <w:rFonts w:ascii="MetaPro-Norm" w:hAnsi="MetaPro-Norm"/>
          <w:bCs/>
          <w:iCs/>
          <w:sz w:val="22"/>
          <w:szCs w:val="22"/>
        </w:rPr>
        <w:t>81</w:t>
      </w:r>
      <w:r>
        <w:rPr>
          <w:rFonts w:ascii="MetaPro-Norm" w:hAnsi="MetaPro-Norm"/>
          <w:bCs/>
          <w:iCs/>
          <w:sz w:val="22"/>
          <w:szCs w:val="22"/>
        </w:rPr>
        <w:t xml:space="preserve"> percent</w:t>
      </w:r>
      <w:r w:rsidRPr="00195239">
        <w:rPr>
          <w:rFonts w:ascii="MetaPro-Norm" w:hAnsi="MetaPro-Norm"/>
          <w:bCs/>
          <w:iCs/>
          <w:sz w:val="22"/>
          <w:szCs w:val="22"/>
        </w:rPr>
        <w:t xml:space="preserve"> of women age</w:t>
      </w:r>
      <w:r w:rsidR="00232532">
        <w:rPr>
          <w:rFonts w:ascii="MetaPro-Norm" w:hAnsi="MetaPro-Norm"/>
          <w:bCs/>
          <w:iCs/>
          <w:sz w:val="22"/>
          <w:szCs w:val="22"/>
        </w:rPr>
        <w:t>s</w:t>
      </w:r>
      <w:r w:rsidRPr="00195239">
        <w:rPr>
          <w:rFonts w:ascii="MetaPro-Norm" w:hAnsi="MetaPro-Norm"/>
          <w:bCs/>
          <w:iCs/>
          <w:sz w:val="22"/>
          <w:szCs w:val="22"/>
        </w:rPr>
        <w:t xml:space="preserve"> 20-24 with no education and 63</w:t>
      </w:r>
      <w:r>
        <w:rPr>
          <w:rFonts w:ascii="MetaPro-Norm" w:hAnsi="MetaPro-Norm"/>
          <w:bCs/>
          <w:iCs/>
          <w:sz w:val="22"/>
          <w:szCs w:val="22"/>
        </w:rPr>
        <w:t xml:space="preserve"> percent</w:t>
      </w:r>
      <w:r w:rsidRPr="00195239">
        <w:rPr>
          <w:rFonts w:ascii="MetaPro-Norm" w:hAnsi="MetaPro-Norm"/>
          <w:bCs/>
          <w:iCs/>
          <w:sz w:val="22"/>
          <w:szCs w:val="22"/>
        </w:rPr>
        <w:t xml:space="preserve"> with only primary education were married or in union at age 18, compared to only 17</w:t>
      </w:r>
      <w:r>
        <w:rPr>
          <w:rFonts w:ascii="MetaPro-Norm" w:hAnsi="MetaPro-Norm"/>
          <w:bCs/>
          <w:iCs/>
          <w:sz w:val="22"/>
          <w:szCs w:val="22"/>
        </w:rPr>
        <w:t xml:space="preserve"> percent</w:t>
      </w:r>
      <w:r w:rsidRPr="00195239">
        <w:rPr>
          <w:rFonts w:ascii="MetaPro-Norm" w:hAnsi="MetaPro-Norm"/>
          <w:bCs/>
          <w:iCs/>
          <w:sz w:val="22"/>
          <w:szCs w:val="22"/>
        </w:rPr>
        <w:t xml:space="preserve"> of women with secondary education or higher.</w:t>
      </w:r>
      <w:r>
        <w:rPr>
          <w:rStyle w:val="FootnoteReference"/>
          <w:rFonts w:ascii="MetaPro-Norm" w:hAnsi="MetaPro-Norm"/>
          <w:bCs/>
          <w:iCs/>
          <w:sz w:val="22"/>
          <w:szCs w:val="22"/>
        </w:rPr>
        <w:footnoteReference w:id="8"/>
      </w:r>
    </w:p>
    <w:p w14:paraId="508236B3" w14:textId="77777777" w:rsidR="00F71EBE" w:rsidRPr="00F71EBE" w:rsidRDefault="00F71EBE" w:rsidP="00F71EBE">
      <w:pPr>
        <w:rPr>
          <w:rFonts w:ascii="MetaPro-Norm" w:hAnsi="MetaPro-Norm"/>
          <w:bCs/>
          <w:iCs/>
          <w:sz w:val="22"/>
          <w:szCs w:val="22"/>
        </w:rPr>
      </w:pPr>
    </w:p>
    <w:p w14:paraId="51165F20" w14:textId="0B44DC3D" w:rsidR="00F71EBE" w:rsidRPr="00F71EBE" w:rsidRDefault="00F71EBE" w:rsidP="00F71EBE">
      <w:pPr>
        <w:rPr>
          <w:rFonts w:ascii="MetaPro-Norm" w:hAnsi="MetaPro-Norm"/>
          <w:i/>
          <w:color w:val="000000" w:themeColor="text1"/>
          <w:sz w:val="22"/>
          <w:szCs w:val="22"/>
        </w:rPr>
      </w:pPr>
      <w:r w:rsidRPr="00F71EBE">
        <w:rPr>
          <w:rFonts w:ascii="MetaPro-Norm" w:hAnsi="MetaPro-Norm"/>
          <w:i/>
          <w:color w:val="000000" w:themeColor="text1"/>
          <w:sz w:val="22"/>
          <w:szCs w:val="22"/>
        </w:rPr>
        <w:t xml:space="preserve">Human Rights Watch recommends that the Committee ask the </w:t>
      </w:r>
      <w:r w:rsidR="00232532">
        <w:rPr>
          <w:rFonts w:ascii="MetaPro-Norm" w:hAnsi="MetaPro-Norm"/>
          <w:i/>
          <w:color w:val="000000" w:themeColor="text1"/>
          <w:sz w:val="22"/>
          <w:szCs w:val="22"/>
        </w:rPr>
        <w:t xml:space="preserve">Niger </w:t>
      </w:r>
      <w:r w:rsidRPr="00F71EBE">
        <w:rPr>
          <w:rFonts w:ascii="MetaPro-Norm" w:hAnsi="MetaPro-Norm"/>
          <w:i/>
          <w:color w:val="000000" w:themeColor="text1"/>
          <w:sz w:val="22"/>
          <w:szCs w:val="22"/>
        </w:rPr>
        <w:t>government:</w:t>
      </w:r>
    </w:p>
    <w:p w14:paraId="624C40AA" w14:textId="77777777" w:rsidR="00F71EBE" w:rsidRPr="00F71EBE" w:rsidRDefault="00F71EBE" w:rsidP="00F71EBE">
      <w:pPr>
        <w:rPr>
          <w:rFonts w:ascii="MetaPro-Norm" w:hAnsi="MetaPro-Norm"/>
          <w:i/>
          <w:color w:val="000000" w:themeColor="text1"/>
          <w:sz w:val="22"/>
          <w:szCs w:val="22"/>
        </w:rPr>
      </w:pPr>
    </w:p>
    <w:p w14:paraId="013FFA31" w14:textId="3C6E4EA7" w:rsidR="00EC4B13" w:rsidRPr="00F71EBE" w:rsidRDefault="00EC4B13" w:rsidP="00EC4B13">
      <w:pPr>
        <w:pStyle w:val="ListParagraph"/>
        <w:numPr>
          <w:ilvl w:val="0"/>
          <w:numId w:val="2"/>
        </w:numPr>
        <w:jc w:val="both"/>
        <w:rPr>
          <w:rFonts w:ascii="MetaPro-Norm" w:hAnsi="MetaPro-Norm"/>
          <w:color w:val="000000" w:themeColor="text1"/>
        </w:rPr>
      </w:pPr>
      <w:r w:rsidRPr="00F71EBE">
        <w:rPr>
          <w:rFonts w:ascii="MetaPro-Norm" w:hAnsi="MetaPro-Norm"/>
          <w:color w:val="000000" w:themeColor="text1"/>
        </w:rPr>
        <w:t xml:space="preserve">What measures will the government adopt to fully support pregnant students and adolescent </w:t>
      </w:r>
      <w:proofErr w:type="gramStart"/>
      <w:r w:rsidRPr="00F71EBE">
        <w:rPr>
          <w:rFonts w:ascii="MetaPro-Norm" w:hAnsi="MetaPro-Norm"/>
          <w:color w:val="000000" w:themeColor="text1"/>
        </w:rPr>
        <w:t>parents’</w:t>
      </w:r>
      <w:proofErr w:type="gramEnd"/>
      <w:r w:rsidRPr="00F71EBE">
        <w:rPr>
          <w:rFonts w:ascii="MetaPro-Norm" w:hAnsi="MetaPro-Norm"/>
          <w:color w:val="000000" w:themeColor="text1"/>
        </w:rPr>
        <w:t xml:space="preserve"> </w:t>
      </w:r>
      <w:r w:rsidR="008051F0">
        <w:rPr>
          <w:rFonts w:ascii="MetaPro-Norm" w:hAnsi="MetaPro-Norm"/>
          <w:color w:val="000000" w:themeColor="text1"/>
        </w:rPr>
        <w:t>to continue with</w:t>
      </w:r>
      <w:r w:rsidR="00232532">
        <w:rPr>
          <w:rFonts w:ascii="MetaPro-Norm" w:hAnsi="MetaPro-Norm"/>
          <w:color w:val="000000" w:themeColor="text1"/>
        </w:rPr>
        <w:t xml:space="preserve"> their</w:t>
      </w:r>
      <w:r w:rsidR="008051F0">
        <w:rPr>
          <w:rFonts w:ascii="MetaPro-Norm" w:hAnsi="MetaPro-Norm"/>
          <w:color w:val="000000" w:themeColor="text1"/>
        </w:rPr>
        <w:t xml:space="preserve"> education</w:t>
      </w:r>
      <w:r w:rsidR="008051F0" w:rsidRPr="00F71EBE">
        <w:rPr>
          <w:rFonts w:ascii="MetaPro-Norm" w:hAnsi="MetaPro-Norm"/>
          <w:color w:val="000000" w:themeColor="text1"/>
        </w:rPr>
        <w:t xml:space="preserve"> </w:t>
      </w:r>
      <w:r w:rsidR="00232532">
        <w:rPr>
          <w:rFonts w:ascii="MetaPro-Norm" w:hAnsi="MetaPro-Norm"/>
          <w:color w:val="000000" w:themeColor="text1"/>
        </w:rPr>
        <w:t xml:space="preserve">in </w:t>
      </w:r>
      <w:r w:rsidRPr="00F71EBE">
        <w:rPr>
          <w:rFonts w:ascii="MetaPro-Norm" w:hAnsi="MetaPro-Norm"/>
          <w:color w:val="000000" w:themeColor="text1"/>
        </w:rPr>
        <w:t>school?</w:t>
      </w:r>
    </w:p>
    <w:p w14:paraId="2BA93A65" w14:textId="48565A6E" w:rsidR="00EC4B13" w:rsidRPr="00EC4B13" w:rsidRDefault="00EC4B13" w:rsidP="00EC4B13">
      <w:pPr>
        <w:pStyle w:val="ListParagraph"/>
        <w:numPr>
          <w:ilvl w:val="0"/>
          <w:numId w:val="2"/>
        </w:numPr>
        <w:spacing w:after="0" w:line="240" w:lineRule="auto"/>
        <w:rPr>
          <w:rFonts w:ascii="MetaPro-Norm" w:hAnsi="MetaPro-Norm"/>
          <w:color w:val="000000" w:themeColor="text1"/>
        </w:rPr>
      </w:pPr>
      <w:r>
        <w:rPr>
          <w:rFonts w:ascii="MetaPro-Norm" w:hAnsi="MetaPro-Norm"/>
          <w:color w:val="000000" w:themeColor="text1"/>
          <w:shd w:val="clear" w:color="auto" w:fill="FFFFFF"/>
        </w:rPr>
        <w:t xml:space="preserve">What steps are being taken to ensure pregnant </w:t>
      </w:r>
      <w:r w:rsidRPr="00F71EBE">
        <w:rPr>
          <w:rFonts w:ascii="MetaPro-Norm" w:hAnsi="MetaPro-Norm"/>
          <w:color w:val="000000" w:themeColor="text1"/>
        </w:rPr>
        <w:t>and married students who wish to continue their education can do so in an environment free from stigma and discrimination</w:t>
      </w:r>
      <w:r>
        <w:rPr>
          <w:rFonts w:ascii="MetaPro-Norm" w:hAnsi="MetaPro-Norm"/>
          <w:color w:val="000000" w:themeColor="text1"/>
        </w:rPr>
        <w:t>?</w:t>
      </w:r>
    </w:p>
    <w:p w14:paraId="2259A522" w14:textId="52DE0D18" w:rsidR="00F71EBE" w:rsidRPr="00F71EBE" w:rsidRDefault="00F71EBE" w:rsidP="00F71EBE">
      <w:pPr>
        <w:pStyle w:val="ListParagraph"/>
        <w:numPr>
          <w:ilvl w:val="0"/>
          <w:numId w:val="3"/>
        </w:numPr>
        <w:spacing w:after="0" w:line="240" w:lineRule="auto"/>
        <w:jc w:val="both"/>
        <w:rPr>
          <w:rFonts w:ascii="MetaPro-Norm" w:hAnsi="MetaPro-Norm"/>
          <w:color w:val="000000" w:themeColor="text1"/>
          <w:shd w:val="clear" w:color="auto" w:fill="FFFFFF"/>
        </w:rPr>
      </w:pPr>
      <w:r w:rsidRPr="00F71EBE">
        <w:rPr>
          <w:rFonts w:ascii="MetaPro-Norm" w:hAnsi="MetaPro-Norm"/>
          <w:color w:val="000000" w:themeColor="text1"/>
        </w:rPr>
        <w:t>What steps are being taken to tackle barriers that lead to low retention of pupils in school, including school fees, indirect costs and gender discrimination, particularly in rural areas?</w:t>
      </w:r>
    </w:p>
    <w:p w14:paraId="218EFCAC" w14:textId="77777777" w:rsidR="00830F4D" w:rsidRDefault="00F71EBE" w:rsidP="00830F4D">
      <w:pPr>
        <w:pStyle w:val="ListParagraph"/>
        <w:numPr>
          <w:ilvl w:val="0"/>
          <w:numId w:val="3"/>
        </w:numPr>
        <w:spacing w:after="0" w:line="240" w:lineRule="auto"/>
        <w:jc w:val="both"/>
        <w:rPr>
          <w:rFonts w:ascii="MetaPro-Norm" w:hAnsi="MetaPro-Norm"/>
          <w:color w:val="000000" w:themeColor="text1"/>
          <w:shd w:val="clear" w:color="auto" w:fill="FFFFFF"/>
        </w:rPr>
      </w:pPr>
      <w:r w:rsidRPr="00F71EBE">
        <w:rPr>
          <w:rFonts w:ascii="MetaPro-Norm" w:hAnsi="MetaPro-Norm"/>
          <w:color w:val="000000" w:themeColor="text1"/>
          <w:shd w:val="clear" w:color="auto" w:fill="FFFFFF"/>
        </w:rPr>
        <w:t>What steps are being taken to increase coverage of adolescent health in rural areas, and provide girls with sexual and reproductive health services?</w:t>
      </w:r>
    </w:p>
    <w:p w14:paraId="3EE8A1FB" w14:textId="50EC7319" w:rsidR="00E30B35" w:rsidRPr="00E30B35" w:rsidRDefault="00830F4D" w:rsidP="00E30B35">
      <w:pPr>
        <w:pStyle w:val="ListParagraph"/>
        <w:numPr>
          <w:ilvl w:val="0"/>
          <w:numId w:val="3"/>
        </w:numPr>
        <w:spacing w:after="0" w:line="240" w:lineRule="auto"/>
        <w:jc w:val="both"/>
        <w:rPr>
          <w:rFonts w:ascii="MetaPro-Norm" w:hAnsi="MetaPro-Norm"/>
          <w:color w:val="000000" w:themeColor="text1"/>
          <w:shd w:val="clear" w:color="auto" w:fill="FFFFFF"/>
        </w:rPr>
      </w:pPr>
      <w:r>
        <w:rPr>
          <w:rFonts w:ascii="MetaPro-Norm" w:hAnsi="MetaPro-Norm"/>
          <w:color w:val="000000" w:themeColor="text1"/>
          <w:shd w:val="clear" w:color="auto" w:fill="FFFFFF"/>
        </w:rPr>
        <w:t xml:space="preserve">What steps are being taken to </w:t>
      </w:r>
      <w:r>
        <w:rPr>
          <w:rFonts w:ascii="MetaPro-Norm" w:hAnsi="MetaPro-Norm"/>
          <w:color w:val="000000" w:themeColor="text1"/>
        </w:rPr>
        <w:t>ad</w:t>
      </w:r>
      <w:r w:rsidR="00F71EBE" w:rsidRPr="00830F4D">
        <w:rPr>
          <w:rFonts w:ascii="MetaPro-Norm" w:hAnsi="MetaPro-Norm"/>
          <w:color w:val="000000" w:themeColor="text1"/>
        </w:rPr>
        <w:t xml:space="preserve">opt a strong curriculum on comprehensive sexuality education, which complies with international standards, is mandatory, age-appropriate, and scientifically </w:t>
      </w:r>
      <w:proofErr w:type="gramStart"/>
      <w:r w:rsidR="00F71EBE" w:rsidRPr="00830F4D">
        <w:rPr>
          <w:rFonts w:ascii="MetaPro-Norm" w:hAnsi="MetaPro-Norm"/>
          <w:color w:val="000000" w:themeColor="text1"/>
        </w:rPr>
        <w:t>accurate;</w:t>
      </w:r>
      <w:proofErr w:type="gramEnd"/>
      <w:r w:rsidR="00F71EBE" w:rsidRPr="00830F4D">
        <w:rPr>
          <w:rFonts w:ascii="MetaPro-Norm" w:hAnsi="MetaPro-Norm"/>
          <w:color w:val="000000" w:themeColor="text1"/>
        </w:rPr>
        <w:t xml:space="preserve"> including information on adolescent sexual and reproductive health and rights, responsible sexual </w:t>
      </w:r>
      <w:proofErr w:type="spellStart"/>
      <w:r w:rsidR="00F71EBE" w:rsidRPr="00830F4D">
        <w:rPr>
          <w:rFonts w:ascii="MetaPro-Norm" w:hAnsi="MetaPro-Norm"/>
          <w:color w:val="000000" w:themeColor="text1"/>
        </w:rPr>
        <w:t>behavior</w:t>
      </w:r>
      <w:proofErr w:type="spellEnd"/>
      <w:r w:rsidR="00F71EBE" w:rsidRPr="00830F4D">
        <w:rPr>
          <w:rFonts w:ascii="MetaPro-Norm" w:hAnsi="MetaPro-Norm"/>
          <w:color w:val="000000" w:themeColor="text1"/>
        </w:rPr>
        <w:t xml:space="preserve">, consent, </w:t>
      </w:r>
      <w:r w:rsidR="00232532">
        <w:rPr>
          <w:rFonts w:ascii="MetaPro-Norm" w:hAnsi="MetaPro-Norm"/>
          <w:color w:val="000000" w:themeColor="text1"/>
        </w:rPr>
        <w:t xml:space="preserve">and </w:t>
      </w:r>
      <w:r w:rsidR="00F71EBE" w:rsidRPr="00830F4D">
        <w:rPr>
          <w:rFonts w:ascii="MetaPro-Norm" w:hAnsi="MetaPro-Norm"/>
          <w:color w:val="000000" w:themeColor="text1"/>
        </w:rPr>
        <w:t>prevention of early pregnancy and sexually transmitted infections</w:t>
      </w:r>
      <w:r>
        <w:rPr>
          <w:rFonts w:ascii="MetaPro-Norm" w:hAnsi="MetaPro-Norm"/>
          <w:color w:val="000000" w:themeColor="text1"/>
        </w:rPr>
        <w:t>?</w:t>
      </w:r>
    </w:p>
    <w:p w14:paraId="72626389" w14:textId="654EEAE4" w:rsidR="00E30B35" w:rsidRPr="00E30B35" w:rsidRDefault="00195239" w:rsidP="00E30B35">
      <w:pPr>
        <w:pStyle w:val="ListParagraph"/>
        <w:numPr>
          <w:ilvl w:val="0"/>
          <w:numId w:val="3"/>
        </w:numPr>
        <w:jc w:val="both"/>
        <w:rPr>
          <w:rFonts w:ascii="MetaPro-Norm" w:hAnsi="MetaPro-Norm"/>
        </w:rPr>
      </w:pPr>
      <w:r w:rsidRPr="00195239">
        <w:rPr>
          <w:rFonts w:ascii="MetaPro-Norm" w:hAnsi="MetaPro-Norm"/>
          <w:color w:val="000000" w:themeColor="text1"/>
          <w:shd w:val="clear" w:color="auto" w:fill="FFFFFF"/>
        </w:rPr>
        <w:lastRenderedPageBreak/>
        <w:t>What measures are being taken to raise the minimum age for marriage to 18</w:t>
      </w:r>
      <w:r w:rsidR="008051F0">
        <w:rPr>
          <w:rFonts w:ascii="MetaPro-Norm" w:hAnsi="MetaPro-Norm"/>
          <w:color w:val="000000" w:themeColor="text1"/>
          <w:shd w:val="clear" w:color="auto" w:fill="FFFFFF"/>
        </w:rPr>
        <w:t xml:space="preserve"> and to protect the rights of married girls</w:t>
      </w:r>
      <w:r w:rsidR="00DB4FFD">
        <w:rPr>
          <w:rFonts w:ascii="MetaPro-Norm" w:hAnsi="MetaPro-Norm"/>
          <w:color w:val="000000" w:themeColor="text1"/>
          <w:shd w:val="clear" w:color="auto" w:fill="FFFFFF"/>
        </w:rPr>
        <w:t>?</w:t>
      </w:r>
    </w:p>
    <w:p w14:paraId="4921D0A9" w14:textId="77777777" w:rsidR="00F71EBE" w:rsidRPr="00F71EBE" w:rsidRDefault="00F71EBE" w:rsidP="00F71EBE">
      <w:pPr>
        <w:rPr>
          <w:rFonts w:ascii="MetaPro-Norm" w:hAnsi="MetaPro-Norm"/>
          <w:b/>
          <w:bCs/>
          <w:sz w:val="22"/>
          <w:szCs w:val="22"/>
        </w:rPr>
      </w:pPr>
      <w:r w:rsidRPr="00F71EBE">
        <w:rPr>
          <w:rFonts w:ascii="MetaPro-Norm" w:hAnsi="MetaPro-Norm"/>
          <w:b/>
          <w:bCs/>
          <w:sz w:val="22"/>
          <w:szCs w:val="22"/>
        </w:rPr>
        <w:t xml:space="preserve">Protection of Education from Attack (article 10) </w:t>
      </w:r>
    </w:p>
    <w:p w14:paraId="314EC015" w14:textId="77777777" w:rsidR="00F71EBE" w:rsidRPr="00F71EBE" w:rsidRDefault="00F71EBE" w:rsidP="00F71EBE">
      <w:pPr>
        <w:pStyle w:val="NoSpacing"/>
        <w:contextualSpacing/>
        <w:rPr>
          <w:rFonts w:ascii="MetaPro-Norm" w:eastAsiaTheme="minorEastAsia" w:hAnsi="MetaPro-Norm"/>
          <w:b/>
          <w:bCs/>
          <w:color w:val="000000" w:themeColor="text1"/>
        </w:rPr>
      </w:pPr>
    </w:p>
    <w:p w14:paraId="2E46F609" w14:textId="6ECC280B" w:rsidR="00416CD9" w:rsidRDefault="0048670F" w:rsidP="005B0B24">
      <w:pPr>
        <w:rPr>
          <w:rFonts w:ascii="MetaPro-Norm" w:hAnsi="MetaPro-Norm"/>
          <w:color w:val="000000" w:themeColor="text1"/>
          <w:sz w:val="22"/>
          <w:szCs w:val="22"/>
        </w:rPr>
      </w:pPr>
      <w:r w:rsidRPr="0048670F">
        <w:rPr>
          <w:rFonts w:ascii="MetaPro-Norm" w:hAnsi="MetaPro-Norm"/>
          <w:color w:val="000000" w:themeColor="text1"/>
          <w:sz w:val="22"/>
          <w:szCs w:val="22"/>
        </w:rPr>
        <w:t xml:space="preserve">Between 2017 and 2019, </w:t>
      </w:r>
      <w:r w:rsidR="00C7203B">
        <w:rPr>
          <w:rFonts w:ascii="MetaPro-Norm" w:hAnsi="MetaPro-Norm"/>
          <w:color w:val="000000" w:themeColor="text1"/>
          <w:sz w:val="22"/>
          <w:szCs w:val="22"/>
        </w:rPr>
        <w:t xml:space="preserve">the Global Coalition to Protect Education from Attack (GCPEA) documented </w:t>
      </w:r>
      <w:r w:rsidRPr="0048670F">
        <w:rPr>
          <w:rFonts w:ascii="MetaPro-Norm" w:hAnsi="MetaPro-Norm"/>
          <w:color w:val="000000" w:themeColor="text1"/>
          <w:sz w:val="22"/>
          <w:szCs w:val="22"/>
        </w:rPr>
        <w:t xml:space="preserve">increased </w:t>
      </w:r>
      <w:r w:rsidR="00C7203B" w:rsidRPr="0048670F">
        <w:rPr>
          <w:rFonts w:ascii="MetaPro-Norm" w:hAnsi="MetaPro-Norm"/>
          <w:color w:val="000000" w:themeColor="text1"/>
          <w:sz w:val="22"/>
          <w:szCs w:val="22"/>
        </w:rPr>
        <w:t xml:space="preserve">insecurity </w:t>
      </w:r>
      <w:r w:rsidRPr="0048670F">
        <w:rPr>
          <w:rFonts w:ascii="MetaPro-Norm" w:hAnsi="MetaPro-Norm"/>
          <w:color w:val="000000" w:themeColor="text1"/>
          <w:sz w:val="22"/>
          <w:szCs w:val="22"/>
        </w:rPr>
        <w:t xml:space="preserve">in Niger in both the southeastern Diffa region and in </w:t>
      </w:r>
      <w:proofErr w:type="spellStart"/>
      <w:r w:rsidRPr="0048670F">
        <w:rPr>
          <w:rFonts w:ascii="MetaPro-Norm" w:hAnsi="MetaPro-Norm"/>
          <w:color w:val="000000" w:themeColor="text1"/>
          <w:sz w:val="22"/>
          <w:szCs w:val="22"/>
        </w:rPr>
        <w:t>Tillabéri</w:t>
      </w:r>
      <w:proofErr w:type="spellEnd"/>
      <w:r w:rsidRPr="0048670F">
        <w:rPr>
          <w:rFonts w:ascii="MetaPro-Norm" w:hAnsi="MetaPro-Norm"/>
          <w:color w:val="000000" w:themeColor="text1"/>
          <w:sz w:val="22"/>
          <w:szCs w:val="22"/>
        </w:rPr>
        <w:t xml:space="preserve"> and</w:t>
      </w:r>
      <w:r>
        <w:rPr>
          <w:rFonts w:ascii="MetaPro-Norm" w:hAnsi="MetaPro-Norm"/>
          <w:color w:val="000000" w:themeColor="text1"/>
          <w:sz w:val="22"/>
          <w:szCs w:val="22"/>
        </w:rPr>
        <w:t xml:space="preserve"> </w:t>
      </w:r>
      <w:proofErr w:type="spellStart"/>
      <w:r w:rsidRPr="0048670F">
        <w:rPr>
          <w:rFonts w:ascii="MetaPro-Norm" w:hAnsi="MetaPro-Norm"/>
          <w:color w:val="000000" w:themeColor="text1"/>
          <w:sz w:val="22"/>
          <w:szCs w:val="22"/>
        </w:rPr>
        <w:t>Tahoua</w:t>
      </w:r>
      <w:proofErr w:type="spellEnd"/>
      <w:r w:rsidRPr="0048670F">
        <w:rPr>
          <w:rFonts w:ascii="MetaPro-Norm" w:hAnsi="MetaPro-Norm"/>
          <w:color w:val="000000" w:themeColor="text1"/>
          <w:sz w:val="22"/>
          <w:szCs w:val="22"/>
        </w:rPr>
        <w:t xml:space="preserve"> regions at the western borders with Mali and Burkina Faso.</w:t>
      </w:r>
      <w:r w:rsidR="00416CD9">
        <w:rPr>
          <w:rFonts w:ascii="MetaPro-Norm" w:hAnsi="MetaPro-Norm"/>
          <w:color w:val="000000" w:themeColor="text1"/>
          <w:sz w:val="22"/>
          <w:szCs w:val="22"/>
        </w:rPr>
        <w:t xml:space="preserve"> </w:t>
      </w:r>
      <w:r w:rsidR="00C7203B">
        <w:rPr>
          <w:rFonts w:ascii="MetaPro-Norm" w:hAnsi="MetaPro-Norm"/>
          <w:color w:val="000000" w:themeColor="text1"/>
          <w:sz w:val="22"/>
          <w:szCs w:val="22"/>
        </w:rPr>
        <w:t>I</w:t>
      </w:r>
      <w:r w:rsidRPr="0048670F">
        <w:rPr>
          <w:rFonts w:ascii="MetaPro-Norm" w:hAnsi="MetaPro-Norm"/>
          <w:color w:val="000000" w:themeColor="text1"/>
          <w:sz w:val="22"/>
          <w:szCs w:val="22"/>
        </w:rPr>
        <w:t xml:space="preserve">nsecurity constrained the right to education in </w:t>
      </w:r>
      <w:proofErr w:type="spellStart"/>
      <w:r w:rsidRPr="0048670F">
        <w:rPr>
          <w:rFonts w:ascii="MetaPro-Norm" w:hAnsi="MetaPro-Norm"/>
          <w:color w:val="000000" w:themeColor="text1"/>
          <w:sz w:val="22"/>
          <w:szCs w:val="22"/>
        </w:rPr>
        <w:t>Tillabéri</w:t>
      </w:r>
      <w:proofErr w:type="spellEnd"/>
      <w:r w:rsidRPr="0048670F">
        <w:rPr>
          <w:rFonts w:ascii="MetaPro-Norm" w:hAnsi="MetaPro-Norm"/>
          <w:color w:val="000000" w:themeColor="text1"/>
          <w:sz w:val="22"/>
          <w:szCs w:val="22"/>
        </w:rPr>
        <w:t xml:space="preserve"> region for various reasons, including armed groups</w:t>
      </w:r>
      <w:r>
        <w:rPr>
          <w:rFonts w:ascii="MetaPro-Norm" w:hAnsi="MetaPro-Norm"/>
          <w:color w:val="000000" w:themeColor="text1"/>
          <w:sz w:val="22"/>
          <w:szCs w:val="22"/>
        </w:rPr>
        <w:t xml:space="preserve"> </w:t>
      </w:r>
      <w:r w:rsidRPr="0048670F">
        <w:rPr>
          <w:rFonts w:ascii="MetaPro-Norm" w:hAnsi="MetaPro-Norm"/>
          <w:color w:val="000000" w:themeColor="text1"/>
          <w:sz w:val="22"/>
          <w:szCs w:val="22"/>
        </w:rPr>
        <w:t>preaching against alleged “Western education</w:t>
      </w:r>
      <w:r w:rsidR="005B0B24">
        <w:rPr>
          <w:rFonts w:ascii="MetaPro-Norm" w:hAnsi="MetaPro-Norm"/>
          <w:color w:val="000000" w:themeColor="text1"/>
          <w:sz w:val="22"/>
          <w:szCs w:val="22"/>
        </w:rPr>
        <w:t>,</w:t>
      </w:r>
      <w:r w:rsidRPr="0048670F">
        <w:rPr>
          <w:rFonts w:ascii="MetaPro-Norm" w:hAnsi="MetaPro-Norm"/>
          <w:color w:val="000000" w:themeColor="text1"/>
          <w:sz w:val="22"/>
          <w:szCs w:val="22"/>
        </w:rPr>
        <w:t>” teacher shortages in conflict-affected areas, internal displacement, and threats made to education staff</w:t>
      </w:r>
      <w:r w:rsidR="00C7203B">
        <w:rPr>
          <w:rFonts w:ascii="MetaPro-Norm" w:hAnsi="MetaPro-Norm"/>
          <w:color w:val="000000" w:themeColor="text1"/>
          <w:sz w:val="22"/>
          <w:szCs w:val="22"/>
        </w:rPr>
        <w:t>. It was</w:t>
      </w:r>
      <w:r w:rsidRPr="0048670F">
        <w:rPr>
          <w:rFonts w:ascii="MetaPro-Norm" w:hAnsi="MetaPro-Norm"/>
          <w:color w:val="000000" w:themeColor="text1"/>
          <w:sz w:val="22"/>
          <w:szCs w:val="22"/>
        </w:rPr>
        <w:t xml:space="preserve"> reported that over 110 schools were closed in </w:t>
      </w:r>
      <w:proofErr w:type="spellStart"/>
      <w:r w:rsidRPr="0048670F">
        <w:rPr>
          <w:rFonts w:ascii="MetaPro-Norm" w:hAnsi="MetaPro-Norm"/>
          <w:color w:val="000000" w:themeColor="text1"/>
          <w:sz w:val="22"/>
          <w:szCs w:val="22"/>
        </w:rPr>
        <w:t>Tillabéri</w:t>
      </w:r>
      <w:proofErr w:type="spellEnd"/>
      <w:r w:rsidRPr="0048670F">
        <w:rPr>
          <w:rFonts w:ascii="MetaPro-Norm" w:hAnsi="MetaPro-Norm"/>
          <w:color w:val="000000" w:themeColor="text1"/>
          <w:sz w:val="22"/>
          <w:szCs w:val="22"/>
        </w:rPr>
        <w:t xml:space="preserve"> at</w:t>
      </w:r>
      <w:r>
        <w:rPr>
          <w:rFonts w:ascii="MetaPro-Norm" w:hAnsi="MetaPro-Norm"/>
          <w:color w:val="000000" w:themeColor="text1"/>
          <w:sz w:val="22"/>
          <w:szCs w:val="22"/>
        </w:rPr>
        <w:t xml:space="preserve"> </w:t>
      </w:r>
      <w:r w:rsidRPr="0048670F">
        <w:rPr>
          <w:rFonts w:ascii="MetaPro-Norm" w:hAnsi="MetaPro-Norm"/>
          <w:color w:val="000000" w:themeColor="text1"/>
          <w:sz w:val="22"/>
          <w:szCs w:val="22"/>
        </w:rPr>
        <w:t>the end of 2019 due to insecurity and targeted attacks.</w:t>
      </w:r>
      <w:r w:rsidR="00C7203B">
        <w:rPr>
          <w:rStyle w:val="FootnoteReference"/>
          <w:rFonts w:ascii="MetaPro-Norm" w:hAnsi="MetaPro-Norm"/>
          <w:color w:val="000000" w:themeColor="text1"/>
          <w:sz w:val="22"/>
          <w:szCs w:val="22"/>
        </w:rPr>
        <w:footnoteReference w:id="9"/>
      </w:r>
      <w:r w:rsidR="004A2DF1">
        <w:rPr>
          <w:rFonts w:ascii="MetaPro-Norm" w:hAnsi="MetaPro-Norm"/>
          <w:color w:val="000000" w:themeColor="text1"/>
          <w:sz w:val="22"/>
          <w:szCs w:val="22"/>
        </w:rPr>
        <w:t xml:space="preserve"> </w:t>
      </w:r>
      <w:r w:rsidR="00416CD9">
        <w:rPr>
          <w:rFonts w:ascii="MetaPro-Norm" w:hAnsi="MetaPro-Norm"/>
          <w:color w:val="000000" w:themeColor="text1"/>
          <w:sz w:val="22"/>
          <w:szCs w:val="22"/>
        </w:rPr>
        <w:t xml:space="preserve">GCPEA reports that </w:t>
      </w:r>
      <w:r w:rsidR="00416CD9" w:rsidRPr="00416CD9">
        <w:rPr>
          <w:rFonts w:ascii="MetaPro-Norm" w:hAnsi="MetaPro-Norm"/>
          <w:color w:val="000000" w:themeColor="text1"/>
          <w:sz w:val="22"/>
          <w:szCs w:val="22"/>
        </w:rPr>
        <w:t>attacks on</w:t>
      </w:r>
      <w:r w:rsidR="00416CD9">
        <w:rPr>
          <w:rFonts w:ascii="MetaPro-Norm" w:hAnsi="MetaPro-Norm"/>
          <w:color w:val="000000" w:themeColor="text1"/>
          <w:sz w:val="22"/>
          <w:szCs w:val="22"/>
        </w:rPr>
        <w:t xml:space="preserve"> </w:t>
      </w:r>
      <w:r w:rsidR="00416CD9" w:rsidRPr="00416CD9">
        <w:rPr>
          <w:rFonts w:ascii="MetaPro-Norm" w:hAnsi="MetaPro-Norm"/>
          <w:color w:val="000000" w:themeColor="text1"/>
          <w:sz w:val="22"/>
          <w:szCs w:val="22"/>
        </w:rPr>
        <w:t>education nearly doubled between 2018 and 2019</w:t>
      </w:r>
      <w:r w:rsidR="004A2DF1">
        <w:rPr>
          <w:rFonts w:ascii="MetaPro-Norm" w:hAnsi="MetaPro-Norm"/>
          <w:color w:val="000000" w:themeColor="text1"/>
          <w:sz w:val="22"/>
          <w:szCs w:val="22"/>
        </w:rPr>
        <w:t>.</w:t>
      </w:r>
      <w:r w:rsidR="009E5EA3">
        <w:rPr>
          <w:rStyle w:val="FootnoteReference"/>
          <w:rFonts w:ascii="MetaPro-Norm" w:hAnsi="MetaPro-Norm"/>
          <w:color w:val="000000" w:themeColor="text1"/>
          <w:sz w:val="22"/>
          <w:szCs w:val="22"/>
        </w:rPr>
        <w:footnoteReference w:id="10"/>
      </w:r>
    </w:p>
    <w:p w14:paraId="285094E5" w14:textId="366CD568" w:rsidR="0048670F" w:rsidRDefault="0048670F" w:rsidP="005B0B24">
      <w:pPr>
        <w:rPr>
          <w:rFonts w:ascii="MetaPro-Norm" w:hAnsi="MetaPro-Norm"/>
          <w:color w:val="000000" w:themeColor="text1"/>
          <w:sz w:val="22"/>
          <w:szCs w:val="22"/>
        </w:rPr>
      </w:pPr>
    </w:p>
    <w:p w14:paraId="0A8C6B63" w14:textId="292923DC" w:rsidR="0048670F" w:rsidRDefault="00C7203B" w:rsidP="005B0B24">
      <w:pPr>
        <w:rPr>
          <w:rFonts w:ascii="MetaPro-Norm" w:hAnsi="MetaPro-Norm"/>
          <w:color w:val="000000" w:themeColor="text1"/>
          <w:sz w:val="22"/>
          <w:szCs w:val="22"/>
        </w:rPr>
      </w:pPr>
      <w:r>
        <w:rPr>
          <w:rFonts w:ascii="MetaPro-Norm" w:hAnsi="MetaPro-Norm"/>
          <w:color w:val="000000" w:themeColor="text1"/>
          <w:sz w:val="22"/>
          <w:szCs w:val="22"/>
        </w:rPr>
        <w:t xml:space="preserve">On </w:t>
      </w:r>
      <w:r w:rsidR="0048670F" w:rsidRPr="0048670F">
        <w:rPr>
          <w:rFonts w:ascii="MetaPro-Norm" w:hAnsi="MetaPro-Norm"/>
          <w:color w:val="000000" w:themeColor="text1"/>
          <w:sz w:val="22"/>
          <w:szCs w:val="22"/>
        </w:rPr>
        <w:t xml:space="preserve">October 27, 2018, an armed group reportedly attacked the primary and secondary schools in </w:t>
      </w:r>
      <w:proofErr w:type="spellStart"/>
      <w:r w:rsidR="0048670F" w:rsidRPr="0048670F">
        <w:rPr>
          <w:rFonts w:ascii="MetaPro-Norm" w:hAnsi="MetaPro-Norm"/>
          <w:color w:val="000000" w:themeColor="text1"/>
          <w:sz w:val="22"/>
          <w:szCs w:val="22"/>
        </w:rPr>
        <w:t>Bossey</w:t>
      </w:r>
      <w:proofErr w:type="spellEnd"/>
      <w:r w:rsidR="0048670F">
        <w:rPr>
          <w:rFonts w:ascii="MetaPro-Norm" w:hAnsi="MetaPro-Norm"/>
          <w:color w:val="000000" w:themeColor="text1"/>
          <w:sz w:val="22"/>
          <w:szCs w:val="22"/>
        </w:rPr>
        <w:t xml:space="preserve"> </w:t>
      </w:r>
      <w:proofErr w:type="spellStart"/>
      <w:r w:rsidR="0048670F" w:rsidRPr="0048670F">
        <w:rPr>
          <w:rFonts w:ascii="MetaPro-Norm" w:hAnsi="MetaPro-Norm"/>
          <w:color w:val="000000" w:themeColor="text1"/>
          <w:sz w:val="22"/>
          <w:szCs w:val="22"/>
        </w:rPr>
        <w:t>Bangou</w:t>
      </w:r>
      <w:proofErr w:type="spellEnd"/>
      <w:r w:rsidR="0048670F" w:rsidRPr="0048670F">
        <w:rPr>
          <w:rFonts w:ascii="MetaPro-Norm" w:hAnsi="MetaPro-Norm"/>
          <w:color w:val="000000" w:themeColor="text1"/>
          <w:sz w:val="22"/>
          <w:szCs w:val="22"/>
        </w:rPr>
        <w:t xml:space="preserve"> village, </w:t>
      </w:r>
      <w:proofErr w:type="spellStart"/>
      <w:r w:rsidR="0048670F" w:rsidRPr="0048670F">
        <w:rPr>
          <w:rFonts w:ascii="MetaPro-Norm" w:hAnsi="MetaPro-Norm"/>
          <w:color w:val="000000" w:themeColor="text1"/>
          <w:sz w:val="22"/>
          <w:szCs w:val="22"/>
        </w:rPr>
        <w:t>Tillabéri</w:t>
      </w:r>
      <w:proofErr w:type="spellEnd"/>
      <w:r w:rsidR="0048670F" w:rsidRPr="0048670F">
        <w:rPr>
          <w:rFonts w:ascii="MetaPro-Norm" w:hAnsi="MetaPro-Norm"/>
          <w:color w:val="000000" w:themeColor="text1"/>
          <w:sz w:val="22"/>
          <w:szCs w:val="22"/>
        </w:rPr>
        <w:t xml:space="preserve"> region, located near the border with Burkina Faso. A total of three classrooms</w:t>
      </w:r>
      <w:r w:rsidR="0048670F">
        <w:rPr>
          <w:rFonts w:ascii="MetaPro-Norm" w:hAnsi="MetaPro-Norm"/>
          <w:color w:val="000000" w:themeColor="text1"/>
          <w:sz w:val="22"/>
          <w:szCs w:val="22"/>
        </w:rPr>
        <w:t xml:space="preserve"> </w:t>
      </w:r>
      <w:r w:rsidR="0048670F" w:rsidRPr="0048670F">
        <w:rPr>
          <w:rFonts w:ascii="MetaPro-Norm" w:hAnsi="MetaPro-Norm"/>
          <w:color w:val="000000" w:themeColor="text1"/>
          <w:sz w:val="22"/>
          <w:szCs w:val="22"/>
        </w:rPr>
        <w:t>were burned, as well as the furniture and supplies inside them. The school remained closed</w:t>
      </w:r>
      <w:r w:rsidR="0048670F">
        <w:rPr>
          <w:rFonts w:ascii="MetaPro-Norm" w:hAnsi="MetaPro-Norm"/>
          <w:color w:val="000000" w:themeColor="text1"/>
          <w:sz w:val="22"/>
          <w:szCs w:val="22"/>
        </w:rPr>
        <w:t xml:space="preserve"> </w:t>
      </w:r>
      <w:r w:rsidR="0048670F" w:rsidRPr="0048670F">
        <w:rPr>
          <w:rFonts w:ascii="MetaPro-Norm" w:hAnsi="MetaPro-Norm"/>
          <w:color w:val="000000" w:themeColor="text1"/>
          <w:sz w:val="22"/>
          <w:szCs w:val="22"/>
        </w:rPr>
        <w:t>for at least three weeks and an estimated 191 girls were affected.</w:t>
      </w:r>
      <w:r>
        <w:rPr>
          <w:rFonts w:ascii="MetaPro-Norm" w:hAnsi="MetaPro-Norm"/>
          <w:color w:val="000000" w:themeColor="text1"/>
          <w:sz w:val="22"/>
          <w:szCs w:val="22"/>
        </w:rPr>
        <w:t xml:space="preserve"> </w:t>
      </w:r>
      <w:r w:rsidR="0048670F" w:rsidRPr="0048670F">
        <w:rPr>
          <w:rFonts w:ascii="MetaPro-Norm" w:hAnsi="MetaPro-Norm"/>
          <w:color w:val="000000" w:themeColor="text1"/>
          <w:sz w:val="22"/>
          <w:szCs w:val="22"/>
        </w:rPr>
        <w:t xml:space="preserve">On the night of November 30, 2018, in </w:t>
      </w:r>
      <w:proofErr w:type="spellStart"/>
      <w:r w:rsidR="0048670F" w:rsidRPr="0048670F">
        <w:rPr>
          <w:rFonts w:ascii="MetaPro-Norm" w:hAnsi="MetaPro-Norm"/>
          <w:color w:val="000000" w:themeColor="text1"/>
          <w:sz w:val="22"/>
          <w:szCs w:val="22"/>
        </w:rPr>
        <w:t>Gueskerou</w:t>
      </w:r>
      <w:proofErr w:type="spellEnd"/>
      <w:r w:rsidR="0048670F" w:rsidRPr="0048670F">
        <w:rPr>
          <w:rFonts w:ascii="MetaPro-Norm" w:hAnsi="MetaPro-Norm"/>
          <w:color w:val="000000" w:themeColor="text1"/>
          <w:sz w:val="22"/>
          <w:szCs w:val="22"/>
        </w:rPr>
        <w:t>, Diffa region, members of an armed group allegedly</w:t>
      </w:r>
      <w:r w:rsidR="0048670F">
        <w:rPr>
          <w:rFonts w:ascii="MetaPro-Norm" w:hAnsi="MetaPro-Norm"/>
          <w:color w:val="000000" w:themeColor="text1"/>
          <w:sz w:val="22"/>
          <w:szCs w:val="22"/>
        </w:rPr>
        <w:t xml:space="preserve"> </w:t>
      </w:r>
      <w:r w:rsidR="0048670F" w:rsidRPr="0048670F">
        <w:rPr>
          <w:rFonts w:ascii="MetaPro-Norm" w:hAnsi="MetaPro-Norm"/>
          <w:color w:val="000000" w:themeColor="text1"/>
          <w:sz w:val="22"/>
          <w:szCs w:val="22"/>
        </w:rPr>
        <w:t>attempted to abduct a female teacher from her house.</w:t>
      </w:r>
      <w:r>
        <w:rPr>
          <w:rStyle w:val="FootnoteReference"/>
          <w:rFonts w:ascii="MetaPro-Norm" w:hAnsi="MetaPro-Norm"/>
          <w:color w:val="000000" w:themeColor="text1"/>
          <w:sz w:val="22"/>
          <w:szCs w:val="22"/>
        </w:rPr>
        <w:footnoteReference w:id="11"/>
      </w:r>
    </w:p>
    <w:p w14:paraId="46EE4894" w14:textId="3E633932" w:rsidR="004A2DF1" w:rsidRPr="004A2DF1" w:rsidRDefault="004A2DF1" w:rsidP="005B0B24">
      <w:pPr>
        <w:rPr>
          <w:rFonts w:ascii="MetaPro-Norm" w:hAnsi="MetaPro-Norm"/>
          <w:color w:val="000000" w:themeColor="text1"/>
          <w:sz w:val="22"/>
          <w:szCs w:val="22"/>
        </w:rPr>
      </w:pPr>
    </w:p>
    <w:p w14:paraId="7F960E6C" w14:textId="75C3C7D3" w:rsidR="004A2DF1" w:rsidRPr="004A2DF1" w:rsidRDefault="004A2DF1" w:rsidP="005B0B24">
      <w:pPr>
        <w:rPr>
          <w:rFonts w:ascii="MetaPro-Norm" w:hAnsi="MetaPro-Norm"/>
          <w:color w:val="000000" w:themeColor="text1"/>
          <w:sz w:val="22"/>
          <w:szCs w:val="22"/>
        </w:rPr>
      </w:pPr>
      <w:r w:rsidRPr="004A2DF1">
        <w:rPr>
          <w:rFonts w:ascii="MetaPro-Norm" w:hAnsi="MetaPro-Norm"/>
          <w:sz w:val="22"/>
          <w:szCs w:val="22"/>
        </w:rPr>
        <w:t xml:space="preserve">Emerging evidence suggests that </w:t>
      </w:r>
      <w:r w:rsidR="00134BA8">
        <w:rPr>
          <w:rFonts w:ascii="MetaPro-Norm" w:hAnsi="MetaPro-Norm"/>
          <w:sz w:val="22"/>
          <w:szCs w:val="22"/>
        </w:rPr>
        <w:t xml:space="preserve">following Covid-19 related school closures, </w:t>
      </w:r>
      <w:r w:rsidRPr="004A2DF1">
        <w:rPr>
          <w:rFonts w:ascii="MetaPro-Norm" w:hAnsi="MetaPro-Norm"/>
          <w:sz w:val="22"/>
          <w:szCs w:val="22"/>
        </w:rPr>
        <w:t xml:space="preserve">attacks resumed as schools began to reopen. For example, the UN reported that armed group members threatened two secondary schools in </w:t>
      </w:r>
      <w:proofErr w:type="spellStart"/>
      <w:r w:rsidRPr="004A2DF1">
        <w:rPr>
          <w:rFonts w:ascii="MetaPro-Norm" w:hAnsi="MetaPro-Norm"/>
          <w:sz w:val="22"/>
          <w:szCs w:val="22"/>
        </w:rPr>
        <w:t>Tillabéri</w:t>
      </w:r>
      <w:proofErr w:type="spellEnd"/>
      <w:r w:rsidRPr="004A2DF1">
        <w:rPr>
          <w:rFonts w:ascii="MetaPro-Norm" w:hAnsi="MetaPro-Norm"/>
          <w:sz w:val="22"/>
          <w:szCs w:val="22"/>
        </w:rPr>
        <w:t xml:space="preserve"> region only two weeks after schools reopened on June 1, 2020; these threats led to the schools’ immediate closures. </w:t>
      </w:r>
      <w:r w:rsidR="00F17919">
        <w:rPr>
          <w:rFonts w:ascii="MetaPro-Norm" w:hAnsi="MetaPro-Norm"/>
          <w:sz w:val="22"/>
          <w:szCs w:val="22"/>
        </w:rPr>
        <w:t>P</w:t>
      </w:r>
      <w:r w:rsidRPr="004A2DF1">
        <w:rPr>
          <w:rFonts w:ascii="MetaPro-Norm" w:hAnsi="MetaPro-Norm"/>
          <w:sz w:val="22"/>
          <w:szCs w:val="22"/>
        </w:rPr>
        <w:t>rior to Covid-19 school closures, reports often indicated that school canteens were pillaged during attacks.</w:t>
      </w:r>
      <w:r w:rsidR="00D312C7">
        <w:rPr>
          <w:rFonts w:ascii="MetaPro-Norm" w:hAnsi="MetaPro-Norm"/>
          <w:sz w:val="22"/>
          <w:szCs w:val="22"/>
        </w:rPr>
        <w:t xml:space="preserve"> </w:t>
      </w:r>
      <w:r w:rsidRPr="004A2DF1">
        <w:rPr>
          <w:rFonts w:ascii="MetaPro-Norm" w:hAnsi="MetaPro-Norm"/>
          <w:sz w:val="22"/>
          <w:szCs w:val="22"/>
        </w:rPr>
        <w:t>This may indicate that when schools reopen, their restocked food stores and provisions may render them vulnerable to attacks.</w:t>
      </w:r>
      <w:r w:rsidR="00134BA8">
        <w:rPr>
          <w:rStyle w:val="FootnoteReference"/>
          <w:rFonts w:ascii="MetaPro-Norm" w:hAnsi="MetaPro-Norm"/>
          <w:sz w:val="22"/>
          <w:szCs w:val="22"/>
        </w:rPr>
        <w:footnoteReference w:id="12"/>
      </w:r>
    </w:p>
    <w:p w14:paraId="5BD5AC70" w14:textId="77777777" w:rsidR="0048670F" w:rsidRDefault="0048670F" w:rsidP="005B0B24">
      <w:pPr>
        <w:rPr>
          <w:rFonts w:ascii="MetaPro-Norm" w:hAnsi="MetaPro-Norm"/>
          <w:color w:val="000000" w:themeColor="text1"/>
          <w:sz w:val="22"/>
          <w:szCs w:val="22"/>
        </w:rPr>
      </w:pPr>
    </w:p>
    <w:p w14:paraId="4979736C" w14:textId="77777777" w:rsidR="00C7203B" w:rsidRDefault="0048670F" w:rsidP="005B0B24">
      <w:pPr>
        <w:rPr>
          <w:rFonts w:ascii="MetaPro-Norm" w:hAnsi="MetaPro-Norm"/>
          <w:color w:val="000000" w:themeColor="text1"/>
          <w:sz w:val="22"/>
          <w:szCs w:val="22"/>
        </w:rPr>
      </w:pPr>
      <w:r>
        <w:rPr>
          <w:rFonts w:ascii="MetaPro-Norm" w:hAnsi="MetaPro-Norm"/>
          <w:color w:val="000000" w:themeColor="text1"/>
          <w:sz w:val="22"/>
          <w:szCs w:val="22"/>
        </w:rPr>
        <w:t>A</w:t>
      </w:r>
      <w:r w:rsidRPr="00655535">
        <w:rPr>
          <w:rFonts w:ascii="MetaPro-Norm" w:hAnsi="MetaPro-Norm"/>
          <w:color w:val="000000" w:themeColor="text1"/>
          <w:sz w:val="22"/>
          <w:szCs w:val="22"/>
        </w:rPr>
        <w:t xml:space="preserve">ttacks on students and schools, and the use of schools for military purposes, disproportionately affect girls, who are sometimes the focus of targeted attacks and are more likely to be kept out of school due to </w:t>
      </w:r>
      <w:r w:rsidRPr="0006569A">
        <w:rPr>
          <w:rFonts w:ascii="MetaPro-Norm" w:hAnsi="MetaPro-Norm"/>
          <w:color w:val="000000" w:themeColor="text1"/>
          <w:sz w:val="22"/>
          <w:szCs w:val="22"/>
        </w:rPr>
        <w:t>security concerns</w:t>
      </w:r>
      <w:r>
        <w:rPr>
          <w:rFonts w:ascii="MetaPro-Norm" w:hAnsi="MetaPro-Norm"/>
          <w:color w:val="000000" w:themeColor="text1"/>
          <w:sz w:val="22"/>
          <w:szCs w:val="22"/>
        </w:rPr>
        <w:t>, a</w:t>
      </w:r>
      <w:r w:rsidRPr="00655535">
        <w:rPr>
          <w:rFonts w:ascii="MetaPro-Norm" w:hAnsi="MetaPro-Norm"/>
          <w:color w:val="000000" w:themeColor="text1"/>
          <w:sz w:val="22"/>
          <w:szCs w:val="22"/>
        </w:rPr>
        <w:t xml:space="preserve">s recognized by this Committee in its </w:t>
      </w:r>
      <w:r w:rsidRPr="007B5E9C">
        <w:rPr>
          <w:rFonts w:ascii="MetaPro-Norm" w:hAnsi="MetaPro-Norm"/>
          <w:color w:val="000000" w:themeColor="text1"/>
          <w:sz w:val="22"/>
          <w:szCs w:val="22"/>
        </w:rPr>
        <w:t>General Recommendation No. 30</w:t>
      </w:r>
      <w:r w:rsidRPr="005B0B24">
        <w:rPr>
          <w:rFonts w:ascii="MetaPro-Norm" w:hAnsi="MetaPro-Norm"/>
          <w:color w:val="000000" w:themeColor="text1"/>
          <w:sz w:val="22"/>
          <w:szCs w:val="22"/>
        </w:rPr>
        <w:t>.</w:t>
      </w:r>
      <w:r w:rsidRPr="0006569A">
        <w:rPr>
          <w:rStyle w:val="FootnoteReference"/>
          <w:rFonts w:ascii="MetaPro-Norm" w:hAnsi="MetaPro-Norm"/>
          <w:color w:val="000000" w:themeColor="text1"/>
          <w:sz w:val="22"/>
          <w:szCs w:val="22"/>
        </w:rPr>
        <w:footnoteReference w:id="13"/>
      </w:r>
      <w:r w:rsidRPr="0006569A">
        <w:rPr>
          <w:rFonts w:ascii="MetaPro-Norm" w:hAnsi="MetaPro-Norm"/>
          <w:color w:val="000000" w:themeColor="text1"/>
          <w:sz w:val="22"/>
          <w:szCs w:val="22"/>
        </w:rPr>
        <w:t xml:space="preserve"> </w:t>
      </w:r>
    </w:p>
    <w:p w14:paraId="68C75682" w14:textId="77777777" w:rsidR="00C7203B" w:rsidRDefault="00C7203B" w:rsidP="005B0B24">
      <w:pPr>
        <w:rPr>
          <w:rFonts w:ascii="MetaPro-Norm" w:hAnsi="MetaPro-Norm"/>
          <w:color w:val="000000" w:themeColor="text1"/>
          <w:sz w:val="22"/>
          <w:szCs w:val="22"/>
        </w:rPr>
      </w:pPr>
    </w:p>
    <w:p w14:paraId="1211BAC4" w14:textId="2A517E1F" w:rsidR="0048670F" w:rsidRDefault="0048670F" w:rsidP="005B0B24">
      <w:pPr>
        <w:rPr>
          <w:rFonts w:ascii="MetaPro-Norm" w:hAnsi="MetaPro-Norm"/>
          <w:color w:val="000000" w:themeColor="text1"/>
          <w:sz w:val="22"/>
          <w:szCs w:val="22"/>
        </w:rPr>
      </w:pPr>
      <w:r w:rsidRPr="0006569A">
        <w:rPr>
          <w:rFonts w:ascii="MetaPro-Norm" w:hAnsi="MetaPro-Norm"/>
          <w:color w:val="000000" w:themeColor="text1"/>
          <w:sz w:val="22"/>
          <w:szCs w:val="22"/>
        </w:rPr>
        <w:lastRenderedPageBreak/>
        <w:t>The Safe Schools Declaration is an inter-governmental political commitment</w:t>
      </w:r>
      <w:r w:rsidRPr="00655535">
        <w:rPr>
          <w:rFonts w:ascii="MetaPro-Norm" w:hAnsi="MetaPro-Norm"/>
          <w:color w:val="000000" w:themeColor="text1"/>
          <w:sz w:val="22"/>
          <w:szCs w:val="22"/>
        </w:rPr>
        <w:t xml:space="preserve"> that provides countries the opportunity to express political support for the protection of students, teachers, and schools during times of armed conflict</w:t>
      </w:r>
      <w:r w:rsidRPr="00655535">
        <w:rPr>
          <w:rStyle w:val="FootnoteReference"/>
          <w:rFonts w:ascii="MetaPro-Norm" w:hAnsi="MetaPro-Norm"/>
          <w:color w:val="000000" w:themeColor="text1"/>
          <w:sz w:val="22"/>
          <w:szCs w:val="22"/>
        </w:rPr>
        <w:footnoteReference w:id="14"/>
      </w:r>
      <w:r w:rsidR="005B0B24">
        <w:rPr>
          <w:rFonts w:ascii="MetaPro-Norm" w:hAnsi="MetaPro-Norm"/>
          <w:color w:val="000000" w:themeColor="text1"/>
          <w:sz w:val="22"/>
          <w:szCs w:val="22"/>
        </w:rPr>
        <w:t>;</w:t>
      </w:r>
      <w:r w:rsidRPr="00655535">
        <w:rPr>
          <w:rFonts w:ascii="MetaPro-Norm" w:hAnsi="MetaPro-Norm"/>
          <w:color w:val="000000" w:themeColor="text1"/>
          <w:sz w:val="22"/>
          <w:szCs w:val="22"/>
        </w:rPr>
        <w:t xml:space="preserve"> the importance of the continuation of education during armed conflict; and the implementation of the </w:t>
      </w:r>
      <w:r w:rsidRPr="00655535">
        <w:rPr>
          <w:rFonts w:ascii="MetaPro-Norm" w:hAnsi="MetaPro-Norm"/>
          <w:i/>
          <w:color w:val="000000" w:themeColor="text1"/>
          <w:sz w:val="22"/>
          <w:szCs w:val="22"/>
        </w:rPr>
        <w:t>Guidelines for Protecting Schools and Universities from Military Use during Armed Conflict.</w:t>
      </w:r>
      <w:r w:rsidRPr="00655535">
        <w:rPr>
          <w:rStyle w:val="FootnoteReference"/>
          <w:rFonts w:ascii="MetaPro-Norm" w:hAnsi="MetaPro-Norm"/>
          <w:sz w:val="22"/>
          <w:szCs w:val="22"/>
        </w:rPr>
        <w:footnoteReference w:id="15"/>
      </w:r>
      <w:r w:rsidRPr="00655535">
        <w:rPr>
          <w:rFonts w:ascii="MetaPro-Norm" w:hAnsi="MetaPro-Norm"/>
          <w:color w:val="000000" w:themeColor="text1"/>
          <w:sz w:val="22"/>
          <w:szCs w:val="22"/>
        </w:rPr>
        <w:t xml:space="preserve"> </w:t>
      </w:r>
      <w:r>
        <w:rPr>
          <w:rFonts w:ascii="MetaPro-Norm" w:hAnsi="MetaPro-Norm"/>
          <w:color w:val="000000" w:themeColor="text1"/>
          <w:sz w:val="22"/>
          <w:szCs w:val="22"/>
        </w:rPr>
        <w:t>Niger</w:t>
      </w:r>
      <w:r w:rsidRPr="00655535">
        <w:rPr>
          <w:rFonts w:ascii="MetaPro-Norm" w:hAnsi="MetaPro-Norm"/>
          <w:color w:val="000000" w:themeColor="text1"/>
          <w:sz w:val="22"/>
          <w:szCs w:val="22"/>
        </w:rPr>
        <w:t xml:space="preserve"> endorsed the Safe Schools Declaration </w:t>
      </w:r>
      <w:r>
        <w:rPr>
          <w:rFonts w:ascii="MetaPro-Norm" w:hAnsi="MetaPro-Norm"/>
          <w:color w:val="000000" w:themeColor="text1"/>
          <w:sz w:val="22"/>
          <w:szCs w:val="22"/>
        </w:rPr>
        <w:t>in June 2015, contributing to global efforts to protect education and improve compliance with international law.</w:t>
      </w:r>
      <w:r w:rsidRPr="00655535">
        <w:rPr>
          <w:rFonts w:ascii="MetaPro-Norm" w:hAnsi="MetaPro-Norm"/>
          <w:color w:val="000000" w:themeColor="text1"/>
          <w:sz w:val="22"/>
          <w:szCs w:val="22"/>
        </w:rPr>
        <w:t xml:space="preserve"> </w:t>
      </w:r>
    </w:p>
    <w:p w14:paraId="0BA9DFA3" w14:textId="0EF52A96" w:rsidR="00E157DF" w:rsidRDefault="00E157DF" w:rsidP="0048670F">
      <w:pPr>
        <w:jc w:val="both"/>
        <w:rPr>
          <w:rFonts w:ascii="MetaPro-Norm" w:hAnsi="MetaPro-Norm"/>
          <w:color w:val="000000" w:themeColor="text1"/>
          <w:sz w:val="22"/>
          <w:szCs w:val="22"/>
        </w:rPr>
      </w:pPr>
    </w:p>
    <w:p w14:paraId="6E6F8312" w14:textId="33DE125B" w:rsidR="00E157DF" w:rsidRPr="00612315" w:rsidRDefault="00C77D11" w:rsidP="0048670F">
      <w:pPr>
        <w:jc w:val="both"/>
        <w:rPr>
          <w:rFonts w:ascii="MetaPro-Norm" w:hAnsi="MetaPro-Norm"/>
          <w:color w:val="000000" w:themeColor="text1"/>
          <w:sz w:val="22"/>
          <w:szCs w:val="22"/>
        </w:rPr>
      </w:pPr>
      <w:r w:rsidRPr="00612315">
        <w:rPr>
          <w:rFonts w:ascii="MetaPro-Norm" w:hAnsi="MetaPro-Norm"/>
          <w:color w:val="000000" w:themeColor="text1"/>
          <w:sz w:val="22"/>
          <w:szCs w:val="22"/>
        </w:rPr>
        <w:t>D</w:t>
      </w:r>
      <w:r w:rsidR="007F402C" w:rsidRPr="00612315">
        <w:rPr>
          <w:rFonts w:ascii="MetaPro-Norm" w:hAnsi="MetaPro-Norm"/>
          <w:color w:val="000000" w:themeColor="text1"/>
          <w:sz w:val="22"/>
          <w:szCs w:val="22"/>
        </w:rPr>
        <w:t>uring its tenure on the UN Security Council</w:t>
      </w:r>
      <w:r w:rsidRPr="00612315">
        <w:rPr>
          <w:rFonts w:ascii="MetaPro-Norm" w:hAnsi="MetaPro-Norm"/>
          <w:color w:val="000000" w:themeColor="text1"/>
          <w:sz w:val="22"/>
          <w:szCs w:val="22"/>
        </w:rPr>
        <w:t>, and specifically under its presidency</w:t>
      </w:r>
      <w:r w:rsidR="00FC0824" w:rsidRPr="00612315">
        <w:rPr>
          <w:rFonts w:ascii="MetaPro-Norm" w:hAnsi="MetaPro-Norm"/>
          <w:color w:val="000000" w:themeColor="text1"/>
          <w:sz w:val="22"/>
          <w:szCs w:val="22"/>
        </w:rPr>
        <w:t xml:space="preserve"> in September 2020, Niger</w:t>
      </w:r>
      <w:r w:rsidRPr="00612315">
        <w:rPr>
          <w:rFonts w:ascii="MetaPro-Norm" w:hAnsi="MetaPro-Norm"/>
          <w:color w:val="000000" w:themeColor="text1"/>
          <w:sz w:val="22"/>
          <w:szCs w:val="22"/>
        </w:rPr>
        <w:t xml:space="preserve"> </w:t>
      </w:r>
      <w:r w:rsidRPr="00612315">
        <w:rPr>
          <w:rFonts w:ascii="MetaPro-Norm" w:hAnsi="MetaPro-Norm"/>
          <w:sz w:val="22"/>
          <w:szCs w:val="22"/>
        </w:rPr>
        <w:t>organize</w:t>
      </w:r>
      <w:r w:rsidR="00FC0824" w:rsidRPr="00612315">
        <w:rPr>
          <w:rFonts w:ascii="MetaPro-Norm" w:hAnsi="MetaPro-Norm"/>
          <w:sz w:val="22"/>
          <w:szCs w:val="22"/>
        </w:rPr>
        <w:t>d</w:t>
      </w:r>
      <w:r w:rsidRPr="00612315">
        <w:rPr>
          <w:rFonts w:ascii="MetaPro-Norm" w:hAnsi="MetaPro-Norm"/>
          <w:sz w:val="22"/>
          <w:szCs w:val="22"/>
        </w:rPr>
        <w:t xml:space="preserve"> an open debate on Children and Armed Conflict with a focus on attacks against schools</w:t>
      </w:r>
      <w:r w:rsidR="00FC0824" w:rsidRPr="00612315">
        <w:rPr>
          <w:rFonts w:ascii="MetaPro-Norm" w:hAnsi="MetaPro-Norm"/>
          <w:sz w:val="22"/>
          <w:szCs w:val="22"/>
        </w:rPr>
        <w:t xml:space="preserve"> and led the adoption of a </w:t>
      </w:r>
      <w:r w:rsidR="00540363" w:rsidRPr="00612315">
        <w:rPr>
          <w:rFonts w:ascii="MetaPro-Norm" w:hAnsi="MetaPro-Norm"/>
          <w:sz w:val="22"/>
          <w:szCs w:val="22"/>
        </w:rPr>
        <w:t>corresponding</w:t>
      </w:r>
      <w:r w:rsidR="00FC0824" w:rsidRPr="00612315">
        <w:rPr>
          <w:rFonts w:ascii="MetaPro-Norm" w:hAnsi="MetaPro-Norm"/>
          <w:sz w:val="22"/>
          <w:szCs w:val="22"/>
        </w:rPr>
        <w:t xml:space="preserve"> Presidential Statement </w:t>
      </w:r>
      <w:r w:rsidR="00850016" w:rsidRPr="00612315">
        <w:rPr>
          <w:rFonts w:ascii="MetaPro-Norm" w:hAnsi="MetaPro-Norm"/>
          <w:sz w:val="22"/>
          <w:szCs w:val="22"/>
        </w:rPr>
        <w:t>from the council.</w:t>
      </w:r>
      <w:r w:rsidR="00612315">
        <w:rPr>
          <w:rStyle w:val="FootnoteReference"/>
          <w:rFonts w:ascii="MetaPro-Norm" w:hAnsi="MetaPro-Norm"/>
          <w:sz w:val="22"/>
          <w:szCs w:val="22"/>
        </w:rPr>
        <w:footnoteReference w:id="16"/>
      </w:r>
    </w:p>
    <w:p w14:paraId="3F27A2A1" w14:textId="77777777" w:rsidR="0048670F" w:rsidRPr="00F71EBE" w:rsidRDefault="0048670F" w:rsidP="0048670F">
      <w:pPr>
        <w:jc w:val="both"/>
        <w:rPr>
          <w:rFonts w:ascii="MetaPro-Norm" w:hAnsi="MetaPro-Norm"/>
          <w:color w:val="000000" w:themeColor="text1"/>
          <w:sz w:val="22"/>
          <w:szCs w:val="22"/>
        </w:rPr>
      </w:pPr>
    </w:p>
    <w:p w14:paraId="6E96C0B2" w14:textId="77777777" w:rsidR="0048670F" w:rsidRPr="00F71EBE" w:rsidRDefault="0048670F" w:rsidP="0048670F">
      <w:pPr>
        <w:rPr>
          <w:rFonts w:ascii="MetaPro-Norm" w:hAnsi="MetaPro-Norm"/>
          <w:sz w:val="22"/>
          <w:szCs w:val="22"/>
        </w:rPr>
      </w:pPr>
      <w:r w:rsidRPr="00F71EBE">
        <w:rPr>
          <w:rFonts w:ascii="MetaPro-Norm" w:hAnsi="MetaPro-Norm"/>
          <w:sz w:val="22"/>
          <w:szCs w:val="22"/>
        </w:rPr>
        <w:t>In October 2020, the African Committee of Experts on the Rights and Welfare of the Child issued a general comment on children and armed conflict in Africa, in which they stated that “the African Union and other relevant African inter-governmental organizations that authorize</w:t>
      </w:r>
    </w:p>
    <w:p w14:paraId="286B4E13" w14:textId="1B7E9D23" w:rsidR="0048670F" w:rsidRPr="00F71EBE" w:rsidRDefault="0048670F" w:rsidP="0048670F">
      <w:pPr>
        <w:jc w:val="both"/>
        <w:rPr>
          <w:rFonts w:ascii="MetaPro-Norm" w:hAnsi="MetaPro-Norm" w:cs="ZWAdobeF"/>
          <w:sz w:val="22"/>
          <w:szCs w:val="22"/>
        </w:rPr>
      </w:pPr>
      <w:r w:rsidRPr="00F71EBE">
        <w:rPr>
          <w:rFonts w:ascii="MetaPro-Norm" w:hAnsi="MetaPro-Norm"/>
          <w:sz w:val="22"/>
          <w:szCs w:val="22"/>
        </w:rPr>
        <w:t>peace support operations should adopt an explicit ban on the use of schools in their operations.”</w:t>
      </w:r>
      <w:r w:rsidRPr="00F71EBE">
        <w:rPr>
          <w:rStyle w:val="FootnoteReference"/>
          <w:rFonts w:ascii="MetaPro-Norm" w:hAnsi="MetaPro-Norm"/>
          <w:sz w:val="22"/>
          <w:szCs w:val="22"/>
        </w:rPr>
        <w:footnoteReference w:id="17"/>
      </w:r>
    </w:p>
    <w:p w14:paraId="35BB4C5B" w14:textId="77777777" w:rsidR="0048670F" w:rsidRPr="00F71EBE" w:rsidRDefault="0048670F" w:rsidP="0048670F">
      <w:pPr>
        <w:jc w:val="both"/>
        <w:rPr>
          <w:rFonts w:ascii="MetaPro-Norm" w:hAnsi="MetaPro-Norm"/>
          <w:color w:val="000000" w:themeColor="text1"/>
          <w:sz w:val="22"/>
          <w:szCs w:val="22"/>
        </w:rPr>
      </w:pPr>
    </w:p>
    <w:p w14:paraId="6D6D1560" w14:textId="504856CA" w:rsidR="0048670F" w:rsidRPr="00F71EBE" w:rsidRDefault="0048670F" w:rsidP="0048670F">
      <w:pPr>
        <w:rPr>
          <w:rFonts w:ascii="MetaPro-Norm" w:hAnsi="MetaPro-Norm"/>
          <w:i/>
          <w:sz w:val="22"/>
          <w:szCs w:val="22"/>
        </w:rPr>
      </w:pPr>
      <w:r w:rsidRPr="00F71EBE">
        <w:rPr>
          <w:rFonts w:ascii="MetaPro-Norm" w:hAnsi="MetaPro-Norm"/>
          <w:i/>
          <w:sz w:val="22"/>
          <w:szCs w:val="22"/>
        </w:rPr>
        <w:t xml:space="preserve">Human Rights Watch recommends that the Committee ask the </w:t>
      </w:r>
      <w:r w:rsidR="005B0B24">
        <w:rPr>
          <w:rFonts w:ascii="MetaPro-Norm" w:hAnsi="MetaPro-Norm"/>
          <w:i/>
          <w:sz w:val="22"/>
          <w:szCs w:val="22"/>
        </w:rPr>
        <w:t xml:space="preserve">Niger </w:t>
      </w:r>
      <w:r w:rsidRPr="00F71EBE">
        <w:rPr>
          <w:rFonts w:ascii="MetaPro-Norm" w:hAnsi="MetaPro-Norm"/>
          <w:i/>
          <w:sz w:val="22"/>
          <w:szCs w:val="22"/>
        </w:rPr>
        <w:t>government:</w:t>
      </w:r>
    </w:p>
    <w:p w14:paraId="0CD9E74F" w14:textId="77777777" w:rsidR="0048670F" w:rsidRPr="00F71EBE" w:rsidRDefault="0048670F" w:rsidP="0048670F">
      <w:pPr>
        <w:rPr>
          <w:rFonts w:ascii="MetaPro-Norm" w:hAnsi="MetaPro-Norm"/>
          <w:i/>
          <w:sz w:val="22"/>
          <w:szCs w:val="22"/>
        </w:rPr>
      </w:pPr>
    </w:p>
    <w:p w14:paraId="7010C8B2" w14:textId="0D071B68" w:rsidR="0048670F" w:rsidRPr="0048670F" w:rsidRDefault="0048670F" w:rsidP="0048670F">
      <w:pPr>
        <w:pStyle w:val="ListParagraph"/>
        <w:numPr>
          <w:ilvl w:val="0"/>
          <w:numId w:val="1"/>
        </w:numPr>
        <w:rPr>
          <w:rFonts w:ascii="MetaPro-Norm" w:hAnsi="MetaPro-Norm"/>
          <w:iCs/>
        </w:rPr>
      </w:pPr>
      <w:r w:rsidRPr="0048670F">
        <w:rPr>
          <w:rFonts w:ascii="MetaPro-Norm" w:hAnsi="MetaPro-Norm"/>
          <w:iCs/>
        </w:rPr>
        <w:t>What further steps has Niger taken to implement the commitments in the Safe Schools Declaration</w:t>
      </w:r>
      <w:r w:rsidR="00C7203B">
        <w:rPr>
          <w:rFonts w:ascii="MetaPro-Norm" w:hAnsi="MetaPro-Norm"/>
          <w:iCs/>
        </w:rPr>
        <w:t>?</w:t>
      </w:r>
    </w:p>
    <w:p w14:paraId="1E8B76AD" w14:textId="502D2C7E" w:rsidR="0048670F" w:rsidRPr="00F71EBE" w:rsidRDefault="0048670F" w:rsidP="0048670F">
      <w:pPr>
        <w:pStyle w:val="ListParagraph"/>
        <w:numPr>
          <w:ilvl w:val="0"/>
          <w:numId w:val="1"/>
        </w:numPr>
        <w:rPr>
          <w:rFonts w:ascii="MetaPro-Norm" w:hAnsi="MetaPro-Norm"/>
          <w:iCs/>
        </w:rPr>
      </w:pPr>
      <w:r w:rsidRPr="00F71EBE">
        <w:rPr>
          <w:rFonts w:ascii="MetaPro-Norm" w:hAnsi="MetaPro-Norm"/>
          <w:iCs/>
        </w:rPr>
        <w:t xml:space="preserve">Are explicit protections for schools or universities from military use included in any policies, rules, or trainings for </w:t>
      </w:r>
      <w:r>
        <w:rPr>
          <w:rFonts w:ascii="MetaPro-Norm" w:hAnsi="MetaPro-Norm"/>
          <w:iCs/>
        </w:rPr>
        <w:t>Niger’s armed forces</w:t>
      </w:r>
      <w:r w:rsidRPr="00F71EBE">
        <w:rPr>
          <w:rFonts w:ascii="MetaPro-Norm" w:hAnsi="MetaPro-Norm"/>
          <w:iCs/>
        </w:rPr>
        <w:t>?</w:t>
      </w:r>
    </w:p>
    <w:p w14:paraId="2C3B9232" w14:textId="77777777" w:rsidR="00C7203B" w:rsidRPr="00C7203B" w:rsidRDefault="0048670F" w:rsidP="00C7203B">
      <w:pPr>
        <w:pStyle w:val="ListParagraph"/>
        <w:numPr>
          <w:ilvl w:val="0"/>
          <w:numId w:val="1"/>
        </w:numPr>
        <w:rPr>
          <w:rFonts w:ascii="MetaPro-Norm" w:hAnsi="MetaPro-Norm"/>
          <w:iCs/>
        </w:rPr>
      </w:pPr>
      <w:r w:rsidRPr="00F71EBE">
        <w:rPr>
          <w:rFonts w:ascii="MetaPro-Norm" w:hAnsi="MetaPro-Norm"/>
        </w:rPr>
        <w:t>Will the government support the position taken by the African Committee of Experts on the Rights and Welfare of the Child, and call on the African Union and other relevant African inter-governmental organizations that authorize peace support operations to adopt an explicit ban on the use of schools in their operations?</w:t>
      </w:r>
    </w:p>
    <w:p w14:paraId="59795E8B" w14:textId="28CBC46F" w:rsidR="00C7203B" w:rsidRPr="00C7203B" w:rsidRDefault="00C7203B" w:rsidP="00C7203B">
      <w:pPr>
        <w:pStyle w:val="ListParagraph"/>
        <w:numPr>
          <w:ilvl w:val="0"/>
          <w:numId w:val="1"/>
        </w:numPr>
        <w:rPr>
          <w:rFonts w:ascii="MetaPro-Norm" w:hAnsi="MetaPro-Norm"/>
          <w:iCs/>
        </w:rPr>
      </w:pPr>
      <w:r w:rsidRPr="00C7203B">
        <w:rPr>
          <w:rFonts w:ascii="MetaPro-Norm" w:hAnsi="MetaPro-Norm"/>
        </w:rPr>
        <w:t>What steps are being taken to address and remedy the disproportionate harm to girls’ access to education as a result of hostilities and military use of schools?</w:t>
      </w:r>
    </w:p>
    <w:p w14:paraId="0C0FE964" w14:textId="77777777" w:rsidR="00C7203B" w:rsidRPr="00F71EBE" w:rsidRDefault="00C7203B" w:rsidP="00C7203B">
      <w:pPr>
        <w:pStyle w:val="ListParagraph"/>
        <w:rPr>
          <w:rFonts w:ascii="MetaPro-Norm" w:hAnsi="MetaPro-Norm"/>
          <w:iCs/>
        </w:rPr>
      </w:pPr>
    </w:p>
    <w:p w14:paraId="6D90DE35" w14:textId="77777777" w:rsidR="00F71EBE" w:rsidRPr="00F71EBE" w:rsidRDefault="00F71EBE">
      <w:pPr>
        <w:rPr>
          <w:rFonts w:ascii="MetaPro-Norm" w:hAnsi="MetaPro-Norm"/>
          <w:sz w:val="22"/>
          <w:szCs w:val="22"/>
        </w:rPr>
      </w:pPr>
    </w:p>
    <w:sectPr w:rsidR="00F71EBE" w:rsidRPr="00F71EB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FF2B0" w14:textId="77777777" w:rsidR="00F915F8" w:rsidRDefault="00F915F8" w:rsidP="00F71EBE">
      <w:r>
        <w:separator/>
      </w:r>
    </w:p>
  </w:endnote>
  <w:endnote w:type="continuationSeparator" w:id="0">
    <w:p w14:paraId="57543CE7" w14:textId="77777777" w:rsidR="00F915F8" w:rsidRDefault="00F915F8" w:rsidP="00F71E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Pro-Norm">
    <w:panose1 w:val="020B0504030101020102"/>
    <w:charset w:val="00"/>
    <w:family w:val="swiss"/>
    <w:notTrueType/>
    <w:pitch w:val="variable"/>
    <w:sig w:usb0="A00002FF" w:usb1="4000207B" w:usb2="00000000" w:usb3="00000000" w:csb0="0000009F" w:csb1="00000000"/>
  </w:font>
  <w:font w:name="ZWAdobeF">
    <w:panose1 w:val="00000000000000000000"/>
    <w:charset w:val="00"/>
    <w:family w:val="auto"/>
    <w:pitch w:val="variable"/>
    <w:sig w:usb0="20002A87" w:usb1="00000000" w:usb2="00000000"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0A8A63" w14:textId="77777777" w:rsidR="00F915F8" w:rsidRDefault="00F915F8" w:rsidP="00F71EBE">
      <w:r>
        <w:separator/>
      </w:r>
    </w:p>
  </w:footnote>
  <w:footnote w:type="continuationSeparator" w:id="0">
    <w:p w14:paraId="06F03BFA" w14:textId="77777777" w:rsidR="00F915F8" w:rsidRDefault="00F915F8" w:rsidP="00F71EBE">
      <w:r>
        <w:continuationSeparator/>
      </w:r>
    </w:p>
  </w:footnote>
  <w:footnote w:id="1">
    <w:p w14:paraId="6950A07E" w14:textId="0A98C439" w:rsidR="0073083B" w:rsidRPr="00E30B35" w:rsidRDefault="0073083B">
      <w:pPr>
        <w:pStyle w:val="FootnoteText"/>
        <w:rPr>
          <w:rFonts w:ascii="MetaPro-Norm" w:hAnsi="MetaPro-Norm"/>
          <w:sz w:val="16"/>
          <w:szCs w:val="16"/>
        </w:rPr>
      </w:pPr>
      <w:r w:rsidRPr="00E30B35">
        <w:rPr>
          <w:rStyle w:val="FootnoteReference"/>
          <w:rFonts w:ascii="MetaPro-Norm" w:hAnsi="MetaPro-Norm"/>
          <w:sz w:val="16"/>
          <w:szCs w:val="16"/>
        </w:rPr>
        <w:footnoteRef/>
      </w:r>
      <w:r w:rsidRPr="00E30B35">
        <w:rPr>
          <w:rFonts w:ascii="MetaPro-Norm" w:hAnsi="MetaPro-Norm"/>
          <w:sz w:val="16"/>
          <w:szCs w:val="16"/>
        </w:rPr>
        <w:t xml:space="preserve"> UNICEF, “</w:t>
      </w:r>
      <w:proofErr w:type="spellStart"/>
      <w:r w:rsidRPr="00E30B35">
        <w:rPr>
          <w:rFonts w:ascii="MetaPro-Norm" w:hAnsi="MetaPro-Norm"/>
          <w:sz w:val="16"/>
          <w:szCs w:val="16"/>
        </w:rPr>
        <w:t>Unicef</w:t>
      </w:r>
      <w:proofErr w:type="spellEnd"/>
      <w:r w:rsidRPr="00E30B35">
        <w:rPr>
          <w:rFonts w:ascii="MetaPro-Norm" w:hAnsi="MetaPro-Norm"/>
          <w:sz w:val="16"/>
          <w:szCs w:val="16"/>
        </w:rPr>
        <w:t xml:space="preserve"> Data Warehouse,” June 9, 2021, </w:t>
      </w:r>
      <w:hyperlink r:id="rId1" w:history="1">
        <w:r w:rsidRPr="00E30B35">
          <w:rPr>
            <w:rStyle w:val="Hyperlink"/>
            <w:rFonts w:ascii="MetaPro-Norm" w:hAnsi="MetaPro-Norm"/>
            <w:sz w:val="16"/>
            <w:szCs w:val="16"/>
          </w:rPr>
          <w:t>https://data.unicef.org/resources/data_explorer/unicef_f/?ag=UNICEF&amp;df=GLOBAL_DATAFLOW&amp;ver=1.0&amp;dq=UNICEF_SSA+KEN+COD+CAF+NGA+NER+MOZ+ZAF+CMR+MWI+UGA+TZA.MNCH_BIRTH18..&amp;startPeriod=2009&amp;endPeriod=2021</w:t>
        </w:r>
      </w:hyperlink>
      <w:r w:rsidRPr="00E30B35">
        <w:rPr>
          <w:rFonts w:ascii="MetaPro-Norm" w:hAnsi="MetaPro-Norm"/>
          <w:sz w:val="16"/>
          <w:szCs w:val="16"/>
        </w:rPr>
        <w:t xml:space="preserve"> (accessed June 9, 2021). </w:t>
      </w:r>
    </w:p>
  </w:footnote>
  <w:footnote w:id="2">
    <w:p w14:paraId="434FE35F" w14:textId="21D7C08F" w:rsidR="00E774B0" w:rsidRPr="00E30B35" w:rsidRDefault="00E774B0">
      <w:pPr>
        <w:pStyle w:val="FootnoteText"/>
        <w:rPr>
          <w:rFonts w:ascii="MetaPro-Norm" w:hAnsi="MetaPro-Norm"/>
          <w:sz w:val="16"/>
          <w:szCs w:val="16"/>
        </w:rPr>
      </w:pPr>
      <w:r w:rsidRPr="00E30B35">
        <w:rPr>
          <w:rStyle w:val="FootnoteReference"/>
          <w:rFonts w:ascii="MetaPro-Norm" w:hAnsi="MetaPro-Norm"/>
          <w:sz w:val="16"/>
          <w:szCs w:val="16"/>
        </w:rPr>
        <w:footnoteRef/>
      </w:r>
      <w:r w:rsidRPr="00E30B35">
        <w:rPr>
          <w:rFonts w:ascii="MetaPro-Norm" w:hAnsi="MetaPro-Norm"/>
          <w:sz w:val="16"/>
          <w:szCs w:val="16"/>
        </w:rPr>
        <w:t xml:space="preserve"> </w:t>
      </w:r>
      <w:r w:rsidR="0073083B" w:rsidRPr="00E30B35">
        <w:rPr>
          <w:rFonts w:ascii="MetaPro-Norm" w:hAnsi="MetaPro-Norm"/>
          <w:sz w:val="16"/>
          <w:szCs w:val="16"/>
        </w:rPr>
        <w:t>World Bank, “Adolescent fertility rate (births per 1,000 women ages 15-19) – Niger”, undated, https://data.worldbank.org/indicator/SP.ADO.TFRT?end=2019&amp;locations=NE&amp;start=1960&amp;view=chart</w:t>
      </w:r>
    </w:p>
  </w:footnote>
  <w:footnote w:id="3">
    <w:p w14:paraId="096D4B20" w14:textId="136044E1" w:rsidR="004A6F64" w:rsidRPr="00E30B35" w:rsidRDefault="004A6F64">
      <w:pPr>
        <w:pStyle w:val="FootnoteText"/>
        <w:rPr>
          <w:rFonts w:ascii="MetaPro-Norm" w:hAnsi="MetaPro-Norm"/>
          <w:sz w:val="16"/>
          <w:szCs w:val="16"/>
          <w:lang w:val="fr-FR"/>
        </w:rPr>
      </w:pPr>
      <w:r w:rsidRPr="00E30B35">
        <w:rPr>
          <w:rStyle w:val="FootnoteReference"/>
          <w:rFonts w:ascii="MetaPro-Norm" w:hAnsi="MetaPro-Norm"/>
          <w:sz w:val="16"/>
          <w:szCs w:val="16"/>
        </w:rPr>
        <w:footnoteRef/>
      </w:r>
      <w:r w:rsidRPr="00E30B35">
        <w:rPr>
          <w:rFonts w:ascii="MetaPro-Norm" w:hAnsi="MetaPro-Norm"/>
          <w:sz w:val="16"/>
          <w:szCs w:val="16"/>
          <w:lang w:val="fr-FR"/>
        </w:rPr>
        <w:t xml:space="preserve"> </w:t>
      </w:r>
      <w:proofErr w:type="spellStart"/>
      <w:r w:rsidRPr="00E30B35">
        <w:rPr>
          <w:rFonts w:ascii="MetaPro-Norm" w:hAnsi="MetaPro-Norm"/>
          <w:sz w:val="16"/>
          <w:szCs w:val="16"/>
          <w:lang w:val="fr-FR"/>
        </w:rPr>
        <w:t>Republique</w:t>
      </w:r>
      <w:proofErr w:type="spellEnd"/>
      <w:r w:rsidRPr="00E30B35">
        <w:rPr>
          <w:rFonts w:ascii="MetaPro-Norm" w:hAnsi="MetaPro-Norm"/>
          <w:sz w:val="16"/>
          <w:szCs w:val="16"/>
          <w:lang w:val="fr-FR"/>
        </w:rPr>
        <w:t xml:space="preserve"> du Niger, “Plan de transition du secteur de l’</w:t>
      </w:r>
      <w:proofErr w:type="spellStart"/>
      <w:r w:rsidRPr="00E30B35">
        <w:rPr>
          <w:rFonts w:ascii="MetaPro-Norm" w:hAnsi="MetaPro-Norm"/>
          <w:sz w:val="16"/>
          <w:szCs w:val="16"/>
          <w:lang w:val="fr-FR"/>
        </w:rPr>
        <w:t>education</w:t>
      </w:r>
      <w:proofErr w:type="spellEnd"/>
      <w:r w:rsidRPr="00E30B35">
        <w:rPr>
          <w:rFonts w:ascii="MetaPro-Norm" w:hAnsi="MetaPro-Norm"/>
          <w:sz w:val="16"/>
          <w:szCs w:val="16"/>
          <w:lang w:val="fr-FR"/>
        </w:rPr>
        <w:t xml:space="preserve"> et de la formation 2020 – 2022,</w:t>
      </w:r>
      <w:r w:rsidR="00BF14B2" w:rsidRPr="007B5E9C">
        <w:rPr>
          <w:rFonts w:ascii="MetaPro-Norm" w:hAnsi="MetaPro-Norm"/>
          <w:color w:val="000000" w:themeColor="text1"/>
          <w:sz w:val="16"/>
          <w:szCs w:val="16"/>
        </w:rPr>
        <w:t>”</w:t>
      </w:r>
      <w:r w:rsidR="00BF14B2">
        <w:rPr>
          <w:rFonts w:ascii="MetaPro-Norm" w:hAnsi="MetaPro-Norm"/>
          <w:sz w:val="16"/>
          <w:szCs w:val="16"/>
          <w:lang w:val="fr-FR"/>
        </w:rPr>
        <w:t xml:space="preserve">  </w:t>
      </w:r>
      <w:r w:rsidRPr="00E30B35">
        <w:rPr>
          <w:rFonts w:ascii="MetaPro-Norm" w:hAnsi="MetaPro-Norm"/>
          <w:sz w:val="16"/>
          <w:szCs w:val="16"/>
          <w:lang w:val="fr-FR"/>
        </w:rPr>
        <w:t xml:space="preserve"> </w:t>
      </w:r>
      <w:hyperlink r:id="rId2" w:history="1">
        <w:r w:rsidRPr="00E30B35">
          <w:rPr>
            <w:rStyle w:val="Hyperlink"/>
            <w:rFonts w:ascii="MetaPro-Norm" w:hAnsi="MetaPro-Norm"/>
            <w:sz w:val="16"/>
            <w:szCs w:val="16"/>
            <w:lang w:val="fr-FR"/>
          </w:rPr>
          <w:t>https://www.globalpartnership.org/sites/default/files/document/file/2020-19-NigerTEP.pdf</w:t>
        </w:r>
      </w:hyperlink>
      <w:r w:rsidRPr="00E30B35">
        <w:rPr>
          <w:rFonts w:ascii="MetaPro-Norm" w:hAnsi="MetaPro-Norm"/>
          <w:sz w:val="16"/>
          <w:szCs w:val="16"/>
          <w:lang w:val="fr-FR"/>
        </w:rPr>
        <w:t xml:space="preserve"> (</w:t>
      </w:r>
      <w:proofErr w:type="spellStart"/>
      <w:r w:rsidRPr="00E30B35">
        <w:rPr>
          <w:rFonts w:ascii="MetaPro-Norm" w:hAnsi="MetaPro-Norm"/>
          <w:sz w:val="16"/>
          <w:szCs w:val="16"/>
          <w:lang w:val="fr-FR"/>
        </w:rPr>
        <w:t>accessed</w:t>
      </w:r>
      <w:proofErr w:type="spellEnd"/>
      <w:r w:rsidRPr="00E30B35">
        <w:rPr>
          <w:rFonts w:ascii="MetaPro-Norm" w:hAnsi="MetaPro-Norm"/>
          <w:sz w:val="16"/>
          <w:szCs w:val="16"/>
          <w:lang w:val="fr-FR"/>
        </w:rPr>
        <w:t xml:space="preserve"> June 9, 2021).</w:t>
      </w:r>
    </w:p>
  </w:footnote>
  <w:footnote w:id="4">
    <w:p w14:paraId="5D43C83D" w14:textId="6E2A3133" w:rsidR="00D22ACF" w:rsidRPr="00E30B35" w:rsidRDefault="00D22ACF">
      <w:pPr>
        <w:pStyle w:val="FootnoteText"/>
        <w:rPr>
          <w:rFonts w:ascii="MetaPro-Norm" w:hAnsi="MetaPro-Norm"/>
          <w:sz w:val="16"/>
          <w:szCs w:val="16"/>
        </w:rPr>
      </w:pPr>
      <w:r w:rsidRPr="00E30B35">
        <w:rPr>
          <w:rStyle w:val="FootnoteReference"/>
          <w:rFonts w:ascii="MetaPro-Norm" w:hAnsi="MetaPro-Norm"/>
          <w:sz w:val="16"/>
          <w:szCs w:val="16"/>
        </w:rPr>
        <w:footnoteRef/>
      </w:r>
      <w:r w:rsidRPr="00E30B35">
        <w:rPr>
          <w:rFonts w:ascii="MetaPro-Norm" w:hAnsi="MetaPro-Norm"/>
          <w:sz w:val="16"/>
          <w:szCs w:val="16"/>
        </w:rPr>
        <w:t xml:space="preserve"> </w:t>
      </w:r>
      <w:r w:rsidR="00D407BF" w:rsidRPr="00E30B35">
        <w:rPr>
          <w:rFonts w:ascii="MetaPro-Norm" w:hAnsi="MetaPro-Norm"/>
          <w:sz w:val="16"/>
          <w:szCs w:val="16"/>
        </w:rPr>
        <w:t xml:space="preserve">UNESCO, </w:t>
      </w:r>
      <w:r w:rsidR="00D407BF" w:rsidRPr="00E30B35">
        <w:rPr>
          <w:rFonts w:ascii="MetaPro-Norm" w:hAnsi="MetaPro-Norm"/>
          <w:i/>
          <w:iCs/>
          <w:sz w:val="16"/>
          <w:szCs w:val="16"/>
        </w:rPr>
        <w:t>Tackling Gender Inequalities</w:t>
      </w:r>
      <w:r w:rsidR="00623DD5" w:rsidRPr="00E30B35">
        <w:rPr>
          <w:rFonts w:ascii="MetaPro-Norm" w:hAnsi="MetaPro-Norm"/>
          <w:i/>
          <w:iCs/>
          <w:sz w:val="16"/>
          <w:szCs w:val="16"/>
        </w:rPr>
        <w:t xml:space="preserve"> in Niger’s Educational System</w:t>
      </w:r>
      <w:r w:rsidR="00623DD5" w:rsidRPr="00E30B35">
        <w:rPr>
          <w:rFonts w:ascii="MetaPro-Norm" w:hAnsi="MetaPro-Norm"/>
          <w:sz w:val="16"/>
          <w:szCs w:val="16"/>
        </w:rPr>
        <w:t xml:space="preserve">, 2016, </w:t>
      </w:r>
      <w:hyperlink r:id="rId3" w:history="1">
        <w:r w:rsidR="00623DD5" w:rsidRPr="00E30B35">
          <w:rPr>
            <w:rStyle w:val="Hyperlink"/>
            <w:rFonts w:ascii="MetaPro-Norm" w:hAnsi="MetaPro-Norm"/>
            <w:sz w:val="16"/>
            <w:szCs w:val="16"/>
          </w:rPr>
          <w:t>http://www.unesco.org/new/fileadmin/MULTIMEDIA/FIELD/Dakar/pdf/TacklingGenderInequalitiesNigerEducationalSystem.pdf</w:t>
        </w:r>
      </w:hyperlink>
      <w:r w:rsidR="00623DD5" w:rsidRPr="00E30B35">
        <w:rPr>
          <w:rFonts w:ascii="MetaPro-Norm" w:hAnsi="MetaPro-Norm"/>
          <w:sz w:val="16"/>
          <w:szCs w:val="16"/>
        </w:rPr>
        <w:t xml:space="preserve"> (accessed June 9, 2021).</w:t>
      </w:r>
    </w:p>
  </w:footnote>
  <w:footnote w:id="5">
    <w:p w14:paraId="384D91BC" w14:textId="77777777" w:rsidR="00E774B0" w:rsidRPr="00E30B35" w:rsidRDefault="00E774B0" w:rsidP="00E774B0">
      <w:pPr>
        <w:pStyle w:val="FootnoteText"/>
        <w:rPr>
          <w:rFonts w:ascii="MetaPro-Norm" w:hAnsi="MetaPro-Norm"/>
          <w:sz w:val="16"/>
          <w:szCs w:val="16"/>
        </w:rPr>
      </w:pPr>
      <w:r w:rsidRPr="00E30B35">
        <w:rPr>
          <w:rStyle w:val="FootnoteReference"/>
          <w:rFonts w:ascii="MetaPro-Norm" w:hAnsi="MetaPro-Norm"/>
          <w:sz w:val="16"/>
          <w:szCs w:val="16"/>
        </w:rPr>
        <w:footnoteRef/>
      </w:r>
      <w:r w:rsidRPr="00E30B35">
        <w:rPr>
          <w:rFonts w:ascii="MetaPro-Norm" w:hAnsi="MetaPro-Norm"/>
          <w:sz w:val="16"/>
          <w:szCs w:val="16"/>
        </w:rPr>
        <w:t xml:space="preserve"> </w:t>
      </w:r>
      <w:r w:rsidRPr="00E30B35">
        <w:rPr>
          <w:rFonts w:ascii="MetaPro-Norm" w:hAnsi="MetaPro-Norm"/>
          <w:color w:val="000000" w:themeColor="text1"/>
          <w:sz w:val="16"/>
          <w:szCs w:val="16"/>
        </w:rPr>
        <w:t xml:space="preserve">“Leave No Girl behind in Africa: Discrimination in Education against Pregnant Girls and Adolescent Mothers,” Human Rights Watch, June 14, 2018, </w:t>
      </w:r>
      <w:hyperlink r:id="rId4" w:history="1">
        <w:r w:rsidRPr="00E30B35">
          <w:rPr>
            <w:rStyle w:val="Hyperlink"/>
            <w:rFonts w:ascii="MetaPro-Norm" w:hAnsi="MetaPro-Norm"/>
            <w:sz w:val="16"/>
            <w:szCs w:val="16"/>
          </w:rPr>
          <w:t>https://www.hrw.org/sites/default/files/report_pdf/au0618_web.pdf</w:t>
        </w:r>
      </w:hyperlink>
      <w:r w:rsidRPr="00E30B35">
        <w:rPr>
          <w:rFonts w:ascii="MetaPro-Norm" w:hAnsi="MetaPro-Norm"/>
          <w:sz w:val="16"/>
          <w:szCs w:val="16"/>
        </w:rPr>
        <w:t xml:space="preserve"> </w:t>
      </w:r>
    </w:p>
  </w:footnote>
  <w:footnote w:id="6">
    <w:p w14:paraId="58538E64" w14:textId="77777777" w:rsidR="00344E8B" w:rsidRPr="00E30B35" w:rsidRDefault="00344E8B" w:rsidP="00344E8B">
      <w:pPr>
        <w:pStyle w:val="FootnoteText"/>
        <w:rPr>
          <w:rFonts w:ascii="MetaPro-Norm" w:hAnsi="MetaPro-Norm"/>
          <w:sz w:val="16"/>
          <w:szCs w:val="16"/>
        </w:rPr>
      </w:pPr>
      <w:r w:rsidRPr="00E30B35">
        <w:rPr>
          <w:rStyle w:val="FootnoteReference"/>
          <w:rFonts w:ascii="MetaPro-Norm" w:hAnsi="MetaPro-Norm"/>
          <w:sz w:val="16"/>
          <w:szCs w:val="16"/>
        </w:rPr>
        <w:footnoteRef/>
      </w:r>
      <w:r w:rsidRPr="00E30B35">
        <w:rPr>
          <w:rFonts w:ascii="MetaPro-Norm" w:hAnsi="MetaPro-Norm"/>
          <w:sz w:val="16"/>
          <w:szCs w:val="16"/>
        </w:rPr>
        <w:t xml:space="preserve"> “Ending Child Marriage in Africa: Opening the Door for Girls' Education, Health, and Freedom from Violence,” Human Rights Watch news release, December 9, 2015, </w:t>
      </w:r>
      <w:hyperlink r:id="rId5" w:anchor="_ftn4" w:history="1">
        <w:r w:rsidRPr="00E30B35">
          <w:rPr>
            <w:rStyle w:val="Hyperlink"/>
            <w:rFonts w:ascii="MetaPro-Norm" w:hAnsi="MetaPro-Norm"/>
            <w:sz w:val="16"/>
            <w:szCs w:val="16"/>
          </w:rPr>
          <w:t>https://www.hrw.org/news/2015/12/09/ending-child-marriage-africa#_ftn4</w:t>
        </w:r>
      </w:hyperlink>
      <w:r w:rsidRPr="00E30B35">
        <w:rPr>
          <w:rFonts w:ascii="MetaPro-Norm" w:hAnsi="MetaPro-Norm"/>
          <w:sz w:val="16"/>
          <w:szCs w:val="16"/>
        </w:rPr>
        <w:t xml:space="preserve"> </w:t>
      </w:r>
    </w:p>
  </w:footnote>
  <w:footnote w:id="7">
    <w:p w14:paraId="36E06FCF" w14:textId="6E83BBAA" w:rsidR="00344E8B" w:rsidRPr="00E30B35" w:rsidRDefault="00344E8B" w:rsidP="00344E8B">
      <w:pPr>
        <w:pStyle w:val="FootnoteText"/>
        <w:rPr>
          <w:rFonts w:ascii="MetaPro-Norm" w:hAnsi="MetaPro-Norm"/>
          <w:sz w:val="16"/>
          <w:szCs w:val="16"/>
          <w:lang w:val="en-US"/>
        </w:rPr>
      </w:pPr>
      <w:r w:rsidRPr="00E30B35">
        <w:rPr>
          <w:rStyle w:val="FootnoteReference"/>
          <w:rFonts w:ascii="MetaPro-Norm" w:hAnsi="MetaPro-Norm"/>
          <w:sz w:val="16"/>
          <w:szCs w:val="16"/>
        </w:rPr>
        <w:footnoteRef/>
      </w:r>
      <w:r w:rsidRPr="00E30B35">
        <w:rPr>
          <w:rFonts w:ascii="MetaPro-Norm" w:hAnsi="MetaPro-Norm"/>
          <w:sz w:val="16"/>
          <w:szCs w:val="16"/>
        </w:rPr>
        <w:t xml:space="preserve"> </w:t>
      </w:r>
      <w:proofErr w:type="spellStart"/>
      <w:r w:rsidRPr="00E30B35">
        <w:rPr>
          <w:rFonts w:ascii="MetaPro-Norm" w:hAnsi="MetaPro-Norm"/>
          <w:sz w:val="16"/>
          <w:szCs w:val="16"/>
        </w:rPr>
        <w:t>Lalaina</w:t>
      </w:r>
      <w:proofErr w:type="spellEnd"/>
      <w:r w:rsidRPr="00E30B35">
        <w:rPr>
          <w:rFonts w:ascii="MetaPro-Norm" w:hAnsi="MetaPro-Norm"/>
          <w:sz w:val="16"/>
          <w:szCs w:val="16"/>
        </w:rPr>
        <w:t xml:space="preserve"> </w:t>
      </w:r>
      <w:proofErr w:type="spellStart"/>
      <w:r w:rsidRPr="00E30B35">
        <w:rPr>
          <w:rFonts w:ascii="MetaPro-Norm" w:hAnsi="MetaPro-Norm"/>
          <w:sz w:val="16"/>
          <w:szCs w:val="16"/>
        </w:rPr>
        <w:t>Fatratra</w:t>
      </w:r>
      <w:proofErr w:type="spellEnd"/>
      <w:r w:rsidRPr="00E30B35">
        <w:rPr>
          <w:rFonts w:ascii="MetaPro-Norm" w:hAnsi="MetaPro-Norm"/>
          <w:sz w:val="16"/>
          <w:szCs w:val="16"/>
        </w:rPr>
        <w:t xml:space="preserve"> </w:t>
      </w:r>
      <w:proofErr w:type="spellStart"/>
      <w:r w:rsidRPr="00E30B35">
        <w:rPr>
          <w:rFonts w:ascii="MetaPro-Norm" w:hAnsi="MetaPro-Norm"/>
          <w:sz w:val="16"/>
          <w:szCs w:val="16"/>
        </w:rPr>
        <w:t>Andriamasinoro</w:t>
      </w:r>
      <w:proofErr w:type="spellEnd"/>
      <w:r w:rsidRPr="00E30B35">
        <w:rPr>
          <w:rFonts w:ascii="MetaPro-Norm" w:hAnsi="MetaPro-Norm"/>
          <w:sz w:val="16"/>
          <w:szCs w:val="16"/>
        </w:rPr>
        <w:t xml:space="preserve">, “COVID-19: a threat to progress against child marriage in Niger,” </w:t>
      </w:r>
      <w:r w:rsidRPr="00E30B35">
        <w:rPr>
          <w:rFonts w:ascii="MetaPro-Norm" w:hAnsi="MetaPro-Norm"/>
          <w:i/>
          <w:iCs/>
          <w:sz w:val="16"/>
          <w:szCs w:val="16"/>
        </w:rPr>
        <w:t xml:space="preserve">UNICEF, </w:t>
      </w:r>
      <w:r w:rsidRPr="00E30B35">
        <w:rPr>
          <w:rFonts w:ascii="MetaPro-Norm" w:hAnsi="MetaPro-Norm"/>
          <w:sz w:val="16"/>
          <w:szCs w:val="16"/>
        </w:rPr>
        <w:t xml:space="preserve">April 29, 2021, </w:t>
      </w:r>
      <w:hyperlink r:id="rId6" w:history="1">
        <w:r w:rsidRPr="00E30B35">
          <w:rPr>
            <w:rStyle w:val="Hyperlink"/>
            <w:rFonts w:ascii="MetaPro-Norm" w:hAnsi="MetaPro-Norm"/>
            <w:sz w:val="16"/>
            <w:szCs w:val="16"/>
          </w:rPr>
          <w:t>https://www.unicef.org/niger/stories/covid-19-threat-progress-against-child-marriage-niger</w:t>
        </w:r>
      </w:hyperlink>
      <w:r w:rsidRPr="00E30B35">
        <w:rPr>
          <w:rFonts w:ascii="MetaPro-Norm" w:hAnsi="MetaPro-Norm"/>
          <w:sz w:val="16"/>
          <w:szCs w:val="16"/>
        </w:rPr>
        <w:t xml:space="preserve"> (accessed June 4, 2021)</w:t>
      </w:r>
      <w:r w:rsidR="00BF14B2">
        <w:rPr>
          <w:rFonts w:ascii="MetaPro-Norm" w:hAnsi="MetaPro-Norm"/>
          <w:sz w:val="16"/>
          <w:szCs w:val="16"/>
        </w:rPr>
        <w:t>.</w:t>
      </w:r>
    </w:p>
  </w:footnote>
  <w:footnote w:id="8">
    <w:p w14:paraId="4A07576A" w14:textId="063CDDF7" w:rsidR="00344E8B" w:rsidRPr="00E30B35" w:rsidRDefault="00344E8B">
      <w:pPr>
        <w:pStyle w:val="FootnoteText"/>
        <w:rPr>
          <w:rFonts w:ascii="MetaPro-Norm" w:hAnsi="MetaPro-Norm"/>
          <w:sz w:val="16"/>
          <w:szCs w:val="16"/>
          <w:lang w:val="en-US"/>
        </w:rPr>
      </w:pPr>
      <w:r w:rsidRPr="00E30B35">
        <w:rPr>
          <w:rStyle w:val="FootnoteReference"/>
          <w:rFonts w:ascii="MetaPro-Norm" w:hAnsi="MetaPro-Norm"/>
          <w:sz w:val="16"/>
          <w:szCs w:val="16"/>
        </w:rPr>
        <w:footnoteRef/>
      </w:r>
      <w:r w:rsidRPr="00E30B35">
        <w:rPr>
          <w:rFonts w:ascii="MetaPro-Norm" w:hAnsi="MetaPro-Norm"/>
          <w:sz w:val="16"/>
          <w:szCs w:val="16"/>
        </w:rPr>
        <w:t xml:space="preserve"> </w:t>
      </w:r>
      <w:r w:rsidRPr="00E30B35">
        <w:rPr>
          <w:rFonts w:ascii="MetaPro-Norm" w:hAnsi="MetaPro-Norm"/>
          <w:sz w:val="16"/>
          <w:szCs w:val="16"/>
          <w:lang w:val="en-US"/>
        </w:rPr>
        <w:t xml:space="preserve">Ibid. </w:t>
      </w:r>
    </w:p>
  </w:footnote>
  <w:footnote w:id="9">
    <w:p w14:paraId="2DBD1B82" w14:textId="6F3F2881" w:rsidR="00C7203B" w:rsidRPr="00E30B35" w:rsidRDefault="00C7203B">
      <w:pPr>
        <w:pStyle w:val="FootnoteText"/>
        <w:rPr>
          <w:rFonts w:ascii="MetaPro-Norm" w:hAnsi="MetaPro-Norm"/>
          <w:sz w:val="16"/>
          <w:szCs w:val="16"/>
          <w:lang w:val="en-US"/>
        </w:rPr>
      </w:pPr>
      <w:r w:rsidRPr="00E30B35">
        <w:rPr>
          <w:rStyle w:val="FootnoteReference"/>
          <w:rFonts w:ascii="MetaPro-Norm" w:hAnsi="MetaPro-Norm"/>
          <w:sz w:val="16"/>
          <w:szCs w:val="16"/>
        </w:rPr>
        <w:footnoteRef/>
      </w:r>
      <w:r w:rsidRPr="00E30B35">
        <w:rPr>
          <w:rFonts w:ascii="MetaPro-Norm" w:hAnsi="MetaPro-Norm"/>
          <w:sz w:val="16"/>
          <w:szCs w:val="16"/>
        </w:rPr>
        <w:t xml:space="preserve"> </w:t>
      </w:r>
      <w:r w:rsidRPr="00E30B35">
        <w:rPr>
          <w:rFonts w:ascii="MetaPro-Norm" w:hAnsi="MetaPro-Norm"/>
          <w:sz w:val="16"/>
          <w:szCs w:val="16"/>
          <w:lang w:val="en-US"/>
        </w:rPr>
        <w:t xml:space="preserve">GCPEA, </w:t>
      </w:r>
      <w:r w:rsidR="00BF14B2">
        <w:rPr>
          <w:rFonts w:ascii="MetaPro-Norm" w:hAnsi="MetaPro-Norm"/>
          <w:sz w:val="16"/>
          <w:szCs w:val="16"/>
          <w:lang w:val="en-US"/>
        </w:rPr>
        <w:t>“</w:t>
      </w:r>
      <w:r w:rsidRPr="00E30B35">
        <w:rPr>
          <w:rFonts w:ascii="MetaPro-Norm" w:hAnsi="MetaPro-Norm"/>
          <w:sz w:val="16"/>
          <w:szCs w:val="16"/>
          <w:lang w:val="en-US"/>
        </w:rPr>
        <w:t xml:space="preserve">Education Under Attack 2020,” July 9, 2020, </w:t>
      </w:r>
      <w:hyperlink r:id="rId7" w:history="1">
        <w:r w:rsidRPr="00E30B35">
          <w:rPr>
            <w:rStyle w:val="Hyperlink"/>
            <w:rFonts w:ascii="MetaPro-Norm" w:hAnsi="MetaPro-Norm"/>
            <w:sz w:val="16"/>
            <w:szCs w:val="16"/>
            <w:lang w:val="en-US"/>
          </w:rPr>
          <w:t>https://protectingeducation.org/wp-content/uploads/eua_2020_full.pdf</w:t>
        </w:r>
      </w:hyperlink>
      <w:r w:rsidRPr="00E30B35">
        <w:rPr>
          <w:rFonts w:ascii="MetaPro-Norm" w:hAnsi="MetaPro-Norm"/>
          <w:sz w:val="16"/>
          <w:szCs w:val="16"/>
          <w:lang w:val="en-US"/>
        </w:rPr>
        <w:t xml:space="preserve"> (accessed June 4, 2021)</w:t>
      </w:r>
      <w:r w:rsidR="00BF14B2">
        <w:rPr>
          <w:rFonts w:ascii="MetaPro-Norm" w:hAnsi="MetaPro-Norm"/>
          <w:sz w:val="16"/>
          <w:szCs w:val="16"/>
          <w:lang w:val="en-US"/>
        </w:rPr>
        <w:t>.</w:t>
      </w:r>
    </w:p>
  </w:footnote>
  <w:footnote w:id="10">
    <w:p w14:paraId="26BC7784" w14:textId="4531FF78" w:rsidR="009E5EA3" w:rsidRPr="00E30B35" w:rsidRDefault="009E5EA3">
      <w:pPr>
        <w:pStyle w:val="FootnoteText"/>
        <w:rPr>
          <w:rFonts w:ascii="MetaPro-Norm" w:hAnsi="MetaPro-Norm"/>
          <w:sz w:val="16"/>
          <w:szCs w:val="16"/>
          <w:lang w:val="en-US"/>
        </w:rPr>
      </w:pPr>
      <w:r w:rsidRPr="00E30B35">
        <w:rPr>
          <w:rStyle w:val="FootnoteReference"/>
          <w:rFonts w:ascii="MetaPro-Norm" w:hAnsi="MetaPro-Norm"/>
          <w:sz w:val="16"/>
          <w:szCs w:val="16"/>
        </w:rPr>
        <w:footnoteRef/>
      </w:r>
      <w:r w:rsidRPr="00E30B35">
        <w:rPr>
          <w:rFonts w:ascii="MetaPro-Norm" w:hAnsi="MetaPro-Norm"/>
          <w:sz w:val="16"/>
          <w:szCs w:val="16"/>
        </w:rPr>
        <w:t xml:space="preserve"> GCPEA, “</w:t>
      </w:r>
      <w:r w:rsidRPr="00E30B35">
        <w:rPr>
          <w:rFonts w:ascii="MetaPro-Norm" w:hAnsi="MetaPro-Norm"/>
          <w:sz w:val="16"/>
          <w:szCs w:val="16"/>
          <w:lang w:val="en-US"/>
        </w:rPr>
        <w:t>Supporting Safe Education in the Central Sahel,”</w:t>
      </w:r>
      <w:r w:rsidR="00134BA8" w:rsidRPr="00E30B35">
        <w:rPr>
          <w:rFonts w:ascii="MetaPro-Norm" w:hAnsi="MetaPro-Norm"/>
          <w:sz w:val="16"/>
          <w:szCs w:val="16"/>
          <w:lang w:val="en-US"/>
        </w:rPr>
        <w:t xml:space="preserve"> September 2020, </w:t>
      </w:r>
      <w:hyperlink r:id="rId8" w:history="1">
        <w:r w:rsidR="00134BA8" w:rsidRPr="00E30B35">
          <w:rPr>
            <w:rStyle w:val="Hyperlink"/>
            <w:rFonts w:ascii="MetaPro-Norm" w:hAnsi="MetaPro-Norm"/>
            <w:sz w:val="16"/>
            <w:szCs w:val="16"/>
            <w:lang w:val="en-US"/>
          </w:rPr>
          <w:t>https://9ehb82bl65d34vylp1jrlfy5-wpengine.netdna-ssl.com/wp-content/uploads/Central-Sahel-Paper-English.pdf</w:t>
        </w:r>
      </w:hyperlink>
      <w:r w:rsidR="00134BA8" w:rsidRPr="00E30B35">
        <w:rPr>
          <w:rFonts w:ascii="MetaPro-Norm" w:hAnsi="MetaPro-Norm"/>
          <w:sz w:val="16"/>
          <w:szCs w:val="16"/>
          <w:lang w:val="en-US"/>
        </w:rPr>
        <w:t xml:space="preserve"> (accessed June 3, 2021)</w:t>
      </w:r>
      <w:r w:rsidR="00BF14B2">
        <w:rPr>
          <w:rFonts w:ascii="MetaPro-Norm" w:hAnsi="MetaPro-Norm"/>
          <w:sz w:val="16"/>
          <w:szCs w:val="16"/>
          <w:lang w:val="en-US"/>
        </w:rPr>
        <w:t>.</w:t>
      </w:r>
    </w:p>
  </w:footnote>
  <w:footnote w:id="11">
    <w:p w14:paraId="4D01190C" w14:textId="6501C29D" w:rsidR="00C7203B" w:rsidRPr="00E30B35" w:rsidRDefault="00C7203B">
      <w:pPr>
        <w:pStyle w:val="FootnoteText"/>
        <w:rPr>
          <w:rFonts w:ascii="MetaPro-Norm" w:hAnsi="MetaPro-Norm"/>
          <w:sz w:val="16"/>
          <w:szCs w:val="16"/>
          <w:lang w:val="en-US"/>
        </w:rPr>
      </w:pPr>
      <w:r w:rsidRPr="00E30B35">
        <w:rPr>
          <w:rStyle w:val="FootnoteReference"/>
          <w:rFonts w:ascii="MetaPro-Norm" w:hAnsi="MetaPro-Norm"/>
          <w:sz w:val="16"/>
          <w:szCs w:val="16"/>
        </w:rPr>
        <w:footnoteRef/>
      </w:r>
      <w:r w:rsidRPr="00E30B35">
        <w:rPr>
          <w:rFonts w:ascii="MetaPro-Norm" w:hAnsi="MetaPro-Norm"/>
          <w:sz w:val="16"/>
          <w:szCs w:val="16"/>
        </w:rPr>
        <w:t xml:space="preserve"> </w:t>
      </w:r>
      <w:r w:rsidR="00134BA8" w:rsidRPr="00E30B35">
        <w:rPr>
          <w:rFonts w:ascii="MetaPro-Norm" w:hAnsi="MetaPro-Norm"/>
          <w:sz w:val="16"/>
          <w:szCs w:val="16"/>
          <w:lang w:val="en-US"/>
        </w:rPr>
        <w:t xml:space="preserve">GCPEA, </w:t>
      </w:r>
      <w:r w:rsidR="00BF14B2">
        <w:rPr>
          <w:rFonts w:ascii="MetaPro-Norm" w:hAnsi="MetaPro-Norm"/>
          <w:sz w:val="16"/>
          <w:szCs w:val="16"/>
          <w:lang w:val="en-US"/>
        </w:rPr>
        <w:t>“</w:t>
      </w:r>
      <w:r w:rsidR="00134BA8" w:rsidRPr="00E30B35">
        <w:rPr>
          <w:rFonts w:ascii="MetaPro-Norm" w:hAnsi="MetaPro-Norm"/>
          <w:sz w:val="16"/>
          <w:szCs w:val="16"/>
          <w:lang w:val="en-US"/>
        </w:rPr>
        <w:t xml:space="preserve">Education Under Attack 2020,” July 9, 2020, </w:t>
      </w:r>
      <w:hyperlink r:id="rId9" w:history="1">
        <w:r w:rsidR="00134BA8" w:rsidRPr="00E30B35">
          <w:rPr>
            <w:rStyle w:val="Hyperlink"/>
            <w:rFonts w:ascii="MetaPro-Norm" w:hAnsi="MetaPro-Norm"/>
            <w:sz w:val="16"/>
            <w:szCs w:val="16"/>
            <w:lang w:val="en-US"/>
          </w:rPr>
          <w:t>https://protectingeducation.org/wp-content/uploads/eua_2020_full.pdf</w:t>
        </w:r>
      </w:hyperlink>
      <w:r w:rsidR="00134BA8" w:rsidRPr="00E30B35">
        <w:rPr>
          <w:rFonts w:ascii="MetaPro-Norm" w:hAnsi="MetaPro-Norm"/>
          <w:sz w:val="16"/>
          <w:szCs w:val="16"/>
          <w:lang w:val="en-US"/>
        </w:rPr>
        <w:t xml:space="preserve"> (accessed June 4, 2021)</w:t>
      </w:r>
    </w:p>
  </w:footnote>
  <w:footnote w:id="12">
    <w:p w14:paraId="22AE5047" w14:textId="063EFCF2" w:rsidR="00134BA8" w:rsidRPr="00E30B35" w:rsidRDefault="00134BA8">
      <w:pPr>
        <w:pStyle w:val="FootnoteText"/>
        <w:rPr>
          <w:rFonts w:ascii="MetaPro-Norm" w:hAnsi="MetaPro-Norm"/>
          <w:sz w:val="16"/>
          <w:szCs w:val="16"/>
          <w:lang w:val="en-US"/>
        </w:rPr>
      </w:pPr>
      <w:r w:rsidRPr="00E30B35">
        <w:rPr>
          <w:rStyle w:val="FootnoteReference"/>
          <w:rFonts w:ascii="MetaPro-Norm" w:hAnsi="MetaPro-Norm"/>
          <w:sz w:val="16"/>
          <w:szCs w:val="16"/>
        </w:rPr>
        <w:footnoteRef/>
      </w:r>
      <w:r w:rsidRPr="00E30B35">
        <w:rPr>
          <w:rFonts w:ascii="MetaPro-Norm" w:hAnsi="MetaPro-Norm"/>
          <w:sz w:val="16"/>
          <w:szCs w:val="16"/>
        </w:rPr>
        <w:t xml:space="preserve"> GCPEA, “</w:t>
      </w:r>
      <w:r w:rsidRPr="00E30B35">
        <w:rPr>
          <w:rFonts w:ascii="MetaPro-Norm" w:hAnsi="MetaPro-Norm"/>
          <w:sz w:val="16"/>
          <w:szCs w:val="16"/>
          <w:lang w:val="en-US"/>
        </w:rPr>
        <w:t xml:space="preserve">Supporting Safe Education in the Central Sahel,” September 2020, </w:t>
      </w:r>
      <w:hyperlink r:id="rId10" w:history="1">
        <w:r w:rsidRPr="00E30B35">
          <w:rPr>
            <w:rStyle w:val="Hyperlink"/>
            <w:rFonts w:ascii="MetaPro-Norm" w:hAnsi="MetaPro-Norm"/>
            <w:sz w:val="16"/>
            <w:szCs w:val="16"/>
            <w:lang w:val="en-US"/>
          </w:rPr>
          <w:t>https://9ehb82bl65d34vylp1jrlfy5-wpengine.netdna-ssl.com/wp-content/uploads/Central-Sahel-Paper-English.pdf</w:t>
        </w:r>
      </w:hyperlink>
      <w:r w:rsidRPr="00E30B35">
        <w:rPr>
          <w:rFonts w:ascii="MetaPro-Norm" w:hAnsi="MetaPro-Norm"/>
          <w:sz w:val="16"/>
          <w:szCs w:val="16"/>
          <w:lang w:val="en-US"/>
        </w:rPr>
        <w:t xml:space="preserve"> (accessed June 3, 2021)</w:t>
      </w:r>
    </w:p>
  </w:footnote>
  <w:footnote w:id="13">
    <w:p w14:paraId="648E416A" w14:textId="77777777" w:rsidR="0048670F" w:rsidRPr="00E30B35" w:rsidRDefault="0048670F" w:rsidP="0048670F">
      <w:pPr>
        <w:contextualSpacing/>
        <w:jc w:val="both"/>
        <w:rPr>
          <w:rFonts w:ascii="MetaPro-Norm" w:hAnsi="MetaPro-Norm" w:cs="Calibri"/>
          <w:color w:val="000000" w:themeColor="text1"/>
          <w:sz w:val="16"/>
          <w:szCs w:val="16"/>
        </w:rPr>
      </w:pPr>
      <w:r w:rsidRPr="00E30B35">
        <w:rPr>
          <w:rStyle w:val="FootnoteReference"/>
          <w:rFonts w:ascii="MetaPro-Norm" w:hAnsi="MetaPro-Norm" w:cs="Calibri"/>
          <w:color w:val="000000" w:themeColor="text1"/>
          <w:sz w:val="16"/>
          <w:szCs w:val="16"/>
        </w:rPr>
        <w:footnoteRef/>
      </w:r>
      <w:r w:rsidRPr="00E30B35">
        <w:rPr>
          <w:rFonts w:ascii="MetaPro-Norm" w:hAnsi="MetaPro-Norm" w:cs="Calibri"/>
          <w:color w:val="000000" w:themeColor="text1"/>
          <w:sz w:val="16"/>
          <w:szCs w:val="16"/>
        </w:rPr>
        <w:t xml:space="preserve"> UN Committee on the Elimination of Discrimination against Women, General Recommendation No. 30, Access to Education, U.N Doc. CEDAW/C/GC/30 (2013), para. 48.</w:t>
      </w:r>
    </w:p>
  </w:footnote>
  <w:footnote w:id="14">
    <w:p w14:paraId="40705F57" w14:textId="77777777" w:rsidR="0048670F" w:rsidRPr="00E30B35" w:rsidRDefault="0048670F" w:rsidP="0048670F">
      <w:pPr>
        <w:pStyle w:val="NoSpacing"/>
        <w:rPr>
          <w:rFonts w:ascii="MetaPro-Norm" w:hAnsi="MetaPro-Norm" w:cs="Calibri"/>
          <w:color w:val="000000" w:themeColor="text1"/>
          <w:sz w:val="16"/>
          <w:szCs w:val="16"/>
        </w:rPr>
      </w:pPr>
      <w:r w:rsidRPr="00E30B35">
        <w:rPr>
          <w:rStyle w:val="FootnoteReference"/>
          <w:rFonts w:ascii="MetaPro-Norm" w:hAnsi="MetaPro-Norm" w:cs="Calibri"/>
          <w:color w:val="000000" w:themeColor="text1"/>
          <w:sz w:val="16"/>
          <w:szCs w:val="16"/>
        </w:rPr>
        <w:footnoteRef/>
      </w:r>
      <w:r w:rsidRPr="00E30B35">
        <w:rPr>
          <w:rFonts w:ascii="MetaPro-Norm" w:hAnsi="MetaPro-Norm" w:cs="Calibri"/>
          <w:color w:val="000000" w:themeColor="text1"/>
          <w:sz w:val="16"/>
          <w:szCs w:val="16"/>
        </w:rPr>
        <w:t xml:space="preserve"> Safe Schools Declaration, May 28, 2015, </w:t>
      </w:r>
      <w:hyperlink r:id="rId11" w:history="1">
        <w:r w:rsidRPr="00E30B35">
          <w:rPr>
            <w:rStyle w:val="Hyperlink"/>
            <w:rFonts w:ascii="MetaPro-Norm" w:hAnsi="MetaPro-Norm" w:cs="Calibri"/>
            <w:color w:val="000000" w:themeColor="text1"/>
            <w:sz w:val="16"/>
            <w:szCs w:val="16"/>
          </w:rPr>
          <w:t>https://www.regjeringen.no/globalassets/departementene/ud/vedlegg/utvikling/safe_schools_declaration.pdf</w:t>
        </w:r>
      </w:hyperlink>
      <w:r w:rsidRPr="00E30B35">
        <w:rPr>
          <w:rFonts w:ascii="MetaPro-Norm" w:hAnsi="MetaPro-Norm" w:cs="Calibri"/>
          <w:color w:val="000000" w:themeColor="text1"/>
          <w:sz w:val="16"/>
          <w:szCs w:val="16"/>
        </w:rPr>
        <w:t xml:space="preserve"> (accessed January 23, 2020).</w:t>
      </w:r>
    </w:p>
  </w:footnote>
  <w:footnote w:id="15">
    <w:p w14:paraId="320672A9" w14:textId="77777777" w:rsidR="0048670F" w:rsidRPr="00E30B35" w:rsidRDefault="0048670F" w:rsidP="0048670F">
      <w:pPr>
        <w:pStyle w:val="NoSpacing"/>
        <w:rPr>
          <w:rFonts w:ascii="MetaPro-Norm" w:hAnsi="MetaPro-Norm" w:cs="Calibri"/>
          <w:color w:val="000000" w:themeColor="text1"/>
          <w:sz w:val="16"/>
          <w:szCs w:val="16"/>
        </w:rPr>
      </w:pPr>
      <w:r w:rsidRPr="00E30B35">
        <w:rPr>
          <w:rStyle w:val="FootnoteReference"/>
          <w:rFonts w:ascii="MetaPro-Norm" w:hAnsi="MetaPro-Norm" w:cs="Calibri"/>
          <w:color w:val="000000" w:themeColor="text1"/>
          <w:sz w:val="16"/>
          <w:szCs w:val="16"/>
        </w:rPr>
        <w:footnoteRef/>
      </w:r>
      <w:r w:rsidRPr="00E30B35">
        <w:rPr>
          <w:rFonts w:ascii="MetaPro-Norm" w:hAnsi="MetaPro-Norm" w:cs="Calibri"/>
          <w:color w:val="000000" w:themeColor="text1"/>
          <w:sz w:val="16"/>
          <w:szCs w:val="16"/>
        </w:rPr>
        <w:t xml:space="preserve"> </w:t>
      </w:r>
      <w:r w:rsidRPr="007B5E9C">
        <w:rPr>
          <w:rFonts w:ascii="MetaPro-Norm" w:hAnsi="MetaPro-Norm" w:cs="Calibri"/>
          <w:i/>
          <w:iCs/>
          <w:color w:val="000000" w:themeColor="text1"/>
          <w:sz w:val="16"/>
          <w:szCs w:val="16"/>
        </w:rPr>
        <w:t>Guidelines for Protecting Schools and Universities from Military Use during Armed Conflict</w:t>
      </w:r>
      <w:r w:rsidRPr="00E30B35">
        <w:rPr>
          <w:rFonts w:ascii="MetaPro-Norm" w:hAnsi="MetaPro-Norm" w:cs="Calibri"/>
          <w:color w:val="000000" w:themeColor="text1"/>
          <w:sz w:val="16"/>
          <w:szCs w:val="16"/>
        </w:rPr>
        <w:t xml:space="preserve">, March 18, 2014, </w:t>
      </w:r>
      <w:hyperlink r:id="rId12" w:history="1">
        <w:r w:rsidRPr="00E30B35">
          <w:rPr>
            <w:rStyle w:val="Hyperlink"/>
            <w:rFonts w:ascii="MetaPro-Norm" w:hAnsi="MetaPro-Norm" w:cs="Calibri"/>
            <w:color w:val="000000" w:themeColor="text1"/>
            <w:sz w:val="16"/>
            <w:szCs w:val="16"/>
          </w:rPr>
          <w:t>http://protectingeducation.org/sites/default/files/documents/guidelines_en.pdf</w:t>
        </w:r>
      </w:hyperlink>
      <w:r w:rsidRPr="00E30B35">
        <w:rPr>
          <w:rFonts w:ascii="MetaPro-Norm" w:hAnsi="MetaPro-Norm" w:cs="Calibri"/>
          <w:color w:val="000000" w:themeColor="text1"/>
          <w:sz w:val="16"/>
          <w:szCs w:val="16"/>
        </w:rPr>
        <w:t xml:space="preserve"> (accessed January 23, 2020).</w:t>
      </w:r>
    </w:p>
  </w:footnote>
  <w:footnote w:id="16">
    <w:p w14:paraId="69730758" w14:textId="59D38330" w:rsidR="00612315" w:rsidRPr="00E30B35" w:rsidRDefault="00612315">
      <w:pPr>
        <w:pStyle w:val="FootnoteText"/>
        <w:rPr>
          <w:rFonts w:ascii="MetaPro-Norm" w:hAnsi="MetaPro-Norm"/>
          <w:sz w:val="16"/>
          <w:szCs w:val="16"/>
          <w:lang w:val="en-US"/>
        </w:rPr>
      </w:pPr>
      <w:r w:rsidRPr="00E30B35">
        <w:rPr>
          <w:rStyle w:val="FootnoteReference"/>
          <w:rFonts w:ascii="MetaPro-Norm" w:hAnsi="MetaPro-Norm"/>
          <w:sz w:val="16"/>
          <w:szCs w:val="16"/>
        </w:rPr>
        <w:footnoteRef/>
      </w:r>
      <w:r w:rsidRPr="00E30B35">
        <w:rPr>
          <w:rFonts w:ascii="MetaPro-Norm" w:hAnsi="MetaPro-Norm"/>
          <w:sz w:val="16"/>
          <w:szCs w:val="16"/>
        </w:rPr>
        <w:t xml:space="preserve"> </w:t>
      </w:r>
      <w:r w:rsidR="004843C0" w:rsidRPr="00E30B35">
        <w:rPr>
          <w:rFonts w:ascii="MetaPro-Norm" w:hAnsi="MetaPro-Norm"/>
          <w:sz w:val="16"/>
          <w:szCs w:val="16"/>
          <w:lang w:val="en-US"/>
        </w:rPr>
        <w:t xml:space="preserve">United Nations Security Council, “Statement by the President of the Security Council,” </w:t>
      </w:r>
      <w:r w:rsidR="002A47EE" w:rsidRPr="00E30B35">
        <w:rPr>
          <w:rFonts w:ascii="MetaPro-Norm" w:hAnsi="MetaPro-Norm"/>
          <w:sz w:val="16"/>
          <w:szCs w:val="16"/>
          <w:lang w:val="en-US"/>
        </w:rPr>
        <w:t xml:space="preserve">S/PRST/2020/8, September 10, 2020, </w:t>
      </w:r>
      <w:hyperlink r:id="rId13" w:history="1">
        <w:r w:rsidR="002A47EE" w:rsidRPr="00E30B35">
          <w:rPr>
            <w:rStyle w:val="Hyperlink"/>
            <w:rFonts w:ascii="MetaPro-Norm" w:hAnsi="MetaPro-Norm"/>
            <w:sz w:val="16"/>
            <w:szCs w:val="16"/>
            <w:lang w:val="en-US"/>
          </w:rPr>
          <w:t>https://undocs.org/en/S/PRST/2020/8</w:t>
        </w:r>
      </w:hyperlink>
      <w:r w:rsidR="002A47EE" w:rsidRPr="00E30B35">
        <w:rPr>
          <w:rFonts w:ascii="MetaPro-Norm" w:hAnsi="MetaPro-Norm"/>
          <w:sz w:val="16"/>
          <w:szCs w:val="16"/>
          <w:lang w:val="en-US"/>
        </w:rPr>
        <w:t xml:space="preserve"> (accessed June 3, 2021)</w:t>
      </w:r>
      <w:r w:rsidR="00BF14B2">
        <w:rPr>
          <w:rFonts w:ascii="MetaPro-Norm" w:hAnsi="MetaPro-Norm"/>
          <w:sz w:val="16"/>
          <w:szCs w:val="16"/>
          <w:lang w:val="en-US"/>
        </w:rPr>
        <w:t>.</w:t>
      </w:r>
    </w:p>
  </w:footnote>
  <w:footnote w:id="17">
    <w:p w14:paraId="0F5BBD49" w14:textId="77777777" w:rsidR="0048670F" w:rsidRPr="00E30B35" w:rsidRDefault="0048670F" w:rsidP="0048670F">
      <w:pPr>
        <w:pStyle w:val="FootnoteText"/>
        <w:rPr>
          <w:rFonts w:ascii="MetaPro-Norm" w:hAnsi="MetaPro-Norm"/>
          <w:sz w:val="16"/>
          <w:szCs w:val="16"/>
        </w:rPr>
      </w:pPr>
      <w:r w:rsidRPr="00E30B35">
        <w:rPr>
          <w:rStyle w:val="FootnoteReference"/>
          <w:rFonts w:ascii="MetaPro-Norm" w:hAnsi="MetaPro-Norm"/>
          <w:sz w:val="16"/>
          <w:szCs w:val="16"/>
        </w:rPr>
        <w:footnoteRef/>
      </w:r>
      <w:r w:rsidRPr="00E30B35">
        <w:rPr>
          <w:rFonts w:ascii="MetaPro-Norm" w:hAnsi="MetaPro-Norm"/>
          <w:sz w:val="16"/>
          <w:szCs w:val="16"/>
        </w:rPr>
        <w:t xml:space="preserve"> African Committee on the Rights and Welfare of the Child, General Comment on Article 22: Children in Situations of Conflict, (2020), para. 77.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E50A7"/>
    <w:multiLevelType w:val="hybridMultilevel"/>
    <w:tmpl w:val="9E686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025F81"/>
    <w:multiLevelType w:val="hybridMultilevel"/>
    <w:tmpl w:val="2E027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191D50"/>
    <w:multiLevelType w:val="hybridMultilevel"/>
    <w:tmpl w:val="1D5218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EBE"/>
    <w:rsid w:val="00032284"/>
    <w:rsid w:val="00065B6E"/>
    <w:rsid w:val="00072DD7"/>
    <w:rsid w:val="00084014"/>
    <w:rsid w:val="000A2000"/>
    <w:rsid w:val="000E3F95"/>
    <w:rsid w:val="00134BA8"/>
    <w:rsid w:val="00151AC5"/>
    <w:rsid w:val="00195239"/>
    <w:rsid w:val="00232532"/>
    <w:rsid w:val="0024224B"/>
    <w:rsid w:val="00243186"/>
    <w:rsid w:val="002A47EE"/>
    <w:rsid w:val="00344E8B"/>
    <w:rsid w:val="00402FB4"/>
    <w:rsid w:val="00406568"/>
    <w:rsid w:val="00416CD9"/>
    <w:rsid w:val="00427E38"/>
    <w:rsid w:val="00482792"/>
    <w:rsid w:val="004843C0"/>
    <w:rsid w:val="0048670F"/>
    <w:rsid w:val="004A2DF1"/>
    <w:rsid w:val="004A6F64"/>
    <w:rsid w:val="004B759F"/>
    <w:rsid w:val="00536905"/>
    <w:rsid w:val="00540363"/>
    <w:rsid w:val="0058054D"/>
    <w:rsid w:val="005B0B24"/>
    <w:rsid w:val="00612315"/>
    <w:rsid w:val="00623DD5"/>
    <w:rsid w:val="0073083B"/>
    <w:rsid w:val="007B5E9C"/>
    <w:rsid w:val="007F402C"/>
    <w:rsid w:val="008051F0"/>
    <w:rsid w:val="00830F4D"/>
    <w:rsid w:val="00850016"/>
    <w:rsid w:val="00877B25"/>
    <w:rsid w:val="00951745"/>
    <w:rsid w:val="00960861"/>
    <w:rsid w:val="009E5EA3"/>
    <w:rsid w:val="00A13DC6"/>
    <w:rsid w:val="00A17A55"/>
    <w:rsid w:val="00A17F06"/>
    <w:rsid w:val="00BF14B2"/>
    <w:rsid w:val="00C7203B"/>
    <w:rsid w:val="00C77D11"/>
    <w:rsid w:val="00CA3A58"/>
    <w:rsid w:val="00CD359D"/>
    <w:rsid w:val="00CF4F61"/>
    <w:rsid w:val="00D22ACF"/>
    <w:rsid w:val="00D312C7"/>
    <w:rsid w:val="00D31E98"/>
    <w:rsid w:val="00D407BF"/>
    <w:rsid w:val="00DB4FFD"/>
    <w:rsid w:val="00DB69E4"/>
    <w:rsid w:val="00E157DF"/>
    <w:rsid w:val="00E22D45"/>
    <w:rsid w:val="00E30B35"/>
    <w:rsid w:val="00E774B0"/>
    <w:rsid w:val="00EC4B13"/>
    <w:rsid w:val="00F17919"/>
    <w:rsid w:val="00F71EBE"/>
    <w:rsid w:val="00F915F8"/>
    <w:rsid w:val="00FC082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3348B"/>
  <w15:chartTrackingRefBased/>
  <w15:docId w15:val="{4CCC2081-56D5-46DB-9280-69AA40E0F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1EBE"/>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71EBE"/>
    <w:pPr>
      <w:suppressAutoHyphens/>
      <w:spacing w:after="0" w:line="240" w:lineRule="auto"/>
    </w:pPr>
    <w:rPr>
      <w:rFonts w:cs="Times New Roman"/>
    </w:rPr>
  </w:style>
  <w:style w:type="character" w:styleId="FootnoteReference">
    <w:name w:val="footnote reference"/>
    <w:basedOn w:val="DefaultParagraphFont"/>
    <w:uiPriority w:val="99"/>
    <w:unhideWhenUsed/>
    <w:rsid w:val="00F71EBE"/>
    <w:rPr>
      <w:vertAlign w:val="superscript"/>
    </w:rPr>
  </w:style>
  <w:style w:type="character" w:styleId="Hyperlink">
    <w:name w:val="Hyperlink"/>
    <w:basedOn w:val="DefaultParagraphFont"/>
    <w:uiPriority w:val="99"/>
    <w:unhideWhenUsed/>
    <w:rsid w:val="00F71EBE"/>
    <w:rPr>
      <w:color w:val="0000FF"/>
      <w:u w:val="single"/>
    </w:rPr>
  </w:style>
  <w:style w:type="paragraph" w:styleId="FootnoteText">
    <w:name w:val="footnote text"/>
    <w:basedOn w:val="Normal"/>
    <w:link w:val="FootnoteTextChar"/>
    <w:uiPriority w:val="99"/>
    <w:unhideWhenUsed/>
    <w:rsid w:val="00F71EBE"/>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rsid w:val="00F71EBE"/>
    <w:rPr>
      <w:sz w:val="20"/>
      <w:szCs w:val="20"/>
    </w:rPr>
  </w:style>
  <w:style w:type="paragraph" w:styleId="ListParagraph">
    <w:name w:val="List Paragraph"/>
    <w:basedOn w:val="Normal"/>
    <w:uiPriority w:val="34"/>
    <w:qFormat/>
    <w:rsid w:val="00F71EBE"/>
    <w:pPr>
      <w:spacing w:after="160" w:line="259" w:lineRule="auto"/>
      <w:ind w:left="720"/>
      <w:contextualSpacing/>
    </w:pPr>
    <w:rPr>
      <w:rFonts w:asciiTheme="minorHAnsi" w:eastAsiaTheme="minorHAnsi" w:hAnsiTheme="minorHAnsi" w:cstheme="minorBidi"/>
      <w:sz w:val="22"/>
      <w:szCs w:val="22"/>
      <w:lang w:val="en-GB"/>
    </w:rPr>
  </w:style>
  <w:style w:type="character" w:styleId="CommentReference">
    <w:name w:val="annotation reference"/>
    <w:basedOn w:val="DefaultParagraphFont"/>
    <w:uiPriority w:val="99"/>
    <w:semiHidden/>
    <w:unhideWhenUsed/>
    <w:rsid w:val="00F71EBE"/>
    <w:rPr>
      <w:sz w:val="16"/>
      <w:szCs w:val="16"/>
    </w:rPr>
  </w:style>
  <w:style w:type="paragraph" w:styleId="CommentText">
    <w:name w:val="annotation text"/>
    <w:basedOn w:val="Normal"/>
    <w:link w:val="CommentTextChar"/>
    <w:uiPriority w:val="99"/>
    <w:unhideWhenUsed/>
    <w:rsid w:val="00F71EBE"/>
    <w:pPr>
      <w:spacing w:after="160"/>
    </w:pPr>
    <w:rPr>
      <w:rFonts w:asciiTheme="minorHAnsi" w:eastAsiaTheme="minorHAnsi" w:hAnsiTheme="minorHAnsi" w:cstheme="minorBidi"/>
      <w:sz w:val="20"/>
      <w:szCs w:val="20"/>
      <w:lang w:val="en-GB"/>
    </w:rPr>
  </w:style>
  <w:style w:type="character" w:customStyle="1" w:styleId="CommentTextChar">
    <w:name w:val="Comment Text Char"/>
    <w:basedOn w:val="DefaultParagraphFont"/>
    <w:link w:val="CommentText"/>
    <w:uiPriority w:val="99"/>
    <w:rsid w:val="00F71EBE"/>
    <w:rPr>
      <w:sz w:val="20"/>
      <w:szCs w:val="20"/>
    </w:rPr>
  </w:style>
  <w:style w:type="character" w:styleId="UnresolvedMention">
    <w:name w:val="Unresolved Mention"/>
    <w:basedOn w:val="DefaultParagraphFont"/>
    <w:uiPriority w:val="99"/>
    <w:semiHidden/>
    <w:unhideWhenUsed/>
    <w:rsid w:val="00EC4B13"/>
    <w:rPr>
      <w:color w:val="605E5C"/>
      <w:shd w:val="clear" w:color="auto" w:fill="E1DFDD"/>
    </w:rPr>
  </w:style>
  <w:style w:type="paragraph" w:styleId="BalloonText">
    <w:name w:val="Balloon Text"/>
    <w:basedOn w:val="Normal"/>
    <w:link w:val="BalloonTextChar"/>
    <w:uiPriority w:val="99"/>
    <w:semiHidden/>
    <w:unhideWhenUsed/>
    <w:rsid w:val="00A17F0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7F06"/>
    <w:rPr>
      <w:rFonts w:ascii="Segoe UI" w:eastAsia="Times New Roman" w:hAnsi="Segoe UI" w:cs="Segoe UI"/>
      <w:sz w:val="18"/>
      <w:szCs w:val="18"/>
      <w:lang w:val="en-US"/>
    </w:rPr>
  </w:style>
  <w:style w:type="paragraph" w:styleId="CommentSubject">
    <w:name w:val="annotation subject"/>
    <w:basedOn w:val="CommentText"/>
    <w:next w:val="CommentText"/>
    <w:link w:val="CommentSubjectChar"/>
    <w:uiPriority w:val="99"/>
    <w:semiHidden/>
    <w:unhideWhenUsed/>
    <w:rsid w:val="00032284"/>
    <w:pPr>
      <w:spacing w:after="0"/>
    </w:pPr>
    <w:rPr>
      <w:rFonts w:ascii="Times New Roman" w:eastAsia="Times New Roman" w:hAnsi="Times New Roman" w:cs="Times New Roman"/>
      <w:b/>
      <w:bCs/>
      <w:lang w:val="en-US"/>
    </w:rPr>
  </w:style>
  <w:style w:type="character" w:customStyle="1" w:styleId="CommentSubjectChar">
    <w:name w:val="Comment Subject Char"/>
    <w:basedOn w:val="CommentTextChar"/>
    <w:link w:val="CommentSubject"/>
    <w:uiPriority w:val="99"/>
    <w:semiHidden/>
    <w:rsid w:val="00032284"/>
    <w:rPr>
      <w:rFonts w:ascii="Times New Roman" w:eastAsia="Times New Roman" w:hAnsi="Times New Roman"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4719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9ehb82bl65d34vylp1jrlfy5-wpengine.netdna-ssl.com/wp-content/uploads/Central-Sahel-Paper-English.pdf" TargetMode="External"/><Relationship Id="rId13" Type="http://schemas.openxmlformats.org/officeDocument/2006/relationships/hyperlink" Target="https://undocs.org/en/S/PRST/2020/8" TargetMode="External"/><Relationship Id="rId3" Type="http://schemas.openxmlformats.org/officeDocument/2006/relationships/hyperlink" Target="http://www.unesco.org/new/fileadmin/MULTIMEDIA/FIELD/Dakar/pdf/TacklingGenderInequalitiesNigerEducationalSystem.pdf" TargetMode="External"/><Relationship Id="rId7" Type="http://schemas.openxmlformats.org/officeDocument/2006/relationships/hyperlink" Target="https://protectingeducation.org/wp-content/uploads/eua_2020_full.pdf" TargetMode="External"/><Relationship Id="rId12" Type="http://schemas.openxmlformats.org/officeDocument/2006/relationships/hyperlink" Target="http://protectingeducation.org/sites/default/files/documents/guidelines_en.pdf" TargetMode="External"/><Relationship Id="rId2" Type="http://schemas.openxmlformats.org/officeDocument/2006/relationships/hyperlink" Target="https://www.globalpartnership.org/sites/default/files/document/file/2020-19-NigerTEP.pdf" TargetMode="External"/><Relationship Id="rId1" Type="http://schemas.openxmlformats.org/officeDocument/2006/relationships/hyperlink" Target="https://data.unicef.org/resources/data_explorer/unicef_f/?ag=UNICEF&amp;df=GLOBAL_DATAFLOW&amp;ver=1.0&amp;dq=UNICEF_SSA+KEN+COD+CAF+NGA+NER+MOZ+ZAF+CMR+MWI+UGA+TZA.MNCH_BIRTH18..&amp;startPeriod=2009&amp;endPeriod=2021" TargetMode="External"/><Relationship Id="rId6" Type="http://schemas.openxmlformats.org/officeDocument/2006/relationships/hyperlink" Target="https://www.unicef.org/niger/stories/covid-19-threat-progress-against-child-marriage-niger" TargetMode="External"/><Relationship Id="rId11" Type="http://schemas.openxmlformats.org/officeDocument/2006/relationships/hyperlink" Target="https://www.regjeringen.no/globalassets/departementene/ud/vedlegg/utvikling/safe_schools_declaration.pdf" TargetMode="External"/><Relationship Id="rId5" Type="http://schemas.openxmlformats.org/officeDocument/2006/relationships/hyperlink" Target="https://www.hrw.org/news/2015/12/09/ending-child-marriage-africa" TargetMode="External"/><Relationship Id="rId10" Type="http://schemas.openxmlformats.org/officeDocument/2006/relationships/hyperlink" Target="https://9ehb82bl65d34vylp1jrlfy5-wpengine.netdna-ssl.com/wp-content/uploads/Central-Sahel-Paper-English.pdf" TargetMode="External"/><Relationship Id="rId4" Type="http://schemas.openxmlformats.org/officeDocument/2006/relationships/hyperlink" Target="https://www.hrw.org/sites/default/files/report_pdf/au0618_web.pdf" TargetMode="External"/><Relationship Id="rId9" Type="http://schemas.openxmlformats.org/officeDocument/2006/relationships/hyperlink" Target="https://protectingeducation.org/wp-content/uploads/eua_2020_ful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136747-2FE6-4623-8E61-A795BF436AFB}">
  <ds:schemaRefs>
    <ds:schemaRef ds:uri="http://schemas.openxmlformats.org/officeDocument/2006/bibliography"/>
  </ds:schemaRefs>
</ds:datastoreItem>
</file>

<file path=customXml/itemProps2.xml><?xml version="1.0" encoding="utf-8"?>
<ds:datastoreItem xmlns:ds="http://schemas.openxmlformats.org/officeDocument/2006/customXml" ds:itemID="{CC9CB427-5765-4A2A-82BD-99CF28176C09}"/>
</file>

<file path=customXml/itemProps3.xml><?xml version="1.0" encoding="utf-8"?>
<ds:datastoreItem xmlns:ds="http://schemas.openxmlformats.org/officeDocument/2006/customXml" ds:itemID="{EC227D4C-EEF7-499D-A9AC-83D92A739400}"/>
</file>

<file path=customXml/itemProps4.xml><?xml version="1.0" encoding="utf-8"?>
<ds:datastoreItem xmlns:ds="http://schemas.openxmlformats.org/officeDocument/2006/customXml" ds:itemID="{2502F6A5-44B7-4AB0-A447-68A1598D2790}"/>
</file>

<file path=docProps/app.xml><?xml version="1.0" encoding="utf-8"?>
<Properties xmlns="http://schemas.openxmlformats.org/officeDocument/2006/extended-properties" xmlns:vt="http://schemas.openxmlformats.org/officeDocument/2006/docPropsVTypes">
  <Template>Normal</Template>
  <TotalTime>0</TotalTime>
  <Pages>4</Pages>
  <Words>1213</Words>
  <Characters>6919</Characters>
  <Application>Microsoft Office Word</Application>
  <DocSecurity>4</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Firth</dc:creator>
  <cp:keywords/>
  <dc:description/>
  <cp:lastModifiedBy>Alex Firth</cp:lastModifiedBy>
  <cp:revision>2</cp:revision>
  <dcterms:created xsi:type="dcterms:W3CDTF">2021-06-11T08:40:00Z</dcterms:created>
  <dcterms:modified xsi:type="dcterms:W3CDTF">2021-06-11T08:40:00Z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