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0A3E96" w14:textId="4626AC74" w:rsidR="009E2D81" w:rsidRDefault="009E2D81" w:rsidP="009E2D81">
      <w:pPr>
        <w:jc w:val="right"/>
        <w:rPr>
          <w:rFonts w:ascii="Simplified Arabic" w:eastAsia="Times New Roman" w:hAnsi="Simplified Arabic" w:cs="Simplified Arabic"/>
          <w:noProof/>
          <w:color w:val="000000" w:themeColor="text1"/>
          <w:sz w:val="24"/>
          <w:szCs w:val="24"/>
          <w:rtl/>
        </w:rPr>
      </w:pPr>
      <w:r w:rsidRPr="00E51609">
        <w:rPr>
          <w:rFonts w:asciiTheme="majorBidi" w:hAnsiTheme="majorBidi" w:cs="Times New Roman"/>
          <w:noProof/>
          <w:sz w:val="28"/>
          <w:szCs w:val="28"/>
          <w:rtl/>
          <w:lang w:bidi="ar-SA"/>
        </w:rPr>
        <w:drawing>
          <wp:anchor distT="0" distB="0" distL="114300" distR="114300" simplePos="0" relativeHeight="251659264" behindDoc="0" locked="0" layoutInCell="1" allowOverlap="1" wp14:anchorId="54B2A566" wp14:editId="643D9511">
            <wp:simplePos x="0" y="0"/>
            <wp:positionH relativeFrom="column">
              <wp:posOffset>1476375</wp:posOffset>
            </wp:positionH>
            <wp:positionV relativeFrom="paragraph">
              <wp:posOffset>-419100</wp:posOffset>
            </wp:positionV>
            <wp:extent cx="1803400" cy="1270000"/>
            <wp:effectExtent l="0" t="0" r="0" b="0"/>
            <wp:wrapNone/>
            <wp:docPr id="197521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21611" name=""/>
                    <pic:cNvPicPr/>
                  </pic:nvPicPr>
                  <pic:blipFill>
                    <a:blip r:embed="rId7"/>
                    <a:stretch>
                      <a:fillRect/>
                    </a:stretch>
                  </pic:blipFill>
                  <pic:spPr>
                    <a:xfrm>
                      <a:off x="0" y="0"/>
                      <a:ext cx="1803400" cy="1270000"/>
                    </a:xfrm>
                    <a:prstGeom prst="rect">
                      <a:avLst/>
                    </a:prstGeom>
                  </pic:spPr>
                </pic:pic>
              </a:graphicData>
            </a:graphic>
            <wp14:sizeRelH relativeFrom="page">
              <wp14:pctWidth>0</wp14:pctWidth>
            </wp14:sizeRelH>
            <wp14:sizeRelV relativeFrom="page">
              <wp14:pctHeight>0</wp14:pctHeight>
            </wp14:sizeRelV>
          </wp:anchor>
        </w:drawing>
      </w:r>
    </w:p>
    <w:p w14:paraId="7E111D6E" w14:textId="77777777" w:rsidR="009E2D81" w:rsidRDefault="009E2D81" w:rsidP="009E2D81">
      <w:pPr>
        <w:bidi/>
        <w:jc w:val="both"/>
        <w:rPr>
          <w:rFonts w:ascii="Simplified Arabic" w:eastAsia="Times New Roman" w:hAnsi="Simplified Arabic" w:cs="Simplified Arabic"/>
          <w:b/>
          <w:bCs/>
          <w:noProof/>
          <w:sz w:val="28"/>
          <w:szCs w:val="28"/>
          <w:rtl/>
        </w:rPr>
      </w:pPr>
    </w:p>
    <w:p w14:paraId="4C2655AE" w14:textId="231852D0" w:rsidR="00FC7410" w:rsidRDefault="00FC7410" w:rsidP="009E2D81">
      <w:pPr>
        <w:bidi/>
        <w:jc w:val="center"/>
        <w:rPr>
          <w:rFonts w:ascii="Simplified Arabic" w:eastAsia="Times New Roman" w:hAnsi="Simplified Arabic" w:cs="Simplified Arabic"/>
          <w:b/>
          <w:bCs/>
          <w:noProof/>
          <w:sz w:val="28"/>
          <w:szCs w:val="28"/>
          <w:rtl/>
        </w:rPr>
      </w:pPr>
    </w:p>
    <w:p w14:paraId="772DC223" w14:textId="53808982" w:rsidR="00EF1E23" w:rsidRDefault="00EF1E23" w:rsidP="00EF1E23">
      <w:pPr>
        <w:bidi/>
        <w:jc w:val="center"/>
        <w:rPr>
          <w:rFonts w:ascii="Simplified Arabic" w:eastAsia="Times New Roman" w:hAnsi="Simplified Arabic" w:cs="Simplified Arabic"/>
          <w:b/>
          <w:bCs/>
          <w:noProof/>
          <w:sz w:val="28"/>
          <w:szCs w:val="28"/>
          <w:rtl/>
        </w:rPr>
      </w:pPr>
      <w:r w:rsidRPr="00EF1E23">
        <w:rPr>
          <w:rFonts w:ascii="Simplified Arabic" w:eastAsia="Times New Roman" w:hAnsi="Simplified Arabic" w:cs="Simplified Arabic"/>
          <w:b/>
          <w:bCs/>
          <w:noProof/>
          <w:sz w:val="28"/>
          <w:szCs w:val="28"/>
          <w:rtl/>
        </w:rPr>
        <w:t xml:space="preserve">مساهمة </w:t>
      </w:r>
      <w:r>
        <w:rPr>
          <w:rFonts w:ascii="Simplified Arabic" w:eastAsia="Times New Roman" w:hAnsi="Simplified Arabic" w:cs="Simplified Arabic" w:hint="cs"/>
          <w:b/>
          <w:bCs/>
          <w:noProof/>
          <w:sz w:val="28"/>
          <w:szCs w:val="28"/>
          <w:rtl/>
        </w:rPr>
        <w:t>المركز الوطني لحقوق الإنسان</w:t>
      </w:r>
      <w:r w:rsidRPr="00EF1E23">
        <w:rPr>
          <w:rFonts w:ascii="Simplified Arabic" w:eastAsia="Times New Roman" w:hAnsi="Simplified Arabic" w:cs="Simplified Arabic"/>
          <w:b/>
          <w:bCs/>
          <w:noProof/>
          <w:sz w:val="28"/>
          <w:szCs w:val="28"/>
          <w:rtl/>
        </w:rPr>
        <w:t xml:space="preserve"> في سياق اعتماد قائمة القضايا قبل تقديم التقارير </w:t>
      </w:r>
      <w:r>
        <w:rPr>
          <w:rFonts w:ascii="Simplified Arabic" w:eastAsia="Times New Roman" w:hAnsi="Simplified Arabic" w:cs="Simplified Arabic" w:hint="cs"/>
          <w:b/>
          <w:bCs/>
          <w:noProof/>
          <w:sz w:val="28"/>
          <w:szCs w:val="28"/>
          <w:rtl/>
        </w:rPr>
        <w:t xml:space="preserve">  </w:t>
      </w:r>
      <w:r w:rsidRPr="00EF1E23">
        <w:rPr>
          <w:rFonts w:ascii="Simplified Arabic" w:eastAsia="Times New Roman" w:hAnsi="Simplified Arabic" w:cs="Simplified Arabic"/>
          <w:b/>
          <w:bCs/>
          <w:noProof/>
          <w:sz w:val="28"/>
          <w:szCs w:val="28"/>
        </w:rPr>
        <w:t xml:space="preserve">(LOIPR) </w:t>
      </w:r>
      <w:r>
        <w:rPr>
          <w:rFonts w:ascii="Simplified Arabic" w:eastAsia="Times New Roman" w:hAnsi="Simplified Arabic" w:cs="Simplified Arabic" w:hint="cs"/>
          <w:b/>
          <w:bCs/>
          <w:noProof/>
          <w:sz w:val="28"/>
          <w:szCs w:val="28"/>
          <w:rtl/>
        </w:rPr>
        <w:t xml:space="preserve"> للأردن</w:t>
      </w:r>
      <w:r w:rsidRPr="00EF1E23">
        <w:rPr>
          <w:rFonts w:ascii="Simplified Arabic" w:eastAsia="Times New Roman" w:hAnsi="Simplified Arabic" w:cs="Simplified Arabic"/>
          <w:b/>
          <w:bCs/>
          <w:noProof/>
          <w:sz w:val="28"/>
          <w:szCs w:val="28"/>
          <w:rtl/>
        </w:rPr>
        <w:t xml:space="preserve"> من قبل لجنة حقوق الإنسان خلال دورتها الـ143 التي ستعقد بين 3 و 28</w:t>
      </w:r>
      <w:bookmarkStart w:id="0" w:name="_GoBack"/>
      <w:bookmarkEnd w:id="0"/>
      <w:r w:rsidRPr="00EF1E23">
        <w:rPr>
          <w:rFonts w:ascii="Simplified Arabic" w:eastAsia="Times New Roman" w:hAnsi="Simplified Arabic" w:cs="Simplified Arabic"/>
          <w:b/>
          <w:bCs/>
          <w:noProof/>
          <w:sz w:val="28"/>
          <w:szCs w:val="28"/>
          <w:rtl/>
        </w:rPr>
        <w:t xml:space="preserve"> مارس 2025</w:t>
      </w:r>
      <w:r w:rsidRPr="00EF1E23">
        <w:rPr>
          <w:rFonts w:ascii="Simplified Arabic" w:eastAsia="Times New Roman" w:hAnsi="Simplified Arabic" w:cs="Simplified Arabic"/>
          <w:b/>
          <w:bCs/>
          <w:noProof/>
          <w:sz w:val="28"/>
          <w:szCs w:val="28"/>
        </w:rPr>
        <w:t>.</w:t>
      </w:r>
    </w:p>
    <w:p w14:paraId="4CC262F2" w14:textId="0E0B1FC2" w:rsidR="009E2D81" w:rsidRPr="00CB4793" w:rsidRDefault="009E2D81" w:rsidP="00CB4793">
      <w:pPr>
        <w:bidi/>
        <w:spacing w:line="360" w:lineRule="auto"/>
        <w:jc w:val="both"/>
        <w:rPr>
          <w:rFonts w:asciiTheme="majorBidi" w:hAnsiTheme="majorBidi" w:cstheme="majorBidi"/>
          <w:sz w:val="28"/>
          <w:szCs w:val="28"/>
          <w:rtl/>
        </w:rPr>
      </w:pPr>
      <w:r w:rsidRPr="00CB4793">
        <w:rPr>
          <w:rFonts w:asciiTheme="majorBidi" w:hAnsiTheme="majorBidi" w:cstheme="majorBidi" w:hint="cs"/>
          <w:sz w:val="28"/>
          <w:szCs w:val="28"/>
          <w:rtl/>
        </w:rPr>
        <w:t xml:space="preserve">   قامت الاردن بخطوات نوعية مهمة في </w:t>
      </w:r>
      <w:r w:rsidR="00FC7410" w:rsidRPr="00CB4793">
        <w:rPr>
          <w:rFonts w:asciiTheme="majorBidi" w:hAnsiTheme="majorBidi" w:cstheme="majorBidi" w:hint="cs"/>
          <w:sz w:val="28"/>
          <w:szCs w:val="28"/>
          <w:rtl/>
        </w:rPr>
        <w:t>إطار</w:t>
      </w:r>
      <w:r w:rsidRPr="00CB4793">
        <w:rPr>
          <w:rFonts w:asciiTheme="majorBidi" w:hAnsiTheme="majorBidi" w:cstheme="majorBidi" w:hint="cs"/>
          <w:sz w:val="28"/>
          <w:szCs w:val="28"/>
          <w:rtl/>
        </w:rPr>
        <w:t xml:space="preserve"> حماية حقوق الانسان في </w:t>
      </w:r>
      <w:r w:rsidR="00FC7410" w:rsidRPr="00CB4793">
        <w:rPr>
          <w:rFonts w:asciiTheme="majorBidi" w:hAnsiTheme="majorBidi" w:cstheme="majorBidi" w:hint="cs"/>
          <w:sz w:val="28"/>
          <w:szCs w:val="28"/>
          <w:rtl/>
        </w:rPr>
        <w:t>إطار</w:t>
      </w:r>
      <w:r w:rsidRPr="00CB4793">
        <w:rPr>
          <w:rFonts w:asciiTheme="majorBidi" w:hAnsiTheme="majorBidi" w:cstheme="majorBidi" w:hint="cs"/>
          <w:sz w:val="28"/>
          <w:szCs w:val="28"/>
          <w:rtl/>
        </w:rPr>
        <w:t xml:space="preserve"> الحقوق المدنية والسياسية، أبرزها:</w:t>
      </w:r>
    </w:p>
    <w:p w14:paraId="585AC46A" w14:textId="262BC1B6" w:rsidR="009E2D81" w:rsidRPr="00CB4793" w:rsidRDefault="009E2D81" w:rsidP="00CB4793">
      <w:pPr>
        <w:bidi/>
        <w:spacing w:line="360" w:lineRule="auto"/>
        <w:jc w:val="both"/>
        <w:rPr>
          <w:rFonts w:asciiTheme="majorBidi" w:hAnsiTheme="majorBidi" w:cstheme="majorBidi"/>
          <w:sz w:val="28"/>
          <w:szCs w:val="28"/>
          <w:rtl/>
        </w:rPr>
      </w:pPr>
      <w:r w:rsidRPr="00CB4793">
        <w:rPr>
          <w:rFonts w:asciiTheme="majorBidi" w:hAnsiTheme="majorBidi" w:cstheme="majorBidi" w:hint="cs"/>
          <w:sz w:val="28"/>
          <w:szCs w:val="28"/>
          <w:rtl/>
        </w:rPr>
        <w:t>-</w:t>
      </w:r>
      <w:r w:rsidR="00FC7410">
        <w:rPr>
          <w:rFonts w:asciiTheme="majorBidi" w:hAnsiTheme="majorBidi" w:cstheme="majorBidi"/>
          <w:sz w:val="28"/>
          <w:szCs w:val="28"/>
        </w:rPr>
        <w:t xml:space="preserve"> </w:t>
      </w:r>
      <w:r w:rsidRPr="00CB4793">
        <w:rPr>
          <w:rFonts w:asciiTheme="majorBidi" w:hAnsiTheme="majorBidi" w:cstheme="majorBidi" w:hint="cs"/>
          <w:sz w:val="28"/>
          <w:szCs w:val="28"/>
          <w:rtl/>
        </w:rPr>
        <w:t xml:space="preserve">حزمة التعديلات التي طالت تشريعات مهمة </w:t>
      </w:r>
      <w:r w:rsidR="00FC7410" w:rsidRPr="00CB4793">
        <w:rPr>
          <w:rFonts w:asciiTheme="majorBidi" w:hAnsiTheme="majorBidi" w:cstheme="majorBidi" w:hint="cs"/>
          <w:sz w:val="28"/>
          <w:szCs w:val="28"/>
          <w:rtl/>
        </w:rPr>
        <w:t>وأبرزها</w:t>
      </w:r>
      <w:r w:rsidRPr="00CB4793">
        <w:rPr>
          <w:rFonts w:asciiTheme="majorBidi" w:hAnsiTheme="majorBidi" w:cstheme="majorBidi" w:hint="cs"/>
          <w:sz w:val="28"/>
          <w:szCs w:val="28"/>
          <w:rtl/>
        </w:rPr>
        <w:t xml:space="preserve"> قانون العقوبات وخاصة ما يتعلق باستحداث العقوبات البديلة عن عقوبة الحبس. وقانون اصول المحاكمات الجزائية بوضع ضوابط لعملية التوقيف وبدائل للتوقيف المؤقت، ورفع الحد الادنى لجريمة التعذيب من ستة </w:t>
      </w:r>
      <w:r w:rsidR="00FC7410" w:rsidRPr="00CB4793">
        <w:rPr>
          <w:rFonts w:asciiTheme="majorBidi" w:hAnsiTheme="majorBidi" w:cstheme="majorBidi" w:hint="cs"/>
          <w:sz w:val="28"/>
          <w:szCs w:val="28"/>
          <w:rtl/>
        </w:rPr>
        <w:t>أشهر</w:t>
      </w:r>
      <w:r w:rsidRPr="00CB4793">
        <w:rPr>
          <w:rFonts w:asciiTheme="majorBidi" w:hAnsiTheme="majorBidi" w:cstheme="majorBidi" w:hint="cs"/>
          <w:sz w:val="28"/>
          <w:szCs w:val="28"/>
          <w:rtl/>
        </w:rPr>
        <w:t xml:space="preserve"> الى سنة.</w:t>
      </w:r>
    </w:p>
    <w:p w14:paraId="2D2E02EE" w14:textId="76439A75" w:rsidR="009E2D81" w:rsidRPr="00CB4793" w:rsidRDefault="009E2D81" w:rsidP="00CB4793">
      <w:pPr>
        <w:bidi/>
        <w:spacing w:line="360" w:lineRule="auto"/>
        <w:jc w:val="both"/>
        <w:rPr>
          <w:rFonts w:asciiTheme="majorBidi" w:hAnsiTheme="majorBidi" w:cstheme="majorBidi"/>
          <w:sz w:val="28"/>
          <w:szCs w:val="28"/>
          <w:rtl/>
        </w:rPr>
      </w:pPr>
      <w:r w:rsidRPr="00CB4793">
        <w:rPr>
          <w:rFonts w:asciiTheme="majorBidi" w:hAnsiTheme="majorBidi" w:cstheme="majorBidi" w:hint="cs"/>
          <w:sz w:val="28"/>
          <w:szCs w:val="28"/>
          <w:rtl/>
        </w:rPr>
        <w:t>-</w:t>
      </w:r>
      <w:r w:rsidR="00FC7410">
        <w:rPr>
          <w:rFonts w:asciiTheme="majorBidi" w:hAnsiTheme="majorBidi" w:cstheme="majorBidi"/>
          <w:sz w:val="28"/>
          <w:szCs w:val="28"/>
        </w:rPr>
        <w:t xml:space="preserve"> </w:t>
      </w:r>
      <w:r w:rsidRPr="00CB4793">
        <w:rPr>
          <w:rFonts w:asciiTheme="majorBidi" w:hAnsiTheme="majorBidi" w:cstheme="majorBidi" w:hint="cs"/>
          <w:sz w:val="28"/>
          <w:szCs w:val="28"/>
          <w:rtl/>
        </w:rPr>
        <w:t xml:space="preserve">وضع الاستراتيجية الوطنية للعدالة الجزائية والتي تضمنت اطرا للعمل بما في ذلك تطوير اوضاع مراكز الاصلاح والتأهيل وزيادة تدريب موظفي انفاذ القانون على حقوق نزلاء مراكز الاصلاح والتأهيل وتوسيع </w:t>
      </w:r>
      <w:r w:rsidR="00B136F4" w:rsidRPr="00CB4793">
        <w:rPr>
          <w:rFonts w:asciiTheme="majorBidi" w:hAnsiTheme="majorBidi" w:cstheme="majorBidi" w:hint="cs"/>
          <w:sz w:val="28"/>
          <w:szCs w:val="28"/>
          <w:rtl/>
        </w:rPr>
        <w:t>إطار</w:t>
      </w:r>
      <w:r w:rsidRPr="00CB4793">
        <w:rPr>
          <w:rFonts w:asciiTheme="majorBidi" w:hAnsiTheme="majorBidi" w:cstheme="majorBidi" w:hint="cs"/>
          <w:sz w:val="28"/>
          <w:szCs w:val="28"/>
          <w:rtl/>
        </w:rPr>
        <w:t xml:space="preserve"> المساعدة القانونية.</w:t>
      </w:r>
    </w:p>
    <w:p w14:paraId="593337EE" w14:textId="229431C7" w:rsidR="009E2D81" w:rsidRPr="00CB4793" w:rsidRDefault="009E2D81" w:rsidP="00CB4793">
      <w:pPr>
        <w:bidi/>
        <w:spacing w:line="360" w:lineRule="auto"/>
        <w:jc w:val="both"/>
        <w:rPr>
          <w:rFonts w:asciiTheme="majorBidi" w:hAnsiTheme="majorBidi" w:cstheme="majorBidi"/>
          <w:sz w:val="28"/>
          <w:szCs w:val="28"/>
          <w:rtl/>
        </w:rPr>
      </w:pPr>
      <w:r w:rsidRPr="00CB4793">
        <w:rPr>
          <w:rFonts w:asciiTheme="majorBidi" w:hAnsiTheme="majorBidi" w:cstheme="majorBidi" w:hint="cs"/>
          <w:sz w:val="28"/>
          <w:szCs w:val="28"/>
          <w:rtl/>
        </w:rPr>
        <w:t>- إطلاق الاستراتيجية الوطنيّة لمنع الاتّجار بالبشر (2019-2022) ومن ثم إعادة اطلاقها عام 2024 بعد تحديثها، والتي استلزمت إعداد نظام إحالة خاص لقضايا الاتجار بالبشر تكفل ضمان ملاحقة مرتكبي الجريمة، وتقديم الرّعاية للمجني عليهم.</w:t>
      </w:r>
    </w:p>
    <w:p w14:paraId="1CF58CA4" w14:textId="2E8D3ED6" w:rsidR="009E2D81" w:rsidRPr="00CB4793" w:rsidRDefault="009E2D81" w:rsidP="00CB4793">
      <w:pPr>
        <w:bidi/>
        <w:spacing w:line="360" w:lineRule="auto"/>
        <w:jc w:val="both"/>
        <w:rPr>
          <w:rFonts w:asciiTheme="majorBidi" w:hAnsiTheme="majorBidi" w:cstheme="majorBidi"/>
          <w:sz w:val="28"/>
          <w:szCs w:val="28"/>
          <w:rtl/>
        </w:rPr>
      </w:pPr>
      <w:r w:rsidRPr="00CB4793">
        <w:rPr>
          <w:rFonts w:asciiTheme="majorBidi" w:hAnsiTheme="majorBidi" w:cstheme="majorBidi" w:hint="cs"/>
          <w:sz w:val="28"/>
          <w:szCs w:val="28"/>
          <w:rtl/>
        </w:rPr>
        <w:t>-</w:t>
      </w:r>
      <w:r w:rsidR="00FC7410">
        <w:rPr>
          <w:rFonts w:asciiTheme="majorBidi" w:hAnsiTheme="majorBidi" w:cstheme="majorBidi"/>
          <w:sz w:val="28"/>
          <w:szCs w:val="28"/>
        </w:rPr>
        <w:t xml:space="preserve"> </w:t>
      </w:r>
      <w:r w:rsidRPr="00CB4793">
        <w:rPr>
          <w:rFonts w:asciiTheme="majorBidi" w:hAnsiTheme="majorBidi" w:cstheme="majorBidi" w:hint="cs"/>
          <w:sz w:val="28"/>
          <w:szCs w:val="28"/>
          <w:rtl/>
        </w:rPr>
        <w:t xml:space="preserve">بدأت الحكومة الأردنية وبشراكة مع القطاعات كافة بمراجعة وتقييم الخطة الوطنية لنشر ثقافة حقوق الانسان، لغايات تطويرها ومعالجة الاختلالات التي ظهرت أثناء التنفيذ. </w:t>
      </w:r>
    </w:p>
    <w:p w14:paraId="2028899E" w14:textId="6176D9BC" w:rsidR="009E2D81" w:rsidRPr="00CB4793" w:rsidRDefault="009E2D81" w:rsidP="00CB4793">
      <w:pPr>
        <w:shd w:val="clear" w:color="auto" w:fill="FFFFFF"/>
        <w:bidi/>
        <w:spacing w:after="0" w:line="360" w:lineRule="auto"/>
        <w:jc w:val="both"/>
        <w:rPr>
          <w:rFonts w:asciiTheme="majorBidi" w:hAnsiTheme="majorBidi" w:cstheme="majorBidi"/>
          <w:sz w:val="28"/>
          <w:szCs w:val="28"/>
          <w:rtl/>
        </w:rPr>
      </w:pPr>
      <w:r w:rsidRPr="00CB4793">
        <w:rPr>
          <w:rFonts w:asciiTheme="majorBidi" w:hAnsiTheme="majorBidi" w:cstheme="majorBidi" w:hint="cs"/>
          <w:sz w:val="28"/>
          <w:szCs w:val="28"/>
          <w:rtl/>
        </w:rPr>
        <w:t>-</w:t>
      </w:r>
      <w:r w:rsidR="00FC7410">
        <w:rPr>
          <w:rFonts w:asciiTheme="majorBidi" w:hAnsiTheme="majorBidi" w:cstheme="majorBidi" w:hint="cs"/>
          <w:sz w:val="28"/>
          <w:szCs w:val="28"/>
          <w:rtl/>
        </w:rPr>
        <w:t xml:space="preserve"> </w:t>
      </w:r>
      <w:r w:rsidRPr="00CB4793">
        <w:rPr>
          <w:rFonts w:asciiTheme="majorBidi" w:hAnsiTheme="majorBidi" w:cstheme="majorBidi" w:hint="cs"/>
          <w:sz w:val="28"/>
          <w:szCs w:val="28"/>
          <w:rtl/>
        </w:rPr>
        <w:t xml:space="preserve">تحسين ظروف البيئة الاحتجازية وكان هناك عدة مبادرات أبرزها: الانتهاء من صيانة مركز إصلاح وتأهيل قفقفا وتفعيله، اعادة </w:t>
      </w:r>
      <w:r w:rsidR="00FC7410" w:rsidRPr="00CB4793">
        <w:rPr>
          <w:rFonts w:asciiTheme="majorBidi" w:hAnsiTheme="majorBidi" w:cstheme="majorBidi" w:hint="cs"/>
          <w:sz w:val="28"/>
          <w:szCs w:val="28"/>
          <w:rtl/>
        </w:rPr>
        <w:t>صيانة</w:t>
      </w:r>
      <w:r w:rsidRPr="00CB4793">
        <w:rPr>
          <w:rFonts w:asciiTheme="majorBidi" w:hAnsiTheme="majorBidi" w:cstheme="majorBidi" w:hint="cs"/>
          <w:sz w:val="28"/>
          <w:szCs w:val="28"/>
          <w:rtl/>
        </w:rPr>
        <w:t xml:space="preserve"> قسم توقيف النساء بمركز إصلاح وتأهيل أم اللولو وإعادة تفعيله، إنشاء</w:t>
      </w:r>
      <w:r w:rsidR="00FC7410">
        <w:rPr>
          <w:rFonts w:asciiTheme="majorBidi" w:hAnsiTheme="majorBidi" w:cstheme="majorBidi" w:hint="cs"/>
          <w:sz w:val="28"/>
          <w:szCs w:val="28"/>
          <w:rtl/>
        </w:rPr>
        <w:t xml:space="preserve"> مصنع بن في مركز إصلاح وتأهيل أر</w:t>
      </w:r>
      <w:r w:rsidRPr="00CB4793">
        <w:rPr>
          <w:rFonts w:asciiTheme="majorBidi" w:hAnsiTheme="majorBidi" w:cstheme="majorBidi" w:hint="cs"/>
          <w:sz w:val="28"/>
          <w:szCs w:val="28"/>
          <w:rtl/>
        </w:rPr>
        <w:t>ميمين، التوسع في تفعيل نظام المحاكمة عن بعد، انشاء مشغل للحرف اليدوية في مركز إصلاح وتأهيل الجويدة، انشاء مشغل خياطة في مركز إصلاح وتأهيل الزرقاء.</w:t>
      </w:r>
    </w:p>
    <w:p w14:paraId="05F3A433" w14:textId="0267C17F" w:rsidR="009E2D81" w:rsidRPr="00CB4793" w:rsidRDefault="009E2D81" w:rsidP="00CB4793">
      <w:pPr>
        <w:shd w:val="clear" w:color="auto" w:fill="FFFFFF"/>
        <w:bidi/>
        <w:spacing w:after="0" w:line="360" w:lineRule="auto"/>
        <w:jc w:val="both"/>
        <w:rPr>
          <w:rFonts w:asciiTheme="majorBidi" w:hAnsiTheme="majorBidi" w:cstheme="majorBidi"/>
          <w:sz w:val="28"/>
          <w:szCs w:val="28"/>
          <w:rtl/>
        </w:rPr>
      </w:pPr>
      <w:r w:rsidRPr="00CB4793">
        <w:rPr>
          <w:rFonts w:asciiTheme="majorBidi" w:hAnsiTheme="majorBidi" w:cstheme="majorBidi" w:hint="cs"/>
          <w:sz w:val="28"/>
          <w:szCs w:val="28"/>
          <w:rtl/>
        </w:rPr>
        <w:t>-</w:t>
      </w:r>
      <w:r w:rsidR="00FC7410">
        <w:rPr>
          <w:rFonts w:asciiTheme="majorBidi" w:hAnsiTheme="majorBidi" w:cstheme="majorBidi" w:hint="cs"/>
          <w:sz w:val="28"/>
          <w:szCs w:val="28"/>
          <w:rtl/>
        </w:rPr>
        <w:t xml:space="preserve"> </w:t>
      </w:r>
      <w:r w:rsidRPr="00CB4793">
        <w:rPr>
          <w:rFonts w:asciiTheme="majorBidi" w:hAnsiTheme="majorBidi" w:cstheme="majorBidi" w:hint="cs"/>
          <w:sz w:val="28"/>
          <w:szCs w:val="28"/>
          <w:rtl/>
        </w:rPr>
        <w:t xml:space="preserve">فتح مكاتب للادعاء العام في مراكز الإصلاح والتأهيل </w:t>
      </w:r>
      <w:r w:rsidR="00FC7410" w:rsidRPr="00CB4793">
        <w:rPr>
          <w:rFonts w:asciiTheme="majorBidi" w:hAnsiTheme="majorBidi" w:cstheme="majorBidi" w:hint="cs"/>
          <w:sz w:val="28"/>
          <w:szCs w:val="28"/>
          <w:rtl/>
        </w:rPr>
        <w:t>كافة.</w:t>
      </w:r>
    </w:p>
    <w:p w14:paraId="6EEEF764" w14:textId="29ADE433" w:rsidR="009E2D81" w:rsidRPr="00CB4793" w:rsidRDefault="009E2D81" w:rsidP="00CB4793">
      <w:pPr>
        <w:bidi/>
        <w:spacing w:line="360" w:lineRule="auto"/>
        <w:jc w:val="both"/>
        <w:rPr>
          <w:rFonts w:asciiTheme="majorBidi" w:hAnsiTheme="majorBidi" w:cstheme="majorBidi"/>
          <w:sz w:val="28"/>
          <w:szCs w:val="28"/>
          <w:rtl/>
        </w:rPr>
      </w:pPr>
      <w:r w:rsidRPr="00CB4793">
        <w:rPr>
          <w:rFonts w:asciiTheme="majorBidi" w:hAnsiTheme="majorBidi" w:cstheme="majorBidi" w:hint="cs"/>
          <w:sz w:val="28"/>
          <w:szCs w:val="28"/>
          <w:rtl/>
        </w:rPr>
        <w:lastRenderedPageBreak/>
        <w:t xml:space="preserve">-وتنفيذاً لالتزامات الأردن الطوعيّة في مبادرة "الحكومات الشفافة </w:t>
      </w:r>
      <w:r w:rsidR="00FC7410" w:rsidRPr="00CB4793">
        <w:rPr>
          <w:rFonts w:asciiTheme="majorBidi" w:hAnsiTheme="majorBidi" w:cstheme="majorBidi" w:hint="cs"/>
          <w:sz w:val="28"/>
          <w:szCs w:val="28"/>
          <w:rtl/>
        </w:rPr>
        <w:t>الرّابعة عملت</w:t>
      </w:r>
      <w:r w:rsidRPr="00CB4793">
        <w:rPr>
          <w:rFonts w:asciiTheme="majorBidi" w:hAnsiTheme="majorBidi" w:cstheme="majorBidi" w:hint="cs"/>
          <w:sz w:val="28"/>
          <w:szCs w:val="28"/>
          <w:rtl/>
        </w:rPr>
        <w:t xml:space="preserve"> الحكومة على تنفيذ </w:t>
      </w:r>
      <w:r w:rsidRPr="00CB4793">
        <w:rPr>
          <w:rFonts w:asciiTheme="majorBidi" w:hAnsiTheme="majorBidi" w:cstheme="majorBidi"/>
          <w:sz w:val="28"/>
          <w:szCs w:val="28"/>
          <w:rtl/>
        </w:rPr>
        <w:t>الالتزام الرّابع</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توحيد وتطوير آليات استقبال الشّكاوى المُتعلّقة بانتهاكات حقوق الإنسان</w:t>
      </w:r>
      <w:r w:rsidRPr="00CB4793">
        <w:rPr>
          <w:rFonts w:asciiTheme="majorBidi" w:hAnsiTheme="majorBidi" w:cstheme="majorBidi" w:hint="cs"/>
          <w:sz w:val="28"/>
          <w:szCs w:val="28"/>
          <w:rtl/>
        </w:rPr>
        <w:t>"، من خلال إنشاء نظام وطنيّ لتلقي الشكاوى ومعالجتها.</w:t>
      </w:r>
    </w:p>
    <w:p w14:paraId="4647E807" w14:textId="59765D8C" w:rsidR="009A29F1" w:rsidRPr="00FC7410" w:rsidRDefault="003F6F47" w:rsidP="00CB4793">
      <w:pPr>
        <w:suppressAutoHyphens/>
        <w:bidi/>
        <w:spacing w:before="240" w:after="0" w:line="360" w:lineRule="auto"/>
        <w:jc w:val="both"/>
        <w:rPr>
          <w:rFonts w:asciiTheme="majorBidi" w:hAnsiTheme="majorBidi" w:cstheme="majorBidi"/>
          <w:b/>
          <w:bCs/>
          <w:sz w:val="28"/>
          <w:szCs w:val="28"/>
          <w:rtl/>
        </w:rPr>
      </w:pPr>
      <w:r w:rsidRPr="00FC7410">
        <w:rPr>
          <w:rFonts w:asciiTheme="majorBidi" w:hAnsiTheme="majorBidi" w:cstheme="majorBidi" w:hint="cs"/>
          <w:b/>
          <w:bCs/>
          <w:sz w:val="28"/>
          <w:szCs w:val="28"/>
          <w:rtl/>
        </w:rPr>
        <w:t>في سياق ما يتعلق بالحقوق المدنية وا</w:t>
      </w:r>
      <w:r w:rsidR="00CB4793" w:rsidRPr="00FC7410">
        <w:rPr>
          <w:rFonts w:asciiTheme="majorBidi" w:hAnsiTheme="majorBidi" w:cstheme="majorBidi" w:hint="cs"/>
          <w:b/>
          <w:bCs/>
          <w:sz w:val="28"/>
          <w:szCs w:val="28"/>
          <w:rtl/>
        </w:rPr>
        <w:t>ل</w:t>
      </w:r>
      <w:r w:rsidRPr="00FC7410">
        <w:rPr>
          <w:rFonts w:asciiTheme="majorBidi" w:hAnsiTheme="majorBidi" w:cstheme="majorBidi" w:hint="cs"/>
          <w:b/>
          <w:bCs/>
          <w:sz w:val="28"/>
          <w:szCs w:val="28"/>
          <w:rtl/>
        </w:rPr>
        <w:t>سياسية</w:t>
      </w:r>
      <w:r w:rsidR="00CB4793" w:rsidRPr="00FC7410">
        <w:rPr>
          <w:rFonts w:asciiTheme="majorBidi" w:hAnsiTheme="majorBidi" w:cstheme="majorBidi" w:hint="cs"/>
          <w:b/>
          <w:bCs/>
          <w:sz w:val="28"/>
          <w:szCs w:val="28"/>
          <w:rtl/>
        </w:rPr>
        <w:t xml:space="preserve"> والملاحظات الختامية </w:t>
      </w:r>
      <w:r w:rsidR="00FC7410" w:rsidRPr="00FC7410">
        <w:rPr>
          <w:rFonts w:asciiTheme="majorBidi" w:hAnsiTheme="majorBidi" w:cstheme="majorBidi" w:hint="cs"/>
          <w:b/>
          <w:bCs/>
          <w:sz w:val="28"/>
          <w:szCs w:val="28"/>
          <w:rtl/>
        </w:rPr>
        <w:t>للجنة:</w:t>
      </w:r>
    </w:p>
    <w:p w14:paraId="75CA4783" w14:textId="75061F13" w:rsidR="009E2D81" w:rsidRPr="00CB4793" w:rsidRDefault="009A29F1" w:rsidP="00CB4793">
      <w:pPr>
        <w:suppressAutoHyphens/>
        <w:bidi/>
        <w:spacing w:before="240" w:after="0" w:line="360" w:lineRule="auto"/>
        <w:jc w:val="both"/>
        <w:rPr>
          <w:rFonts w:asciiTheme="majorBidi" w:hAnsiTheme="majorBidi" w:cstheme="majorBidi"/>
          <w:sz w:val="28"/>
          <w:szCs w:val="28"/>
          <w:rtl/>
        </w:rPr>
      </w:pPr>
      <w:r w:rsidRPr="00CB4793">
        <w:rPr>
          <w:rFonts w:asciiTheme="majorBidi" w:hAnsiTheme="majorBidi" w:cstheme="majorBidi" w:hint="cs"/>
          <w:sz w:val="28"/>
          <w:szCs w:val="28"/>
          <w:rtl/>
        </w:rPr>
        <w:t>-</w:t>
      </w:r>
      <w:r w:rsidR="009E2D81" w:rsidRPr="00CB4793">
        <w:rPr>
          <w:rFonts w:asciiTheme="majorBidi" w:hAnsiTheme="majorBidi" w:cstheme="majorBidi" w:hint="cs"/>
          <w:sz w:val="28"/>
          <w:szCs w:val="28"/>
          <w:rtl/>
        </w:rPr>
        <w:t>ل</w:t>
      </w:r>
      <w:r w:rsidR="00FC7410">
        <w:rPr>
          <w:rFonts w:asciiTheme="majorBidi" w:hAnsiTheme="majorBidi" w:cstheme="majorBidi" w:hint="cs"/>
          <w:sz w:val="28"/>
          <w:szCs w:val="28"/>
          <w:rtl/>
        </w:rPr>
        <w:t xml:space="preserve"> </w:t>
      </w:r>
      <w:r w:rsidR="009E2D81" w:rsidRPr="00CB4793">
        <w:rPr>
          <w:rFonts w:asciiTheme="majorBidi" w:hAnsiTheme="majorBidi" w:cstheme="majorBidi" w:hint="cs"/>
          <w:sz w:val="28"/>
          <w:szCs w:val="28"/>
          <w:rtl/>
        </w:rPr>
        <w:t>م تتم اعادة النظر في قانون منع الإرهاب</w:t>
      </w:r>
      <w:r w:rsidR="009E2D81" w:rsidRPr="00CB4793">
        <w:rPr>
          <w:rFonts w:asciiTheme="majorBidi" w:hAnsiTheme="majorBidi" w:cstheme="majorBidi"/>
          <w:sz w:val="28"/>
          <w:szCs w:val="28"/>
          <w:rtl/>
        </w:rPr>
        <w:t xml:space="preserve"> رقم (18) لسنة 2014 </w:t>
      </w:r>
      <w:r w:rsidR="009E2D81" w:rsidRPr="00CB4793">
        <w:rPr>
          <w:rFonts w:asciiTheme="majorBidi" w:hAnsiTheme="majorBidi" w:cstheme="majorBidi" w:hint="cs"/>
          <w:sz w:val="28"/>
          <w:szCs w:val="28"/>
          <w:rtl/>
        </w:rPr>
        <w:t xml:space="preserve">ساري المفعول، وما تزال هذه الجرائم من اختصاص محكمة امن </w:t>
      </w:r>
      <w:r w:rsidR="00FC7410" w:rsidRPr="00CB4793">
        <w:rPr>
          <w:rFonts w:asciiTheme="majorBidi" w:hAnsiTheme="majorBidi" w:cstheme="majorBidi" w:hint="cs"/>
          <w:sz w:val="28"/>
          <w:szCs w:val="28"/>
          <w:rtl/>
        </w:rPr>
        <w:t>الدولة.</w:t>
      </w:r>
      <w:r w:rsidR="009E2D81" w:rsidRPr="00CB4793">
        <w:rPr>
          <w:rFonts w:asciiTheme="majorBidi" w:hAnsiTheme="majorBidi" w:cstheme="majorBidi"/>
          <w:sz w:val="28"/>
          <w:szCs w:val="28"/>
        </w:rPr>
        <w:t xml:space="preserve"> </w:t>
      </w:r>
      <w:r w:rsidR="009E2D81" w:rsidRPr="00CB4793">
        <w:rPr>
          <w:rFonts w:asciiTheme="majorBidi" w:hAnsiTheme="majorBidi" w:cstheme="majorBidi" w:hint="cs"/>
          <w:sz w:val="28"/>
          <w:szCs w:val="28"/>
          <w:rtl/>
        </w:rPr>
        <w:t>ويؤكد المركز الوطني لحقوق الإنسان على ان قانون منع الإرهاب بصيغته الحالية ما يزال ي</w:t>
      </w:r>
      <w:r w:rsidR="009E2D81" w:rsidRPr="00CB4793">
        <w:rPr>
          <w:rFonts w:asciiTheme="majorBidi" w:hAnsiTheme="majorBidi" w:cstheme="majorBidi"/>
          <w:sz w:val="28"/>
          <w:szCs w:val="28"/>
          <w:rtl/>
        </w:rPr>
        <w:t xml:space="preserve">تضمن العديد من الإشكاليات والتي يمكن إبراز أهمها </w:t>
      </w:r>
      <w:r w:rsidRPr="00CB4793">
        <w:rPr>
          <w:rFonts w:asciiTheme="majorBidi" w:hAnsiTheme="majorBidi" w:cstheme="majorBidi" w:hint="cs"/>
          <w:sz w:val="28"/>
          <w:szCs w:val="28"/>
          <w:rtl/>
        </w:rPr>
        <w:t xml:space="preserve">في </w:t>
      </w:r>
      <w:r w:rsidR="009E2D81" w:rsidRPr="00CB4793">
        <w:rPr>
          <w:rFonts w:asciiTheme="majorBidi" w:hAnsiTheme="majorBidi" w:cstheme="majorBidi"/>
          <w:sz w:val="28"/>
          <w:szCs w:val="28"/>
          <w:rtl/>
        </w:rPr>
        <w:t xml:space="preserve">التوسع في مفهوم العمل </w:t>
      </w:r>
      <w:r w:rsidR="00FC7410" w:rsidRPr="00CB4793">
        <w:rPr>
          <w:rFonts w:asciiTheme="majorBidi" w:hAnsiTheme="majorBidi" w:cstheme="majorBidi" w:hint="cs"/>
          <w:sz w:val="28"/>
          <w:szCs w:val="28"/>
          <w:rtl/>
        </w:rPr>
        <w:t>الإرهابي.</w:t>
      </w:r>
    </w:p>
    <w:p w14:paraId="12782383" w14:textId="06E30927" w:rsidR="009E2D81" w:rsidRPr="00CB4793" w:rsidRDefault="009A29F1" w:rsidP="00CB4793">
      <w:pPr>
        <w:bidi/>
        <w:spacing w:line="360" w:lineRule="auto"/>
        <w:jc w:val="both"/>
        <w:rPr>
          <w:rFonts w:asciiTheme="majorBidi" w:hAnsiTheme="majorBidi" w:cstheme="majorBidi"/>
          <w:sz w:val="28"/>
          <w:szCs w:val="28"/>
          <w:rtl/>
        </w:rPr>
      </w:pPr>
      <w:r w:rsidRPr="00CB4793">
        <w:rPr>
          <w:rFonts w:asciiTheme="majorBidi" w:hAnsiTheme="majorBidi" w:cstheme="majorBidi" w:hint="cs"/>
          <w:sz w:val="28"/>
          <w:szCs w:val="28"/>
          <w:rtl/>
        </w:rPr>
        <w:t>-</w:t>
      </w:r>
      <w:r w:rsidR="00FC7410">
        <w:rPr>
          <w:rFonts w:asciiTheme="majorBidi" w:hAnsiTheme="majorBidi" w:cstheme="majorBidi" w:hint="cs"/>
          <w:sz w:val="28"/>
          <w:szCs w:val="28"/>
          <w:rtl/>
        </w:rPr>
        <w:t xml:space="preserve"> </w:t>
      </w:r>
      <w:r w:rsidR="009E2D81" w:rsidRPr="00CB4793">
        <w:rPr>
          <w:rFonts w:asciiTheme="majorBidi" w:hAnsiTheme="majorBidi" w:cstheme="majorBidi" w:hint="cs"/>
          <w:sz w:val="28"/>
          <w:szCs w:val="28"/>
          <w:rtl/>
        </w:rPr>
        <w:t>شهد عام 2017 سنّ القانون رقم (26) لسنة 2017 (القانون المُعدّل لقانون العقوبات)، تركّز التّعديل الوارد على المادة (208) من هذا القانون برفع الحدّ الأدنى لجريمة التّعذيب لتصبح سنة واحدة بدلاً من ستة أشهر. إنّ هذه المعالجة القاصرة لتجريم التّعذيب شكّلت عاملاً رئيسيّاً لاستمرارية الإشكاليات القانونيّة والعمليّة لمُناهضة جريمة التّعذيب في الأردن.</w:t>
      </w:r>
    </w:p>
    <w:p w14:paraId="25F7040D" w14:textId="77777777" w:rsidR="009E2D81" w:rsidRPr="00CB4793" w:rsidRDefault="009E2D81" w:rsidP="00CB4793">
      <w:pPr>
        <w:bidi/>
        <w:spacing w:line="360" w:lineRule="auto"/>
        <w:jc w:val="both"/>
        <w:rPr>
          <w:rFonts w:asciiTheme="majorBidi" w:hAnsiTheme="majorBidi" w:cstheme="majorBidi"/>
          <w:sz w:val="28"/>
          <w:szCs w:val="28"/>
          <w:rtl/>
        </w:rPr>
      </w:pPr>
      <w:r w:rsidRPr="00CB4793">
        <w:rPr>
          <w:rFonts w:asciiTheme="majorBidi" w:hAnsiTheme="majorBidi" w:cstheme="majorBidi" w:hint="cs"/>
          <w:sz w:val="28"/>
          <w:szCs w:val="28"/>
          <w:rtl/>
        </w:rPr>
        <w:t>تتمثّل أبرز إشكاليات المنظومة الجزائيّة الأردنيّة في تجريم التّعذيب بعدّة نقاط أساسيّة تتمثّل بالتّالي:</w:t>
      </w:r>
      <w:r w:rsidRPr="00CB4793">
        <w:rPr>
          <w:rFonts w:asciiTheme="majorBidi" w:hAnsiTheme="majorBidi" w:cstheme="majorBidi"/>
          <w:sz w:val="28"/>
          <w:szCs w:val="28"/>
          <w:rtl/>
        </w:rPr>
        <w:footnoteReference w:id="1"/>
      </w:r>
      <w:r w:rsidRPr="00CB4793">
        <w:rPr>
          <w:rFonts w:asciiTheme="majorBidi" w:hAnsiTheme="majorBidi" w:cstheme="majorBidi"/>
          <w:sz w:val="28"/>
          <w:szCs w:val="28"/>
          <w:rtl/>
        </w:rPr>
        <w:t xml:space="preserve"> </w:t>
      </w:r>
      <w:r w:rsidRPr="00CB4793">
        <w:rPr>
          <w:rFonts w:asciiTheme="majorBidi" w:hAnsiTheme="majorBidi" w:cstheme="majorBidi" w:hint="cs"/>
          <w:sz w:val="28"/>
          <w:szCs w:val="28"/>
          <w:rtl/>
        </w:rPr>
        <w:t xml:space="preserve"> </w:t>
      </w:r>
    </w:p>
    <w:p w14:paraId="106327B0" w14:textId="77777777" w:rsidR="009E2D81" w:rsidRPr="00CB4793" w:rsidRDefault="009E2D81" w:rsidP="00CB4793">
      <w:pPr>
        <w:pStyle w:val="ListParagraph"/>
        <w:numPr>
          <w:ilvl w:val="3"/>
          <w:numId w:val="1"/>
        </w:numPr>
        <w:bidi/>
        <w:spacing w:line="360" w:lineRule="auto"/>
        <w:ind w:left="540"/>
        <w:jc w:val="both"/>
        <w:rPr>
          <w:rFonts w:asciiTheme="majorBidi" w:hAnsiTheme="majorBidi" w:cstheme="majorBidi"/>
          <w:sz w:val="28"/>
          <w:szCs w:val="28"/>
        </w:rPr>
      </w:pPr>
      <w:r w:rsidRPr="00CB4793">
        <w:rPr>
          <w:rFonts w:asciiTheme="majorBidi" w:hAnsiTheme="majorBidi" w:cstheme="majorBidi" w:hint="cs"/>
          <w:sz w:val="28"/>
          <w:szCs w:val="28"/>
          <w:rtl/>
        </w:rPr>
        <w:t>ت</w:t>
      </w:r>
      <w:r w:rsidRPr="00CB4793">
        <w:rPr>
          <w:rFonts w:asciiTheme="majorBidi" w:hAnsiTheme="majorBidi" w:cstheme="majorBidi"/>
          <w:sz w:val="28"/>
          <w:szCs w:val="28"/>
          <w:rtl/>
        </w:rPr>
        <w:t>جر</w:t>
      </w:r>
      <w:r w:rsidRPr="00CB4793">
        <w:rPr>
          <w:rFonts w:asciiTheme="majorBidi" w:hAnsiTheme="majorBidi" w:cstheme="majorBidi" w:hint="cs"/>
          <w:sz w:val="28"/>
          <w:szCs w:val="28"/>
          <w:rtl/>
        </w:rPr>
        <w:t>ي</w:t>
      </w:r>
      <w:r w:rsidRPr="00CB4793">
        <w:rPr>
          <w:rFonts w:asciiTheme="majorBidi" w:hAnsiTheme="majorBidi" w:cstheme="majorBidi"/>
          <w:sz w:val="28"/>
          <w:szCs w:val="28"/>
          <w:rtl/>
        </w:rPr>
        <w:t xml:space="preserve">م التّعذيب بصورةٍ </w:t>
      </w:r>
      <w:proofErr w:type="spellStart"/>
      <w:r w:rsidRPr="00CB4793">
        <w:rPr>
          <w:rFonts w:asciiTheme="majorBidi" w:hAnsiTheme="majorBidi" w:cstheme="majorBidi"/>
          <w:sz w:val="28"/>
          <w:szCs w:val="28"/>
          <w:rtl/>
        </w:rPr>
        <w:t>م</w:t>
      </w:r>
      <w:r w:rsidRPr="00CB4793">
        <w:rPr>
          <w:rFonts w:asciiTheme="majorBidi" w:hAnsiTheme="majorBidi" w:cstheme="majorBidi" w:hint="cs"/>
          <w:sz w:val="28"/>
          <w:szCs w:val="28"/>
          <w:rtl/>
        </w:rPr>
        <w:t>ُ</w:t>
      </w:r>
      <w:r w:rsidRPr="00CB4793">
        <w:rPr>
          <w:rFonts w:asciiTheme="majorBidi" w:hAnsiTheme="majorBidi" w:cstheme="majorBidi"/>
          <w:sz w:val="28"/>
          <w:szCs w:val="28"/>
          <w:rtl/>
        </w:rPr>
        <w:t>جتزأةٍ</w:t>
      </w:r>
      <w:proofErr w:type="spellEnd"/>
      <w:r w:rsidRPr="00CB4793">
        <w:rPr>
          <w:rFonts w:asciiTheme="majorBidi" w:hAnsiTheme="majorBidi" w:cstheme="majorBidi" w:hint="cs"/>
          <w:sz w:val="28"/>
          <w:szCs w:val="28"/>
          <w:rtl/>
        </w:rPr>
        <w:t xml:space="preserve"> خلافاً للمادة الأولى من اتفاقية (</w:t>
      </w:r>
      <w:r w:rsidRPr="00CB4793">
        <w:rPr>
          <w:rFonts w:asciiTheme="majorBidi" w:hAnsiTheme="majorBidi" w:cstheme="majorBidi"/>
          <w:sz w:val="28"/>
          <w:szCs w:val="28"/>
        </w:rPr>
        <w:t>CAT</w:t>
      </w:r>
      <w:r w:rsidRPr="00CB4793">
        <w:rPr>
          <w:rFonts w:asciiTheme="majorBidi" w:hAnsiTheme="majorBidi" w:cstheme="majorBidi" w:hint="cs"/>
          <w:sz w:val="28"/>
          <w:szCs w:val="28"/>
          <w:rtl/>
        </w:rPr>
        <w:t xml:space="preserve">)؛ وذلك باقتصار </w:t>
      </w:r>
      <w:r w:rsidRPr="00CB4793">
        <w:rPr>
          <w:rFonts w:asciiTheme="majorBidi" w:hAnsiTheme="majorBidi" w:cstheme="majorBidi"/>
          <w:sz w:val="28"/>
          <w:szCs w:val="28"/>
          <w:rtl/>
        </w:rPr>
        <w:t>مفهوم الت</w:t>
      </w:r>
      <w:r w:rsidRPr="00CB4793">
        <w:rPr>
          <w:rFonts w:asciiTheme="majorBidi" w:hAnsiTheme="majorBidi" w:cstheme="majorBidi" w:hint="cs"/>
          <w:sz w:val="28"/>
          <w:szCs w:val="28"/>
          <w:rtl/>
        </w:rPr>
        <w:t>ّ</w:t>
      </w:r>
      <w:r w:rsidRPr="00CB4793">
        <w:rPr>
          <w:rFonts w:asciiTheme="majorBidi" w:hAnsiTheme="majorBidi" w:cstheme="majorBidi"/>
          <w:sz w:val="28"/>
          <w:szCs w:val="28"/>
          <w:rtl/>
        </w:rPr>
        <w:t xml:space="preserve">عذيب </w:t>
      </w:r>
      <w:r w:rsidRPr="00CB4793">
        <w:rPr>
          <w:rFonts w:asciiTheme="majorBidi" w:hAnsiTheme="majorBidi" w:cstheme="majorBidi" w:hint="cs"/>
          <w:sz w:val="28"/>
          <w:szCs w:val="28"/>
          <w:rtl/>
        </w:rPr>
        <w:t xml:space="preserve">على </w:t>
      </w:r>
      <w:r w:rsidRPr="00CB4793">
        <w:rPr>
          <w:rFonts w:asciiTheme="majorBidi" w:hAnsiTheme="majorBidi" w:cstheme="majorBidi"/>
          <w:sz w:val="28"/>
          <w:szCs w:val="28"/>
          <w:rtl/>
        </w:rPr>
        <w:t>انتزاع الإقرار أو الاعتراف خلافاً لما ورد في اتفاقية الأمم المتحدة لمناهضة الت</w:t>
      </w:r>
      <w:r w:rsidRPr="00CB4793">
        <w:rPr>
          <w:rFonts w:asciiTheme="majorBidi" w:hAnsiTheme="majorBidi" w:cstheme="majorBidi" w:hint="cs"/>
          <w:sz w:val="28"/>
          <w:szCs w:val="28"/>
          <w:rtl/>
        </w:rPr>
        <w:t>ّ</w:t>
      </w:r>
      <w:r w:rsidRPr="00CB4793">
        <w:rPr>
          <w:rFonts w:asciiTheme="majorBidi" w:hAnsiTheme="majorBidi" w:cstheme="majorBidi"/>
          <w:sz w:val="28"/>
          <w:szCs w:val="28"/>
          <w:rtl/>
        </w:rPr>
        <w:t>عذيب</w:t>
      </w:r>
      <w:r w:rsidRPr="00CB4793">
        <w:rPr>
          <w:rFonts w:asciiTheme="majorBidi" w:hAnsiTheme="majorBidi" w:cstheme="majorBidi" w:hint="cs"/>
          <w:sz w:val="28"/>
          <w:szCs w:val="28"/>
          <w:rtl/>
        </w:rPr>
        <w:t>، كذلك</w:t>
      </w:r>
      <w:r w:rsidRPr="00CB4793">
        <w:rPr>
          <w:rFonts w:asciiTheme="majorBidi" w:hAnsiTheme="majorBidi" w:cstheme="majorBidi"/>
          <w:sz w:val="28"/>
          <w:szCs w:val="28"/>
          <w:rtl/>
        </w:rPr>
        <w:t xml:space="preserve"> </w:t>
      </w:r>
      <w:r w:rsidRPr="00CB4793">
        <w:rPr>
          <w:rFonts w:asciiTheme="majorBidi" w:hAnsiTheme="majorBidi" w:cstheme="majorBidi" w:hint="cs"/>
          <w:sz w:val="28"/>
          <w:szCs w:val="28"/>
          <w:rtl/>
        </w:rPr>
        <w:t xml:space="preserve">تجريم التّعذيب على اعتباره جريمة </w:t>
      </w:r>
      <w:proofErr w:type="spellStart"/>
      <w:r w:rsidRPr="00CB4793">
        <w:rPr>
          <w:rFonts w:asciiTheme="majorBidi" w:hAnsiTheme="majorBidi" w:cstheme="majorBidi" w:hint="cs"/>
          <w:sz w:val="28"/>
          <w:szCs w:val="28"/>
          <w:rtl/>
        </w:rPr>
        <w:t>جنحويّة</w:t>
      </w:r>
      <w:proofErr w:type="spellEnd"/>
      <w:r w:rsidRPr="00CB4793">
        <w:rPr>
          <w:rFonts w:asciiTheme="majorBidi" w:hAnsiTheme="majorBidi" w:cstheme="majorBidi" w:hint="cs"/>
          <w:sz w:val="28"/>
          <w:szCs w:val="28"/>
          <w:rtl/>
        </w:rPr>
        <w:t xml:space="preserve"> و</w:t>
      </w:r>
      <w:r w:rsidRPr="00CB4793">
        <w:rPr>
          <w:rFonts w:asciiTheme="majorBidi" w:hAnsiTheme="majorBidi" w:cstheme="majorBidi"/>
          <w:sz w:val="28"/>
          <w:szCs w:val="28"/>
          <w:rtl/>
        </w:rPr>
        <w:t xml:space="preserve">خروج الشّروع بها من نطاق التّجريم، إلاّ إذا أفضت هذه الجريمة إلى الوفاة أو إحداث عاهة </w:t>
      </w:r>
      <w:r w:rsidRPr="00CB4793">
        <w:rPr>
          <w:rFonts w:asciiTheme="majorBidi" w:hAnsiTheme="majorBidi" w:cstheme="majorBidi" w:hint="cs"/>
          <w:sz w:val="28"/>
          <w:szCs w:val="28"/>
          <w:rtl/>
        </w:rPr>
        <w:t>فترتقي</w:t>
      </w:r>
      <w:r w:rsidRPr="00CB4793">
        <w:rPr>
          <w:rFonts w:asciiTheme="majorBidi" w:hAnsiTheme="majorBidi" w:cstheme="majorBidi"/>
          <w:sz w:val="28"/>
          <w:szCs w:val="28"/>
          <w:rtl/>
        </w:rPr>
        <w:t xml:space="preserve"> بذلك إلى </w:t>
      </w:r>
      <w:r w:rsidRPr="00CB4793">
        <w:rPr>
          <w:rFonts w:asciiTheme="majorBidi" w:hAnsiTheme="majorBidi" w:cstheme="majorBidi" w:hint="cs"/>
          <w:sz w:val="28"/>
          <w:szCs w:val="28"/>
          <w:rtl/>
        </w:rPr>
        <w:t>مرتبة</w:t>
      </w:r>
      <w:r w:rsidRPr="00CB4793">
        <w:rPr>
          <w:rFonts w:asciiTheme="majorBidi" w:hAnsiTheme="majorBidi" w:cstheme="majorBidi"/>
          <w:sz w:val="28"/>
          <w:szCs w:val="28"/>
          <w:rtl/>
        </w:rPr>
        <w:t xml:space="preserve"> الجرائم الجنائيّة</w:t>
      </w:r>
      <w:r w:rsidRPr="00CB4793">
        <w:rPr>
          <w:rFonts w:asciiTheme="majorBidi" w:hAnsiTheme="majorBidi" w:cstheme="majorBidi" w:hint="cs"/>
          <w:sz w:val="28"/>
          <w:szCs w:val="28"/>
          <w:rtl/>
        </w:rPr>
        <w:t>؛</w:t>
      </w:r>
    </w:p>
    <w:p w14:paraId="46F650EC" w14:textId="77777777" w:rsidR="009E2D81" w:rsidRPr="00CB4793" w:rsidRDefault="009E2D81" w:rsidP="00CB4793">
      <w:pPr>
        <w:pStyle w:val="ListParagraph"/>
        <w:numPr>
          <w:ilvl w:val="3"/>
          <w:numId w:val="1"/>
        </w:numPr>
        <w:bidi/>
        <w:spacing w:line="360" w:lineRule="auto"/>
        <w:ind w:left="540"/>
        <w:jc w:val="both"/>
        <w:rPr>
          <w:rFonts w:asciiTheme="majorBidi" w:hAnsiTheme="majorBidi" w:cstheme="majorBidi"/>
          <w:sz w:val="28"/>
          <w:szCs w:val="28"/>
        </w:rPr>
      </w:pPr>
      <w:r w:rsidRPr="00CB4793">
        <w:rPr>
          <w:rFonts w:asciiTheme="majorBidi" w:hAnsiTheme="majorBidi" w:cstheme="majorBidi"/>
          <w:sz w:val="28"/>
          <w:szCs w:val="28"/>
          <w:rtl/>
        </w:rPr>
        <w:t>قصور آليات التظلم والت</w:t>
      </w:r>
      <w:r w:rsidRPr="00CB4793">
        <w:rPr>
          <w:rFonts w:asciiTheme="majorBidi" w:hAnsiTheme="majorBidi" w:cstheme="majorBidi" w:hint="cs"/>
          <w:sz w:val="28"/>
          <w:szCs w:val="28"/>
          <w:rtl/>
        </w:rPr>
        <w:t>ّ</w:t>
      </w:r>
      <w:r w:rsidRPr="00CB4793">
        <w:rPr>
          <w:rFonts w:asciiTheme="majorBidi" w:hAnsiTheme="majorBidi" w:cstheme="majorBidi"/>
          <w:sz w:val="28"/>
          <w:szCs w:val="28"/>
          <w:rtl/>
        </w:rPr>
        <w:t>حقيق مع المشتكى عليهم بشكاوى التعذيب، ممّا ينجم عنه على نحوٍ كبير احتمال عدم محاسبة مرتكبي جرائم التعذيب وإفلاتهم من العقاب</w:t>
      </w:r>
      <w:r w:rsidRPr="00CB4793">
        <w:rPr>
          <w:rFonts w:asciiTheme="majorBidi" w:hAnsiTheme="majorBidi" w:cstheme="majorBidi" w:hint="cs"/>
          <w:sz w:val="28"/>
          <w:szCs w:val="28"/>
          <w:rtl/>
        </w:rPr>
        <w:t>، ما يستدعي</w:t>
      </w:r>
      <w:r w:rsidRPr="00CB4793">
        <w:rPr>
          <w:rFonts w:asciiTheme="majorBidi" w:hAnsiTheme="majorBidi" w:cstheme="majorBidi"/>
          <w:sz w:val="28"/>
          <w:szCs w:val="28"/>
          <w:rtl/>
        </w:rPr>
        <w:t xml:space="preserve">، وعلى </w:t>
      </w:r>
      <w:r w:rsidRPr="00CB4793">
        <w:rPr>
          <w:rFonts w:asciiTheme="majorBidi" w:hAnsiTheme="majorBidi" w:cstheme="majorBidi" w:hint="cs"/>
          <w:sz w:val="28"/>
          <w:szCs w:val="28"/>
          <w:rtl/>
        </w:rPr>
        <w:t>وجه السّرعة</w:t>
      </w:r>
      <w:r w:rsidRPr="00CB4793">
        <w:rPr>
          <w:rFonts w:asciiTheme="majorBidi" w:hAnsiTheme="majorBidi" w:cstheme="majorBidi"/>
          <w:sz w:val="28"/>
          <w:szCs w:val="28"/>
          <w:rtl/>
        </w:rPr>
        <w:t xml:space="preserve">، </w:t>
      </w:r>
      <w:r w:rsidRPr="00CB4793">
        <w:rPr>
          <w:rFonts w:asciiTheme="majorBidi" w:hAnsiTheme="majorBidi" w:cstheme="majorBidi" w:hint="cs"/>
          <w:sz w:val="28"/>
          <w:szCs w:val="28"/>
          <w:rtl/>
        </w:rPr>
        <w:t>تعديل</w:t>
      </w:r>
      <w:r w:rsidRPr="00CB4793">
        <w:rPr>
          <w:rFonts w:asciiTheme="majorBidi" w:hAnsiTheme="majorBidi" w:cstheme="majorBidi"/>
          <w:sz w:val="28"/>
          <w:szCs w:val="28"/>
          <w:rtl/>
        </w:rPr>
        <w:t xml:space="preserve"> المادة (208) من قانون العقوبات</w:t>
      </w:r>
      <w:r w:rsidRPr="00CB4793">
        <w:rPr>
          <w:rFonts w:asciiTheme="majorBidi" w:hAnsiTheme="majorBidi" w:cstheme="majorBidi" w:hint="cs"/>
          <w:sz w:val="28"/>
          <w:szCs w:val="28"/>
          <w:rtl/>
        </w:rPr>
        <w:t xml:space="preserve"> بصورةٍ تمنح القضاء النظاميّ صلاحية نوعيّة في النّظر بشكاوى التّعذيب؛</w:t>
      </w:r>
      <w:r w:rsidRPr="00CB4793">
        <w:rPr>
          <w:rFonts w:asciiTheme="majorBidi" w:hAnsiTheme="majorBidi" w:cstheme="majorBidi"/>
          <w:sz w:val="28"/>
          <w:szCs w:val="28"/>
          <w:rtl/>
        </w:rPr>
        <w:t xml:space="preserve"> </w:t>
      </w:r>
    </w:p>
    <w:p w14:paraId="728B3A3C" w14:textId="77777777" w:rsidR="009E2D81" w:rsidRPr="00CB4793" w:rsidRDefault="009E2D81" w:rsidP="00CB4793">
      <w:pPr>
        <w:pStyle w:val="ListParagraph"/>
        <w:numPr>
          <w:ilvl w:val="3"/>
          <w:numId w:val="1"/>
        </w:numPr>
        <w:bidi/>
        <w:spacing w:line="360" w:lineRule="auto"/>
        <w:ind w:left="540"/>
        <w:jc w:val="both"/>
        <w:rPr>
          <w:rFonts w:asciiTheme="majorBidi" w:hAnsiTheme="majorBidi" w:cstheme="majorBidi"/>
          <w:sz w:val="28"/>
          <w:szCs w:val="28"/>
        </w:rPr>
      </w:pPr>
      <w:r w:rsidRPr="00CB4793">
        <w:rPr>
          <w:rFonts w:asciiTheme="majorBidi" w:hAnsiTheme="majorBidi" w:cstheme="majorBidi" w:hint="cs"/>
          <w:sz w:val="28"/>
          <w:szCs w:val="28"/>
          <w:rtl/>
        </w:rPr>
        <w:t xml:space="preserve">غياب النّص الصّريح على حقّ ضحايا التّعذيب في التّعويض، بالإضافة إلى قصور القواعد القانونيّة العامّة للتّعويض عن الضّرر عن شمولية صور التّعويض الواردة في المادة (14) </w:t>
      </w:r>
      <w:r w:rsidRPr="00CB4793">
        <w:rPr>
          <w:rFonts w:asciiTheme="majorBidi" w:hAnsiTheme="majorBidi" w:cstheme="majorBidi" w:hint="cs"/>
          <w:sz w:val="28"/>
          <w:szCs w:val="28"/>
          <w:rtl/>
        </w:rPr>
        <w:lastRenderedPageBreak/>
        <w:t xml:space="preserve">من اتفاقية </w:t>
      </w:r>
      <w:r w:rsidRPr="00CB4793">
        <w:rPr>
          <w:rFonts w:asciiTheme="majorBidi" w:hAnsiTheme="majorBidi" w:cstheme="majorBidi"/>
          <w:sz w:val="28"/>
          <w:szCs w:val="28"/>
        </w:rPr>
        <w:t>(CAT)</w:t>
      </w:r>
      <w:r w:rsidRPr="00CB4793">
        <w:rPr>
          <w:rFonts w:asciiTheme="majorBidi" w:hAnsiTheme="majorBidi" w:cstheme="majorBidi" w:hint="cs"/>
          <w:sz w:val="28"/>
          <w:szCs w:val="28"/>
          <w:rtl/>
        </w:rPr>
        <w:t>، بما فيها إعادة تأهيل الضّحايا نفسيّاً وجسديّاً وضمان عدم تكرار الفعل والاعتذار والتّرضية؛</w:t>
      </w:r>
    </w:p>
    <w:p w14:paraId="0950AD2D" w14:textId="77777777" w:rsidR="009A29F1" w:rsidRPr="00CB4793" w:rsidRDefault="009E2D81" w:rsidP="00CB4793">
      <w:pPr>
        <w:pStyle w:val="ListParagraph"/>
        <w:numPr>
          <w:ilvl w:val="3"/>
          <w:numId w:val="1"/>
        </w:numPr>
        <w:bidi/>
        <w:spacing w:line="360" w:lineRule="auto"/>
        <w:ind w:left="540"/>
        <w:jc w:val="both"/>
        <w:rPr>
          <w:rFonts w:asciiTheme="majorBidi" w:hAnsiTheme="majorBidi" w:cstheme="majorBidi"/>
          <w:sz w:val="28"/>
          <w:szCs w:val="28"/>
        </w:rPr>
      </w:pPr>
      <w:r w:rsidRPr="00CB4793">
        <w:rPr>
          <w:rFonts w:asciiTheme="majorBidi" w:hAnsiTheme="majorBidi" w:cstheme="majorBidi" w:hint="cs"/>
          <w:sz w:val="28"/>
          <w:szCs w:val="28"/>
          <w:rtl/>
        </w:rPr>
        <w:t xml:space="preserve">إمكانية </w:t>
      </w:r>
      <w:r w:rsidRPr="00CB4793">
        <w:rPr>
          <w:rFonts w:asciiTheme="majorBidi" w:hAnsiTheme="majorBidi" w:cstheme="majorBidi"/>
          <w:sz w:val="28"/>
          <w:szCs w:val="28"/>
          <w:rtl/>
        </w:rPr>
        <w:t>سقوط</w:t>
      </w:r>
      <w:r w:rsidRPr="00CB4793">
        <w:rPr>
          <w:rFonts w:asciiTheme="majorBidi" w:hAnsiTheme="majorBidi" w:cstheme="majorBidi" w:hint="cs"/>
          <w:sz w:val="28"/>
          <w:szCs w:val="28"/>
          <w:rtl/>
        </w:rPr>
        <w:t xml:space="preserve"> جريمة التّعذيب</w:t>
      </w:r>
      <w:r w:rsidRPr="00CB4793">
        <w:rPr>
          <w:rFonts w:asciiTheme="majorBidi" w:hAnsiTheme="majorBidi" w:cstheme="majorBidi"/>
          <w:sz w:val="28"/>
          <w:szCs w:val="28"/>
          <w:rtl/>
        </w:rPr>
        <w:t xml:space="preserve"> بالعفو والتّقادم</w:t>
      </w:r>
      <w:r w:rsidRPr="00CB4793">
        <w:rPr>
          <w:rFonts w:asciiTheme="majorBidi" w:hAnsiTheme="majorBidi" w:cstheme="majorBidi" w:hint="cs"/>
          <w:sz w:val="28"/>
          <w:szCs w:val="28"/>
          <w:rtl/>
        </w:rPr>
        <w:t>.</w:t>
      </w:r>
    </w:p>
    <w:p w14:paraId="4AE2DE8D" w14:textId="77777777" w:rsidR="009A29F1" w:rsidRPr="00CB4793" w:rsidRDefault="009A29F1" w:rsidP="00CB4793">
      <w:pPr>
        <w:pStyle w:val="ListParagraph"/>
        <w:bidi/>
        <w:spacing w:line="360" w:lineRule="auto"/>
        <w:ind w:left="540"/>
        <w:jc w:val="both"/>
        <w:rPr>
          <w:rFonts w:asciiTheme="majorBidi" w:hAnsiTheme="majorBidi" w:cstheme="majorBidi"/>
          <w:sz w:val="28"/>
          <w:szCs w:val="28"/>
          <w:rtl/>
        </w:rPr>
      </w:pPr>
    </w:p>
    <w:p w14:paraId="44557DB4" w14:textId="6D79A679" w:rsidR="009E2D81" w:rsidRPr="00CB4793" w:rsidRDefault="009E2D81" w:rsidP="00FC7410">
      <w:pPr>
        <w:pStyle w:val="ListParagraph"/>
        <w:numPr>
          <w:ilvl w:val="0"/>
          <w:numId w:val="5"/>
        </w:numPr>
        <w:bidi/>
        <w:spacing w:line="360" w:lineRule="auto"/>
        <w:jc w:val="both"/>
        <w:rPr>
          <w:rFonts w:asciiTheme="majorBidi" w:hAnsiTheme="majorBidi" w:cstheme="majorBidi"/>
          <w:sz w:val="28"/>
          <w:szCs w:val="28"/>
          <w:rtl/>
        </w:rPr>
      </w:pPr>
      <w:r w:rsidRPr="00CB4793">
        <w:rPr>
          <w:rFonts w:asciiTheme="majorBidi" w:hAnsiTheme="majorBidi" w:cstheme="majorBidi" w:hint="cs"/>
          <w:sz w:val="28"/>
          <w:szCs w:val="28"/>
          <w:rtl/>
        </w:rPr>
        <w:t xml:space="preserve">من أبرز التّعديلات القانونيّة في إطار إصلاح العدالة الجنائيّة، سنّ مشروع القانون رقم (32) لسنة 2017 قانون مُعدّل لقانون أصول المحاكمات الجزائيّة </w:t>
      </w:r>
      <w:r w:rsidRPr="00CB4793">
        <w:rPr>
          <w:rFonts w:asciiTheme="majorBidi" w:hAnsiTheme="majorBidi" w:cstheme="majorBidi"/>
          <w:sz w:val="28"/>
          <w:szCs w:val="28"/>
          <w:rtl/>
        </w:rPr>
        <w:t>رقم (9) لسنة 1961،</w:t>
      </w:r>
      <w:r w:rsidRPr="00CB4793">
        <w:rPr>
          <w:rFonts w:asciiTheme="majorBidi" w:hAnsiTheme="majorBidi" w:cstheme="majorBidi" w:hint="cs"/>
          <w:sz w:val="28"/>
          <w:szCs w:val="28"/>
          <w:rtl/>
        </w:rPr>
        <w:t xml:space="preserve"> الذي تضمّن العديد من التّعديلات الإيجابيّة التي من شأنها تعزيز كفالة مقتضيات الحقّ في مُحاكمة عادلة من جهة، وتهيئة البيئة القانونيّة الاستباقيّة لمنع وقوع جرائم التّعذيب والمُعاملة </w:t>
      </w:r>
      <w:r w:rsidRPr="00CB4793">
        <w:rPr>
          <w:rFonts w:asciiTheme="majorBidi" w:hAnsiTheme="majorBidi" w:cstheme="majorBidi"/>
          <w:sz w:val="28"/>
          <w:szCs w:val="28"/>
          <w:rtl/>
        </w:rPr>
        <w:t>العقوبة القاسية أو اللاإنساني</w:t>
      </w:r>
      <w:r w:rsidRPr="00CB4793">
        <w:rPr>
          <w:rFonts w:asciiTheme="majorBidi" w:hAnsiTheme="majorBidi" w:cstheme="majorBidi" w:hint="cs"/>
          <w:sz w:val="28"/>
          <w:szCs w:val="28"/>
          <w:rtl/>
        </w:rPr>
        <w:t>ّ</w:t>
      </w:r>
      <w:r w:rsidRPr="00CB4793">
        <w:rPr>
          <w:rFonts w:asciiTheme="majorBidi" w:hAnsiTheme="majorBidi" w:cstheme="majorBidi"/>
          <w:sz w:val="28"/>
          <w:szCs w:val="28"/>
          <w:rtl/>
        </w:rPr>
        <w:t>ة أو الم</w:t>
      </w:r>
      <w:r w:rsidRPr="00CB4793">
        <w:rPr>
          <w:rFonts w:asciiTheme="majorBidi" w:hAnsiTheme="majorBidi" w:cstheme="majorBidi" w:hint="cs"/>
          <w:sz w:val="28"/>
          <w:szCs w:val="28"/>
          <w:rtl/>
        </w:rPr>
        <w:t>ُ</w:t>
      </w:r>
      <w:r w:rsidRPr="00CB4793">
        <w:rPr>
          <w:rFonts w:asciiTheme="majorBidi" w:hAnsiTheme="majorBidi" w:cstheme="majorBidi"/>
          <w:sz w:val="28"/>
          <w:szCs w:val="28"/>
          <w:rtl/>
        </w:rPr>
        <w:t>هينة</w:t>
      </w:r>
      <w:r w:rsidRPr="00CB4793">
        <w:rPr>
          <w:rFonts w:asciiTheme="majorBidi" w:hAnsiTheme="majorBidi" w:cstheme="majorBidi" w:hint="cs"/>
          <w:sz w:val="28"/>
          <w:szCs w:val="28"/>
          <w:rtl/>
        </w:rPr>
        <w:t>، من أبرز التّعديلات المُستحدثة بموجب هذا القانون ما يلي:</w:t>
      </w:r>
    </w:p>
    <w:p w14:paraId="1EC42D79" w14:textId="77777777" w:rsidR="009E2D81" w:rsidRPr="00CB4793" w:rsidRDefault="009E2D81" w:rsidP="00CB4793">
      <w:pPr>
        <w:pStyle w:val="ListParagraph"/>
        <w:numPr>
          <w:ilvl w:val="0"/>
          <w:numId w:val="2"/>
        </w:numPr>
        <w:bidi/>
        <w:spacing w:line="360" w:lineRule="auto"/>
        <w:jc w:val="both"/>
        <w:rPr>
          <w:rFonts w:asciiTheme="majorBidi" w:hAnsiTheme="majorBidi" w:cstheme="majorBidi"/>
          <w:sz w:val="28"/>
          <w:szCs w:val="28"/>
          <w:rtl/>
        </w:rPr>
      </w:pPr>
      <w:r w:rsidRPr="00CB4793">
        <w:rPr>
          <w:rFonts w:asciiTheme="majorBidi" w:hAnsiTheme="majorBidi" w:cstheme="majorBidi" w:hint="cs"/>
          <w:sz w:val="28"/>
          <w:szCs w:val="28"/>
          <w:rtl/>
        </w:rPr>
        <w:t>إ</w:t>
      </w:r>
      <w:r w:rsidRPr="00CB4793">
        <w:rPr>
          <w:rFonts w:asciiTheme="majorBidi" w:hAnsiTheme="majorBidi" w:cstheme="majorBidi"/>
          <w:sz w:val="28"/>
          <w:szCs w:val="28"/>
          <w:rtl/>
        </w:rPr>
        <w:t>دخال</w:t>
      </w:r>
      <w:r w:rsidRPr="00CB4793">
        <w:rPr>
          <w:rFonts w:asciiTheme="majorBidi" w:hAnsiTheme="majorBidi" w:cstheme="majorBidi" w:hint="cs"/>
          <w:sz w:val="28"/>
          <w:szCs w:val="28"/>
          <w:rtl/>
        </w:rPr>
        <w:t xml:space="preserve"> أ</w:t>
      </w:r>
      <w:r w:rsidRPr="00CB4793">
        <w:rPr>
          <w:rFonts w:asciiTheme="majorBidi" w:hAnsiTheme="majorBidi" w:cstheme="majorBidi"/>
          <w:sz w:val="28"/>
          <w:szCs w:val="28"/>
          <w:rtl/>
        </w:rPr>
        <w:t>حكام</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م</w:t>
      </w:r>
      <w:r w:rsidRPr="00CB4793">
        <w:rPr>
          <w:rFonts w:asciiTheme="majorBidi" w:hAnsiTheme="majorBidi" w:cstheme="majorBidi" w:hint="cs"/>
          <w:sz w:val="28"/>
          <w:szCs w:val="28"/>
          <w:rtl/>
        </w:rPr>
        <w:t>ُ</w:t>
      </w:r>
      <w:r w:rsidRPr="00CB4793">
        <w:rPr>
          <w:rFonts w:asciiTheme="majorBidi" w:hAnsiTheme="majorBidi" w:cstheme="majorBidi"/>
          <w:sz w:val="28"/>
          <w:szCs w:val="28"/>
          <w:rtl/>
        </w:rPr>
        <w:t>ستحدثة</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من</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شأنها</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الحد</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من</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الت</w:t>
      </w:r>
      <w:r w:rsidRPr="00CB4793">
        <w:rPr>
          <w:rFonts w:asciiTheme="majorBidi" w:hAnsiTheme="majorBidi" w:cstheme="majorBidi" w:hint="cs"/>
          <w:sz w:val="28"/>
          <w:szCs w:val="28"/>
          <w:rtl/>
        </w:rPr>
        <w:t>ّ</w:t>
      </w:r>
      <w:r w:rsidRPr="00CB4793">
        <w:rPr>
          <w:rFonts w:asciiTheme="majorBidi" w:hAnsiTheme="majorBidi" w:cstheme="majorBidi"/>
          <w:sz w:val="28"/>
          <w:szCs w:val="28"/>
          <w:rtl/>
        </w:rPr>
        <w:t>وقيف</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ما</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قبل</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المحاكمة</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والسماح</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باستخدام</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بدائل</w:t>
      </w:r>
      <w:r w:rsidRPr="00CB4793">
        <w:rPr>
          <w:rFonts w:asciiTheme="majorBidi" w:hAnsiTheme="majorBidi" w:cstheme="majorBidi" w:hint="cs"/>
          <w:sz w:val="28"/>
          <w:szCs w:val="28"/>
          <w:rtl/>
        </w:rPr>
        <w:t xml:space="preserve"> ل</w:t>
      </w:r>
      <w:r w:rsidRPr="00CB4793">
        <w:rPr>
          <w:rFonts w:asciiTheme="majorBidi" w:hAnsiTheme="majorBidi" w:cstheme="majorBidi"/>
          <w:sz w:val="28"/>
          <w:szCs w:val="28"/>
          <w:rtl/>
        </w:rPr>
        <w:t>لت</w:t>
      </w:r>
      <w:r w:rsidRPr="00CB4793">
        <w:rPr>
          <w:rFonts w:asciiTheme="majorBidi" w:hAnsiTheme="majorBidi" w:cstheme="majorBidi" w:hint="cs"/>
          <w:sz w:val="28"/>
          <w:szCs w:val="28"/>
          <w:rtl/>
        </w:rPr>
        <w:t>ّ</w:t>
      </w:r>
      <w:r w:rsidRPr="00CB4793">
        <w:rPr>
          <w:rFonts w:asciiTheme="majorBidi" w:hAnsiTheme="majorBidi" w:cstheme="majorBidi"/>
          <w:sz w:val="28"/>
          <w:szCs w:val="28"/>
          <w:rtl/>
        </w:rPr>
        <w:t>وقيف</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في</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بعض</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الجرائم،</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ومن</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هذه</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البدائل</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الرقابة</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الالكترونية</w:t>
      </w:r>
      <w:r w:rsidRPr="00CB4793">
        <w:rPr>
          <w:rFonts w:asciiTheme="majorBidi" w:hAnsiTheme="majorBidi" w:cstheme="majorBidi" w:hint="cs"/>
          <w:sz w:val="28"/>
          <w:szCs w:val="28"/>
          <w:rtl/>
        </w:rPr>
        <w:t xml:space="preserve"> أ</w:t>
      </w:r>
      <w:r w:rsidRPr="00CB4793">
        <w:rPr>
          <w:rFonts w:asciiTheme="majorBidi" w:hAnsiTheme="majorBidi" w:cstheme="majorBidi"/>
          <w:sz w:val="28"/>
          <w:szCs w:val="28"/>
          <w:rtl/>
        </w:rPr>
        <w:t>و</w:t>
      </w:r>
      <w:r w:rsidRPr="00CB4793">
        <w:rPr>
          <w:rFonts w:asciiTheme="majorBidi" w:hAnsiTheme="majorBidi" w:cstheme="majorBidi" w:hint="cs"/>
          <w:sz w:val="28"/>
          <w:szCs w:val="28"/>
          <w:rtl/>
        </w:rPr>
        <w:t xml:space="preserve"> ال</w:t>
      </w:r>
      <w:r w:rsidRPr="00CB4793">
        <w:rPr>
          <w:rFonts w:asciiTheme="majorBidi" w:hAnsiTheme="majorBidi" w:cstheme="majorBidi"/>
          <w:sz w:val="28"/>
          <w:szCs w:val="28"/>
          <w:rtl/>
        </w:rPr>
        <w:t>منع</w:t>
      </w:r>
      <w:r w:rsidRPr="00CB4793">
        <w:rPr>
          <w:rFonts w:asciiTheme="majorBidi" w:hAnsiTheme="majorBidi" w:cstheme="majorBidi" w:hint="cs"/>
          <w:sz w:val="28"/>
          <w:szCs w:val="28"/>
          <w:rtl/>
        </w:rPr>
        <w:t xml:space="preserve"> من </w:t>
      </w:r>
      <w:r w:rsidRPr="00CB4793">
        <w:rPr>
          <w:rFonts w:asciiTheme="majorBidi" w:hAnsiTheme="majorBidi" w:cstheme="majorBidi"/>
          <w:sz w:val="28"/>
          <w:szCs w:val="28"/>
          <w:rtl/>
        </w:rPr>
        <w:t>السفر</w:t>
      </w:r>
      <w:r w:rsidRPr="00CB4793">
        <w:rPr>
          <w:rFonts w:asciiTheme="majorBidi" w:hAnsiTheme="majorBidi" w:cstheme="majorBidi" w:hint="cs"/>
          <w:sz w:val="28"/>
          <w:szCs w:val="28"/>
          <w:rtl/>
        </w:rPr>
        <w:t xml:space="preserve"> أ</w:t>
      </w:r>
      <w:r w:rsidRPr="00CB4793">
        <w:rPr>
          <w:rFonts w:asciiTheme="majorBidi" w:hAnsiTheme="majorBidi" w:cstheme="majorBidi"/>
          <w:sz w:val="28"/>
          <w:szCs w:val="28"/>
          <w:rtl/>
        </w:rPr>
        <w:t>و</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تقديم</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كفالة</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عدلية</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او</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w:t>
      </w:r>
      <w:r w:rsidRPr="00CB4793">
        <w:rPr>
          <w:rFonts w:asciiTheme="majorBidi" w:hAnsiTheme="majorBidi" w:cstheme="majorBidi" w:hint="cs"/>
          <w:sz w:val="28"/>
          <w:szCs w:val="28"/>
          <w:rtl/>
        </w:rPr>
        <w:t>لإ</w:t>
      </w:r>
      <w:r w:rsidRPr="00CB4793">
        <w:rPr>
          <w:rFonts w:asciiTheme="majorBidi" w:hAnsiTheme="majorBidi" w:cstheme="majorBidi"/>
          <w:sz w:val="28"/>
          <w:szCs w:val="28"/>
          <w:rtl/>
        </w:rPr>
        <w:t>قامة</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في</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المنزل</w:t>
      </w:r>
      <w:r w:rsidRPr="00CB4793">
        <w:rPr>
          <w:rFonts w:asciiTheme="majorBidi" w:hAnsiTheme="majorBidi" w:cstheme="majorBidi" w:hint="cs"/>
          <w:sz w:val="28"/>
          <w:szCs w:val="28"/>
          <w:rtl/>
        </w:rPr>
        <w:t xml:space="preserve"> أو المنطقة الجغرافية؛</w:t>
      </w:r>
    </w:p>
    <w:p w14:paraId="67112E95" w14:textId="77777777" w:rsidR="009E2D81" w:rsidRPr="00CB4793" w:rsidRDefault="009E2D81" w:rsidP="00CB4793">
      <w:pPr>
        <w:pStyle w:val="ListParagraph"/>
        <w:numPr>
          <w:ilvl w:val="0"/>
          <w:numId w:val="2"/>
        </w:numPr>
        <w:bidi/>
        <w:spacing w:line="360" w:lineRule="auto"/>
        <w:jc w:val="both"/>
        <w:rPr>
          <w:rFonts w:asciiTheme="majorBidi" w:hAnsiTheme="majorBidi" w:cstheme="majorBidi"/>
          <w:sz w:val="28"/>
          <w:szCs w:val="28"/>
          <w:rtl/>
        </w:rPr>
      </w:pPr>
      <w:r w:rsidRPr="00CB4793">
        <w:rPr>
          <w:rFonts w:asciiTheme="majorBidi" w:hAnsiTheme="majorBidi" w:cstheme="majorBidi" w:hint="cs"/>
          <w:sz w:val="28"/>
          <w:szCs w:val="28"/>
          <w:rtl/>
        </w:rPr>
        <w:t>منح الصّلاحية للمدعين العامّين والمحاكم ب</w:t>
      </w:r>
      <w:r w:rsidRPr="00CB4793">
        <w:rPr>
          <w:rFonts w:asciiTheme="majorBidi" w:hAnsiTheme="majorBidi" w:cstheme="majorBidi"/>
          <w:sz w:val="28"/>
          <w:szCs w:val="28"/>
          <w:rtl/>
        </w:rPr>
        <w:t>استخدام</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الوسائل</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التقنية</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الحديثة</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في</w:t>
      </w:r>
      <w:r w:rsidRPr="00CB4793">
        <w:rPr>
          <w:rFonts w:asciiTheme="majorBidi" w:hAnsiTheme="majorBidi" w:cstheme="majorBidi" w:hint="cs"/>
          <w:sz w:val="28"/>
          <w:szCs w:val="28"/>
          <w:rtl/>
        </w:rPr>
        <w:t xml:space="preserve"> إ</w:t>
      </w:r>
      <w:r w:rsidRPr="00CB4793">
        <w:rPr>
          <w:rFonts w:asciiTheme="majorBidi" w:hAnsiTheme="majorBidi" w:cstheme="majorBidi"/>
          <w:sz w:val="28"/>
          <w:szCs w:val="28"/>
          <w:rtl/>
        </w:rPr>
        <w:t>جراءات</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الت</w:t>
      </w:r>
      <w:r w:rsidRPr="00CB4793">
        <w:rPr>
          <w:rFonts w:asciiTheme="majorBidi" w:hAnsiTheme="majorBidi" w:cstheme="majorBidi" w:hint="cs"/>
          <w:sz w:val="28"/>
          <w:szCs w:val="28"/>
          <w:rtl/>
        </w:rPr>
        <w:t>ّ</w:t>
      </w:r>
      <w:r w:rsidRPr="00CB4793">
        <w:rPr>
          <w:rFonts w:asciiTheme="majorBidi" w:hAnsiTheme="majorBidi" w:cstheme="majorBidi"/>
          <w:sz w:val="28"/>
          <w:szCs w:val="28"/>
          <w:rtl/>
        </w:rPr>
        <w:t>حقيق</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والم</w:t>
      </w:r>
      <w:r w:rsidRPr="00CB4793">
        <w:rPr>
          <w:rFonts w:asciiTheme="majorBidi" w:hAnsiTheme="majorBidi" w:cstheme="majorBidi" w:hint="cs"/>
          <w:sz w:val="28"/>
          <w:szCs w:val="28"/>
          <w:rtl/>
        </w:rPr>
        <w:t>ُ</w:t>
      </w:r>
      <w:r w:rsidRPr="00CB4793">
        <w:rPr>
          <w:rFonts w:asciiTheme="majorBidi" w:hAnsiTheme="majorBidi" w:cstheme="majorBidi"/>
          <w:sz w:val="28"/>
          <w:szCs w:val="28"/>
          <w:rtl/>
        </w:rPr>
        <w:t>حاكمة</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كسماع</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الشهود،</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وخاصة</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الشهود</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من</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فئة</w:t>
      </w:r>
      <w:r w:rsidRPr="00CB4793">
        <w:rPr>
          <w:rFonts w:asciiTheme="majorBidi" w:hAnsiTheme="majorBidi" w:cstheme="majorBidi" w:hint="cs"/>
          <w:sz w:val="28"/>
          <w:szCs w:val="28"/>
          <w:rtl/>
        </w:rPr>
        <w:t xml:space="preserve"> الأ</w:t>
      </w:r>
      <w:r w:rsidRPr="00CB4793">
        <w:rPr>
          <w:rFonts w:asciiTheme="majorBidi" w:hAnsiTheme="majorBidi" w:cstheme="majorBidi"/>
          <w:sz w:val="28"/>
          <w:szCs w:val="28"/>
          <w:rtl/>
        </w:rPr>
        <w:t>حداث</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توفير</w:t>
      </w:r>
      <w:r w:rsidRPr="00CB4793">
        <w:rPr>
          <w:rFonts w:asciiTheme="majorBidi" w:hAnsiTheme="majorBidi" w:cstheme="majorBidi" w:hint="cs"/>
          <w:sz w:val="28"/>
          <w:szCs w:val="28"/>
          <w:rtl/>
        </w:rPr>
        <w:t xml:space="preserve">اً </w:t>
      </w:r>
      <w:r w:rsidRPr="00CB4793">
        <w:rPr>
          <w:rFonts w:asciiTheme="majorBidi" w:hAnsiTheme="majorBidi" w:cstheme="majorBidi"/>
          <w:sz w:val="28"/>
          <w:szCs w:val="28"/>
          <w:rtl/>
        </w:rPr>
        <w:t>للحماية</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المقررة</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لهم</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ولتمكين</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المحكمة</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من</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مباشرة</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المحاكمة</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عن</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بعد،</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وذلك</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بهدف</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تقصير</w:t>
      </w:r>
      <w:r w:rsidRPr="00CB4793">
        <w:rPr>
          <w:rFonts w:asciiTheme="majorBidi" w:hAnsiTheme="majorBidi" w:cstheme="majorBidi" w:hint="cs"/>
          <w:sz w:val="28"/>
          <w:szCs w:val="28"/>
          <w:rtl/>
        </w:rPr>
        <w:t xml:space="preserve"> أ</w:t>
      </w:r>
      <w:r w:rsidRPr="00CB4793">
        <w:rPr>
          <w:rFonts w:asciiTheme="majorBidi" w:hAnsiTheme="majorBidi" w:cstheme="majorBidi"/>
          <w:sz w:val="28"/>
          <w:szCs w:val="28"/>
          <w:rtl/>
        </w:rPr>
        <w:t>مد</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التقاضي</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وصول</w:t>
      </w:r>
      <w:r w:rsidRPr="00CB4793">
        <w:rPr>
          <w:rFonts w:asciiTheme="majorBidi" w:hAnsiTheme="majorBidi" w:cstheme="majorBidi" w:hint="cs"/>
          <w:sz w:val="28"/>
          <w:szCs w:val="28"/>
          <w:rtl/>
        </w:rPr>
        <w:t xml:space="preserve">اً </w:t>
      </w:r>
      <w:r w:rsidRPr="00CB4793">
        <w:rPr>
          <w:rFonts w:asciiTheme="majorBidi" w:hAnsiTheme="majorBidi" w:cstheme="majorBidi"/>
          <w:sz w:val="28"/>
          <w:szCs w:val="28"/>
          <w:rtl/>
        </w:rPr>
        <w:t>للعدالة</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الن</w:t>
      </w:r>
      <w:r w:rsidRPr="00CB4793">
        <w:rPr>
          <w:rFonts w:asciiTheme="majorBidi" w:hAnsiTheme="majorBidi" w:cstheme="majorBidi" w:hint="cs"/>
          <w:sz w:val="28"/>
          <w:szCs w:val="28"/>
          <w:rtl/>
        </w:rPr>
        <w:t>ّا</w:t>
      </w:r>
      <w:r w:rsidRPr="00CB4793">
        <w:rPr>
          <w:rFonts w:asciiTheme="majorBidi" w:hAnsiTheme="majorBidi" w:cstheme="majorBidi"/>
          <w:sz w:val="28"/>
          <w:szCs w:val="28"/>
          <w:rtl/>
        </w:rPr>
        <w:t>جزة</w:t>
      </w:r>
      <w:r w:rsidRPr="00CB4793">
        <w:rPr>
          <w:rFonts w:asciiTheme="majorBidi" w:hAnsiTheme="majorBidi" w:cstheme="majorBidi" w:hint="cs"/>
          <w:sz w:val="28"/>
          <w:szCs w:val="28"/>
          <w:rtl/>
        </w:rPr>
        <w:t>؛</w:t>
      </w:r>
    </w:p>
    <w:p w14:paraId="1934E9BD" w14:textId="14C7073D" w:rsidR="009E2D81" w:rsidRPr="00CB4793" w:rsidRDefault="009E2D81" w:rsidP="00CB4793">
      <w:pPr>
        <w:pStyle w:val="ListParagraph"/>
        <w:numPr>
          <w:ilvl w:val="0"/>
          <w:numId w:val="2"/>
        </w:numPr>
        <w:bidi/>
        <w:spacing w:line="360" w:lineRule="auto"/>
        <w:jc w:val="both"/>
        <w:rPr>
          <w:rFonts w:asciiTheme="majorBidi" w:hAnsiTheme="majorBidi" w:cstheme="majorBidi"/>
          <w:sz w:val="28"/>
          <w:szCs w:val="28"/>
        </w:rPr>
      </w:pPr>
      <w:r w:rsidRPr="00CB4793">
        <w:rPr>
          <w:rFonts w:asciiTheme="majorBidi" w:hAnsiTheme="majorBidi" w:cstheme="majorBidi" w:hint="cs"/>
          <w:sz w:val="28"/>
          <w:szCs w:val="28"/>
          <w:rtl/>
        </w:rPr>
        <w:t xml:space="preserve">توسيع </w:t>
      </w:r>
      <w:r w:rsidRPr="00CB4793">
        <w:rPr>
          <w:rFonts w:asciiTheme="majorBidi" w:hAnsiTheme="majorBidi" w:cstheme="majorBidi"/>
          <w:sz w:val="28"/>
          <w:szCs w:val="28"/>
          <w:rtl/>
        </w:rPr>
        <w:t>مظلة</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الم</w:t>
      </w:r>
      <w:r w:rsidRPr="00CB4793">
        <w:rPr>
          <w:rFonts w:asciiTheme="majorBidi" w:hAnsiTheme="majorBidi" w:cstheme="majorBidi" w:hint="cs"/>
          <w:sz w:val="28"/>
          <w:szCs w:val="28"/>
          <w:rtl/>
        </w:rPr>
        <w:t>ُ</w:t>
      </w:r>
      <w:r w:rsidRPr="00CB4793">
        <w:rPr>
          <w:rFonts w:asciiTheme="majorBidi" w:hAnsiTheme="majorBidi" w:cstheme="majorBidi"/>
          <w:sz w:val="28"/>
          <w:szCs w:val="28"/>
          <w:rtl/>
        </w:rPr>
        <w:t>ساعدة</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القانوني</w:t>
      </w:r>
      <w:r w:rsidRPr="00CB4793">
        <w:rPr>
          <w:rFonts w:asciiTheme="majorBidi" w:hAnsiTheme="majorBidi" w:cstheme="majorBidi" w:hint="cs"/>
          <w:sz w:val="28"/>
          <w:szCs w:val="28"/>
          <w:rtl/>
        </w:rPr>
        <w:t>ّ</w:t>
      </w:r>
      <w:r w:rsidRPr="00CB4793">
        <w:rPr>
          <w:rFonts w:asciiTheme="majorBidi" w:hAnsiTheme="majorBidi" w:cstheme="majorBidi"/>
          <w:sz w:val="28"/>
          <w:szCs w:val="28"/>
          <w:rtl/>
        </w:rPr>
        <w:t>ة</w:t>
      </w:r>
      <w:r w:rsidRPr="00CB4793">
        <w:rPr>
          <w:rFonts w:asciiTheme="majorBidi" w:hAnsiTheme="majorBidi" w:cstheme="majorBidi" w:hint="cs"/>
          <w:sz w:val="28"/>
          <w:szCs w:val="28"/>
          <w:rtl/>
        </w:rPr>
        <w:t xml:space="preserve"> بموجب تعديل المادة (208) من هذا القانون، </w:t>
      </w:r>
      <w:r w:rsidRPr="00CB4793">
        <w:rPr>
          <w:rFonts w:asciiTheme="majorBidi" w:hAnsiTheme="majorBidi" w:cstheme="majorBidi"/>
          <w:sz w:val="28"/>
          <w:szCs w:val="28"/>
          <w:rtl/>
        </w:rPr>
        <w:t>الأمر</w:t>
      </w:r>
      <w:r w:rsidRPr="00CB4793">
        <w:rPr>
          <w:rFonts w:asciiTheme="majorBidi" w:hAnsiTheme="majorBidi" w:cstheme="majorBidi" w:hint="cs"/>
          <w:sz w:val="28"/>
          <w:szCs w:val="28"/>
          <w:rtl/>
        </w:rPr>
        <w:t xml:space="preserve"> </w:t>
      </w:r>
      <w:r w:rsidRPr="00CB4793">
        <w:rPr>
          <w:rFonts w:asciiTheme="majorBidi" w:hAnsiTheme="majorBidi" w:cstheme="majorBidi"/>
          <w:sz w:val="28"/>
          <w:szCs w:val="28"/>
          <w:rtl/>
        </w:rPr>
        <w:t>الذي</w:t>
      </w:r>
      <w:r w:rsidRPr="00CB4793">
        <w:rPr>
          <w:rFonts w:asciiTheme="majorBidi" w:hAnsiTheme="majorBidi" w:cstheme="majorBidi" w:hint="cs"/>
          <w:sz w:val="28"/>
          <w:szCs w:val="28"/>
          <w:rtl/>
        </w:rPr>
        <w:t xml:space="preserve"> يكفل حق الأفراد في الدّفاع والتّمثيل القانونيّ؛ حيث نصت المادة على وجوب المساعدة القانونية في الجنايات المعاقب عليها </w:t>
      </w:r>
      <w:r w:rsidR="00FC7410" w:rsidRPr="00CB4793">
        <w:rPr>
          <w:rFonts w:asciiTheme="majorBidi" w:hAnsiTheme="majorBidi" w:cstheme="majorBidi" w:hint="cs"/>
          <w:sz w:val="28"/>
          <w:szCs w:val="28"/>
          <w:rtl/>
        </w:rPr>
        <w:t>بالإعدام</w:t>
      </w:r>
      <w:r w:rsidRPr="00CB4793">
        <w:rPr>
          <w:rFonts w:asciiTheme="majorBidi" w:hAnsiTheme="majorBidi" w:cstheme="majorBidi" w:hint="cs"/>
          <w:sz w:val="28"/>
          <w:szCs w:val="28"/>
          <w:rtl/>
        </w:rPr>
        <w:t xml:space="preserve"> او الاشغال الشاقة المؤبدة أو الاعتقال المؤبد أو الاشغال المؤقتة لمدة لا تقل عن عشر سنوات وذلك أمام المحكمة. وفي الجنايات المعاقب </w:t>
      </w:r>
      <w:r w:rsidR="00FC7410">
        <w:rPr>
          <w:rFonts w:asciiTheme="majorBidi" w:hAnsiTheme="majorBidi" w:cstheme="majorBidi" w:hint="cs"/>
          <w:sz w:val="28"/>
          <w:szCs w:val="28"/>
          <w:rtl/>
        </w:rPr>
        <w:t>عليها بالأ</w:t>
      </w:r>
      <w:r w:rsidR="00FC7410" w:rsidRPr="00CB4793">
        <w:rPr>
          <w:rFonts w:asciiTheme="majorBidi" w:hAnsiTheme="majorBidi" w:cstheme="majorBidi" w:hint="cs"/>
          <w:sz w:val="28"/>
          <w:szCs w:val="28"/>
          <w:rtl/>
        </w:rPr>
        <w:t>شغال</w:t>
      </w:r>
      <w:r w:rsidRPr="00CB4793">
        <w:rPr>
          <w:rFonts w:asciiTheme="majorBidi" w:hAnsiTheme="majorBidi" w:cstheme="majorBidi" w:hint="cs"/>
          <w:sz w:val="28"/>
          <w:szCs w:val="28"/>
          <w:rtl/>
        </w:rPr>
        <w:t xml:space="preserve"> المؤقتة مدة تقل عن عشر سنوات يجوز للمدعي العام او المحكمة المختصة احالة طلب المتهم لوزير العدل لتقديم المساعدة القانونية لهم. </w:t>
      </w:r>
    </w:p>
    <w:p w14:paraId="1DF7C8CF" w14:textId="77777777" w:rsidR="009E2D81" w:rsidRPr="00CB4793" w:rsidRDefault="009E2D81" w:rsidP="00CB4793">
      <w:pPr>
        <w:pStyle w:val="ListParagraph"/>
        <w:numPr>
          <w:ilvl w:val="0"/>
          <w:numId w:val="2"/>
        </w:numPr>
        <w:bidi/>
        <w:spacing w:line="360" w:lineRule="auto"/>
        <w:jc w:val="both"/>
        <w:rPr>
          <w:rFonts w:asciiTheme="majorBidi" w:hAnsiTheme="majorBidi" w:cstheme="majorBidi"/>
          <w:sz w:val="28"/>
          <w:szCs w:val="28"/>
        </w:rPr>
      </w:pPr>
      <w:r w:rsidRPr="00CB4793">
        <w:rPr>
          <w:rFonts w:asciiTheme="majorBidi" w:hAnsiTheme="majorBidi" w:cstheme="majorBidi" w:hint="cs"/>
          <w:sz w:val="28"/>
          <w:szCs w:val="28"/>
          <w:rtl/>
        </w:rPr>
        <w:t>أوجبت المادة 63مكرر من قانون اصول المحاكمات الجزائية 9 لسنة 1961 وتعديلاته، في الجنايات التي يبلغ الحد الادنى لعقوبتها عشر سنوات فأكثر حضور محام مع المشتكى عليه في كل جلسة استجواب تحت طائلة البطلان.</w:t>
      </w:r>
    </w:p>
    <w:p w14:paraId="45DF7C2C" w14:textId="721E9322" w:rsidR="009E2D81" w:rsidRPr="00CB4793" w:rsidRDefault="009E2D81" w:rsidP="00CB4793">
      <w:pPr>
        <w:bidi/>
        <w:spacing w:line="360" w:lineRule="auto"/>
        <w:ind w:left="360"/>
        <w:jc w:val="both"/>
        <w:rPr>
          <w:rFonts w:asciiTheme="majorBidi" w:hAnsiTheme="majorBidi" w:cstheme="majorBidi"/>
          <w:sz w:val="28"/>
          <w:szCs w:val="28"/>
        </w:rPr>
      </w:pPr>
      <w:r w:rsidRPr="00CB4793">
        <w:rPr>
          <w:rFonts w:asciiTheme="majorBidi" w:hAnsiTheme="majorBidi" w:cstheme="majorBidi" w:hint="cs"/>
          <w:sz w:val="28"/>
          <w:szCs w:val="28"/>
          <w:rtl/>
        </w:rPr>
        <w:t xml:space="preserve">على الرّغم من التّطور التشريعيّ المُحرز لتوسيع شمولية </w:t>
      </w:r>
      <w:r w:rsidR="00FC7410" w:rsidRPr="00CB4793">
        <w:rPr>
          <w:rFonts w:asciiTheme="majorBidi" w:hAnsiTheme="majorBidi" w:cstheme="majorBidi" w:hint="cs"/>
          <w:sz w:val="28"/>
          <w:szCs w:val="28"/>
          <w:rtl/>
        </w:rPr>
        <w:t>وجوبية المُساعدة</w:t>
      </w:r>
      <w:r w:rsidRPr="00CB4793">
        <w:rPr>
          <w:rFonts w:asciiTheme="majorBidi" w:hAnsiTheme="majorBidi" w:cstheme="majorBidi" w:hint="cs"/>
          <w:sz w:val="28"/>
          <w:szCs w:val="28"/>
          <w:rtl/>
        </w:rPr>
        <w:t xml:space="preserve"> القانونيّة خلال عام 2017، إلّا أنّ هذا التّقدم لم يُقابله إلغاءٌ للاستثناءات الواردة على كفالة حقّ المشتكي عليه </w:t>
      </w:r>
      <w:r w:rsidRPr="00CB4793">
        <w:rPr>
          <w:rFonts w:asciiTheme="majorBidi" w:hAnsiTheme="majorBidi" w:cstheme="majorBidi" w:hint="cs"/>
          <w:sz w:val="28"/>
          <w:szCs w:val="28"/>
          <w:rtl/>
        </w:rPr>
        <w:lastRenderedPageBreak/>
        <w:t xml:space="preserve">بتوكيل محامٍ، وذلك بمنح الادّعاء العامّة عند الضرورة صلاحية التّحقيق بمعزلٍ عن حضور محامٍ في حالة الاستعجال أو متى رأى ضرورة ذلك لإظهار </w:t>
      </w:r>
      <w:r w:rsidR="00FC7410" w:rsidRPr="00CB4793">
        <w:rPr>
          <w:rFonts w:asciiTheme="majorBidi" w:hAnsiTheme="majorBidi" w:cstheme="majorBidi" w:hint="cs"/>
          <w:sz w:val="28"/>
          <w:szCs w:val="28"/>
          <w:rtl/>
        </w:rPr>
        <w:t xml:space="preserve">الحقيقة </w:t>
      </w:r>
      <w:r w:rsidR="00FC7410" w:rsidRPr="00CB4793">
        <w:rPr>
          <w:rFonts w:asciiTheme="majorBidi" w:hAnsiTheme="majorBidi" w:cstheme="majorBidi"/>
          <w:sz w:val="28"/>
          <w:szCs w:val="28"/>
          <w:rtl/>
        </w:rPr>
        <w:t>(</w:t>
      </w:r>
      <w:r w:rsidRPr="00CB4793">
        <w:rPr>
          <w:rFonts w:asciiTheme="majorBidi" w:hAnsiTheme="majorBidi" w:cstheme="majorBidi" w:hint="cs"/>
          <w:sz w:val="28"/>
          <w:szCs w:val="28"/>
          <w:rtl/>
        </w:rPr>
        <w:t xml:space="preserve">المادة 63/2) من قانون العقوبات. كما وأبقى القانون على صلاحية الادّعاء العام بحظر اتصال المحتجز بالعالم الخارجيّ بموجب المادة (66/1) من قانون أصول المحاكمات الجزائيّة رقم (9) لسنة 1961 وتعديلاته. </w:t>
      </w:r>
    </w:p>
    <w:p w14:paraId="7DEF9CA2" w14:textId="7730EA6F" w:rsidR="009E2D81" w:rsidRPr="00FC7410" w:rsidRDefault="009E2D81" w:rsidP="00FC7410">
      <w:pPr>
        <w:pStyle w:val="ListParagraph"/>
        <w:numPr>
          <w:ilvl w:val="0"/>
          <w:numId w:val="5"/>
        </w:numPr>
        <w:bidi/>
        <w:spacing w:line="360" w:lineRule="auto"/>
        <w:jc w:val="both"/>
        <w:rPr>
          <w:rFonts w:asciiTheme="majorBidi" w:hAnsiTheme="majorBidi" w:cstheme="majorBidi"/>
          <w:sz w:val="28"/>
          <w:szCs w:val="28"/>
          <w:rtl/>
        </w:rPr>
      </w:pPr>
      <w:r w:rsidRPr="00FC7410">
        <w:rPr>
          <w:rFonts w:asciiTheme="majorBidi" w:hAnsiTheme="majorBidi" w:cstheme="majorBidi" w:hint="cs"/>
          <w:sz w:val="28"/>
          <w:szCs w:val="28"/>
          <w:rtl/>
        </w:rPr>
        <w:t xml:space="preserve">لم تطرأ أيّة تعديلاتٍ على قانون منع الجرائم رقم (7) لسنة 1954، ما نتج عنه الإبقاء على صلاحية التّوقيف الإداريّ التي تنطوي على مساسٍ بمبدأ الفصل بين السّلطات؛ لما تشكّله من اعتداءٍ على اختصاص السّلطة القضائيّة من جهةٍ، وقد استمر المركز في تقديم توصياته بضرورة الغاء هذا القانون او على أقل تقدير تعديله لحين إلغائه بما يضمن وضع ضوابط قانونية كافية للحد من استخدام التوقيف الاداري بحق الأفراد، كما استمر في تلقي الشكاوى المتعلقة بالتوقيف </w:t>
      </w:r>
      <w:r w:rsidR="00CB4793" w:rsidRPr="00FC7410">
        <w:rPr>
          <w:rFonts w:asciiTheme="majorBidi" w:hAnsiTheme="majorBidi" w:cstheme="majorBidi" w:hint="cs"/>
          <w:sz w:val="28"/>
          <w:szCs w:val="28"/>
          <w:rtl/>
        </w:rPr>
        <w:t>الإداري.</w:t>
      </w:r>
    </w:p>
    <w:p w14:paraId="6C58FE37" w14:textId="64370602" w:rsidR="009E2D81" w:rsidRPr="00CB4793" w:rsidRDefault="009E2D81" w:rsidP="00CB4793">
      <w:pPr>
        <w:bidi/>
        <w:spacing w:line="360" w:lineRule="auto"/>
        <w:jc w:val="both"/>
        <w:rPr>
          <w:rFonts w:asciiTheme="majorBidi" w:hAnsiTheme="majorBidi" w:cstheme="majorBidi"/>
          <w:sz w:val="28"/>
          <w:szCs w:val="28"/>
          <w:rtl/>
        </w:rPr>
      </w:pPr>
      <w:r w:rsidRPr="00CB4793">
        <w:rPr>
          <w:rFonts w:asciiTheme="majorBidi" w:hAnsiTheme="majorBidi" w:cstheme="majorBidi" w:hint="cs"/>
          <w:sz w:val="28"/>
          <w:szCs w:val="28"/>
          <w:rtl/>
        </w:rPr>
        <w:t xml:space="preserve">كما رصد المركز </w:t>
      </w:r>
      <w:r w:rsidRPr="00CB4793">
        <w:rPr>
          <w:rFonts w:asciiTheme="majorBidi" w:hAnsiTheme="majorBidi" w:cstheme="majorBidi"/>
          <w:sz w:val="28"/>
          <w:szCs w:val="28"/>
          <w:rtl/>
        </w:rPr>
        <w:t>ارتفاعاً في أعداد الموقوفين الإداري</w:t>
      </w:r>
      <w:r w:rsidRPr="00CB4793">
        <w:rPr>
          <w:rFonts w:asciiTheme="majorBidi" w:hAnsiTheme="majorBidi" w:cstheme="majorBidi" w:hint="cs"/>
          <w:sz w:val="28"/>
          <w:szCs w:val="28"/>
          <w:rtl/>
        </w:rPr>
        <w:t>ّ</w:t>
      </w:r>
      <w:r w:rsidRPr="00CB4793">
        <w:rPr>
          <w:rFonts w:asciiTheme="majorBidi" w:hAnsiTheme="majorBidi" w:cstheme="majorBidi"/>
          <w:sz w:val="28"/>
          <w:szCs w:val="28"/>
          <w:rtl/>
        </w:rPr>
        <w:t>ين</w:t>
      </w:r>
      <w:r w:rsidRPr="00CB4793">
        <w:rPr>
          <w:rFonts w:asciiTheme="majorBidi" w:hAnsiTheme="majorBidi" w:cstheme="majorBidi" w:hint="cs"/>
          <w:sz w:val="28"/>
          <w:szCs w:val="28"/>
          <w:rtl/>
        </w:rPr>
        <w:t>، حيث تراوحت أعدادهم خلال الأعوام (2016-2019) ما مجموعه (37.853-30.138) موقوفاً،</w:t>
      </w:r>
      <w:r w:rsidR="009A29F1" w:rsidRPr="00CB4793">
        <w:rPr>
          <w:rFonts w:asciiTheme="majorBidi" w:hAnsiTheme="majorBidi" w:cstheme="majorBidi" w:hint="cs"/>
          <w:sz w:val="28"/>
          <w:szCs w:val="28"/>
          <w:rtl/>
        </w:rPr>
        <w:t xml:space="preserve"> في حين بلغ عدد الموقوفين إداريا عام 2023(37395</w:t>
      </w:r>
      <w:r w:rsidR="00FC7410" w:rsidRPr="00CB4793">
        <w:rPr>
          <w:rFonts w:asciiTheme="majorBidi" w:hAnsiTheme="majorBidi" w:cstheme="majorBidi" w:hint="cs"/>
          <w:sz w:val="28"/>
          <w:szCs w:val="28"/>
          <w:rtl/>
        </w:rPr>
        <w:t>).</w:t>
      </w:r>
    </w:p>
    <w:p w14:paraId="4E5CF409" w14:textId="2A5FA26A" w:rsidR="009E2D81" w:rsidRPr="00FC7410" w:rsidRDefault="009A29F1" w:rsidP="00FC7410">
      <w:pPr>
        <w:pStyle w:val="ListParagraph"/>
        <w:numPr>
          <w:ilvl w:val="0"/>
          <w:numId w:val="5"/>
        </w:numPr>
        <w:bidi/>
        <w:spacing w:line="360" w:lineRule="auto"/>
        <w:jc w:val="both"/>
        <w:rPr>
          <w:rFonts w:asciiTheme="majorBidi" w:hAnsiTheme="majorBidi" w:cstheme="majorBidi"/>
          <w:sz w:val="28"/>
          <w:szCs w:val="28"/>
          <w:rtl/>
        </w:rPr>
      </w:pPr>
      <w:r w:rsidRPr="00FC7410">
        <w:rPr>
          <w:rFonts w:asciiTheme="majorBidi" w:hAnsiTheme="majorBidi" w:cstheme="majorBidi" w:hint="cs"/>
          <w:sz w:val="28"/>
          <w:szCs w:val="28"/>
          <w:rtl/>
        </w:rPr>
        <w:t xml:space="preserve">صدر قانون الجرائم الالكترونية لعام 2023 وبهذا الصدد قام المركز وخلال عام بدراسة هذا القانون وتوصل الى ان هذا القانون </w:t>
      </w:r>
      <w:r w:rsidR="00FC7410" w:rsidRPr="00FC7410">
        <w:rPr>
          <w:rFonts w:asciiTheme="majorBidi" w:hAnsiTheme="majorBidi" w:cstheme="majorBidi" w:hint="cs"/>
          <w:sz w:val="28"/>
          <w:szCs w:val="28"/>
          <w:rtl/>
        </w:rPr>
        <w:t>يشكل من</w:t>
      </w:r>
      <w:r w:rsidR="009E2D81" w:rsidRPr="00FC7410">
        <w:rPr>
          <w:rFonts w:asciiTheme="majorBidi" w:hAnsiTheme="majorBidi" w:cstheme="majorBidi"/>
          <w:sz w:val="28"/>
          <w:szCs w:val="28"/>
          <w:rtl/>
        </w:rPr>
        <w:t xml:space="preserve"> حيث المبدأ ضرورة لازمة لتنظيم ومتابعة الجرائم المستحدثة التي تتم عبر الفضاء الرقمي.</w:t>
      </w:r>
    </w:p>
    <w:p w14:paraId="5F0AE1D2" w14:textId="77777777" w:rsidR="009E2D81" w:rsidRDefault="009E2D81" w:rsidP="00CB4793">
      <w:pPr>
        <w:bidi/>
        <w:spacing w:line="360" w:lineRule="auto"/>
        <w:jc w:val="both"/>
        <w:rPr>
          <w:rFonts w:asciiTheme="majorBidi" w:hAnsiTheme="majorBidi" w:cstheme="majorBidi"/>
          <w:sz w:val="28"/>
          <w:szCs w:val="28"/>
          <w:rtl/>
        </w:rPr>
      </w:pPr>
      <w:bookmarkStart w:id="1" w:name="_Hlk180663938"/>
      <w:r>
        <w:rPr>
          <w:rFonts w:asciiTheme="majorBidi" w:hAnsiTheme="majorBidi" w:cstheme="majorBidi"/>
          <w:sz w:val="28"/>
          <w:szCs w:val="28"/>
          <w:rtl/>
        </w:rPr>
        <w:t>كما ان القانون ذاته وفقا للتعديلات الاخيرة تضمن العديد من التطورات الايجابية باستحداث بعض النصوص التي عالجت ثغرات قانونية قائمة ومن أبرزها ادراج نص يتعلق بنشر تسجيل او صورة او فيديو لما يحرص الشخص على عدم اظهاره او كتمانه عن العامة، وهو نص يحمي الحق في الحياة الخاصة للأفراد في الفضاء الرقمي. وكذلك ادراج نص يتعلق بالابتزاز والتهديد الالكتروني.</w:t>
      </w:r>
    </w:p>
    <w:p w14:paraId="3F862C5A" w14:textId="7522D183" w:rsidR="009E2D81" w:rsidRDefault="009E2D81" w:rsidP="00CB4793">
      <w:pPr>
        <w:bidi/>
        <w:spacing w:line="360" w:lineRule="auto"/>
        <w:jc w:val="both"/>
        <w:rPr>
          <w:rFonts w:asciiTheme="majorBidi" w:hAnsiTheme="majorBidi" w:cstheme="majorBidi"/>
          <w:sz w:val="28"/>
          <w:szCs w:val="28"/>
          <w:rtl/>
        </w:rPr>
      </w:pPr>
      <w:r>
        <w:rPr>
          <w:rFonts w:asciiTheme="majorBidi" w:hAnsiTheme="majorBidi" w:cstheme="majorBidi"/>
          <w:sz w:val="28"/>
          <w:szCs w:val="28"/>
          <w:rtl/>
        </w:rPr>
        <w:t xml:space="preserve">وكذلك تغليظ العقوبات على مرتكبي الافعال ضد بعض الفئات مثل الاطفال والاشخاص ذوي الاعاقة، بالإضافة الى تجريم بعض الافعال بصورة متخصصة مثل جريمة الابتزاز الالكتروني التي تعد من </w:t>
      </w:r>
      <w:r w:rsidR="00FC7410">
        <w:rPr>
          <w:rFonts w:asciiTheme="majorBidi" w:hAnsiTheme="majorBidi" w:cstheme="majorBidi" w:hint="cs"/>
          <w:sz w:val="28"/>
          <w:szCs w:val="28"/>
          <w:rtl/>
        </w:rPr>
        <w:t>أكثر</w:t>
      </w:r>
      <w:r>
        <w:rPr>
          <w:rFonts w:asciiTheme="majorBidi" w:hAnsiTheme="majorBidi" w:cstheme="majorBidi"/>
          <w:sz w:val="28"/>
          <w:szCs w:val="28"/>
          <w:rtl/>
        </w:rPr>
        <w:t xml:space="preserve"> الجرائم </w:t>
      </w:r>
      <w:bookmarkEnd w:id="1"/>
      <w:r>
        <w:rPr>
          <w:rFonts w:asciiTheme="majorBidi" w:hAnsiTheme="majorBidi" w:cstheme="majorBidi"/>
          <w:sz w:val="28"/>
          <w:szCs w:val="28"/>
          <w:rtl/>
        </w:rPr>
        <w:t>شيوعا.</w:t>
      </w:r>
    </w:p>
    <w:p w14:paraId="1285098D" w14:textId="451C6B94" w:rsidR="009E2D81" w:rsidRPr="00CB4793" w:rsidRDefault="009E2D81" w:rsidP="00CB4793">
      <w:pPr>
        <w:bidi/>
        <w:spacing w:line="360" w:lineRule="auto"/>
        <w:jc w:val="both"/>
        <w:rPr>
          <w:rFonts w:asciiTheme="majorBidi" w:hAnsiTheme="majorBidi" w:cstheme="majorBidi"/>
          <w:sz w:val="28"/>
          <w:szCs w:val="28"/>
          <w:rtl/>
        </w:rPr>
      </w:pPr>
      <w:r w:rsidRPr="00CB4793">
        <w:rPr>
          <w:rFonts w:asciiTheme="majorBidi" w:hAnsiTheme="majorBidi" w:cstheme="majorBidi"/>
          <w:sz w:val="28"/>
          <w:szCs w:val="28"/>
          <w:rtl/>
        </w:rPr>
        <w:t xml:space="preserve">    </w:t>
      </w:r>
      <w:r w:rsidR="009A29F1" w:rsidRPr="00CB4793">
        <w:rPr>
          <w:rFonts w:asciiTheme="majorBidi" w:hAnsiTheme="majorBidi" w:cstheme="majorBidi" w:hint="cs"/>
          <w:sz w:val="28"/>
          <w:szCs w:val="28"/>
          <w:rtl/>
        </w:rPr>
        <w:t xml:space="preserve">وخلص المركز الى مجموعة من التوصيات لتجويد وتحسين القانون تتمثل في الاتي: </w:t>
      </w:r>
    </w:p>
    <w:p w14:paraId="75F70EB4" w14:textId="25C7FC85" w:rsidR="009E2D81" w:rsidRDefault="00FC7410" w:rsidP="00CB4793">
      <w:pPr>
        <w:pStyle w:val="ListParagraph"/>
        <w:numPr>
          <w:ilvl w:val="0"/>
          <w:numId w:val="3"/>
        </w:numPr>
        <w:bidi/>
        <w:spacing w:line="360" w:lineRule="auto"/>
        <w:jc w:val="both"/>
        <w:rPr>
          <w:rFonts w:asciiTheme="majorBidi" w:hAnsiTheme="majorBidi" w:cstheme="majorBidi"/>
          <w:sz w:val="28"/>
          <w:szCs w:val="28"/>
          <w:rtl/>
        </w:rPr>
      </w:pPr>
      <w:r>
        <w:rPr>
          <w:rFonts w:asciiTheme="majorBidi" w:hAnsiTheme="majorBidi" w:cstheme="majorBidi" w:hint="cs"/>
          <w:sz w:val="28"/>
          <w:szCs w:val="28"/>
          <w:rtl/>
        </w:rPr>
        <w:lastRenderedPageBreak/>
        <w:t>الاكتفاء</w:t>
      </w:r>
      <w:r w:rsidR="009E2D81">
        <w:rPr>
          <w:rFonts w:asciiTheme="majorBidi" w:hAnsiTheme="majorBidi" w:cstheme="majorBidi"/>
          <w:sz w:val="28"/>
          <w:szCs w:val="28"/>
          <w:rtl/>
        </w:rPr>
        <w:t xml:space="preserve"> فيما يتعلق بجريمة الذم والقدح والتحقير بالقواعد العامة الواردة في قانون العقوبات رقم</w:t>
      </w:r>
      <w:r>
        <w:rPr>
          <w:rFonts w:asciiTheme="majorBidi" w:hAnsiTheme="majorBidi" w:cstheme="majorBidi" w:hint="cs"/>
          <w:sz w:val="28"/>
          <w:szCs w:val="28"/>
          <w:rtl/>
        </w:rPr>
        <w:t xml:space="preserve"> </w:t>
      </w:r>
      <w:r w:rsidR="009E2D81">
        <w:rPr>
          <w:rFonts w:asciiTheme="majorBidi" w:hAnsiTheme="majorBidi" w:cstheme="majorBidi"/>
          <w:sz w:val="28"/>
          <w:szCs w:val="28"/>
          <w:rtl/>
        </w:rPr>
        <w:t>(16) لسنة 1960م وتعديلاته وذلك لكفاية النصوص القائمة في قانون العقوبات وتجنبا للتكرار التشريعي وللاتساق العام بين هذه التشريعات. وفي حال الإبقاء على نص هذه المادة في قانون الجرائم الإلكترونية تخفيض العقوبة بصورة تتسق وقانون العقوبات رقم (16) لسنة 1960 وتعديلاته لضمان عدم التوقيف.</w:t>
      </w:r>
    </w:p>
    <w:p w14:paraId="21FC0A20" w14:textId="77777777" w:rsidR="009E2D81" w:rsidRDefault="009E2D81" w:rsidP="00CB4793">
      <w:pPr>
        <w:pStyle w:val="ListParagraph"/>
        <w:numPr>
          <w:ilvl w:val="0"/>
          <w:numId w:val="3"/>
        </w:numPr>
        <w:bidi/>
        <w:spacing w:line="360" w:lineRule="auto"/>
        <w:jc w:val="both"/>
        <w:rPr>
          <w:rFonts w:asciiTheme="majorBidi" w:hAnsiTheme="majorBidi" w:cstheme="majorBidi"/>
          <w:sz w:val="28"/>
          <w:szCs w:val="28"/>
          <w:rtl/>
        </w:rPr>
      </w:pPr>
      <w:r>
        <w:rPr>
          <w:rFonts w:asciiTheme="majorBidi" w:hAnsiTheme="majorBidi" w:cstheme="majorBidi"/>
          <w:sz w:val="28"/>
          <w:szCs w:val="28"/>
          <w:rtl/>
        </w:rPr>
        <w:t>إعادة الصياغة التشريعية المتعلقة ببعض الجرائم مثل اغتيال الشخصية بما يضمن قدرة الافراد على فهم النصوص وتطبيقها والالتزام بها وبما يضمن عدم اللجوء الى تأويل وتفسير هذه المصطلحات وفق الاجتهادات المتباينة. بالإضافة الى بيان عناصر هذه الجريمة.</w:t>
      </w:r>
    </w:p>
    <w:p w14:paraId="5D1D357B" w14:textId="77777777" w:rsidR="009E2D81" w:rsidRDefault="009E2D81" w:rsidP="00CB4793">
      <w:pPr>
        <w:pStyle w:val="ListParagraph"/>
        <w:numPr>
          <w:ilvl w:val="0"/>
          <w:numId w:val="3"/>
        </w:numPr>
        <w:bidi/>
        <w:spacing w:line="360" w:lineRule="auto"/>
        <w:jc w:val="both"/>
        <w:rPr>
          <w:rFonts w:asciiTheme="majorBidi" w:hAnsiTheme="majorBidi" w:cstheme="majorBidi"/>
          <w:sz w:val="28"/>
          <w:szCs w:val="28"/>
          <w:rtl/>
        </w:rPr>
      </w:pPr>
      <w:r>
        <w:rPr>
          <w:rFonts w:asciiTheme="majorBidi" w:hAnsiTheme="majorBidi" w:cstheme="majorBidi"/>
          <w:sz w:val="28"/>
          <w:szCs w:val="28"/>
          <w:rtl/>
        </w:rPr>
        <w:t>ضبط الأفعال الجرمية الواردة في بعض نصوص القانون خاصة ما يتعلق بخطاب الكراهية وتحديد عناصر هذا الخطاب وفق لما اشارت له المادة (20) من العهد الدولي الخاص بالحقوق المدنية والسياسية. وفي الوقت ذاته ضبط بعض المصطلحات الواردة في القانون ومنها الأخبار الكاذبة.</w:t>
      </w:r>
    </w:p>
    <w:p w14:paraId="449990F1" w14:textId="23863931" w:rsidR="009E2D81" w:rsidRDefault="009E2D81" w:rsidP="00CB4793">
      <w:pPr>
        <w:pStyle w:val="ListParagraph"/>
        <w:numPr>
          <w:ilvl w:val="0"/>
          <w:numId w:val="3"/>
        </w:numPr>
        <w:bidi/>
        <w:spacing w:line="360" w:lineRule="auto"/>
        <w:jc w:val="both"/>
        <w:rPr>
          <w:rFonts w:asciiTheme="majorBidi" w:hAnsiTheme="majorBidi" w:cstheme="majorBidi"/>
          <w:sz w:val="28"/>
          <w:szCs w:val="28"/>
        </w:rPr>
      </w:pPr>
      <w:r>
        <w:rPr>
          <w:rFonts w:asciiTheme="majorBidi" w:hAnsiTheme="majorBidi" w:cstheme="majorBidi"/>
          <w:sz w:val="28"/>
          <w:szCs w:val="28"/>
          <w:rtl/>
        </w:rPr>
        <w:t xml:space="preserve">التقيد بالقواعد العامة في التشريع الجزائي خاصة ما يتعلق بقواعد المساهمة الجنائية والأخذ بمبدأ التفريد العقابي في هذا </w:t>
      </w:r>
      <w:r w:rsidR="00FC7410">
        <w:rPr>
          <w:rFonts w:asciiTheme="majorBidi" w:hAnsiTheme="majorBidi" w:cstheme="majorBidi" w:hint="cs"/>
          <w:sz w:val="28"/>
          <w:szCs w:val="28"/>
          <w:rtl/>
        </w:rPr>
        <w:t>الإطار</w:t>
      </w:r>
      <w:r>
        <w:rPr>
          <w:rFonts w:asciiTheme="majorBidi" w:hAnsiTheme="majorBidi" w:cstheme="majorBidi"/>
          <w:sz w:val="28"/>
          <w:szCs w:val="28"/>
          <w:rtl/>
        </w:rPr>
        <w:t xml:space="preserve"> ويدعو المركز الى اعادة النظر بنص المادة (27) من القانون.</w:t>
      </w:r>
    </w:p>
    <w:p w14:paraId="525A3E8C" w14:textId="728F8663" w:rsidR="009E2D81" w:rsidRDefault="009E2D81" w:rsidP="00CB4793">
      <w:pPr>
        <w:pStyle w:val="ListParagraph"/>
        <w:numPr>
          <w:ilvl w:val="0"/>
          <w:numId w:val="3"/>
        </w:numPr>
        <w:bidi/>
        <w:spacing w:line="360" w:lineRule="auto"/>
        <w:jc w:val="both"/>
        <w:rPr>
          <w:rFonts w:asciiTheme="majorBidi" w:hAnsiTheme="majorBidi" w:cstheme="majorBidi"/>
          <w:sz w:val="28"/>
          <w:szCs w:val="28"/>
          <w:rtl/>
        </w:rPr>
      </w:pPr>
      <w:r>
        <w:rPr>
          <w:rFonts w:asciiTheme="majorBidi" w:hAnsiTheme="majorBidi" w:cstheme="majorBidi"/>
          <w:sz w:val="28"/>
          <w:szCs w:val="28"/>
          <w:rtl/>
        </w:rPr>
        <w:t xml:space="preserve">تقنين شروط النقد المباح التي اسس لها القضاء الأردني الموقر وتحديدا في تطبيقاته حول قضايا المطبوعات </w:t>
      </w:r>
      <w:r w:rsidR="00FC7410">
        <w:rPr>
          <w:rFonts w:asciiTheme="majorBidi" w:hAnsiTheme="majorBidi" w:cstheme="majorBidi" w:hint="cs"/>
          <w:sz w:val="28"/>
          <w:szCs w:val="28"/>
          <w:rtl/>
        </w:rPr>
        <w:t>والنشر.</w:t>
      </w:r>
    </w:p>
    <w:p w14:paraId="08929F4B" w14:textId="1DB9F73D" w:rsidR="009E2D81" w:rsidRPr="00D913C6" w:rsidRDefault="009E2D81" w:rsidP="00CB4793">
      <w:pPr>
        <w:pStyle w:val="ListParagraph"/>
        <w:numPr>
          <w:ilvl w:val="0"/>
          <w:numId w:val="3"/>
        </w:numPr>
        <w:bidi/>
        <w:spacing w:line="360" w:lineRule="auto"/>
        <w:jc w:val="both"/>
        <w:rPr>
          <w:rFonts w:asciiTheme="majorBidi" w:hAnsiTheme="majorBidi" w:cstheme="majorBidi"/>
          <w:sz w:val="28"/>
          <w:szCs w:val="28"/>
          <w:rtl/>
        </w:rPr>
      </w:pPr>
      <w:r w:rsidRPr="00D913C6">
        <w:rPr>
          <w:rFonts w:asciiTheme="majorBidi" w:hAnsiTheme="majorBidi" w:cstheme="majorBidi"/>
          <w:sz w:val="28"/>
          <w:szCs w:val="28"/>
          <w:rtl/>
        </w:rPr>
        <w:t xml:space="preserve">النص صراحة على عدم جواز محاكمة الصحفيين بسبب </w:t>
      </w:r>
      <w:r w:rsidRPr="00D913C6">
        <w:rPr>
          <w:rFonts w:asciiTheme="majorBidi" w:hAnsiTheme="majorBidi" w:cstheme="majorBidi" w:hint="cs"/>
          <w:sz w:val="28"/>
          <w:szCs w:val="28"/>
          <w:rtl/>
        </w:rPr>
        <w:t>أ</w:t>
      </w:r>
      <w:r w:rsidRPr="00D913C6">
        <w:rPr>
          <w:rFonts w:asciiTheme="majorBidi" w:hAnsiTheme="majorBidi" w:cstheme="majorBidi"/>
          <w:sz w:val="28"/>
          <w:szCs w:val="28"/>
          <w:rtl/>
        </w:rPr>
        <w:t xml:space="preserve">داء </w:t>
      </w:r>
      <w:r w:rsidRPr="00D913C6">
        <w:rPr>
          <w:rFonts w:asciiTheme="majorBidi" w:hAnsiTheme="majorBidi" w:cstheme="majorBidi" w:hint="cs"/>
          <w:sz w:val="28"/>
          <w:szCs w:val="28"/>
          <w:rtl/>
        </w:rPr>
        <w:t xml:space="preserve">عملهم المهني </w:t>
      </w:r>
      <w:r w:rsidR="001A7925" w:rsidRPr="00D913C6">
        <w:rPr>
          <w:rFonts w:asciiTheme="majorBidi" w:hAnsiTheme="majorBidi" w:cstheme="majorBidi" w:hint="cs"/>
          <w:sz w:val="28"/>
          <w:szCs w:val="28"/>
          <w:rtl/>
        </w:rPr>
        <w:t>والصحفي الا</w:t>
      </w:r>
      <w:r w:rsidRPr="00D913C6">
        <w:rPr>
          <w:rFonts w:asciiTheme="majorBidi" w:hAnsiTheme="majorBidi" w:cstheme="majorBidi" w:hint="cs"/>
          <w:sz w:val="28"/>
          <w:szCs w:val="28"/>
          <w:rtl/>
        </w:rPr>
        <w:t xml:space="preserve"> بموجب قانون المطبوعات والنشر وهو المظلة القانونية التي تنظم وتحكم عمل الصحفيين في </w:t>
      </w:r>
      <w:r w:rsidR="001A7925" w:rsidRPr="00D913C6">
        <w:rPr>
          <w:rFonts w:asciiTheme="majorBidi" w:hAnsiTheme="majorBidi" w:cstheme="majorBidi" w:hint="cs"/>
          <w:sz w:val="28"/>
          <w:szCs w:val="28"/>
          <w:rtl/>
        </w:rPr>
        <w:t>الأردن.</w:t>
      </w:r>
    </w:p>
    <w:p w14:paraId="7BF5C8B3" w14:textId="77777777" w:rsidR="009E2D81" w:rsidRDefault="009E2D81" w:rsidP="00CB4793">
      <w:pPr>
        <w:pStyle w:val="ListParagraph"/>
        <w:numPr>
          <w:ilvl w:val="0"/>
          <w:numId w:val="3"/>
        </w:numPr>
        <w:bidi/>
        <w:spacing w:line="360" w:lineRule="auto"/>
        <w:jc w:val="both"/>
        <w:rPr>
          <w:rFonts w:asciiTheme="majorBidi" w:hAnsiTheme="majorBidi" w:cstheme="majorBidi"/>
          <w:sz w:val="28"/>
          <w:szCs w:val="28"/>
        </w:rPr>
      </w:pPr>
      <w:r>
        <w:rPr>
          <w:rFonts w:asciiTheme="majorBidi" w:hAnsiTheme="majorBidi" w:cstheme="majorBidi"/>
          <w:sz w:val="28"/>
          <w:szCs w:val="28"/>
          <w:rtl/>
        </w:rPr>
        <w:t>التوسع في استخدام العقوبات البديلة خاصة في</w:t>
      </w:r>
      <w:r>
        <w:rPr>
          <w:rFonts w:asciiTheme="majorBidi" w:hAnsiTheme="majorBidi" w:cstheme="majorBidi" w:hint="cs"/>
          <w:sz w:val="28"/>
          <w:szCs w:val="28"/>
          <w:rtl/>
        </w:rPr>
        <w:t>ما يتعلق ببعض الجرائم المنصوص عليها في القانون وذلك لتخفيف أيضا نسبة الاكتظاظ في مراكز الإصلاح والتأهيل.</w:t>
      </w:r>
    </w:p>
    <w:p w14:paraId="3934FB71" w14:textId="77777777" w:rsidR="0019574F" w:rsidRDefault="0019574F" w:rsidP="009E2D81">
      <w:pPr>
        <w:jc w:val="right"/>
      </w:pPr>
    </w:p>
    <w:sectPr w:rsidR="0019574F">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4058A2" w14:textId="77777777" w:rsidR="007E1363" w:rsidRDefault="007E1363" w:rsidP="009E2D81">
      <w:pPr>
        <w:spacing w:after="0" w:line="240" w:lineRule="auto"/>
      </w:pPr>
      <w:r>
        <w:separator/>
      </w:r>
    </w:p>
  </w:endnote>
  <w:endnote w:type="continuationSeparator" w:id="0">
    <w:p w14:paraId="5C49395B" w14:textId="77777777" w:rsidR="007E1363" w:rsidRDefault="007E1363" w:rsidP="009E2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432443"/>
      <w:docPartObj>
        <w:docPartGallery w:val="Page Numbers (Bottom of Page)"/>
        <w:docPartUnique/>
      </w:docPartObj>
    </w:sdtPr>
    <w:sdtEndPr>
      <w:rPr>
        <w:noProof/>
      </w:rPr>
    </w:sdtEndPr>
    <w:sdtContent>
      <w:p w14:paraId="214C4044" w14:textId="2C3A1648" w:rsidR="001A7925" w:rsidRDefault="001A7925">
        <w:pPr>
          <w:pStyle w:val="Footer"/>
          <w:jc w:val="center"/>
        </w:pPr>
        <w:r>
          <w:fldChar w:fldCharType="begin"/>
        </w:r>
        <w:r>
          <w:instrText xml:space="preserve"> PAGE   \* MERGEFORMAT </w:instrText>
        </w:r>
        <w:r>
          <w:fldChar w:fldCharType="separate"/>
        </w:r>
        <w:r w:rsidR="00EF1E23">
          <w:rPr>
            <w:noProof/>
          </w:rPr>
          <w:t>5</w:t>
        </w:r>
        <w:r>
          <w:rPr>
            <w:noProof/>
          </w:rPr>
          <w:fldChar w:fldCharType="end"/>
        </w:r>
      </w:p>
    </w:sdtContent>
  </w:sdt>
  <w:p w14:paraId="5B8744A4" w14:textId="77777777" w:rsidR="001A7925" w:rsidRDefault="001A792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F79860" w14:textId="77777777" w:rsidR="007E1363" w:rsidRDefault="007E1363" w:rsidP="009E2D81">
      <w:pPr>
        <w:spacing w:after="0" w:line="240" w:lineRule="auto"/>
      </w:pPr>
      <w:r>
        <w:separator/>
      </w:r>
    </w:p>
  </w:footnote>
  <w:footnote w:type="continuationSeparator" w:id="0">
    <w:p w14:paraId="1E53F97D" w14:textId="77777777" w:rsidR="007E1363" w:rsidRDefault="007E1363" w:rsidP="009E2D81">
      <w:pPr>
        <w:spacing w:after="0" w:line="240" w:lineRule="auto"/>
      </w:pPr>
      <w:r>
        <w:continuationSeparator/>
      </w:r>
    </w:p>
  </w:footnote>
  <w:footnote w:id="1">
    <w:p w14:paraId="31BEA5C1" w14:textId="77777777" w:rsidR="009E2D81" w:rsidRPr="00B51481" w:rsidRDefault="009E2D81" w:rsidP="009E2D81">
      <w:pPr>
        <w:pStyle w:val="FootnoteText"/>
        <w:bidi/>
        <w:jc w:val="both"/>
        <w:rPr>
          <w:rtl/>
          <w:lang w:bidi="ar-JO"/>
        </w:rPr>
      </w:pPr>
      <w:r>
        <w:rPr>
          <w:rStyle w:val="FootnoteReference"/>
        </w:rPr>
        <w:footnoteRef/>
      </w:r>
      <w:r>
        <w:rPr>
          <w:rFonts w:hint="cs"/>
          <w:rtl/>
          <w:lang w:bidi="ar-JO"/>
        </w:rPr>
        <w:t xml:space="preserve"> وردت هذه الإشكالية، وتمّ اقتراح توصيات تشريعيّة وإجرائيّة للنّهوض بمُناهضة التّعذيب أردنيّاً في تقارير حقوق الإنسان السنويّة الصّادر عن المركز الوطنيّ لحقوق الإنسان. أنظر في ذلك: التقرير السّادس عشر لحالة </w:t>
      </w:r>
      <w:r w:rsidRPr="00D20400">
        <w:rPr>
          <w:rFonts w:hint="cs"/>
          <w:rtl/>
          <w:lang w:bidi="ar-JO"/>
        </w:rPr>
        <w:t xml:space="preserve">حقوق الإنسان في الأردن، ص 17-18، </w:t>
      </w:r>
      <w:r>
        <w:rPr>
          <w:rFonts w:hint="cs"/>
          <w:rtl/>
          <w:lang w:bidi="ar-JO"/>
        </w:rPr>
        <w:t>التّقرير الثالث عشر لحالة حقوق الإنسان، ص 26،27. (</w:t>
      </w:r>
      <w:r>
        <w:rPr>
          <w:lang w:bidi="ar-JO"/>
        </w:rPr>
        <w:t>www.nchr.org.jo</w:t>
      </w:r>
      <w:r>
        <w:rPr>
          <w:rFonts w:hint="cs"/>
          <w:rtl/>
          <w:lang w:bidi="ar-JO"/>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8570EA"/>
    <w:multiLevelType w:val="hybridMultilevel"/>
    <w:tmpl w:val="7BE0E6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5BA0C1E"/>
    <w:multiLevelType w:val="hybridMultilevel"/>
    <w:tmpl w:val="1DAA7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83250C"/>
    <w:multiLevelType w:val="hybridMultilevel"/>
    <w:tmpl w:val="E1286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F33290"/>
    <w:multiLevelType w:val="hybridMultilevel"/>
    <w:tmpl w:val="7F461BE4"/>
    <w:lvl w:ilvl="0" w:tplc="33F6F26A">
      <w:numFmt w:val="bullet"/>
      <w:lvlText w:val="-"/>
      <w:lvlJc w:val="left"/>
      <w:pPr>
        <w:ind w:left="900" w:hanging="360"/>
      </w:pPr>
      <w:rPr>
        <w:rFonts w:ascii="Times New Roman" w:eastAsiaTheme="minorHAnsi"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724E712F"/>
    <w:multiLevelType w:val="hybridMultilevel"/>
    <w:tmpl w:val="38F4451A"/>
    <w:lvl w:ilvl="0" w:tplc="8836DF0C">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74F"/>
    <w:rsid w:val="0019574F"/>
    <w:rsid w:val="001A7925"/>
    <w:rsid w:val="003F6F47"/>
    <w:rsid w:val="006A1DE1"/>
    <w:rsid w:val="007E1363"/>
    <w:rsid w:val="009A29F1"/>
    <w:rsid w:val="009E2D81"/>
    <w:rsid w:val="00B136F4"/>
    <w:rsid w:val="00C00F37"/>
    <w:rsid w:val="00CB4793"/>
    <w:rsid w:val="00EF1E23"/>
    <w:rsid w:val="00FC741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86AD0"/>
  <w15:chartTrackingRefBased/>
  <w15:docId w15:val="{EF44D597-2C13-4EDA-A829-A66E9D6DD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2D81"/>
    <w:pPr>
      <w:spacing w:after="200" w:line="276" w:lineRule="auto"/>
    </w:pPr>
    <w:rPr>
      <w:kern w:val="0"/>
      <w:lang w:val="en-US" w:bidi="ar-JO"/>
      <w14:ligatures w14:val="none"/>
    </w:rPr>
  </w:style>
  <w:style w:type="paragraph" w:styleId="Heading2">
    <w:name w:val="heading 2"/>
    <w:basedOn w:val="Normal"/>
    <w:link w:val="Heading2Char"/>
    <w:uiPriority w:val="9"/>
    <w:qFormat/>
    <w:rsid w:val="009E2D81"/>
    <w:pPr>
      <w:spacing w:before="100" w:beforeAutospacing="1" w:after="100" w:afterAutospacing="1" w:line="240" w:lineRule="auto"/>
      <w:outlineLvl w:val="1"/>
    </w:pPr>
    <w:rPr>
      <w:rFonts w:ascii="Times New Roman" w:eastAsia="Times New Roman" w:hAnsi="Times New Roman" w:cs="Times New Roman"/>
      <w:b/>
      <w:bCs/>
      <w:sz w:val="36"/>
      <w:szCs w:val="36"/>
      <w:lang w:bidi="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سرد الفقرات"/>
    <w:basedOn w:val="Normal"/>
    <w:link w:val="ListParagraphChar"/>
    <w:uiPriority w:val="34"/>
    <w:qFormat/>
    <w:rsid w:val="009E2D81"/>
    <w:pPr>
      <w:ind w:left="720"/>
      <w:contextualSpacing/>
    </w:pPr>
  </w:style>
  <w:style w:type="paragraph" w:styleId="FootnoteText">
    <w:name w:val="footnote text"/>
    <w:basedOn w:val="Normal"/>
    <w:link w:val="FootnoteTextChar"/>
    <w:unhideWhenUsed/>
    <w:rsid w:val="009E2D81"/>
    <w:pPr>
      <w:spacing w:after="0" w:line="240" w:lineRule="auto"/>
    </w:pPr>
    <w:rPr>
      <w:sz w:val="20"/>
      <w:szCs w:val="20"/>
      <w:lang w:bidi="ar-SA"/>
    </w:rPr>
  </w:style>
  <w:style w:type="character" w:customStyle="1" w:styleId="FootnoteTextChar">
    <w:name w:val="Footnote Text Char"/>
    <w:basedOn w:val="DefaultParagraphFont"/>
    <w:link w:val="FootnoteText"/>
    <w:rsid w:val="009E2D81"/>
    <w:rPr>
      <w:kern w:val="0"/>
      <w:sz w:val="20"/>
      <w:szCs w:val="20"/>
      <w:lang w:val="en-US"/>
      <w14:ligatures w14:val="none"/>
    </w:rPr>
  </w:style>
  <w:style w:type="character" w:styleId="FootnoteReference">
    <w:name w:val="footnote reference"/>
    <w:aliases w:val="4_GA"/>
    <w:unhideWhenUsed/>
    <w:rsid w:val="009E2D81"/>
    <w:rPr>
      <w:vertAlign w:val="superscript"/>
    </w:rPr>
  </w:style>
  <w:style w:type="character" w:customStyle="1" w:styleId="ListParagraphChar">
    <w:name w:val="List Paragraph Char"/>
    <w:aliases w:val="Bullets Char,سرد الفقرات Char"/>
    <w:basedOn w:val="DefaultParagraphFont"/>
    <w:link w:val="ListParagraph"/>
    <w:uiPriority w:val="34"/>
    <w:locked/>
    <w:rsid w:val="009E2D81"/>
    <w:rPr>
      <w:kern w:val="0"/>
      <w:lang w:val="en-US" w:bidi="ar-JO"/>
      <w14:ligatures w14:val="none"/>
    </w:rPr>
  </w:style>
  <w:style w:type="character" w:customStyle="1" w:styleId="Heading2Char">
    <w:name w:val="Heading 2 Char"/>
    <w:basedOn w:val="DefaultParagraphFont"/>
    <w:link w:val="Heading2"/>
    <w:uiPriority w:val="9"/>
    <w:rsid w:val="009E2D81"/>
    <w:rPr>
      <w:rFonts w:ascii="Times New Roman" w:eastAsia="Times New Roman" w:hAnsi="Times New Roman" w:cs="Times New Roman"/>
      <w:b/>
      <w:bCs/>
      <w:kern w:val="0"/>
      <w:sz w:val="36"/>
      <w:szCs w:val="36"/>
      <w:lang w:val="en-US"/>
      <w14:ligatures w14:val="none"/>
    </w:rPr>
  </w:style>
  <w:style w:type="paragraph" w:styleId="Header">
    <w:name w:val="header"/>
    <w:basedOn w:val="Normal"/>
    <w:link w:val="HeaderChar"/>
    <w:uiPriority w:val="99"/>
    <w:unhideWhenUsed/>
    <w:rsid w:val="001A7925"/>
    <w:pPr>
      <w:tabs>
        <w:tab w:val="center" w:pos="4320"/>
        <w:tab w:val="right" w:pos="8640"/>
      </w:tabs>
      <w:spacing w:after="0" w:line="240" w:lineRule="auto"/>
    </w:pPr>
  </w:style>
  <w:style w:type="character" w:customStyle="1" w:styleId="HeaderChar">
    <w:name w:val="Header Char"/>
    <w:basedOn w:val="DefaultParagraphFont"/>
    <w:link w:val="Header"/>
    <w:uiPriority w:val="99"/>
    <w:rsid w:val="001A7925"/>
    <w:rPr>
      <w:kern w:val="0"/>
      <w:lang w:val="en-US" w:bidi="ar-JO"/>
      <w14:ligatures w14:val="none"/>
    </w:rPr>
  </w:style>
  <w:style w:type="paragraph" w:styleId="Footer">
    <w:name w:val="footer"/>
    <w:basedOn w:val="Normal"/>
    <w:link w:val="FooterChar"/>
    <w:uiPriority w:val="99"/>
    <w:unhideWhenUsed/>
    <w:rsid w:val="001A7925"/>
    <w:pPr>
      <w:tabs>
        <w:tab w:val="center" w:pos="4320"/>
        <w:tab w:val="right" w:pos="8640"/>
      </w:tabs>
      <w:spacing w:after="0" w:line="240" w:lineRule="auto"/>
    </w:pPr>
  </w:style>
  <w:style w:type="character" w:customStyle="1" w:styleId="FooterChar">
    <w:name w:val="Footer Char"/>
    <w:basedOn w:val="DefaultParagraphFont"/>
    <w:link w:val="Footer"/>
    <w:uiPriority w:val="99"/>
    <w:rsid w:val="001A7925"/>
    <w:rPr>
      <w:kern w:val="0"/>
      <w:lang w:val="en-US" w:bidi="ar-J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2025-01-07T16:31:57+00:00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DFE827C-8CF6-48A2-A0CB-0AD5B93543DA}"/>
</file>

<file path=customXml/itemProps2.xml><?xml version="1.0" encoding="utf-8"?>
<ds:datastoreItem xmlns:ds="http://schemas.openxmlformats.org/officeDocument/2006/customXml" ds:itemID="{BB9F7063-E472-44AE-9032-F2F16E9C37E5}"/>
</file>

<file path=customXml/itemProps3.xml><?xml version="1.0" encoding="utf-8"?>
<ds:datastoreItem xmlns:ds="http://schemas.openxmlformats.org/officeDocument/2006/customXml" ds:itemID="{01A86082-62C0-4B98-A178-26ABAFAA0D87}"/>
</file>

<file path=docProps/app.xml><?xml version="1.0" encoding="utf-8"?>
<Properties xmlns="http://schemas.openxmlformats.org/officeDocument/2006/extended-properties" xmlns:vt="http://schemas.openxmlformats.org/officeDocument/2006/docPropsVTypes">
  <Template>Normal</Template>
  <TotalTime>22</TotalTime>
  <Pages>5</Pages>
  <Words>1292</Words>
  <Characters>7367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Nahla.M</dc:creator>
  <cp:keywords/>
  <dc:description/>
  <cp:lastModifiedBy>Nedal.M</cp:lastModifiedBy>
  <cp:revision>8</cp:revision>
  <dcterms:created xsi:type="dcterms:W3CDTF">2025-01-06T05:24:00Z</dcterms:created>
  <dcterms:modified xsi:type="dcterms:W3CDTF">2025-01-06T09:55:00Z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