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56E59875" w:rsidR="007509F7" w:rsidRPr="007000A6" w:rsidRDefault="007509F7" w:rsidP="00B81531">
      <w:pPr>
        <w:spacing w:after="120"/>
        <w:rPr>
          <w:sz w:val="28"/>
          <w:szCs w:val="28"/>
        </w:rPr>
      </w:pPr>
      <w:r w:rsidRPr="007000A6">
        <w:rPr>
          <w:b/>
          <w:sz w:val="28"/>
          <w:szCs w:val="28"/>
        </w:rPr>
        <w:t xml:space="preserve">BRIEFING ON </w:t>
      </w:r>
      <w:r w:rsidR="003A7C56">
        <w:rPr>
          <w:b/>
          <w:sz w:val="28"/>
          <w:szCs w:val="28"/>
          <w:u w:val="single"/>
        </w:rPr>
        <w:t>ANGOLA</w:t>
      </w:r>
      <w:r w:rsidRPr="007000A6">
        <w:rPr>
          <w:b/>
          <w:sz w:val="28"/>
          <w:szCs w:val="28"/>
        </w:rPr>
        <w:t xml:space="preserve"> FOR THE COMMITTEE ON ECONOMIC, SOCIAL AND CULTURAL RIGHTS, PRE-SESSIONAL WORKING GROUP</w:t>
      </w:r>
      <w:r>
        <w:rPr>
          <w:b/>
          <w:sz w:val="28"/>
          <w:szCs w:val="28"/>
        </w:rPr>
        <w:br/>
      </w:r>
      <w:r w:rsidR="00422417">
        <w:rPr>
          <w:b/>
          <w:sz w:val="28"/>
          <w:szCs w:val="28"/>
          <w:u w:val="single"/>
        </w:rPr>
        <w:t>12-16</w:t>
      </w:r>
      <w:r>
        <w:rPr>
          <w:b/>
          <w:sz w:val="28"/>
          <w:szCs w:val="28"/>
          <w:u w:val="single"/>
        </w:rPr>
        <w:t xml:space="preserve"> </w:t>
      </w:r>
      <w:r w:rsidR="00422417">
        <w:rPr>
          <w:b/>
          <w:sz w:val="28"/>
          <w:szCs w:val="28"/>
          <w:u w:val="single"/>
        </w:rPr>
        <w:t>October</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83032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830320"/>
                        </a:xfrm>
                        <a:prstGeom prst="rect">
                          <a:avLst/>
                        </a:prstGeom>
                        <a:solidFill>
                          <a:srgbClr val="FFFFFF"/>
                        </a:solidFill>
                        <a:ln w="9525">
                          <a:solidFill>
                            <a:srgbClr val="000000"/>
                          </a:solidFill>
                          <a:miter lim="800000"/>
                          <a:headEnd/>
                          <a:tailEnd/>
                        </a:ln>
                      </wps:spPr>
                      <wps:txbx>
                        <w:txbxContent>
                          <w:p w14:paraId="1EC0C473" w14:textId="60E9B1B4"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422417">
                              <w:rPr>
                                <w:b/>
                                <w:sz w:val="28"/>
                                <w:szCs w:val="28"/>
                              </w:rPr>
                              <w:t>Angola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422417">
                              <w:rPr>
                                <w:b/>
                                <w:sz w:val="28"/>
                                <w:szCs w:val="28"/>
                              </w:rPr>
                              <w:t>Angola</w:t>
                            </w:r>
                            <w:r>
                              <w:rPr>
                                <w:b/>
                                <w:sz w:val="28"/>
                                <w:szCs w:val="28"/>
                              </w:rPr>
                              <w:t xml:space="preserve"> by the Committee on the Rights of the Child (in 2010 and </w:t>
                            </w:r>
                            <w:r w:rsidR="00422417">
                              <w:rPr>
                                <w:b/>
                                <w:sz w:val="28"/>
                                <w:szCs w:val="28"/>
                              </w:rPr>
                              <w:t>2004</w:t>
                            </w:r>
                            <w:r>
                              <w:rPr>
                                <w:b/>
                                <w:sz w:val="28"/>
                                <w:szCs w:val="28"/>
                              </w:rPr>
                              <w:t xml:space="preserve">) and </w:t>
                            </w:r>
                            <w:r w:rsidR="00422417">
                              <w:rPr>
                                <w:b/>
                                <w:sz w:val="28"/>
                                <w:szCs w:val="28"/>
                              </w:rPr>
                              <w:t>during the UPR of Angola in 2014 (accepted by the Government)</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62204745"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422417">
                              <w:rPr>
                                <w:b/>
                                <w:iCs/>
                                <w:sz w:val="28"/>
                                <w:szCs w:val="28"/>
                              </w:rPr>
                              <w:t>Angola</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4AC94093"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422417">
                              <w:rPr>
                                <w:b/>
                                <w:iCs/>
                                <w:sz w:val="28"/>
                                <w:szCs w:val="28"/>
                              </w:rPr>
                              <w:t>Angola’s fourth/fifth</w:t>
                            </w:r>
                            <w:r>
                              <w:rPr>
                                <w:b/>
                                <w:iCs/>
                                <w:sz w:val="28"/>
                                <w:szCs w:val="28"/>
                              </w:rPr>
                              <w:t xml:space="preserve"> </w:t>
                            </w:r>
                            <w:r w:rsidRPr="00E105D0">
                              <w:rPr>
                                <w:b/>
                                <w:iCs/>
                                <w:sz w:val="28"/>
                                <w:szCs w:val="28"/>
                              </w:rPr>
                              <w:t xml:space="preserve">report, </w:t>
                            </w:r>
                            <w:r w:rsidR="00422417">
                              <w:rPr>
                                <w:b/>
                                <w:iCs/>
                                <w:sz w:val="28"/>
                                <w:szCs w:val="28"/>
                              </w:rPr>
                              <w:t xml:space="preserve">welcome Angola’s acceptance of the 2014 UPR recommendations to prohibit all corporal punishment and </w:t>
                            </w:r>
                            <w:r w:rsidRPr="009D77EF">
                              <w:rPr>
                                <w:b/>
                                <w:sz w:val="28"/>
                                <w:szCs w:val="28"/>
                              </w:rPr>
                              <w:t>recommend that</w:t>
                            </w:r>
                            <w:r>
                              <w:rPr>
                                <w:b/>
                                <w:sz w:val="28"/>
                                <w:szCs w:val="28"/>
                              </w:rPr>
                              <w:t xml:space="preserve"> </w:t>
                            </w:r>
                            <w:r w:rsidR="00422417">
                              <w:rPr>
                                <w:b/>
                                <w:sz w:val="28"/>
                                <w:szCs w:val="28"/>
                              </w:rPr>
                              <w:t>this commitment – and therefore also Angola’s obligations under the ICESCR – be fulfilled by enacting legislation which includes clear prohibition</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301.6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">
                <v:textbox style="mso-fit-shape-to-text:t">
                  <w:txbxContent>
                    <w:p w14:paraId="1EC0C473" w14:textId="60E9B1B4"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422417">
                        <w:rPr>
                          <w:b/>
                          <w:sz w:val="28"/>
                          <w:szCs w:val="28"/>
                        </w:rPr>
                        <w:t>Angola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422417">
                        <w:rPr>
                          <w:b/>
                          <w:sz w:val="28"/>
                          <w:szCs w:val="28"/>
                        </w:rPr>
                        <w:t>Angola</w:t>
                      </w:r>
                      <w:r>
                        <w:rPr>
                          <w:b/>
                          <w:sz w:val="28"/>
                          <w:szCs w:val="28"/>
                        </w:rPr>
                        <w:t xml:space="preserve"> by the Committee on the Rights of the Child (in 2010 and </w:t>
                      </w:r>
                      <w:r w:rsidR="00422417">
                        <w:rPr>
                          <w:b/>
                          <w:sz w:val="28"/>
                          <w:szCs w:val="28"/>
                        </w:rPr>
                        <w:t>2004</w:t>
                      </w:r>
                      <w:r>
                        <w:rPr>
                          <w:b/>
                          <w:sz w:val="28"/>
                          <w:szCs w:val="28"/>
                        </w:rPr>
                        <w:t xml:space="preserve">) and </w:t>
                      </w:r>
                      <w:r w:rsidR="00422417">
                        <w:rPr>
                          <w:b/>
                          <w:sz w:val="28"/>
                          <w:szCs w:val="28"/>
                        </w:rPr>
                        <w:t>during the UPR of Angola in 2014 (accepted by the Government)</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62204745"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422417">
                        <w:rPr>
                          <w:b/>
                          <w:iCs/>
                          <w:sz w:val="28"/>
                          <w:szCs w:val="28"/>
                        </w:rPr>
                        <w:t>Angola</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4AC94093"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422417">
                        <w:rPr>
                          <w:b/>
                          <w:iCs/>
                          <w:sz w:val="28"/>
                          <w:szCs w:val="28"/>
                        </w:rPr>
                        <w:t>Angola’s fourth/fifth</w:t>
                      </w:r>
                      <w:r>
                        <w:rPr>
                          <w:b/>
                          <w:iCs/>
                          <w:sz w:val="28"/>
                          <w:szCs w:val="28"/>
                        </w:rPr>
                        <w:t xml:space="preserve"> </w:t>
                      </w:r>
                      <w:r w:rsidRPr="00E105D0">
                        <w:rPr>
                          <w:b/>
                          <w:iCs/>
                          <w:sz w:val="28"/>
                          <w:szCs w:val="28"/>
                        </w:rPr>
                        <w:t xml:space="preserve">report, </w:t>
                      </w:r>
                      <w:r w:rsidR="00422417">
                        <w:rPr>
                          <w:b/>
                          <w:iCs/>
                          <w:sz w:val="28"/>
                          <w:szCs w:val="28"/>
                        </w:rPr>
                        <w:t xml:space="preserve">welcome Angola’s acceptance of the 2014 UPR recommendations to prohibit all corporal punishment and </w:t>
                      </w:r>
                      <w:r w:rsidRPr="009D77EF">
                        <w:rPr>
                          <w:b/>
                          <w:sz w:val="28"/>
                          <w:szCs w:val="28"/>
                        </w:rPr>
                        <w:t>recommend that</w:t>
                      </w:r>
                      <w:r>
                        <w:rPr>
                          <w:b/>
                          <w:sz w:val="28"/>
                          <w:szCs w:val="28"/>
                        </w:rPr>
                        <w:t xml:space="preserve"> </w:t>
                      </w:r>
                      <w:r w:rsidR="00422417">
                        <w:rPr>
                          <w:b/>
                          <w:sz w:val="28"/>
                          <w:szCs w:val="28"/>
                        </w:rPr>
                        <w:t>this commitment – and therefore also Angola’s obligations under the ICESCR – be fulfilled by enacting legislation which includes clear prohibition</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146FF298" w:rsidR="005A7A97" w:rsidRDefault="00B9701A" w:rsidP="00045E2E">
      <w:pPr>
        <w:spacing w:after="120"/>
        <w:ind w:left="482" w:hanging="482"/>
        <w:rPr>
          <w:b/>
          <w:sz w:val="28"/>
          <w:szCs w:val="28"/>
        </w:rPr>
      </w:pPr>
      <w:r>
        <w:rPr>
          <w:b/>
          <w:sz w:val="28"/>
          <w:szCs w:val="28"/>
        </w:rPr>
        <w:t xml:space="preserve">1 </w:t>
      </w:r>
      <w:r w:rsidR="00422417">
        <w:rPr>
          <w:b/>
          <w:sz w:val="28"/>
          <w:szCs w:val="28"/>
        </w:rPr>
        <w:t>Angola’s</w:t>
      </w:r>
      <w:r w:rsidR="005A7A97">
        <w:rPr>
          <w:b/>
          <w:sz w:val="28"/>
          <w:szCs w:val="28"/>
        </w:rPr>
        <w:t xml:space="preserve">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1A59BFB6" w14:textId="31F1B2E6" w:rsidR="00664DF4" w:rsidRDefault="00422417" w:rsidP="00422417">
      <w:pPr>
        <w:pStyle w:val="ListParagraph"/>
        <w:numPr>
          <w:ilvl w:val="1"/>
          <w:numId w:val="13"/>
        </w:numPr>
        <w:spacing w:after="120"/>
        <w:ind w:left="482" w:hanging="482"/>
        <w:contextualSpacing w:val="0"/>
      </w:pPr>
      <w:r>
        <w:t>Angola’s fourth/fifth</w:t>
      </w:r>
      <w:r w:rsidR="00A66152">
        <w:t xml:space="preserve"> </w:t>
      </w:r>
      <w:r w:rsidR="007509F7">
        <w:t xml:space="preserve">report to the Committee </w:t>
      </w:r>
      <w:r>
        <w:t>includes extensive information regarding efforts to combat domestic violence and particularly violence against children, including implementation of the Law on Domestic Violence, the adoption of a Strategy for Preventing and Combating Violence against Children, and the development of Networks of Protection and Promotion of the Rights of the Child.</w:t>
      </w:r>
      <w:r>
        <w:rPr>
          <w:rStyle w:val="FootnoteReference"/>
        </w:rPr>
        <w:footnoteReference w:id="1"/>
      </w:r>
      <w:r w:rsidR="007509F7">
        <w:t xml:space="preserve"> However, it makes no reference to </w:t>
      </w:r>
      <w:r>
        <w:t xml:space="preserve">corporal punishment and fails to acknowledge that children do not yet have full legal protection from this kind of </w:t>
      </w:r>
      <w:r w:rsidR="007509F7">
        <w:t>violence in the home</w:t>
      </w:r>
      <w:r>
        <w:t xml:space="preserve"> and </w:t>
      </w:r>
      <w:r w:rsidR="00B81531">
        <w:t>other settings</w:t>
      </w:r>
      <w:r w:rsidR="00E84529">
        <w:t>; neither does it report its acceptance in 2014 of UPR recommendations to prohibit all corporal punishment.</w:t>
      </w:r>
    </w:p>
    <w:p w14:paraId="6FD92DFE" w14:textId="1BBA07C8" w:rsidR="007509F7" w:rsidRPr="00422417" w:rsidRDefault="007509F7" w:rsidP="00045E2E">
      <w:pPr>
        <w:pStyle w:val="ListParagraph"/>
        <w:numPr>
          <w:ilvl w:val="1"/>
          <w:numId w:val="13"/>
        </w:numPr>
        <w:spacing w:after="120"/>
        <w:ind w:left="482" w:hanging="482"/>
        <w:contextualSpacing w:val="0"/>
      </w:pPr>
      <w:r w:rsidRPr="00422417">
        <w:t xml:space="preserve">We hope the Committee will raise this issue in its examination of </w:t>
      </w:r>
      <w:r w:rsidR="00422417" w:rsidRPr="00422417">
        <w:t>Angola’s</w:t>
      </w:r>
      <w:r w:rsidRPr="00422417">
        <w:t xml:space="preserve"> report, emphasising that no home can be violence-free when the law fails to protect children from all forms of </w:t>
      </w:r>
      <w:r w:rsidR="00B81531" w:rsidRPr="00422417">
        <w:t>violent</w:t>
      </w:r>
      <w:r w:rsidRPr="00422417">
        <w:t xml:space="preserve"> punishment. </w:t>
      </w:r>
      <w:r w:rsidRPr="00422417">
        <w:rPr>
          <w:b/>
        </w:rPr>
        <w:t xml:space="preserve">We hope the Committee will </w:t>
      </w:r>
      <w:r w:rsidR="00422417" w:rsidRPr="00422417">
        <w:rPr>
          <w:b/>
        </w:rPr>
        <w:t xml:space="preserve">welcome </w:t>
      </w:r>
      <w:r w:rsidR="00422417" w:rsidRPr="00422417">
        <w:rPr>
          <w:b/>
          <w:iCs/>
        </w:rPr>
        <w:t xml:space="preserve">Angola’s acceptance of the 2014 UPR recommendations to prohibit all corporal punishment and </w:t>
      </w:r>
      <w:r w:rsidR="00422417" w:rsidRPr="00422417">
        <w:rPr>
          <w:b/>
        </w:rPr>
        <w:t xml:space="preserve">recommend that this </w:t>
      </w:r>
      <w:r w:rsidR="00422417" w:rsidRPr="00422417">
        <w:rPr>
          <w:b/>
        </w:rPr>
        <w:lastRenderedPageBreak/>
        <w:t>commitment – and therefore also Angola’s obligations under the ICESCR – be fulfilled by enacting legislation which includes clear prohibition</w:t>
      </w:r>
      <w:r w:rsidR="00422417" w:rsidRPr="00422417">
        <w:t>.</w:t>
      </w:r>
    </w:p>
    <w:p w14:paraId="43C35B10" w14:textId="77777777" w:rsidR="005A7A97" w:rsidRPr="00F318C2" w:rsidRDefault="005A7A97" w:rsidP="00045E2E">
      <w:pPr>
        <w:spacing w:after="120"/>
        <w:ind w:left="482" w:hanging="482"/>
      </w:pPr>
    </w:p>
    <w:p w14:paraId="001C6B0F" w14:textId="2E8B0ECB" w:rsidR="008B273F" w:rsidRPr="00F01BFF" w:rsidRDefault="008B273F" w:rsidP="00045E2E">
      <w:pPr>
        <w:spacing w:after="120"/>
        <w:ind w:left="482" w:hanging="482"/>
        <w:rPr>
          <w:sz w:val="28"/>
          <w:szCs w:val="28"/>
        </w:rPr>
      </w:pPr>
      <w:r>
        <w:rPr>
          <w:b/>
          <w:sz w:val="28"/>
          <w:szCs w:val="28"/>
        </w:rPr>
        <w:t>2 The legality</w:t>
      </w:r>
      <w:r w:rsidR="00BA18B9">
        <w:rPr>
          <w:b/>
          <w:sz w:val="28"/>
          <w:szCs w:val="28"/>
        </w:rPr>
        <w:t xml:space="preserve"> </w:t>
      </w:r>
      <w:r>
        <w:rPr>
          <w:b/>
          <w:sz w:val="28"/>
          <w:szCs w:val="28"/>
        </w:rPr>
        <w:t>of c</w:t>
      </w:r>
      <w:r w:rsidRPr="00F01BFF">
        <w:rPr>
          <w:b/>
          <w:sz w:val="28"/>
          <w:szCs w:val="28"/>
        </w:rPr>
        <w:t xml:space="preserve">orporal punishment of children in </w:t>
      </w:r>
      <w:r w:rsidR="00422417">
        <w:rPr>
          <w:b/>
          <w:sz w:val="28"/>
          <w:szCs w:val="28"/>
        </w:rPr>
        <w:t>Angola</w:t>
      </w:r>
    </w:p>
    <w:p w14:paraId="53604CE3" w14:textId="541B6D96" w:rsidR="00897146" w:rsidRPr="00D97D2B" w:rsidRDefault="00897146" w:rsidP="00D97D2B">
      <w:pPr>
        <w:spacing w:after="120"/>
        <w:ind w:left="482" w:hanging="482"/>
      </w:pPr>
      <w:r w:rsidRPr="00D97D2B">
        <w:t xml:space="preserve">2.1 </w:t>
      </w:r>
      <w:r w:rsidRPr="00D97D2B">
        <w:rPr>
          <w:b/>
          <w:i/>
        </w:rPr>
        <w:t>Summary:</w:t>
      </w:r>
      <w:r w:rsidRPr="00D97D2B">
        <w:t xml:space="preserve"> In </w:t>
      </w:r>
      <w:r w:rsidR="00E84529" w:rsidRPr="00D97D2B">
        <w:t>Angola</w:t>
      </w:r>
      <w:r w:rsidRPr="00D97D2B">
        <w:t xml:space="preserve">, corporal punishment is unlawful </w:t>
      </w:r>
      <w:r w:rsidR="00A66152" w:rsidRPr="00D97D2B">
        <w:t xml:space="preserve">as a sentence for crime </w:t>
      </w:r>
      <w:r w:rsidR="00E84529" w:rsidRPr="00D97D2B">
        <w:t>but it is not clearly prohibited by law in the home, alternative care settings, day care, schools or penal institutions. The Government in 2014 accepted recommendations to prohibit all corporal punishment made during the UPR of Angola. The current revision of the Penal and Family Codes provide immediate opportunities to achieve the necessary reform.</w:t>
      </w:r>
    </w:p>
    <w:p w14:paraId="31EC63EF" w14:textId="20690284" w:rsidR="004C69A8" w:rsidRPr="00D97D2B" w:rsidRDefault="00897146" w:rsidP="00D97D2B">
      <w:pPr>
        <w:pStyle w:val="PlainText"/>
        <w:spacing w:after="120"/>
        <w:ind w:left="482" w:hanging="482"/>
        <w:rPr>
          <w:rFonts w:ascii="Times New Roman" w:hAnsi="Times New Roman"/>
          <w:sz w:val="24"/>
          <w:szCs w:val="24"/>
        </w:rPr>
      </w:pPr>
      <w:r w:rsidRPr="00D97D2B">
        <w:rPr>
          <w:rFonts w:ascii="Times New Roman" w:hAnsi="Times New Roman"/>
          <w:sz w:val="24"/>
          <w:szCs w:val="24"/>
        </w:rPr>
        <w:t xml:space="preserve">2.2 </w:t>
      </w:r>
      <w:r w:rsidRPr="00D97D2B">
        <w:rPr>
          <w:rFonts w:ascii="Times New Roman" w:hAnsi="Times New Roman"/>
          <w:b/>
          <w:i/>
          <w:sz w:val="24"/>
          <w:szCs w:val="24"/>
        </w:rPr>
        <w:t>Home (</w:t>
      </w:r>
      <w:r w:rsidRPr="00D97D2B">
        <w:rPr>
          <w:rFonts w:ascii="Times New Roman" w:hAnsi="Times New Roman"/>
          <w:b/>
          <w:i/>
          <w:sz w:val="24"/>
          <w:szCs w:val="24"/>
          <w:u w:val="single"/>
        </w:rPr>
        <w:t>lawful</w:t>
      </w:r>
      <w:r w:rsidRPr="00D97D2B">
        <w:rPr>
          <w:rFonts w:ascii="Times New Roman" w:hAnsi="Times New Roman"/>
          <w:b/>
          <w:i/>
          <w:sz w:val="24"/>
          <w:szCs w:val="24"/>
        </w:rPr>
        <w:t>):</w:t>
      </w:r>
      <w:r w:rsidRPr="00D97D2B">
        <w:rPr>
          <w:rFonts w:ascii="Times New Roman" w:hAnsi="Times New Roman"/>
          <w:i/>
          <w:sz w:val="24"/>
          <w:szCs w:val="24"/>
        </w:rPr>
        <w:t xml:space="preserve"> </w:t>
      </w:r>
      <w:r w:rsidR="004C69A8" w:rsidRPr="00D97D2B">
        <w:rPr>
          <w:rFonts w:ascii="Times New Roman" w:hAnsi="Times New Roman"/>
          <w:sz w:val="24"/>
          <w:szCs w:val="24"/>
        </w:rPr>
        <w:t>A number of new laws have been enacted but they do not prohibit all corporal punishment of children. The Child Law 2012</w:t>
      </w:r>
      <w:r w:rsidR="004C69A8" w:rsidRPr="00D97D2B">
        <w:rPr>
          <w:rStyle w:val="FootnoteReference"/>
          <w:rFonts w:ascii="Times New Roman" w:hAnsi="Times New Roman"/>
          <w:sz w:val="24"/>
          <w:szCs w:val="24"/>
        </w:rPr>
        <w:footnoteReference w:id="2"/>
      </w:r>
      <w:r w:rsidR="004C69A8" w:rsidRPr="00D97D2B">
        <w:rPr>
          <w:rFonts w:ascii="Times New Roman" w:hAnsi="Times New Roman"/>
          <w:sz w:val="24"/>
          <w:szCs w:val="24"/>
        </w:rPr>
        <w:t xml:space="preserve"> states that the child “shall not be treated in any negligent, discriminatory, violent or cruel manner” (art. 7), that all citizens have a duty “to safeguard the dignity of the child thus protecting them from any such inhuman, cruel, violent, exploiting, humiliating, compromising or discriminatory treatment or other forms of treatment against the dignity and physical integrity of the child” (art. 8) and that “in safeguarding the right to respect of dignity and physical, mental or moral integrity of the child, he or she has the right to be guided and to be disciplined in accordance with his or her age, and his or her physical and mental condition. No corrective measure applied to the child can be justified if by virtue of his or her tender age or any other reason the child is unable to understand the purpose intended by the measure” (art. 10). The Law does not prohibit all corporal punishment in the home or in any other setting.</w:t>
      </w:r>
    </w:p>
    <w:p w14:paraId="54C295F9" w14:textId="54A361AC" w:rsidR="004C69A8" w:rsidRPr="00D97D2B" w:rsidRDefault="00295CC3" w:rsidP="00D97D2B">
      <w:pPr>
        <w:pStyle w:val="PlainText"/>
        <w:spacing w:after="120"/>
        <w:ind w:left="482" w:hanging="482"/>
        <w:rPr>
          <w:rFonts w:ascii="Times New Roman" w:hAnsi="Times New Roman"/>
          <w:sz w:val="24"/>
          <w:szCs w:val="24"/>
        </w:rPr>
      </w:pPr>
      <w:r>
        <w:rPr>
          <w:rFonts w:ascii="Times New Roman" w:hAnsi="Times New Roman"/>
          <w:sz w:val="24"/>
          <w:szCs w:val="24"/>
        </w:rPr>
        <w:t xml:space="preserve">2.3 </w:t>
      </w:r>
      <w:r w:rsidR="004C69A8" w:rsidRPr="00D97D2B">
        <w:rPr>
          <w:rFonts w:ascii="Times New Roman" w:hAnsi="Times New Roman"/>
          <w:sz w:val="24"/>
          <w:szCs w:val="24"/>
        </w:rPr>
        <w:t>The Domestic Violence Act 2010 applies to relationships within the family and to “others based on reasons of proximity, affection, education and natural relations, especially a) in kindergarten, b) in nursing homes, c) in hospitals, d) in schools, e) in female or male boarding homes and f) in similar community or social spaces” (unofficial translation). Article 3 defines domestic violence as “any act or omission that causes injury or deformity and temporary or permanent psychological damage” and physical violence as “all conduct which offends bodily integrity or health”. This makes corporal punishment of some severity unlawful but does not effectively prohibit all forms of corporal punishment, without exception, in childrearing and education. The Family Code provisions on parental duties and rights do not prohibit all corporal punishment in childrearing.</w:t>
      </w:r>
    </w:p>
    <w:p w14:paraId="48005C9B" w14:textId="1AE6F288" w:rsidR="004C69A8" w:rsidRPr="00D97D2B" w:rsidRDefault="00295CC3" w:rsidP="00D97D2B">
      <w:pPr>
        <w:pStyle w:val="PlainText"/>
        <w:spacing w:after="120"/>
        <w:ind w:left="482" w:hanging="482"/>
        <w:rPr>
          <w:rFonts w:ascii="Times New Roman" w:hAnsi="Times New Roman"/>
          <w:sz w:val="24"/>
          <w:szCs w:val="24"/>
          <w:lang w:eastAsia="en-GB"/>
        </w:rPr>
      </w:pPr>
      <w:r>
        <w:rPr>
          <w:rFonts w:ascii="Times New Roman" w:hAnsi="Times New Roman"/>
          <w:sz w:val="24"/>
          <w:szCs w:val="24"/>
        </w:rPr>
        <w:t xml:space="preserve">2.4 </w:t>
      </w:r>
      <w:r w:rsidR="004C69A8" w:rsidRPr="00D97D2B">
        <w:rPr>
          <w:rFonts w:ascii="Times New Roman" w:hAnsi="Times New Roman"/>
          <w:sz w:val="24"/>
          <w:szCs w:val="24"/>
        </w:rPr>
        <w:t>Article 36 of the Constitution 2010 protects the right of everyone “not to be subjected to any form of violence by public or private entities”, “not to be tortured or treated or punished in a cruel, inhumane or degrading manner” and “to fully enjoy physical and mental integrity”; article 60 reiterates that “no one shall be subjected to torture, forced labour or cruel, degrading or inhuman treatment”. However, there is no explicit confirmation of children’s right not to be subjected to corporal punishment in any form: article 80 on Childhood confirms only protection from “abuse of authority”.</w:t>
      </w:r>
    </w:p>
    <w:p w14:paraId="50ED7668" w14:textId="28F3063A" w:rsidR="004C69A8" w:rsidRPr="00D97D2B" w:rsidRDefault="00295CC3" w:rsidP="00D97D2B">
      <w:pPr>
        <w:pStyle w:val="PlainText"/>
        <w:spacing w:after="120"/>
        <w:ind w:left="482" w:hanging="482"/>
        <w:rPr>
          <w:rFonts w:ascii="Times New Roman" w:hAnsi="Times New Roman"/>
          <w:sz w:val="24"/>
          <w:szCs w:val="24"/>
          <w:lang w:eastAsia="en-GB"/>
        </w:rPr>
      </w:pPr>
      <w:r>
        <w:rPr>
          <w:rFonts w:ascii="Times New Roman" w:hAnsi="Times New Roman"/>
          <w:sz w:val="24"/>
          <w:szCs w:val="24"/>
          <w:lang w:eastAsia="en-GB"/>
        </w:rPr>
        <w:t xml:space="preserve">2.5 </w:t>
      </w:r>
      <w:r w:rsidR="004C69A8" w:rsidRPr="00D97D2B">
        <w:rPr>
          <w:rFonts w:ascii="Times New Roman" w:hAnsi="Times New Roman"/>
          <w:sz w:val="24"/>
          <w:szCs w:val="24"/>
          <w:lang w:eastAsia="en-GB"/>
        </w:rPr>
        <w:t>The Penal Code punishes habitual cruelty against children but does not prohibit all corporal punishment (art. 157). The Code is being revised: an early draft of the new Code punished violence and cruel treatment of children but did not include prohibition of all corporal punishment in the home or any other setting. The Family Code is also being revised: we do not know if prohibition has been proposed in this context.</w:t>
      </w:r>
    </w:p>
    <w:p w14:paraId="6657D7E0" w14:textId="158BF11C" w:rsidR="004C69A8" w:rsidRPr="00D97D2B" w:rsidRDefault="00897146" w:rsidP="00D97D2B">
      <w:pPr>
        <w:spacing w:after="120"/>
        <w:ind w:left="482" w:hanging="482"/>
      </w:pPr>
      <w:r w:rsidRPr="00D97D2B">
        <w:t>2.</w:t>
      </w:r>
      <w:r w:rsidR="00295CC3">
        <w:t>6</w:t>
      </w:r>
      <w:r w:rsidRPr="00D97D2B">
        <w:t xml:space="preserve"> </w:t>
      </w:r>
      <w:r w:rsidRPr="00D97D2B">
        <w:rPr>
          <w:b/>
          <w:i/>
        </w:rPr>
        <w:t>Alternative care settings (</w:t>
      </w:r>
      <w:r w:rsidRPr="00D97D2B">
        <w:rPr>
          <w:b/>
          <w:i/>
          <w:u w:val="single"/>
        </w:rPr>
        <w:t>lawful</w:t>
      </w:r>
      <w:r w:rsidRPr="00D97D2B">
        <w:rPr>
          <w:b/>
          <w:i/>
        </w:rPr>
        <w:t>):</w:t>
      </w:r>
      <w:r w:rsidRPr="00D97D2B">
        <w:rPr>
          <w:i/>
        </w:rPr>
        <w:t xml:space="preserve"> </w:t>
      </w:r>
      <w:r w:rsidR="004C69A8" w:rsidRPr="00D97D2B">
        <w:t xml:space="preserve">Corporal punishment of some severity is unlawful under the Domestic Violence Act 2010 and limited protection is given by the Child Law 2012 (see </w:t>
      </w:r>
      <w:r w:rsidR="00295CC3">
        <w:t>above</w:t>
      </w:r>
      <w:r w:rsidR="004C69A8" w:rsidRPr="00D97D2B">
        <w:t xml:space="preserve">) but there is no explicit prohibition of all such punishment, however </w:t>
      </w:r>
      <w:r w:rsidR="00295CC3">
        <w:t>“</w:t>
      </w:r>
      <w:r w:rsidR="004C69A8" w:rsidRPr="00D97D2B">
        <w:t>light</w:t>
      </w:r>
      <w:r w:rsidR="00295CC3">
        <w:t>”</w:t>
      </w:r>
      <w:r w:rsidR="004C69A8" w:rsidRPr="00D97D2B">
        <w:t>.</w:t>
      </w:r>
    </w:p>
    <w:p w14:paraId="189D8EE5" w14:textId="24270A8E" w:rsidR="00A66152" w:rsidRPr="00D97D2B" w:rsidRDefault="00897146" w:rsidP="00D97D2B">
      <w:pPr>
        <w:spacing w:after="120"/>
        <w:ind w:left="482" w:hanging="482"/>
      </w:pPr>
      <w:r w:rsidRPr="00D97D2B">
        <w:lastRenderedPageBreak/>
        <w:t>2.</w:t>
      </w:r>
      <w:r w:rsidR="00295CC3">
        <w:t>7</w:t>
      </w:r>
      <w:r w:rsidRPr="00D97D2B">
        <w:t xml:space="preserve"> </w:t>
      </w:r>
      <w:r w:rsidRPr="00D97D2B">
        <w:rPr>
          <w:b/>
          <w:i/>
        </w:rPr>
        <w:t>Day care (</w:t>
      </w:r>
      <w:r w:rsidRPr="00D97D2B">
        <w:rPr>
          <w:b/>
          <w:i/>
          <w:u w:val="single"/>
        </w:rPr>
        <w:t>lawful</w:t>
      </w:r>
      <w:r w:rsidRPr="00D97D2B">
        <w:rPr>
          <w:b/>
          <w:i/>
        </w:rPr>
        <w:t>):</w:t>
      </w:r>
      <w:r w:rsidRPr="00D97D2B">
        <w:rPr>
          <w:i/>
        </w:rPr>
        <w:t xml:space="preserve"> </w:t>
      </w:r>
      <w:r w:rsidR="004C69A8" w:rsidRPr="00D97D2B">
        <w:t>Corporal punishment of some severity is unlawful under the Domestic Violence Act 2010 and limited protection is given by the Child Law 2012 but there is no explicit prohibition of all such punishmen</w:t>
      </w:r>
      <w:r w:rsidR="00295CC3">
        <w:t>t</w:t>
      </w:r>
      <w:r w:rsidR="004C69A8" w:rsidRPr="00D97D2B">
        <w:t>.</w:t>
      </w:r>
    </w:p>
    <w:p w14:paraId="28F86D92" w14:textId="352D067B" w:rsidR="004C69A8" w:rsidRPr="00D97D2B" w:rsidRDefault="00897146" w:rsidP="00D97D2B">
      <w:pPr>
        <w:spacing w:after="120"/>
        <w:ind w:left="482" w:hanging="482"/>
      </w:pPr>
      <w:r w:rsidRPr="00D97D2B">
        <w:t>2.</w:t>
      </w:r>
      <w:r w:rsidR="00295CC3">
        <w:t>8</w:t>
      </w:r>
      <w:r w:rsidRPr="00D97D2B">
        <w:t xml:space="preserve"> </w:t>
      </w:r>
      <w:r w:rsidRPr="00D97D2B">
        <w:rPr>
          <w:b/>
          <w:i/>
        </w:rPr>
        <w:t>Schools (</w:t>
      </w:r>
      <w:r w:rsidRPr="00D97D2B">
        <w:rPr>
          <w:b/>
          <w:i/>
          <w:u w:val="single"/>
        </w:rPr>
        <w:t>lawful</w:t>
      </w:r>
      <w:r w:rsidRPr="00D97D2B">
        <w:rPr>
          <w:b/>
          <w:i/>
        </w:rPr>
        <w:t>):</w:t>
      </w:r>
      <w:r w:rsidRPr="00D97D2B">
        <w:rPr>
          <w:i/>
        </w:rPr>
        <w:t xml:space="preserve"> </w:t>
      </w:r>
      <w:r w:rsidR="004C69A8" w:rsidRPr="00D97D2B">
        <w:t>Corporal punishment of some severity is possibly unlawful under the Domestic Violence Act 2010 and limited protection is given by the Child Law 2012 but there is no explicit prohibition. The Education Law 2001 appears to be silent on the issue (unconfirmed).</w:t>
      </w:r>
    </w:p>
    <w:p w14:paraId="3242C9CC" w14:textId="10E4B0A4" w:rsidR="00B81531" w:rsidRPr="00D97D2B" w:rsidRDefault="00897146" w:rsidP="00D97D2B">
      <w:pPr>
        <w:spacing w:after="120"/>
        <w:ind w:left="482" w:hanging="482"/>
      </w:pPr>
      <w:r w:rsidRPr="00D97D2B">
        <w:t>2.</w:t>
      </w:r>
      <w:r w:rsidR="00295CC3">
        <w:t>9</w:t>
      </w:r>
      <w:r w:rsidRPr="00D97D2B">
        <w:t xml:space="preserve"> </w:t>
      </w:r>
      <w:r w:rsidRPr="00D97D2B">
        <w:rPr>
          <w:b/>
          <w:i/>
        </w:rPr>
        <w:t>Penal institutions (</w:t>
      </w:r>
      <w:r w:rsidRPr="00D97D2B">
        <w:rPr>
          <w:b/>
          <w:i/>
          <w:u w:val="single"/>
        </w:rPr>
        <w:t>lawful</w:t>
      </w:r>
      <w:r w:rsidRPr="00D97D2B">
        <w:rPr>
          <w:b/>
          <w:i/>
        </w:rPr>
        <w:t>):</w:t>
      </w:r>
      <w:r w:rsidRPr="00D97D2B">
        <w:rPr>
          <w:i/>
        </w:rPr>
        <w:t xml:space="preserve"> </w:t>
      </w:r>
      <w:r w:rsidR="00A66152" w:rsidRPr="00D97D2B">
        <w:t>There is no explicit prohibition of corporal punishment.</w:t>
      </w:r>
    </w:p>
    <w:p w14:paraId="304AB576" w14:textId="6ABE78F4" w:rsidR="00A66152" w:rsidRPr="00D97D2B" w:rsidRDefault="00897146" w:rsidP="00D97D2B">
      <w:pPr>
        <w:spacing w:after="120"/>
        <w:ind w:left="482" w:hanging="482"/>
      </w:pPr>
      <w:r w:rsidRPr="00D97D2B">
        <w:t>2.</w:t>
      </w:r>
      <w:r w:rsidR="00295CC3">
        <w:t>10</w:t>
      </w:r>
      <w:r w:rsidRPr="00D97D2B">
        <w:t xml:space="preserve"> </w:t>
      </w:r>
      <w:r w:rsidRPr="00D97D2B">
        <w:rPr>
          <w:b/>
          <w:i/>
        </w:rPr>
        <w:t>Sentence for crime (</w:t>
      </w:r>
      <w:r w:rsidRPr="00D97D2B">
        <w:rPr>
          <w:b/>
          <w:i/>
          <w:u w:val="single"/>
        </w:rPr>
        <w:t>unlawful</w:t>
      </w:r>
      <w:r w:rsidR="00B81531" w:rsidRPr="00D97D2B">
        <w:rPr>
          <w:b/>
          <w:i/>
        </w:rPr>
        <w:t>)</w:t>
      </w:r>
      <w:r w:rsidR="00387891" w:rsidRPr="00D97D2B">
        <w:rPr>
          <w:b/>
          <w:i/>
        </w:rPr>
        <w:t>:</w:t>
      </w:r>
      <w:r w:rsidR="00A66152" w:rsidRPr="00D97D2B">
        <w:t xml:space="preserve"> There is no provision for judicial corporal punishment in </w:t>
      </w:r>
      <w:r w:rsidR="004C69A8" w:rsidRPr="00D97D2B">
        <w:t>criminal law.</w:t>
      </w:r>
    </w:p>
    <w:p w14:paraId="419B8B85" w14:textId="77777777" w:rsidR="00134293" w:rsidRPr="00D97D2B" w:rsidRDefault="00134293" w:rsidP="00D97D2B">
      <w:pPr>
        <w:spacing w:after="120"/>
        <w:ind w:left="482" w:hanging="482"/>
        <w:rPr>
          <w:b/>
          <w:u w:val="single"/>
        </w:rPr>
      </w:pPr>
    </w:p>
    <w:p w14:paraId="241693E4" w14:textId="3FD7FA5E" w:rsidR="00C27C06" w:rsidRPr="00B902F0" w:rsidRDefault="00B81531" w:rsidP="00045E2E">
      <w:pPr>
        <w:spacing w:after="120"/>
        <w:ind w:left="482" w:hanging="482"/>
        <w:rPr>
          <w:b/>
          <w:sz w:val="28"/>
          <w:szCs w:val="28"/>
        </w:rPr>
      </w:pPr>
      <w:r>
        <w:rPr>
          <w:b/>
          <w:sz w:val="28"/>
          <w:szCs w:val="28"/>
        </w:rPr>
        <w:t>3</w:t>
      </w:r>
      <w:r w:rsidR="00C27C06">
        <w:rPr>
          <w:b/>
          <w:sz w:val="28"/>
          <w:szCs w:val="28"/>
        </w:rPr>
        <w:t xml:space="preserve"> </w:t>
      </w:r>
      <w:r w:rsidR="00C27C06" w:rsidRPr="00B902F0">
        <w:rPr>
          <w:b/>
          <w:sz w:val="28"/>
          <w:szCs w:val="28"/>
        </w:rPr>
        <w:t>Recommendations by human rights treaty bodies</w:t>
      </w:r>
      <w:r w:rsidR="004C69A8">
        <w:rPr>
          <w:b/>
          <w:sz w:val="28"/>
          <w:szCs w:val="28"/>
        </w:rPr>
        <w:t xml:space="preserve"> and during the UPR</w:t>
      </w:r>
    </w:p>
    <w:p w14:paraId="2E0AA6DF" w14:textId="38BE9B8E" w:rsidR="00AD4701" w:rsidRPr="008C384F" w:rsidRDefault="00B81531" w:rsidP="00D97D2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w:t>
      </w:r>
      <w:r w:rsidR="00AD4701" w:rsidRPr="008C384F">
        <w:rPr>
          <w:szCs w:val="26"/>
        </w:rPr>
        <w:t>.</w:t>
      </w:r>
      <w:r w:rsidR="00AD4701">
        <w:rPr>
          <w:szCs w:val="26"/>
        </w:rPr>
        <w:t>1</w:t>
      </w:r>
      <w:r w:rsidR="00AD4701" w:rsidRPr="008C384F">
        <w:rPr>
          <w:szCs w:val="26"/>
        </w:rPr>
        <w:t xml:space="preserve"> </w:t>
      </w:r>
      <w:r w:rsidR="00AD4701" w:rsidRPr="008C384F">
        <w:rPr>
          <w:b/>
          <w:i/>
          <w:szCs w:val="26"/>
        </w:rPr>
        <w:t>CRC:</w:t>
      </w:r>
      <w:r w:rsidR="00AD4701" w:rsidRPr="008C384F">
        <w:rPr>
          <w:szCs w:val="26"/>
        </w:rPr>
        <w:t xml:space="preserve"> </w:t>
      </w:r>
      <w:r w:rsidR="00AD4701" w:rsidRPr="008C384F">
        <w:rPr>
          <w:bCs/>
          <w:szCs w:val="26"/>
        </w:rPr>
        <w:t xml:space="preserve">The Committee on the Rights of the Child has </w:t>
      </w:r>
      <w:r w:rsidR="00A66152">
        <w:rPr>
          <w:bCs/>
          <w:szCs w:val="26"/>
        </w:rPr>
        <w:t>twice</w:t>
      </w:r>
      <w:r w:rsidR="00AD4701" w:rsidRPr="008C384F">
        <w:rPr>
          <w:bCs/>
          <w:szCs w:val="26"/>
        </w:rPr>
        <w:t xml:space="preserve"> recommended </w:t>
      </w:r>
      <w:r>
        <w:rPr>
          <w:bCs/>
          <w:szCs w:val="26"/>
        </w:rPr>
        <w:t xml:space="preserve">to </w:t>
      </w:r>
      <w:r w:rsidR="00D97D2B">
        <w:rPr>
          <w:bCs/>
          <w:szCs w:val="26"/>
        </w:rPr>
        <w:t>Angola</w:t>
      </w:r>
      <w:r>
        <w:rPr>
          <w:bCs/>
          <w:szCs w:val="26"/>
        </w:rPr>
        <w:t xml:space="preserve"> </w:t>
      </w:r>
      <w:r w:rsidR="00AD4701" w:rsidRPr="008C384F">
        <w:rPr>
          <w:bCs/>
          <w:szCs w:val="26"/>
        </w:rPr>
        <w:t xml:space="preserve">that legislation be enacted to explicitly prohibit corporal punishment in all settings, including the </w:t>
      </w:r>
      <w:r w:rsidR="00AD4701">
        <w:rPr>
          <w:bCs/>
          <w:szCs w:val="26"/>
        </w:rPr>
        <w:t>home</w:t>
      </w:r>
      <w:r w:rsidR="00AD4701" w:rsidRPr="008C384F">
        <w:rPr>
          <w:bCs/>
          <w:szCs w:val="26"/>
        </w:rPr>
        <w:t xml:space="preserve"> – in its concluding observations on the state party’s initial report in </w:t>
      </w:r>
      <w:r w:rsidR="00A66152">
        <w:rPr>
          <w:bCs/>
          <w:szCs w:val="26"/>
        </w:rPr>
        <w:t>200</w:t>
      </w:r>
      <w:r w:rsidR="00D97D2B">
        <w:rPr>
          <w:bCs/>
          <w:szCs w:val="26"/>
        </w:rPr>
        <w:t>4</w:t>
      </w:r>
      <w:r w:rsidR="00D97D2B">
        <w:rPr>
          <w:rStyle w:val="FootnoteReference"/>
          <w:bCs/>
          <w:szCs w:val="26"/>
        </w:rPr>
        <w:footnoteReference w:id="3"/>
      </w:r>
      <w:r w:rsidR="00A66152">
        <w:rPr>
          <w:bCs/>
          <w:szCs w:val="26"/>
        </w:rPr>
        <w:t xml:space="preserve"> and</w:t>
      </w:r>
      <w:r w:rsidR="00AD4701">
        <w:rPr>
          <w:bCs/>
          <w:szCs w:val="26"/>
        </w:rPr>
        <w:t xml:space="preserve"> on the second</w:t>
      </w:r>
      <w:r w:rsidR="00D97D2B">
        <w:rPr>
          <w:bCs/>
          <w:szCs w:val="26"/>
        </w:rPr>
        <w:t>-fourth</w:t>
      </w:r>
      <w:r w:rsidR="00AD4701">
        <w:rPr>
          <w:bCs/>
          <w:szCs w:val="26"/>
        </w:rPr>
        <w:t xml:space="preserve"> report in </w:t>
      </w:r>
      <w:r w:rsidR="00A66152">
        <w:rPr>
          <w:bCs/>
          <w:szCs w:val="26"/>
        </w:rPr>
        <w:t>2010.</w:t>
      </w:r>
      <w:r w:rsidR="00D97D2B">
        <w:rPr>
          <w:rStyle w:val="FootnoteReference"/>
          <w:bCs/>
          <w:szCs w:val="26"/>
        </w:rPr>
        <w:footnoteReference w:id="4"/>
      </w:r>
    </w:p>
    <w:p w14:paraId="4A2B1A8A" w14:textId="2833100B" w:rsidR="004C69A8" w:rsidRPr="003B1042" w:rsidRDefault="00D97D2B" w:rsidP="00D97D2B">
      <w:pPr>
        <w:spacing w:after="120"/>
        <w:ind w:left="482" w:hanging="482"/>
      </w:pPr>
      <w:r>
        <w:rPr>
          <w:szCs w:val="26"/>
        </w:rPr>
        <w:t>3.2</w:t>
      </w:r>
      <w:r w:rsidR="004C69A8">
        <w:rPr>
          <w:szCs w:val="26"/>
        </w:rPr>
        <w:t xml:space="preserve"> </w:t>
      </w:r>
      <w:r w:rsidR="004C69A8">
        <w:rPr>
          <w:b/>
          <w:i/>
          <w:szCs w:val="26"/>
        </w:rPr>
        <w:t>UPR:</w:t>
      </w:r>
      <w:r w:rsidR="004C69A8">
        <w:rPr>
          <w:szCs w:val="26"/>
        </w:rPr>
        <w:t xml:space="preserve"> </w:t>
      </w:r>
      <w:r w:rsidR="004C69A8" w:rsidRPr="00DC1749">
        <w:t xml:space="preserve">Angola was examined in the first cycle of the Universal Periodic Review in 2010 (session 7). No recommendations were made specifically concerning corporal punishment </w:t>
      </w:r>
      <w:r w:rsidR="004C69A8">
        <w:t>but the Government</w:t>
      </w:r>
      <w:r>
        <w:t xml:space="preserve"> accepted recommendations to fulfil its obligations under the CRC, to address violence against children and to harmonise domestic law with international standards.</w:t>
      </w:r>
      <w:r w:rsidR="004C69A8">
        <w:rPr>
          <w:rStyle w:val="FootnoteReference"/>
        </w:rPr>
        <w:footnoteReference w:id="5"/>
      </w:r>
      <w:r>
        <w:t xml:space="preserve"> At the second cycle review in 2014 (session 20), the Government accepted recommendations to prohibit all corporal punishment of children.</w:t>
      </w:r>
      <w:r w:rsidR="004C69A8" w:rsidRPr="003B1042">
        <w:rPr>
          <w:rStyle w:val="FootnoteReference"/>
        </w:rPr>
        <w:footnoteReference w:id="6"/>
      </w:r>
    </w:p>
    <w:p w14:paraId="7337113C" w14:textId="77777777" w:rsidR="00D97D2B" w:rsidRDefault="00D97D2B" w:rsidP="00D97D2B">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lang w:val="en-US"/>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BF715F"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0264F24E" w:rsidR="00C901EC" w:rsidRPr="001C0859" w:rsidRDefault="00D97D2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045E2E">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0F5E8E" w14:textId="77777777" w:rsidR="004E5E64" w:rsidRDefault="004E5E64">
      <w:r>
        <w:separator/>
      </w:r>
    </w:p>
  </w:endnote>
  <w:endnote w:type="continuationSeparator" w:id="0">
    <w:p w14:paraId="3844E4C4" w14:textId="77777777" w:rsidR="004E5E64" w:rsidRDefault="004E5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B81531" w:rsidRDefault="00B81531">
    <w:pPr>
      <w:pStyle w:val="Footer"/>
      <w:jc w:val="center"/>
    </w:pPr>
    <w:r>
      <w:fldChar w:fldCharType="begin"/>
    </w:r>
    <w:r>
      <w:instrText xml:space="preserve"> PAGE   \* MERGEFORMAT </w:instrText>
    </w:r>
    <w:r>
      <w:fldChar w:fldCharType="separate"/>
    </w:r>
    <w:r w:rsidR="00BF715F">
      <w:rPr>
        <w:noProof/>
      </w:rPr>
      <w:t>1</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B81531" w:rsidRDefault="00B815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789993" w14:textId="77777777" w:rsidR="004E5E64" w:rsidRDefault="004E5E64">
      <w:r>
        <w:separator/>
      </w:r>
    </w:p>
  </w:footnote>
  <w:footnote w:type="continuationSeparator" w:id="0">
    <w:p w14:paraId="4D7024C8" w14:textId="77777777" w:rsidR="004E5E64" w:rsidRDefault="004E5E64">
      <w:r>
        <w:continuationSeparator/>
      </w:r>
    </w:p>
  </w:footnote>
  <w:footnote w:id="1">
    <w:p w14:paraId="08842FCC" w14:textId="6EA5EB73" w:rsidR="00422417" w:rsidRPr="00D97D2B" w:rsidRDefault="00422417">
      <w:pPr>
        <w:pStyle w:val="FootnoteText"/>
      </w:pPr>
      <w:r w:rsidRPr="00D97D2B">
        <w:rPr>
          <w:rStyle w:val="FootnoteReference"/>
        </w:rPr>
        <w:footnoteRef/>
      </w:r>
      <w:r w:rsidRPr="00D97D2B">
        <w:t xml:space="preserve"> </w:t>
      </w:r>
      <w:r w:rsidRPr="00D97D2B">
        <w:rPr>
          <w:color w:val="000000"/>
          <w:lang w:val="en-US"/>
        </w:rPr>
        <w:t>3 July 2014, E/C.12/AGO/4-5, Fourth/fifth state party report, paras. 150, 151, 166</w:t>
      </w:r>
    </w:p>
  </w:footnote>
  <w:footnote w:id="2">
    <w:p w14:paraId="128272ED" w14:textId="77777777" w:rsidR="004C69A8" w:rsidRPr="00D97D2B" w:rsidRDefault="004C69A8" w:rsidP="004C69A8">
      <w:pPr>
        <w:pStyle w:val="FootnoteText"/>
      </w:pPr>
      <w:r w:rsidRPr="00D97D2B">
        <w:rPr>
          <w:rStyle w:val="FootnoteReference"/>
        </w:rPr>
        <w:footnoteRef/>
      </w:r>
      <w:r w:rsidRPr="00D97D2B">
        <w:t xml:space="preserve"> Act No. 25/12 of 22 August 2012</w:t>
      </w:r>
    </w:p>
  </w:footnote>
  <w:footnote w:id="3">
    <w:p w14:paraId="03626198" w14:textId="07BF8DA9" w:rsidR="00D97D2B" w:rsidRPr="00D97D2B" w:rsidRDefault="00D97D2B">
      <w:pPr>
        <w:pStyle w:val="FootnoteText"/>
      </w:pPr>
      <w:r w:rsidRPr="00D97D2B">
        <w:rPr>
          <w:rStyle w:val="FootnoteReference"/>
        </w:rPr>
        <w:footnoteRef/>
      </w:r>
      <w:r w:rsidRPr="00D97D2B">
        <w:t xml:space="preserve"> 3 November 2004, CRC/C/15/Add.246, Concluding observations on initial report, paras. 32, 33, 36 and 37</w:t>
      </w:r>
    </w:p>
  </w:footnote>
  <w:footnote w:id="4">
    <w:p w14:paraId="12577B7C" w14:textId="1277819F" w:rsidR="00D97D2B" w:rsidRPr="00D97D2B" w:rsidRDefault="00D97D2B">
      <w:pPr>
        <w:pStyle w:val="FootnoteText"/>
      </w:pPr>
      <w:r w:rsidRPr="00D97D2B">
        <w:rPr>
          <w:rStyle w:val="FootnoteReference"/>
        </w:rPr>
        <w:footnoteRef/>
      </w:r>
      <w:r w:rsidRPr="00D97D2B">
        <w:t xml:space="preserve"> </w:t>
      </w:r>
      <w:r w:rsidRPr="00D97D2B">
        <w:rPr>
          <w:bCs/>
          <w:lang w:eastAsia="es-ES"/>
        </w:rPr>
        <w:t>11 October 2010, CRC/C/AGO/CO/2-4, Concluding observations on second to fourth report, paras. 36 and 37</w:t>
      </w:r>
    </w:p>
  </w:footnote>
  <w:footnote w:id="5">
    <w:p w14:paraId="31C61197" w14:textId="77777777" w:rsidR="004C69A8" w:rsidRPr="00D97D2B" w:rsidRDefault="004C69A8" w:rsidP="004C69A8">
      <w:pPr>
        <w:pStyle w:val="FootnoteText"/>
      </w:pPr>
      <w:r w:rsidRPr="00D97D2B">
        <w:rPr>
          <w:rStyle w:val="FootnoteReference"/>
        </w:rPr>
        <w:footnoteRef/>
      </w:r>
      <w:r w:rsidRPr="00D97D2B">
        <w:t xml:space="preserve"> 24 March 2010, A/HRC/14/11, Report of the working group, paras. 87(26), 87(59), 87(66) and 87(70)</w:t>
      </w:r>
    </w:p>
  </w:footnote>
  <w:footnote w:id="6">
    <w:p w14:paraId="169D9F88" w14:textId="77777777" w:rsidR="004C69A8" w:rsidRPr="00D97D2B" w:rsidRDefault="004C69A8" w:rsidP="004C69A8">
      <w:pPr>
        <w:pStyle w:val="FootnoteText"/>
        <w:rPr>
          <w:lang w:val="en-US"/>
        </w:rPr>
      </w:pPr>
      <w:r w:rsidRPr="00D97D2B">
        <w:rPr>
          <w:rStyle w:val="FootnoteReference"/>
        </w:rPr>
        <w:footnoteRef/>
      </w:r>
      <w:r w:rsidRPr="00D97D2B">
        <w:t xml:space="preserve"> </w:t>
      </w:r>
      <w:r w:rsidRPr="00D97D2B">
        <w:rPr>
          <w:rFonts w:eastAsia="Calibri"/>
          <w:lang w:val="en-US"/>
        </w:rPr>
        <w:t>5 December 2014, A/HRC/28/11, Report of the working group, paras. 134(87) and 134(95)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B81531" w:rsidRDefault="00B815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B81531" w:rsidRDefault="00B815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B81531" w:rsidRDefault="00B815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252C9"/>
    <w:rsid w:val="00232740"/>
    <w:rsid w:val="00237875"/>
    <w:rsid w:val="00242520"/>
    <w:rsid w:val="002638C7"/>
    <w:rsid w:val="00264AF9"/>
    <w:rsid w:val="0026566A"/>
    <w:rsid w:val="00272F68"/>
    <w:rsid w:val="00295CC3"/>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A7C56"/>
    <w:rsid w:val="003B3498"/>
    <w:rsid w:val="003C2A68"/>
    <w:rsid w:val="003C3A5C"/>
    <w:rsid w:val="003C4086"/>
    <w:rsid w:val="003D30A3"/>
    <w:rsid w:val="003E0B57"/>
    <w:rsid w:val="003F1015"/>
    <w:rsid w:val="003F32FA"/>
    <w:rsid w:val="00405B14"/>
    <w:rsid w:val="00414428"/>
    <w:rsid w:val="00422417"/>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C69A8"/>
    <w:rsid w:val="004D0FF8"/>
    <w:rsid w:val="004D4BCC"/>
    <w:rsid w:val="004D68EA"/>
    <w:rsid w:val="004E431B"/>
    <w:rsid w:val="004E4E1B"/>
    <w:rsid w:val="004E5E64"/>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026B"/>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4273"/>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BF715F"/>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97D2B"/>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4529"/>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FF098E-B367-4D08-B50E-3CC14493EDD8}"/>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9ACA0B81-68B9-4E6F-9B86-E04E3664F33C}"/>
</file>

<file path=docProps/app.xml><?xml version="1.0" encoding="utf-8"?>
<Properties xmlns="http://schemas.openxmlformats.org/officeDocument/2006/extended-properties" xmlns:vt="http://schemas.openxmlformats.org/officeDocument/2006/docPropsVTypes">
  <Template>Normal</Template>
  <TotalTime>0</TotalTime>
  <Pages>3</Pages>
  <Words>1067</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7141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CESCR Intern2 OHCHR</cp:lastModifiedBy>
  <cp:revision>2</cp:revision>
  <cp:lastPrinted>2005-01-04T09:45:00Z</cp:lastPrinted>
  <dcterms:created xsi:type="dcterms:W3CDTF">2015-09-11T08:41:00Z</dcterms:created>
  <dcterms:modified xsi:type="dcterms:W3CDTF">2015-09-11T08:41:00Z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