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F8A37" w14:textId="77777777" w:rsidR="00860A3B" w:rsidRDefault="00860A3B">
      <w:pPr>
        <w:pStyle w:val="BodyA"/>
        <w:spacing w:after="240" w:line="240" w:lineRule="auto"/>
        <w:jc w:val="both"/>
      </w:pPr>
    </w:p>
    <w:p w14:paraId="5AE66AE5" w14:textId="5C24B768" w:rsidR="00860A3B" w:rsidRPr="00AE0735" w:rsidRDefault="0024358F" w:rsidP="00C66BE0">
      <w:pPr>
        <w:pStyle w:val="Heading2"/>
        <w:jc w:val="center"/>
        <w:rPr>
          <w:rFonts w:asciiTheme="minorHAnsi" w:hAnsiTheme="minorHAnsi" w:cs="Times New Roman"/>
          <w:color w:val="000000"/>
          <w:sz w:val="28"/>
          <w:szCs w:val="28"/>
        </w:rPr>
      </w:pPr>
      <w:r w:rsidRPr="00AE0735">
        <w:rPr>
          <w:rFonts w:asciiTheme="minorHAnsi" w:hAnsiTheme="minorHAnsi" w:cs="Times New Roman"/>
          <w:color w:val="000000"/>
          <w:sz w:val="28"/>
          <w:szCs w:val="28"/>
        </w:rPr>
        <w:t>S</w:t>
      </w:r>
      <w:r w:rsidRPr="00AE0735">
        <w:rPr>
          <w:rFonts w:asciiTheme="minorHAnsi" w:hAnsiTheme="minorHAnsi" w:cs="Times New Roman"/>
          <w:color w:val="000000"/>
          <w:sz w:val="28"/>
          <w:szCs w:val="28"/>
        </w:rPr>
        <w:t>HADOW REPORT on</w:t>
      </w:r>
    </w:p>
    <w:p w14:paraId="549FCA67" w14:textId="77777777" w:rsidR="00860A3B" w:rsidRDefault="00860A3B" w:rsidP="00C66BE0">
      <w:pPr>
        <w:pStyle w:val="Heading2"/>
        <w:jc w:val="center"/>
      </w:pPr>
    </w:p>
    <w:p w14:paraId="1124AAE3" w14:textId="13CF8AD7" w:rsidR="00860A3B" w:rsidRPr="00AE0735" w:rsidRDefault="0024358F" w:rsidP="00C66BE0">
      <w:pPr>
        <w:pStyle w:val="Heading2"/>
        <w:jc w:val="center"/>
        <w:rPr>
          <w:sz w:val="36"/>
          <w:szCs w:val="36"/>
        </w:rPr>
      </w:pPr>
      <w:r w:rsidRPr="00AE0735">
        <w:rPr>
          <w:rFonts w:ascii="Helvetica" w:hAnsi="Helvetica"/>
          <w:b/>
          <w:bCs/>
          <w:color w:val="000000"/>
          <w:sz w:val="36"/>
          <w:szCs w:val="36"/>
          <w:lang w:val="de-DE"/>
        </w:rPr>
        <w:t>LESOTHO</w:t>
      </w:r>
      <w:r w:rsidRPr="00AE0735">
        <w:rPr>
          <w:rFonts w:ascii="Helvetica" w:hAnsi="Helvetica"/>
          <w:b/>
          <w:bCs/>
          <w:color w:val="000000"/>
          <w:sz w:val="36"/>
          <w:szCs w:val="36"/>
        </w:rPr>
        <w:t>’</w:t>
      </w:r>
      <w:r w:rsidRPr="00AE0735">
        <w:rPr>
          <w:rFonts w:ascii="Helvetica" w:hAnsi="Helvetica"/>
          <w:b/>
          <w:bCs/>
          <w:color w:val="000000"/>
          <w:sz w:val="36"/>
          <w:szCs w:val="36"/>
        </w:rPr>
        <w:t>S</w:t>
      </w:r>
    </w:p>
    <w:p w14:paraId="46BC754C" w14:textId="77777777" w:rsidR="00860A3B" w:rsidRDefault="00860A3B" w:rsidP="00C66BE0">
      <w:pPr>
        <w:pStyle w:val="BodyA"/>
        <w:jc w:val="center"/>
      </w:pPr>
    </w:p>
    <w:p w14:paraId="784778BC" w14:textId="449FDCA4" w:rsidR="00860A3B" w:rsidRPr="00AE0735" w:rsidRDefault="0024358F" w:rsidP="00C66BE0">
      <w:pPr>
        <w:pStyle w:val="Heading2"/>
        <w:jc w:val="center"/>
        <w:rPr>
          <w:rFonts w:asciiTheme="minorHAnsi" w:hAnsiTheme="minorHAnsi" w:cs="Times New Roman"/>
          <w:color w:val="000000"/>
          <w:sz w:val="28"/>
          <w:szCs w:val="28"/>
        </w:rPr>
      </w:pPr>
      <w:r w:rsidRPr="00AE0735">
        <w:rPr>
          <w:rFonts w:asciiTheme="minorHAnsi" w:hAnsiTheme="minorHAnsi" w:cs="Times New Roman"/>
          <w:color w:val="000000"/>
          <w:sz w:val="28"/>
          <w:szCs w:val="28"/>
        </w:rPr>
        <w:t xml:space="preserve">COMPLIANCE WITH TREATY OBLIGATIONS </w:t>
      </w:r>
      <w:r w:rsidR="004C1831" w:rsidRPr="00AE0735">
        <w:rPr>
          <w:rFonts w:asciiTheme="minorHAnsi" w:hAnsiTheme="minorHAnsi" w:cs="Times New Roman"/>
          <w:color w:val="000000"/>
          <w:sz w:val="28"/>
          <w:szCs w:val="28"/>
        </w:rPr>
        <w:t>UNDER THE</w:t>
      </w:r>
    </w:p>
    <w:p w14:paraId="68EFAA93" w14:textId="77777777" w:rsidR="00860A3B" w:rsidRDefault="00860A3B" w:rsidP="00C66BE0">
      <w:pPr>
        <w:pStyle w:val="BodyA"/>
        <w:jc w:val="center"/>
      </w:pPr>
    </w:p>
    <w:p w14:paraId="4D6FAC88" w14:textId="77777777" w:rsidR="00860A3B" w:rsidRPr="00C66BE0" w:rsidRDefault="0024358F" w:rsidP="00C66BE0">
      <w:pPr>
        <w:pStyle w:val="Heading2"/>
        <w:jc w:val="center"/>
        <w:rPr>
          <w:rFonts w:ascii="Helvetica" w:eastAsia="Calibri" w:hAnsi="Helvetica" w:cs="Calibri"/>
          <w:b/>
          <w:bCs/>
          <w:color w:val="000000"/>
          <w:sz w:val="36"/>
          <w:szCs w:val="36"/>
          <w:u w:color="000000"/>
        </w:rPr>
      </w:pPr>
      <w:r w:rsidRPr="00C66BE0">
        <w:rPr>
          <w:rFonts w:ascii="Helvetica" w:eastAsia="Calibri" w:hAnsi="Helvetica" w:cs="Calibri"/>
          <w:b/>
          <w:bCs/>
          <w:color w:val="000000"/>
          <w:sz w:val="36"/>
          <w:szCs w:val="36"/>
          <w:u w:color="000000"/>
        </w:rPr>
        <w:t>The International C</w:t>
      </w:r>
      <w:r w:rsidRPr="00C66BE0">
        <w:rPr>
          <w:rFonts w:ascii="Helvetica" w:eastAsia="Calibri" w:hAnsi="Helvetica" w:cs="Calibri"/>
          <w:b/>
          <w:bCs/>
          <w:color w:val="000000"/>
          <w:sz w:val="36"/>
          <w:szCs w:val="36"/>
          <w:u w:color="000000"/>
        </w:rPr>
        <w:t xml:space="preserve">ovenant on </w:t>
      </w:r>
      <w:r w:rsidRPr="00C66BE0">
        <w:rPr>
          <w:rFonts w:ascii="Helvetica" w:eastAsia="Calibri" w:hAnsi="Helvetica" w:cs="Calibri"/>
          <w:b/>
          <w:bCs/>
          <w:color w:val="000000"/>
          <w:sz w:val="36"/>
          <w:szCs w:val="36"/>
          <w:u w:color="000000"/>
        </w:rPr>
        <w:t>Civil and Political Rights (ICCPR)</w:t>
      </w:r>
    </w:p>
    <w:p w14:paraId="503AC329" w14:textId="77777777" w:rsidR="00860A3B" w:rsidRDefault="00860A3B" w:rsidP="00C66BE0">
      <w:pPr>
        <w:pStyle w:val="Heading2"/>
        <w:jc w:val="center"/>
      </w:pPr>
    </w:p>
    <w:p w14:paraId="1DF4B4F5" w14:textId="69481268" w:rsidR="00860A3B" w:rsidRPr="00AE0735" w:rsidRDefault="0024358F" w:rsidP="00C66BE0">
      <w:pPr>
        <w:pStyle w:val="Heading2"/>
        <w:jc w:val="center"/>
        <w:rPr>
          <w:rFonts w:asciiTheme="minorHAnsi" w:hAnsiTheme="minorHAnsi" w:cs="Times New Roman"/>
          <w:sz w:val="28"/>
          <w:szCs w:val="28"/>
        </w:rPr>
      </w:pPr>
      <w:r w:rsidRPr="00AE0735">
        <w:rPr>
          <w:rFonts w:asciiTheme="minorHAnsi" w:hAnsiTheme="minorHAnsi" w:cs="Times New Roman"/>
          <w:color w:val="000000"/>
          <w:sz w:val="28"/>
          <w:szCs w:val="28"/>
        </w:rPr>
        <w:t>Submitted by:</w:t>
      </w:r>
    </w:p>
    <w:p w14:paraId="4D4405CD" w14:textId="1C0E1334" w:rsidR="00860A3B" w:rsidRPr="00C66BE0" w:rsidRDefault="00860A3B" w:rsidP="00C66BE0">
      <w:pPr>
        <w:pStyle w:val="Heading2"/>
        <w:jc w:val="center"/>
        <w:rPr>
          <w:rFonts w:ascii="Helvetica" w:eastAsia="Calibri" w:hAnsi="Helvetica" w:cs="Calibri"/>
          <w:b/>
          <w:bCs/>
          <w:color w:val="000000"/>
          <w:u w:color="000000"/>
        </w:rPr>
      </w:pPr>
    </w:p>
    <w:p w14:paraId="459F6C74" w14:textId="77777777" w:rsidR="00860A3B" w:rsidRDefault="0024358F" w:rsidP="00C66BE0">
      <w:pPr>
        <w:pStyle w:val="BodyA"/>
        <w:jc w:val="center"/>
      </w:pPr>
      <w:r>
        <w:rPr>
          <w:rFonts w:ascii="Helvetica" w:hAnsi="Helvetica"/>
          <w:b/>
          <w:bCs/>
          <w:sz w:val="32"/>
          <w:szCs w:val="32"/>
        </w:rPr>
        <w:t>SENOLI LEGAL CENTRE</w:t>
      </w:r>
    </w:p>
    <w:p w14:paraId="101075F6" w14:textId="16B03DAA" w:rsidR="00860A3B" w:rsidRDefault="0024358F" w:rsidP="00C66BE0">
      <w:pPr>
        <w:pStyle w:val="BodyA"/>
        <w:jc w:val="center"/>
      </w:pPr>
      <w:r>
        <w:rPr>
          <w:rFonts w:ascii="Helvetica" w:hAnsi="Helvetica"/>
          <w:b/>
          <w:bCs/>
          <w:sz w:val="32"/>
          <w:szCs w:val="32"/>
        </w:rPr>
        <w:t>MIGRANT WORKERS ASSOCIATION, LESOTHO</w:t>
      </w:r>
    </w:p>
    <w:p w14:paraId="628A0D58" w14:textId="023A66B9" w:rsidR="00860A3B" w:rsidRDefault="0024358F" w:rsidP="00C66BE0">
      <w:pPr>
        <w:pStyle w:val="BodyA"/>
        <w:jc w:val="center"/>
      </w:pPr>
      <w:r>
        <w:rPr>
          <w:rFonts w:ascii="Helvetica" w:hAnsi="Helvetica"/>
          <w:b/>
          <w:bCs/>
          <w:sz w:val="32"/>
          <w:szCs w:val="32"/>
        </w:rPr>
        <w:t>KOPANANG DOMESTIC WORKERS ASSOCIATION OF LESOTHO</w:t>
      </w:r>
    </w:p>
    <w:p w14:paraId="652EE4E6" w14:textId="15837105" w:rsidR="00860A3B" w:rsidRDefault="0024358F" w:rsidP="00C66BE0">
      <w:pPr>
        <w:pStyle w:val="BodyA"/>
        <w:jc w:val="center"/>
      </w:pPr>
      <w:r>
        <w:rPr>
          <w:rFonts w:ascii="Helvetica" w:hAnsi="Helvetica"/>
          <w:b/>
          <w:bCs/>
          <w:sz w:val="32"/>
          <w:szCs w:val="32"/>
        </w:rPr>
        <w:t>FEDERATION OF WOMEN</w:t>
      </w:r>
      <w:r>
        <w:rPr>
          <w:rFonts w:ascii="Helvetica" w:hAnsi="Helvetica"/>
          <w:b/>
          <w:bCs/>
          <w:sz w:val="32"/>
          <w:szCs w:val="32"/>
        </w:rPr>
        <w:t>’</w:t>
      </w:r>
      <w:r>
        <w:rPr>
          <w:rFonts w:ascii="Helvetica" w:hAnsi="Helvetica"/>
          <w:b/>
          <w:bCs/>
          <w:sz w:val="32"/>
          <w:szCs w:val="32"/>
        </w:rPr>
        <w:t>S LAWYERS LESOTHO</w:t>
      </w:r>
    </w:p>
    <w:p w14:paraId="53103607" w14:textId="4DDDEFDA" w:rsidR="00860A3B" w:rsidRDefault="0024358F" w:rsidP="00C66BE0">
      <w:pPr>
        <w:pStyle w:val="BodyA"/>
        <w:jc w:val="center"/>
        <w:rPr>
          <w:rFonts w:ascii="Helvetica" w:hAnsi="Helvetica"/>
          <w:b/>
          <w:bCs/>
          <w:sz w:val="32"/>
          <w:szCs w:val="32"/>
        </w:rPr>
      </w:pPr>
      <w:r>
        <w:rPr>
          <w:rFonts w:ascii="Helvetica" w:hAnsi="Helvetica"/>
          <w:b/>
          <w:bCs/>
          <w:sz w:val="32"/>
          <w:szCs w:val="32"/>
        </w:rPr>
        <w:t>AFRICA END SEXUAL HARASSMENT INITIATIVE (AESHI)</w:t>
      </w:r>
    </w:p>
    <w:p w14:paraId="0AA89B05" w14:textId="77777777" w:rsidR="00C66BE0" w:rsidRPr="00C66BE0" w:rsidRDefault="00C66BE0" w:rsidP="00C66BE0">
      <w:pPr>
        <w:pStyle w:val="Heading2"/>
        <w:jc w:val="center"/>
        <w:rPr>
          <w:rFonts w:ascii="Helvetica" w:eastAsia="Calibri" w:hAnsi="Helvetica" w:cs="Calibri"/>
          <w:b/>
          <w:bCs/>
          <w:color w:val="000000"/>
          <w:u w:color="000000"/>
        </w:rPr>
      </w:pPr>
      <w:r w:rsidRPr="00C66BE0">
        <w:rPr>
          <w:rFonts w:ascii="Helvetica" w:eastAsia="Calibri" w:hAnsi="Helvetica" w:cs="Calibri"/>
          <w:b/>
          <w:bCs/>
          <w:color w:val="000000"/>
          <w:u w:color="000000"/>
        </w:rPr>
        <w:t>SOLIDARITY CENTER</w:t>
      </w:r>
    </w:p>
    <w:p w14:paraId="5647563C" w14:textId="77777777" w:rsidR="00C66BE0" w:rsidRDefault="00C66BE0" w:rsidP="00C66BE0">
      <w:pPr>
        <w:pStyle w:val="BodyA"/>
        <w:jc w:val="center"/>
      </w:pPr>
    </w:p>
    <w:p w14:paraId="2FF588A7" w14:textId="77777777" w:rsidR="00860A3B" w:rsidRDefault="00860A3B" w:rsidP="00C66BE0">
      <w:pPr>
        <w:pStyle w:val="BodyA"/>
        <w:jc w:val="center"/>
      </w:pPr>
    </w:p>
    <w:p w14:paraId="79884DE6" w14:textId="25D2673C" w:rsidR="00860A3B" w:rsidRPr="00AE0735" w:rsidRDefault="0024358F" w:rsidP="00C66BE0">
      <w:pPr>
        <w:pStyle w:val="BodyA"/>
        <w:jc w:val="center"/>
        <w:rPr>
          <w:rFonts w:asciiTheme="minorHAnsi" w:eastAsia="Calibri Light" w:hAnsiTheme="minorHAnsi" w:cs="Times New Roman"/>
          <w:sz w:val="28"/>
          <w:szCs w:val="28"/>
          <w:u w:color="2F5496"/>
        </w:rPr>
      </w:pPr>
      <w:r w:rsidRPr="00AE0735">
        <w:rPr>
          <w:rFonts w:asciiTheme="minorHAnsi" w:eastAsia="Calibri Light" w:hAnsiTheme="minorHAnsi" w:cs="Times New Roman"/>
          <w:sz w:val="28"/>
          <w:szCs w:val="28"/>
          <w:u w:color="2F5496"/>
        </w:rPr>
        <w:t>Submitted</w:t>
      </w:r>
      <w:r w:rsidR="00C66BE0" w:rsidRPr="00AE0735">
        <w:rPr>
          <w:rFonts w:asciiTheme="minorHAnsi" w:eastAsia="Calibri Light" w:hAnsiTheme="minorHAnsi" w:cs="Times New Roman"/>
          <w:sz w:val="28"/>
          <w:szCs w:val="28"/>
          <w:u w:color="2F5496"/>
        </w:rPr>
        <w:t xml:space="preserve">: </w:t>
      </w:r>
      <w:r w:rsidRPr="00AE0735">
        <w:rPr>
          <w:rFonts w:asciiTheme="minorHAnsi" w:eastAsia="Calibri Light" w:hAnsiTheme="minorHAnsi" w:cs="Times New Roman"/>
          <w:sz w:val="28"/>
          <w:szCs w:val="28"/>
          <w:u w:color="2F5496"/>
        </w:rPr>
        <w:t xml:space="preserve"> 7 June 2023</w:t>
      </w:r>
    </w:p>
    <w:p w14:paraId="7D216B95" w14:textId="77777777" w:rsidR="00860A3B" w:rsidRDefault="00860A3B">
      <w:pPr>
        <w:pStyle w:val="Heading2"/>
        <w:jc w:val="center"/>
      </w:pPr>
    </w:p>
    <w:p w14:paraId="06293D3A" w14:textId="77777777" w:rsidR="00860A3B" w:rsidRDefault="0024358F">
      <w:pPr>
        <w:pStyle w:val="Heading2"/>
        <w:jc w:val="center"/>
      </w:pPr>
      <w:r>
        <w:t xml:space="preserve"> </w:t>
      </w:r>
    </w:p>
    <w:p w14:paraId="771E848D" w14:textId="13CF3647" w:rsidR="00C66BE0" w:rsidRDefault="00C66BE0">
      <w:pPr>
        <w:rPr>
          <w:rFonts w:ascii="Calibri" w:eastAsia="Calibri" w:hAnsi="Calibri" w:cs="Calibri"/>
          <w:color w:val="000000"/>
          <w:sz w:val="22"/>
          <w:szCs w:val="22"/>
          <w:u w:color="000000"/>
        </w:rPr>
      </w:pPr>
      <w:r>
        <w:br w:type="page"/>
      </w:r>
    </w:p>
    <w:p w14:paraId="0F61EE3B" w14:textId="77777777" w:rsidR="00860A3B" w:rsidRDefault="00860A3B">
      <w:pPr>
        <w:pStyle w:val="BodyA"/>
        <w:tabs>
          <w:tab w:val="left" w:pos="426"/>
          <w:tab w:val="left" w:pos="786"/>
        </w:tabs>
        <w:spacing w:after="120" w:line="264" w:lineRule="auto"/>
        <w:ind w:left="786"/>
        <w:jc w:val="both"/>
      </w:pPr>
    </w:p>
    <w:p w14:paraId="68D0150C" w14:textId="77777777" w:rsidR="00860A3B" w:rsidRDefault="0024358F">
      <w:pPr>
        <w:pStyle w:val="BodyA"/>
      </w:pPr>
      <w:r>
        <w:rPr>
          <w:rFonts w:ascii="Times New Roman" w:hAnsi="Times New Roman"/>
          <w:b/>
          <w:bCs/>
        </w:rPr>
        <w:t>1.</w:t>
      </w:r>
      <w:r>
        <w:rPr>
          <w:rFonts w:ascii="Times New Roman" w:hAnsi="Times New Roman"/>
          <w:b/>
          <w:bCs/>
        </w:rPr>
        <w:tab/>
      </w:r>
      <w:r>
        <w:rPr>
          <w:b/>
          <w:bCs/>
        </w:rPr>
        <w:t>Introduction and Context</w:t>
      </w:r>
    </w:p>
    <w:p w14:paraId="11C46912" w14:textId="3E9C8CE7" w:rsidR="00860A3B" w:rsidRDefault="0024358F">
      <w:pPr>
        <w:pStyle w:val="BodyA"/>
        <w:jc w:val="both"/>
      </w:pPr>
      <w:r>
        <w:t xml:space="preserve">Lesotho is a very </w:t>
      </w:r>
      <w:r>
        <w:t xml:space="preserve">small country with a population of approximately two million. A large part of the population lives in abject poverty, as employment opportunities are scarce. As a result, the working population age group migrate to </w:t>
      </w:r>
      <w:r w:rsidR="00C66BE0">
        <w:t>neighboring</w:t>
      </w:r>
      <w:r>
        <w:t xml:space="preserve"> countries, particularly Sout</w:t>
      </w:r>
      <w:r>
        <w:t>h Africa, in search of work to support families through remittances.</w:t>
      </w:r>
      <w:r>
        <w:rPr>
          <w:vertAlign w:val="superscript"/>
        </w:rPr>
        <w:footnoteReference w:id="2"/>
      </w:r>
      <w:r>
        <w:t xml:space="preserve"> Historically, the increase in Basotho female migration to South Africa can be attributed to the decline of migrant Basotho men’s opportunities in South African mines.</w:t>
      </w:r>
      <w:r>
        <w:rPr>
          <w:vertAlign w:val="superscript"/>
        </w:rPr>
        <w:footnoteReference w:id="3"/>
      </w:r>
      <w:r>
        <w:t xml:space="preserve"> The care deficit</w:t>
      </w:r>
      <w:r>
        <w:t xml:space="preserve"> is a noted consequence of women migrating to South Africa, which young girls, female relatives, grandmothers or even adult males in migrant household bear the brunt.</w:t>
      </w:r>
      <w:r>
        <w:rPr>
          <w:vertAlign w:val="superscript"/>
        </w:rPr>
        <w:footnoteReference w:id="4"/>
      </w:r>
      <w:r>
        <w:rPr>
          <w:i/>
          <w:iCs/>
        </w:rPr>
        <w:t xml:space="preserve"> </w:t>
      </w:r>
      <w:r>
        <w:t>As a consequence, many young people are forced into domestic work due to poverty partic</w:t>
      </w:r>
      <w:r>
        <w:t>ularly in child-headed families.</w:t>
      </w:r>
    </w:p>
    <w:p w14:paraId="36FF86BF" w14:textId="77777777" w:rsidR="00860A3B" w:rsidRDefault="0024358F">
      <w:pPr>
        <w:pStyle w:val="BodyA"/>
        <w:jc w:val="both"/>
      </w:pPr>
      <w:r>
        <w:t xml:space="preserve">This submission to the ICCPR highlights the key issues raised by provisions of the ICCPR with reference to domestic workers in Lesotho, who do not effectively enjoy equal protection under </w:t>
      </w:r>
      <w:proofErr w:type="spellStart"/>
      <w:r>
        <w:t>labour</w:t>
      </w:r>
      <w:proofErr w:type="spellEnd"/>
      <w:r>
        <w:t xml:space="preserve"> law in Lesotho, by virtue of</w:t>
      </w:r>
      <w:r>
        <w:t xml:space="preserve"> legislative exclusions and lowered standards for the sector.</w:t>
      </w:r>
    </w:p>
    <w:p w14:paraId="03E11180" w14:textId="77777777" w:rsidR="00860A3B" w:rsidRDefault="0024358F">
      <w:pPr>
        <w:pStyle w:val="BodyA"/>
        <w:jc w:val="both"/>
      </w:pPr>
      <w:r>
        <w:t>2.</w:t>
      </w:r>
      <w:r>
        <w:rPr>
          <w:b/>
          <w:bCs/>
        </w:rPr>
        <w:tab/>
        <w:t>Indirect Discrimination and Colonial legacies</w:t>
      </w:r>
    </w:p>
    <w:p w14:paraId="6C69133F" w14:textId="77777777" w:rsidR="00860A3B" w:rsidRDefault="0024358F">
      <w:pPr>
        <w:pStyle w:val="BodyA"/>
        <w:jc w:val="both"/>
      </w:pPr>
      <w:r>
        <w:t>Under Article 2 of the ICCPR, states undertake to respect and to ensure all individuals within its territory enjoy ICCPR rights without distincti</w:t>
      </w:r>
      <w:r>
        <w:t xml:space="preserve">on </w:t>
      </w:r>
      <w:proofErr w:type="gramStart"/>
      <w:r>
        <w:t>on the basis of</w:t>
      </w:r>
      <w:proofErr w:type="gramEnd"/>
      <w:r>
        <w:t xml:space="preserve"> “race, </w:t>
      </w:r>
      <w:proofErr w:type="spellStart"/>
      <w:r>
        <w:t>colour</w:t>
      </w:r>
      <w:proofErr w:type="spellEnd"/>
      <w:r>
        <w:t>, language, religion, political or other opinion, national or social origin, property, birth or other status”. While under Article 3, states undertake to ensure “the equal rights of men and women to the enjoyment of all civi</w:t>
      </w:r>
      <w:r>
        <w:t>l and political rights”. Further under the ICCPR, the right to equality is enumerated in Article 2 and 3 of the Covenant, as well as Article 26, which requires states to “act against discrimination by public and private agencies in all fields”</w:t>
      </w:r>
    </w:p>
    <w:p w14:paraId="16143720" w14:textId="37386C92" w:rsidR="00860A3B" w:rsidRDefault="00C66BE0">
      <w:pPr>
        <w:pStyle w:val="BodyA"/>
        <w:jc w:val="both"/>
      </w:pPr>
      <w:r>
        <w:t>In ICCPR</w:t>
      </w:r>
      <w:r w:rsidR="0024358F">
        <w:t xml:space="preserve"> Ge</w:t>
      </w:r>
      <w:r w:rsidR="0024358F">
        <w:t>neral Comment No 28, the Committee highlights that the State must take positive measures to achieve equal and effective empowerment. It also adopts an intersectional approach to non-discrimination, acknowledging that inequality is “deeply embedded in tradi</w:t>
      </w:r>
      <w:r w:rsidR="0024358F">
        <w:t>tion, history and culture” and recognizes that discrimination against women is often intertwined with discrimination on other grounds such race, color, language, religion, political or other opinion, national or social origin, property birth or other statu</w:t>
      </w:r>
      <w:r w:rsidR="0024358F">
        <w:t>s.</w:t>
      </w:r>
    </w:p>
    <w:p w14:paraId="20937502" w14:textId="77777777" w:rsidR="00860A3B" w:rsidRDefault="0024358F">
      <w:pPr>
        <w:pStyle w:val="BodyA"/>
        <w:jc w:val="both"/>
      </w:pPr>
      <w:r>
        <w:t>More recently, national and African regional courts have similarly interpreted discrimination through an intersectional and a historical lens. Both the South African Constitutional Court as well as the African Court on Human Rights recently recognized t</w:t>
      </w:r>
      <w:r>
        <w:t xml:space="preserve">he ways in which colonial and apartheid legacies remain </w:t>
      </w:r>
      <w:r>
        <w:lastRenderedPageBreak/>
        <w:t xml:space="preserve">entrenched in African legal systems, and indirectly discriminate against domestic workers, as well as informal economy </w:t>
      </w:r>
      <w:proofErr w:type="gramStart"/>
      <w:r>
        <w:t>workers</w:t>
      </w:r>
      <w:proofErr w:type="gramEnd"/>
      <w:r>
        <w:t xml:space="preserve"> respectively. </w:t>
      </w:r>
      <w:r>
        <w:rPr>
          <w:vertAlign w:val="superscript"/>
        </w:rPr>
        <w:footnoteReference w:id="5"/>
      </w:r>
    </w:p>
    <w:p w14:paraId="53FC91E9" w14:textId="77777777" w:rsidR="00860A3B" w:rsidRDefault="0024358F">
      <w:pPr>
        <w:pStyle w:val="BodyA"/>
        <w:jc w:val="both"/>
      </w:pPr>
      <w:r>
        <w:t xml:space="preserve">In the case of </w:t>
      </w:r>
      <w:r>
        <w:rPr>
          <w:i/>
          <w:iCs/>
        </w:rPr>
        <w:t xml:space="preserve">Mahlangu v Compensation Commissioner </w:t>
      </w:r>
      <w:r>
        <w:t xml:space="preserve">the </w:t>
      </w:r>
      <w:r>
        <w:t xml:space="preserve">South African Constitutional Court found that the exclusion of domestic workers from the Compensation for Occupational Illness and Injuries Act, constituted indirect intersectional discrimination </w:t>
      </w:r>
      <w:proofErr w:type="gramStart"/>
      <w:r>
        <w:t>on the basis of</w:t>
      </w:r>
      <w:proofErr w:type="gramEnd"/>
      <w:r>
        <w:t xml:space="preserve"> race, class and gender. It stated that this </w:t>
      </w:r>
      <w:r>
        <w:t xml:space="preserve">exclusion was a remnant of colonial and apartheid views that women’s work in the private sphere was not recognized as proper work.  </w:t>
      </w:r>
    </w:p>
    <w:p w14:paraId="1B767CBA" w14:textId="77777777" w:rsidR="00860A3B" w:rsidRDefault="0024358F">
      <w:pPr>
        <w:pStyle w:val="BodyA"/>
        <w:jc w:val="both"/>
      </w:pPr>
      <w:r>
        <w:t xml:space="preserve">Accordingly, this submission is premised on a recognition that indirect intersectional discrimination </w:t>
      </w:r>
      <w:proofErr w:type="gramStart"/>
      <w:r>
        <w:t>on the basis of</w:t>
      </w:r>
      <w:proofErr w:type="gramEnd"/>
      <w:r>
        <w:t xml:space="preserve"> race,</w:t>
      </w:r>
      <w:r>
        <w:t xml:space="preserve"> class and gender is embedded in Lesotho’s </w:t>
      </w:r>
      <w:proofErr w:type="spellStart"/>
      <w:r>
        <w:t>labour</w:t>
      </w:r>
      <w:proofErr w:type="spellEnd"/>
      <w:r>
        <w:t xml:space="preserve"> laws; it can be seen in the ways in which domestic workers are excluded from critical </w:t>
      </w:r>
      <w:proofErr w:type="spellStart"/>
      <w:r>
        <w:t>labour</w:t>
      </w:r>
      <w:proofErr w:type="spellEnd"/>
      <w:r>
        <w:t xml:space="preserve"> law protections.</w:t>
      </w:r>
    </w:p>
    <w:p w14:paraId="2B9BA052" w14:textId="77777777" w:rsidR="00860A3B" w:rsidRDefault="0024358F">
      <w:pPr>
        <w:pStyle w:val="BodyA"/>
        <w:jc w:val="both"/>
      </w:pPr>
      <w:r>
        <w:rPr>
          <w:rFonts w:ascii="TrebuchetMS" w:eastAsia="TrebuchetMS" w:hAnsi="TrebuchetMS" w:cs="TrebuchetMS"/>
          <w:b/>
          <w:bCs/>
        </w:rPr>
        <w:t>3.</w:t>
      </w:r>
      <w:r>
        <w:rPr>
          <w:rFonts w:ascii="TrebuchetMS" w:eastAsia="TrebuchetMS" w:hAnsi="TrebuchetMS" w:cs="TrebuchetMS"/>
          <w:b/>
          <w:bCs/>
        </w:rPr>
        <w:tab/>
      </w:r>
      <w:r>
        <w:rPr>
          <w:b/>
          <w:bCs/>
        </w:rPr>
        <w:t>International Law and Constitutional Context</w:t>
      </w:r>
    </w:p>
    <w:p w14:paraId="0C623ED6" w14:textId="77777777" w:rsidR="00860A3B" w:rsidRDefault="0024358F">
      <w:pPr>
        <w:pStyle w:val="BodyA"/>
        <w:jc w:val="both"/>
      </w:pPr>
      <w:r>
        <w:t xml:space="preserve">Article 4 of the Lesotho Constitution guarantees rights to freedom from discrimination and participation in government regardless of “race, </w:t>
      </w:r>
      <w:proofErr w:type="spellStart"/>
      <w:r>
        <w:t>colour</w:t>
      </w:r>
      <w:proofErr w:type="spellEnd"/>
      <w:r>
        <w:t>, sex, language, religion, political or other opinion, national or social origin, property, birth or other sta</w:t>
      </w:r>
      <w:r>
        <w:t>tus.”</w:t>
      </w:r>
      <w:r>
        <w:rPr>
          <w:vertAlign w:val="superscript"/>
        </w:rPr>
        <w:footnoteReference w:id="6"/>
      </w:r>
      <w:r>
        <w:t xml:space="preserve"> Further, the Constitution prohibits discriminatory treatment carried out under written law or in the performance of the functions of any public office or public authority. Article 26 of the Constitution commits the state to adopting policies aimed </w:t>
      </w:r>
      <w:r>
        <w:t xml:space="preserve">at promoting a society based on equality and justice for all its citizens, regardless of race, </w:t>
      </w:r>
      <w:proofErr w:type="spellStart"/>
      <w:r>
        <w:t>colour</w:t>
      </w:r>
      <w:proofErr w:type="spellEnd"/>
      <w:r>
        <w:t>, sex, language, religion, political or other opinion, national or social origin, property, birth or other status. In particular, the state is obliged to t</w:t>
      </w:r>
      <w:r>
        <w:t>ake appropriate measures, in order to promote equality of opportunity for disadvantaged groups in society to enable them to participate fully in all aspects of public life.</w:t>
      </w:r>
    </w:p>
    <w:p w14:paraId="30115170" w14:textId="77777777" w:rsidR="00860A3B" w:rsidRDefault="0024358F">
      <w:pPr>
        <w:pStyle w:val="BodyA"/>
        <w:jc w:val="both"/>
      </w:pPr>
      <w:r>
        <w:t>Since the Constitution does not address international law and its manner of domesti</w:t>
      </w:r>
      <w:r>
        <w:t>cation, it is considered a dualist system.</w:t>
      </w:r>
      <w:r>
        <w:rPr>
          <w:vertAlign w:val="superscript"/>
        </w:rPr>
        <w:footnoteReference w:id="7"/>
      </w:r>
      <w:r>
        <w:t xml:space="preserve"> Despite this fact, courts are increasingly directly applying international instruments.</w:t>
      </w:r>
      <w:r>
        <w:rPr>
          <w:vertAlign w:val="superscript"/>
        </w:rPr>
        <w:footnoteReference w:id="8"/>
      </w:r>
      <w:r>
        <w:t xml:space="preserve"> Itumeleng Shale illustrates the different ways in which courts in Lesotho have incorporated instruments into their judgme</w:t>
      </w:r>
      <w:r>
        <w:t>nts, such as the Universal Declaration of Human Rights, as well as regional human rights instruments in Africa, Europe and the Americas.</w:t>
      </w:r>
      <w:r>
        <w:rPr>
          <w:vertAlign w:val="superscript"/>
        </w:rPr>
        <w:footnoteReference w:id="9"/>
      </w:r>
      <w:r>
        <w:t xml:space="preserve"> Shale argues that courts in Lesotho have incorporated </w:t>
      </w:r>
      <w:r>
        <w:lastRenderedPageBreak/>
        <w:t>international human rights treaty norms into domestic law, in w</w:t>
      </w:r>
      <w:r>
        <w:t xml:space="preserve">ays that suggest that they “moved beyond the monist-dualist dichotomization in </w:t>
      </w:r>
      <w:proofErr w:type="spellStart"/>
      <w:r>
        <w:t>favour</w:t>
      </w:r>
      <w:proofErr w:type="spellEnd"/>
      <w:r>
        <w:t xml:space="preserve"> of human rights protection.” </w:t>
      </w:r>
      <w:r>
        <w:rPr>
          <w:vertAlign w:val="superscript"/>
        </w:rPr>
        <w:footnoteReference w:id="10"/>
      </w:r>
      <w:r>
        <w:t xml:space="preserve"> </w:t>
      </w:r>
    </w:p>
    <w:p w14:paraId="236E0A49" w14:textId="77777777" w:rsidR="00860A3B" w:rsidRDefault="0024358F">
      <w:pPr>
        <w:pStyle w:val="BodyA"/>
        <w:jc w:val="both"/>
      </w:pPr>
      <w:r>
        <w:t>4.</w:t>
      </w:r>
      <w:r>
        <w:tab/>
      </w:r>
      <w:r>
        <w:rPr>
          <w:u w:val="single"/>
        </w:rPr>
        <w:t>Worker Rights Violations: Forced Servitude (Article 8 and 2); Substandard Work Conditions (Article 8,2, 3 and 26), Privacy, Family and</w:t>
      </w:r>
      <w:r>
        <w:rPr>
          <w:u w:val="single"/>
        </w:rPr>
        <w:t xml:space="preserve"> home life (Article 17)</w:t>
      </w:r>
      <w:r>
        <w:rPr>
          <w:rFonts w:ascii="TrebuchetMS" w:eastAsia="TrebuchetMS" w:hAnsi="TrebuchetMS" w:cs="TrebuchetMS"/>
          <w:u w:val="single"/>
        </w:rPr>
        <w:t>, children (Article 24)</w:t>
      </w:r>
    </w:p>
    <w:p w14:paraId="4F8D48C4" w14:textId="77777777" w:rsidR="00860A3B" w:rsidRDefault="0024358F">
      <w:pPr>
        <w:pStyle w:val="BodyA"/>
        <w:spacing w:line="256" w:lineRule="auto"/>
        <w:jc w:val="both"/>
      </w:pPr>
      <w:r>
        <w:t xml:space="preserve">Article 8 prohibits slavery in all its forms, as well as servitude, which includes forced or compulsory </w:t>
      </w:r>
      <w:proofErr w:type="spellStart"/>
      <w:r>
        <w:t>labour</w:t>
      </w:r>
      <w:proofErr w:type="spellEnd"/>
      <w:r>
        <w:t>. GC 28, specifies that this includes eliminating trafficking in women and children within their co</w:t>
      </w:r>
      <w:r>
        <w:t>untry and across borders and protecting women and children, including foreign women and children, from slavery, disguised as domestic or other service. It interprets Article 26 as requiring states to act against discrimination by public and private agencie</w:t>
      </w:r>
      <w:r>
        <w:t xml:space="preserve">s in all fields, including discrimination in employment and pay inequity.  </w:t>
      </w:r>
    </w:p>
    <w:p w14:paraId="7A2D7485" w14:textId="3601A104" w:rsidR="00860A3B" w:rsidRDefault="0024358F">
      <w:pPr>
        <w:pStyle w:val="BodyA"/>
      </w:pPr>
      <w:r>
        <w:t xml:space="preserve">Inclusion in </w:t>
      </w:r>
      <w:proofErr w:type="spellStart"/>
      <w:r>
        <w:t>labour</w:t>
      </w:r>
      <w:proofErr w:type="spellEnd"/>
      <w:r>
        <w:t xml:space="preserve"> laws is understood widely to be a critical antidote to the type of slavery, domestic servitude and forced labor prohibited in Article 7.</w:t>
      </w:r>
      <w:r>
        <w:rPr>
          <w:rStyle w:val="FootnoteReference"/>
        </w:rPr>
        <w:footnoteReference w:id="11"/>
      </w:r>
      <w:r>
        <w:t xml:space="preserve"> Lesotho has no </w:t>
      </w:r>
      <w:r w:rsidR="00DD55DB">
        <w:t>specialized</w:t>
      </w:r>
      <w:r>
        <w:t xml:space="preserve"> legislation for domestic workers. Two pieces of </w:t>
      </w:r>
      <w:proofErr w:type="spellStart"/>
      <w:r>
        <w:t>labour</w:t>
      </w:r>
      <w:proofErr w:type="spellEnd"/>
      <w:r>
        <w:t xml:space="preserve"> legislation, the Lesotho </w:t>
      </w:r>
      <w:proofErr w:type="spellStart"/>
      <w:r>
        <w:t>Labour</w:t>
      </w:r>
      <w:proofErr w:type="spellEnd"/>
      <w:r>
        <w:t xml:space="preserve"> Code of 1992 and the Workmen’s Compensation Act, passed in 1977, mention domestic workers, though they refer to them as domestic “servants.” </w:t>
      </w:r>
      <w:r>
        <w:t xml:space="preserve">While domestic workers in Lesotho are implicitly protected by the </w:t>
      </w:r>
      <w:proofErr w:type="spellStart"/>
      <w:r>
        <w:t>Labour</w:t>
      </w:r>
      <w:proofErr w:type="spellEnd"/>
      <w:r>
        <w:t xml:space="preserve"> Code (LC), they are expressly excluded from the Workmen’</w:t>
      </w:r>
      <w:r>
        <w:rPr>
          <w:lang w:val="fr-FR"/>
        </w:rPr>
        <w:t xml:space="preserve">s Compensation (WC) </w:t>
      </w:r>
      <w:proofErr w:type="spellStart"/>
      <w:r>
        <w:rPr>
          <w:lang w:val="fr-FR"/>
        </w:rPr>
        <w:t>Act</w:t>
      </w:r>
      <w:proofErr w:type="spellEnd"/>
      <w:r>
        <w:rPr>
          <w:lang w:val="fr-FR"/>
        </w:rPr>
        <w:t>.</w:t>
      </w:r>
      <w:r>
        <w:rPr>
          <w:b/>
          <w:bCs/>
        </w:rPr>
        <w:tab/>
      </w:r>
      <w:r>
        <w:rPr>
          <w:b/>
          <w:bCs/>
        </w:rPr>
        <w:tab/>
      </w:r>
      <w:r>
        <w:rPr>
          <w:rFonts w:ascii="TrebuchetMS-Bold" w:eastAsia="TrebuchetMS-Bold" w:hAnsi="TrebuchetMS-Bold" w:cs="TrebuchetMS-Bold"/>
          <w:b/>
          <w:bCs/>
        </w:rPr>
        <w:tab/>
      </w:r>
      <w:r>
        <w:rPr>
          <w:rFonts w:ascii="TrebuchetMS-Bold" w:eastAsia="TrebuchetMS-Bold" w:hAnsi="TrebuchetMS-Bold" w:cs="TrebuchetMS-Bold"/>
          <w:b/>
          <w:bCs/>
        </w:rPr>
        <w:tab/>
      </w:r>
      <w:r>
        <w:rPr>
          <w:rFonts w:ascii="TrebuchetMS-Bold" w:eastAsia="TrebuchetMS-Bold" w:hAnsi="TrebuchetMS-Bold" w:cs="TrebuchetMS-Bold"/>
          <w:b/>
          <w:bCs/>
        </w:rPr>
        <w:tab/>
      </w:r>
    </w:p>
    <w:p w14:paraId="3CDC130B" w14:textId="77777777" w:rsidR="00860A3B" w:rsidRDefault="0024358F">
      <w:pPr>
        <w:pStyle w:val="BodyA"/>
      </w:pPr>
      <w:r>
        <w:rPr>
          <w:rFonts w:ascii="TrebuchetMS-Bold" w:eastAsia="TrebuchetMS-Bold" w:hAnsi="TrebuchetMS-Bold" w:cs="TrebuchetMS-Bold"/>
          <w:b/>
          <w:bCs/>
        </w:rPr>
        <w:t>4.1</w:t>
      </w:r>
      <w:r>
        <w:rPr>
          <w:rFonts w:ascii="TrebuchetMS-Bold" w:eastAsia="TrebuchetMS-Bold" w:hAnsi="TrebuchetMS-Bold" w:cs="TrebuchetMS-Bold"/>
          <w:b/>
          <w:bCs/>
        </w:rPr>
        <w:tab/>
        <w:t xml:space="preserve"> The Workmen Compensation Fund of 1977</w:t>
      </w:r>
    </w:p>
    <w:p w14:paraId="61D3693B" w14:textId="77777777" w:rsidR="00860A3B" w:rsidRDefault="0024358F">
      <w:pPr>
        <w:pStyle w:val="BodyA"/>
      </w:pPr>
      <w:r>
        <w:t xml:space="preserve">The Lesotho Workmen’s Compensation Act was enacted in </w:t>
      </w:r>
      <w:r>
        <w:t xml:space="preserve">1977. The Act’s expressed purpose is to provide compensation to “workmen” for injuries suffered in the course of their employment and for the payment of medical expenses in respect of such injuries and connected purposes. </w:t>
      </w:r>
    </w:p>
    <w:p w14:paraId="0678ED48" w14:textId="77777777" w:rsidR="00860A3B" w:rsidRDefault="0024358F">
      <w:pPr>
        <w:pStyle w:val="BodyA"/>
      </w:pPr>
      <w:r>
        <w:t>Under the Act, a “workman” is bro</w:t>
      </w:r>
      <w:r>
        <w:t xml:space="preserve">adly defined in this Act as “any person who has entered into or works under a contract of service or apprenticeship with an employer.” However, under Section 2(2) of the Act, domestic servants are explicitly excluded from the definition of </w:t>
      </w:r>
      <w:r>
        <w:rPr>
          <w:i/>
          <w:iCs/>
        </w:rPr>
        <w:t>“workman”</w:t>
      </w:r>
      <w:r>
        <w:t xml:space="preserve"> alongs</w:t>
      </w:r>
      <w:r>
        <w:t>ide “family workers and any person whose services are rewarded in kind according to Sesotho custom, including shepherds.”</w:t>
      </w:r>
    </w:p>
    <w:p w14:paraId="68338565" w14:textId="31FB0166" w:rsidR="00860A3B" w:rsidRDefault="0024358F">
      <w:pPr>
        <w:pStyle w:val="BodyA"/>
      </w:pPr>
      <w:r>
        <w:t>The exclusion of domestic workers from the Act means that a domestic worker would have no claim in the event of injury or illness at w</w:t>
      </w:r>
      <w:r>
        <w:t xml:space="preserve">ork. However, injuries, illness and even death, </w:t>
      </w:r>
      <w:r w:rsidR="00C66BE0">
        <w:t>including falls</w:t>
      </w:r>
      <w:r>
        <w:t xml:space="preserve">, burns and respiratory diseases, do </w:t>
      </w:r>
      <w:r w:rsidR="00C66BE0">
        <w:t>occur in</w:t>
      </w:r>
      <w:r>
        <w:t xml:space="preserve"> the domestic work </w:t>
      </w:r>
      <w:r w:rsidR="00C66BE0">
        <w:t>sector. Yet</w:t>
      </w:r>
      <w:r>
        <w:t>, section 2(2) essentially removes domestic workers, including domestic workers employed by families, who are frequen</w:t>
      </w:r>
      <w:r>
        <w:t>tly children, from a critical workplace protection.  Since domestic workers are predominantly women, it has clear gendered impacts, and arguably emanates from customs and practices that devalue and fail to recognize work considered “female”. It is highly d</w:t>
      </w:r>
      <w:r>
        <w:t>oubtful that this differentiation would satisfy the requirement of being considered reasonable and objective or proportionate as required under article 26.</w:t>
      </w:r>
      <w:r>
        <w:rPr>
          <w:vertAlign w:val="superscript"/>
        </w:rPr>
        <w:footnoteReference w:id="12"/>
      </w:r>
      <w:r>
        <w:t xml:space="preserve"> </w:t>
      </w:r>
    </w:p>
    <w:p w14:paraId="1B917445" w14:textId="77777777" w:rsidR="00860A3B" w:rsidRDefault="0024358F">
      <w:pPr>
        <w:pStyle w:val="BodyA"/>
      </w:pPr>
      <w:r>
        <w:t>Indeed, this explicit exclusion of domestic “</w:t>
      </w:r>
      <w:r>
        <w:rPr>
          <w:lang w:val="fr-FR"/>
        </w:rPr>
        <w:t>servants</w:t>
      </w:r>
      <w:r>
        <w:t>” from workers’ compensation raises the prec</w:t>
      </w:r>
      <w:r>
        <w:t xml:space="preserve">ise issues addressed in the </w:t>
      </w:r>
      <w:proofErr w:type="spellStart"/>
      <w:r>
        <w:rPr>
          <w:i/>
          <w:iCs/>
          <w:lang w:val="de-DE"/>
        </w:rPr>
        <w:t>Mahlangu</w:t>
      </w:r>
      <w:proofErr w:type="spellEnd"/>
      <w:r>
        <w:t xml:space="preserve"> decision by the South African Constitutional Court. In that case the </w:t>
      </w:r>
      <w:r>
        <w:lastRenderedPageBreak/>
        <w:t>court viewed the exclusion of domestic workers from workers’ compensation as constituting both direct</w:t>
      </w:r>
      <w:r>
        <w:rPr>
          <w:rFonts w:ascii="TrebuchetMS" w:eastAsia="TrebuchetMS" w:hAnsi="TrebuchetMS" w:cs="TrebuchetMS"/>
        </w:rPr>
        <w:t xml:space="preserve"> discrimination because it was not rational and indirect intersectional discrimination, on the intersecting grounds of race, class and gender, because domestic workers in South Africa are predominantly black women. It similarly falls foul of articles 8, 2 </w:t>
      </w:r>
      <w:r>
        <w:rPr>
          <w:rFonts w:ascii="TrebuchetMS" w:eastAsia="TrebuchetMS" w:hAnsi="TrebuchetMS" w:cs="TrebuchetMS"/>
        </w:rPr>
        <w:t xml:space="preserve">and 26 of the ICCPR. </w:t>
      </w:r>
      <w:r>
        <w:rPr>
          <w:rFonts w:ascii="TrebuchetMS" w:eastAsia="TrebuchetMS" w:hAnsi="TrebuchetMS" w:cs="TrebuchetMS"/>
          <w:vertAlign w:val="superscript"/>
        </w:rPr>
        <w:footnoteReference w:id="13"/>
      </w:r>
    </w:p>
    <w:p w14:paraId="36264938" w14:textId="77777777" w:rsidR="00860A3B" w:rsidRDefault="0024358F">
      <w:pPr>
        <w:pStyle w:val="BodyA"/>
      </w:pPr>
      <w:r>
        <w:rPr>
          <w:rFonts w:ascii="TrebuchetMS" w:eastAsia="TrebuchetMS" w:hAnsi="TrebuchetMS" w:cs="TrebuchetMS"/>
        </w:rPr>
        <w:t xml:space="preserve">Other UN treaty bodies such as the ICESCR and CEDAW, have also found the exclusion of domestic workers from social protection, including </w:t>
      </w:r>
      <w:r>
        <w:t>worker’s compensation to be a violation of treaty obligations. For example, in 2018, the ICESCR</w:t>
      </w:r>
      <w:r>
        <w:t xml:space="preserve"> Committee recommended to South Africa that domestic workers be included in the statute providing compensation for occupational injury and disease.</w:t>
      </w:r>
      <w:r>
        <w:rPr>
          <w:vertAlign w:val="superscript"/>
        </w:rPr>
        <w:footnoteReference w:id="14"/>
      </w:r>
      <w:r>
        <w:t xml:space="preserve">  </w:t>
      </w:r>
    </w:p>
    <w:p w14:paraId="75D3AE20" w14:textId="77777777" w:rsidR="00860A3B" w:rsidRDefault="0024358F">
      <w:pPr>
        <w:pStyle w:val="BodyA"/>
      </w:pPr>
      <w:r>
        <w:rPr>
          <w:b/>
          <w:bCs/>
        </w:rPr>
        <w:t>4.2</w:t>
      </w:r>
      <w:r>
        <w:rPr>
          <w:b/>
          <w:bCs/>
        </w:rPr>
        <w:tab/>
        <w:t xml:space="preserve">The Lesotho </w:t>
      </w:r>
      <w:proofErr w:type="spellStart"/>
      <w:r>
        <w:rPr>
          <w:b/>
          <w:bCs/>
        </w:rPr>
        <w:t>Labour</w:t>
      </w:r>
      <w:proofErr w:type="spellEnd"/>
      <w:r>
        <w:rPr>
          <w:b/>
          <w:bCs/>
        </w:rPr>
        <w:t xml:space="preserve"> Code</w:t>
      </w:r>
    </w:p>
    <w:p w14:paraId="54CBF816" w14:textId="77777777" w:rsidR="00860A3B" w:rsidRDefault="0024358F">
      <w:pPr>
        <w:pStyle w:val="BodyA"/>
      </w:pPr>
      <w:r>
        <w:t xml:space="preserve">The Lesotho </w:t>
      </w:r>
      <w:proofErr w:type="spellStart"/>
      <w:r>
        <w:t>Labour</w:t>
      </w:r>
      <w:proofErr w:type="spellEnd"/>
      <w:r>
        <w:t xml:space="preserve"> Code Order 24 of 1992 is the primary law on </w:t>
      </w:r>
      <w:proofErr w:type="spellStart"/>
      <w:r>
        <w:t>labour</w:t>
      </w:r>
      <w:proofErr w:type="spellEnd"/>
      <w:r>
        <w:t xml:space="preserve"> and em</w:t>
      </w:r>
      <w:r>
        <w:t xml:space="preserve">ployment in the country. In 2000, it was further amended by the democratically elected Parliament as the </w:t>
      </w:r>
      <w:proofErr w:type="spellStart"/>
      <w:r>
        <w:t>Labour</w:t>
      </w:r>
      <w:proofErr w:type="spellEnd"/>
      <w:r>
        <w:t xml:space="preserve"> Code (Amendment) Act 2000. The Code provides that interpretation should closely conform with ILO provisions and recommendations and prohibits di</w:t>
      </w:r>
      <w:r>
        <w:t xml:space="preserve">scrimination, sexual harassment and requires equal pay for work of equal value, as well as providing freedom of association to all workers. </w:t>
      </w:r>
    </w:p>
    <w:p w14:paraId="2FF94493" w14:textId="77777777" w:rsidR="00860A3B" w:rsidRDefault="0024358F">
      <w:pPr>
        <w:pStyle w:val="BodyA"/>
      </w:pPr>
      <w:r>
        <w:t xml:space="preserve">However, these commitments to non-discrimination at work are limited when it comes to equal treatment for domestic </w:t>
      </w:r>
      <w:r>
        <w:t xml:space="preserve">workers. At the outset, the </w:t>
      </w:r>
      <w:proofErr w:type="spellStart"/>
      <w:r>
        <w:t>Labour</w:t>
      </w:r>
      <w:proofErr w:type="spellEnd"/>
      <w:r>
        <w:t xml:space="preserve"> Code defines a domestic worker as a "domestic servant”, which it define</w:t>
      </w:r>
      <w:r>
        <w:rPr>
          <w:shd w:val="clear" w:color="auto" w:fill="FFFFFF"/>
        </w:rPr>
        <w:t>s a person employed wholly or partly in a private residence, which includes a “house servant” and a “</w:t>
      </w:r>
      <w:r>
        <w:rPr>
          <w:shd w:val="clear" w:color="auto" w:fill="FFFFFF"/>
          <w:lang w:val="it-IT"/>
        </w:rPr>
        <w:t>personal servant</w:t>
      </w:r>
      <w:r>
        <w:rPr>
          <w:shd w:val="clear" w:color="auto" w:fill="FFFFFF"/>
        </w:rPr>
        <w:t>”.</w:t>
      </w:r>
    </w:p>
    <w:p w14:paraId="08C89A6A" w14:textId="77777777" w:rsidR="00860A3B" w:rsidRDefault="0024358F">
      <w:pPr>
        <w:pStyle w:val="BodyA"/>
      </w:pPr>
      <w:r>
        <w:rPr>
          <w:shd w:val="clear" w:color="auto" w:fill="FFFFFF"/>
        </w:rPr>
        <w:t xml:space="preserve"> Under the </w:t>
      </w:r>
      <w:proofErr w:type="spellStart"/>
      <w:r>
        <w:rPr>
          <w:shd w:val="clear" w:color="auto" w:fill="FFFFFF"/>
        </w:rPr>
        <w:t>Labour</w:t>
      </w:r>
      <w:proofErr w:type="spellEnd"/>
      <w:r>
        <w:rPr>
          <w:shd w:val="clear" w:color="auto" w:fill="FFFFFF"/>
        </w:rPr>
        <w:t xml:space="preserve"> Code, the on</w:t>
      </w:r>
      <w:r>
        <w:rPr>
          <w:shd w:val="clear" w:color="auto" w:fill="FFFFFF"/>
        </w:rPr>
        <w:t>ly provisions addressing the specificity of domestic</w:t>
      </w:r>
      <w:r>
        <w:t xml:space="preserve"> worker in a private home explicitly are (a) exemptions of employers of domestic workers who are family members from restrictions on hours of work and mandatory rest periods; and (b) permitting the employ</w:t>
      </w:r>
      <w:r>
        <w:t>ment as domestic workers of children at night, with no obligation on the employer to permit their return to their families/residential homes at night.</w:t>
      </w:r>
    </w:p>
    <w:p w14:paraId="12D89446" w14:textId="77777777" w:rsidR="00860A3B" w:rsidRDefault="0024358F">
      <w:pPr>
        <w:pStyle w:val="BodyA"/>
        <w:spacing w:line="256" w:lineRule="auto"/>
        <w:jc w:val="both"/>
      </w:pPr>
      <w:r>
        <w:t xml:space="preserve">However, the laws contain the following complete or partial exclusions of domestic workers from critical </w:t>
      </w:r>
      <w:r>
        <w:t>legal protection:</w:t>
      </w:r>
    </w:p>
    <w:p w14:paraId="19BD0B03" w14:textId="77777777" w:rsidR="00860A3B" w:rsidRDefault="0024358F">
      <w:pPr>
        <w:pStyle w:val="BodyA"/>
        <w:spacing w:line="256" w:lineRule="auto"/>
        <w:jc w:val="both"/>
      </w:pPr>
      <w:r>
        <w:rPr>
          <w:b/>
          <w:bCs/>
        </w:rPr>
        <w:t>4.2.1</w:t>
      </w:r>
      <w:r>
        <w:rPr>
          <w:b/>
          <w:bCs/>
        </w:rPr>
        <w:tab/>
        <w:t xml:space="preserve">Exemptions of family members, from hours of work limits and mandatory rest </w:t>
      </w:r>
      <w:r>
        <w:rPr>
          <w:b/>
          <w:bCs/>
        </w:rPr>
        <w:tab/>
        <w:t>periods</w:t>
      </w:r>
    </w:p>
    <w:p w14:paraId="045C33CE" w14:textId="77777777" w:rsidR="00860A3B" w:rsidRDefault="0024358F">
      <w:pPr>
        <w:pStyle w:val="BodyA"/>
      </w:pPr>
      <w:r>
        <w:t xml:space="preserve">Section 117 and Section 118 of the </w:t>
      </w:r>
      <w:proofErr w:type="spellStart"/>
      <w:r>
        <w:t>Labour</w:t>
      </w:r>
      <w:proofErr w:type="spellEnd"/>
      <w:r>
        <w:t xml:space="preserve"> Code address </w:t>
      </w:r>
      <w:r>
        <w:rPr>
          <w:b/>
          <w:bCs/>
        </w:rPr>
        <w:t>hours of work and rest periods</w:t>
      </w:r>
      <w:r>
        <w:t xml:space="preserve">. Section 117 provides for a weekly rest period of at least 24 </w:t>
      </w:r>
      <w:r>
        <w:t>continuous hours which must include Sunday. Where the employee is required to work on his or her day of rest or a public holiday, the Act entitles him or her to double pay.   Section 118 limits normal hours of work to no more than 45 hours per week, with t</w:t>
      </w:r>
      <w:r>
        <w:t>he maximum of nine hours per day for an employee who works 5 days per week; and for an employee who works 6 days a week; 8 hours of work 5 days, and 5 hours on the last day. It prohibits requiring an employee to be required to work continuously for more th</w:t>
      </w:r>
      <w:r>
        <w:t xml:space="preserve">an five hours without being given a rest period of an hour.  Section 118(3) permits an employer to request an additional 11 hours of work but sets out payment of no less than one and a quarter of the normal wage rate for overtime work. </w:t>
      </w:r>
    </w:p>
    <w:p w14:paraId="603C24C6" w14:textId="77777777" w:rsidR="00860A3B" w:rsidRDefault="0024358F">
      <w:pPr>
        <w:pStyle w:val="BodyA"/>
      </w:pPr>
      <w:r>
        <w:lastRenderedPageBreak/>
        <w:t>However, under sect</w:t>
      </w:r>
      <w:r>
        <w:t>ion 119, the Code permits exemption from provisions of section 117 and 118 which do not apply to “</w:t>
      </w:r>
      <w:r>
        <w:rPr>
          <w:lang w:val="de-DE"/>
        </w:rPr>
        <w:t xml:space="preserve">(a) </w:t>
      </w:r>
      <w:proofErr w:type="spellStart"/>
      <w:r>
        <w:rPr>
          <w:lang w:val="de-DE"/>
        </w:rPr>
        <w:t>undertakings</w:t>
      </w:r>
      <w:proofErr w:type="spellEnd"/>
      <w:r>
        <w:rPr>
          <w:lang w:val="de-DE"/>
        </w:rPr>
        <w:t xml:space="preserve"> in </w:t>
      </w:r>
      <w:r>
        <w:rPr>
          <w:i/>
          <w:iCs/>
        </w:rPr>
        <w:t>which only members of the employer's family</w:t>
      </w:r>
      <w:r>
        <w:t>, up to a total of five including the employer, are employed”. Further, “family" is defined bro</w:t>
      </w:r>
      <w:r>
        <w:t>adly in the Act to include “the wife or wives, husband and the dependent relatives of the employee”.  A “</w:t>
      </w:r>
      <w:proofErr w:type="spellStart"/>
      <w:r>
        <w:rPr>
          <w:lang w:val="es-ES_tradnl"/>
        </w:rPr>
        <w:t>dependent</w:t>
      </w:r>
      <w:proofErr w:type="spellEnd"/>
      <w:r>
        <w:t>” is in turn defined under the Act as “</w:t>
      </w:r>
      <w:r>
        <w:rPr>
          <w:i/>
          <w:iCs/>
        </w:rPr>
        <w:t>any member of an employee’s family, including an illegitimate child who is wholly or partly legally dep</w:t>
      </w:r>
      <w:r>
        <w:rPr>
          <w:i/>
          <w:iCs/>
        </w:rPr>
        <w:t>endent on the earnings of the employee for the provision of the ordinary necessities of life</w:t>
      </w:r>
      <w:r>
        <w:t>.”</w:t>
      </w:r>
    </w:p>
    <w:p w14:paraId="7E5BAFF2" w14:textId="77777777" w:rsidR="00860A3B" w:rsidRDefault="0024358F">
      <w:pPr>
        <w:pStyle w:val="BodyA"/>
      </w:pPr>
      <w:r>
        <w:t xml:space="preserve">Since employment as a domestic worker in a private house would constitute an “undertaking in which only the members of an employer’s family are employed”, “any” </w:t>
      </w:r>
      <w:r>
        <w:t xml:space="preserve">family members, who are </w:t>
      </w:r>
      <w:r>
        <w:rPr>
          <w:i/>
          <w:iCs/>
        </w:rPr>
        <w:t xml:space="preserve">employed </w:t>
      </w:r>
      <w:r>
        <w:t>as domestic workers would be excluded from crucial protections with respect to rest periods, limited work weeks and payment of overtime. The employer would similarly not be liable for the penalty set out in the Code</w:t>
      </w:r>
    </w:p>
    <w:p w14:paraId="1E79C5F6" w14:textId="77777777" w:rsidR="00860A3B" w:rsidRDefault="0024358F">
      <w:pPr>
        <w:pStyle w:val="Default"/>
        <w:spacing w:after="160" w:line="256" w:lineRule="auto"/>
        <w:jc w:val="both"/>
      </w:pPr>
      <w:r>
        <w:rPr>
          <w:rFonts w:ascii="Calibri" w:eastAsia="Calibri" w:hAnsi="Calibri" w:cs="Calibri"/>
        </w:rPr>
        <w:t>The eff</w:t>
      </w:r>
      <w:r>
        <w:rPr>
          <w:rFonts w:ascii="Calibri" w:eastAsia="Calibri" w:hAnsi="Calibri" w:cs="Calibri"/>
        </w:rPr>
        <w:t xml:space="preserve">ect of this exclusion is that the right to equality and non-discrimination, as well as legal safeguards against exploitation potentially rising to domestic servitude, do not extend to family members employed in family undertakings employing under 5 family </w:t>
      </w:r>
      <w:r>
        <w:rPr>
          <w:rFonts w:ascii="Calibri" w:eastAsia="Calibri" w:hAnsi="Calibri" w:cs="Calibri"/>
        </w:rPr>
        <w:t xml:space="preserve">members. </w:t>
      </w:r>
    </w:p>
    <w:p w14:paraId="40AC2956" w14:textId="1D184EBF" w:rsidR="00860A3B" w:rsidRDefault="0024358F">
      <w:pPr>
        <w:pStyle w:val="Default"/>
        <w:spacing w:after="160" w:line="256" w:lineRule="auto"/>
        <w:jc w:val="both"/>
      </w:pPr>
      <w:r>
        <w:rPr>
          <w:rFonts w:ascii="Calibri" w:eastAsia="Calibri" w:hAnsi="Calibri" w:cs="Calibri"/>
        </w:rPr>
        <w:t xml:space="preserve">In General Comment No 28, the Committee highlights that inequality is “deeply embedded in tradition, history and </w:t>
      </w:r>
      <w:r w:rsidR="008D6345">
        <w:rPr>
          <w:rFonts w:ascii="Calibri" w:eastAsia="Calibri" w:hAnsi="Calibri" w:cs="Calibri"/>
        </w:rPr>
        <w:t>culture “and</w:t>
      </w:r>
      <w:r>
        <w:rPr>
          <w:rFonts w:ascii="Calibri" w:eastAsia="Calibri" w:hAnsi="Calibri" w:cs="Calibri"/>
        </w:rPr>
        <w:t xml:space="preserve"> the ways in which rights including to privacy, can be interfered with by private actors within the family as well as empl</w:t>
      </w:r>
      <w:r>
        <w:rPr>
          <w:rFonts w:ascii="Calibri" w:eastAsia="Calibri" w:hAnsi="Calibri" w:cs="Calibri"/>
        </w:rPr>
        <w:t>oyers, which states are obliged to report on.</w:t>
      </w:r>
      <w:r>
        <w:rPr>
          <w:rFonts w:ascii="Calibri" w:eastAsia="Calibri" w:hAnsi="Calibri" w:cs="Calibri"/>
          <w:vertAlign w:val="superscript"/>
        </w:rPr>
        <w:footnoteReference w:id="15"/>
      </w:r>
      <w:r>
        <w:rPr>
          <w:rFonts w:ascii="Calibri" w:eastAsia="Calibri" w:hAnsi="Calibri" w:cs="Calibri"/>
        </w:rPr>
        <w:t xml:space="preserve"> The section 119 exemption illustrate the types o</w:t>
      </w:r>
      <w:r>
        <w:rPr>
          <w:rFonts w:ascii="Calibri" w:eastAsia="Calibri" w:hAnsi="Calibri" w:cs="Calibri"/>
        </w:rPr>
        <w:fldChar w:fldCharType="begin"/>
      </w:r>
      <w:r>
        <w:rPr>
          <w:rFonts w:ascii="Calibri" w:eastAsia="Calibri" w:hAnsi="Calibri" w:cs="Calibri"/>
        </w:rPr>
        <w:instrText xml:space="preserve"> PAGE </w:instrText>
      </w:r>
      <w:r>
        <w:rPr>
          <w:rFonts w:ascii="Calibri" w:eastAsia="Calibri" w:hAnsi="Calibri" w:cs="Calibri"/>
        </w:rPr>
        <w:fldChar w:fldCharType="separate"/>
      </w:r>
      <w:r>
        <w:rPr>
          <w:rFonts w:ascii="Calibri" w:eastAsia="Calibri" w:hAnsi="Calibri" w:cs="Calibri"/>
        </w:rPr>
        <w:t>6</w:t>
      </w:r>
      <w:r>
        <w:rPr>
          <w:rFonts w:ascii="Calibri" w:eastAsia="Calibri" w:hAnsi="Calibri" w:cs="Calibri"/>
        </w:rPr>
        <w:fldChar w:fldCharType="end"/>
      </w:r>
      <w:r>
        <w:rPr>
          <w:rFonts w:ascii="Calibri" w:eastAsia="Calibri" w:hAnsi="Calibri" w:cs="Calibri"/>
        </w:rPr>
        <w:fldChar w:fldCharType="begin"/>
      </w:r>
      <w:r>
        <w:rPr>
          <w:rFonts w:ascii="Calibri" w:eastAsia="Calibri" w:hAnsi="Calibri" w:cs="Calibri"/>
        </w:rPr>
        <w:instrText xml:space="preserve"> PAGE </w:instrText>
      </w:r>
      <w:r>
        <w:rPr>
          <w:rFonts w:ascii="Calibri" w:eastAsia="Calibri" w:hAnsi="Calibri" w:cs="Calibri"/>
        </w:rPr>
        <w:fldChar w:fldCharType="separate"/>
      </w:r>
      <w:r>
        <w:rPr>
          <w:rFonts w:ascii="Calibri" w:eastAsia="Calibri" w:hAnsi="Calibri" w:cs="Calibri"/>
        </w:rPr>
        <w:t>6</w:t>
      </w:r>
      <w:r>
        <w:rPr>
          <w:rFonts w:ascii="Calibri" w:eastAsia="Calibri" w:hAnsi="Calibri" w:cs="Calibri"/>
        </w:rPr>
        <w:fldChar w:fldCharType="end"/>
      </w:r>
      <w:r>
        <w:rPr>
          <w:rFonts w:ascii="Calibri" w:eastAsia="Calibri" w:hAnsi="Calibri" w:cs="Calibri"/>
        </w:rPr>
        <w:t xml:space="preserve">f discrimination that occur at the confluence of family and employment, which would be unlikely to satisfy the </w:t>
      </w:r>
      <w:r>
        <w:rPr>
          <w:rFonts w:ascii="Calibri" w:eastAsia="Calibri" w:hAnsi="Calibri" w:cs="Calibri"/>
        </w:rPr>
        <w:t>reasonableness, objective and proportionality requirement under ICCPR articles 2, 3 and article 26 of ICCPR.</w:t>
      </w:r>
    </w:p>
    <w:p w14:paraId="27BAA036" w14:textId="1A07756E" w:rsidR="00860A3B" w:rsidRDefault="0024358F">
      <w:pPr>
        <w:pStyle w:val="BodyA"/>
      </w:pPr>
      <w:r>
        <w:t xml:space="preserve">In contrast to the wide berth given to employing family members within Lesotho and exemption from key protections afforded other workers, the </w:t>
      </w:r>
      <w:proofErr w:type="spellStart"/>
      <w:r>
        <w:t>Labou</w:t>
      </w:r>
      <w:r>
        <w:t>r</w:t>
      </w:r>
      <w:proofErr w:type="spellEnd"/>
      <w:r>
        <w:t xml:space="preserve"> Code has several provisions protecting the family of workers migrating </w:t>
      </w:r>
      <w:r w:rsidR="008D6345">
        <w:t>abroad, including</w:t>
      </w:r>
      <w:r>
        <w:t xml:space="preserve"> the right of the recruited worker to not be separated from his or her spouse or minor children, and making clear that recruiting a “head of a family” is not deemed </w:t>
      </w:r>
      <w:r>
        <w:t>to include the recruiting of any family member.</w:t>
      </w:r>
      <w:r>
        <w:rPr>
          <w:vertAlign w:val="superscript"/>
        </w:rPr>
        <w:footnoteReference w:id="16"/>
      </w:r>
    </w:p>
    <w:p w14:paraId="3DA0F489" w14:textId="77777777" w:rsidR="00860A3B" w:rsidRDefault="0024358F">
      <w:pPr>
        <w:pStyle w:val="Default"/>
        <w:spacing w:line="256" w:lineRule="auto"/>
        <w:jc w:val="both"/>
      </w:pPr>
      <w:r>
        <w:rPr>
          <w:rFonts w:ascii="Calibri" w:eastAsia="Calibri" w:hAnsi="Calibri" w:cs="Calibri"/>
        </w:rPr>
        <w:t>This is consistent with ILO C189 on Domestic Work, which provides no blanket exemptions for family members, if they are also employees, even if those are employed in a family undertaking.  C190 defines a do</w:t>
      </w:r>
      <w:r>
        <w:rPr>
          <w:rFonts w:ascii="Calibri" w:eastAsia="Calibri" w:hAnsi="Calibri" w:cs="Calibri"/>
        </w:rPr>
        <w:t>mestic worker as “any person engaged in domestic work within an employment relationship.”  Consequently, these exclusions with respect to section 117 and 118, would fall foul of provisions in C189 that specifies that domestic workers receive equal treatmen</w:t>
      </w:r>
      <w:r>
        <w:rPr>
          <w:rFonts w:ascii="Calibri" w:eastAsia="Calibri" w:hAnsi="Calibri" w:cs="Calibri"/>
        </w:rPr>
        <w:t xml:space="preserve">t to other workers, particularly with respect to working hours, overtime pay, and daily and weekly rest periods and annual leave. The Convention specifies that domestic workers have a minimum weekly rest period of 24 hours. </w:t>
      </w:r>
    </w:p>
    <w:p w14:paraId="62D1F918" w14:textId="77777777" w:rsidR="00860A3B" w:rsidRDefault="00860A3B">
      <w:pPr>
        <w:pStyle w:val="Default"/>
        <w:spacing w:line="256" w:lineRule="auto"/>
        <w:jc w:val="both"/>
      </w:pPr>
    </w:p>
    <w:p w14:paraId="2C4DF8F1" w14:textId="77777777" w:rsidR="00860A3B" w:rsidRDefault="0024358F">
      <w:pPr>
        <w:pStyle w:val="Default"/>
        <w:spacing w:line="256" w:lineRule="auto"/>
        <w:jc w:val="both"/>
      </w:pPr>
      <w:r>
        <w:rPr>
          <w:rFonts w:ascii="Calibri" w:eastAsia="Calibri" w:hAnsi="Calibri" w:cs="Calibri"/>
          <w:b/>
          <w:bCs/>
        </w:rPr>
        <w:t>4.2.2</w:t>
      </w:r>
      <w:r>
        <w:rPr>
          <w:rFonts w:ascii="Calibri" w:eastAsia="Calibri" w:hAnsi="Calibri" w:cs="Calibri"/>
          <w:b/>
          <w:bCs/>
        </w:rPr>
        <w:tab/>
        <w:t xml:space="preserve">Protection for </w:t>
      </w:r>
      <w:r>
        <w:rPr>
          <w:rFonts w:ascii="Calibri" w:eastAsia="Calibri" w:hAnsi="Calibri" w:cs="Calibri"/>
          <w:b/>
          <w:bCs/>
        </w:rPr>
        <w:t>Children and Young Workers</w:t>
      </w:r>
    </w:p>
    <w:p w14:paraId="46540C9E" w14:textId="77777777" w:rsidR="00860A3B" w:rsidRDefault="00860A3B">
      <w:pPr>
        <w:pStyle w:val="ListParagraph"/>
        <w:tabs>
          <w:tab w:val="left" w:pos="360"/>
          <w:tab w:val="left" w:pos="720"/>
        </w:tabs>
        <w:spacing w:after="0" w:line="240" w:lineRule="auto"/>
      </w:pPr>
    </w:p>
    <w:p w14:paraId="2174E5CA" w14:textId="77777777" w:rsidR="00860A3B" w:rsidRDefault="0024358F">
      <w:pPr>
        <w:pStyle w:val="BodyA"/>
      </w:pPr>
      <w:r>
        <w:t xml:space="preserve">Part IX of the </w:t>
      </w:r>
      <w:proofErr w:type="spellStart"/>
      <w:r>
        <w:t>Labour</w:t>
      </w:r>
      <w:proofErr w:type="spellEnd"/>
      <w:r>
        <w:t xml:space="preserve"> Code deals with employment of women, young persons and children. Section 124(1) stipulates that “No child shall be employed or work in any commercial or industrial undertaking other than a </w:t>
      </w:r>
      <w:r>
        <w:rPr>
          <w:i/>
          <w:iCs/>
        </w:rPr>
        <w:t>private undertaki</w:t>
      </w:r>
      <w:r>
        <w:rPr>
          <w:i/>
          <w:iCs/>
        </w:rPr>
        <w:t xml:space="preserve">ng in which only members of the child's own family, up to five in total </w:t>
      </w:r>
      <w:r>
        <w:rPr>
          <w:i/>
          <w:iCs/>
        </w:rPr>
        <w:lastRenderedPageBreak/>
        <w:t>number</w:t>
      </w:r>
      <w:r>
        <w:t xml:space="preserve">, are employed”. According to the definition section of the Act, a child is “a person under the age of 15”.  </w:t>
      </w:r>
    </w:p>
    <w:p w14:paraId="1CA02870" w14:textId="04712920" w:rsidR="00860A3B" w:rsidRDefault="0024358F">
      <w:pPr>
        <w:pStyle w:val="BodyA"/>
      </w:pPr>
      <w:r>
        <w:t xml:space="preserve"> Section 125 goes on to set out the restrictions on employment of ch</w:t>
      </w:r>
      <w:r>
        <w:t xml:space="preserve">ildren (under the age of 15) and young persons (over 15 and under 18). Significantly, section 125(5) prohibits employment of people under the age of 16 years under conditions preventing him or her from returning each night to the place of residence of his </w:t>
      </w:r>
      <w:r>
        <w:t xml:space="preserve">or her parent or guardian. However, the section stipulates that “this provision shall not apply to domestic </w:t>
      </w:r>
      <w:r w:rsidR="008D6345">
        <w:t>servants. “</w:t>
      </w:r>
    </w:p>
    <w:p w14:paraId="473C110D" w14:textId="77777777" w:rsidR="00860A3B" w:rsidRDefault="0024358F">
      <w:pPr>
        <w:pStyle w:val="BodyA"/>
      </w:pPr>
      <w:r>
        <w:t>Under S125(5), the protections afforded to workers in industrial and commercial undertakings – that they are not prevented from returning</w:t>
      </w:r>
      <w:r>
        <w:t xml:space="preserve"> to their parental home/guardian home each night – are not afforded to domestic workers, and while other children under the age of 16 are prohibited from night work, employers of child domestic workers, are not equivalently restricted.</w:t>
      </w:r>
    </w:p>
    <w:p w14:paraId="6666FAAF" w14:textId="77777777" w:rsidR="00860A3B" w:rsidRDefault="0024358F">
      <w:pPr>
        <w:pStyle w:val="BodyA"/>
      </w:pPr>
      <w:r>
        <w:t>Further, restriction</w:t>
      </w:r>
      <w:r>
        <w:t>s on night</w:t>
      </w:r>
      <w:r>
        <w:rPr>
          <w:b/>
          <w:bCs/>
        </w:rPr>
        <w:t xml:space="preserve"> </w:t>
      </w:r>
      <w:r>
        <w:t>work under section 126, apply only to commercial or industrial undertakings. Accordingly, the section does not protect children under the age of 16 from working as live-in domestic workers and working at night.</w:t>
      </w:r>
    </w:p>
    <w:p w14:paraId="17ABF90C" w14:textId="6EC7BA6E" w:rsidR="00860A3B" w:rsidRDefault="0024358F">
      <w:pPr>
        <w:pStyle w:val="BodyA"/>
      </w:pPr>
      <w:r>
        <w:t>These provisions which exclude chi</w:t>
      </w:r>
      <w:r>
        <w:t xml:space="preserve">ld domestic workers, who are predominately female from protection afforded to other child workers are discriminatory; </w:t>
      </w:r>
      <w:r w:rsidR="008D6345">
        <w:t>and</w:t>
      </w:r>
      <w:r>
        <w:t xml:space="preserve"> interfere with rights to privacy, liberty and freedom of movement </w:t>
      </w:r>
      <w:proofErr w:type="gramStart"/>
      <w:r>
        <w:t>and also</w:t>
      </w:r>
      <w:proofErr w:type="gramEnd"/>
      <w:r>
        <w:t xml:space="preserve"> family life under the ICCPR. CCPR GC 28 </w:t>
      </w:r>
      <w:r w:rsidR="008D6345">
        <w:t>emphasizes</w:t>
      </w:r>
      <w:r>
        <w:t xml:space="preserve"> tha</w:t>
      </w:r>
      <w:r>
        <w:t>t the obligation to protect children under the ICCPR should be carried out equally for boys and girls.</w:t>
      </w:r>
      <w:r>
        <w:rPr>
          <w:vertAlign w:val="superscript"/>
        </w:rPr>
        <w:footnoteReference w:id="17"/>
      </w:r>
    </w:p>
    <w:p w14:paraId="3B7E034C" w14:textId="05BF67C6" w:rsidR="00860A3B" w:rsidRDefault="0024358F">
      <w:pPr>
        <w:pStyle w:val="BodyA"/>
      </w:pPr>
      <w:r>
        <w:t xml:space="preserve">In contrast, ILO C189, the Domestic Worker </w:t>
      </w:r>
      <w:r w:rsidR="008D6345">
        <w:t>Convention provisions</w:t>
      </w:r>
      <w:r>
        <w:t xml:space="preserve"> set out that measures need to be taken to ensure that domestic workers are “free to r</w:t>
      </w:r>
      <w:r>
        <w:t>each agreement with their employer or potential employer on whether to reside in the household … and that they are not required to stay in the accommodation during rest periods and leave”.</w:t>
      </w:r>
      <w:r>
        <w:rPr>
          <w:sz w:val="14"/>
          <w:szCs w:val="14"/>
          <w:vertAlign w:val="superscript"/>
        </w:rPr>
        <w:t xml:space="preserve"> </w:t>
      </w:r>
    </w:p>
    <w:p w14:paraId="6C514E74" w14:textId="77777777" w:rsidR="00860A3B" w:rsidRDefault="0024358F">
      <w:pPr>
        <w:pStyle w:val="BodyA"/>
      </w:pPr>
      <w:r>
        <w:t>Similarly, C189 obliges State Parties to protect especially vulner</w:t>
      </w:r>
      <w:r>
        <w:t>able groups of domestic workers, including Child domestic workers. Convention 189 requires member states to set a minimum age for domestic workers consistent with the provisions of the ILO Convention 138 on Minimum Age Convention and the ILO Convention 182</w:t>
      </w:r>
      <w:r>
        <w:t xml:space="preserve"> on Worst Forms of Child </w:t>
      </w:r>
      <w:proofErr w:type="spellStart"/>
      <w:r>
        <w:t>Labour</w:t>
      </w:r>
      <w:proofErr w:type="spellEnd"/>
      <w:r>
        <w:t xml:space="preserve"> Convention and not lower than that established by national laws and regulations for workers generally.  However, S124 of the </w:t>
      </w:r>
      <w:proofErr w:type="spellStart"/>
      <w:r>
        <w:t>Labour</w:t>
      </w:r>
      <w:proofErr w:type="spellEnd"/>
      <w:r>
        <w:t xml:space="preserve"> Code permits children, under fifteen, who could be distant members of the extended family, t</w:t>
      </w:r>
      <w:r>
        <w:t>o work as an employee in a family members home, with minimal restriction.</w:t>
      </w:r>
    </w:p>
    <w:p w14:paraId="063B9BCD" w14:textId="77777777" w:rsidR="00860A3B" w:rsidRDefault="0024358F">
      <w:pPr>
        <w:pStyle w:val="BodyA"/>
      </w:pPr>
      <w:r>
        <w:t>Further, the recommendation elaborates that when employing a domestic worker under the age of 18, but above the minimum age of employment defined by national law  members must: (a) s</w:t>
      </w:r>
      <w:r>
        <w:t>trictly limit their hours of work to ensure adequate time for rest, education and training, leisure activities and family contacts; (b) prohibiting night work; (c) placing restrictions on work that is excessively demanding, whether physically or psychologi</w:t>
      </w:r>
      <w:r>
        <w:t xml:space="preserve">cally; and (d) establishing or strengthening physical mechanisms to monitor their working and living conditions. </w:t>
      </w:r>
    </w:p>
    <w:p w14:paraId="37D4AB10" w14:textId="77777777" w:rsidR="00860A3B" w:rsidRDefault="0024358F">
      <w:pPr>
        <w:pStyle w:val="BodyA"/>
      </w:pPr>
      <w:r>
        <w:lastRenderedPageBreak/>
        <w:t>Similarly, UN Human Rights Conventions, the eight ILO core Conventions and the African Human Rights Convention would require that Lesotho fulf</w:t>
      </w:r>
      <w:r>
        <w:t>ils its obligations with respect to non-discrimination of domestic workers, and that provisions with respect to child and young person domestic workers, protect them from exploitation and preserve their physical or mental health, rather than subjecting the</w:t>
      </w:r>
      <w:r>
        <w:t xml:space="preserve">m to greater employer control. </w:t>
      </w:r>
    </w:p>
    <w:p w14:paraId="74B3695D" w14:textId="77777777" w:rsidR="00860A3B" w:rsidRDefault="0024358F">
      <w:pPr>
        <w:pStyle w:val="BodyA"/>
      </w:pPr>
      <w:r>
        <w:t>The African Charter on the Rights and Welfare of the Child, defines a child as a person below 18, and puts in place a “best interest of the held standard”, which requires non-discrimination and protection from economic explo</w:t>
      </w:r>
      <w:r>
        <w:t>itation. Significantly, article, 21, requires states to take all appropriate measures to eliminate harmful, social and cultural practices that prejudice the health or life of the child, and) “those customs and practices that are discriminatory to the child</w:t>
      </w:r>
      <w:r>
        <w:t xml:space="preserve"> -on the grounds of sex or other status.”</w:t>
      </w:r>
    </w:p>
    <w:p w14:paraId="21DE0BD9" w14:textId="6EEDC973" w:rsidR="00860A3B" w:rsidRDefault="0024358F">
      <w:pPr>
        <w:pStyle w:val="BodyA"/>
      </w:pPr>
      <w:r>
        <w:t xml:space="preserve">It is noteworthy that </w:t>
      </w:r>
      <w:r w:rsidR="008D6345">
        <w:t>in</w:t>
      </w:r>
      <w:r>
        <w:t xml:space="preserve"> contrast to the wide latitude given to employing child and young domestic workers within Lesotho and exemption from key protections afforded other workers, Section 148 of the </w:t>
      </w:r>
      <w:proofErr w:type="spellStart"/>
      <w:r>
        <w:t>Labour</w:t>
      </w:r>
      <w:proofErr w:type="spellEnd"/>
      <w:r>
        <w:t xml:space="preserve"> Code ma</w:t>
      </w:r>
      <w:r>
        <w:t xml:space="preserve">kes clear that no person under 18, may be recruited for employment outside Lesotho. </w:t>
      </w:r>
      <w:proofErr w:type="gramStart"/>
      <w:r>
        <w:t>As a consequence</w:t>
      </w:r>
      <w:proofErr w:type="gramEnd"/>
      <w:r>
        <w:t>, domestic workers in Lesotho can be said to be better protected by their own governments when they work abroad, than when they remain at home.</w:t>
      </w:r>
    </w:p>
    <w:p w14:paraId="5E794F6F" w14:textId="77777777" w:rsidR="00860A3B" w:rsidRDefault="0024358F">
      <w:pPr>
        <w:pStyle w:val="BodyA"/>
      </w:pPr>
      <w:r>
        <w:rPr>
          <w:b/>
          <w:bCs/>
        </w:rPr>
        <w:t>4.2.3</w:t>
      </w:r>
      <w:r>
        <w:rPr>
          <w:b/>
          <w:bCs/>
        </w:rPr>
        <w:tab/>
      </w:r>
      <w:proofErr w:type="spellStart"/>
      <w:r>
        <w:rPr>
          <w:b/>
          <w:bCs/>
        </w:rPr>
        <w:t>Labour</w:t>
      </w:r>
      <w:proofErr w:type="spellEnd"/>
      <w:r>
        <w:rPr>
          <w:b/>
          <w:bCs/>
        </w:rPr>
        <w:t xml:space="preserve"> Inspection</w:t>
      </w:r>
    </w:p>
    <w:p w14:paraId="6EE939BA" w14:textId="0EF66FB6" w:rsidR="00860A3B" w:rsidRDefault="008D6345">
      <w:pPr>
        <w:pStyle w:val="BodyA"/>
      </w:pPr>
      <w:r>
        <w:t xml:space="preserve">The </w:t>
      </w:r>
      <w:proofErr w:type="spellStart"/>
      <w:r>
        <w:t>Labour</w:t>
      </w:r>
      <w:proofErr w:type="spellEnd"/>
      <w:r w:rsidR="0024358F">
        <w:t xml:space="preserve"> Code differentiates between </w:t>
      </w:r>
      <w:proofErr w:type="spellStart"/>
      <w:r w:rsidR="0024358F">
        <w:t>labour</w:t>
      </w:r>
      <w:proofErr w:type="spellEnd"/>
      <w:r w:rsidR="0024358F">
        <w:t xml:space="preserve"> inspection in workplaces, and </w:t>
      </w:r>
      <w:proofErr w:type="spellStart"/>
      <w:r w:rsidR="0024358F">
        <w:t>labour</w:t>
      </w:r>
      <w:proofErr w:type="spellEnd"/>
      <w:r w:rsidR="0024358F">
        <w:t xml:space="preserve"> inspection of a workplace which is a home in which a domestic worker is employed. </w:t>
      </w:r>
    </w:p>
    <w:p w14:paraId="04587DB3" w14:textId="77777777" w:rsidR="00860A3B" w:rsidRDefault="0024358F">
      <w:pPr>
        <w:pStyle w:val="BodyA"/>
      </w:pPr>
      <w:r>
        <w:t xml:space="preserve">Section 14 of the Labor Code empowers a </w:t>
      </w:r>
      <w:proofErr w:type="spellStart"/>
      <w:r>
        <w:t>labour</w:t>
      </w:r>
      <w:proofErr w:type="spellEnd"/>
      <w:r>
        <w:t xml:space="preserve"> officer to enter workplaces fr</w:t>
      </w:r>
      <w:r>
        <w:t xml:space="preserve">eely in order to inspect, “at all reasonable times, whether by day or night, and without previous notice” work premises to inspect, question, enforce, prohibit and order </w:t>
      </w:r>
      <w:proofErr w:type="spellStart"/>
      <w:r>
        <w:t>labour</w:t>
      </w:r>
      <w:proofErr w:type="spellEnd"/>
      <w:r>
        <w:t xml:space="preserve"> laws. However, with respect to the inspection of a private dwelling, the sectio</w:t>
      </w:r>
      <w:r>
        <w:t xml:space="preserve">n sets out that “the </w:t>
      </w:r>
      <w:proofErr w:type="spellStart"/>
      <w:r>
        <w:t>labour</w:t>
      </w:r>
      <w:proofErr w:type="spellEnd"/>
      <w:r>
        <w:t xml:space="preserve"> officer or [any] other officer shall not enter or inspect a private dwelling-house or any land or building privately occupied in connection therewith, during the hours of darkness, and shall not without the consent of the occupi</w:t>
      </w:r>
      <w:r>
        <w:t>er thereof enter such land or premises during the hours of daylight.”</w:t>
      </w:r>
    </w:p>
    <w:p w14:paraId="51DAE982" w14:textId="77777777" w:rsidR="00860A3B" w:rsidRDefault="0024358F">
      <w:pPr>
        <w:pStyle w:val="BodyA"/>
      </w:pPr>
      <w:r>
        <w:t>While this submission is</w:t>
      </w:r>
      <w:r>
        <w:rPr>
          <w:lang w:val="it-IT"/>
        </w:rPr>
        <w:t xml:space="preserve"> cogni</w:t>
      </w:r>
      <w:proofErr w:type="spellStart"/>
      <w:r>
        <w:t>sant</w:t>
      </w:r>
      <w:proofErr w:type="spellEnd"/>
      <w:r>
        <w:t xml:space="preserve"> that both an employer as well as the domestic worker employed in his/her home enjoy the rights to privacy, under ICCPR, we would argue that the complet</w:t>
      </w:r>
      <w:r>
        <w:t xml:space="preserve">e exemption of employers in private homes from </w:t>
      </w:r>
      <w:proofErr w:type="spellStart"/>
      <w:r>
        <w:t>labour</w:t>
      </w:r>
      <w:proofErr w:type="spellEnd"/>
      <w:r>
        <w:t xml:space="preserve"> inspection during the nighttime, is neither reasonable, nor justifiable and is not consonant with comparative practices in other jurisdictions.  It is particularly anomalous that under S125 of the Code,</w:t>
      </w:r>
      <w:r>
        <w:t xml:space="preserve"> child domestic workers are permitted to work at night and employers of domestic workers alone are not prevented from creating conditions which do not allow him/her to return to their parental home at night, but provisions on </w:t>
      </w:r>
      <w:proofErr w:type="spellStart"/>
      <w:r>
        <w:t>labour</w:t>
      </w:r>
      <w:proofErr w:type="spellEnd"/>
      <w:r>
        <w:t xml:space="preserve"> inspection put in place</w:t>
      </w:r>
      <w:r>
        <w:t xml:space="preserve"> a blanket prohibition on inspecting homes at night. </w:t>
      </w:r>
    </w:p>
    <w:p w14:paraId="563D03E1" w14:textId="77777777" w:rsidR="00860A3B" w:rsidRDefault="0024358F">
      <w:pPr>
        <w:pStyle w:val="BodyA"/>
      </w:pPr>
      <w:r>
        <w:t>Further, even in the daytime, homes cannot be inspected, without the consent of the occupier of the home. These two provisions effectively render any existing labor protections for domestic workers unen</w:t>
      </w:r>
      <w:r>
        <w:t>forceable. Section 14 essentially makes employer “privacy” trump over equal protection rights when it comes to domestic worker in private homes. To the extent that these domestic workers are children, the section creates a gap in the provision of mechanism</w:t>
      </w:r>
      <w:r>
        <w:t>s to monitor the working and living conditions of children.</w:t>
      </w:r>
    </w:p>
    <w:p w14:paraId="7DCABEE7" w14:textId="77777777" w:rsidR="00860A3B" w:rsidRDefault="0024358F">
      <w:pPr>
        <w:pStyle w:val="BodyA"/>
      </w:pPr>
      <w:bookmarkStart w:id="0" w:name="_Hlk136523600"/>
      <w:r>
        <w:lastRenderedPageBreak/>
        <w:t xml:space="preserve">The ICESCR Committee has been clear that when a private home is a place of employment of a domestic worker, it should be equally subject to </w:t>
      </w:r>
      <w:proofErr w:type="spellStart"/>
      <w:r>
        <w:t>labour</w:t>
      </w:r>
      <w:proofErr w:type="spellEnd"/>
      <w:r>
        <w:t xml:space="preserve"> inspection.   In 2018, the ICESCR Committee recom</w:t>
      </w:r>
      <w:r>
        <w:t>mended to South Africa that domestic workers be included in the statute providing compensation for occupational injury and disease.</w:t>
      </w:r>
      <w:r>
        <w:rPr>
          <w:vertAlign w:val="superscript"/>
        </w:rPr>
        <w:t xml:space="preserve"> </w:t>
      </w:r>
      <w:r>
        <w:t xml:space="preserve">It also recommended that </w:t>
      </w:r>
      <w:proofErr w:type="spellStart"/>
      <w:r>
        <w:t>labour</w:t>
      </w:r>
      <w:proofErr w:type="spellEnd"/>
      <w:r>
        <w:t xml:space="preserve"> inspectors carry out unannounced </w:t>
      </w:r>
      <w:proofErr w:type="spellStart"/>
      <w:r>
        <w:t>labour</w:t>
      </w:r>
      <w:proofErr w:type="spellEnd"/>
      <w:r>
        <w:t xml:space="preserve"> inspections in domestic settings, without a notice o</w:t>
      </w:r>
      <w:r>
        <w:t>r a warrant.</w:t>
      </w:r>
      <w:r>
        <w:rPr>
          <w:vertAlign w:val="superscript"/>
        </w:rPr>
        <w:footnoteReference w:id="18"/>
      </w:r>
      <w:r>
        <w:t xml:space="preserve">  </w:t>
      </w:r>
      <w:bookmarkEnd w:id="0"/>
    </w:p>
    <w:p w14:paraId="660AA0E5" w14:textId="77777777" w:rsidR="00860A3B" w:rsidRDefault="0024358F">
      <w:pPr>
        <w:pStyle w:val="BodyA"/>
      </w:pPr>
      <w:r>
        <w:rPr>
          <w:b/>
          <w:bCs/>
          <w:sz w:val="24"/>
          <w:szCs w:val="24"/>
        </w:rPr>
        <w:t>4</w:t>
      </w:r>
      <w:r>
        <w:rPr>
          <w:b/>
          <w:bCs/>
          <w:sz w:val="24"/>
          <w:szCs w:val="24"/>
          <w:lang w:val="de-DE"/>
        </w:rPr>
        <w:t>.2.4</w:t>
      </w:r>
      <w:r>
        <w:rPr>
          <w:b/>
          <w:bCs/>
          <w:sz w:val="24"/>
          <w:szCs w:val="24"/>
          <w:lang w:val="de-DE"/>
        </w:rPr>
        <w:tab/>
        <w:t>National Minimum Wage</w:t>
      </w:r>
    </w:p>
    <w:p w14:paraId="40CB707F" w14:textId="77777777" w:rsidR="00860A3B" w:rsidRDefault="0024358F">
      <w:pPr>
        <w:pStyle w:val="BodyA"/>
      </w:pPr>
      <w:r>
        <w:t xml:space="preserve">In Lesotho, domestic workers have a separate and lower minimum wage than workers in other sectors.  </w:t>
      </w:r>
    </w:p>
    <w:p w14:paraId="57A782EA" w14:textId="77777777" w:rsidR="00860A3B" w:rsidRDefault="0024358F">
      <w:pPr>
        <w:pStyle w:val="BodyA"/>
      </w:pPr>
      <w:r>
        <w:t xml:space="preserve">Currently, this wage has been set at the sum of approximately $34.69 </w:t>
      </w:r>
      <w:proofErr w:type="gramStart"/>
      <w:r>
        <w:t>( LSL</w:t>
      </w:r>
      <w:proofErr w:type="gramEnd"/>
      <w:r>
        <w:t xml:space="preserve">624.00) per month for </w:t>
      </w:r>
      <w:r>
        <w:t xml:space="preserve">employees with less than twelve month continuous service with the same employer; and $38,31 (LSL689.00) for employees with more than twelve months continuous service with the same employer. This wage is lower than that set for other sectors, including the </w:t>
      </w:r>
      <w:r>
        <w:t xml:space="preserve">small business sector, service sector and hospitality sector, as well as lower than the designated general minimum wage, which is approximately $90 </w:t>
      </w:r>
      <w:proofErr w:type="gramStart"/>
      <w:r>
        <w:t>( LSL</w:t>
      </w:r>
      <w:proofErr w:type="gramEnd"/>
      <w:r>
        <w:t xml:space="preserve"> 1,620.00) for employees with less than twelve months service, and LSL 1,786.00 for employees with more</w:t>
      </w:r>
      <w:r>
        <w:t xml:space="preserve"> than twelve months of continuous service with the same employer.</w:t>
      </w:r>
    </w:p>
    <w:p w14:paraId="50562F7C" w14:textId="4898F556" w:rsidR="00860A3B" w:rsidRDefault="0024358F">
      <w:pPr>
        <w:pStyle w:val="BodyA"/>
      </w:pPr>
      <w:r>
        <w:t xml:space="preserve">Setting a separate and lower wages for a female dominated sector, is arguably discriminatory and contrary to articles 2, </w:t>
      </w:r>
      <w:r w:rsidR="00D5186F">
        <w:t>3 and</w:t>
      </w:r>
      <w:r>
        <w:t xml:space="preserve"> 26 of the ICCPR. Both the ICESCR and CERD committees have simi</w:t>
      </w:r>
      <w:r>
        <w:t>larly recommended in concluding observation’s that there be one minimum wage for all sectors, and that it be a living wage. In August 2022, the CERD Committee recommended that Zimbabwe “take measures to address discrimination on intersecting grounds of rac</w:t>
      </w:r>
      <w:r>
        <w:t xml:space="preserve">e, class and gender in all areas of employment, including by raising awareness among domestic workers of their </w:t>
      </w:r>
      <w:proofErr w:type="spellStart"/>
      <w:r>
        <w:t>labour</w:t>
      </w:r>
      <w:proofErr w:type="spellEnd"/>
      <w:r>
        <w:t xml:space="preserve"> rights and by providing them with mechanisms to claim those rights through collective </w:t>
      </w:r>
      <w:proofErr w:type="spellStart"/>
      <w:r>
        <w:t>organising</w:t>
      </w:r>
      <w:proofErr w:type="spellEnd"/>
      <w:r>
        <w:t>.” It further recommended that domestic wo</w:t>
      </w:r>
      <w:r>
        <w:t>rkers be included in its minimum wage regulation “at a level that guarantees a livable wage equal to other workers.</w:t>
      </w:r>
    </w:p>
    <w:p w14:paraId="15689824" w14:textId="3342B47E" w:rsidR="00860A3B" w:rsidRDefault="0024358F">
      <w:pPr>
        <w:pStyle w:val="BodyA"/>
      </w:pPr>
      <w:r>
        <w:t xml:space="preserve"> </w:t>
      </w:r>
      <w:r w:rsidR="008D6345">
        <w:t>Similarly,</w:t>
      </w:r>
      <w:r>
        <w:t xml:space="preserve"> Convention 189 obliges member states to put in place </w:t>
      </w:r>
      <w:proofErr w:type="gramStart"/>
      <w:r>
        <w:t>a number of</w:t>
      </w:r>
      <w:proofErr w:type="gramEnd"/>
      <w:r>
        <w:t xml:space="preserve"> working conditions relating to wages. Firstly, if there is a min</w:t>
      </w:r>
      <w:r>
        <w:t xml:space="preserve">imum wage in their country, it must apply to domestic workers as well, and such remuneration must be without discrimination based on sex. </w:t>
      </w:r>
    </w:p>
    <w:p w14:paraId="68A16CBA" w14:textId="77777777" w:rsidR="00860A3B" w:rsidRDefault="0024358F">
      <w:pPr>
        <w:pStyle w:val="BodyA"/>
      </w:pPr>
      <w:r>
        <w:rPr>
          <w:b/>
          <w:bCs/>
        </w:rPr>
        <w:t>4.2.5.</w:t>
      </w:r>
      <w:r>
        <w:rPr>
          <w:b/>
          <w:bCs/>
        </w:rPr>
        <w:tab/>
        <w:t>Maternity Protection</w:t>
      </w:r>
    </w:p>
    <w:p w14:paraId="13D4F8A2" w14:textId="73A8531D" w:rsidR="00860A3B" w:rsidRDefault="0024358F">
      <w:pPr>
        <w:pStyle w:val="BodyA"/>
      </w:pPr>
      <w:r>
        <w:t xml:space="preserve">Under Section 133 of the </w:t>
      </w:r>
      <w:proofErr w:type="spellStart"/>
      <w:r>
        <w:t>Labour</w:t>
      </w:r>
      <w:proofErr w:type="spellEnd"/>
      <w:r>
        <w:t xml:space="preserve"> Code, an employer is not permitted to require a worker to return to work until 6 weeks after her “confinement”, and further, that the dismissal of an employee during her maternity leave is deemed to be automatically unfair. </w:t>
      </w:r>
      <w:r>
        <w:t xml:space="preserve">However, there is no obligation under the </w:t>
      </w:r>
      <w:proofErr w:type="spellStart"/>
      <w:r>
        <w:t>Labour</w:t>
      </w:r>
      <w:proofErr w:type="spellEnd"/>
      <w:r>
        <w:t xml:space="preserve"> Code for an employer to provide paid maternity leave to employees. Notwithstanding this absence, there is a Wages Notice 2015 which guides employers in particular sectors regarding periods of maternity leave</w:t>
      </w:r>
      <w:r>
        <w:t xml:space="preserve"> that “may" be paid or given as a benefit. For example, it sets out 6 weeks of paid maternity leave for “textile clothing and leather manufacturers” and “6 weeks paid maternity leave for </w:t>
      </w:r>
      <w:r>
        <w:lastRenderedPageBreak/>
        <w:t>private security sector”. In practice this notice is generally compli</w:t>
      </w:r>
      <w:r>
        <w:t xml:space="preserve">ed with by employers, and for example women who work in factories generally enjoy 6 </w:t>
      </w:r>
      <w:r w:rsidR="008D6345">
        <w:t>weeks of</w:t>
      </w:r>
      <w:r>
        <w:t xml:space="preserve"> paid maternity leave. However, the domestic work sector is not addressed in the Wage Notice.</w:t>
      </w:r>
      <w:r>
        <w:rPr>
          <w:vertAlign w:val="superscript"/>
        </w:rPr>
        <w:footnoteReference w:id="19"/>
      </w:r>
    </w:p>
    <w:p w14:paraId="6C532941" w14:textId="77777777" w:rsidR="00860A3B" w:rsidRDefault="0024358F">
      <w:pPr>
        <w:pStyle w:val="BodyA"/>
      </w:pPr>
      <w:r>
        <w:rPr>
          <w:b/>
          <w:bCs/>
        </w:rPr>
        <w:t>5.</w:t>
      </w:r>
      <w:r>
        <w:rPr>
          <w:b/>
          <w:bCs/>
        </w:rPr>
        <w:tab/>
        <w:t>Conclusion and Recommendations:</w:t>
      </w:r>
    </w:p>
    <w:p w14:paraId="4D628A9D" w14:textId="1B8969F0" w:rsidR="00860A3B" w:rsidRDefault="0024358F">
      <w:pPr>
        <w:pStyle w:val="BodyA"/>
      </w:pPr>
      <w:r>
        <w:t>The fact that Lesotho still refe</w:t>
      </w:r>
      <w:r>
        <w:t>rs to domestic workers as “</w:t>
      </w:r>
      <w:r>
        <w:rPr>
          <w:lang w:val="fr-FR"/>
        </w:rPr>
        <w:t>servants</w:t>
      </w:r>
      <w:r>
        <w:t xml:space="preserve">” in its laws reflects the extent to which domestic work is a “status” and remains rooted in historic slavery and colonialism. The Lesotho </w:t>
      </w:r>
      <w:proofErr w:type="spellStart"/>
      <w:r>
        <w:t>Labour</w:t>
      </w:r>
      <w:proofErr w:type="spellEnd"/>
      <w:r>
        <w:t xml:space="preserve"> Code systematically excludes and discriminates against domestic workers, pr</w:t>
      </w:r>
      <w:r>
        <w:t>imarily women, young girls and children. There are almost no provisions addressed directly to the home as workplace, except for three provisions: (1) making it impossible to  inspect a private home at night or at all without the occupiers consent; (2) exem</w:t>
      </w:r>
      <w:r>
        <w:t>pting employers of family members from obligations with respect to weekly rest and public holidays, and (3) exempting employers of child or young domestic workers from prohibitions on night work, and not obliging them to refrain from preventing a child und</w:t>
      </w:r>
      <w:r>
        <w:t xml:space="preserve">er 16 from returning to his/her home and parents at night. Domestic workers also have a separate and lower national minimum wage than other workers, their employers are neither obliged nor encouraged to </w:t>
      </w:r>
      <w:r>
        <w:t>provide paid maternity leave under the Wage Notice</w:t>
      </w:r>
      <w:r>
        <w:t xml:space="preserve">. </w:t>
      </w:r>
    </w:p>
    <w:p w14:paraId="586C875E" w14:textId="77777777" w:rsidR="00860A3B" w:rsidRDefault="0024358F">
      <w:pPr>
        <w:pStyle w:val="BodyA"/>
      </w:pPr>
      <w:r>
        <w:t>As a result, we would recommend that the following provisions violate non-discrimination and other provisions of the ICCPR and should be removed from the law:</w:t>
      </w:r>
    </w:p>
    <w:p w14:paraId="56921549" w14:textId="77777777" w:rsidR="00860A3B" w:rsidRDefault="0024358F">
      <w:pPr>
        <w:pStyle w:val="ListParagraph"/>
        <w:numPr>
          <w:ilvl w:val="0"/>
          <w:numId w:val="2"/>
        </w:numPr>
        <w:spacing w:after="0" w:line="240" w:lineRule="auto"/>
      </w:pPr>
      <w:r>
        <w:t>Exclusion of domestic “servants” from accessing compensation in cases of injury and illness un</w:t>
      </w:r>
      <w:r>
        <w:t>der the Workmen’s Compensation Act of 1977; as well as exclusion of family workers, any person rewarded in kind under Sesotho custom including shepherds.</w:t>
      </w:r>
    </w:p>
    <w:p w14:paraId="3D478030" w14:textId="77777777" w:rsidR="00860A3B" w:rsidRDefault="00860A3B">
      <w:pPr>
        <w:pStyle w:val="ListParagraph"/>
        <w:tabs>
          <w:tab w:val="left" w:pos="360"/>
          <w:tab w:val="left" w:pos="720"/>
        </w:tabs>
        <w:spacing w:after="0" w:line="240" w:lineRule="auto"/>
        <w:ind w:left="1080"/>
      </w:pPr>
    </w:p>
    <w:p w14:paraId="7B0D9623" w14:textId="77777777" w:rsidR="00860A3B" w:rsidRDefault="0024358F">
      <w:pPr>
        <w:pStyle w:val="ListParagraph"/>
        <w:numPr>
          <w:ilvl w:val="0"/>
          <w:numId w:val="2"/>
        </w:numPr>
        <w:spacing w:after="0" w:line="240" w:lineRule="auto"/>
      </w:pPr>
      <w:r>
        <w:t>Exclusions of members of the employers extended family, including an illegitimate child, from Section</w:t>
      </w:r>
      <w:r>
        <w:t xml:space="preserve">s 117 and 118 of the </w:t>
      </w:r>
      <w:proofErr w:type="spellStart"/>
      <w:r>
        <w:t>Labour</w:t>
      </w:r>
      <w:proofErr w:type="spellEnd"/>
      <w:r>
        <w:t xml:space="preserve"> Code, which limit daily and weekly hours of work, set out compulsory rest periods and over-time rates of payment.</w:t>
      </w:r>
    </w:p>
    <w:p w14:paraId="5345C1B6" w14:textId="77777777" w:rsidR="00860A3B" w:rsidRDefault="00860A3B">
      <w:pPr>
        <w:pStyle w:val="ListParagraph"/>
        <w:tabs>
          <w:tab w:val="left" w:pos="360"/>
          <w:tab w:val="left" w:pos="720"/>
        </w:tabs>
        <w:spacing w:after="0" w:line="240" w:lineRule="auto"/>
        <w:ind w:left="0"/>
      </w:pPr>
    </w:p>
    <w:p w14:paraId="36254CD8" w14:textId="77777777" w:rsidR="00860A3B" w:rsidRDefault="0024358F">
      <w:pPr>
        <w:pStyle w:val="ListParagraph"/>
        <w:numPr>
          <w:ilvl w:val="0"/>
          <w:numId w:val="2"/>
        </w:numPr>
        <w:spacing w:after="0" w:line="240" w:lineRule="auto"/>
      </w:pPr>
      <w:r>
        <w:t>Exclusion of children who are members of families, including extended families, including those under 15 years ol</w:t>
      </w:r>
      <w:r>
        <w:t xml:space="preserve">d, from prohibitions that apply to employing children in commercial and industrial undertakings under Section 124(1) of the </w:t>
      </w:r>
      <w:proofErr w:type="spellStart"/>
      <w:r>
        <w:t>Labour</w:t>
      </w:r>
      <w:proofErr w:type="spellEnd"/>
      <w:r>
        <w:t xml:space="preserve"> Code.</w:t>
      </w:r>
    </w:p>
    <w:p w14:paraId="5001B942" w14:textId="77777777" w:rsidR="00860A3B" w:rsidRDefault="00860A3B">
      <w:pPr>
        <w:pStyle w:val="ListParagraph"/>
        <w:tabs>
          <w:tab w:val="left" w:pos="360"/>
          <w:tab w:val="left" w:pos="720"/>
        </w:tabs>
        <w:spacing w:after="0" w:line="240" w:lineRule="auto"/>
        <w:ind w:left="1080"/>
      </w:pPr>
    </w:p>
    <w:p w14:paraId="6D2CFB0E" w14:textId="77777777" w:rsidR="00860A3B" w:rsidRDefault="0024358F">
      <w:pPr>
        <w:pStyle w:val="ListParagraph"/>
        <w:numPr>
          <w:ilvl w:val="0"/>
          <w:numId w:val="2"/>
        </w:numPr>
        <w:spacing w:after="0" w:line="240" w:lineRule="auto"/>
      </w:pPr>
      <w:r>
        <w:t xml:space="preserve">Exclusion of domestic workers from Section 125 which prohibits employment of a young person under the age of 16 under </w:t>
      </w:r>
      <w:r>
        <w:t xml:space="preserve">conditions preventing him or her from returning each night to the place of residence of his guardians or parents and under section 126 from night work. </w:t>
      </w:r>
    </w:p>
    <w:p w14:paraId="71A83F5E" w14:textId="77777777" w:rsidR="00860A3B" w:rsidRDefault="00860A3B">
      <w:pPr>
        <w:pStyle w:val="ListParagraph"/>
        <w:tabs>
          <w:tab w:val="left" w:pos="360"/>
          <w:tab w:val="left" w:pos="720"/>
        </w:tabs>
        <w:spacing w:after="0" w:line="240" w:lineRule="auto"/>
        <w:ind w:left="0"/>
      </w:pPr>
    </w:p>
    <w:p w14:paraId="5E93FFF1" w14:textId="77777777" w:rsidR="00860A3B" w:rsidRDefault="0024358F">
      <w:pPr>
        <w:pStyle w:val="ListParagraph"/>
        <w:numPr>
          <w:ilvl w:val="0"/>
          <w:numId w:val="2"/>
        </w:numPr>
        <w:spacing w:after="0" w:line="240" w:lineRule="auto"/>
      </w:pPr>
      <w:r>
        <w:t>Section 14 prohibition on an inspector entering a private dwelling-house or any land or building conne</w:t>
      </w:r>
      <w:r>
        <w:t>cted with it during the hours of darkness; and during the hours of daylight, require the consent of the owner or occupier.</w:t>
      </w:r>
    </w:p>
    <w:p w14:paraId="6ECEB80F" w14:textId="77777777" w:rsidR="00860A3B" w:rsidRDefault="00860A3B">
      <w:pPr>
        <w:pStyle w:val="ListParagraph"/>
      </w:pPr>
    </w:p>
    <w:p w14:paraId="0B780CCA" w14:textId="77777777" w:rsidR="00860A3B" w:rsidRDefault="0024358F">
      <w:pPr>
        <w:pStyle w:val="ListParagraph"/>
        <w:numPr>
          <w:ilvl w:val="0"/>
          <w:numId w:val="2"/>
        </w:numPr>
        <w:spacing w:after="0" w:line="240" w:lineRule="auto"/>
      </w:pPr>
      <w:r>
        <w:t xml:space="preserve">Separate and lower national minimum wages for domestic workers. </w:t>
      </w:r>
    </w:p>
    <w:p w14:paraId="178F663F" w14:textId="77777777" w:rsidR="00860A3B" w:rsidRDefault="00860A3B">
      <w:pPr>
        <w:pStyle w:val="ListParagraph"/>
      </w:pPr>
    </w:p>
    <w:p w14:paraId="73522F96" w14:textId="77777777" w:rsidR="00860A3B" w:rsidRDefault="0024358F">
      <w:pPr>
        <w:pStyle w:val="ListParagraph"/>
        <w:numPr>
          <w:ilvl w:val="0"/>
          <w:numId w:val="2"/>
        </w:numPr>
        <w:spacing w:after="0" w:line="240" w:lineRule="auto"/>
      </w:pPr>
      <w:r>
        <w:lastRenderedPageBreak/>
        <w:t>Lesotho should ratify C189 on Domestic Work</w:t>
      </w:r>
    </w:p>
    <w:p w14:paraId="32F8903E" w14:textId="77777777" w:rsidR="00860A3B" w:rsidRDefault="00860A3B">
      <w:pPr>
        <w:pStyle w:val="ListParagraph"/>
      </w:pPr>
    </w:p>
    <w:p w14:paraId="04C27305" w14:textId="5EAA6BFD" w:rsidR="00860A3B" w:rsidRDefault="0024358F">
      <w:pPr>
        <w:pStyle w:val="ListParagraph"/>
        <w:numPr>
          <w:ilvl w:val="0"/>
          <w:numId w:val="2"/>
        </w:numPr>
        <w:spacing w:after="0" w:line="240" w:lineRule="auto"/>
      </w:pPr>
      <w:r>
        <w:t>Lesotho should pass s</w:t>
      </w:r>
      <w:r>
        <w:t xml:space="preserve">ector specific regulation </w:t>
      </w:r>
      <w:r w:rsidR="00796547">
        <w:t>protecting the</w:t>
      </w:r>
      <w:r>
        <w:t xml:space="preserve"> rights to privacy, freedom, liberty particularly for live-in domestic workers.</w:t>
      </w:r>
    </w:p>
    <w:sectPr w:rsidR="00860A3B">
      <w:headerReference w:type="default" r:id="rId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8C3D2" w14:textId="77777777" w:rsidR="0024358F" w:rsidRDefault="0024358F">
      <w:r>
        <w:separator/>
      </w:r>
    </w:p>
  </w:endnote>
  <w:endnote w:type="continuationSeparator" w:id="0">
    <w:p w14:paraId="6D71855E" w14:textId="77777777" w:rsidR="0024358F" w:rsidRDefault="00243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rebuchetMS">
    <w:altName w:val="Calibri"/>
    <w:charset w:val="00"/>
    <w:family w:val="roman"/>
    <w:pitch w:val="default"/>
  </w:font>
  <w:font w:name="TrebuchetMS-Bold">
    <w:altName w:val="Calibri"/>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B740C" w14:textId="77777777" w:rsidR="0024358F" w:rsidRDefault="0024358F">
      <w:r>
        <w:separator/>
      </w:r>
    </w:p>
  </w:footnote>
  <w:footnote w:type="continuationSeparator" w:id="0">
    <w:p w14:paraId="767909F8" w14:textId="77777777" w:rsidR="0024358F" w:rsidRDefault="0024358F">
      <w:r>
        <w:continuationSeparator/>
      </w:r>
    </w:p>
  </w:footnote>
  <w:footnote w:type="continuationNotice" w:id="1">
    <w:p w14:paraId="07377CFB" w14:textId="77777777" w:rsidR="0024358F" w:rsidRDefault="0024358F"/>
  </w:footnote>
  <w:footnote w:id="2">
    <w:p w14:paraId="149638D4" w14:textId="77777777" w:rsidR="00860A3B" w:rsidRDefault="0024358F">
      <w:pPr>
        <w:pStyle w:val="FootnoteText"/>
      </w:pPr>
      <w:r>
        <w:rPr>
          <w:vertAlign w:val="superscript"/>
        </w:rPr>
        <w:footnoteRef/>
      </w:r>
      <w:r>
        <w:rPr>
          <w:vertAlign w:val="superscript"/>
        </w:rPr>
        <w:t xml:space="preserve"> </w:t>
      </w:r>
      <w:proofErr w:type="spellStart"/>
      <w:r>
        <w:t>Mantuna</w:t>
      </w:r>
      <w:proofErr w:type="spellEnd"/>
      <w:r>
        <w:t xml:space="preserve"> </w:t>
      </w:r>
      <w:proofErr w:type="spellStart"/>
      <w:r>
        <w:t>Makoro</w:t>
      </w:r>
      <w:proofErr w:type="spellEnd"/>
      <w:r>
        <w:t xml:space="preserve">, </w:t>
      </w:r>
      <w:r>
        <w:rPr>
          <w:smallCaps/>
        </w:rPr>
        <w:t>The Construction of Illegality: Basotho Migrant Domestic Workers’ Experiences</w:t>
      </w:r>
      <w:r>
        <w:t xml:space="preserve"> (2015). </w:t>
      </w:r>
    </w:p>
  </w:footnote>
  <w:footnote w:id="3">
    <w:p w14:paraId="620EE312" w14:textId="77777777" w:rsidR="00860A3B" w:rsidRDefault="0024358F">
      <w:pPr>
        <w:pStyle w:val="FootnoteText"/>
      </w:pPr>
      <w:r>
        <w:rPr>
          <w:vertAlign w:val="superscript"/>
        </w:rPr>
        <w:footnoteRef/>
      </w:r>
      <w:r>
        <w:rPr>
          <w:vertAlign w:val="superscript"/>
        </w:rPr>
        <w:t xml:space="preserve"> </w:t>
      </w:r>
      <w:r>
        <w:t xml:space="preserve">See Janet </w:t>
      </w:r>
      <w:proofErr w:type="spellStart"/>
      <w:r>
        <w:t>Munakamwe</w:t>
      </w:r>
      <w:proofErr w:type="spellEnd"/>
      <w:r>
        <w:t xml:space="preserve">, Emerging Political Subjectivities in a Post Migrant </w:t>
      </w:r>
      <w:proofErr w:type="spellStart"/>
      <w:r>
        <w:t>Labour</w:t>
      </w:r>
      <w:proofErr w:type="spellEnd"/>
      <w:r>
        <w:t xml:space="preserve"> Regime: </w:t>
      </w:r>
      <w:proofErr w:type="spellStart"/>
      <w:r>
        <w:t>Mobilisation</w:t>
      </w:r>
      <w:proofErr w:type="spellEnd"/>
      <w:r>
        <w:t>, Participation and Representation of Foreign Workers in South Africa (1980-2013) (2018) (Ph.D. Dissertation, University of the Witwatersrand).</w:t>
      </w:r>
    </w:p>
  </w:footnote>
  <w:footnote w:id="4">
    <w:p w14:paraId="702A235F" w14:textId="77777777" w:rsidR="00860A3B" w:rsidRDefault="0024358F">
      <w:pPr>
        <w:pStyle w:val="FootnoteText"/>
      </w:pPr>
      <w:r>
        <w:rPr>
          <w:vertAlign w:val="superscript"/>
        </w:rPr>
        <w:footnoteRef/>
      </w:r>
      <w:r>
        <w:t xml:space="preserve"> David </w:t>
      </w:r>
      <w:proofErr w:type="spellStart"/>
      <w:r>
        <w:t>Coplan</w:t>
      </w:r>
      <w:proofErr w:type="spellEnd"/>
      <w:r>
        <w:t xml:space="preserve"> &amp; </w:t>
      </w:r>
      <w:proofErr w:type="spellStart"/>
      <w:r>
        <w:t>Thoahlane</w:t>
      </w:r>
      <w:proofErr w:type="spellEnd"/>
      <w:r>
        <w:t xml:space="preserve"> </w:t>
      </w:r>
      <w:proofErr w:type="spellStart"/>
      <w:r>
        <w:t>Thoahlane</w:t>
      </w:r>
      <w:proofErr w:type="spellEnd"/>
      <w:r>
        <w:t xml:space="preserve">, </w:t>
      </w:r>
      <w:r>
        <w:rPr>
          <w:i/>
          <w:iCs/>
        </w:rPr>
        <w:t>Motherless Households, Landless Farms: Employment Patterns among Lesotho Migrants</w:t>
      </w:r>
      <w:r>
        <w:t xml:space="preserve"> in </w:t>
      </w:r>
      <w:r>
        <w:rPr>
          <w:smallCaps/>
        </w:rPr>
        <w:t>Crossing Boundaries: Mine Migrancy in a Democratic South Africa</w:t>
      </w:r>
      <w:r>
        <w:t xml:space="preserve"> 139 (Jonathan Rush &amp; Wilmot James eds., 1995). </w:t>
      </w:r>
    </w:p>
  </w:footnote>
  <w:footnote w:id="5">
    <w:p w14:paraId="1B9BDAB1" w14:textId="19AC1931" w:rsidR="00860A3B" w:rsidRDefault="0024358F">
      <w:pPr>
        <w:pStyle w:val="FootnoteText"/>
      </w:pPr>
      <w:r>
        <w:rPr>
          <w:rStyle w:val="FootnoteReference"/>
        </w:rPr>
        <w:footnoteRef/>
      </w:r>
      <w:r>
        <w:t xml:space="preserve"> </w:t>
      </w:r>
      <w:r w:rsidR="00D5186F">
        <w:t>See Mahlangu v Minister of Compensation:</w:t>
      </w:r>
      <w:r w:rsidR="00D5186F" w:rsidRPr="00D5186F">
        <w:t xml:space="preserve"> </w:t>
      </w:r>
      <w:hyperlink r:id="rId1" w:history="1">
        <w:r w:rsidR="00D5186F" w:rsidRPr="006A562B">
          <w:rPr>
            <w:rStyle w:val="Hyperlink"/>
          </w:rPr>
          <w:t>http://www.saflii.org/za/cases/ZACC/2020/24.html</w:t>
        </w:r>
      </w:hyperlink>
      <w:r w:rsidR="00D5186F">
        <w:t xml:space="preserve">. </w:t>
      </w:r>
      <w:proofErr w:type="gramStart"/>
      <w:r w:rsidR="00D5186F">
        <w:t>Also</w:t>
      </w:r>
      <w:proofErr w:type="gramEnd"/>
      <w:r w:rsidR="00D5186F">
        <w:t xml:space="preserve"> </w:t>
      </w:r>
      <w:r>
        <w:t>In a recent advisory opinion on the criminalization of vagrancy laws, the African Court of Human Rights (ACHPR) found that the vagrancy laws (including offences such as loitering, begging and criminalizati</w:t>
      </w:r>
      <w:r>
        <w:t>on of the informal economy) violate a host of human rights, including rights to non-discrimination and equality and rights to dignity. Since these types of laws are broadly constructed, they allow police wide discretion to make “arbitrary arrests which are</w:t>
      </w:r>
      <w:r>
        <w:t xml:space="preserve"> influenced by police assumptions of criminality based on biases relating to poverty, gender, race, ethnicity, place of origin and social status.” In its advisory opinion, the court states that vagrancy laws are a “reflection of an outdated and largely Col</w:t>
      </w:r>
      <w:r>
        <w:t>onial perception of individuals without rights…and dehumanizes and denigrates individuals with a perceived lower status.”</w:t>
      </w:r>
      <w:r w:rsidR="00D5186F">
        <w:t xml:space="preserve"> Find the Advisory Opinion on:</w:t>
      </w:r>
      <w:r w:rsidR="00D5186F" w:rsidRPr="00D5186F">
        <w:t xml:space="preserve"> </w:t>
      </w:r>
      <w:r w:rsidR="00D5186F" w:rsidRPr="00D5186F">
        <w:t>http://www.african-court.org/en/images/Cases/Advisory%20Opinion/Advisory%20Opinions/001-2018_-_PALU-Advisory_Opinion.pdf</w:t>
      </w:r>
    </w:p>
  </w:footnote>
  <w:footnote w:id="6">
    <w:p w14:paraId="4521706C" w14:textId="77777777" w:rsidR="00860A3B" w:rsidRDefault="0024358F">
      <w:pPr>
        <w:pStyle w:val="FootnoteText"/>
      </w:pPr>
      <w:r>
        <w:rPr>
          <w:vertAlign w:val="superscript"/>
        </w:rPr>
        <w:footnoteRef/>
      </w:r>
      <w:r>
        <w:rPr>
          <w:vertAlign w:val="superscript"/>
        </w:rPr>
        <w:t xml:space="preserve"> </w:t>
      </w:r>
      <w:r>
        <w:t xml:space="preserve">These rights are, however, limited to the extent that they prejudice the rights and freedoms of others or the public interest. They </w:t>
      </w:r>
      <w:r>
        <w:t>are also subject to provisos, with respect to non-citizen’s personal laws and the application of customary law</w:t>
      </w:r>
    </w:p>
  </w:footnote>
  <w:footnote w:id="7">
    <w:p w14:paraId="2EE2BAF3" w14:textId="77777777" w:rsidR="00860A3B" w:rsidRDefault="0024358F">
      <w:pPr>
        <w:pStyle w:val="FootnoteText"/>
      </w:pPr>
      <w:r>
        <w:rPr>
          <w:vertAlign w:val="superscript"/>
        </w:rPr>
        <w:footnoteRef/>
      </w:r>
      <w:r>
        <w:t xml:space="preserve"> Itumeleng Shale,</w:t>
      </w:r>
      <w:r>
        <w:rPr>
          <w:b/>
          <w:bCs/>
        </w:rPr>
        <w:t xml:space="preserve"> </w:t>
      </w:r>
      <w:r>
        <w:rPr>
          <w:i/>
          <w:iCs/>
        </w:rPr>
        <w:t>Historical Perspective on the Place of International Human Rights Treaties in the Legal system of Lesotho: Moving Beyond the M</w:t>
      </w:r>
      <w:r>
        <w:rPr>
          <w:i/>
          <w:iCs/>
        </w:rPr>
        <w:t>onist-Dualist Dichotomy</w:t>
      </w:r>
      <w:r>
        <w:t>,</w:t>
      </w:r>
      <w:r>
        <w:rPr>
          <w:b/>
          <w:bCs/>
          <w:color w:val="800000"/>
          <w:u w:color="800000"/>
        </w:rPr>
        <w:t xml:space="preserve"> </w:t>
      </w:r>
      <w:r>
        <w:rPr>
          <w:color w:val="800000"/>
          <w:u w:color="800000"/>
        </w:rPr>
        <w:t xml:space="preserve">19 </w:t>
      </w:r>
      <w:r>
        <w:t xml:space="preserve">Afr. Hum. Rights L.J. 193 (2019). </w:t>
      </w:r>
    </w:p>
  </w:footnote>
  <w:footnote w:id="8">
    <w:p w14:paraId="4B2ABC57" w14:textId="77777777" w:rsidR="00860A3B" w:rsidRDefault="0024358F">
      <w:pPr>
        <w:pStyle w:val="FootnoteText"/>
      </w:pPr>
      <w:r>
        <w:rPr>
          <w:vertAlign w:val="superscript"/>
        </w:rPr>
        <w:footnoteRef/>
      </w:r>
      <w:r>
        <w:t xml:space="preserve"> </w:t>
      </w:r>
      <w:r>
        <w:rPr>
          <w:i/>
          <w:iCs/>
        </w:rPr>
        <w:t>Id</w:t>
      </w:r>
      <w:r>
        <w:t xml:space="preserve">. </w:t>
      </w:r>
    </w:p>
  </w:footnote>
  <w:footnote w:id="9">
    <w:p w14:paraId="41883B0F" w14:textId="77777777" w:rsidR="00860A3B" w:rsidRDefault="0024358F">
      <w:pPr>
        <w:pStyle w:val="FootnoteText"/>
      </w:pPr>
      <w:r>
        <w:rPr>
          <w:vertAlign w:val="superscript"/>
        </w:rPr>
        <w:footnoteRef/>
      </w:r>
      <w:r>
        <w:t xml:space="preserve"> </w:t>
      </w:r>
      <w:r>
        <w:rPr>
          <w:i/>
          <w:iCs/>
        </w:rPr>
        <w:t>Id</w:t>
      </w:r>
      <w:r>
        <w:t>.</w:t>
      </w:r>
    </w:p>
  </w:footnote>
  <w:footnote w:id="10">
    <w:p w14:paraId="224E860B" w14:textId="77777777" w:rsidR="00860A3B" w:rsidRDefault="0024358F">
      <w:pPr>
        <w:pStyle w:val="FootnoteText"/>
      </w:pPr>
      <w:r>
        <w:rPr>
          <w:vertAlign w:val="superscript"/>
        </w:rPr>
        <w:footnoteRef/>
      </w:r>
      <w:r>
        <w:t xml:space="preserve"> </w:t>
      </w:r>
      <w:r>
        <w:rPr>
          <w:i/>
          <w:iCs/>
        </w:rPr>
        <w:t>Id</w:t>
      </w:r>
      <w:r>
        <w:t>.</w:t>
      </w:r>
    </w:p>
  </w:footnote>
  <w:footnote w:id="11">
    <w:p w14:paraId="3979146F" w14:textId="756CE2A7" w:rsidR="00860A3B" w:rsidRDefault="0024358F">
      <w:pPr>
        <w:pStyle w:val="FootnoteText"/>
      </w:pPr>
      <w:r>
        <w:rPr>
          <w:rFonts w:ascii="TrebuchetMS" w:eastAsia="TrebuchetMS" w:hAnsi="TrebuchetMS" w:cs="TrebuchetMS"/>
          <w:vertAlign w:val="superscript"/>
        </w:rPr>
        <w:footnoteRef/>
      </w:r>
      <w:r>
        <w:t xml:space="preserve"> See Urmila </w:t>
      </w:r>
      <w:proofErr w:type="spellStart"/>
      <w:r>
        <w:t>Bhoola</w:t>
      </w:r>
      <w:proofErr w:type="spellEnd"/>
      <w:r>
        <w:t xml:space="preserve"> </w:t>
      </w:r>
      <w:r w:rsidR="006A20B9">
        <w:t>Special Rapporteur report on Migrant Work and Contemporary Forms of Slavery</w:t>
      </w:r>
      <w:r>
        <w:t>.</w:t>
      </w:r>
      <w:r w:rsidR="006A20B9" w:rsidRPr="006A20B9">
        <w:t xml:space="preserve"> </w:t>
      </w:r>
      <w:r w:rsidR="006A20B9" w:rsidRPr="006A20B9">
        <w:t>https://www.ohchr.org/en/documents/thematic-reports/ahrc3952-report-special-rapporteur-contemporary-forms-slavery-including</w:t>
      </w:r>
    </w:p>
  </w:footnote>
  <w:footnote w:id="12">
    <w:p w14:paraId="7511C841" w14:textId="77777777" w:rsidR="00860A3B" w:rsidRDefault="0024358F">
      <w:pPr>
        <w:pStyle w:val="FootnoteText"/>
      </w:pPr>
      <w:r>
        <w:rPr>
          <w:rFonts w:ascii="TrebuchetMS" w:eastAsia="TrebuchetMS" w:hAnsi="TrebuchetMS" w:cs="TrebuchetMS"/>
          <w:vertAlign w:val="superscript"/>
        </w:rPr>
        <w:footnoteRef/>
      </w:r>
      <w:r>
        <w:t xml:space="preserve"> 8 Zwaan-de Vries v. Netherlands, communication No. 182/1984, para. 12.4.</w:t>
      </w:r>
    </w:p>
  </w:footnote>
  <w:footnote w:id="13">
    <w:p w14:paraId="463C4EF6" w14:textId="77777777" w:rsidR="00860A3B" w:rsidRDefault="0024358F">
      <w:pPr>
        <w:pStyle w:val="FootnoteText"/>
      </w:pPr>
      <w:r>
        <w:rPr>
          <w:rFonts w:ascii="TrebuchetMS" w:eastAsia="TrebuchetMS" w:hAnsi="TrebuchetMS" w:cs="TrebuchetMS"/>
          <w:vertAlign w:val="superscript"/>
        </w:rPr>
        <w:footnoteRef/>
      </w:r>
      <w:r>
        <w:t xml:space="preserve"> Under 13 of C189, State parties are obliged to take measures to ensure the progressive realization of occupational health and safety for all workers.  </w:t>
      </w:r>
    </w:p>
  </w:footnote>
  <w:footnote w:id="14">
    <w:p w14:paraId="12AE1C32" w14:textId="77777777" w:rsidR="00860A3B" w:rsidRDefault="0024358F">
      <w:pPr>
        <w:pStyle w:val="FootnoteText"/>
      </w:pPr>
      <w:r>
        <w:rPr>
          <w:rFonts w:ascii="TrebuchetMS" w:eastAsia="TrebuchetMS" w:hAnsi="TrebuchetMS" w:cs="TrebuchetMS"/>
          <w:vertAlign w:val="superscript"/>
        </w:rPr>
        <w:footnoteRef/>
      </w:r>
      <w:r>
        <w:t xml:space="preserve"> Comm. on Econ., Soc. and Cultural </w:t>
      </w:r>
      <w:proofErr w:type="spellStart"/>
      <w:r>
        <w:t>Rts</w:t>
      </w:r>
      <w:proofErr w:type="spellEnd"/>
      <w:r>
        <w:t>.</w:t>
      </w:r>
      <w:r>
        <w:rPr>
          <w:color w:val="3F3F3F"/>
          <w:u w:color="3F3F3F"/>
        </w:rPr>
        <w:t>, Concluding Observations on the Initial Report of South Africa</w:t>
      </w:r>
      <w:r>
        <w:rPr>
          <w:color w:val="3F3F3F"/>
          <w:u w:color="3F3F3F"/>
        </w:rPr>
        <w:t>, U.N. Doc. E/C.12/ZAF/CO/1 (2018).</w:t>
      </w:r>
    </w:p>
  </w:footnote>
  <w:footnote w:id="15">
    <w:p w14:paraId="3C7C6210" w14:textId="77777777" w:rsidR="00860A3B" w:rsidRPr="008D6345" w:rsidRDefault="0024358F">
      <w:pPr>
        <w:pStyle w:val="FootnoteText"/>
        <w:jc w:val="both"/>
      </w:pPr>
      <w:r w:rsidRPr="008D6345">
        <w:rPr>
          <w:vertAlign w:val="superscript"/>
        </w:rPr>
        <w:footnoteRef/>
      </w:r>
      <w:r w:rsidRPr="008D6345">
        <w:t xml:space="preserve"> Para 5, Id</w:t>
      </w:r>
    </w:p>
  </w:footnote>
  <w:footnote w:id="16">
    <w:p w14:paraId="0ACAC6A0" w14:textId="77777777" w:rsidR="00860A3B" w:rsidRDefault="0024358F">
      <w:pPr>
        <w:pStyle w:val="FootnoteText"/>
      </w:pPr>
      <w:r w:rsidRPr="008D6345">
        <w:rPr>
          <w:rFonts w:ascii="TrebuchetMS" w:eastAsia="TrebuchetMS" w:hAnsi="TrebuchetMS" w:cs="TrebuchetMS"/>
          <w:vertAlign w:val="superscript"/>
        </w:rPr>
        <w:footnoteRef/>
      </w:r>
      <w:r w:rsidRPr="008D6345">
        <w:t xml:space="preserve"> S148</w:t>
      </w:r>
    </w:p>
  </w:footnote>
  <w:footnote w:id="17">
    <w:p w14:paraId="20328E31" w14:textId="30B0374A" w:rsidR="00860A3B" w:rsidRDefault="0024358F">
      <w:pPr>
        <w:pStyle w:val="FootnoteText"/>
      </w:pPr>
      <w:r>
        <w:rPr>
          <w:rFonts w:ascii="TrebuchetMS" w:eastAsia="TrebuchetMS" w:hAnsi="TrebuchetMS" w:cs="TrebuchetMS"/>
          <w:vertAlign w:val="superscript"/>
        </w:rPr>
        <w:footnoteRef/>
      </w:r>
      <w:r>
        <w:t xml:space="preserve"> This includes non-discrimination on birth or status under </w:t>
      </w:r>
      <w:r w:rsidR="008D6345">
        <w:t>article; and</w:t>
      </w:r>
      <w:r>
        <w:t xml:space="preserve"> article 24 </w:t>
      </w:r>
      <w:r w:rsidR="008D6345">
        <w:t>recognizing</w:t>
      </w:r>
      <w:r>
        <w:t xml:space="preserve"> the right of the child to the highest attainable standard of physical or mental health; article 26 on non-discrimination in law </w:t>
      </w:r>
      <w:proofErr w:type="gramStart"/>
      <w:r>
        <w:t>and also</w:t>
      </w:r>
      <w:proofErr w:type="gramEnd"/>
      <w:r>
        <w:t xml:space="preserve"> critical is article </w:t>
      </w:r>
      <w:r w:rsidR="008D6345">
        <w:t>17, recognizing</w:t>
      </w:r>
      <w:r>
        <w:t xml:space="preserve"> the importance of protecting children from arbitrary and unlawful interference with their privacy and family life under articles 3 and 26 of the ICCPR.</w:t>
      </w:r>
    </w:p>
  </w:footnote>
  <w:footnote w:id="18">
    <w:p w14:paraId="4E85ABC4" w14:textId="77777777" w:rsidR="00860A3B" w:rsidRDefault="0024358F">
      <w:pPr>
        <w:pStyle w:val="FootnoteText"/>
      </w:pPr>
      <w:r>
        <w:rPr>
          <w:rFonts w:ascii="TrebuchetMS" w:eastAsia="TrebuchetMS" w:hAnsi="TrebuchetMS" w:cs="TrebuchetMS"/>
          <w:vertAlign w:val="superscript"/>
        </w:rPr>
        <w:footnoteRef/>
      </w:r>
      <w:r>
        <w:t xml:space="preserve"> Comm. on Econ., Soc. and Cultural </w:t>
      </w:r>
      <w:proofErr w:type="spellStart"/>
      <w:r>
        <w:t>Rts</w:t>
      </w:r>
      <w:proofErr w:type="spellEnd"/>
      <w:r>
        <w:t>.</w:t>
      </w:r>
      <w:r>
        <w:rPr>
          <w:color w:val="3F3F3F"/>
          <w:u w:color="3F3F3F"/>
        </w:rPr>
        <w:t>, Concluding Observations on the Initial Report of</w:t>
      </w:r>
      <w:r>
        <w:rPr>
          <w:color w:val="3F3F3F"/>
          <w:u w:color="3F3F3F"/>
        </w:rPr>
        <w:t xml:space="preserve"> South Africa, U.N. Doc. E/C.12/ZAF/CO/1 (2018). Further, under Article 17 of C189, each member “shall develop and implement measures for </w:t>
      </w:r>
      <w:proofErr w:type="spellStart"/>
      <w:r>
        <w:rPr>
          <w:color w:val="3F3F3F"/>
          <w:u w:color="3F3F3F"/>
        </w:rPr>
        <w:t>labour</w:t>
      </w:r>
      <w:proofErr w:type="spellEnd"/>
      <w:r>
        <w:rPr>
          <w:color w:val="3F3F3F"/>
          <w:u w:color="3F3F3F"/>
        </w:rPr>
        <w:t xml:space="preserve"> inspection, enforcement and penalties, with due regard for the special characteristics of domestic work, in acc</w:t>
      </w:r>
      <w:r>
        <w:rPr>
          <w:color w:val="3F3F3F"/>
          <w:u w:color="3F3F3F"/>
        </w:rPr>
        <w:t>ordance with national laws and regulations.”  Further, article 17(3) sets out that “in so far as compatible with national laws and regulations, such measures shall specify the conditions under which access to household premises may be granted, having due r</w:t>
      </w:r>
      <w:r>
        <w:rPr>
          <w:color w:val="3F3F3F"/>
          <w:u w:color="3F3F3F"/>
        </w:rPr>
        <w:t xml:space="preserve">egard to privacy.”  </w:t>
      </w:r>
    </w:p>
  </w:footnote>
  <w:footnote w:id="19">
    <w:p w14:paraId="791B605B" w14:textId="77777777" w:rsidR="00860A3B" w:rsidRDefault="0024358F">
      <w:pPr>
        <w:pStyle w:val="FootnoteText"/>
      </w:pPr>
      <w:r>
        <w:rPr>
          <w:vertAlign w:val="superscript"/>
        </w:rPr>
        <w:footnoteRef/>
      </w:r>
      <w:r>
        <w:t xml:space="preserve"> https://wageindicator.org/documents/decentworkcheck/africa/lesotho-english.pdf at page 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4104327"/>
      <w:docPartObj>
        <w:docPartGallery w:val="Page Numbers (Top of Page)"/>
        <w:docPartUnique/>
      </w:docPartObj>
    </w:sdtPr>
    <w:sdtEndPr>
      <w:rPr>
        <w:noProof/>
      </w:rPr>
    </w:sdtEndPr>
    <w:sdtContent>
      <w:p w14:paraId="35FF3C73" w14:textId="021C3C05" w:rsidR="00796547" w:rsidRDefault="00796547">
        <w:pPr>
          <w:pStyle w:val="Header"/>
        </w:pPr>
        <w:r>
          <w:fldChar w:fldCharType="begin"/>
        </w:r>
        <w:r>
          <w:instrText xml:space="preserve"> PAGE   \* MERGEFORMAT </w:instrText>
        </w:r>
        <w:r>
          <w:fldChar w:fldCharType="separate"/>
        </w:r>
        <w:r>
          <w:rPr>
            <w:noProof/>
          </w:rPr>
          <w:t>2</w:t>
        </w:r>
        <w:r>
          <w:rPr>
            <w:noProof/>
          </w:rPr>
          <w:fldChar w:fldCharType="end"/>
        </w:r>
      </w:p>
    </w:sdtContent>
  </w:sdt>
  <w:p w14:paraId="66088427" w14:textId="77777777" w:rsidR="00860A3B" w:rsidRDefault="00860A3B">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00961"/>
    <w:multiLevelType w:val="hybridMultilevel"/>
    <w:tmpl w:val="07A4942E"/>
    <w:styleLink w:val="ImportedStyle4"/>
    <w:lvl w:ilvl="0" w:tplc="4650D29C">
      <w:start w:val="1"/>
      <w:numFmt w:val="bullet"/>
      <w:lvlText w:val="·"/>
      <w:lvlJc w:val="left"/>
      <w:pPr>
        <w:tabs>
          <w:tab w:val="left" w:pos="360"/>
          <w:tab w:val="left" w:pos="720"/>
        </w:tabs>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B60F5EC">
      <w:start w:val="1"/>
      <w:numFmt w:val="bullet"/>
      <w:lvlText w:val="o"/>
      <w:lvlJc w:val="left"/>
      <w:pPr>
        <w:tabs>
          <w:tab w:val="left" w:pos="360"/>
          <w:tab w:val="left" w:pos="72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D041AB0">
      <w:start w:val="1"/>
      <w:numFmt w:val="bullet"/>
      <w:lvlText w:val="▪"/>
      <w:lvlJc w:val="left"/>
      <w:pPr>
        <w:tabs>
          <w:tab w:val="left" w:pos="360"/>
          <w:tab w:val="left" w:pos="72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894F8C6">
      <w:start w:val="1"/>
      <w:numFmt w:val="bullet"/>
      <w:lvlText w:val="·"/>
      <w:lvlJc w:val="left"/>
      <w:pPr>
        <w:tabs>
          <w:tab w:val="left" w:pos="360"/>
          <w:tab w:val="left" w:pos="72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75EB21E">
      <w:start w:val="1"/>
      <w:numFmt w:val="bullet"/>
      <w:lvlText w:val="o"/>
      <w:lvlJc w:val="left"/>
      <w:pPr>
        <w:tabs>
          <w:tab w:val="left" w:pos="360"/>
          <w:tab w:val="left" w:pos="72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F582200">
      <w:start w:val="1"/>
      <w:numFmt w:val="bullet"/>
      <w:lvlText w:val="▪"/>
      <w:lvlJc w:val="left"/>
      <w:pPr>
        <w:tabs>
          <w:tab w:val="left" w:pos="360"/>
          <w:tab w:val="left" w:pos="72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7769768">
      <w:start w:val="1"/>
      <w:numFmt w:val="bullet"/>
      <w:lvlText w:val="·"/>
      <w:lvlJc w:val="left"/>
      <w:pPr>
        <w:tabs>
          <w:tab w:val="left" w:pos="360"/>
          <w:tab w:val="left" w:pos="72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44E3CBE">
      <w:start w:val="1"/>
      <w:numFmt w:val="bullet"/>
      <w:lvlText w:val="o"/>
      <w:lvlJc w:val="left"/>
      <w:pPr>
        <w:tabs>
          <w:tab w:val="left" w:pos="360"/>
          <w:tab w:val="left" w:pos="72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10A91BE">
      <w:start w:val="1"/>
      <w:numFmt w:val="bullet"/>
      <w:lvlText w:val="▪"/>
      <w:lvlJc w:val="left"/>
      <w:pPr>
        <w:tabs>
          <w:tab w:val="left" w:pos="360"/>
          <w:tab w:val="left" w:pos="72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28F737F2"/>
    <w:multiLevelType w:val="hybridMultilevel"/>
    <w:tmpl w:val="07A4942E"/>
    <w:numStyleLink w:val="ImportedStyle4"/>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A3B"/>
    <w:rsid w:val="0024358F"/>
    <w:rsid w:val="004C1831"/>
    <w:rsid w:val="006A20B9"/>
    <w:rsid w:val="00796547"/>
    <w:rsid w:val="00860A3B"/>
    <w:rsid w:val="008D6345"/>
    <w:rsid w:val="00AE0735"/>
    <w:rsid w:val="00C66BE0"/>
    <w:rsid w:val="00D5186F"/>
    <w:rsid w:val="00D749E5"/>
    <w:rsid w:val="00DD55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93232"/>
  <w15:docId w15:val="{32924A78-BF84-4AB3-A0A9-B2442DBC4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2">
    <w:name w:val="heading 2"/>
    <w:next w:val="BodyA"/>
    <w:link w:val="Heading2Char"/>
    <w:uiPriority w:val="9"/>
    <w:unhideWhenUsed/>
    <w:qFormat/>
    <w:pPr>
      <w:keepNext/>
      <w:keepLines/>
      <w:spacing w:before="40"/>
      <w:outlineLvl w:val="1"/>
    </w:pPr>
    <w:rPr>
      <w:rFonts w:ascii="Calibri Light" w:eastAsia="Calibri Light" w:hAnsi="Calibri Light" w:cs="Calibri Light"/>
      <w:color w:val="2F5496"/>
      <w:sz w:val="32"/>
      <w:szCs w:val="32"/>
      <w:u w:color="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A">
    <w:name w:val="Body A"/>
    <w:pPr>
      <w:spacing w:after="160" w:line="259" w:lineRule="auto"/>
    </w:pPr>
    <w:rPr>
      <w:rFonts w:ascii="Calibri" w:eastAsia="Calibri" w:hAnsi="Calibri" w:cs="Calibri"/>
      <w:color w:val="000000"/>
      <w:sz w:val="22"/>
      <w:szCs w:val="22"/>
      <w:u w:color="000000"/>
    </w:rPr>
  </w:style>
  <w:style w:type="paragraph" w:styleId="FootnoteText">
    <w:name w:val="footnote text"/>
    <w:rPr>
      <w:rFonts w:ascii="Calibri" w:eastAsia="Calibri" w:hAnsi="Calibri" w:cs="Calibri"/>
      <w:color w:val="000000"/>
      <w:u w:color="000000"/>
    </w:rPr>
  </w:style>
  <w:style w:type="character" w:styleId="FootnoteReference">
    <w:name w:val="footnote reference"/>
    <w:rPr>
      <w:vertAlign w:val="superscript"/>
      <w:lang w:val="en-US"/>
    </w:rPr>
  </w:style>
  <w:style w:type="paragraph" w:customStyle="1" w:styleId="Default">
    <w:name w:val="Default"/>
    <w:rPr>
      <w:rFonts w:ascii="Helvetica Neue" w:hAnsi="Helvetica Neue" w:cs="Arial Unicode MS"/>
      <w:color w:val="000000"/>
      <w:sz w:val="22"/>
      <w:szCs w:val="22"/>
      <w:u w:color="000000"/>
    </w:rPr>
  </w:style>
  <w:style w:type="paragraph" w:styleId="ListParagraph">
    <w:name w:val="List Paragraph"/>
    <w:pPr>
      <w:spacing w:after="160" w:line="259" w:lineRule="auto"/>
      <w:ind w:left="720"/>
    </w:pPr>
    <w:rPr>
      <w:rFonts w:ascii="Calibri" w:eastAsia="Calibri" w:hAnsi="Calibri" w:cs="Calibri"/>
      <w:color w:val="000000"/>
      <w:sz w:val="22"/>
      <w:szCs w:val="22"/>
      <w:u w:color="000000"/>
    </w:rPr>
  </w:style>
  <w:style w:type="numbering" w:customStyle="1" w:styleId="ImportedStyle4">
    <w:name w:val="Imported Style 4"/>
    <w:pPr>
      <w:numPr>
        <w:numId w:val="1"/>
      </w:numPr>
    </w:pPr>
  </w:style>
  <w:style w:type="character" w:customStyle="1" w:styleId="Heading2Char">
    <w:name w:val="Heading 2 Char"/>
    <w:basedOn w:val="DefaultParagraphFont"/>
    <w:link w:val="Heading2"/>
    <w:uiPriority w:val="9"/>
    <w:rsid w:val="00C66BE0"/>
    <w:rPr>
      <w:rFonts w:ascii="Calibri Light" w:eastAsia="Calibri Light" w:hAnsi="Calibri Light" w:cs="Calibri Light"/>
      <w:color w:val="2F5496"/>
      <w:sz w:val="32"/>
      <w:szCs w:val="32"/>
      <w:u w:color="2F5496"/>
    </w:rPr>
  </w:style>
  <w:style w:type="character" w:styleId="UnresolvedMention">
    <w:name w:val="Unresolved Mention"/>
    <w:basedOn w:val="DefaultParagraphFont"/>
    <w:uiPriority w:val="99"/>
    <w:semiHidden/>
    <w:unhideWhenUsed/>
    <w:rsid w:val="00D5186F"/>
    <w:rPr>
      <w:color w:val="605E5C"/>
      <w:shd w:val="clear" w:color="auto" w:fill="E1DFDD"/>
    </w:rPr>
  </w:style>
  <w:style w:type="paragraph" w:styleId="Header">
    <w:name w:val="header"/>
    <w:basedOn w:val="Normal"/>
    <w:link w:val="HeaderChar"/>
    <w:uiPriority w:val="99"/>
    <w:unhideWhenUsed/>
    <w:rsid w:val="00796547"/>
    <w:pPr>
      <w:tabs>
        <w:tab w:val="center" w:pos="4680"/>
        <w:tab w:val="right" w:pos="9360"/>
      </w:tabs>
    </w:pPr>
  </w:style>
  <w:style w:type="character" w:customStyle="1" w:styleId="HeaderChar">
    <w:name w:val="Header Char"/>
    <w:basedOn w:val="DefaultParagraphFont"/>
    <w:link w:val="Header"/>
    <w:uiPriority w:val="99"/>
    <w:rsid w:val="00796547"/>
    <w:rPr>
      <w:sz w:val="24"/>
      <w:szCs w:val="24"/>
    </w:rPr>
  </w:style>
  <w:style w:type="paragraph" w:styleId="Footer">
    <w:name w:val="footer"/>
    <w:basedOn w:val="Normal"/>
    <w:link w:val="FooterChar"/>
    <w:uiPriority w:val="99"/>
    <w:unhideWhenUsed/>
    <w:rsid w:val="00796547"/>
    <w:pPr>
      <w:tabs>
        <w:tab w:val="center" w:pos="4680"/>
        <w:tab w:val="right" w:pos="9360"/>
      </w:tabs>
    </w:pPr>
  </w:style>
  <w:style w:type="character" w:customStyle="1" w:styleId="FooterChar">
    <w:name w:val="Footer Char"/>
    <w:basedOn w:val="DefaultParagraphFont"/>
    <w:link w:val="Footer"/>
    <w:uiPriority w:val="99"/>
    <w:rsid w:val="0079654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saflii.org/za/cases/ZACC/2020/24.html"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61E67A-512F-487F-98A4-D5CE9280A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4167</Words>
  <Characters>23755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Ziona Tanzer</dc:creator>
  <cp:lastModifiedBy>Ziona Tanzer</cp:lastModifiedBy>
  <cp:revision>2</cp:revision>
  <dcterms:created xsi:type="dcterms:W3CDTF">2023-06-08T01:24:00Z</dcterms:created>
  <dcterms:modified xsi:type="dcterms:W3CDTF">2023-06-08T01:24:00Z</dcterms:modified>
</cp:coreProperties>
</file>