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EB093" w14:textId="77777777" w:rsidR="00A04E14" w:rsidRDefault="00A04E14">
      <w:pPr>
        <w:pBdr>
          <w:top w:val="nil"/>
          <w:left w:val="nil"/>
          <w:bottom w:val="nil"/>
          <w:right w:val="nil"/>
          <w:between w:val="nil"/>
        </w:pBdr>
        <w:spacing w:line="276" w:lineRule="auto"/>
      </w:pPr>
    </w:p>
    <w:p w14:paraId="65C8A9AD" w14:textId="77777777" w:rsidR="00A04E14" w:rsidRDefault="00A04E14">
      <w:pPr>
        <w:pBdr>
          <w:top w:val="nil"/>
          <w:left w:val="nil"/>
          <w:bottom w:val="nil"/>
          <w:right w:val="nil"/>
          <w:between w:val="nil"/>
        </w:pBdr>
        <w:spacing w:before="4"/>
        <w:rPr>
          <w:color w:val="000000"/>
          <w:sz w:val="14"/>
          <w:szCs w:val="14"/>
        </w:rPr>
      </w:pPr>
    </w:p>
    <w:p w14:paraId="5E224D7A" w14:textId="77777777" w:rsidR="00A04E14" w:rsidRDefault="00000000">
      <w:pPr>
        <w:tabs>
          <w:tab w:val="left" w:pos="6536"/>
        </w:tabs>
        <w:ind w:left="117"/>
        <w:rPr>
          <w:sz w:val="20"/>
          <w:szCs w:val="20"/>
        </w:rPr>
      </w:pPr>
      <w:r>
        <w:rPr>
          <w:noProof/>
          <w:sz w:val="20"/>
          <w:szCs w:val="20"/>
        </w:rPr>
        <w:drawing>
          <wp:inline distT="0" distB="0" distL="0" distR="0" wp14:anchorId="797E2F96" wp14:editId="78F48B5E">
            <wp:extent cx="2393899" cy="968121"/>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93899" cy="968121"/>
                    </a:xfrm>
                    <a:prstGeom prst="rect">
                      <a:avLst/>
                    </a:prstGeom>
                    <a:ln/>
                  </pic:spPr>
                </pic:pic>
              </a:graphicData>
            </a:graphic>
          </wp:inline>
        </w:drawing>
      </w:r>
      <w:r>
        <w:rPr>
          <w:sz w:val="20"/>
          <w:szCs w:val="20"/>
        </w:rPr>
        <w:tab/>
      </w:r>
      <w:r>
        <w:rPr>
          <w:noProof/>
          <w:sz w:val="33"/>
          <w:szCs w:val="33"/>
          <w:vertAlign w:val="superscript"/>
        </w:rPr>
        <w:drawing>
          <wp:inline distT="0" distB="0" distL="0" distR="0" wp14:anchorId="58939B58" wp14:editId="31BB6519">
            <wp:extent cx="2088832" cy="723804"/>
            <wp:effectExtent l="0" t="0" r="0" b="0"/>
            <wp:docPr id="3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088832" cy="723804"/>
                    </a:xfrm>
                    <a:prstGeom prst="rect">
                      <a:avLst/>
                    </a:prstGeom>
                    <a:ln/>
                  </pic:spPr>
                </pic:pic>
              </a:graphicData>
            </a:graphic>
          </wp:inline>
        </w:drawing>
      </w:r>
    </w:p>
    <w:p w14:paraId="65033648" w14:textId="77777777" w:rsidR="00A04E14" w:rsidRDefault="00A04E14">
      <w:pPr>
        <w:pBdr>
          <w:top w:val="nil"/>
          <w:left w:val="nil"/>
          <w:bottom w:val="nil"/>
          <w:right w:val="nil"/>
          <w:between w:val="nil"/>
        </w:pBdr>
        <w:spacing w:before="10"/>
        <w:rPr>
          <w:color w:val="000000"/>
          <w:sz w:val="4"/>
          <w:szCs w:val="4"/>
        </w:rPr>
      </w:pPr>
    </w:p>
    <w:p w14:paraId="474656C0" w14:textId="77777777" w:rsidR="00A04E14" w:rsidRDefault="00000000">
      <w:pPr>
        <w:tabs>
          <w:tab w:val="left" w:pos="4705"/>
          <w:tab w:val="left" w:pos="6851"/>
        </w:tabs>
        <w:ind w:left="916"/>
        <w:rPr>
          <w:sz w:val="20"/>
          <w:szCs w:val="20"/>
        </w:rPr>
      </w:pPr>
      <w:r>
        <w:rPr>
          <w:noProof/>
          <w:sz w:val="20"/>
          <w:szCs w:val="20"/>
        </w:rPr>
        <w:drawing>
          <wp:inline distT="0" distB="0" distL="0" distR="0" wp14:anchorId="7D2239A9" wp14:editId="250AF079">
            <wp:extent cx="1739957" cy="654653"/>
            <wp:effectExtent l="0" t="0" r="0" b="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739957" cy="654653"/>
                    </a:xfrm>
                    <a:prstGeom prst="rect">
                      <a:avLst/>
                    </a:prstGeom>
                    <a:ln/>
                  </pic:spPr>
                </pic:pic>
              </a:graphicData>
            </a:graphic>
          </wp:inline>
        </w:drawing>
      </w:r>
      <w:r>
        <w:rPr>
          <w:sz w:val="20"/>
          <w:szCs w:val="20"/>
        </w:rPr>
        <w:tab/>
      </w:r>
      <w:r>
        <w:rPr>
          <w:noProof/>
          <w:sz w:val="33"/>
          <w:szCs w:val="33"/>
          <w:vertAlign w:val="superscript"/>
        </w:rPr>
        <w:drawing>
          <wp:inline distT="0" distB="0" distL="0" distR="0" wp14:anchorId="2FB810F9" wp14:editId="436FF114">
            <wp:extent cx="733532" cy="594359"/>
            <wp:effectExtent l="0" t="0" r="0" b="0"/>
            <wp:docPr id="3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733532" cy="594359"/>
                    </a:xfrm>
                    <a:prstGeom prst="rect">
                      <a:avLst/>
                    </a:prstGeom>
                    <a:ln/>
                  </pic:spPr>
                </pic:pic>
              </a:graphicData>
            </a:graphic>
          </wp:inline>
        </w:drawing>
      </w:r>
      <w:r>
        <w:rPr>
          <w:sz w:val="33"/>
          <w:szCs w:val="33"/>
          <w:vertAlign w:val="superscript"/>
        </w:rPr>
        <w:tab/>
      </w:r>
      <w:r>
        <w:rPr>
          <w:noProof/>
          <w:sz w:val="33"/>
          <w:szCs w:val="33"/>
          <w:vertAlign w:val="superscript"/>
        </w:rPr>
        <w:drawing>
          <wp:inline distT="0" distB="0" distL="0" distR="0" wp14:anchorId="38807730" wp14:editId="33694DFF">
            <wp:extent cx="1762061" cy="604837"/>
            <wp:effectExtent l="0" t="0" r="0" b="0"/>
            <wp:docPr id="3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762061" cy="604837"/>
                    </a:xfrm>
                    <a:prstGeom prst="rect">
                      <a:avLst/>
                    </a:prstGeom>
                    <a:ln/>
                  </pic:spPr>
                </pic:pic>
              </a:graphicData>
            </a:graphic>
          </wp:inline>
        </w:drawing>
      </w:r>
    </w:p>
    <w:p w14:paraId="707AE17C" w14:textId="77777777" w:rsidR="00A04E14" w:rsidRDefault="00A04E14">
      <w:pPr>
        <w:pBdr>
          <w:top w:val="nil"/>
          <w:left w:val="nil"/>
          <w:bottom w:val="nil"/>
          <w:right w:val="nil"/>
          <w:between w:val="nil"/>
        </w:pBdr>
        <w:rPr>
          <w:color w:val="000000"/>
          <w:sz w:val="20"/>
          <w:szCs w:val="20"/>
        </w:rPr>
      </w:pPr>
    </w:p>
    <w:p w14:paraId="352934CE" w14:textId="77777777" w:rsidR="00A04E14" w:rsidRDefault="00A04E14">
      <w:pPr>
        <w:pBdr>
          <w:top w:val="nil"/>
          <w:left w:val="nil"/>
          <w:bottom w:val="nil"/>
          <w:right w:val="nil"/>
          <w:between w:val="nil"/>
        </w:pBdr>
        <w:spacing w:before="10"/>
        <w:rPr>
          <w:color w:val="000000"/>
          <w:sz w:val="17"/>
          <w:szCs w:val="17"/>
        </w:rPr>
      </w:pPr>
    </w:p>
    <w:p w14:paraId="08DB85E7" w14:textId="77777777" w:rsidR="00A04E14" w:rsidRDefault="00000000">
      <w:pPr>
        <w:pBdr>
          <w:top w:val="nil"/>
          <w:left w:val="nil"/>
          <w:bottom w:val="nil"/>
          <w:right w:val="nil"/>
          <w:between w:val="nil"/>
        </w:pBdr>
        <w:spacing w:before="90" w:line="242" w:lineRule="auto"/>
        <w:ind w:left="1644" w:right="1666"/>
        <w:jc w:val="center"/>
        <w:rPr>
          <w:color w:val="000000"/>
          <w:sz w:val="24"/>
          <w:szCs w:val="24"/>
        </w:rPr>
      </w:pPr>
      <w:r>
        <w:rPr>
          <w:color w:val="000000"/>
          <w:sz w:val="24"/>
          <w:szCs w:val="24"/>
        </w:rPr>
        <w:t>COMITÉ DE DERECHOS DEL NIÑO DE LAS NACIONES UNIDAS EN ADELANTE CDN</w:t>
      </w:r>
    </w:p>
    <w:p w14:paraId="68AC91D5" w14:textId="77777777" w:rsidR="00A04E14" w:rsidRDefault="00A04E14">
      <w:pPr>
        <w:pBdr>
          <w:top w:val="nil"/>
          <w:left w:val="nil"/>
          <w:bottom w:val="nil"/>
          <w:right w:val="nil"/>
          <w:between w:val="nil"/>
        </w:pBdr>
        <w:spacing w:before="8"/>
        <w:rPr>
          <w:color w:val="000000"/>
          <w:sz w:val="23"/>
          <w:szCs w:val="23"/>
        </w:rPr>
      </w:pPr>
    </w:p>
    <w:p w14:paraId="3F638AF2" w14:textId="77777777" w:rsidR="00A04E14" w:rsidRDefault="00000000">
      <w:pPr>
        <w:pBdr>
          <w:top w:val="nil"/>
          <w:left w:val="nil"/>
          <w:bottom w:val="nil"/>
          <w:right w:val="nil"/>
          <w:between w:val="nil"/>
        </w:pBdr>
        <w:spacing w:line="275" w:lineRule="auto"/>
        <w:ind w:left="1644" w:right="1665"/>
        <w:jc w:val="center"/>
        <w:rPr>
          <w:color w:val="000000"/>
          <w:sz w:val="24"/>
          <w:szCs w:val="24"/>
        </w:rPr>
      </w:pPr>
      <w:r>
        <w:rPr>
          <w:color w:val="000000"/>
          <w:sz w:val="24"/>
          <w:szCs w:val="24"/>
        </w:rPr>
        <w:t>CONTRIBUCIÓN CONJUNTA</w:t>
      </w:r>
    </w:p>
    <w:p w14:paraId="68D63556" w14:textId="77777777" w:rsidR="00A04E14" w:rsidRDefault="00000000">
      <w:pPr>
        <w:pStyle w:val="Heading1"/>
        <w:spacing w:line="242" w:lineRule="auto"/>
        <w:ind w:left="1203" w:right="1225"/>
        <w:jc w:val="center"/>
      </w:pPr>
      <w:r>
        <w:t>Informe alternativo para la evaluación del Estado de Ecuador a la sesión 98° 13 - 31 de enero de 2025</w:t>
      </w:r>
    </w:p>
    <w:p w14:paraId="7CC912C2" w14:textId="77777777" w:rsidR="00A04E14" w:rsidRDefault="00A04E14">
      <w:pPr>
        <w:pBdr>
          <w:top w:val="nil"/>
          <w:left w:val="nil"/>
          <w:bottom w:val="nil"/>
          <w:right w:val="nil"/>
          <w:between w:val="nil"/>
        </w:pBdr>
        <w:spacing w:before="6"/>
        <w:rPr>
          <w:b/>
          <w:color w:val="000000"/>
          <w:sz w:val="23"/>
          <w:szCs w:val="23"/>
        </w:rPr>
      </w:pPr>
    </w:p>
    <w:p w14:paraId="48E1999B" w14:textId="77777777" w:rsidR="00A04E14" w:rsidRDefault="00000000">
      <w:pPr>
        <w:spacing w:before="92" w:line="273" w:lineRule="auto"/>
        <w:ind w:left="219" w:right="102"/>
        <w:jc w:val="both"/>
      </w:pPr>
      <w:r>
        <w:t xml:space="preserve">El </w:t>
      </w:r>
      <w:r>
        <w:rPr>
          <w:b/>
        </w:rPr>
        <w:t xml:space="preserve">Centro Ecuatoriano para la Promoción y Acción de las Mujeres, </w:t>
      </w:r>
      <w:r>
        <w:t xml:space="preserve">en adelante </w:t>
      </w:r>
      <w:r>
        <w:rPr>
          <w:b/>
        </w:rPr>
        <w:t>CEPAM Guayaquil</w:t>
      </w:r>
      <w:r>
        <w:t>, es una organización social feminista, sin fines de lucro de Guayaquil, Ecuador que desde 1983 trabaja con solvencia ética, técnica y política y un alto compromiso en una sociedad libre de violencia en contra de las mujeres, niños, niñas y adolescentes, que trabaja por el ejercicio pleno de los derechos sexuales y derechos reproductivos, desde un enfoque de género y derechos, ofreciendo servicios de calidad con capacidad para transferir y generar conocimiento y metodologías que permitan incidir y gestionar políticas nacionales y locales, promoviendo la participación ciudadana para la exigibilidad de sus derechos.</w:t>
      </w:r>
      <w:r>
        <w:rPr>
          <w:noProof/>
        </w:rPr>
        <mc:AlternateContent>
          <mc:Choice Requires="wpg">
            <w:drawing>
              <wp:anchor distT="0" distB="0" distL="114300" distR="114300" simplePos="0" relativeHeight="251658240" behindDoc="1" locked="0" layoutInCell="1" hidden="0" allowOverlap="1" wp14:anchorId="69E1F624" wp14:editId="1CACC05C">
                <wp:simplePos x="0" y="0"/>
                <wp:positionH relativeFrom="column">
                  <wp:posOffset>114300</wp:posOffset>
                </wp:positionH>
                <wp:positionV relativeFrom="paragraph">
                  <wp:posOffset>-25399</wp:posOffset>
                </wp:positionV>
                <wp:extent cx="6581775" cy="5040630"/>
                <wp:effectExtent l="0" t="0" r="0" b="0"/>
                <wp:wrapNone/>
                <wp:docPr id="18" name="Freeform: Shape 18"/>
                <wp:cNvGraphicFramePr/>
                <a:graphic xmlns:a="http://schemas.openxmlformats.org/drawingml/2006/main">
                  <a:graphicData uri="http://schemas.microsoft.com/office/word/2010/wordprocessingShape">
                    <wps:wsp>
                      <wps:cNvSpPr/>
                      <wps:spPr>
                        <a:xfrm>
                          <a:off x="2694876" y="1264448"/>
                          <a:ext cx="6572250" cy="5031105"/>
                        </a:xfrm>
                        <a:custGeom>
                          <a:avLst/>
                          <a:gdLst/>
                          <a:ahLst/>
                          <a:cxnLst/>
                          <a:rect l="l" t="t" r="r" b="b"/>
                          <a:pathLst>
                            <a:path w="6572250" h="5031105" extrusionOk="0">
                              <a:moveTo>
                                <a:pt x="0" y="123824"/>
                              </a:moveTo>
                              <a:lnTo>
                                <a:pt x="9525" y="75565"/>
                              </a:lnTo>
                              <a:lnTo>
                                <a:pt x="36195" y="36195"/>
                              </a:lnTo>
                              <a:lnTo>
                                <a:pt x="75565" y="9525"/>
                              </a:lnTo>
                              <a:lnTo>
                                <a:pt x="123825" y="0"/>
                              </a:lnTo>
                              <a:lnTo>
                                <a:pt x="6448425" y="0"/>
                              </a:lnTo>
                              <a:lnTo>
                                <a:pt x="6496685" y="9525"/>
                              </a:lnTo>
                              <a:lnTo>
                                <a:pt x="6536055" y="36195"/>
                              </a:lnTo>
                              <a:lnTo>
                                <a:pt x="6562725" y="75565"/>
                              </a:lnTo>
                              <a:lnTo>
                                <a:pt x="6572250" y="123824"/>
                              </a:lnTo>
                              <a:lnTo>
                                <a:pt x="6572250" y="4907280"/>
                              </a:lnTo>
                              <a:lnTo>
                                <a:pt x="6562725" y="4955540"/>
                              </a:lnTo>
                              <a:lnTo>
                                <a:pt x="6536055" y="4994910"/>
                              </a:lnTo>
                              <a:lnTo>
                                <a:pt x="6496685" y="5021580"/>
                              </a:lnTo>
                              <a:lnTo>
                                <a:pt x="6448425" y="5031105"/>
                              </a:lnTo>
                              <a:lnTo>
                                <a:pt x="123825" y="5031105"/>
                              </a:lnTo>
                              <a:lnTo>
                                <a:pt x="75565" y="5021580"/>
                              </a:lnTo>
                              <a:lnTo>
                                <a:pt x="36195" y="4994910"/>
                              </a:lnTo>
                              <a:lnTo>
                                <a:pt x="9525" y="4955540"/>
                              </a:lnTo>
                              <a:lnTo>
                                <a:pt x="0" y="4907280"/>
                              </a:lnTo>
                              <a:lnTo>
                                <a:pt x="0" y="123824"/>
                              </a:lnTo>
                              <a:close/>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114300</wp:posOffset>
                </wp:positionH>
                <wp:positionV relativeFrom="paragraph">
                  <wp:posOffset>-25399</wp:posOffset>
                </wp:positionV>
                <wp:extent cx="6581775" cy="5040630"/>
                <wp:effectExtent b="0" l="0" r="0" t="0"/>
                <wp:wrapNone/>
                <wp:docPr id="18" name="image13.png"/>
                <a:graphic>
                  <a:graphicData uri="http://schemas.openxmlformats.org/drawingml/2006/picture">
                    <pic:pic>
                      <pic:nvPicPr>
                        <pic:cNvPr id="0" name="image13.png"/>
                        <pic:cNvPicPr preferRelativeResize="0"/>
                      </pic:nvPicPr>
                      <pic:blipFill>
                        <a:blip r:embed="rId13"/>
                        <a:srcRect/>
                        <a:stretch>
                          <a:fillRect/>
                        </a:stretch>
                      </pic:blipFill>
                      <pic:spPr>
                        <a:xfrm>
                          <a:off x="0" y="0"/>
                          <a:ext cx="6581775" cy="5040630"/>
                        </a:xfrm>
                        <a:prstGeom prst="rect"/>
                        <a:ln/>
                      </pic:spPr>
                    </pic:pic>
                  </a:graphicData>
                </a:graphic>
              </wp:anchor>
            </w:drawing>
          </mc:Fallback>
        </mc:AlternateContent>
      </w:r>
    </w:p>
    <w:p w14:paraId="11CEB657" w14:textId="77777777" w:rsidR="00A04E14" w:rsidRDefault="00A04E14">
      <w:pPr>
        <w:pBdr>
          <w:top w:val="nil"/>
          <w:left w:val="nil"/>
          <w:bottom w:val="nil"/>
          <w:right w:val="nil"/>
          <w:between w:val="nil"/>
        </w:pBdr>
        <w:spacing w:before="2"/>
        <w:rPr>
          <w:color w:val="000000"/>
          <w:sz w:val="30"/>
          <w:szCs w:val="30"/>
        </w:rPr>
      </w:pPr>
    </w:p>
    <w:p w14:paraId="4235D1B7" w14:textId="77777777" w:rsidR="00A04E14" w:rsidRDefault="00000000">
      <w:pPr>
        <w:spacing w:before="1" w:line="273" w:lineRule="auto"/>
        <w:ind w:left="219" w:right="103"/>
        <w:jc w:val="both"/>
      </w:pPr>
      <w:r>
        <w:t xml:space="preserve">A través de la </w:t>
      </w:r>
      <w:r>
        <w:rPr>
          <w:b/>
        </w:rPr>
        <w:t xml:space="preserve">Clínica Jurídica Feminista de Litigio Estratégico </w:t>
      </w:r>
      <w:r>
        <w:t xml:space="preserve">y del </w:t>
      </w:r>
      <w:r>
        <w:rPr>
          <w:b/>
        </w:rPr>
        <w:t xml:space="preserve">Centro de Respuestas Legales </w:t>
      </w:r>
      <w:r>
        <w:t>CEPAM Guayaquil, impulsamos acciones participativas para alcanzar una justicia feminista en nuestro país y región.</w:t>
      </w:r>
    </w:p>
    <w:p w14:paraId="25BB3678" w14:textId="77777777" w:rsidR="00A04E14" w:rsidRDefault="00A04E14">
      <w:pPr>
        <w:pBdr>
          <w:top w:val="nil"/>
          <w:left w:val="nil"/>
          <w:bottom w:val="nil"/>
          <w:right w:val="nil"/>
          <w:between w:val="nil"/>
        </w:pBdr>
        <w:spacing w:before="5"/>
        <w:rPr>
          <w:color w:val="000000"/>
          <w:sz w:val="25"/>
          <w:szCs w:val="25"/>
        </w:rPr>
      </w:pPr>
    </w:p>
    <w:p w14:paraId="1A255D08" w14:textId="77777777" w:rsidR="00A04E14" w:rsidRDefault="00000000">
      <w:pPr>
        <w:spacing w:line="273" w:lineRule="auto"/>
        <w:ind w:left="219" w:right="108"/>
        <w:jc w:val="both"/>
        <w:rPr>
          <w:rFonts w:ascii="Calibri" w:eastAsia="Calibri" w:hAnsi="Calibri" w:cs="Calibri"/>
        </w:rPr>
      </w:pPr>
      <w:r>
        <w:t xml:space="preserve">En colaboración técnica con </w:t>
      </w:r>
      <w:r>
        <w:rPr>
          <w:rFonts w:ascii="Calibri" w:eastAsia="Calibri" w:hAnsi="Calibri" w:cs="Calibri"/>
          <w:b/>
        </w:rPr>
        <w:t xml:space="preserve">La Iniciativa por los Derechos Sexuales - </w:t>
      </w:r>
      <w:r>
        <w:rPr>
          <w:rFonts w:ascii="Calibri" w:eastAsia="Calibri" w:hAnsi="Calibri" w:cs="Calibri"/>
        </w:rPr>
        <w:t>Coalición integrada por Action Canada for Population and Development; CREA-India; Akãhatã – Equipo de Trabajo en Sexualidades y Géneros; Polish Federation for Women and Family Planning y otras.</w:t>
      </w:r>
    </w:p>
    <w:p w14:paraId="266EC1AB" w14:textId="77777777" w:rsidR="00A04E14" w:rsidRDefault="00A04E14">
      <w:pPr>
        <w:pBdr>
          <w:top w:val="nil"/>
          <w:left w:val="nil"/>
          <w:bottom w:val="nil"/>
          <w:right w:val="nil"/>
          <w:between w:val="nil"/>
        </w:pBdr>
        <w:spacing w:before="9"/>
        <w:rPr>
          <w:rFonts w:ascii="Calibri" w:eastAsia="Calibri" w:hAnsi="Calibri" w:cs="Calibri"/>
          <w:color w:val="000000"/>
          <w:sz w:val="27"/>
          <w:szCs w:val="27"/>
        </w:rPr>
      </w:pPr>
    </w:p>
    <w:p w14:paraId="020874B9" w14:textId="77777777" w:rsidR="00A04E14" w:rsidRDefault="00000000">
      <w:pPr>
        <w:ind w:left="219"/>
      </w:pPr>
      <w:r>
        <w:t>Contacto:</w:t>
      </w:r>
    </w:p>
    <w:p w14:paraId="19728825" w14:textId="77777777" w:rsidR="00A04E14" w:rsidRDefault="00000000">
      <w:pPr>
        <w:spacing w:before="40"/>
        <w:ind w:left="219"/>
      </w:pPr>
      <w:r>
        <w:t>Directora Ejecutiva Lita Martínez Alvarado.</w:t>
      </w:r>
    </w:p>
    <w:p w14:paraId="59DDA9FE" w14:textId="77777777" w:rsidR="00A04E14" w:rsidRDefault="00000000">
      <w:pPr>
        <w:spacing w:before="35" w:line="278" w:lineRule="auto"/>
        <w:ind w:left="219"/>
        <w:rPr>
          <w:rFonts w:ascii="Calibri" w:eastAsia="Calibri" w:hAnsi="Calibri" w:cs="Calibri"/>
          <w:sz w:val="20"/>
          <w:szCs w:val="20"/>
        </w:rPr>
        <w:sectPr w:rsidR="00A04E14">
          <w:headerReference w:type="default" r:id="rId14"/>
          <w:pgSz w:w="12240" w:h="15840"/>
          <w:pgMar w:top="2380" w:right="980" w:bottom="0" w:left="1000" w:header="19" w:footer="360" w:gutter="0"/>
          <w:pgNumType w:start="1"/>
          <w:cols w:space="720"/>
        </w:sectPr>
      </w:pPr>
      <w:r>
        <w:t xml:space="preserve">Correos: </w:t>
      </w:r>
      <w:hyperlink r:id="rId15">
        <w:r>
          <w:rPr>
            <w:color w:val="0563C1"/>
            <w:u w:val="single"/>
          </w:rPr>
          <w:t>lmartinez@cepamgye.org</w:t>
        </w:r>
      </w:hyperlink>
      <w:hyperlink r:id="rId16">
        <w:r>
          <w:t>,</w:t>
        </w:r>
      </w:hyperlink>
      <w:r>
        <w:t xml:space="preserve"> </w:t>
      </w:r>
      <w:hyperlink r:id="rId17">
        <w:r>
          <w:rPr>
            <w:color w:val="0563C1"/>
            <w:u w:val="single"/>
          </w:rPr>
          <w:t>cepam@cepamgye.org</w:t>
        </w:r>
      </w:hyperlink>
      <w:hyperlink r:id="rId18">
        <w:r>
          <w:t>,</w:t>
        </w:r>
      </w:hyperlink>
      <w:r>
        <w:t xml:space="preserve"> </w:t>
      </w:r>
      <w:hyperlink r:id="rId19">
        <w:r>
          <w:rPr>
            <w:color w:val="0563C1"/>
            <w:u w:val="single"/>
          </w:rPr>
          <w:t>jolvera@cepamgye.org</w:t>
        </w:r>
      </w:hyperlink>
      <w:r>
        <w:rPr>
          <w:color w:val="0563C1"/>
        </w:rPr>
        <w:t xml:space="preserve"> </w:t>
      </w:r>
      <w:r>
        <w:t xml:space="preserve">, </w:t>
      </w:r>
      <w:hyperlink r:id="rId20">
        <w:r>
          <w:rPr>
            <w:color w:val="000099"/>
            <w:u w:val="single"/>
          </w:rPr>
          <w:t>sangus@cepamgye.org</w:t>
        </w:r>
      </w:hyperlink>
      <w:hyperlink r:id="rId21">
        <w:r>
          <w:t>,</w:t>
        </w:r>
      </w:hyperlink>
      <w:r>
        <w:t xml:space="preserve"> </w:t>
      </w:r>
      <w:hyperlink r:id="rId22">
        <w:r>
          <w:rPr>
            <w:color w:val="000099"/>
            <w:u w:val="single"/>
          </w:rPr>
          <w:t>akahata@akahataorg.org</w:t>
        </w:r>
      </w:hyperlink>
      <w:hyperlink r:id="rId23">
        <w:r>
          <w:rPr>
            <w:color w:val="000099"/>
          </w:rPr>
          <w:t xml:space="preserve"> </w:t>
        </w:r>
      </w:hyperlink>
      <w:r>
        <w:t xml:space="preserve">y </w:t>
      </w:r>
      <w:hyperlink r:id="rId24">
        <w:r>
          <w:rPr>
            <w:rFonts w:ascii="Calibri" w:eastAsia="Calibri" w:hAnsi="Calibri" w:cs="Calibri"/>
            <w:color w:val="0563C1"/>
            <w:sz w:val="20"/>
            <w:szCs w:val="20"/>
            <w:u w:val="single"/>
          </w:rPr>
          <w:t>info@srigeneva.com</w:t>
        </w:r>
      </w:hyperlink>
    </w:p>
    <w:p w14:paraId="27CF48BF" w14:textId="77777777" w:rsidR="00A04E14" w:rsidRDefault="00000000">
      <w:pPr>
        <w:pBdr>
          <w:top w:val="nil"/>
          <w:left w:val="nil"/>
          <w:bottom w:val="nil"/>
          <w:right w:val="nil"/>
          <w:between w:val="nil"/>
        </w:pBdr>
        <w:spacing w:before="1"/>
        <w:ind w:left="699"/>
        <w:rPr>
          <w:color w:val="000000"/>
          <w:sz w:val="24"/>
          <w:szCs w:val="24"/>
        </w:rPr>
      </w:pPr>
      <w:r>
        <w:rPr>
          <w:color w:val="000000"/>
          <w:sz w:val="24"/>
          <w:szCs w:val="24"/>
        </w:rPr>
        <w:lastRenderedPageBreak/>
        <w:t>Estimadas expertas del Comité:</w:t>
      </w:r>
    </w:p>
    <w:p w14:paraId="56268833" w14:textId="77777777" w:rsidR="00A04E14" w:rsidRDefault="00A04E14">
      <w:pPr>
        <w:pBdr>
          <w:top w:val="nil"/>
          <w:left w:val="nil"/>
          <w:bottom w:val="nil"/>
          <w:right w:val="nil"/>
          <w:between w:val="nil"/>
        </w:pBdr>
        <w:spacing w:before="1"/>
        <w:rPr>
          <w:color w:val="000000"/>
          <w:sz w:val="31"/>
          <w:szCs w:val="31"/>
        </w:rPr>
      </w:pPr>
    </w:p>
    <w:p w14:paraId="1F43EAF0" w14:textId="77777777" w:rsidR="00A04E14" w:rsidRDefault="00000000">
      <w:pPr>
        <w:pBdr>
          <w:top w:val="nil"/>
          <w:left w:val="nil"/>
          <w:bottom w:val="nil"/>
          <w:right w:val="nil"/>
          <w:between w:val="nil"/>
        </w:pBdr>
        <w:ind w:left="699"/>
        <w:rPr>
          <w:color w:val="000000"/>
          <w:sz w:val="24"/>
          <w:szCs w:val="24"/>
        </w:rPr>
      </w:pPr>
      <w:r>
        <w:rPr>
          <w:color w:val="000000"/>
          <w:sz w:val="24"/>
          <w:szCs w:val="24"/>
        </w:rPr>
        <w:t>Distinguidos/as Miembros/as del Comité de los Derechos del Niñx:</w:t>
      </w:r>
    </w:p>
    <w:p w14:paraId="0B98CDEF" w14:textId="77777777" w:rsidR="00A04E14" w:rsidRDefault="00A04E14">
      <w:pPr>
        <w:pBdr>
          <w:top w:val="nil"/>
          <w:left w:val="nil"/>
          <w:bottom w:val="nil"/>
          <w:right w:val="nil"/>
          <w:between w:val="nil"/>
        </w:pBdr>
        <w:spacing w:before="6"/>
        <w:rPr>
          <w:color w:val="000000"/>
          <w:sz w:val="31"/>
          <w:szCs w:val="31"/>
        </w:rPr>
      </w:pPr>
    </w:p>
    <w:p w14:paraId="00210E03"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 xml:space="preserve">Nos dirigimos a ustedes en representación de la organización civil, </w:t>
      </w:r>
      <w:proofErr w:type="gramStart"/>
      <w:r>
        <w:rPr>
          <w:color w:val="000000"/>
          <w:sz w:val="24"/>
          <w:szCs w:val="24"/>
        </w:rPr>
        <w:t>en relación al</w:t>
      </w:r>
      <w:proofErr w:type="gramEnd"/>
      <w:r>
        <w:rPr>
          <w:color w:val="000000"/>
          <w:sz w:val="24"/>
          <w:szCs w:val="24"/>
        </w:rPr>
        <w:t xml:space="preserve"> informe periódico presentado por el Estado ecuatoriano sobre la vigencia de la Convención sobre los Derechos del Niño (CDN).</w:t>
      </w:r>
    </w:p>
    <w:p w14:paraId="0F2347CF" w14:textId="77777777" w:rsidR="00A04E14" w:rsidRDefault="00A04E14">
      <w:pPr>
        <w:pBdr>
          <w:top w:val="nil"/>
          <w:left w:val="nil"/>
          <w:bottom w:val="nil"/>
          <w:right w:val="nil"/>
          <w:between w:val="nil"/>
        </w:pBdr>
        <w:spacing w:before="5"/>
        <w:rPr>
          <w:color w:val="000000"/>
          <w:sz w:val="27"/>
          <w:szCs w:val="27"/>
        </w:rPr>
      </w:pPr>
    </w:p>
    <w:p w14:paraId="578684F3"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Esta presentación tiene como objetivo poner a su disposición el informe alternativo elaborado, el cual detalla los avances, retrocesos, deficiencias y omisiones del Estado ecuatoriano en el cumplimiento de su obligación de respetar, garantizar y hacer efectivos los derechos establecidos en la Convención. Este informe se enmarca en una profunda crisis política, social y económica en Ecuador, lo que supone un gran desafío para los derechos humanos de niñas, niños, adolescentes y jóvenes. Se presta especial atención a temas como la no discriminación, la educación, el acceso a la justicia, las barreras para ejercer los derechos sexuales y reproductivos, y la violencia de género, entre otros.</w:t>
      </w:r>
    </w:p>
    <w:p w14:paraId="5EA741B0" w14:textId="77777777" w:rsidR="00A04E14" w:rsidRDefault="00A04E14">
      <w:pPr>
        <w:pBdr>
          <w:top w:val="nil"/>
          <w:left w:val="nil"/>
          <w:bottom w:val="nil"/>
          <w:right w:val="nil"/>
          <w:between w:val="nil"/>
        </w:pBdr>
        <w:spacing w:before="6"/>
        <w:rPr>
          <w:color w:val="000000"/>
          <w:sz w:val="27"/>
          <w:szCs w:val="27"/>
        </w:rPr>
      </w:pPr>
    </w:p>
    <w:p w14:paraId="518FE011"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Es importante, desde ya, aclarar que la información aquí incluida no agota la totalidad de la problemática vinculada a la implementación de la Convención en el país. Esperamos tengan a bien considerar la problemática aquí expuesta.</w:t>
      </w:r>
    </w:p>
    <w:p w14:paraId="1793D1EE" w14:textId="77777777" w:rsidR="00A04E14" w:rsidRDefault="00A04E14">
      <w:pPr>
        <w:pBdr>
          <w:top w:val="nil"/>
          <w:left w:val="nil"/>
          <w:bottom w:val="nil"/>
          <w:right w:val="nil"/>
          <w:between w:val="nil"/>
        </w:pBdr>
        <w:spacing w:before="10"/>
        <w:rPr>
          <w:color w:val="000000"/>
          <w:sz w:val="27"/>
          <w:szCs w:val="27"/>
        </w:rPr>
      </w:pPr>
    </w:p>
    <w:p w14:paraId="1CE96491" w14:textId="77777777" w:rsidR="00A04E14" w:rsidRDefault="00000000">
      <w:pPr>
        <w:pBdr>
          <w:top w:val="nil"/>
          <w:left w:val="nil"/>
          <w:bottom w:val="nil"/>
          <w:right w:val="nil"/>
          <w:between w:val="nil"/>
        </w:pBdr>
        <w:spacing w:line="276" w:lineRule="auto"/>
        <w:ind w:left="699" w:right="1084"/>
        <w:rPr>
          <w:color w:val="000000"/>
          <w:sz w:val="24"/>
          <w:szCs w:val="24"/>
        </w:rPr>
      </w:pPr>
      <w:r>
        <w:rPr>
          <w:color w:val="000000"/>
          <w:sz w:val="24"/>
          <w:szCs w:val="24"/>
        </w:rPr>
        <w:t>Quedamos a vuestra disposición para ampliar o aclarar lo que puedan estimar necesario. Atentamente,</w:t>
      </w:r>
    </w:p>
    <w:p w14:paraId="40C3BEA1" w14:textId="77777777" w:rsidR="00A04E14" w:rsidRDefault="00A04E14">
      <w:pPr>
        <w:pBdr>
          <w:top w:val="nil"/>
          <w:left w:val="nil"/>
          <w:bottom w:val="nil"/>
          <w:right w:val="nil"/>
          <w:between w:val="nil"/>
        </w:pBdr>
        <w:rPr>
          <w:color w:val="000000"/>
          <w:sz w:val="20"/>
          <w:szCs w:val="20"/>
        </w:rPr>
        <w:sectPr w:rsidR="00A04E14">
          <w:pgSz w:w="12240" w:h="15840"/>
          <w:pgMar w:top="2380" w:right="980" w:bottom="280" w:left="1000" w:header="19" w:footer="0" w:gutter="0"/>
          <w:cols w:space="720"/>
        </w:sectPr>
      </w:pPr>
    </w:p>
    <w:p w14:paraId="307509EB" w14:textId="77777777" w:rsidR="00A04E14" w:rsidRDefault="00A04E14">
      <w:pPr>
        <w:pBdr>
          <w:top w:val="nil"/>
          <w:left w:val="nil"/>
          <w:bottom w:val="nil"/>
          <w:right w:val="nil"/>
          <w:between w:val="nil"/>
        </w:pBdr>
        <w:rPr>
          <w:color w:val="000000"/>
          <w:sz w:val="26"/>
          <w:szCs w:val="26"/>
        </w:rPr>
      </w:pPr>
    </w:p>
    <w:p w14:paraId="150A57A3" w14:textId="77777777" w:rsidR="00A04E14" w:rsidRDefault="00000000">
      <w:pPr>
        <w:spacing w:before="125"/>
        <w:ind w:left="787"/>
        <w:rPr>
          <w:rFonts w:ascii="Trebuchet MS" w:eastAsia="Trebuchet MS" w:hAnsi="Trebuchet MS" w:cs="Trebuchet MS"/>
          <w:sz w:val="26"/>
          <w:szCs w:val="26"/>
        </w:rPr>
      </w:pPr>
      <w:r>
        <w:rPr>
          <w:rFonts w:ascii="Trebuchet MS" w:eastAsia="Trebuchet MS" w:hAnsi="Trebuchet MS" w:cs="Trebuchet MS"/>
          <w:sz w:val="26"/>
          <w:szCs w:val="26"/>
        </w:rPr>
        <w:t>1102798061</w:t>
      </w:r>
      <w:r>
        <w:rPr>
          <w:noProof/>
        </w:rPr>
        <mc:AlternateContent>
          <mc:Choice Requires="wpg">
            <w:drawing>
              <wp:anchor distT="0" distB="0" distL="114300" distR="114300" simplePos="0" relativeHeight="251659264" behindDoc="1" locked="0" layoutInCell="1" hidden="0" allowOverlap="1" wp14:anchorId="2A5C57E0" wp14:editId="33A3E6AC">
                <wp:simplePos x="0" y="0"/>
                <wp:positionH relativeFrom="column">
                  <wp:posOffset>1219200</wp:posOffset>
                </wp:positionH>
                <wp:positionV relativeFrom="paragraph">
                  <wp:posOffset>88900</wp:posOffset>
                </wp:positionV>
                <wp:extent cx="990600" cy="983615"/>
                <wp:effectExtent l="0" t="0" r="0" b="0"/>
                <wp:wrapNone/>
                <wp:docPr id="21" name="Freeform: Shape 21"/>
                <wp:cNvGraphicFramePr/>
                <a:graphic xmlns:a="http://schemas.openxmlformats.org/drawingml/2006/main">
                  <a:graphicData uri="http://schemas.microsoft.com/office/word/2010/wordprocessingShape">
                    <wps:wsp>
                      <wps:cNvSpPr/>
                      <wps:spPr>
                        <a:xfrm>
                          <a:off x="5490463" y="3292955"/>
                          <a:ext cx="981075" cy="974090"/>
                        </a:xfrm>
                        <a:custGeom>
                          <a:avLst/>
                          <a:gdLst/>
                          <a:ahLst/>
                          <a:cxnLst/>
                          <a:rect l="l" t="t" r="r" b="b"/>
                          <a:pathLst>
                            <a:path w="981075" h="974090" extrusionOk="0">
                              <a:moveTo>
                                <a:pt x="176530" y="768350"/>
                              </a:moveTo>
                              <a:lnTo>
                                <a:pt x="115570" y="805180"/>
                              </a:lnTo>
                              <a:lnTo>
                                <a:pt x="69850" y="842010"/>
                              </a:lnTo>
                              <a:lnTo>
                                <a:pt x="36830" y="877570"/>
                              </a:lnTo>
                              <a:lnTo>
                                <a:pt x="15240" y="909320"/>
                              </a:lnTo>
                              <a:lnTo>
                                <a:pt x="3175" y="936625"/>
                              </a:lnTo>
                              <a:lnTo>
                                <a:pt x="0" y="958215"/>
                              </a:lnTo>
                              <a:lnTo>
                                <a:pt x="5715" y="970915"/>
                              </a:lnTo>
                              <a:lnTo>
                                <a:pt x="11430" y="974090"/>
                              </a:lnTo>
                              <a:lnTo>
                                <a:pt x="76835" y="974090"/>
                              </a:lnTo>
                              <a:lnTo>
                                <a:pt x="80010" y="972185"/>
                              </a:lnTo>
                              <a:lnTo>
                                <a:pt x="18415" y="972185"/>
                              </a:lnTo>
                              <a:lnTo>
                                <a:pt x="23495" y="944245"/>
                              </a:lnTo>
                              <a:lnTo>
                                <a:pt x="43815" y="906145"/>
                              </a:lnTo>
                              <a:lnTo>
                                <a:pt x="77470" y="861695"/>
                              </a:lnTo>
                              <a:lnTo>
                                <a:pt x="122555" y="814070"/>
                              </a:lnTo>
                              <a:lnTo>
                                <a:pt x="176530" y="768350"/>
                              </a:lnTo>
                              <a:close/>
                              <a:moveTo>
                                <a:pt x="419100" y="0"/>
                              </a:moveTo>
                              <a:lnTo>
                                <a:pt x="399415" y="13335"/>
                              </a:lnTo>
                              <a:lnTo>
                                <a:pt x="389255" y="43815"/>
                              </a:lnTo>
                              <a:lnTo>
                                <a:pt x="385445" y="78105"/>
                              </a:lnTo>
                              <a:lnTo>
                                <a:pt x="385445" y="102235"/>
                              </a:lnTo>
                              <a:lnTo>
                                <a:pt x="386080" y="124460"/>
                              </a:lnTo>
                              <a:lnTo>
                                <a:pt x="387985" y="147955"/>
                              </a:lnTo>
                              <a:lnTo>
                                <a:pt x="391160" y="173355"/>
                              </a:lnTo>
                              <a:lnTo>
                                <a:pt x="394970" y="198755"/>
                              </a:lnTo>
                              <a:lnTo>
                                <a:pt x="400050" y="225425"/>
                              </a:lnTo>
                              <a:lnTo>
                                <a:pt x="405765" y="252095"/>
                              </a:lnTo>
                              <a:lnTo>
                                <a:pt x="412115" y="279400"/>
                              </a:lnTo>
                              <a:lnTo>
                                <a:pt x="419100" y="306705"/>
                              </a:lnTo>
                              <a:lnTo>
                                <a:pt x="416560" y="321945"/>
                              </a:lnTo>
                              <a:lnTo>
                                <a:pt x="408940" y="347345"/>
                              </a:lnTo>
                              <a:lnTo>
                                <a:pt x="396875" y="381635"/>
                              </a:lnTo>
                              <a:lnTo>
                                <a:pt x="381000" y="422910"/>
                              </a:lnTo>
                              <a:lnTo>
                                <a:pt x="361315" y="469900"/>
                              </a:lnTo>
                              <a:lnTo>
                                <a:pt x="338455" y="521335"/>
                              </a:lnTo>
                              <a:lnTo>
                                <a:pt x="313690" y="575945"/>
                              </a:lnTo>
                              <a:lnTo>
                                <a:pt x="286385" y="631825"/>
                              </a:lnTo>
                              <a:lnTo>
                                <a:pt x="257175" y="688340"/>
                              </a:lnTo>
                              <a:lnTo>
                                <a:pt x="226695" y="742950"/>
                              </a:lnTo>
                              <a:lnTo>
                                <a:pt x="195580" y="795020"/>
                              </a:lnTo>
                              <a:lnTo>
                                <a:pt x="163830" y="843280"/>
                              </a:lnTo>
                              <a:lnTo>
                                <a:pt x="132715" y="885825"/>
                              </a:lnTo>
                              <a:lnTo>
                                <a:pt x="102235" y="921385"/>
                              </a:lnTo>
                              <a:lnTo>
                                <a:pt x="72390" y="948690"/>
                              </a:lnTo>
                              <a:lnTo>
                                <a:pt x="44450" y="965835"/>
                              </a:lnTo>
                              <a:lnTo>
                                <a:pt x="18415" y="972185"/>
                              </a:lnTo>
                              <a:lnTo>
                                <a:pt x="80010" y="972185"/>
                              </a:lnTo>
                              <a:lnTo>
                                <a:pt x="90170" y="966470"/>
                              </a:lnTo>
                              <a:lnTo>
                                <a:pt x="119380" y="942340"/>
                              </a:lnTo>
                              <a:lnTo>
                                <a:pt x="152400" y="906780"/>
                              </a:lnTo>
                              <a:lnTo>
                                <a:pt x="188595" y="859790"/>
                              </a:lnTo>
                              <a:lnTo>
                                <a:pt x="228600" y="800735"/>
                              </a:lnTo>
                              <a:lnTo>
                                <a:pt x="272415" y="728345"/>
                              </a:lnTo>
                              <a:lnTo>
                                <a:pt x="281305" y="725170"/>
                              </a:lnTo>
                              <a:lnTo>
                                <a:pt x="272415" y="725170"/>
                              </a:lnTo>
                              <a:lnTo>
                                <a:pt x="311150" y="656590"/>
                              </a:lnTo>
                              <a:lnTo>
                                <a:pt x="342900" y="595630"/>
                              </a:lnTo>
                              <a:lnTo>
                                <a:pt x="369570" y="542290"/>
                              </a:lnTo>
                              <a:lnTo>
                                <a:pt x="390525" y="495935"/>
                              </a:lnTo>
                              <a:lnTo>
                                <a:pt x="407035" y="455295"/>
                              </a:lnTo>
                              <a:lnTo>
                                <a:pt x="419735" y="420370"/>
                              </a:lnTo>
                              <a:lnTo>
                                <a:pt x="429260" y="389255"/>
                              </a:lnTo>
                              <a:lnTo>
                                <a:pt x="436880" y="361950"/>
                              </a:lnTo>
                              <a:lnTo>
                                <a:pt x="471805" y="361950"/>
                              </a:lnTo>
                              <a:lnTo>
                                <a:pt x="467360" y="351790"/>
                              </a:lnTo>
                              <a:lnTo>
                                <a:pt x="450215" y="304165"/>
                              </a:lnTo>
                              <a:lnTo>
                                <a:pt x="457200" y="252729"/>
                              </a:lnTo>
                              <a:lnTo>
                                <a:pt x="436880" y="252729"/>
                              </a:lnTo>
                              <a:lnTo>
                                <a:pt x="425450" y="208915"/>
                              </a:lnTo>
                              <a:lnTo>
                                <a:pt x="417830" y="167005"/>
                              </a:lnTo>
                              <a:lnTo>
                                <a:pt x="413385" y="127000"/>
                              </a:lnTo>
                              <a:lnTo>
                                <a:pt x="412115" y="91440"/>
                              </a:lnTo>
                              <a:lnTo>
                                <a:pt x="412750" y="76200"/>
                              </a:lnTo>
                              <a:lnTo>
                                <a:pt x="414655" y="50800"/>
                              </a:lnTo>
                              <a:lnTo>
                                <a:pt x="421005" y="24130"/>
                              </a:lnTo>
                              <a:lnTo>
                                <a:pt x="433070" y="6350"/>
                              </a:lnTo>
                              <a:lnTo>
                                <a:pt x="457200" y="6350"/>
                              </a:lnTo>
                              <a:lnTo>
                                <a:pt x="444500" y="1270"/>
                              </a:lnTo>
                              <a:lnTo>
                                <a:pt x="419100" y="0"/>
                              </a:lnTo>
                              <a:close/>
                              <a:moveTo>
                                <a:pt x="955675" y="723265"/>
                              </a:moveTo>
                              <a:lnTo>
                                <a:pt x="946150" y="725170"/>
                              </a:lnTo>
                              <a:lnTo>
                                <a:pt x="938530" y="730250"/>
                              </a:lnTo>
                              <a:lnTo>
                                <a:pt x="933450" y="737870"/>
                              </a:lnTo>
                              <a:lnTo>
                                <a:pt x="931545" y="747395"/>
                              </a:lnTo>
                              <a:lnTo>
                                <a:pt x="931545" y="747395"/>
                              </a:lnTo>
                              <a:lnTo>
                                <a:pt x="933450" y="756285"/>
                              </a:lnTo>
                              <a:lnTo>
                                <a:pt x="938530" y="763905"/>
                              </a:lnTo>
                              <a:lnTo>
                                <a:pt x="946150" y="768350"/>
                              </a:lnTo>
                              <a:lnTo>
                                <a:pt x="955675" y="770255"/>
                              </a:lnTo>
                              <a:lnTo>
                                <a:pt x="965835" y="768350"/>
                              </a:lnTo>
                              <a:lnTo>
                                <a:pt x="970915" y="765175"/>
                              </a:lnTo>
                              <a:lnTo>
                                <a:pt x="955675" y="765175"/>
                              </a:lnTo>
                              <a:lnTo>
                                <a:pt x="948055" y="763905"/>
                              </a:lnTo>
                              <a:lnTo>
                                <a:pt x="942340" y="760095"/>
                              </a:lnTo>
                              <a:lnTo>
                                <a:pt x="937895" y="754380"/>
                              </a:lnTo>
                              <a:lnTo>
                                <a:pt x="936625" y="747395"/>
                              </a:lnTo>
                              <a:lnTo>
                                <a:pt x="936625" y="747395"/>
                              </a:lnTo>
                              <a:lnTo>
                                <a:pt x="937895" y="739775"/>
                              </a:lnTo>
                              <a:lnTo>
                                <a:pt x="942340" y="733425"/>
                              </a:lnTo>
                              <a:lnTo>
                                <a:pt x="948055" y="729615"/>
                              </a:lnTo>
                              <a:lnTo>
                                <a:pt x="955675" y="728345"/>
                              </a:lnTo>
                              <a:lnTo>
                                <a:pt x="970915" y="728345"/>
                              </a:lnTo>
                              <a:lnTo>
                                <a:pt x="965835" y="725170"/>
                              </a:lnTo>
                              <a:lnTo>
                                <a:pt x="955675" y="723265"/>
                              </a:lnTo>
                              <a:close/>
                              <a:moveTo>
                                <a:pt x="970915" y="728345"/>
                              </a:moveTo>
                              <a:lnTo>
                                <a:pt x="955675" y="728345"/>
                              </a:lnTo>
                              <a:lnTo>
                                <a:pt x="963295" y="729615"/>
                              </a:lnTo>
                              <a:lnTo>
                                <a:pt x="969645" y="733425"/>
                              </a:lnTo>
                              <a:lnTo>
                                <a:pt x="973455" y="739775"/>
                              </a:lnTo>
                              <a:lnTo>
                                <a:pt x="974725" y="747395"/>
                              </a:lnTo>
                              <a:lnTo>
                                <a:pt x="974725" y="747395"/>
                              </a:lnTo>
                              <a:lnTo>
                                <a:pt x="973455" y="754380"/>
                              </a:lnTo>
                              <a:lnTo>
                                <a:pt x="969645" y="760095"/>
                              </a:lnTo>
                              <a:lnTo>
                                <a:pt x="963295" y="763905"/>
                              </a:lnTo>
                              <a:lnTo>
                                <a:pt x="955675" y="765175"/>
                              </a:lnTo>
                              <a:lnTo>
                                <a:pt x="970915" y="765175"/>
                              </a:lnTo>
                              <a:lnTo>
                                <a:pt x="973455" y="763905"/>
                              </a:lnTo>
                              <a:lnTo>
                                <a:pt x="978535" y="756285"/>
                              </a:lnTo>
                              <a:lnTo>
                                <a:pt x="980440" y="747395"/>
                              </a:lnTo>
                              <a:lnTo>
                                <a:pt x="980440" y="747395"/>
                              </a:lnTo>
                              <a:lnTo>
                                <a:pt x="978535" y="737870"/>
                              </a:lnTo>
                              <a:lnTo>
                                <a:pt x="973455" y="730250"/>
                              </a:lnTo>
                              <a:lnTo>
                                <a:pt x="970915" y="728345"/>
                              </a:lnTo>
                              <a:close/>
                              <a:moveTo>
                                <a:pt x="962660" y="731520"/>
                              </a:moveTo>
                              <a:lnTo>
                                <a:pt x="946785" y="731520"/>
                              </a:lnTo>
                              <a:lnTo>
                                <a:pt x="946785" y="760095"/>
                              </a:lnTo>
                              <a:lnTo>
                                <a:pt x="951230" y="760095"/>
                              </a:lnTo>
                              <a:lnTo>
                                <a:pt x="951230" y="749300"/>
                              </a:lnTo>
                              <a:lnTo>
                                <a:pt x="963930" y="749300"/>
                              </a:lnTo>
                              <a:lnTo>
                                <a:pt x="963295" y="748030"/>
                              </a:lnTo>
                              <a:lnTo>
                                <a:pt x="960755" y="747395"/>
                              </a:lnTo>
                              <a:lnTo>
                                <a:pt x="966470" y="745490"/>
                              </a:lnTo>
                              <a:lnTo>
                                <a:pt x="951230" y="745490"/>
                              </a:lnTo>
                              <a:lnTo>
                                <a:pt x="951230" y="737235"/>
                              </a:lnTo>
                              <a:lnTo>
                                <a:pt x="965835" y="737235"/>
                              </a:lnTo>
                              <a:lnTo>
                                <a:pt x="965200" y="735330"/>
                              </a:lnTo>
                              <a:lnTo>
                                <a:pt x="962660" y="731520"/>
                              </a:lnTo>
                              <a:close/>
                              <a:moveTo>
                                <a:pt x="963930" y="749300"/>
                              </a:moveTo>
                              <a:lnTo>
                                <a:pt x="957580" y="749300"/>
                              </a:lnTo>
                              <a:lnTo>
                                <a:pt x="959485" y="752475"/>
                              </a:lnTo>
                              <a:lnTo>
                                <a:pt x="960755" y="755015"/>
                              </a:lnTo>
                              <a:lnTo>
                                <a:pt x="961390" y="760095"/>
                              </a:lnTo>
                              <a:lnTo>
                                <a:pt x="966470" y="760095"/>
                              </a:lnTo>
                              <a:lnTo>
                                <a:pt x="965200" y="755015"/>
                              </a:lnTo>
                              <a:lnTo>
                                <a:pt x="965200" y="751205"/>
                              </a:lnTo>
                              <a:lnTo>
                                <a:pt x="963930" y="749300"/>
                              </a:lnTo>
                              <a:close/>
                              <a:moveTo>
                                <a:pt x="965835" y="737235"/>
                              </a:moveTo>
                              <a:lnTo>
                                <a:pt x="958215" y="737235"/>
                              </a:lnTo>
                              <a:lnTo>
                                <a:pt x="960755" y="738505"/>
                              </a:lnTo>
                              <a:lnTo>
                                <a:pt x="960755" y="744220"/>
                              </a:lnTo>
                              <a:lnTo>
                                <a:pt x="957580" y="745490"/>
                              </a:lnTo>
                              <a:lnTo>
                                <a:pt x="966470" y="745490"/>
                              </a:lnTo>
                              <a:lnTo>
                                <a:pt x="966470" y="741045"/>
                              </a:lnTo>
                              <a:lnTo>
                                <a:pt x="965835" y="737235"/>
                              </a:lnTo>
                              <a:close/>
                              <a:moveTo>
                                <a:pt x="471805" y="361950"/>
                              </a:moveTo>
                              <a:lnTo>
                                <a:pt x="436880" y="361950"/>
                              </a:lnTo>
                              <a:lnTo>
                                <a:pt x="467360" y="428625"/>
                              </a:lnTo>
                              <a:lnTo>
                                <a:pt x="499109" y="482600"/>
                              </a:lnTo>
                              <a:lnTo>
                                <a:pt x="530860" y="525780"/>
                              </a:lnTo>
                              <a:lnTo>
                                <a:pt x="562610" y="559435"/>
                              </a:lnTo>
                              <a:lnTo>
                                <a:pt x="592455" y="585470"/>
                              </a:lnTo>
                              <a:lnTo>
                                <a:pt x="619125" y="604520"/>
                              </a:lnTo>
                              <a:lnTo>
                                <a:pt x="641985" y="618490"/>
                              </a:lnTo>
                              <a:lnTo>
                                <a:pt x="597535" y="626745"/>
                              </a:lnTo>
                              <a:lnTo>
                                <a:pt x="551815" y="636270"/>
                              </a:lnTo>
                              <a:lnTo>
                                <a:pt x="505460" y="647700"/>
                              </a:lnTo>
                              <a:lnTo>
                                <a:pt x="458470" y="659765"/>
                              </a:lnTo>
                              <a:lnTo>
                                <a:pt x="411480" y="673735"/>
                              </a:lnTo>
                              <a:lnTo>
                                <a:pt x="364490" y="689610"/>
                              </a:lnTo>
                              <a:lnTo>
                                <a:pt x="318135" y="706755"/>
                              </a:lnTo>
                              <a:lnTo>
                                <a:pt x="272415" y="725170"/>
                              </a:lnTo>
                              <a:lnTo>
                                <a:pt x="281305" y="725170"/>
                              </a:lnTo>
                              <a:lnTo>
                                <a:pt x="317500" y="713740"/>
                              </a:lnTo>
                              <a:lnTo>
                                <a:pt x="365760" y="699770"/>
                              </a:lnTo>
                              <a:lnTo>
                                <a:pt x="415925" y="687070"/>
                              </a:lnTo>
                              <a:lnTo>
                                <a:pt x="467995" y="675640"/>
                              </a:lnTo>
                              <a:lnTo>
                                <a:pt x="520700" y="665480"/>
                              </a:lnTo>
                              <a:lnTo>
                                <a:pt x="574040" y="656590"/>
                              </a:lnTo>
                              <a:lnTo>
                                <a:pt x="626745" y="649605"/>
                              </a:lnTo>
                              <a:lnTo>
                                <a:pt x="678815" y="643255"/>
                              </a:lnTo>
                              <a:lnTo>
                                <a:pt x="753745" y="643255"/>
                              </a:lnTo>
                              <a:lnTo>
                                <a:pt x="737870" y="636270"/>
                              </a:lnTo>
                              <a:lnTo>
                                <a:pt x="780415" y="634365"/>
                              </a:lnTo>
                              <a:lnTo>
                                <a:pt x="831850" y="633095"/>
                              </a:lnTo>
                              <a:lnTo>
                                <a:pt x="959485" y="633095"/>
                              </a:lnTo>
                              <a:lnTo>
                                <a:pt x="934085" y="619125"/>
                              </a:lnTo>
                              <a:lnTo>
                                <a:pt x="896620" y="611505"/>
                              </a:lnTo>
                              <a:lnTo>
                                <a:pt x="694055" y="611505"/>
                              </a:lnTo>
                              <a:lnTo>
                                <a:pt x="670560" y="598170"/>
                              </a:lnTo>
                              <a:lnTo>
                                <a:pt x="647700" y="584200"/>
                              </a:lnTo>
                              <a:lnTo>
                                <a:pt x="625475" y="568960"/>
                              </a:lnTo>
                              <a:lnTo>
                                <a:pt x="603885" y="553720"/>
                              </a:lnTo>
                              <a:lnTo>
                                <a:pt x="570230" y="521335"/>
                              </a:lnTo>
                              <a:lnTo>
                                <a:pt x="539115" y="483870"/>
                              </a:lnTo>
                              <a:lnTo>
                                <a:pt x="511810" y="442595"/>
                              </a:lnTo>
                              <a:lnTo>
                                <a:pt x="487680" y="398145"/>
                              </a:lnTo>
                              <a:lnTo>
                                <a:pt x="471805" y="361950"/>
                              </a:lnTo>
                              <a:close/>
                              <a:moveTo>
                                <a:pt x="753745" y="643255"/>
                              </a:moveTo>
                              <a:lnTo>
                                <a:pt x="678815" y="643255"/>
                              </a:lnTo>
                              <a:lnTo>
                                <a:pt x="730885" y="668020"/>
                              </a:lnTo>
                              <a:lnTo>
                                <a:pt x="783590" y="687705"/>
                              </a:lnTo>
                              <a:lnTo>
                                <a:pt x="833755" y="702310"/>
                              </a:lnTo>
                              <a:lnTo>
                                <a:pt x="879475" y="711200"/>
                              </a:lnTo>
                              <a:lnTo>
                                <a:pt x="918210" y="714375"/>
                              </a:lnTo>
                              <a:lnTo>
                                <a:pt x="939165" y="713105"/>
                              </a:lnTo>
                              <a:lnTo>
                                <a:pt x="954405" y="708660"/>
                              </a:lnTo>
                              <a:lnTo>
                                <a:pt x="965200" y="701675"/>
                              </a:lnTo>
                              <a:lnTo>
                                <a:pt x="966470" y="698500"/>
                              </a:lnTo>
                              <a:lnTo>
                                <a:pt x="939800" y="698500"/>
                              </a:lnTo>
                              <a:lnTo>
                                <a:pt x="899795" y="694055"/>
                              </a:lnTo>
                              <a:lnTo>
                                <a:pt x="850900" y="681355"/>
                              </a:lnTo>
                              <a:lnTo>
                                <a:pt x="795655" y="661670"/>
                              </a:lnTo>
                              <a:lnTo>
                                <a:pt x="753745" y="643255"/>
                              </a:lnTo>
                              <a:close/>
                              <a:moveTo>
                                <a:pt x="970280" y="691515"/>
                              </a:moveTo>
                              <a:lnTo>
                                <a:pt x="964565" y="694055"/>
                              </a:lnTo>
                              <a:lnTo>
                                <a:pt x="956945" y="695960"/>
                              </a:lnTo>
                              <a:lnTo>
                                <a:pt x="948690" y="697865"/>
                              </a:lnTo>
                              <a:lnTo>
                                <a:pt x="939800" y="698500"/>
                              </a:lnTo>
                              <a:lnTo>
                                <a:pt x="966470" y="698500"/>
                              </a:lnTo>
                              <a:lnTo>
                                <a:pt x="970280" y="691515"/>
                              </a:lnTo>
                              <a:close/>
                              <a:moveTo>
                                <a:pt x="959485" y="633095"/>
                              </a:moveTo>
                              <a:lnTo>
                                <a:pt x="831850" y="633095"/>
                              </a:lnTo>
                              <a:lnTo>
                                <a:pt x="883920" y="635635"/>
                              </a:lnTo>
                              <a:lnTo>
                                <a:pt x="930275" y="643255"/>
                              </a:lnTo>
                              <a:lnTo>
                                <a:pt x="962660" y="657225"/>
                              </a:lnTo>
                              <a:lnTo>
                                <a:pt x="974725" y="680720"/>
                              </a:lnTo>
                              <a:lnTo>
                                <a:pt x="977265" y="673100"/>
                              </a:lnTo>
                              <a:lnTo>
                                <a:pt x="980440" y="670560"/>
                              </a:lnTo>
                              <a:lnTo>
                                <a:pt x="980440" y="663575"/>
                              </a:lnTo>
                              <a:lnTo>
                                <a:pt x="968375" y="637540"/>
                              </a:lnTo>
                              <a:lnTo>
                                <a:pt x="959485" y="633095"/>
                              </a:lnTo>
                              <a:close/>
                              <a:moveTo>
                                <a:pt x="813435" y="604520"/>
                              </a:moveTo>
                              <a:lnTo>
                                <a:pt x="786765" y="605155"/>
                              </a:lnTo>
                              <a:lnTo>
                                <a:pt x="757555" y="607060"/>
                              </a:lnTo>
                              <a:lnTo>
                                <a:pt x="694055" y="611505"/>
                              </a:lnTo>
                              <a:lnTo>
                                <a:pt x="896620" y="611505"/>
                              </a:lnTo>
                              <a:lnTo>
                                <a:pt x="881380" y="608330"/>
                              </a:lnTo>
                              <a:lnTo>
                                <a:pt x="813435" y="604520"/>
                              </a:lnTo>
                              <a:close/>
                              <a:moveTo>
                                <a:pt x="467360" y="81915"/>
                              </a:moveTo>
                              <a:lnTo>
                                <a:pt x="461645" y="111760"/>
                              </a:lnTo>
                              <a:lnTo>
                                <a:pt x="455295" y="149860"/>
                              </a:lnTo>
                              <a:lnTo>
                                <a:pt x="447675" y="196215"/>
                              </a:lnTo>
                              <a:lnTo>
                                <a:pt x="436880" y="252729"/>
                              </a:lnTo>
                              <a:lnTo>
                                <a:pt x="457200" y="252729"/>
                              </a:lnTo>
                              <a:lnTo>
                                <a:pt x="458470" y="246380"/>
                              </a:lnTo>
                              <a:lnTo>
                                <a:pt x="462915" y="191770"/>
                              </a:lnTo>
                              <a:lnTo>
                                <a:pt x="465455" y="137160"/>
                              </a:lnTo>
                              <a:lnTo>
                                <a:pt x="467360" y="81915"/>
                              </a:lnTo>
                              <a:close/>
                              <a:moveTo>
                                <a:pt x="457200" y="6350"/>
                              </a:moveTo>
                              <a:lnTo>
                                <a:pt x="433070" y="6350"/>
                              </a:lnTo>
                              <a:lnTo>
                                <a:pt x="443865" y="13335"/>
                              </a:lnTo>
                              <a:lnTo>
                                <a:pt x="454025" y="24130"/>
                              </a:lnTo>
                              <a:lnTo>
                                <a:pt x="462280" y="40640"/>
                              </a:lnTo>
                              <a:lnTo>
                                <a:pt x="467360" y="64135"/>
                              </a:lnTo>
                              <a:lnTo>
                                <a:pt x="470535" y="27305"/>
                              </a:lnTo>
                              <a:lnTo>
                                <a:pt x="462915" y="8255"/>
                              </a:lnTo>
                              <a:lnTo>
                                <a:pt x="457200" y="6350"/>
                              </a:lnTo>
                              <a:close/>
                            </a:path>
                          </a:pathLst>
                        </a:custGeom>
                        <a:solidFill>
                          <a:srgbClr val="FFD8D8"/>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1219200</wp:posOffset>
                </wp:positionH>
                <wp:positionV relativeFrom="paragraph">
                  <wp:posOffset>88900</wp:posOffset>
                </wp:positionV>
                <wp:extent cx="990600" cy="983615"/>
                <wp:effectExtent b="0" l="0" r="0" t="0"/>
                <wp:wrapNone/>
                <wp:docPr id="21" name="image16.png"/>
                <a:graphic>
                  <a:graphicData uri="http://schemas.openxmlformats.org/drawingml/2006/picture">
                    <pic:pic>
                      <pic:nvPicPr>
                        <pic:cNvPr id="0" name="image16.png"/>
                        <pic:cNvPicPr preferRelativeResize="0"/>
                      </pic:nvPicPr>
                      <pic:blipFill>
                        <a:blip r:embed="rId25"/>
                        <a:srcRect/>
                        <a:stretch>
                          <a:fillRect/>
                        </a:stretch>
                      </pic:blipFill>
                      <pic:spPr>
                        <a:xfrm>
                          <a:off x="0" y="0"/>
                          <a:ext cx="990600" cy="983615"/>
                        </a:xfrm>
                        <a:prstGeom prst="rect"/>
                        <a:ln/>
                      </pic:spPr>
                    </pic:pic>
                  </a:graphicData>
                </a:graphic>
              </wp:anchor>
            </w:drawing>
          </mc:Fallback>
        </mc:AlternateContent>
      </w:r>
    </w:p>
    <w:p w14:paraId="48D0C4D5" w14:textId="77777777" w:rsidR="00A04E14" w:rsidRDefault="00000000">
      <w:pPr>
        <w:ind w:left="787" w:right="-16"/>
        <w:rPr>
          <w:rFonts w:ascii="Trebuchet MS" w:eastAsia="Trebuchet MS" w:hAnsi="Trebuchet MS" w:cs="Trebuchet MS"/>
          <w:sz w:val="26"/>
          <w:szCs w:val="26"/>
        </w:rPr>
      </w:pPr>
      <w:r>
        <w:rPr>
          <w:rFonts w:ascii="Trebuchet MS" w:eastAsia="Trebuchet MS" w:hAnsi="Trebuchet MS" w:cs="Trebuchet MS"/>
          <w:sz w:val="26"/>
          <w:szCs w:val="26"/>
        </w:rPr>
        <w:t>LITA ALEXANDRA MARTINEZ ALVARADO</w:t>
      </w:r>
    </w:p>
    <w:p w14:paraId="0C1BF733" w14:textId="77777777" w:rsidR="00A04E14" w:rsidRDefault="00000000">
      <w:pPr>
        <w:rPr>
          <w:rFonts w:ascii="Trebuchet MS" w:eastAsia="Trebuchet MS" w:hAnsi="Trebuchet MS" w:cs="Trebuchet MS"/>
        </w:rPr>
      </w:pPr>
      <w:r>
        <w:br w:type="column"/>
      </w:r>
    </w:p>
    <w:p w14:paraId="27E70E82" w14:textId="77777777" w:rsidR="00A04E14" w:rsidRDefault="00A04E14">
      <w:pPr>
        <w:spacing w:line="256" w:lineRule="auto"/>
        <w:ind w:right="6393"/>
        <w:rPr>
          <w:rFonts w:ascii="Trebuchet MS" w:eastAsia="Trebuchet MS" w:hAnsi="Trebuchet MS" w:cs="Trebuchet MS"/>
          <w:sz w:val="15"/>
          <w:szCs w:val="15"/>
        </w:rPr>
        <w:sectPr w:rsidR="00A04E14">
          <w:type w:val="continuous"/>
          <w:pgSz w:w="12240" w:h="15840"/>
          <w:pgMar w:top="2380" w:right="980" w:bottom="0" w:left="1000" w:header="360" w:footer="360" w:gutter="0"/>
          <w:cols w:num="2" w:space="720" w:equalWidth="0">
            <w:col w:w="5110" w:space="40"/>
            <w:col w:w="5110" w:space="0"/>
          </w:cols>
        </w:sectPr>
      </w:pPr>
    </w:p>
    <w:p w14:paraId="662466CB" w14:textId="77777777" w:rsidR="00A04E14" w:rsidRDefault="00000000">
      <w:pPr>
        <w:pBdr>
          <w:top w:val="nil"/>
          <w:left w:val="nil"/>
          <w:bottom w:val="nil"/>
          <w:right w:val="nil"/>
          <w:between w:val="nil"/>
        </w:pBdr>
        <w:spacing w:before="44" w:line="283" w:lineRule="auto"/>
        <w:ind w:left="699" w:right="7275"/>
        <w:rPr>
          <w:color w:val="000000"/>
          <w:sz w:val="24"/>
          <w:szCs w:val="24"/>
        </w:rPr>
      </w:pPr>
      <w:r>
        <w:rPr>
          <w:color w:val="000000"/>
          <w:sz w:val="24"/>
          <w:szCs w:val="24"/>
        </w:rPr>
        <w:t xml:space="preserve">Lita Martínez Alvarado </w:t>
      </w:r>
      <w:proofErr w:type="gramStart"/>
      <w:r>
        <w:rPr>
          <w:color w:val="000000"/>
          <w:sz w:val="24"/>
          <w:szCs w:val="24"/>
        </w:rPr>
        <w:t>Directora Ejecutiva</w:t>
      </w:r>
      <w:proofErr w:type="gramEnd"/>
    </w:p>
    <w:p w14:paraId="1D886439" w14:textId="77777777" w:rsidR="00A04E14" w:rsidRDefault="00000000">
      <w:pPr>
        <w:pBdr>
          <w:top w:val="nil"/>
          <w:left w:val="nil"/>
          <w:bottom w:val="nil"/>
          <w:right w:val="nil"/>
          <w:between w:val="nil"/>
        </w:pBdr>
        <w:spacing w:line="276" w:lineRule="auto"/>
        <w:ind w:left="699" w:right="3456"/>
        <w:rPr>
          <w:color w:val="000000"/>
          <w:sz w:val="24"/>
          <w:szCs w:val="24"/>
        </w:rPr>
      </w:pPr>
      <w:r>
        <w:rPr>
          <w:color w:val="000000"/>
          <w:sz w:val="24"/>
          <w:szCs w:val="24"/>
        </w:rPr>
        <w:t>Centro Ecuatoriano para la Acción y Promoción de las Mujeres CEPAM Guayaquil</w:t>
      </w:r>
    </w:p>
    <w:p w14:paraId="14799675" w14:textId="77777777" w:rsidR="00A04E14" w:rsidRDefault="00000000">
      <w:pPr>
        <w:pBdr>
          <w:top w:val="nil"/>
          <w:left w:val="nil"/>
          <w:bottom w:val="nil"/>
          <w:right w:val="nil"/>
          <w:between w:val="nil"/>
        </w:pBdr>
        <w:spacing w:line="275" w:lineRule="auto"/>
        <w:ind w:left="699"/>
        <w:rPr>
          <w:color w:val="000000"/>
          <w:sz w:val="24"/>
          <w:szCs w:val="24"/>
        </w:rPr>
        <w:sectPr w:rsidR="00A04E14">
          <w:type w:val="continuous"/>
          <w:pgSz w:w="12240" w:h="15840"/>
          <w:pgMar w:top="2380" w:right="980" w:bottom="0" w:left="1000" w:header="360" w:footer="360" w:gutter="0"/>
          <w:cols w:space="720"/>
        </w:sectPr>
      </w:pPr>
      <w:r>
        <w:rPr>
          <w:color w:val="000000"/>
          <w:sz w:val="24"/>
          <w:szCs w:val="24"/>
        </w:rPr>
        <w:t>Ecuador.</w:t>
      </w:r>
    </w:p>
    <w:p w14:paraId="178DBF61" w14:textId="77777777" w:rsidR="00A04E14" w:rsidRDefault="00A04E14">
      <w:pPr>
        <w:pBdr>
          <w:top w:val="nil"/>
          <w:left w:val="nil"/>
          <w:bottom w:val="nil"/>
          <w:right w:val="nil"/>
          <w:between w:val="nil"/>
        </w:pBdr>
        <w:spacing w:before="10"/>
        <w:rPr>
          <w:color w:val="000000"/>
          <w:sz w:val="19"/>
          <w:szCs w:val="19"/>
        </w:rPr>
      </w:pPr>
    </w:p>
    <w:p w14:paraId="33F39A8C" w14:textId="77777777" w:rsidR="00A04E14" w:rsidRDefault="00000000">
      <w:pPr>
        <w:pStyle w:val="Heading1"/>
        <w:numPr>
          <w:ilvl w:val="0"/>
          <w:numId w:val="3"/>
        </w:numPr>
        <w:tabs>
          <w:tab w:val="left" w:pos="1779"/>
          <w:tab w:val="left" w:pos="1780"/>
          <w:tab w:val="left" w:pos="3359"/>
          <w:tab w:val="left" w:pos="4380"/>
          <w:tab w:val="left" w:pos="4921"/>
          <w:tab w:val="left" w:pos="6488"/>
          <w:tab w:val="left" w:pos="7029"/>
          <w:tab w:val="left" w:pos="7703"/>
          <w:tab w:val="left" w:pos="8717"/>
        </w:tabs>
        <w:spacing w:before="90" w:line="276" w:lineRule="auto"/>
        <w:ind w:right="720"/>
      </w:pPr>
      <w:r>
        <w:t>CONTEXTO</w:t>
      </w:r>
      <w:r>
        <w:tab/>
        <w:t>SOBRE</w:t>
      </w:r>
      <w:r>
        <w:tab/>
        <w:t>LA</w:t>
      </w:r>
      <w:r>
        <w:tab/>
        <w:t>SITUACIÓN</w:t>
      </w:r>
      <w:r>
        <w:tab/>
        <w:t>DE</w:t>
      </w:r>
      <w:r>
        <w:tab/>
        <w:t>LAS</w:t>
      </w:r>
      <w:r>
        <w:tab/>
        <w:t>NIÑAS,</w:t>
      </w:r>
      <w:r>
        <w:tab/>
        <w:t>NIÑOS, ADOLESCENTES Y JÓVENES EN ECUADOR.</w:t>
      </w:r>
    </w:p>
    <w:p w14:paraId="237CAA14" w14:textId="77777777" w:rsidR="00A04E14" w:rsidRDefault="00A04E14">
      <w:pPr>
        <w:pBdr>
          <w:top w:val="nil"/>
          <w:left w:val="nil"/>
          <w:bottom w:val="nil"/>
          <w:right w:val="nil"/>
          <w:between w:val="nil"/>
        </w:pBdr>
        <w:spacing w:before="1"/>
        <w:rPr>
          <w:b/>
          <w:color w:val="000000"/>
          <w:sz w:val="24"/>
          <w:szCs w:val="24"/>
        </w:rPr>
      </w:pPr>
    </w:p>
    <w:p w14:paraId="0095841B"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1. Ecuador suscribió la Convención sobre los Derechos del Niño en 1990. Han pasado 34 años y la situación de la niñez aún presenta graves problemas a los cuales el Estado debe responder en el marco de sus compromisos internacionales y así mismo, debido a que en el país viven aproximadamente 3’344.947, niñas/os</w:t>
      </w:r>
      <w:r>
        <w:rPr>
          <w:color w:val="000000"/>
          <w:sz w:val="24"/>
          <w:szCs w:val="24"/>
          <w:vertAlign w:val="superscript"/>
        </w:rPr>
        <w:t>1</w:t>
      </w:r>
      <w:r>
        <w:rPr>
          <w:color w:val="000000"/>
          <w:sz w:val="24"/>
          <w:szCs w:val="24"/>
        </w:rPr>
        <w:t>; Por su parte, la población de adolescentes</w:t>
      </w:r>
      <w:r>
        <w:rPr>
          <w:color w:val="000000"/>
          <w:sz w:val="24"/>
          <w:szCs w:val="24"/>
          <w:vertAlign w:val="superscript"/>
        </w:rPr>
        <w:t>2</w:t>
      </w:r>
      <w:r>
        <w:rPr>
          <w:color w:val="000000"/>
          <w:sz w:val="24"/>
          <w:szCs w:val="24"/>
        </w:rPr>
        <w:t xml:space="preserve"> asciende a 1’903.170</w:t>
      </w:r>
      <w:r>
        <w:rPr>
          <w:color w:val="000000"/>
          <w:sz w:val="24"/>
          <w:szCs w:val="24"/>
          <w:vertAlign w:val="superscript"/>
        </w:rPr>
        <w:t>3</w:t>
      </w:r>
      <w:r>
        <w:rPr>
          <w:color w:val="000000"/>
          <w:sz w:val="24"/>
          <w:szCs w:val="24"/>
        </w:rPr>
        <w:t>. En este sentido, la pirámide demográfica registra que un 30,9% de la población ecuatoriana se encuentra dentro del rango de protección de los derechos consagrados en la Convención.</w:t>
      </w:r>
    </w:p>
    <w:p w14:paraId="02F9B430" w14:textId="77777777" w:rsidR="00A04E14" w:rsidRDefault="00A04E14">
      <w:pPr>
        <w:pBdr>
          <w:top w:val="nil"/>
          <w:left w:val="nil"/>
          <w:bottom w:val="nil"/>
          <w:right w:val="nil"/>
          <w:between w:val="nil"/>
        </w:pBdr>
        <w:spacing w:before="7"/>
        <w:rPr>
          <w:color w:val="000000"/>
          <w:sz w:val="27"/>
          <w:szCs w:val="27"/>
        </w:rPr>
      </w:pPr>
    </w:p>
    <w:p w14:paraId="408247A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 Desde el anterior ciclo de supervisión en relación con la aplicación de la Convención sobre los Derechos del Niño al país, Ecuador ha atravesado una crisis interna de inéditas dimensiones donde lo que está en juego resulta ser la propia supervivencia del Estado. El clima de desconfianza a la institucionalidad y las pocas expectativas de que la situación pueda mejorar a corto o mediano plazo, contribuyen al pesimismo ciudadano</w:t>
      </w:r>
      <w:r>
        <w:rPr>
          <w:color w:val="000000"/>
          <w:sz w:val="24"/>
          <w:szCs w:val="24"/>
          <w:vertAlign w:val="superscript"/>
        </w:rPr>
        <w:t>4</w:t>
      </w:r>
      <w:r>
        <w:rPr>
          <w:color w:val="000000"/>
          <w:sz w:val="24"/>
          <w:szCs w:val="24"/>
        </w:rPr>
        <w:t>; pues Ecuador es un país al que, además de la violencia, se le superpone una grave crisis política, una delicada situación económica y un éxodo en aumento de ecuatorianos que salen en busca de un lugar mejor.</w:t>
      </w:r>
    </w:p>
    <w:p w14:paraId="61033860" w14:textId="77777777" w:rsidR="00A04E14" w:rsidRDefault="00A04E14">
      <w:pPr>
        <w:pBdr>
          <w:top w:val="nil"/>
          <w:left w:val="nil"/>
          <w:bottom w:val="nil"/>
          <w:right w:val="nil"/>
          <w:between w:val="nil"/>
        </w:pBdr>
        <w:spacing w:before="6"/>
        <w:rPr>
          <w:color w:val="000000"/>
          <w:sz w:val="27"/>
          <w:szCs w:val="27"/>
        </w:rPr>
      </w:pPr>
    </w:p>
    <w:p w14:paraId="5396ABA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 xml:space="preserve">3.- Este es un análisis de un Ecuador en crisis. </w:t>
      </w:r>
      <w:r>
        <w:rPr>
          <w:b/>
          <w:color w:val="000000"/>
          <w:sz w:val="24"/>
          <w:szCs w:val="24"/>
        </w:rPr>
        <w:t>I) Inseguridad</w:t>
      </w:r>
      <w:r>
        <w:rPr>
          <w:color w:val="000000"/>
          <w:sz w:val="24"/>
          <w:szCs w:val="24"/>
        </w:rPr>
        <w:t>: El país tocó fondo en 2023, año en el que se convirtió en el más violento de su historia. En 2023, Ecuador cerró con una tasa de más de 40 muertes violentas por cada 100.000 habitantes, según fuentes policiales</w:t>
      </w:r>
      <w:r>
        <w:rPr>
          <w:color w:val="000000"/>
          <w:sz w:val="24"/>
          <w:szCs w:val="24"/>
          <w:vertAlign w:val="superscript"/>
        </w:rPr>
        <w:t>5</w:t>
      </w:r>
      <w:r>
        <w:rPr>
          <w:color w:val="000000"/>
          <w:sz w:val="24"/>
          <w:szCs w:val="24"/>
        </w:rPr>
        <w:t>.</w:t>
      </w:r>
    </w:p>
    <w:p w14:paraId="56439A9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b/>
          <w:color w:val="000000"/>
          <w:sz w:val="24"/>
          <w:szCs w:val="24"/>
        </w:rPr>
        <w:t>II) Política</w:t>
      </w:r>
      <w:r>
        <w:rPr>
          <w:color w:val="000000"/>
          <w:sz w:val="24"/>
          <w:szCs w:val="24"/>
        </w:rPr>
        <w:t>: Nunca hasta mayo del 2023, en la historia del país, se había decretado la llamada “muerte cruzada”, una figura constitucional para convocar elecciones anticipadas y disolver anticipadamente la Asamblea Nacional, como lo hizo el entonces presidente de la república Guillermo Lasso con la finalidad de evitar un juicio político en su contra</w:t>
      </w:r>
      <w:r>
        <w:rPr>
          <w:color w:val="000000"/>
          <w:sz w:val="24"/>
          <w:szCs w:val="24"/>
          <w:vertAlign w:val="superscript"/>
        </w:rPr>
        <w:t>6</w:t>
      </w:r>
      <w:r>
        <w:rPr>
          <w:color w:val="000000"/>
          <w:sz w:val="24"/>
          <w:szCs w:val="24"/>
        </w:rPr>
        <w:t xml:space="preserve">. </w:t>
      </w:r>
      <w:r>
        <w:rPr>
          <w:b/>
          <w:color w:val="000000"/>
          <w:sz w:val="24"/>
          <w:szCs w:val="24"/>
        </w:rPr>
        <w:t>III</w:t>
      </w:r>
      <w:r>
        <w:rPr>
          <w:color w:val="000000"/>
          <w:sz w:val="24"/>
          <w:szCs w:val="24"/>
        </w:rPr>
        <w:t xml:space="preserve">) </w:t>
      </w:r>
      <w:r>
        <w:rPr>
          <w:b/>
          <w:color w:val="000000"/>
          <w:sz w:val="24"/>
          <w:szCs w:val="24"/>
        </w:rPr>
        <w:t>Economía</w:t>
      </w:r>
      <w:r>
        <w:rPr>
          <w:color w:val="000000"/>
          <w:sz w:val="24"/>
          <w:szCs w:val="24"/>
        </w:rPr>
        <w:t>: El Banco Central</w:t>
      </w:r>
      <w:r>
        <w:rPr>
          <w:color w:val="000000"/>
          <w:sz w:val="24"/>
          <w:szCs w:val="24"/>
          <w:vertAlign w:val="superscript"/>
        </w:rPr>
        <w:t>7</w:t>
      </w:r>
      <w:r>
        <w:rPr>
          <w:color w:val="000000"/>
          <w:sz w:val="24"/>
          <w:szCs w:val="24"/>
        </w:rPr>
        <w:t xml:space="preserve"> proyectó que en el 2024 la economía ecuatoriana solo crecerá un 0,8%. Todos estos desequilibrios ahuyentan la inversión extranjera, además, el gobierno nacional cuenta con una gran cantidad de atrasos en los pagos tanto de la deuda interna como la</w:t>
      </w:r>
    </w:p>
    <w:p w14:paraId="7A8DFE19" w14:textId="77777777" w:rsidR="00A04E14" w:rsidRDefault="00000000">
      <w:pPr>
        <w:pBdr>
          <w:top w:val="nil"/>
          <w:left w:val="nil"/>
          <w:bottom w:val="nil"/>
          <w:right w:val="nil"/>
          <w:between w:val="nil"/>
        </w:pBdr>
        <w:spacing w:before="5"/>
        <w:rPr>
          <w:color w:val="000000"/>
          <w:sz w:val="21"/>
          <w:szCs w:val="21"/>
        </w:rPr>
      </w:pPr>
      <w:r>
        <w:rPr>
          <w:noProof/>
        </w:rPr>
        <mc:AlternateContent>
          <mc:Choice Requires="wps">
            <w:drawing>
              <wp:anchor distT="0" distB="0" distL="114300" distR="114300" simplePos="0" relativeHeight="251660288" behindDoc="0" locked="0" layoutInCell="1" hidden="0" allowOverlap="1" wp14:anchorId="31D5141A" wp14:editId="5670E516">
                <wp:simplePos x="0" y="0"/>
                <wp:positionH relativeFrom="column">
                  <wp:posOffset>546100</wp:posOffset>
                </wp:positionH>
                <wp:positionV relativeFrom="paragraph">
                  <wp:posOffset>165100</wp:posOffset>
                </wp:positionV>
                <wp:extent cx="6096" cy="12700"/>
                <wp:effectExtent l="0" t="0" r="0" b="0"/>
                <wp:wrapTopAndBottom distT="0" distB="0"/>
                <wp:docPr id="24" name="Rectangle 24"/>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5C734AD"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165100</wp:posOffset>
                </wp:positionV>
                <wp:extent cx="6096" cy="12700"/>
                <wp:effectExtent b="0" l="0" r="0" t="0"/>
                <wp:wrapTopAndBottom distB="0" distT="0"/>
                <wp:docPr id="24" name="image19.png"/>
                <a:graphic>
                  <a:graphicData uri="http://schemas.openxmlformats.org/drawingml/2006/picture">
                    <pic:pic>
                      <pic:nvPicPr>
                        <pic:cNvPr id="0" name="image19.png"/>
                        <pic:cNvPicPr preferRelativeResize="0"/>
                      </pic:nvPicPr>
                      <pic:blipFill>
                        <a:blip r:embed="rId26"/>
                        <a:srcRect/>
                        <a:stretch>
                          <a:fillRect/>
                        </a:stretch>
                      </pic:blipFill>
                      <pic:spPr>
                        <a:xfrm>
                          <a:off x="0" y="0"/>
                          <a:ext cx="6096" cy="12700"/>
                        </a:xfrm>
                        <a:prstGeom prst="rect"/>
                        <a:ln/>
                      </pic:spPr>
                    </pic:pic>
                  </a:graphicData>
                </a:graphic>
              </wp:anchor>
            </w:drawing>
          </mc:Fallback>
        </mc:AlternateContent>
      </w:r>
    </w:p>
    <w:p w14:paraId="3459F939" w14:textId="77777777" w:rsidR="00A04E14" w:rsidRDefault="00000000">
      <w:pPr>
        <w:spacing w:before="76"/>
        <w:ind w:left="699"/>
        <w:jc w:val="both"/>
        <w:rPr>
          <w:sz w:val="16"/>
          <w:szCs w:val="16"/>
        </w:rPr>
      </w:pPr>
      <w:r>
        <w:rPr>
          <w:sz w:val="16"/>
          <w:szCs w:val="16"/>
          <w:vertAlign w:val="superscript"/>
        </w:rPr>
        <w:t>1</w:t>
      </w:r>
      <w:r>
        <w:rPr>
          <w:sz w:val="16"/>
          <w:szCs w:val="16"/>
        </w:rPr>
        <w:t xml:space="preserve"> </w:t>
      </w:r>
      <w:proofErr w:type="gramStart"/>
      <w:r>
        <w:rPr>
          <w:sz w:val="16"/>
          <w:szCs w:val="16"/>
        </w:rPr>
        <w:t>Población</w:t>
      </w:r>
      <w:proofErr w:type="gramEnd"/>
      <w:r>
        <w:rPr>
          <w:sz w:val="16"/>
          <w:szCs w:val="16"/>
        </w:rPr>
        <w:t xml:space="preserve"> – rango de edad de 0 – 11 años</w:t>
      </w:r>
    </w:p>
    <w:p w14:paraId="7ABAC829" w14:textId="77777777" w:rsidR="00A04E14" w:rsidRDefault="00000000">
      <w:pPr>
        <w:spacing w:before="3"/>
        <w:ind w:left="699" w:right="6706"/>
        <w:jc w:val="both"/>
        <w:rPr>
          <w:sz w:val="16"/>
          <w:szCs w:val="16"/>
        </w:rPr>
      </w:pPr>
      <w:r>
        <w:rPr>
          <w:sz w:val="16"/>
          <w:szCs w:val="16"/>
          <w:vertAlign w:val="superscript"/>
        </w:rPr>
        <w:t>2</w:t>
      </w:r>
      <w:r>
        <w:rPr>
          <w:sz w:val="16"/>
          <w:szCs w:val="16"/>
        </w:rPr>
        <w:t xml:space="preserve"> </w:t>
      </w:r>
      <w:proofErr w:type="gramStart"/>
      <w:r>
        <w:rPr>
          <w:sz w:val="16"/>
          <w:szCs w:val="16"/>
        </w:rPr>
        <w:t>Población</w:t>
      </w:r>
      <w:proofErr w:type="gramEnd"/>
      <w:r>
        <w:rPr>
          <w:sz w:val="16"/>
          <w:szCs w:val="16"/>
        </w:rPr>
        <w:t xml:space="preserve"> – rango de edad de 12 – 17 años </w:t>
      </w:r>
      <w:r>
        <w:rPr>
          <w:sz w:val="16"/>
          <w:szCs w:val="16"/>
          <w:vertAlign w:val="superscript"/>
        </w:rPr>
        <w:t>3</w:t>
      </w:r>
      <w:r>
        <w:rPr>
          <w:sz w:val="16"/>
          <w:szCs w:val="16"/>
        </w:rPr>
        <w:t xml:space="preserve"> Instituto Nacional de Estadísticas y Censos </w:t>
      </w:r>
      <w:r>
        <w:rPr>
          <w:color w:val="0563C1"/>
          <w:sz w:val="16"/>
          <w:szCs w:val="16"/>
          <w:u w:val="single"/>
        </w:rPr>
        <w:t>https://censoecuador.ecudatanalytics.com</w:t>
      </w:r>
      <w:r>
        <w:rPr>
          <w:color w:val="0563C1"/>
          <w:sz w:val="16"/>
          <w:szCs w:val="16"/>
        </w:rPr>
        <w:t>/</w:t>
      </w:r>
    </w:p>
    <w:p w14:paraId="6A9DBF88" w14:textId="77777777" w:rsidR="00A04E14" w:rsidRDefault="00000000">
      <w:pPr>
        <w:ind w:left="699" w:right="2700"/>
        <w:jc w:val="both"/>
        <w:rPr>
          <w:sz w:val="16"/>
          <w:szCs w:val="16"/>
        </w:rPr>
      </w:pPr>
      <w:r>
        <w:rPr>
          <w:sz w:val="16"/>
          <w:szCs w:val="16"/>
          <w:vertAlign w:val="superscript"/>
        </w:rPr>
        <w:t>4</w:t>
      </w:r>
      <w:r>
        <w:rPr>
          <w:sz w:val="16"/>
          <w:szCs w:val="16"/>
        </w:rPr>
        <w:t xml:space="preserve">    https://ecuadorenvivo.com/encuesta-revela-pesimismo-entre-los-ecuatorianos-sobre-la-situacion-del-pais/ </w:t>
      </w:r>
      <w:r>
        <w:rPr>
          <w:sz w:val="16"/>
          <w:szCs w:val="16"/>
          <w:vertAlign w:val="superscript"/>
        </w:rPr>
        <w:t>5</w:t>
      </w:r>
      <w:r>
        <w:rPr>
          <w:sz w:val="16"/>
          <w:szCs w:val="16"/>
        </w:rPr>
        <w:t xml:space="preserve"> Número de homicidios intencionados cometidos por cada 100.000 habitantes en Ecuador de 2010 a 2023. </w:t>
      </w:r>
      <w:r>
        <w:rPr>
          <w:color w:val="0563C1"/>
          <w:sz w:val="16"/>
          <w:szCs w:val="16"/>
          <w:u w:val="single"/>
        </w:rPr>
        <w:t>https://es.statista.com/estadisticas/1402384/tasa-de-homicidios-ecuador</w:t>
      </w:r>
      <w:r>
        <w:rPr>
          <w:color w:val="0563C1"/>
          <w:sz w:val="16"/>
          <w:szCs w:val="16"/>
        </w:rPr>
        <w:t>/</w:t>
      </w:r>
    </w:p>
    <w:p w14:paraId="40C9C150" w14:textId="77777777" w:rsidR="00A04E14" w:rsidRDefault="00000000">
      <w:pPr>
        <w:spacing w:line="183" w:lineRule="auto"/>
        <w:ind w:left="699"/>
        <w:rPr>
          <w:sz w:val="16"/>
          <w:szCs w:val="16"/>
        </w:rPr>
      </w:pPr>
      <w:r>
        <w:rPr>
          <w:sz w:val="16"/>
          <w:szCs w:val="16"/>
          <w:vertAlign w:val="superscript"/>
        </w:rPr>
        <w:t>6</w:t>
      </w:r>
      <w:r>
        <w:rPr>
          <w:sz w:val="16"/>
          <w:szCs w:val="16"/>
        </w:rPr>
        <w:t xml:space="preserve"> </w:t>
      </w:r>
      <w:proofErr w:type="gramStart"/>
      <w:r>
        <w:rPr>
          <w:sz w:val="16"/>
          <w:szCs w:val="16"/>
        </w:rPr>
        <w:t>Decreto</w:t>
      </w:r>
      <w:proofErr w:type="gramEnd"/>
      <w:r>
        <w:rPr>
          <w:sz w:val="16"/>
          <w:szCs w:val="16"/>
        </w:rPr>
        <w:t xml:space="preserve"> No. 741</w:t>
      </w:r>
    </w:p>
    <w:p w14:paraId="1709EC09" w14:textId="77777777" w:rsidR="00A04E14" w:rsidRDefault="00000000">
      <w:pPr>
        <w:spacing w:line="182" w:lineRule="auto"/>
        <w:ind w:left="699"/>
        <w:rPr>
          <w:sz w:val="16"/>
          <w:szCs w:val="16"/>
        </w:rPr>
      </w:pPr>
      <w:r>
        <w:rPr>
          <w:color w:val="0563C1"/>
          <w:sz w:val="16"/>
          <w:szCs w:val="16"/>
          <w:u w:val="single"/>
        </w:rPr>
        <w:t>https://</w:t>
      </w:r>
      <w:hyperlink r:id="rId27">
        <w:r>
          <w:rPr>
            <w:color w:val="0563C1"/>
            <w:sz w:val="16"/>
            <w:szCs w:val="16"/>
            <w:u w:val="single"/>
          </w:rPr>
          <w:t>www.comunicacion.gob.ec/wp-content/uploads/2023/05/Decreto_Ejecutivo_No._741_20230417063831.pdf</w:t>
        </w:r>
      </w:hyperlink>
    </w:p>
    <w:p w14:paraId="72B0E42B" w14:textId="77777777" w:rsidR="00A04E14" w:rsidRDefault="00000000">
      <w:pPr>
        <w:spacing w:line="183" w:lineRule="auto"/>
        <w:ind w:left="699"/>
        <w:rPr>
          <w:sz w:val="16"/>
          <w:szCs w:val="16"/>
        </w:rPr>
        <w:sectPr w:rsidR="00A04E14">
          <w:pgSz w:w="12240" w:h="15840"/>
          <w:pgMar w:top="2380" w:right="980" w:bottom="280" w:left="1000" w:header="19" w:footer="0" w:gutter="0"/>
          <w:cols w:space="720"/>
        </w:sectPr>
      </w:pPr>
      <w:r>
        <w:rPr>
          <w:sz w:val="16"/>
          <w:szCs w:val="16"/>
          <w:vertAlign w:val="superscript"/>
        </w:rPr>
        <w:t>7</w:t>
      </w:r>
      <w:r>
        <w:rPr>
          <w:sz w:val="16"/>
          <w:szCs w:val="16"/>
        </w:rPr>
        <w:t xml:space="preserve"> </w:t>
      </w:r>
      <w:proofErr w:type="gramStart"/>
      <w:r>
        <w:rPr>
          <w:sz w:val="16"/>
          <w:szCs w:val="16"/>
        </w:rPr>
        <w:t>Banco</w:t>
      </w:r>
      <w:proofErr w:type="gramEnd"/>
      <w:r>
        <w:rPr>
          <w:sz w:val="16"/>
          <w:szCs w:val="16"/>
        </w:rPr>
        <w:t xml:space="preserve"> Central del Ecuador: https://</w:t>
      </w:r>
      <w:hyperlink r:id="rId28">
        <w:r>
          <w:rPr>
            <w:sz w:val="16"/>
            <w:szCs w:val="16"/>
          </w:rPr>
          <w:t>www.bce.fin.ec/</w:t>
        </w:r>
      </w:hyperlink>
    </w:p>
    <w:p w14:paraId="072E29BB"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internacional</w:t>
      </w:r>
      <w:r>
        <w:rPr>
          <w:color w:val="000000"/>
          <w:sz w:val="24"/>
          <w:szCs w:val="24"/>
          <w:vertAlign w:val="superscript"/>
        </w:rPr>
        <w:t>8</w:t>
      </w:r>
      <w:r>
        <w:rPr>
          <w:color w:val="000000"/>
          <w:sz w:val="24"/>
          <w:szCs w:val="24"/>
        </w:rPr>
        <w:t xml:space="preserve">. </w:t>
      </w:r>
      <w:r>
        <w:rPr>
          <w:b/>
          <w:color w:val="000000"/>
          <w:sz w:val="24"/>
          <w:szCs w:val="24"/>
        </w:rPr>
        <w:t>IV) Justicia</w:t>
      </w:r>
      <w:r>
        <w:rPr>
          <w:color w:val="000000"/>
          <w:sz w:val="24"/>
          <w:szCs w:val="24"/>
        </w:rPr>
        <w:t>: La crisis del sistema de justicia se viene agravando desde los últimos años por diversos motivos tales como la falta de dinero, jueces y fiscales. En Ecuador hay más de 5.000 causas judiciales represadas y pocos jueces penales para atenderlas</w:t>
      </w:r>
      <w:r>
        <w:rPr>
          <w:color w:val="000000"/>
          <w:sz w:val="24"/>
          <w:szCs w:val="24"/>
          <w:vertAlign w:val="superscript"/>
        </w:rPr>
        <w:t>9</w:t>
      </w:r>
      <w:r>
        <w:rPr>
          <w:color w:val="000000"/>
          <w:sz w:val="24"/>
          <w:szCs w:val="24"/>
        </w:rPr>
        <w:t>, además de los escándalos suscitados en los últimos meses del 2023 y primeros del 2024, donde se ha descubierto el nexo del sistema de justicia nacional con el crimen organizado</w:t>
      </w:r>
      <w:r>
        <w:rPr>
          <w:color w:val="000000"/>
          <w:sz w:val="24"/>
          <w:szCs w:val="24"/>
          <w:vertAlign w:val="superscript"/>
        </w:rPr>
        <w:t>10</w:t>
      </w:r>
      <w:r>
        <w:rPr>
          <w:color w:val="000000"/>
          <w:sz w:val="24"/>
          <w:szCs w:val="24"/>
        </w:rPr>
        <w:t>.</w:t>
      </w:r>
    </w:p>
    <w:p w14:paraId="110391D3" w14:textId="77777777" w:rsidR="00A04E14" w:rsidRDefault="00000000">
      <w:pPr>
        <w:pBdr>
          <w:top w:val="nil"/>
          <w:left w:val="nil"/>
          <w:bottom w:val="nil"/>
          <w:right w:val="nil"/>
          <w:between w:val="nil"/>
        </w:pBdr>
        <w:spacing w:before="2" w:line="276" w:lineRule="auto"/>
        <w:ind w:left="699" w:right="721"/>
        <w:jc w:val="both"/>
        <w:rPr>
          <w:color w:val="000000"/>
          <w:sz w:val="24"/>
          <w:szCs w:val="24"/>
        </w:rPr>
      </w:pPr>
      <w:r>
        <w:rPr>
          <w:b/>
          <w:color w:val="000000"/>
          <w:sz w:val="24"/>
          <w:szCs w:val="24"/>
        </w:rPr>
        <w:t>V) Migración</w:t>
      </w:r>
      <w:r>
        <w:rPr>
          <w:color w:val="000000"/>
          <w:sz w:val="24"/>
          <w:szCs w:val="24"/>
        </w:rPr>
        <w:t>: Los ecuatorianos se convirtieron en la segunda nacionalidad que más atraviesa la peligrosa selva del Darién durante 2023, según un reporte emitido el 31 de julio por el Gobierno de Panamá</w:t>
      </w:r>
      <w:r>
        <w:rPr>
          <w:color w:val="000000"/>
          <w:sz w:val="24"/>
          <w:szCs w:val="24"/>
          <w:vertAlign w:val="superscript"/>
        </w:rPr>
        <w:t>11</w:t>
      </w:r>
      <w:r>
        <w:rPr>
          <w:color w:val="000000"/>
          <w:sz w:val="24"/>
          <w:szCs w:val="24"/>
        </w:rPr>
        <w:t>.</w:t>
      </w:r>
    </w:p>
    <w:p w14:paraId="50FE098B" w14:textId="77777777" w:rsidR="00A04E14" w:rsidRDefault="00A04E14">
      <w:pPr>
        <w:pBdr>
          <w:top w:val="nil"/>
          <w:left w:val="nil"/>
          <w:bottom w:val="nil"/>
          <w:right w:val="nil"/>
          <w:between w:val="nil"/>
        </w:pBdr>
        <w:spacing w:before="5"/>
        <w:rPr>
          <w:color w:val="000000"/>
          <w:sz w:val="27"/>
          <w:szCs w:val="27"/>
        </w:rPr>
      </w:pPr>
    </w:p>
    <w:p w14:paraId="3CC0F4AF"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4.- En este orden de ideas, los problemas presentados dentro de este contexto impactan de forma negativa a los derechos de la niñez y juventud afectando su acceso a servicios básicos, su protección contra la violencia y el abuso, su participación en la sociedad y su bienestar integral.</w:t>
      </w:r>
    </w:p>
    <w:p w14:paraId="5177B996" w14:textId="77777777" w:rsidR="00A04E14" w:rsidRDefault="00A04E14">
      <w:pPr>
        <w:pBdr>
          <w:top w:val="nil"/>
          <w:left w:val="nil"/>
          <w:bottom w:val="nil"/>
          <w:right w:val="nil"/>
          <w:between w:val="nil"/>
        </w:pBdr>
        <w:spacing w:before="8"/>
        <w:rPr>
          <w:color w:val="000000"/>
          <w:sz w:val="27"/>
          <w:szCs w:val="27"/>
        </w:rPr>
      </w:pPr>
    </w:p>
    <w:p w14:paraId="79178B6D"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5.- Por tanto, CEPAM Guayaquil de manera conjunta, remite a la atención del Comité un informe sobre no discriminación, interés superior del niño, violencia (violencia por razón de género), salud (salud sexual y reproductiva), educación (educación integral en la sexualidad), en el marco del examen de los informes periódicos quinto y sexto combinados en virtud del artículo 44 de la Convención (</w:t>
      </w:r>
      <w:r>
        <w:rPr>
          <w:color w:val="0563C1"/>
          <w:sz w:val="24"/>
          <w:szCs w:val="24"/>
          <w:u w:val="single"/>
        </w:rPr>
        <w:t>CRC/C/ECU/CO/5-6</w:t>
      </w:r>
      <w:r>
        <w:rPr>
          <w:color w:val="000000"/>
          <w:sz w:val="24"/>
          <w:szCs w:val="24"/>
        </w:rPr>
        <w:t>), y la respuesta de Ecuador respeto a sus obligaciones y compromisos internacionales presentada en el séptimo informe periódico del Ecuador (</w:t>
      </w:r>
      <w:r>
        <w:rPr>
          <w:color w:val="0563C1"/>
          <w:sz w:val="24"/>
          <w:szCs w:val="24"/>
          <w:u w:val="single"/>
        </w:rPr>
        <w:t>CRC/C/ECU/7</w:t>
      </w:r>
      <w:r>
        <w:rPr>
          <w:color w:val="000000"/>
          <w:sz w:val="24"/>
          <w:szCs w:val="24"/>
        </w:rPr>
        <w:t>).</w:t>
      </w:r>
    </w:p>
    <w:p w14:paraId="174CCFEF" w14:textId="77777777" w:rsidR="00A04E14" w:rsidRDefault="00A04E14">
      <w:pPr>
        <w:pBdr>
          <w:top w:val="nil"/>
          <w:left w:val="nil"/>
          <w:bottom w:val="nil"/>
          <w:right w:val="nil"/>
          <w:between w:val="nil"/>
        </w:pBdr>
        <w:spacing w:before="9"/>
        <w:rPr>
          <w:color w:val="000000"/>
          <w:sz w:val="19"/>
          <w:szCs w:val="19"/>
        </w:rPr>
      </w:pPr>
    </w:p>
    <w:p w14:paraId="78D1B6B3" w14:textId="77777777" w:rsidR="00A04E14" w:rsidRDefault="00000000">
      <w:pPr>
        <w:pStyle w:val="Heading1"/>
        <w:numPr>
          <w:ilvl w:val="0"/>
          <w:numId w:val="3"/>
        </w:numPr>
        <w:tabs>
          <w:tab w:val="left" w:pos="1779"/>
          <w:tab w:val="left" w:pos="1780"/>
        </w:tabs>
        <w:spacing w:before="90"/>
        <w:ind w:hanging="721"/>
      </w:pPr>
      <w:r>
        <w:t>NO DISCRIMINACIÓN</w:t>
      </w:r>
    </w:p>
    <w:p w14:paraId="205AD7AE" w14:textId="77777777" w:rsidR="00A04E14" w:rsidRDefault="00A04E14">
      <w:pPr>
        <w:pBdr>
          <w:top w:val="nil"/>
          <w:left w:val="nil"/>
          <w:bottom w:val="nil"/>
          <w:right w:val="nil"/>
          <w:between w:val="nil"/>
        </w:pBdr>
        <w:spacing w:before="1"/>
        <w:rPr>
          <w:b/>
          <w:color w:val="000000"/>
          <w:sz w:val="31"/>
          <w:szCs w:val="31"/>
        </w:rPr>
      </w:pPr>
    </w:p>
    <w:p w14:paraId="5811025B" w14:textId="77777777" w:rsidR="00A04E14" w:rsidRDefault="00000000">
      <w:pPr>
        <w:spacing w:line="276" w:lineRule="auto"/>
        <w:ind w:left="699" w:right="720"/>
        <w:jc w:val="both"/>
        <w:rPr>
          <w:sz w:val="24"/>
          <w:szCs w:val="24"/>
        </w:rPr>
      </w:pPr>
      <w:r>
        <w:rPr>
          <w:sz w:val="24"/>
          <w:szCs w:val="24"/>
        </w:rPr>
        <w:t>6.- A punto de cumplirse diez años de la aprobación de la Convención Interamericana contra toda forma de Discriminación e Intolerancia, aún se encuentra pendiente su ratificación por parte del Estado ecuatoriano, pese a que el Comité de Derechos del Niño instó al Estado ecuatoriano a que “</w:t>
      </w:r>
      <w:r>
        <w:rPr>
          <w:b/>
          <w:i/>
          <w:sz w:val="24"/>
          <w:szCs w:val="24"/>
        </w:rPr>
        <w:t>vele por la plena protección contra la discriminación por cualquier motivo (…) y contar con un mecanismo de supervisión para eliminar las actitudes patriarcales y los estereotipos de género que discriminan a las niñas en todos los aspectos de la vida, prestando especial atención a la educación”</w:t>
      </w:r>
      <w:r>
        <w:rPr>
          <w:b/>
          <w:i/>
          <w:sz w:val="24"/>
          <w:szCs w:val="24"/>
          <w:vertAlign w:val="superscript"/>
        </w:rPr>
        <w:t>12</w:t>
      </w:r>
      <w:r>
        <w:rPr>
          <w:sz w:val="24"/>
          <w:szCs w:val="24"/>
        </w:rPr>
        <w:t>. Pese a esta situación el Estado ecuatoriano no ha dado pasos contundentes hacía su ratificación.</w:t>
      </w:r>
    </w:p>
    <w:p w14:paraId="1F94363A" w14:textId="77777777" w:rsidR="00A04E14" w:rsidRDefault="00000000">
      <w:pPr>
        <w:pBdr>
          <w:top w:val="nil"/>
          <w:left w:val="nil"/>
          <w:bottom w:val="nil"/>
          <w:right w:val="nil"/>
          <w:between w:val="nil"/>
        </w:pBdr>
        <w:spacing w:before="4"/>
        <w:rPr>
          <w:color w:val="000000"/>
        </w:rPr>
      </w:pPr>
      <w:r>
        <w:rPr>
          <w:noProof/>
        </w:rPr>
        <mc:AlternateContent>
          <mc:Choice Requires="wps">
            <w:drawing>
              <wp:anchor distT="0" distB="0" distL="114300" distR="114300" simplePos="0" relativeHeight="251661312" behindDoc="0" locked="0" layoutInCell="1" hidden="0" allowOverlap="1" wp14:anchorId="44116D4F" wp14:editId="6B9B5440">
                <wp:simplePos x="0" y="0"/>
                <wp:positionH relativeFrom="column">
                  <wp:posOffset>546100</wp:posOffset>
                </wp:positionH>
                <wp:positionV relativeFrom="paragraph">
                  <wp:posOffset>177800</wp:posOffset>
                </wp:positionV>
                <wp:extent cx="6096" cy="12700"/>
                <wp:effectExtent l="0" t="0" r="0" b="0"/>
                <wp:wrapTopAndBottom distT="0" distB="0"/>
                <wp:docPr id="27" name="Rectangle 27"/>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4E422C92"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177800</wp:posOffset>
                </wp:positionV>
                <wp:extent cx="6096" cy="12700"/>
                <wp:effectExtent b="0" l="0" r="0" t="0"/>
                <wp:wrapTopAndBottom distB="0" distT="0"/>
                <wp:docPr id="27" name="image22.png"/>
                <a:graphic>
                  <a:graphicData uri="http://schemas.openxmlformats.org/drawingml/2006/picture">
                    <pic:pic>
                      <pic:nvPicPr>
                        <pic:cNvPr id="0" name="image22.png"/>
                        <pic:cNvPicPr preferRelativeResize="0"/>
                      </pic:nvPicPr>
                      <pic:blipFill>
                        <a:blip r:embed="rId29"/>
                        <a:srcRect/>
                        <a:stretch>
                          <a:fillRect/>
                        </a:stretch>
                      </pic:blipFill>
                      <pic:spPr>
                        <a:xfrm>
                          <a:off x="0" y="0"/>
                          <a:ext cx="6096" cy="12700"/>
                        </a:xfrm>
                        <a:prstGeom prst="rect"/>
                        <a:ln/>
                      </pic:spPr>
                    </pic:pic>
                  </a:graphicData>
                </a:graphic>
              </wp:anchor>
            </w:drawing>
          </mc:Fallback>
        </mc:AlternateContent>
      </w:r>
    </w:p>
    <w:p w14:paraId="13F10865" w14:textId="77777777" w:rsidR="00A04E14" w:rsidRDefault="00000000">
      <w:pPr>
        <w:spacing w:before="76"/>
        <w:ind w:left="699" w:right="1232"/>
        <w:rPr>
          <w:sz w:val="16"/>
          <w:szCs w:val="16"/>
        </w:rPr>
      </w:pPr>
      <w:r>
        <w:rPr>
          <w:sz w:val="16"/>
          <w:szCs w:val="16"/>
          <w:vertAlign w:val="superscript"/>
        </w:rPr>
        <w:t>8</w:t>
      </w:r>
      <w:r>
        <w:rPr>
          <w:sz w:val="16"/>
          <w:szCs w:val="16"/>
        </w:rPr>
        <w:t xml:space="preserve"> </w:t>
      </w:r>
      <w:proofErr w:type="gramStart"/>
      <w:r>
        <w:rPr>
          <w:sz w:val="16"/>
          <w:szCs w:val="16"/>
        </w:rPr>
        <w:t>La</w:t>
      </w:r>
      <w:proofErr w:type="gramEnd"/>
      <w:r>
        <w:rPr>
          <w:sz w:val="16"/>
          <w:szCs w:val="16"/>
        </w:rPr>
        <w:t xml:space="preserve"> economía de Ecuador, la que menos crecerá en 2024 en América Latina. Perspectivas de la economía mundial, abril de 2024. Ref: </w:t>
      </w:r>
      <w:r>
        <w:rPr>
          <w:color w:val="0563C1"/>
          <w:sz w:val="16"/>
          <w:szCs w:val="16"/>
          <w:u w:val="single"/>
        </w:rPr>
        <w:t>https://</w:t>
      </w:r>
      <w:hyperlink r:id="rId30">
        <w:r>
          <w:rPr>
            <w:color w:val="0563C1"/>
            <w:sz w:val="16"/>
            <w:szCs w:val="16"/>
            <w:u w:val="single"/>
          </w:rPr>
          <w:t>www.imf.org/es/Publications/WEO/Issues/2024/04/16/world-economic-outlook-april-2024</w:t>
        </w:r>
      </w:hyperlink>
    </w:p>
    <w:p w14:paraId="20DBBC72" w14:textId="77777777" w:rsidR="00A04E14" w:rsidRDefault="00000000">
      <w:pPr>
        <w:spacing w:before="1" w:line="183" w:lineRule="auto"/>
        <w:ind w:left="699"/>
        <w:rPr>
          <w:sz w:val="16"/>
          <w:szCs w:val="16"/>
        </w:rPr>
      </w:pPr>
      <w:proofErr w:type="gramStart"/>
      <w:r>
        <w:rPr>
          <w:sz w:val="16"/>
          <w:szCs w:val="16"/>
          <w:vertAlign w:val="superscript"/>
        </w:rPr>
        <w:t>9</w:t>
      </w:r>
      <w:r>
        <w:rPr>
          <w:sz w:val="16"/>
          <w:szCs w:val="16"/>
        </w:rPr>
        <w:t xml:space="preserve">  </w:t>
      </w:r>
      <w:r>
        <w:rPr>
          <w:color w:val="0563C1"/>
          <w:sz w:val="16"/>
          <w:szCs w:val="16"/>
          <w:u w:val="single"/>
        </w:rPr>
        <w:t>https</w:t>
      </w:r>
      <w:proofErr w:type="gramEnd"/>
      <w:r>
        <w:rPr>
          <w:color w:val="0563C1"/>
          <w:sz w:val="16"/>
          <w:szCs w:val="16"/>
          <w:u w:val="single"/>
        </w:rPr>
        <w:t>://</w:t>
      </w:r>
      <w:hyperlink r:id="rId31">
        <w:r>
          <w:rPr>
            <w:color w:val="0563C1"/>
            <w:sz w:val="16"/>
            <w:szCs w:val="16"/>
            <w:u w:val="single"/>
          </w:rPr>
          <w:t>www.primicias.ec/noticias/politica/falta-jueces-fiscales-crisis-seguridad</w:t>
        </w:r>
      </w:hyperlink>
      <w:hyperlink r:id="rId32">
        <w:r>
          <w:rPr>
            <w:color w:val="0563C1"/>
            <w:sz w:val="16"/>
            <w:szCs w:val="16"/>
          </w:rPr>
          <w:t>/</w:t>
        </w:r>
      </w:hyperlink>
    </w:p>
    <w:p w14:paraId="28D92C45" w14:textId="77777777" w:rsidR="00A04E14" w:rsidRDefault="00000000">
      <w:pPr>
        <w:spacing w:line="182" w:lineRule="auto"/>
        <w:ind w:left="699"/>
        <w:rPr>
          <w:sz w:val="16"/>
          <w:szCs w:val="16"/>
        </w:rPr>
      </w:pPr>
      <w:r>
        <w:rPr>
          <w:sz w:val="16"/>
          <w:szCs w:val="16"/>
          <w:vertAlign w:val="superscript"/>
        </w:rPr>
        <w:t>10</w:t>
      </w:r>
      <w:r>
        <w:rPr>
          <w:sz w:val="16"/>
          <w:szCs w:val="16"/>
        </w:rPr>
        <w:t xml:space="preserve">   </w:t>
      </w:r>
      <w:r>
        <w:rPr>
          <w:color w:val="0563C1"/>
          <w:sz w:val="16"/>
          <w:szCs w:val="16"/>
          <w:u w:val="single"/>
        </w:rPr>
        <w:t>https://</w:t>
      </w:r>
      <w:hyperlink r:id="rId33">
        <w:r>
          <w:rPr>
            <w:color w:val="0563C1"/>
            <w:sz w:val="16"/>
            <w:szCs w:val="16"/>
            <w:u w:val="single"/>
          </w:rPr>
          <w:t>www.eluniverso.com/opinion/cartas-al-director/crisis-en-el-sistema-judicial-del-ecuador-nota</w:t>
        </w:r>
      </w:hyperlink>
      <w:hyperlink r:id="rId34">
        <w:r>
          <w:rPr>
            <w:color w:val="0563C1"/>
            <w:sz w:val="16"/>
            <w:szCs w:val="16"/>
          </w:rPr>
          <w:t>/</w:t>
        </w:r>
      </w:hyperlink>
    </w:p>
    <w:p w14:paraId="2E841827" w14:textId="77777777" w:rsidR="00A04E14" w:rsidRDefault="00000000">
      <w:pPr>
        <w:spacing w:line="244" w:lineRule="auto"/>
        <w:ind w:left="699" w:right="715"/>
        <w:rPr>
          <w:sz w:val="16"/>
          <w:szCs w:val="16"/>
        </w:rPr>
      </w:pPr>
      <w:r>
        <w:rPr>
          <w:sz w:val="16"/>
          <w:szCs w:val="16"/>
          <w:vertAlign w:val="superscript"/>
        </w:rPr>
        <w:t>11</w:t>
      </w:r>
      <w:r>
        <w:rPr>
          <w:sz w:val="16"/>
          <w:szCs w:val="16"/>
        </w:rPr>
        <w:t xml:space="preserve"> </w:t>
      </w:r>
      <w:proofErr w:type="gramStart"/>
      <w:r>
        <w:rPr>
          <w:sz w:val="16"/>
          <w:szCs w:val="16"/>
        </w:rPr>
        <w:t>Agencia</w:t>
      </w:r>
      <w:proofErr w:type="gramEnd"/>
      <w:r>
        <w:rPr>
          <w:sz w:val="16"/>
          <w:szCs w:val="16"/>
        </w:rPr>
        <w:t xml:space="preserve"> de la ONU para refugiados: Panamá: cifra récord de 100.000 personas refugiadas y migrantes cruzan el Darién en los primeros meses de 2023</w:t>
      </w:r>
    </w:p>
    <w:p w14:paraId="1C9F55C7" w14:textId="77777777" w:rsidR="00A04E14" w:rsidRDefault="00000000">
      <w:pPr>
        <w:spacing w:line="177" w:lineRule="auto"/>
        <w:ind w:left="699"/>
        <w:rPr>
          <w:sz w:val="16"/>
          <w:szCs w:val="16"/>
        </w:rPr>
      </w:pPr>
      <w:r>
        <w:rPr>
          <w:color w:val="0563C1"/>
          <w:sz w:val="16"/>
          <w:szCs w:val="16"/>
          <w:u w:val="single"/>
        </w:rPr>
        <w:t>https://</w:t>
      </w:r>
      <w:hyperlink r:id="rId35">
        <w:r>
          <w:rPr>
            <w:color w:val="0563C1"/>
            <w:sz w:val="16"/>
            <w:szCs w:val="16"/>
            <w:u w:val="single"/>
          </w:rPr>
          <w:t>www.acnur.org/noticias/panama-cifra-record-de-100-000-personas-refugiadas-y-migrantes-cruzan-el-darien-en-los</w:t>
        </w:r>
      </w:hyperlink>
    </w:p>
    <w:p w14:paraId="27AA8351" w14:textId="77777777" w:rsidR="00A04E14" w:rsidRDefault="00000000">
      <w:pPr>
        <w:spacing w:line="183" w:lineRule="auto"/>
        <w:ind w:left="699"/>
        <w:rPr>
          <w:sz w:val="16"/>
          <w:szCs w:val="16"/>
        </w:rPr>
        <w:sectPr w:rsidR="00A04E14">
          <w:pgSz w:w="12240" w:h="15840"/>
          <w:pgMar w:top="2380" w:right="980" w:bottom="280" w:left="1000" w:header="19" w:footer="0" w:gutter="0"/>
          <w:cols w:space="720"/>
        </w:sectPr>
      </w:pPr>
      <w:r>
        <w:rPr>
          <w:sz w:val="16"/>
          <w:szCs w:val="16"/>
          <w:vertAlign w:val="superscript"/>
        </w:rPr>
        <w:t>12</w:t>
      </w:r>
      <w:r>
        <w:rPr>
          <w:sz w:val="16"/>
          <w:szCs w:val="16"/>
        </w:rPr>
        <w:t xml:space="preserve"> </w:t>
      </w:r>
      <w:proofErr w:type="gramStart"/>
      <w:r>
        <w:rPr>
          <w:sz w:val="16"/>
          <w:szCs w:val="16"/>
        </w:rPr>
        <w:t>Comité</w:t>
      </w:r>
      <w:proofErr w:type="gramEnd"/>
      <w:r>
        <w:rPr>
          <w:sz w:val="16"/>
          <w:szCs w:val="16"/>
        </w:rPr>
        <w:t xml:space="preserve"> de los Derechos del Niño - Observaciones finales sobre los informes periódicos quinto y sexto combinados del Ecuador.</w:t>
      </w:r>
    </w:p>
    <w:p w14:paraId="537C93F7" w14:textId="77777777" w:rsidR="00A04E14" w:rsidRDefault="00A04E14">
      <w:pPr>
        <w:pBdr>
          <w:top w:val="nil"/>
          <w:left w:val="nil"/>
          <w:bottom w:val="nil"/>
          <w:right w:val="nil"/>
          <w:between w:val="nil"/>
        </w:pBdr>
        <w:spacing w:before="10"/>
        <w:rPr>
          <w:color w:val="000000"/>
          <w:sz w:val="19"/>
          <w:szCs w:val="19"/>
        </w:rPr>
      </w:pPr>
    </w:p>
    <w:p w14:paraId="6D4546E4" w14:textId="77777777" w:rsidR="00A04E14" w:rsidRDefault="00000000">
      <w:pPr>
        <w:pBdr>
          <w:top w:val="nil"/>
          <w:left w:val="nil"/>
          <w:bottom w:val="nil"/>
          <w:right w:val="nil"/>
          <w:between w:val="nil"/>
        </w:pBdr>
        <w:spacing w:before="90" w:line="276" w:lineRule="auto"/>
        <w:ind w:left="699" w:right="721"/>
        <w:jc w:val="both"/>
        <w:rPr>
          <w:color w:val="000000"/>
          <w:sz w:val="24"/>
          <w:szCs w:val="24"/>
        </w:rPr>
      </w:pPr>
      <w:r>
        <w:rPr>
          <w:color w:val="000000"/>
          <w:sz w:val="24"/>
          <w:szCs w:val="24"/>
        </w:rPr>
        <w:t>7.- Más aún, desde los últimos años existe por parte del Estado ecuatoriano discursos y actos de criminalización, desposesión y crueldad a la niñez y adolescencia desde un enfoque punitivista - jurídico estatal, que, a su vez, abarcan o se entremezclan con locuciones estigmatizantes de tipo social, cultural y/o jurídica que legitiman dicha violencia sin abordar la desigual distribución de recursos y los procesos socioculturales que la sostienen</w:t>
      </w:r>
    </w:p>
    <w:p w14:paraId="15BD82B4" w14:textId="77777777" w:rsidR="00A04E14" w:rsidRDefault="00A04E14">
      <w:pPr>
        <w:pBdr>
          <w:top w:val="nil"/>
          <w:left w:val="nil"/>
          <w:bottom w:val="nil"/>
          <w:right w:val="nil"/>
          <w:between w:val="nil"/>
        </w:pBdr>
        <w:spacing w:before="8"/>
        <w:rPr>
          <w:color w:val="000000"/>
          <w:sz w:val="27"/>
          <w:szCs w:val="27"/>
        </w:rPr>
      </w:pPr>
    </w:p>
    <w:p w14:paraId="224C0032"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8.- Un ejemplo de lo señalado es lo ocurrido con Raúl, un joven afroecuatoriano que fue detenido el 30 de noviembre de 2023 en la comunidad de la Isla Trinitaria por un crimen que no cometió. Él fue víctima del abuso de poder y de práctica discriminatoria del perfilamiento racial por parte de la Policía Nacional y del sistema de Justicia en Ecuador. Debido a su condición social y origen, no se le garantizó un debido proceso. Raúl tuvo que estar preso durante más de 5 meses para que un juez determinara que no existieron indicios para una imputación penal y que su caso fue una negligencia por parte de la Fiscalía quien actuó vulnerando los derechos humanos de Raúl como el de no discriminación</w:t>
      </w:r>
      <w:r>
        <w:rPr>
          <w:color w:val="000000"/>
          <w:sz w:val="24"/>
          <w:szCs w:val="24"/>
          <w:vertAlign w:val="superscript"/>
        </w:rPr>
        <w:t>13</w:t>
      </w:r>
      <w:r>
        <w:rPr>
          <w:color w:val="000000"/>
          <w:sz w:val="24"/>
          <w:szCs w:val="24"/>
        </w:rPr>
        <w:t>.</w:t>
      </w:r>
    </w:p>
    <w:p w14:paraId="58B0389B" w14:textId="77777777" w:rsidR="00A04E14" w:rsidRDefault="00A04E14">
      <w:pPr>
        <w:pBdr>
          <w:top w:val="nil"/>
          <w:left w:val="nil"/>
          <w:bottom w:val="nil"/>
          <w:right w:val="nil"/>
          <w:between w:val="nil"/>
        </w:pBdr>
        <w:spacing w:before="6"/>
        <w:rPr>
          <w:color w:val="000000"/>
          <w:sz w:val="27"/>
          <w:szCs w:val="27"/>
        </w:rPr>
      </w:pPr>
    </w:p>
    <w:p w14:paraId="7B788638"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9.- De igual manera, el estado ecuatoriano, sigue ignorando el impacto de la violencia generalizada y la inseguridad que se vive, donde los niños y jóvenes son expuestos a situaciones de alto riesgo, exacerbadas por la falta de oportunidades, el abandono estatal y el crecimiento de la economía del delito, de ello da cuenta UNICEF al documentar cifras alarmantes que revelan que la tasa de homicidios de niños, niñas y adolescentes aumentó en un 640% en los últimos cuatro años en Ecuador, y que se reporta un aumento en el reclutamiento forzado de adolescentes por parte de grupos armados, y las instalaciones médicas y las escuelas están bajo asedio</w:t>
      </w:r>
      <w:r>
        <w:rPr>
          <w:color w:val="000000"/>
          <w:sz w:val="24"/>
          <w:szCs w:val="24"/>
          <w:vertAlign w:val="superscript"/>
        </w:rPr>
        <w:t>14</w:t>
      </w:r>
      <w:r>
        <w:rPr>
          <w:color w:val="000000"/>
          <w:sz w:val="24"/>
          <w:szCs w:val="24"/>
        </w:rPr>
        <w:t>.</w:t>
      </w:r>
    </w:p>
    <w:p w14:paraId="59C21278" w14:textId="77777777" w:rsidR="00A04E14" w:rsidRDefault="00A04E14">
      <w:pPr>
        <w:pBdr>
          <w:top w:val="nil"/>
          <w:left w:val="nil"/>
          <w:bottom w:val="nil"/>
          <w:right w:val="nil"/>
          <w:between w:val="nil"/>
        </w:pBdr>
        <w:spacing w:before="7"/>
        <w:rPr>
          <w:color w:val="000000"/>
          <w:sz w:val="27"/>
          <w:szCs w:val="27"/>
        </w:rPr>
      </w:pPr>
    </w:p>
    <w:p w14:paraId="054B76D0"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10.- En este contexto es especialmente grave que en la Asamblea Nacional ecuatoriana se tramiten actualmente varios proyectos de ley</w:t>
      </w:r>
      <w:r>
        <w:rPr>
          <w:color w:val="000000"/>
          <w:sz w:val="24"/>
          <w:szCs w:val="24"/>
          <w:vertAlign w:val="superscript"/>
        </w:rPr>
        <w:t>15</w:t>
      </w:r>
      <w:r>
        <w:rPr>
          <w:color w:val="000000"/>
          <w:sz w:val="24"/>
          <w:szCs w:val="24"/>
        </w:rPr>
        <w:t xml:space="preserve"> orientados a la criminalización de adolescentes, buscando que sean juzgados como adultos en ciertos delitos tales como asesinato, sicariato, robo con muerte, extorsión y narcotráfico.</w:t>
      </w:r>
    </w:p>
    <w:p w14:paraId="3B19CEA6" w14:textId="77777777" w:rsidR="00A04E14" w:rsidRDefault="00A04E14">
      <w:pPr>
        <w:pBdr>
          <w:top w:val="nil"/>
          <w:left w:val="nil"/>
          <w:bottom w:val="nil"/>
          <w:right w:val="nil"/>
          <w:between w:val="nil"/>
        </w:pBdr>
        <w:rPr>
          <w:color w:val="000000"/>
          <w:sz w:val="20"/>
          <w:szCs w:val="20"/>
        </w:rPr>
      </w:pPr>
    </w:p>
    <w:p w14:paraId="68197BE9" w14:textId="77777777" w:rsidR="00A04E14" w:rsidRDefault="00A04E14">
      <w:pPr>
        <w:pBdr>
          <w:top w:val="nil"/>
          <w:left w:val="nil"/>
          <w:bottom w:val="nil"/>
          <w:right w:val="nil"/>
          <w:between w:val="nil"/>
        </w:pBdr>
        <w:rPr>
          <w:color w:val="000000"/>
          <w:sz w:val="20"/>
          <w:szCs w:val="20"/>
        </w:rPr>
      </w:pPr>
    </w:p>
    <w:p w14:paraId="34B39008" w14:textId="77777777" w:rsidR="00A04E14" w:rsidRDefault="00A04E14">
      <w:pPr>
        <w:pBdr>
          <w:top w:val="nil"/>
          <w:left w:val="nil"/>
          <w:bottom w:val="nil"/>
          <w:right w:val="nil"/>
          <w:between w:val="nil"/>
        </w:pBdr>
        <w:rPr>
          <w:color w:val="000000"/>
          <w:sz w:val="20"/>
          <w:szCs w:val="20"/>
        </w:rPr>
      </w:pPr>
    </w:p>
    <w:p w14:paraId="67A95C72" w14:textId="77777777" w:rsidR="00A04E14" w:rsidRDefault="00000000">
      <w:pPr>
        <w:pBdr>
          <w:top w:val="nil"/>
          <w:left w:val="nil"/>
          <w:bottom w:val="nil"/>
          <w:right w:val="nil"/>
          <w:between w:val="nil"/>
        </w:pBdr>
        <w:spacing w:before="4"/>
        <w:rPr>
          <w:color w:val="000000"/>
          <w:sz w:val="29"/>
          <w:szCs w:val="29"/>
        </w:rPr>
      </w:pPr>
      <w:r>
        <w:rPr>
          <w:noProof/>
        </w:rPr>
        <mc:AlternateContent>
          <mc:Choice Requires="wps">
            <w:drawing>
              <wp:anchor distT="0" distB="0" distL="114300" distR="114300" simplePos="0" relativeHeight="251662336" behindDoc="0" locked="0" layoutInCell="1" hidden="0" allowOverlap="1" wp14:anchorId="40FC1250" wp14:editId="215752AB">
                <wp:simplePos x="0" y="0"/>
                <wp:positionH relativeFrom="column">
                  <wp:posOffset>546100</wp:posOffset>
                </wp:positionH>
                <wp:positionV relativeFrom="paragraph">
                  <wp:posOffset>228600</wp:posOffset>
                </wp:positionV>
                <wp:extent cx="6096" cy="12700"/>
                <wp:effectExtent l="0" t="0" r="0" b="0"/>
                <wp:wrapTopAndBottom distT="0" distB="0"/>
                <wp:docPr id="12" name="Rectangle 12"/>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D3D99E7"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228600</wp:posOffset>
                </wp:positionV>
                <wp:extent cx="6096" cy="12700"/>
                <wp:effectExtent b="0" l="0" r="0" t="0"/>
                <wp:wrapTopAndBottom distB="0" distT="0"/>
                <wp:docPr id="12" name="image7.png"/>
                <a:graphic>
                  <a:graphicData uri="http://schemas.openxmlformats.org/drawingml/2006/picture">
                    <pic:pic>
                      <pic:nvPicPr>
                        <pic:cNvPr id="0" name="image7.png"/>
                        <pic:cNvPicPr preferRelativeResize="0"/>
                      </pic:nvPicPr>
                      <pic:blipFill>
                        <a:blip r:embed="rId36"/>
                        <a:srcRect/>
                        <a:stretch>
                          <a:fillRect/>
                        </a:stretch>
                      </pic:blipFill>
                      <pic:spPr>
                        <a:xfrm>
                          <a:off x="0" y="0"/>
                          <a:ext cx="6096" cy="12700"/>
                        </a:xfrm>
                        <a:prstGeom prst="rect"/>
                        <a:ln/>
                      </pic:spPr>
                    </pic:pic>
                  </a:graphicData>
                </a:graphic>
              </wp:anchor>
            </w:drawing>
          </mc:Fallback>
        </mc:AlternateContent>
      </w:r>
    </w:p>
    <w:p w14:paraId="674C5D93" w14:textId="77777777" w:rsidR="00A04E14" w:rsidRDefault="00000000">
      <w:pPr>
        <w:spacing w:before="76" w:line="183" w:lineRule="auto"/>
        <w:ind w:left="699"/>
        <w:rPr>
          <w:sz w:val="16"/>
          <w:szCs w:val="16"/>
        </w:rPr>
      </w:pPr>
      <w:r>
        <w:rPr>
          <w:sz w:val="16"/>
          <w:szCs w:val="16"/>
        </w:rPr>
        <w:t>Informe: CRC/C/ECU/CO/5-6</w:t>
      </w:r>
    </w:p>
    <w:p w14:paraId="77AEBA46" w14:textId="77777777" w:rsidR="00A04E14" w:rsidRDefault="00000000">
      <w:pPr>
        <w:spacing w:line="182" w:lineRule="auto"/>
        <w:ind w:left="699"/>
        <w:rPr>
          <w:sz w:val="16"/>
          <w:szCs w:val="16"/>
        </w:rPr>
      </w:pPr>
      <w:proofErr w:type="gramStart"/>
      <w:r>
        <w:rPr>
          <w:sz w:val="16"/>
          <w:szCs w:val="16"/>
          <w:vertAlign w:val="superscript"/>
        </w:rPr>
        <w:t>13</w:t>
      </w:r>
      <w:r>
        <w:rPr>
          <w:sz w:val="16"/>
          <w:szCs w:val="16"/>
        </w:rPr>
        <w:t xml:space="preserve">  </w:t>
      </w:r>
      <w:r>
        <w:rPr>
          <w:color w:val="0563C1"/>
          <w:sz w:val="16"/>
          <w:szCs w:val="16"/>
          <w:u w:val="single"/>
        </w:rPr>
        <w:t>https://twitter.com/CDHGYE/status/1770557398870036683</w:t>
      </w:r>
      <w:proofErr w:type="gramEnd"/>
    </w:p>
    <w:p w14:paraId="052D0286" w14:textId="77777777" w:rsidR="00A04E14" w:rsidRDefault="00000000">
      <w:pPr>
        <w:spacing w:line="183" w:lineRule="auto"/>
        <w:ind w:left="699"/>
        <w:rPr>
          <w:sz w:val="16"/>
          <w:szCs w:val="16"/>
        </w:rPr>
      </w:pPr>
      <w:r>
        <w:rPr>
          <w:sz w:val="16"/>
          <w:szCs w:val="16"/>
          <w:vertAlign w:val="superscript"/>
        </w:rPr>
        <w:t>14</w:t>
      </w:r>
      <w:r>
        <w:rPr>
          <w:sz w:val="16"/>
          <w:szCs w:val="16"/>
        </w:rPr>
        <w:t xml:space="preserve">    https://</w:t>
      </w:r>
      <w:hyperlink r:id="rId37">
        <w:r>
          <w:rPr>
            <w:sz w:val="16"/>
            <w:szCs w:val="16"/>
          </w:rPr>
          <w:t>www.unicef.org/lac/comunicados-prensa/ecuador-la-tasa-de-homicidios-de-ninos-ninas-y-adolescentes-aumento</w:t>
        </w:r>
      </w:hyperlink>
    </w:p>
    <w:p w14:paraId="2AC68228" w14:textId="77777777" w:rsidR="00A04E14" w:rsidRDefault="00000000">
      <w:pPr>
        <w:tabs>
          <w:tab w:val="left" w:pos="1340"/>
        </w:tabs>
        <w:spacing w:before="3"/>
        <w:ind w:left="699" w:right="721"/>
        <w:rPr>
          <w:sz w:val="16"/>
          <w:szCs w:val="16"/>
        </w:rPr>
      </w:pPr>
      <w:r>
        <w:rPr>
          <w:sz w:val="16"/>
          <w:szCs w:val="16"/>
          <w:vertAlign w:val="superscript"/>
        </w:rPr>
        <w:t>15</w:t>
      </w:r>
      <w:r>
        <w:rPr>
          <w:sz w:val="16"/>
          <w:szCs w:val="16"/>
        </w:rPr>
        <w:tab/>
      </w:r>
      <w:r>
        <w:rPr>
          <w:color w:val="0563C1"/>
          <w:sz w:val="16"/>
          <w:szCs w:val="16"/>
          <w:u w:val="single"/>
        </w:rPr>
        <w:t>https://ppless.asambleanacional.gob.ec/alfresco/d/d/workspace/SpacesStore/ea930a39-4d8e-477a-9aad-5a3cc7aea49f/pp-coip-t-</w:t>
      </w:r>
      <w:r>
        <w:rPr>
          <w:color w:val="0563C1"/>
          <w:sz w:val="16"/>
          <w:szCs w:val="16"/>
        </w:rPr>
        <w:t xml:space="preserve"> </w:t>
      </w:r>
      <w:r>
        <w:rPr>
          <w:color w:val="0563C1"/>
          <w:sz w:val="16"/>
          <w:szCs w:val="16"/>
          <w:u w:val="single"/>
        </w:rPr>
        <w:t>428746viteri-proyecto-de-ley_compressed.pdf</w:t>
      </w:r>
    </w:p>
    <w:p w14:paraId="1C7C0A35" w14:textId="77777777" w:rsidR="00A04E14" w:rsidRDefault="00000000">
      <w:pPr>
        <w:spacing w:line="181" w:lineRule="auto"/>
        <w:ind w:left="699"/>
        <w:rPr>
          <w:sz w:val="16"/>
          <w:szCs w:val="16"/>
        </w:rPr>
      </w:pPr>
      <w:r>
        <w:rPr>
          <w:color w:val="0563C1"/>
          <w:sz w:val="16"/>
          <w:szCs w:val="16"/>
          <w:u w:val="single"/>
        </w:rPr>
        <w:t>https://ppless.asambleanacional.gob.ec/alfresco/d/d/workspace/SpacesStore/7bf1abcb-68ad-473b-87cb-f3967f8ec3b3/pp-</w:t>
      </w:r>
    </w:p>
    <w:p w14:paraId="5DA04647" w14:textId="77777777" w:rsidR="00A04E14" w:rsidRDefault="00000000">
      <w:pPr>
        <w:spacing w:before="3"/>
        <w:ind w:left="699" w:right="820"/>
        <w:rPr>
          <w:sz w:val="16"/>
          <w:szCs w:val="16"/>
        </w:rPr>
        <w:sectPr w:rsidR="00A04E14">
          <w:pgSz w:w="12240" w:h="15840"/>
          <w:pgMar w:top="2380" w:right="980" w:bottom="280" w:left="1000" w:header="19" w:footer="0" w:gutter="0"/>
          <w:cols w:space="720"/>
        </w:sectPr>
      </w:pPr>
      <w:r>
        <w:rPr>
          <w:color w:val="0563C1"/>
          <w:sz w:val="16"/>
          <w:szCs w:val="16"/>
          <w:u w:val="single"/>
        </w:rPr>
        <w:t>%20proyecto%20de%20ley%20(440064-vera).pdf</w:t>
      </w:r>
      <w:r>
        <w:rPr>
          <w:color w:val="0563C1"/>
          <w:sz w:val="16"/>
          <w:szCs w:val="16"/>
        </w:rPr>
        <w:t xml:space="preserve"> </w:t>
      </w:r>
      <w:r>
        <w:rPr>
          <w:sz w:val="16"/>
          <w:szCs w:val="16"/>
        </w:rPr>
        <w:t>https://ppless.asambleanacional.gob.ec/alfresco/d/d/workspace/SpacesStore/52f17a22-da83-4a43-902d-8f14adc54b85/alcance2-pp-mas- alcance-mas-pp-an-jgca-2023-0015-m.pdf</w:t>
      </w:r>
    </w:p>
    <w:p w14:paraId="68B50661"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11. - Es importante destacar que en el año 2023 se tipificó en Ecuador el reclutamiento forzoso</w:t>
      </w:r>
      <w:r>
        <w:rPr>
          <w:color w:val="000000"/>
          <w:sz w:val="24"/>
          <w:szCs w:val="24"/>
          <w:vertAlign w:val="superscript"/>
        </w:rPr>
        <w:t>16</w:t>
      </w:r>
      <w:r>
        <w:rPr>
          <w:color w:val="000000"/>
          <w:sz w:val="24"/>
          <w:szCs w:val="24"/>
        </w:rPr>
        <w:t xml:space="preserve"> de niños, niñas y adolescentes en el contexto de conflictos armados o para la comisión de actos ilícitos, mediante la figura penal de trata de personas. Sin embargo, hasta la fecha no existe ninguna condena por este delito, lo que sugiere que el Estado ecuatoriano aún no reconoce plenamente a esta población como víctimas de reclutamiento forzoso. Al contrario, las acciones de persecución penal y el enfoque social impulsado por el Estado reflejan una tendencia a la criminalización constante de niños, niñas, adolescentes y jóvenes afectados por estas situaciones</w:t>
      </w:r>
    </w:p>
    <w:p w14:paraId="03C2A95C" w14:textId="77777777" w:rsidR="00A04E14" w:rsidRDefault="00A04E14">
      <w:pPr>
        <w:pBdr>
          <w:top w:val="nil"/>
          <w:left w:val="nil"/>
          <w:bottom w:val="nil"/>
          <w:right w:val="nil"/>
          <w:between w:val="nil"/>
        </w:pBdr>
        <w:spacing w:before="7"/>
        <w:rPr>
          <w:color w:val="000000"/>
          <w:sz w:val="27"/>
          <w:szCs w:val="27"/>
        </w:rPr>
      </w:pPr>
    </w:p>
    <w:p w14:paraId="5DE7D409" w14:textId="77777777" w:rsidR="00A04E14" w:rsidRDefault="00000000">
      <w:pPr>
        <w:pBdr>
          <w:top w:val="nil"/>
          <w:left w:val="nil"/>
          <w:bottom w:val="nil"/>
          <w:right w:val="nil"/>
          <w:between w:val="nil"/>
        </w:pBdr>
        <w:spacing w:line="276" w:lineRule="auto"/>
        <w:ind w:left="699" w:right="722"/>
        <w:jc w:val="both"/>
        <w:rPr>
          <w:color w:val="000000"/>
          <w:sz w:val="24"/>
          <w:szCs w:val="24"/>
        </w:rPr>
      </w:pPr>
      <w:r>
        <w:rPr>
          <w:color w:val="000000"/>
          <w:sz w:val="24"/>
          <w:szCs w:val="24"/>
        </w:rPr>
        <w:t>12.- Bajo esta perspectiva, el Estado les está fallando a las niñas, niños y adolescentes, al no brindarles la protección especial que requieren tal como establece la Convención sobre los Derechos del Niño, la Constitución del Ecuador y otros instrumentos internacionales de derechos humanos en la materia. Por tanto, el Estado ecuatoriano debe impulsar acciones políticas, sociales, institucionales y financieras para proteger a la niñez y la juventud.</w:t>
      </w:r>
    </w:p>
    <w:p w14:paraId="21BE3E27" w14:textId="77777777" w:rsidR="00A04E14" w:rsidRDefault="00A04E14">
      <w:pPr>
        <w:pBdr>
          <w:top w:val="nil"/>
          <w:left w:val="nil"/>
          <w:bottom w:val="nil"/>
          <w:right w:val="nil"/>
          <w:between w:val="nil"/>
        </w:pBdr>
        <w:spacing w:before="8"/>
        <w:rPr>
          <w:color w:val="000000"/>
          <w:sz w:val="27"/>
          <w:szCs w:val="27"/>
        </w:rPr>
      </w:pPr>
    </w:p>
    <w:p w14:paraId="1A6332B1" w14:textId="77777777" w:rsidR="00A04E14" w:rsidRDefault="00000000">
      <w:pPr>
        <w:pStyle w:val="Heading1"/>
        <w:ind w:firstLine="699"/>
      </w:pPr>
      <w:r>
        <w:t>RECOMENDACIONES</w:t>
      </w:r>
    </w:p>
    <w:p w14:paraId="6A9C5F94" w14:textId="77777777" w:rsidR="00A04E14" w:rsidRDefault="00A04E14">
      <w:pPr>
        <w:pBdr>
          <w:top w:val="nil"/>
          <w:left w:val="nil"/>
          <w:bottom w:val="nil"/>
          <w:right w:val="nil"/>
          <w:between w:val="nil"/>
        </w:pBdr>
        <w:spacing w:before="1"/>
        <w:rPr>
          <w:b/>
          <w:color w:val="000000"/>
          <w:sz w:val="31"/>
          <w:szCs w:val="31"/>
        </w:rPr>
      </w:pPr>
    </w:p>
    <w:p w14:paraId="0C0BA236"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Guayaquil, recomienda al Estado ecuatoriano:</w:t>
      </w:r>
    </w:p>
    <w:p w14:paraId="355AA53E" w14:textId="77777777" w:rsidR="00A04E14" w:rsidRDefault="00A04E14">
      <w:pPr>
        <w:pBdr>
          <w:top w:val="nil"/>
          <w:left w:val="nil"/>
          <w:bottom w:val="nil"/>
          <w:right w:val="nil"/>
          <w:between w:val="nil"/>
        </w:pBdr>
        <w:spacing w:before="1"/>
        <w:rPr>
          <w:color w:val="000000"/>
          <w:sz w:val="31"/>
          <w:szCs w:val="31"/>
        </w:rPr>
      </w:pPr>
    </w:p>
    <w:p w14:paraId="71821B21"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13.- Garantizar el fortalecimiento de las instituciones a cargo de la protección y promoción del derecho a la igualdad y la no discriminación con énfasis en la niñez y juventud;</w:t>
      </w:r>
    </w:p>
    <w:p w14:paraId="2757B880" w14:textId="77777777" w:rsidR="00A04E14" w:rsidRDefault="00A04E14">
      <w:pPr>
        <w:pBdr>
          <w:top w:val="nil"/>
          <w:left w:val="nil"/>
          <w:bottom w:val="nil"/>
          <w:right w:val="nil"/>
          <w:between w:val="nil"/>
        </w:pBdr>
        <w:spacing w:before="10"/>
        <w:rPr>
          <w:color w:val="000000"/>
          <w:sz w:val="27"/>
          <w:szCs w:val="27"/>
        </w:rPr>
      </w:pPr>
    </w:p>
    <w:p w14:paraId="6B4DD58C"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14.- Evaluar reformas de ley que garanticen el cumplimiento de obligaciones internacionales del Estado conforme los más altos estándares de protección de la niñez y adolescencia, evitando el populismo punitivista.</w:t>
      </w:r>
    </w:p>
    <w:p w14:paraId="24064DE7"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15.- Reconocer y tratar como víctimas de reclutamiento forzoso a los niños, niñas y adolescentes reclutados por el crimen organizado.</w:t>
      </w:r>
    </w:p>
    <w:p w14:paraId="20E75C14" w14:textId="77777777" w:rsidR="00A04E14" w:rsidRDefault="00A04E14">
      <w:pPr>
        <w:pBdr>
          <w:top w:val="nil"/>
          <w:left w:val="nil"/>
          <w:bottom w:val="nil"/>
          <w:right w:val="nil"/>
          <w:between w:val="nil"/>
        </w:pBdr>
        <w:spacing w:before="4"/>
        <w:rPr>
          <w:color w:val="000000"/>
          <w:sz w:val="27"/>
          <w:szCs w:val="27"/>
        </w:rPr>
      </w:pPr>
    </w:p>
    <w:p w14:paraId="66C437D7" w14:textId="77777777" w:rsidR="00A04E14" w:rsidRDefault="00000000">
      <w:pPr>
        <w:pBdr>
          <w:top w:val="nil"/>
          <w:left w:val="nil"/>
          <w:bottom w:val="nil"/>
          <w:right w:val="nil"/>
          <w:between w:val="nil"/>
        </w:pBdr>
        <w:spacing w:line="280" w:lineRule="auto"/>
        <w:ind w:left="699" w:right="721"/>
        <w:jc w:val="both"/>
        <w:rPr>
          <w:color w:val="000000"/>
          <w:sz w:val="24"/>
          <w:szCs w:val="24"/>
        </w:rPr>
      </w:pPr>
      <w:r>
        <w:rPr>
          <w:color w:val="000000"/>
          <w:sz w:val="24"/>
          <w:szCs w:val="24"/>
        </w:rPr>
        <w:t>16.- Investigar, procesar y sancionar de manera eficiente y eficaz el reclutamiento forzoso de niños, niñas y adolescentes.</w:t>
      </w:r>
    </w:p>
    <w:p w14:paraId="109F2560" w14:textId="77777777" w:rsidR="00A04E14" w:rsidRDefault="00A04E14">
      <w:pPr>
        <w:pBdr>
          <w:top w:val="nil"/>
          <w:left w:val="nil"/>
          <w:bottom w:val="nil"/>
          <w:right w:val="nil"/>
          <w:between w:val="nil"/>
        </w:pBdr>
        <w:spacing w:before="10"/>
        <w:rPr>
          <w:color w:val="000000"/>
          <w:sz w:val="26"/>
          <w:szCs w:val="26"/>
        </w:rPr>
      </w:pPr>
    </w:p>
    <w:p w14:paraId="4469876D"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17.-Garantizar que la asamblea nacional del Ecuador ratifique la Convención Interamericana contra toda forma de discriminación e intolerancia</w:t>
      </w:r>
    </w:p>
    <w:p w14:paraId="1F7D393D" w14:textId="77777777" w:rsidR="00A04E14" w:rsidRDefault="00A04E14">
      <w:pPr>
        <w:pBdr>
          <w:top w:val="nil"/>
          <w:left w:val="nil"/>
          <w:bottom w:val="nil"/>
          <w:right w:val="nil"/>
          <w:between w:val="nil"/>
        </w:pBdr>
        <w:rPr>
          <w:color w:val="000000"/>
          <w:sz w:val="20"/>
          <w:szCs w:val="20"/>
        </w:rPr>
      </w:pPr>
    </w:p>
    <w:p w14:paraId="2209AE6E" w14:textId="77777777" w:rsidR="00A04E14" w:rsidRDefault="00A04E14">
      <w:pPr>
        <w:pBdr>
          <w:top w:val="nil"/>
          <w:left w:val="nil"/>
          <w:bottom w:val="nil"/>
          <w:right w:val="nil"/>
          <w:between w:val="nil"/>
        </w:pBdr>
        <w:rPr>
          <w:color w:val="000000"/>
          <w:sz w:val="20"/>
          <w:szCs w:val="20"/>
        </w:rPr>
      </w:pPr>
    </w:p>
    <w:p w14:paraId="6875808F" w14:textId="77777777" w:rsidR="00A04E14" w:rsidRDefault="00A04E14">
      <w:pPr>
        <w:pBdr>
          <w:top w:val="nil"/>
          <w:left w:val="nil"/>
          <w:bottom w:val="nil"/>
          <w:right w:val="nil"/>
          <w:between w:val="nil"/>
        </w:pBdr>
        <w:rPr>
          <w:color w:val="000000"/>
          <w:sz w:val="20"/>
          <w:szCs w:val="20"/>
        </w:rPr>
      </w:pPr>
    </w:p>
    <w:p w14:paraId="7ED1DC8A" w14:textId="77777777" w:rsidR="00A04E14" w:rsidRDefault="00A04E14">
      <w:pPr>
        <w:pBdr>
          <w:top w:val="nil"/>
          <w:left w:val="nil"/>
          <w:bottom w:val="nil"/>
          <w:right w:val="nil"/>
          <w:between w:val="nil"/>
        </w:pBdr>
        <w:rPr>
          <w:color w:val="000000"/>
          <w:sz w:val="20"/>
          <w:szCs w:val="20"/>
        </w:rPr>
      </w:pPr>
    </w:p>
    <w:p w14:paraId="54069E3B" w14:textId="77777777" w:rsidR="00A04E14" w:rsidRDefault="00000000">
      <w:pPr>
        <w:pBdr>
          <w:top w:val="nil"/>
          <w:left w:val="nil"/>
          <w:bottom w:val="nil"/>
          <w:right w:val="nil"/>
          <w:between w:val="nil"/>
        </w:pBdr>
        <w:spacing w:before="7"/>
        <w:rPr>
          <w:color w:val="000000"/>
          <w:sz w:val="26"/>
          <w:szCs w:val="26"/>
        </w:rPr>
      </w:pPr>
      <w:r>
        <w:rPr>
          <w:noProof/>
        </w:rPr>
        <mc:AlternateContent>
          <mc:Choice Requires="wps">
            <w:drawing>
              <wp:anchor distT="0" distB="0" distL="114300" distR="114300" simplePos="0" relativeHeight="251663360" behindDoc="0" locked="0" layoutInCell="1" hidden="0" allowOverlap="1" wp14:anchorId="2E0B282A" wp14:editId="7D109604">
                <wp:simplePos x="0" y="0"/>
                <wp:positionH relativeFrom="column">
                  <wp:posOffset>546100</wp:posOffset>
                </wp:positionH>
                <wp:positionV relativeFrom="paragraph">
                  <wp:posOffset>203200</wp:posOffset>
                </wp:positionV>
                <wp:extent cx="6096" cy="12700"/>
                <wp:effectExtent l="0" t="0" r="0" b="0"/>
                <wp:wrapTopAndBottom distT="0" distB="0"/>
                <wp:docPr id="16" name="Rectangle 16"/>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F66C900"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203200</wp:posOffset>
                </wp:positionV>
                <wp:extent cx="6096"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38"/>
                        <a:srcRect/>
                        <a:stretch>
                          <a:fillRect/>
                        </a:stretch>
                      </pic:blipFill>
                      <pic:spPr>
                        <a:xfrm>
                          <a:off x="0" y="0"/>
                          <a:ext cx="6096" cy="12700"/>
                        </a:xfrm>
                        <a:prstGeom prst="rect"/>
                        <a:ln/>
                      </pic:spPr>
                    </pic:pic>
                  </a:graphicData>
                </a:graphic>
              </wp:anchor>
            </w:drawing>
          </mc:Fallback>
        </mc:AlternateContent>
      </w:r>
    </w:p>
    <w:p w14:paraId="1CF12044" w14:textId="77777777" w:rsidR="00A04E14" w:rsidRDefault="00000000">
      <w:pPr>
        <w:spacing w:before="76"/>
        <w:ind w:left="699"/>
        <w:rPr>
          <w:sz w:val="16"/>
          <w:szCs w:val="16"/>
        </w:rPr>
        <w:sectPr w:rsidR="00A04E14">
          <w:pgSz w:w="12240" w:h="15840"/>
          <w:pgMar w:top="2380" w:right="980" w:bottom="280" w:left="1000" w:header="19" w:footer="0" w:gutter="0"/>
          <w:cols w:space="720"/>
        </w:sectPr>
      </w:pPr>
      <w:r>
        <w:rPr>
          <w:sz w:val="16"/>
          <w:szCs w:val="16"/>
          <w:vertAlign w:val="superscript"/>
        </w:rPr>
        <w:t>16</w:t>
      </w:r>
      <w:r>
        <w:rPr>
          <w:sz w:val="16"/>
          <w:szCs w:val="16"/>
        </w:rPr>
        <w:t xml:space="preserve"> </w:t>
      </w:r>
      <w:proofErr w:type="gramStart"/>
      <w:r>
        <w:rPr>
          <w:sz w:val="16"/>
          <w:szCs w:val="16"/>
        </w:rPr>
        <w:t>Código</w:t>
      </w:r>
      <w:proofErr w:type="gramEnd"/>
      <w:r>
        <w:rPr>
          <w:sz w:val="16"/>
          <w:szCs w:val="16"/>
        </w:rPr>
        <w:t xml:space="preserve"> Orgánico Integral Penal - Art. 91.- Trata de personas.</w:t>
      </w:r>
    </w:p>
    <w:p w14:paraId="696F9A95" w14:textId="77777777" w:rsidR="00A04E14" w:rsidRDefault="00000000">
      <w:pPr>
        <w:pStyle w:val="Heading1"/>
        <w:numPr>
          <w:ilvl w:val="0"/>
          <w:numId w:val="3"/>
        </w:numPr>
        <w:tabs>
          <w:tab w:val="left" w:pos="1779"/>
          <w:tab w:val="left" w:pos="1780"/>
        </w:tabs>
        <w:spacing w:before="1"/>
        <w:ind w:hanging="721"/>
      </w:pPr>
      <w:r>
        <w:t>INTERÉS SUPERIOR DEL NIÑO</w:t>
      </w:r>
    </w:p>
    <w:p w14:paraId="798A23B6" w14:textId="77777777" w:rsidR="00A04E14" w:rsidRDefault="00A04E14">
      <w:pPr>
        <w:pBdr>
          <w:top w:val="nil"/>
          <w:left w:val="nil"/>
          <w:bottom w:val="nil"/>
          <w:right w:val="nil"/>
          <w:between w:val="nil"/>
        </w:pBdr>
        <w:spacing w:before="1"/>
        <w:rPr>
          <w:b/>
          <w:color w:val="000000"/>
          <w:sz w:val="31"/>
          <w:szCs w:val="31"/>
        </w:rPr>
      </w:pPr>
    </w:p>
    <w:p w14:paraId="4388F84D"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 xml:space="preserve">18.- El </w:t>
      </w:r>
      <w:r>
        <w:rPr>
          <w:b/>
          <w:color w:val="000000"/>
          <w:sz w:val="24"/>
          <w:szCs w:val="24"/>
        </w:rPr>
        <w:t>interés superior del niño</w:t>
      </w:r>
      <w:r>
        <w:rPr>
          <w:color w:val="000000"/>
          <w:sz w:val="24"/>
          <w:szCs w:val="24"/>
        </w:rPr>
        <w:t>, es un principio fundamental en el ámbito de los derechos de los niños, niñas y adolescentes. Se reconoce internacionalmente en la Convención sobre los Derechos del Niño de las Naciones Unidas, adoptada en 1989, y se ha integrado en las leyes y políticas de muchos países. El interés superior del niño se refiere a la consideración primordial que se debe dar al bienestar, desarrollo y protección de los niños en todas las decisiones y acciones que les conciernen.</w:t>
      </w:r>
    </w:p>
    <w:p w14:paraId="78AA6D1F" w14:textId="77777777" w:rsidR="00A04E14" w:rsidRDefault="00A04E14">
      <w:pPr>
        <w:pBdr>
          <w:top w:val="nil"/>
          <w:left w:val="nil"/>
          <w:bottom w:val="nil"/>
          <w:right w:val="nil"/>
          <w:between w:val="nil"/>
        </w:pBdr>
        <w:spacing w:before="8"/>
        <w:rPr>
          <w:color w:val="000000"/>
          <w:sz w:val="27"/>
          <w:szCs w:val="27"/>
        </w:rPr>
      </w:pPr>
    </w:p>
    <w:p w14:paraId="3D294595" w14:textId="77777777" w:rsidR="00A04E14" w:rsidRDefault="00000000">
      <w:pPr>
        <w:spacing w:line="276" w:lineRule="auto"/>
        <w:ind w:left="699" w:right="720"/>
        <w:jc w:val="both"/>
        <w:rPr>
          <w:sz w:val="24"/>
          <w:szCs w:val="24"/>
        </w:rPr>
      </w:pPr>
      <w:r>
        <w:rPr>
          <w:sz w:val="24"/>
          <w:szCs w:val="24"/>
        </w:rPr>
        <w:t>19.- El Comité de Derechos de Niño instó al Estado ecuatoriano “</w:t>
      </w:r>
      <w:r>
        <w:rPr>
          <w:b/>
          <w:sz w:val="24"/>
          <w:szCs w:val="24"/>
        </w:rPr>
        <w:t>Vele por que este derecho sea incorporado debidamente, e interpretado y aplicado de manera sistemática, en todas las actuaciones y decisiones legislativas, administrativas y judiciales”</w:t>
      </w:r>
      <w:r>
        <w:rPr>
          <w:b/>
          <w:sz w:val="24"/>
          <w:szCs w:val="24"/>
          <w:vertAlign w:val="superscript"/>
        </w:rPr>
        <w:t>17</w:t>
      </w:r>
      <w:r>
        <w:rPr>
          <w:b/>
          <w:sz w:val="24"/>
          <w:szCs w:val="24"/>
        </w:rPr>
        <w:t xml:space="preserve">. </w:t>
      </w:r>
      <w:r>
        <w:rPr>
          <w:sz w:val="24"/>
          <w:szCs w:val="24"/>
        </w:rPr>
        <w:t>Ante esta recomendación es preocupante que la Corte Constitucional del Ecuador haya emitido la sentencia No</w:t>
      </w:r>
      <w:r>
        <w:rPr>
          <w:b/>
          <w:color w:val="0563C1"/>
          <w:sz w:val="24"/>
          <w:szCs w:val="24"/>
          <w:u w:val="single"/>
        </w:rPr>
        <w:t>. 376-20-JP/21</w:t>
      </w:r>
      <w:r>
        <w:rPr>
          <w:b/>
          <w:sz w:val="24"/>
          <w:szCs w:val="24"/>
          <w:vertAlign w:val="superscript"/>
        </w:rPr>
        <w:t>18</w:t>
      </w:r>
      <w:r>
        <w:rPr>
          <w:b/>
          <w:sz w:val="24"/>
          <w:szCs w:val="24"/>
        </w:rPr>
        <w:t xml:space="preserve">, </w:t>
      </w:r>
      <w:r>
        <w:rPr>
          <w:sz w:val="24"/>
          <w:szCs w:val="24"/>
        </w:rPr>
        <w:t xml:space="preserve">sobre “El acoso sexual en la comunidad educativa”, que se ha convertido en una herramienta jurídica que está siendo utilizada para validar la violencia sexual en el ámbito educativo y que muestra una incorrecta aplicación del </w:t>
      </w:r>
      <w:r>
        <w:rPr>
          <w:b/>
          <w:sz w:val="24"/>
          <w:szCs w:val="24"/>
        </w:rPr>
        <w:t>PRINCIPIO DEL INTERÉS SUPERIOR DEL NIÑO Y ADOLESCENTE EN SU CONDICIÓN DE VÍCTIMA DE VIOLENCIA SEXUAL</w:t>
      </w:r>
      <w:r>
        <w:rPr>
          <w:sz w:val="24"/>
          <w:szCs w:val="24"/>
        </w:rPr>
        <w:t>.</w:t>
      </w:r>
    </w:p>
    <w:p w14:paraId="735F40C3" w14:textId="77777777" w:rsidR="00A04E14" w:rsidRDefault="00A04E14">
      <w:pPr>
        <w:pBdr>
          <w:top w:val="nil"/>
          <w:left w:val="nil"/>
          <w:bottom w:val="nil"/>
          <w:right w:val="nil"/>
          <w:between w:val="nil"/>
        </w:pBdr>
        <w:spacing w:before="6"/>
        <w:rPr>
          <w:color w:val="000000"/>
          <w:sz w:val="27"/>
          <w:szCs w:val="27"/>
        </w:rPr>
      </w:pPr>
    </w:p>
    <w:p w14:paraId="28447EAA"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20.- La sentencia No. 376-20-JP/21, que aborda el acoso sexual de un docente a una estudiante en la comunidad educativa, esta jurisprudencia abarca múltiples errores prácticos en contra de la protección integral y garantía de derechos de las niñas, niños y adolescentes. En este sentido, la Corte Constitucional, al momento de abordar el debido proceso en la garantía de la proporcionalidad, consideró que existió un hecho que se encuadra en las normas vigentes, consideran al acoso sexual un delito menor con la finalidad que el agresor merezca una sanción menor.</w:t>
      </w:r>
    </w:p>
    <w:p w14:paraId="66BC031E" w14:textId="77777777" w:rsidR="00A04E14" w:rsidRDefault="00A04E14">
      <w:pPr>
        <w:pBdr>
          <w:top w:val="nil"/>
          <w:left w:val="nil"/>
          <w:bottom w:val="nil"/>
          <w:right w:val="nil"/>
          <w:between w:val="nil"/>
        </w:pBdr>
        <w:rPr>
          <w:color w:val="000000"/>
          <w:sz w:val="20"/>
          <w:szCs w:val="20"/>
        </w:rPr>
      </w:pPr>
    </w:p>
    <w:p w14:paraId="55D07B0D" w14:textId="77777777" w:rsidR="00A04E14" w:rsidRDefault="00A04E14">
      <w:pPr>
        <w:pBdr>
          <w:top w:val="nil"/>
          <w:left w:val="nil"/>
          <w:bottom w:val="nil"/>
          <w:right w:val="nil"/>
          <w:between w:val="nil"/>
        </w:pBdr>
        <w:rPr>
          <w:color w:val="000000"/>
          <w:sz w:val="20"/>
          <w:szCs w:val="20"/>
        </w:rPr>
      </w:pPr>
    </w:p>
    <w:p w14:paraId="3A0D83CE" w14:textId="77777777" w:rsidR="00A04E14" w:rsidRDefault="00A04E14">
      <w:pPr>
        <w:pBdr>
          <w:top w:val="nil"/>
          <w:left w:val="nil"/>
          <w:bottom w:val="nil"/>
          <w:right w:val="nil"/>
          <w:between w:val="nil"/>
        </w:pBdr>
        <w:rPr>
          <w:color w:val="000000"/>
          <w:sz w:val="20"/>
          <w:szCs w:val="20"/>
        </w:rPr>
      </w:pPr>
    </w:p>
    <w:p w14:paraId="338646C2" w14:textId="77777777" w:rsidR="00A04E14" w:rsidRDefault="00A04E14">
      <w:pPr>
        <w:pBdr>
          <w:top w:val="nil"/>
          <w:left w:val="nil"/>
          <w:bottom w:val="nil"/>
          <w:right w:val="nil"/>
          <w:between w:val="nil"/>
        </w:pBdr>
        <w:rPr>
          <w:color w:val="000000"/>
          <w:sz w:val="20"/>
          <w:szCs w:val="20"/>
        </w:rPr>
      </w:pPr>
    </w:p>
    <w:p w14:paraId="415560E9" w14:textId="77777777" w:rsidR="00A04E14" w:rsidRDefault="00000000">
      <w:pPr>
        <w:pBdr>
          <w:top w:val="nil"/>
          <w:left w:val="nil"/>
          <w:bottom w:val="nil"/>
          <w:right w:val="nil"/>
          <w:between w:val="nil"/>
        </w:pBdr>
        <w:spacing w:before="1"/>
        <w:rPr>
          <w:color w:val="000000"/>
          <w:sz w:val="12"/>
          <w:szCs w:val="12"/>
        </w:rPr>
      </w:pPr>
      <w:r>
        <w:rPr>
          <w:noProof/>
        </w:rPr>
        <mc:AlternateContent>
          <mc:Choice Requires="wps">
            <w:drawing>
              <wp:anchor distT="0" distB="0" distL="114300" distR="114300" simplePos="0" relativeHeight="251664384" behindDoc="0" locked="0" layoutInCell="1" hidden="0" allowOverlap="1" wp14:anchorId="00581197" wp14:editId="4DA78454">
                <wp:simplePos x="0" y="0"/>
                <wp:positionH relativeFrom="column">
                  <wp:posOffset>546100</wp:posOffset>
                </wp:positionH>
                <wp:positionV relativeFrom="paragraph">
                  <wp:posOffset>101600</wp:posOffset>
                </wp:positionV>
                <wp:extent cx="6096" cy="12700"/>
                <wp:effectExtent l="0" t="0" r="0" b="0"/>
                <wp:wrapTopAndBottom distT="0" distB="0"/>
                <wp:docPr id="14" name="Rectangle 14"/>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76C7FF8D"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101600</wp:posOffset>
                </wp:positionV>
                <wp:extent cx="6096" cy="12700"/>
                <wp:effectExtent b="0" l="0" r="0" t="0"/>
                <wp:wrapTopAndBottom distB="0" distT="0"/>
                <wp:docPr id="14" name="image9.png"/>
                <a:graphic>
                  <a:graphicData uri="http://schemas.openxmlformats.org/drawingml/2006/picture">
                    <pic:pic>
                      <pic:nvPicPr>
                        <pic:cNvPr id="0" name="image9.png"/>
                        <pic:cNvPicPr preferRelativeResize="0"/>
                      </pic:nvPicPr>
                      <pic:blipFill>
                        <a:blip r:embed="rId39"/>
                        <a:srcRect/>
                        <a:stretch>
                          <a:fillRect/>
                        </a:stretch>
                      </pic:blipFill>
                      <pic:spPr>
                        <a:xfrm>
                          <a:off x="0" y="0"/>
                          <a:ext cx="6096" cy="12700"/>
                        </a:xfrm>
                        <a:prstGeom prst="rect"/>
                        <a:ln/>
                      </pic:spPr>
                    </pic:pic>
                  </a:graphicData>
                </a:graphic>
              </wp:anchor>
            </w:drawing>
          </mc:Fallback>
        </mc:AlternateContent>
      </w:r>
    </w:p>
    <w:p w14:paraId="03739BB9" w14:textId="77777777" w:rsidR="00A04E14" w:rsidRDefault="00000000">
      <w:pPr>
        <w:spacing w:before="76"/>
        <w:ind w:left="699"/>
        <w:rPr>
          <w:sz w:val="16"/>
          <w:szCs w:val="16"/>
        </w:rPr>
      </w:pPr>
      <w:r>
        <w:rPr>
          <w:sz w:val="16"/>
          <w:szCs w:val="16"/>
          <w:vertAlign w:val="superscript"/>
        </w:rPr>
        <w:t>17</w:t>
      </w:r>
      <w:r>
        <w:rPr>
          <w:sz w:val="16"/>
          <w:szCs w:val="16"/>
        </w:rPr>
        <w:t xml:space="preserve"> </w:t>
      </w:r>
      <w:proofErr w:type="gramStart"/>
      <w:r>
        <w:rPr>
          <w:sz w:val="16"/>
          <w:szCs w:val="16"/>
        </w:rPr>
        <w:t>Comité</w:t>
      </w:r>
      <w:proofErr w:type="gramEnd"/>
      <w:r>
        <w:rPr>
          <w:sz w:val="16"/>
          <w:szCs w:val="16"/>
        </w:rPr>
        <w:t xml:space="preserve"> de los Derechos del Niño</w:t>
      </w:r>
    </w:p>
    <w:p w14:paraId="0529A9DB" w14:textId="77777777" w:rsidR="00A04E14" w:rsidRDefault="00000000">
      <w:pPr>
        <w:spacing w:before="3"/>
        <w:ind w:left="699" w:right="3653"/>
        <w:rPr>
          <w:sz w:val="16"/>
          <w:szCs w:val="16"/>
        </w:rPr>
      </w:pPr>
      <w:r>
        <w:rPr>
          <w:sz w:val="16"/>
          <w:szCs w:val="16"/>
        </w:rPr>
        <w:t>Observaciones finales sobre los informes periódicos quinto y sexto combinados del Ecuador CRC/C/ECU/CO/5-6</w:t>
      </w:r>
    </w:p>
    <w:p w14:paraId="2A65D907" w14:textId="77777777" w:rsidR="00A04E14" w:rsidRDefault="00000000">
      <w:pPr>
        <w:spacing w:line="180" w:lineRule="auto"/>
        <w:ind w:left="699"/>
        <w:rPr>
          <w:sz w:val="16"/>
          <w:szCs w:val="16"/>
        </w:rPr>
      </w:pPr>
      <w:r>
        <w:rPr>
          <w:sz w:val="16"/>
          <w:szCs w:val="16"/>
        </w:rPr>
        <w:t>26 de octubre de 2017</w:t>
      </w:r>
    </w:p>
    <w:p w14:paraId="2043AA4D" w14:textId="77777777" w:rsidR="00A04E14" w:rsidRDefault="00000000">
      <w:pPr>
        <w:spacing w:line="183" w:lineRule="auto"/>
        <w:ind w:left="699"/>
        <w:rPr>
          <w:sz w:val="16"/>
          <w:szCs w:val="16"/>
        </w:rPr>
      </w:pPr>
      <w:r>
        <w:rPr>
          <w:sz w:val="16"/>
          <w:szCs w:val="16"/>
          <w:vertAlign w:val="superscript"/>
        </w:rPr>
        <w:t>18</w:t>
      </w:r>
      <w:r>
        <w:rPr>
          <w:sz w:val="16"/>
          <w:szCs w:val="16"/>
        </w:rPr>
        <w:t xml:space="preserve"> </w:t>
      </w:r>
      <w:proofErr w:type="gramStart"/>
      <w:r>
        <w:rPr>
          <w:sz w:val="16"/>
          <w:szCs w:val="16"/>
        </w:rPr>
        <w:t>Sentencia</w:t>
      </w:r>
      <w:proofErr w:type="gramEnd"/>
      <w:r>
        <w:rPr>
          <w:sz w:val="16"/>
          <w:szCs w:val="16"/>
        </w:rPr>
        <w:t xml:space="preserve"> No. 376-20-JP/21</w:t>
      </w:r>
    </w:p>
    <w:p w14:paraId="5EE90DC2" w14:textId="77777777" w:rsidR="00A04E14" w:rsidRDefault="00000000">
      <w:pPr>
        <w:spacing w:before="3"/>
        <w:ind w:left="699" w:right="6688"/>
        <w:rPr>
          <w:sz w:val="16"/>
          <w:szCs w:val="16"/>
        </w:rPr>
      </w:pPr>
      <w:r>
        <w:rPr>
          <w:sz w:val="16"/>
          <w:szCs w:val="16"/>
        </w:rPr>
        <w:t>(El acoso sexual en la comunidad educativa) Juez ponente: Ramiro Avila Santamaría Quito, D.M. 21 de diciembre de 2021</w:t>
      </w:r>
    </w:p>
    <w:p w14:paraId="2DC1B7C0" w14:textId="77777777" w:rsidR="00A04E14" w:rsidRDefault="00000000">
      <w:pPr>
        <w:ind w:left="699" w:right="720"/>
        <w:jc w:val="both"/>
        <w:rPr>
          <w:sz w:val="16"/>
          <w:szCs w:val="16"/>
        </w:rPr>
        <w:sectPr w:rsidR="00A04E14">
          <w:pgSz w:w="12240" w:h="15840"/>
          <w:pgMar w:top="2380" w:right="980" w:bottom="280" w:left="1000" w:header="19" w:footer="0" w:gutter="0"/>
          <w:cols w:space="720"/>
        </w:sectPr>
      </w:pPr>
      <w:r>
        <w:rPr>
          <w:sz w:val="16"/>
          <w:szCs w:val="16"/>
        </w:rPr>
        <w:t>Tema: La Corte analiza la supuesta vulneración de derechos de un profesor de colegio destituido por un presunto acoso sexual quien, mediante acción de protección, retornó a su puesto de trabajo. La Corte analiza los derechos a la motivación, la seguridad jurídica, el derecho al trabajo y el derecho al debido proceso en la garantía de la proporcionalidad en las decisiones administrativas y en las sentencias en la acción de protección. De igual modo, analiza la supuesta vulneración de los derechos de la estudiante, aborda el acoso sexual, el ambiente patriarcal en las comunidades educativas y aborda la justicia restaurativa como una posible alternativa complementaria a la denuncia como mecanismo de solución de conflictos.</w:t>
      </w:r>
    </w:p>
    <w:p w14:paraId="7BB30648" w14:textId="77777777" w:rsidR="00A04E14" w:rsidRDefault="00000000">
      <w:pPr>
        <w:spacing w:before="1" w:line="276" w:lineRule="auto"/>
        <w:ind w:left="699" w:right="720"/>
        <w:jc w:val="both"/>
        <w:rPr>
          <w:sz w:val="24"/>
          <w:szCs w:val="24"/>
        </w:rPr>
      </w:pPr>
      <w:r>
        <w:rPr>
          <w:sz w:val="24"/>
          <w:szCs w:val="24"/>
        </w:rPr>
        <w:t xml:space="preserve">21.- La Corte sostiene de manera preocupante que </w:t>
      </w:r>
      <w:r>
        <w:rPr>
          <w:i/>
          <w:sz w:val="24"/>
          <w:szCs w:val="24"/>
        </w:rPr>
        <w:t xml:space="preserve">“El daño ocasionado por el acoso sexual a Fernanda, al no haber producido afectaciones físicas ni haber producido repercusiones graves a su integridad física o emocional, y al apreciarse las consecuencias de la sanción destitución en la vida laboral y social del profesor, conlleva a considerar que la sanción de destitución fue excesiva frente a la infracción investigada. Corresponde en el caso aplicar una sanción menos severa que reconozca la existencia de un daño leve.”. </w:t>
      </w:r>
      <w:r>
        <w:rPr>
          <w:sz w:val="24"/>
          <w:szCs w:val="24"/>
        </w:rPr>
        <w:t xml:space="preserve">El principal problema que trae este instrumento es considerar que una víctima de violencia sexual se encuentra en la misma posición que el agresor sexual ignorando la relación de poder existente en particular en el ámbito educativo entre profesor- alumna, y el impacto que tiene en estos casos el </w:t>
      </w:r>
      <w:r>
        <w:rPr>
          <w:b/>
          <w:sz w:val="24"/>
          <w:szCs w:val="24"/>
        </w:rPr>
        <w:t>PRINCIPIO DEL INTERÉS SUPERIOR DEL NIÑO Y ADOLESCENTE EN SU CONDICIÓN DE VÍCTIMA DE VIOLENCIA SEXUAL</w:t>
      </w:r>
      <w:r>
        <w:rPr>
          <w:sz w:val="24"/>
          <w:szCs w:val="24"/>
        </w:rPr>
        <w:t>.</w:t>
      </w:r>
    </w:p>
    <w:p w14:paraId="1E04E794" w14:textId="77777777" w:rsidR="00A04E14" w:rsidRDefault="00A04E14">
      <w:pPr>
        <w:pBdr>
          <w:top w:val="nil"/>
          <w:left w:val="nil"/>
          <w:bottom w:val="nil"/>
          <w:right w:val="nil"/>
          <w:between w:val="nil"/>
        </w:pBdr>
        <w:spacing w:before="5"/>
        <w:rPr>
          <w:color w:val="000000"/>
          <w:sz w:val="27"/>
          <w:szCs w:val="27"/>
        </w:rPr>
      </w:pPr>
    </w:p>
    <w:p w14:paraId="3D34D023"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22.- Los efectos ocasionados por la Corte Constitucional a través de la sentencia No. 376-20- JP/21, son gravísimos, pues en los procesos sancionatorios relacionados a violencia sexual, se permite utilizar esta jurisprudencia vinculante para evitar destituciones de agresores y que estos permanezcan en el mismo entorno de su víctima, lo cual representa un riesgo de reincidencia en la violencia ejercida, y el riesgo de que sean las víctimas las que abandonen el sistema educativo, de igual manera este instrumento puede ser en sí mismo un medio para desalentar las denuncias de violencia sexual; en tal sentido este criterio jurisprudencial ignora la declaratoria internacional por la violación de derechos humanos en referencia a la educación y una vida libre de violencia en el ámbito educativo de conformidad a los términos señalados por la Corte Interamericana de Derechos Humanos en el caso Guzmán Albarracín y Otras vs. Ecuador.</w:t>
      </w:r>
    </w:p>
    <w:p w14:paraId="2E21B179" w14:textId="77777777" w:rsidR="00A04E14" w:rsidRDefault="00A04E14">
      <w:pPr>
        <w:pBdr>
          <w:top w:val="nil"/>
          <w:left w:val="nil"/>
          <w:bottom w:val="nil"/>
          <w:right w:val="nil"/>
          <w:between w:val="nil"/>
        </w:pBdr>
        <w:spacing w:before="9"/>
        <w:rPr>
          <w:color w:val="000000"/>
          <w:sz w:val="27"/>
          <w:szCs w:val="27"/>
        </w:rPr>
      </w:pPr>
    </w:p>
    <w:p w14:paraId="5DA231DE" w14:textId="77777777" w:rsidR="00A04E14" w:rsidRDefault="00000000">
      <w:pPr>
        <w:pStyle w:val="Heading1"/>
        <w:spacing w:before="1"/>
        <w:ind w:firstLine="699"/>
      </w:pPr>
      <w:r>
        <w:t>RECOMENDACIONES</w:t>
      </w:r>
    </w:p>
    <w:p w14:paraId="325FF35B" w14:textId="77777777" w:rsidR="00A04E14" w:rsidRDefault="00A04E14">
      <w:pPr>
        <w:pBdr>
          <w:top w:val="nil"/>
          <w:left w:val="nil"/>
          <w:bottom w:val="nil"/>
          <w:right w:val="nil"/>
          <w:between w:val="nil"/>
        </w:pBdr>
        <w:spacing w:before="1"/>
        <w:rPr>
          <w:b/>
          <w:color w:val="000000"/>
          <w:sz w:val="31"/>
          <w:szCs w:val="31"/>
        </w:rPr>
      </w:pPr>
    </w:p>
    <w:p w14:paraId="2607BE81"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Guayaquil, recomienda al Estado ecuatoriano:</w:t>
      </w:r>
    </w:p>
    <w:p w14:paraId="1224298B" w14:textId="77777777" w:rsidR="00A04E14" w:rsidRDefault="00A04E14">
      <w:pPr>
        <w:pBdr>
          <w:top w:val="nil"/>
          <w:left w:val="nil"/>
          <w:bottom w:val="nil"/>
          <w:right w:val="nil"/>
          <w:between w:val="nil"/>
        </w:pBdr>
        <w:spacing w:before="1"/>
        <w:rPr>
          <w:color w:val="000000"/>
          <w:sz w:val="31"/>
          <w:szCs w:val="31"/>
        </w:rPr>
      </w:pPr>
    </w:p>
    <w:p w14:paraId="105A6256" w14:textId="77777777" w:rsidR="00A04E14" w:rsidRDefault="00000000">
      <w:pPr>
        <w:pBdr>
          <w:top w:val="nil"/>
          <w:left w:val="nil"/>
          <w:bottom w:val="nil"/>
          <w:right w:val="nil"/>
          <w:between w:val="nil"/>
        </w:pBdr>
        <w:spacing w:line="278" w:lineRule="auto"/>
        <w:ind w:left="699" w:right="721"/>
        <w:jc w:val="both"/>
        <w:rPr>
          <w:color w:val="000000"/>
          <w:sz w:val="24"/>
          <w:szCs w:val="24"/>
        </w:rPr>
      </w:pPr>
      <w:r>
        <w:rPr>
          <w:color w:val="000000"/>
          <w:sz w:val="24"/>
          <w:szCs w:val="24"/>
        </w:rPr>
        <w:t>23.- Se alienta al Estado a garantizar la no discriminación de las niñas, niños y adolescentes en torno al impacto de la violencia sexual en el ámbito educativo eliminando precedentes desfavorables que dificultan la persecución efectiva de los agresores sexuales.</w:t>
      </w:r>
    </w:p>
    <w:p w14:paraId="767B307D" w14:textId="77777777" w:rsidR="00A04E14" w:rsidRDefault="00A04E14">
      <w:pPr>
        <w:pBdr>
          <w:top w:val="nil"/>
          <w:left w:val="nil"/>
          <w:bottom w:val="nil"/>
          <w:right w:val="nil"/>
          <w:between w:val="nil"/>
        </w:pBdr>
        <w:spacing w:before="1"/>
        <w:rPr>
          <w:color w:val="000000"/>
          <w:sz w:val="27"/>
          <w:szCs w:val="27"/>
        </w:rPr>
      </w:pPr>
    </w:p>
    <w:p w14:paraId="6F0034E7"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24.- Elaborar procedimientos y criterios que sirvan de guía a todos los profesionales pertinentes para determinar el interés superior del niño en todos los ámbitos.</w:t>
      </w:r>
    </w:p>
    <w:p w14:paraId="75FA67BE" w14:textId="77777777" w:rsidR="00A04E14" w:rsidRDefault="00A04E14">
      <w:pPr>
        <w:pBdr>
          <w:top w:val="nil"/>
          <w:left w:val="nil"/>
          <w:bottom w:val="nil"/>
          <w:right w:val="nil"/>
          <w:between w:val="nil"/>
        </w:pBdr>
        <w:spacing w:before="5"/>
        <w:rPr>
          <w:color w:val="000000"/>
          <w:sz w:val="27"/>
          <w:szCs w:val="27"/>
        </w:rPr>
      </w:pPr>
    </w:p>
    <w:p w14:paraId="226ADE89" w14:textId="77777777" w:rsidR="00A04E14" w:rsidRDefault="00000000">
      <w:pPr>
        <w:pBdr>
          <w:top w:val="nil"/>
          <w:left w:val="nil"/>
          <w:bottom w:val="nil"/>
          <w:right w:val="nil"/>
          <w:between w:val="nil"/>
        </w:pBdr>
        <w:spacing w:line="276" w:lineRule="auto"/>
        <w:ind w:left="699" w:right="721"/>
        <w:jc w:val="both"/>
        <w:rPr>
          <w:color w:val="000000"/>
          <w:sz w:val="24"/>
          <w:szCs w:val="24"/>
        </w:rPr>
        <w:sectPr w:rsidR="00A04E14">
          <w:pgSz w:w="12240" w:h="15840"/>
          <w:pgMar w:top="2380" w:right="980" w:bottom="280" w:left="1000" w:header="19" w:footer="0" w:gutter="0"/>
          <w:cols w:space="720"/>
        </w:sectPr>
      </w:pPr>
      <w:r>
        <w:rPr>
          <w:color w:val="000000"/>
          <w:sz w:val="24"/>
          <w:szCs w:val="24"/>
        </w:rPr>
        <w:t xml:space="preserve">25.- Aplicar control de convencionalidad en las actuaciones de toda </w:t>
      </w:r>
      <w:proofErr w:type="gramStart"/>
      <w:r>
        <w:rPr>
          <w:color w:val="000000"/>
          <w:sz w:val="24"/>
          <w:szCs w:val="24"/>
        </w:rPr>
        <w:t>autoridad pública</w:t>
      </w:r>
      <w:proofErr w:type="gramEnd"/>
      <w:r>
        <w:rPr>
          <w:color w:val="000000"/>
          <w:sz w:val="24"/>
          <w:szCs w:val="24"/>
        </w:rPr>
        <w:t xml:space="preserve"> con la finalidad de que se garantice la aplicación de los estándares que más favorezcan al interés superior del niño y adolescentes.</w:t>
      </w:r>
    </w:p>
    <w:p w14:paraId="78E7E0A5" w14:textId="77777777" w:rsidR="00A04E14" w:rsidRDefault="00A04E14">
      <w:pPr>
        <w:pBdr>
          <w:top w:val="nil"/>
          <w:left w:val="nil"/>
          <w:bottom w:val="nil"/>
          <w:right w:val="nil"/>
          <w:between w:val="nil"/>
        </w:pBdr>
        <w:spacing w:before="10"/>
        <w:rPr>
          <w:color w:val="000000"/>
          <w:sz w:val="19"/>
          <w:szCs w:val="19"/>
        </w:rPr>
      </w:pPr>
    </w:p>
    <w:p w14:paraId="72A20097" w14:textId="77777777" w:rsidR="00A04E14" w:rsidRDefault="00000000">
      <w:pPr>
        <w:pStyle w:val="Heading1"/>
        <w:numPr>
          <w:ilvl w:val="0"/>
          <w:numId w:val="3"/>
        </w:numPr>
        <w:tabs>
          <w:tab w:val="left" w:pos="1779"/>
          <w:tab w:val="left" w:pos="1780"/>
        </w:tabs>
        <w:spacing w:before="90"/>
        <w:ind w:hanging="721"/>
      </w:pPr>
      <w:r>
        <w:t>VIOLENCIA CONTRA LOS NIÑOS, NIÑAS Y ADOLESCENTES</w:t>
      </w:r>
    </w:p>
    <w:p w14:paraId="4BFD9B5D" w14:textId="77777777" w:rsidR="00A04E14" w:rsidRDefault="00A04E14">
      <w:pPr>
        <w:pBdr>
          <w:top w:val="nil"/>
          <w:left w:val="nil"/>
          <w:bottom w:val="nil"/>
          <w:right w:val="nil"/>
          <w:between w:val="nil"/>
        </w:pBdr>
        <w:spacing w:before="1"/>
        <w:rPr>
          <w:b/>
          <w:color w:val="000000"/>
          <w:sz w:val="31"/>
          <w:szCs w:val="31"/>
        </w:rPr>
      </w:pPr>
    </w:p>
    <w:p w14:paraId="5B3E1806" w14:textId="77777777" w:rsidR="00A04E14" w:rsidRDefault="00000000">
      <w:pPr>
        <w:numPr>
          <w:ilvl w:val="0"/>
          <w:numId w:val="2"/>
        </w:numPr>
        <w:pBdr>
          <w:top w:val="nil"/>
          <w:left w:val="nil"/>
          <w:bottom w:val="nil"/>
          <w:right w:val="nil"/>
          <w:between w:val="nil"/>
        </w:pBdr>
        <w:tabs>
          <w:tab w:val="left" w:pos="1420"/>
        </w:tabs>
        <w:rPr>
          <w:b/>
          <w:color w:val="000000"/>
          <w:sz w:val="24"/>
          <w:szCs w:val="24"/>
        </w:rPr>
      </w:pPr>
      <w:r>
        <w:rPr>
          <w:b/>
          <w:color w:val="000000"/>
          <w:sz w:val="24"/>
          <w:szCs w:val="24"/>
        </w:rPr>
        <w:t>Violencia de Género</w:t>
      </w:r>
    </w:p>
    <w:p w14:paraId="782C84D4" w14:textId="77777777" w:rsidR="00A04E14" w:rsidRDefault="00A04E14">
      <w:pPr>
        <w:pBdr>
          <w:top w:val="nil"/>
          <w:left w:val="nil"/>
          <w:bottom w:val="nil"/>
          <w:right w:val="nil"/>
          <w:between w:val="nil"/>
        </w:pBdr>
        <w:spacing w:before="5"/>
        <w:rPr>
          <w:b/>
          <w:color w:val="000000"/>
          <w:sz w:val="31"/>
          <w:szCs w:val="31"/>
        </w:rPr>
      </w:pPr>
    </w:p>
    <w:p w14:paraId="5EF0B35F"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26.- En 2023, en Ecuador se registró un femicidio cada 27 horas</w:t>
      </w:r>
      <w:r>
        <w:rPr>
          <w:color w:val="000000"/>
          <w:sz w:val="24"/>
          <w:szCs w:val="24"/>
          <w:vertAlign w:val="superscript"/>
        </w:rPr>
        <w:t>19</w:t>
      </w:r>
      <w:r>
        <w:rPr>
          <w:color w:val="000000"/>
          <w:sz w:val="24"/>
          <w:szCs w:val="24"/>
        </w:rPr>
        <w:t>. Es decir, un total de 327 mujeres fueron víctimas letales de la violencia de género en nuestro país. De ellas, 28 casos son femicidios íntimos, familiares y/o en contextos sexuales, 17 transfemicidios y 172 femicidios en sistemas criminales; y, 4 casos son de mujeres desaparecidas en años anteriores, cuyos cuerpos fueron hallados en el 2023.</w:t>
      </w:r>
    </w:p>
    <w:p w14:paraId="531E352D" w14:textId="77777777" w:rsidR="00A04E14" w:rsidRDefault="00A04E14">
      <w:pPr>
        <w:pBdr>
          <w:top w:val="nil"/>
          <w:left w:val="nil"/>
          <w:bottom w:val="nil"/>
          <w:right w:val="nil"/>
          <w:between w:val="nil"/>
        </w:pBdr>
        <w:spacing w:before="3"/>
        <w:rPr>
          <w:color w:val="000000"/>
          <w:sz w:val="27"/>
          <w:szCs w:val="27"/>
        </w:rPr>
      </w:pPr>
    </w:p>
    <w:p w14:paraId="48EAEE3E"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27.- Información develada por parte de la Alianza Feminista para el Mapeo de femi(ni)cidios en el Ecuador, 37 víctimas tenían antecedentes de violencia y 8 tenían boleta de auxilio, lo que quiere decir que por lo menos 45 vidas pudieron y debieron ser salvadas. Por lo menos, 6 sufrieron abusos sexuales antes de ser asesinadas. En 4 de cada 10 casos, los feminicidas tenían un vínculo sentimental con las víctimas, lo que quiere decir que el ámbito de las relaciones íntimas o familiares es peligroso para las mujeres</w:t>
      </w:r>
      <w:r>
        <w:rPr>
          <w:color w:val="000000"/>
          <w:sz w:val="24"/>
          <w:szCs w:val="24"/>
          <w:vertAlign w:val="superscript"/>
        </w:rPr>
        <w:t>20</w:t>
      </w:r>
      <w:r>
        <w:rPr>
          <w:color w:val="000000"/>
          <w:sz w:val="24"/>
          <w:szCs w:val="24"/>
        </w:rPr>
        <w:t>.</w:t>
      </w:r>
    </w:p>
    <w:p w14:paraId="77C293C4" w14:textId="77777777" w:rsidR="00A04E14" w:rsidRDefault="00A04E14">
      <w:pPr>
        <w:pBdr>
          <w:top w:val="nil"/>
          <w:left w:val="nil"/>
          <w:bottom w:val="nil"/>
          <w:right w:val="nil"/>
          <w:between w:val="nil"/>
        </w:pBdr>
        <w:spacing w:before="8"/>
        <w:rPr>
          <w:color w:val="000000"/>
          <w:sz w:val="27"/>
          <w:szCs w:val="27"/>
        </w:rPr>
      </w:pPr>
    </w:p>
    <w:p w14:paraId="7EABBED6"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28.- La edad más frecuente de las mujeres asesinadas fue de 22 años. Pero las cifras revelan que los femicidios afectan la vida de mujeres de diversas edades, desde los 0 años (bebés) hasta los 90 años, demostrando que la escalada mortal de la violencia atraviesa todo el ciclo vital de las mujeres. Un dato estremecedor es que por lo menos 31 víctimas eran niñas y/o adolescentes; 16 de ellas tenían menos de 7 años.</w:t>
      </w:r>
    </w:p>
    <w:p w14:paraId="1DC502AB" w14:textId="77777777" w:rsidR="00A04E14" w:rsidRDefault="00A04E14">
      <w:pPr>
        <w:pBdr>
          <w:top w:val="nil"/>
          <w:left w:val="nil"/>
          <w:bottom w:val="nil"/>
          <w:right w:val="nil"/>
          <w:between w:val="nil"/>
        </w:pBdr>
        <w:spacing w:before="8"/>
        <w:rPr>
          <w:color w:val="000000"/>
          <w:sz w:val="27"/>
          <w:szCs w:val="27"/>
        </w:rPr>
      </w:pPr>
    </w:p>
    <w:p w14:paraId="2A04156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29.- El 2021, el Presidente de la República de ese entonces, Guillermo Lasso, firmó el “Acuerdo por la Implementación del Registro Único de Violencia”</w:t>
      </w:r>
      <w:r>
        <w:rPr>
          <w:color w:val="000000"/>
          <w:sz w:val="24"/>
          <w:szCs w:val="24"/>
          <w:vertAlign w:val="superscript"/>
        </w:rPr>
        <w:t>21</w:t>
      </w:r>
      <w:r>
        <w:rPr>
          <w:color w:val="000000"/>
          <w:sz w:val="24"/>
          <w:szCs w:val="24"/>
        </w:rPr>
        <w:t xml:space="preserve">, el cual que aún no se ha podido implementar, pese a que el Estado está obligado a contar con dicho Registro desde el año 2018, en que se aprobó y publicó la Ley para Prevenir y Erradicar la Violencia Contra las Mujeres, es decir que tenemos en dicha materia más de seis años consecutivos de incumplimiento, que muestra la absoluta invisibilización de las niñas, niños y adolescentes como víctimas de los crímenes de violencia basada en género, que ha significado que el país no cuente con un marco común para el </w:t>
      </w:r>
      <w:r>
        <w:rPr>
          <w:b/>
          <w:color w:val="000000"/>
          <w:sz w:val="24"/>
          <w:szCs w:val="24"/>
        </w:rPr>
        <w:t>intercambio de información</w:t>
      </w:r>
      <w:r>
        <w:rPr>
          <w:color w:val="000000"/>
          <w:sz w:val="24"/>
          <w:szCs w:val="24"/>
        </w:rPr>
        <w:t>, entre las diferentes</w:t>
      </w:r>
    </w:p>
    <w:p w14:paraId="79B56ACD" w14:textId="77777777" w:rsidR="00A04E14" w:rsidRDefault="00A04E14">
      <w:pPr>
        <w:pBdr>
          <w:top w:val="nil"/>
          <w:left w:val="nil"/>
          <w:bottom w:val="nil"/>
          <w:right w:val="nil"/>
          <w:between w:val="nil"/>
        </w:pBdr>
        <w:rPr>
          <w:color w:val="000000"/>
          <w:sz w:val="20"/>
          <w:szCs w:val="20"/>
        </w:rPr>
      </w:pPr>
    </w:p>
    <w:p w14:paraId="3FCF33A2" w14:textId="77777777" w:rsidR="00A04E14" w:rsidRDefault="00A04E14">
      <w:pPr>
        <w:pBdr>
          <w:top w:val="nil"/>
          <w:left w:val="nil"/>
          <w:bottom w:val="nil"/>
          <w:right w:val="nil"/>
          <w:between w:val="nil"/>
        </w:pBdr>
        <w:rPr>
          <w:color w:val="000000"/>
          <w:sz w:val="20"/>
          <w:szCs w:val="20"/>
        </w:rPr>
      </w:pPr>
    </w:p>
    <w:p w14:paraId="0AFC9CC1" w14:textId="77777777" w:rsidR="00A04E14" w:rsidRDefault="00000000">
      <w:pPr>
        <w:pBdr>
          <w:top w:val="nil"/>
          <w:left w:val="nil"/>
          <w:bottom w:val="nil"/>
          <w:right w:val="nil"/>
          <w:between w:val="nil"/>
        </w:pBdr>
        <w:spacing w:before="6"/>
        <w:rPr>
          <w:color w:val="000000"/>
          <w:sz w:val="14"/>
          <w:szCs w:val="14"/>
        </w:rPr>
      </w:pPr>
      <w:r>
        <w:rPr>
          <w:noProof/>
        </w:rPr>
        <mc:AlternateContent>
          <mc:Choice Requires="wps">
            <w:drawing>
              <wp:anchor distT="0" distB="0" distL="114300" distR="114300" simplePos="0" relativeHeight="251665408" behindDoc="0" locked="0" layoutInCell="1" hidden="0" allowOverlap="1" wp14:anchorId="2E8C6661" wp14:editId="5B4073A0">
                <wp:simplePos x="0" y="0"/>
                <wp:positionH relativeFrom="column">
                  <wp:posOffset>546100</wp:posOffset>
                </wp:positionH>
                <wp:positionV relativeFrom="paragraph">
                  <wp:posOffset>114300</wp:posOffset>
                </wp:positionV>
                <wp:extent cx="6096" cy="12700"/>
                <wp:effectExtent l="0" t="0" r="0" b="0"/>
                <wp:wrapTopAndBottom distT="0" distB="0"/>
                <wp:docPr id="26" name="Rectangle 26"/>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33D5523"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114300</wp:posOffset>
                </wp:positionV>
                <wp:extent cx="6096" cy="12700"/>
                <wp:effectExtent b="0" l="0" r="0" t="0"/>
                <wp:wrapTopAndBottom distB="0" distT="0"/>
                <wp:docPr id="26" name="image21.png"/>
                <a:graphic>
                  <a:graphicData uri="http://schemas.openxmlformats.org/drawingml/2006/picture">
                    <pic:pic>
                      <pic:nvPicPr>
                        <pic:cNvPr id="0" name="image21.png"/>
                        <pic:cNvPicPr preferRelativeResize="0"/>
                      </pic:nvPicPr>
                      <pic:blipFill>
                        <a:blip r:embed="rId40"/>
                        <a:srcRect/>
                        <a:stretch>
                          <a:fillRect/>
                        </a:stretch>
                      </pic:blipFill>
                      <pic:spPr>
                        <a:xfrm>
                          <a:off x="0" y="0"/>
                          <a:ext cx="6096" cy="12700"/>
                        </a:xfrm>
                        <a:prstGeom prst="rect"/>
                        <a:ln/>
                      </pic:spPr>
                    </pic:pic>
                  </a:graphicData>
                </a:graphic>
              </wp:anchor>
            </w:drawing>
          </mc:Fallback>
        </mc:AlternateContent>
      </w:r>
    </w:p>
    <w:p w14:paraId="181655DB" w14:textId="77777777" w:rsidR="00A04E14" w:rsidRPr="00822D9E" w:rsidRDefault="00000000">
      <w:pPr>
        <w:spacing w:before="76"/>
        <w:ind w:left="699" w:right="1163"/>
        <w:rPr>
          <w:sz w:val="16"/>
          <w:szCs w:val="16"/>
          <w:lang w:val="en-GB"/>
        </w:rPr>
      </w:pPr>
      <w:r>
        <w:rPr>
          <w:sz w:val="16"/>
          <w:szCs w:val="16"/>
          <w:vertAlign w:val="superscript"/>
        </w:rPr>
        <w:t>19</w:t>
      </w:r>
      <w:r>
        <w:rPr>
          <w:sz w:val="16"/>
          <w:szCs w:val="16"/>
        </w:rPr>
        <w:t xml:space="preserve"> </w:t>
      </w:r>
      <w:proofErr w:type="gramStart"/>
      <w:r>
        <w:rPr>
          <w:sz w:val="16"/>
          <w:szCs w:val="16"/>
        </w:rPr>
        <w:t>Fundación</w:t>
      </w:r>
      <w:proofErr w:type="gramEnd"/>
      <w:r>
        <w:rPr>
          <w:sz w:val="16"/>
          <w:szCs w:val="16"/>
        </w:rPr>
        <w:t xml:space="preserve"> Aldea - Mapa de femi(ni)cidios 2023 - Violencia femi(ni)cida: una pandemia que mata en Ecuador a mujeres y niñas. </w:t>
      </w:r>
      <w:r w:rsidRPr="00822D9E">
        <w:rPr>
          <w:sz w:val="16"/>
          <w:szCs w:val="16"/>
          <w:lang w:val="en-GB"/>
        </w:rPr>
        <w:t xml:space="preserve">Ref: </w:t>
      </w:r>
      <w:r w:rsidRPr="00822D9E">
        <w:rPr>
          <w:color w:val="0563C1"/>
          <w:sz w:val="16"/>
          <w:szCs w:val="16"/>
          <w:u w:val="single"/>
          <w:lang w:val="en-GB"/>
        </w:rPr>
        <w:t>https://</w:t>
      </w:r>
      <w:r>
        <w:fldChar w:fldCharType="begin"/>
      </w:r>
      <w:r w:rsidRPr="00822D9E">
        <w:rPr>
          <w:lang w:val="en-GB"/>
        </w:rPr>
        <w:instrText>HYPERLINK "http://www.fundacionaldea.org/noticias-aldea/mapa2023" \h</w:instrText>
      </w:r>
      <w:r>
        <w:fldChar w:fldCharType="separate"/>
      </w:r>
      <w:r w:rsidRPr="00822D9E">
        <w:rPr>
          <w:color w:val="0563C1"/>
          <w:sz w:val="16"/>
          <w:szCs w:val="16"/>
          <w:u w:val="single"/>
          <w:lang w:val="en-GB"/>
        </w:rPr>
        <w:t>www.fundacionaldea.org/noticias-aldea/mapa2023</w:t>
      </w:r>
      <w:r>
        <w:rPr>
          <w:color w:val="0563C1"/>
          <w:sz w:val="16"/>
          <w:szCs w:val="16"/>
          <w:u w:val="single"/>
        </w:rPr>
        <w:fldChar w:fldCharType="end"/>
      </w:r>
    </w:p>
    <w:p w14:paraId="2BE87FD0" w14:textId="77777777" w:rsidR="00A04E14" w:rsidRPr="00822D9E" w:rsidRDefault="00000000">
      <w:pPr>
        <w:spacing w:line="181" w:lineRule="auto"/>
        <w:ind w:left="699"/>
        <w:rPr>
          <w:sz w:val="16"/>
          <w:szCs w:val="16"/>
          <w:lang w:val="en-GB"/>
        </w:rPr>
      </w:pPr>
      <w:r w:rsidRPr="00822D9E">
        <w:rPr>
          <w:sz w:val="16"/>
          <w:szCs w:val="16"/>
          <w:vertAlign w:val="superscript"/>
          <w:lang w:val="en-GB"/>
        </w:rPr>
        <w:t>20</w:t>
      </w:r>
      <w:r w:rsidRPr="00822D9E">
        <w:rPr>
          <w:sz w:val="16"/>
          <w:szCs w:val="16"/>
          <w:lang w:val="en-GB"/>
        </w:rPr>
        <w:t xml:space="preserve"> Ref: </w:t>
      </w:r>
      <w:r w:rsidRPr="00822D9E">
        <w:rPr>
          <w:color w:val="0563C1"/>
          <w:sz w:val="16"/>
          <w:szCs w:val="16"/>
          <w:u w:val="single"/>
          <w:lang w:val="en-GB"/>
        </w:rPr>
        <w:t>https://</w:t>
      </w:r>
      <w:hyperlink r:id="rId41">
        <w:r w:rsidRPr="00822D9E">
          <w:rPr>
            <w:color w:val="0563C1"/>
            <w:sz w:val="16"/>
            <w:szCs w:val="16"/>
            <w:u w:val="single"/>
            <w:lang w:val="en-GB"/>
          </w:rPr>
          <w:t>www.fundacionaldea.org/noticias-aldea/mapa2023</w:t>
        </w:r>
      </w:hyperlink>
    </w:p>
    <w:p w14:paraId="117C0C75" w14:textId="77777777" w:rsidR="00A04E14" w:rsidRDefault="00000000">
      <w:pPr>
        <w:spacing w:before="3" w:line="183" w:lineRule="auto"/>
        <w:ind w:left="699"/>
        <w:rPr>
          <w:sz w:val="16"/>
          <w:szCs w:val="16"/>
        </w:rPr>
      </w:pPr>
      <w:r>
        <w:rPr>
          <w:sz w:val="16"/>
          <w:szCs w:val="16"/>
          <w:vertAlign w:val="superscript"/>
        </w:rPr>
        <w:t>21</w:t>
      </w:r>
      <w:r>
        <w:rPr>
          <w:sz w:val="16"/>
          <w:szCs w:val="16"/>
        </w:rPr>
        <w:t xml:space="preserve"> </w:t>
      </w:r>
      <w:proofErr w:type="gramStart"/>
      <w:r>
        <w:rPr>
          <w:sz w:val="16"/>
          <w:szCs w:val="16"/>
        </w:rPr>
        <w:t>Erradicar</w:t>
      </w:r>
      <w:proofErr w:type="gramEnd"/>
      <w:r>
        <w:rPr>
          <w:sz w:val="16"/>
          <w:szCs w:val="16"/>
        </w:rPr>
        <w:t xml:space="preserve"> la violencia contra las mujeres, prioridad para el gobierno del encuentro</w:t>
      </w:r>
    </w:p>
    <w:p w14:paraId="5EF69954" w14:textId="77777777" w:rsidR="00A04E14" w:rsidRDefault="00000000">
      <w:pPr>
        <w:tabs>
          <w:tab w:val="left" w:pos="2371"/>
        </w:tabs>
        <w:ind w:left="699" w:right="820"/>
        <w:rPr>
          <w:sz w:val="16"/>
          <w:szCs w:val="16"/>
        </w:rPr>
        <w:sectPr w:rsidR="00A04E14">
          <w:pgSz w:w="12240" w:h="15840"/>
          <w:pgMar w:top="2380" w:right="980" w:bottom="280" w:left="1000" w:header="19" w:footer="0" w:gutter="0"/>
          <w:cols w:space="720"/>
        </w:sectPr>
      </w:pPr>
      <w:r>
        <w:rPr>
          <w:sz w:val="16"/>
          <w:szCs w:val="16"/>
        </w:rPr>
        <w:t>Ref:</w:t>
      </w:r>
      <w:r>
        <w:rPr>
          <w:sz w:val="16"/>
          <w:szCs w:val="16"/>
        </w:rPr>
        <w:tab/>
      </w:r>
      <w:r>
        <w:rPr>
          <w:color w:val="0563C1"/>
          <w:sz w:val="16"/>
          <w:szCs w:val="16"/>
          <w:u w:val="single"/>
        </w:rPr>
        <w:t>https://</w:t>
      </w:r>
      <w:hyperlink r:id="rId42">
        <w:r>
          <w:rPr>
            <w:color w:val="0563C1"/>
            <w:sz w:val="16"/>
            <w:szCs w:val="16"/>
            <w:u w:val="single"/>
          </w:rPr>
          <w:t>www.derechoshumanos.gob.ec/erradicar-la-violencia-contra-las-mujeres-prioridad-para-el-gobierno-del-</w:t>
        </w:r>
      </w:hyperlink>
      <w:r>
        <w:rPr>
          <w:color w:val="0563C1"/>
          <w:sz w:val="16"/>
          <w:szCs w:val="16"/>
        </w:rPr>
        <w:t xml:space="preserve"> </w:t>
      </w:r>
      <w:r>
        <w:rPr>
          <w:color w:val="0563C1"/>
          <w:sz w:val="16"/>
          <w:szCs w:val="16"/>
          <w:u w:val="single"/>
        </w:rPr>
        <w:t>encuentro/</w:t>
      </w:r>
      <w:proofErr w:type="gramStart"/>
      <w:r>
        <w:rPr>
          <w:color w:val="0563C1"/>
          <w:sz w:val="16"/>
          <w:szCs w:val="16"/>
          <w:u w:val="single"/>
        </w:rPr>
        <w:t>#:~</w:t>
      </w:r>
      <w:proofErr w:type="gramEnd"/>
      <w:r>
        <w:rPr>
          <w:color w:val="0563C1"/>
          <w:sz w:val="16"/>
          <w:szCs w:val="16"/>
          <w:u w:val="single"/>
        </w:rPr>
        <w:t>:text=Finalmente%2C%20el%20Presidente%20de%20la,de%20violencia%20hacia%20las%20mujeres</w:t>
      </w:r>
      <w:r>
        <w:rPr>
          <w:sz w:val="16"/>
          <w:szCs w:val="16"/>
        </w:rPr>
        <w:t>.</w:t>
      </w:r>
    </w:p>
    <w:p w14:paraId="35650787" w14:textId="77777777" w:rsidR="00A04E14" w:rsidRDefault="00000000">
      <w:pPr>
        <w:spacing w:before="1" w:line="276" w:lineRule="auto"/>
        <w:ind w:left="699" w:right="720"/>
        <w:jc w:val="both"/>
        <w:rPr>
          <w:sz w:val="24"/>
          <w:szCs w:val="24"/>
        </w:rPr>
      </w:pPr>
      <w:r>
        <w:rPr>
          <w:sz w:val="24"/>
          <w:szCs w:val="24"/>
        </w:rPr>
        <w:t xml:space="preserve">entidades involucradas en la </w:t>
      </w:r>
      <w:r>
        <w:rPr>
          <w:b/>
          <w:sz w:val="24"/>
          <w:szCs w:val="24"/>
        </w:rPr>
        <w:t xml:space="preserve">prevención, atención, protección y reparación </w:t>
      </w:r>
      <w:r>
        <w:rPr>
          <w:sz w:val="24"/>
          <w:szCs w:val="24"/>
        </w:rPr>
        <w:t>de las mujeres víctimas de violencia.</w:t>
      </w:r>
    </w:p>
    <w:p w14:paraId="7FDEA1FA" w14:textId="77777777" w:rsidR="00A04E14" w:rsidRDefault="00A04E14">
      <w:pPr>
        <w:pBdr>
          <w:top w:val="nil"/>
          <w:left w:val="nil"/>
          <w:bottom w:val="nil"/>
          <w:right w:val="nil"/>
          <w:between w:val="nil"/>
        </w:pBdr>
        <w:spacing w:before="5"/>
        <w:rPr>
          <w:color w:val="000000"/>
          <w:sz w:val="27"/>
          <w:szCs w:val="27"/>
        </w:rPr>
      </w:pPr>
    </w:p>
    <w:p w14:paraId="1AF8EF28" w14:textId="77777777" w:rsidR="00A04E14" w:rsidRDefault="00000000">
      <w:pPr>
        <w:pStyle w:val="Heading1"/>
        <w:numPr>
          <w:ilvl w:val="0"/>
          <w:numId w:val="2"/>
        </w:numPr>
        <w:tabs>
          <w:tab w:val="left" w:pos="1420"/>
        </w:tabs>
      </w:pPr>
      <w:r>
        <w:t>ABUSO SEXUAL CONTRA LAS INFANCIAS</w:t>
      </w:r>
    </w:p>
    <w:p w14:paraId="5AFB8468" w14:textId="77777777" w:rsidR="00A04E14" w:rsidRDefault="00A04E14">
      <w:pPr>
        <w:pBdr>
          <w:top w:val="nil"/>
          <w:left w:val="nil"/>
          <w:bottom w:val="nil"/>
          <w:right w:val="nil"/>
          <w:between w:val="nil"/>
        </w:pBdr>
        <w:spacing w:before="6"/>
        <w:rPr>
          <w:b/>
          <w:color w:val="000000"/>
          <w:sz w:val="31"/>
          <w:szCs w:val="31"/>
        </w:rPr>
      </w:pPr>
    </w:p>
    <w:p w14:paraId="7E13706E"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30.- El Ministerio de Educación desde el mes de julio de 2018, implementó el Sistema Informático de Registro de Violencia (REDEVI), que permite contar con información sobre violencia sexual, además de realizar seguimiento de casos, generar consultas, informes y estadística de manera periódica y permanente, y establecer estados de alerta confiables bajo determinados parámetros para precautelar la seguridad de la información y los derechos humanos de los grupos en situación de vulnerabilidad. Cabe mencionar que la información referente a casos de violencia sexual en el Sistema Nacional de Educación se levanta desde el año 2014.</w:t>
      </w:r>
    </w:p>
    <w:p w14:paraId="4ACD2652" w14:textId="77777777" w:rsidR="00A04E14" w:rsidRDefault="00A04E14">
      <w:pPr>
        <w:pBdr>
          <w:top w:val="nil"/>
          <w:left w:val="nil"/>
          <w:bottom w:val="nil"/>
          <w:right w:val="nil"/>
          <w:between w:val="nil"/>
        </w:pBdr>
        <w:spacing w:before="7"/>
        <w:rPr>
          <w:color w:val="000000"/>
          <w:sz w:val="27"/>
          <w:szCs w:val="27"/>
        </w:rPr>
      </w:pPr>
    </w:p>
    <w:p w14:paraId="3B43E318"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 xml:space="preserve">31.- Por tanto, </w:t>
      </w:r>
      <w:proofErr w:type="gramStart"/>
      <w:r>
        <w:rPr>
          <w:color w:val="000000"/>
          <w:sz w:val="24"/>
          <w:szCs w:val="24"/>
        </w:rPr>
        <w:t>de acuerdo a</w:t>
      </w:r>
      <w:proofErr w:type="gramEnd"/>
      <w:r>
        <w:rPr>
          <w:color w:val="000000"/>
          <w:sz w:val="24"/>
          <w:szCs w:val="24"/>
        </w:rPr>
        <w:t xml:space="preserve"> esta cartera de Estado, desde enero de 2021 hasta diciembre del 2023, se registraron 10.615 casos de violencia sexual en el sistema REDEVI. De estos casos, 1.883 (17,7%) fueron cometidos dentro del Sistema Educativo y 8.732 (82,3%) fuera del mismo</w:t>
      </w:r>
      <w:r>
        <w:rPr>
          <w:color w:val="000000"/>
          <w:sz w:val="24"/>
          <w:szCs w:val="24"/>
          <w:vertAlign w:val="superscript"/>
        </w:rPr>
        <w:t>22</w:t>
      </w:r>
      <w:r>
        <w:rPr>
          <w:color w:val="000000"/>
          <w:sz w:val="24"/>
          <w:szCs w:val="24"/>
        </w:rPr>
        <w:t>.</w:t>
      </w:r>
    </w:p>
    <w:p w14:paraId="366BD840" w14:textId="77777777" w:rsidR="00A04E14" w:rsidRDefault="00A04E14">
      <w:pPr>
        <w:pBdr>
          <w:top w:val="nil"/>
          <w:left w:val="nil"/>
          <w:bottom w:val="nil"/>
          <w:right w:val="nil"/>
          <w:between w:val="nil"/>
        </w:pBdr>
        <w:spacing w:before="4"/>
        <w:rPr>
          <w:color w:val="000000"/>
          <w:sz w:val="27"/>
          <w:szCs w:val="27"/>
        </w:rPr>
      </w:pPr>
    </w:p>
    <w:p w14:paraId="6253E27E"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32.- En lo que refiere al acceso a la justicia, son numerosos los casos en los que se revictimizan a los niños, niñas y adolescentes que atraviesan un proceso judicial al denunciar hechos de abuso o violencia sexual y en los que no se promueven por parte del sistema de justicia una verdadera reparación integral para las víctimas de violencia sexual</w:t>
      </w:r>
      <w:r>
        <w:rPr>
          <w:color w:val="000000"/>
          <w:sz w:val="24"/>
          <w:szCs w:val="24"/>
          <w:vertAlign w:val="superscript"/>
        </w:rPr>
        <w:t>23</w:t>
      </w:r>
      <w:r>
        <w:rPr>
          <w:color w:val="000000"/>
          <w:sz w:val="24"/>
          <w:szCs w:val="24"/>
        </w:rPr>
        <w:t>. A esto se le suma la falta de perspectiva de género y de infancia en los operadores judiciales, así como la ausencia de una escucha activa hacia los niños y adolescentes, que constituyen barreras significativas y de gran impacto en el acceso a la justicia y en el ejercicio del derecho a una tutela judicial efectiva.</w:t>
      </w:r>
    </w:p>
    <w:p w14:paraId="4724F468" w14:textId="77777777" w:rsidR="00A04E14" w:rsidRDefault="00A04E14">
      <w:pPr>
        <w:pBdr>
          <w:top w:val="nil"/>
          <w:left w:val="nil"/>
          <w:bottom w:val="nil"/>
          <w:right w:val="nil"/>
          <w:between w:val="nil"/>
        </w:pBdr>
        <w:spacing w:before="6"/>
        <w:rPr>
          <w:color w:val="000000"/>
          <w:sz w:val="27"/>
          <w:szCs w:val="27"/>
        </w:rPr>
      </w:pPr>
    </w:p>
    <w:p w14:paraId="6FC1248D"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33.- De acuerdo con las Observaciones Finales realizadas al Estado ecuatoriano por este Comité, éste tiene el deber de introducir mecanismos de detección temprana de la violencia sexual y establecer directrices para que los casos de abuso sexual hacia niños, niñas y adolescentes tengan en cuenta la perspectiva de género y de infancias</w:t>
      </w:r>
      <w:r>
        <w:rPr>
          <w:color w:val="000000"/>
          <w:sz w:val="24"/>
          <w:szCs w:val="24"/>
          <w:vertAlign w:val="superscript"/>
        </w:rPr>
        <w:t>24</w:t>
      </w:r>
      <w:r>
        <w:rPr>
          <w:color w:val="000000"/>
          <w:sz w:val="24"/>
          <w:szCs w:val="24"/>
        </w:rPr>
        <w:t>.</w:t>
      </w:r>
    </w:p>
    <w:p w14:paraId="5FA42F34" w14:textId="77777777" w:rsidR="00A04E14" w:rsidRDefault="00000000">
      <w:pPr>
        <w:pBdr>
          <w:top w:val="nil"/>
          <w:left w:val="nil"/>
          <w:bottom w:val="nil"/>
          <w:right w:val="nil"/>
          <w:between w:val="nil"/>
        </w:pBdr>
        <w:spacing w:before="7"/>
        <w:rPr>
          <w:color w:val="000000"/>
        </w:rPr>
      </w:pPr>
      <w:r>
        <w:rPr>
          <w:noProof/>
        </w:rPr>
        <mc:AlternateContent>
          <mc:Choice Requires="wps">
            <w:drawing>
              <wp:anchor distT="0" distB="0" distL="114300" distR="114300" simplePos="0" relativeHeight="251666432" behindDoc="0" locked="0" layoutInCell="1" hidden="0" allowOverlap="1" wp14:anchorId="52A0998A" wp14:editId="762F29DB">
                <wp:simplePos x="0" y="0"/>
                <wp:positionH relativeFrom="column">
                  <wp:posOffset>546100</wp:posOffset>
                </wp:positionH>
                <wp:positionV relativeFrom="paragraph">
                  <wp:posOffset>177800</wp:posOffset>
                </wp:positionV>
                <wp:extent cx="6096" cy="12700"/>
                <wp:effectExtent l="0" t="0" r="0" b="0"/>
                <wp:wrapTopAndBottom distT="0" distB="0"/>
                <wp:docPr id="23" name="Rectangle 23"/>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E448D3A"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177800</wp:posOffset>
                </wp:positionV>
                <wp:extent cx="6096" cy="12700"/>
                <wp:effectExtent b="0" l="0" r="0" t="0"/>
                <wp:wrapTopAndBottom distB="0" distT="0"/>
                <wp:docPr id="23" name="image18.png"/>
                <a:graphic>
                  <a:graphicData uri="http://schemas.openxmlformats.org/drawingml/2006/picture">
                    <pic:pic>
                      <pic:nvPicPr>
                        <pic:cNvPr id="0" name="image18.png"/>
                        <pic:cNvPicPr preferRelativeResize="0"/>
                      </pic:nvPicPr>
                      <pic:blipFill>
                        <a:blip r:embed="rId43"/>
                        <a:srcRect/>
                        <a:stretch>
                          <a:fillRect/>
                        </a:stretch>
                      </pic:blipFill>
                      <pic:spPr>
                        <a:xfrm>
                          <a:off x="0" y="0"/>
                          <a:ext cx="6096" cy="12700"/>
                        </a:xfrm>
                        <a:prstGeom prst="rect"/>
                        <a:ln/>
                      </pic:spPr>
                    </pic:pic>
                  </a:graphicData>
                </a:graphic>
              </wp:anchor>
            </w:drawing>
          </mc:Fallback>
        </mc:AlternateContent>
      </w:r>
    </w:p>
    <w:p w14:paraId="38B3D301" w14:textId="77777777" w:rsidR="00A04E14" w:rsidRDefault="00000000">
      <w:pPr>
        <w:spacing w:before="76" w:line="183" w:lineRule="auto"/>
        <w:ind w:left="699"/>
        <w:rPr>
          <w:sz w:val="16"/>
          <w:szCs w:val="16"/>
        </w:rPr>
      </w:pPr>
      <w:r>
        <w:rPr>
          <w:sz w:val="16"/>
          <w:szCs w:val="16"/>
          <w:vertAlign w:val="superscript"/>
        </w:rPr>
        <w:t>22</w:t>
      </w:r>
      <w:r>
        <w:rPr>
          <w:sz w:val="16"/>
          <w:szCs w:val="16"/>
        </w:rPr>
        <w:t xml:space="preserve"> </w:t>
      </w:r>
      <w:proofErr w:type="gramStart"/>
      <w:r>
        <w:rPr>
          <w:sz w:val="16"/>
          <w:szCs w:val="16"/>
        </w:rPr>
        <w:t>Informe</w:t>
      </w:r>
      <w:proofErr w:type="gramEnd"/>
      <w:r>
        <w:rPr>
          <w:sz w:val="16"/>
          <w:szCs w:val="16"/>
        </w:rPr>
        <w:t xml:space="preserve"> </w:t>
      </w:r>
      <w:r>
        <w:rPr>
          <w:color w:val="0563C1"/>
          <w:sz w:val="16"/>
          <w:szCs w:val="16"/>
          <w:u w:val="single"/>
        </w:rPr>
        <w:t>DNEDBV-2024-082-IT</w:t>
      </w:r>
    </w:p>
    <w:p w14:paraId="65B2A387" w14:textId="77777777" w:rsidR="00A04E14" w:rsidRDefault="00000000">
      <w:pPr>
        <w:spacing w:line="183" w:lineRule="auto"/>
        <w:ind w:left="699"/>
        <w:rPr>
          <w:sz w:val="16"/>
          <w:szCs w:val="16"/>
        </w:rPr>
      </w:pPr>
      <w:r>
        <w:rPr>
          <w:sz w:val="16"/>
          <w:szCs w:val="16"/>
          <w:vertAlign w:val="superscript"/>
        </w:rPr>
        <w:t>23</w:t>
      </w:r>
      <w:r>
        <w:rPr>
          <w:sz w:val="16"/>
          <w:szCs w:val="16"/>
        </w:rPr>
        <w:t xml:space="preserve"> </w:t>
      </w:r>
      <w:proofErr w:type="gramStart"/>
      <w:r>
        <w:rPr>
          <w:sz w:val="16"/>
          <w:szCs w:val="16"/>
        </w:rPr>
        <w:t>En</w:t>
      </w:r>
      <w:proofErr w:type="gramEnd"/>
      <w:r>
        <w:rPr>
          <w:sz w:val="16"/>
          <w:szCs w:val="16"/>
        </w:rPr>
        <w:t xml:space="preserve"> Ecuador, la justicia tarda -o no llega- para las infancias sobrevivientes de violencia sexual</w:t>
      </w:r>
    </w:p>
    <w:p w14:paraId="11386DE7" w14:textId="77777777" w:rsidR="00A04E14" w:rsidRDefault="00000000">
      <w:pPr>
        <w:spacing w:before="3" w:line="183" w:lineRule="auto"/>
        <w:ind w:left="699"/>
        <w:rPr>
          <w:sz w:val="16"/>
          <w:szCs w:val="16"/>
        </w:rPr>
      </w:pPr>
      <w:r>
        <w:rPr>
          <w:sz w:val="16"/>
          <w:szCs w:val="16"/>
        </w:rPr>
        <w:t xml:space="preserve">Ref:   </w:t>
      </w:r>
      <w:r>
        <w:rPr>
          <w:color w:val="0563C1"/>
          <w:sz w:val="16"/>
          <w:szCs w:val="16"/>
          <w:u w:val="single"/>
        </w:rPr>
        <w:t>https://volcanicas.com/en-ecuador-la-justicia-tarda-o-no-llega-para-las-infancias-sobrevivientes-de-violencia-sexual</w:t>
      </w:r>
      <w:r>
        <w:rPr>
          <w:color w:val="0563C1"/>
          <w:sz w:val="16"/>
          <w:szCs w:val="16"/>
        </w:rPr>
        <w:t>/</w:t>
      </w:r>
    </w:p>
    <w:p w14:paraId="3CDCF40F" w14:textId="77777777" w:rsidR="00A04E14" w:rsidRDefault="00000000">
      <w:pPr>
        <w:spacing w:line="182" w:lineRule="auto"/>
        <w:ind w:left="699"/>
        <w:rPr>
          <w:sz w:val="16"/>
          <w:szCs w:val="16"/>
        </w:rPr>
      </w:pPr>
      <w:r>
        <w:rPr>
          <w:sz w:val="16"/>
          <w:szCs w:val="16"/>
          <w:vertAlign w:val="superscript"/>
        </w:rPr>
        <w:t>24</w:t>
      </w:r>
      <w:r>
        <w:rPr>
          <w:sz w:val="16"/>
          <w:szCs w:val="16"/>
        </w:rPr>
        <w:t xml:space="preserve"> </w:t>
      </w:r>
      <w:proofErr w:type="gramStart"/>
      <w:r>
        <w:rPr>
          <w:sz w:val="16"/>
          <w:szCs w:val="16"/>
        </w:rPr>
        <w:t>Comité</w:t>
      </w:r>
      <w:proofErr w:type="gramEnd"/>
      <w:r>
        <w:rPr>
          <w:sz w:val="16"/>
          <w:szCs w:val="16"/>
        </w:rPr>
        <w:t xml:space="preserve"> de los Derechos del Niño</w:t>
      </w:r>
    </w:p>
    <w:p w14:paraId="038BC5AF" w14:textId="77777777" w:rsidR="00A04E14" w:rsidRDefault="00000000">
      <w:pPr>
        <w:spacing w:line="244" w:lineRule="auto"/>
        <w:ind w:left="699" w:right="3653"/>
        <w:rPr>
          <w:sz w:val="16"/>
          <w:szCs w:val="16"/>
        </w:rPr>
      </w:pPr>
      <w:r>
        <w:rPr>
          <w:sz w:val="16"/>
          <w:szCs w:val="16"/>
        </w:rPr>
        <w:t>Observaciones finales sobre los informes periódicos quinto y sexto combinados del Ecuador CRC/C/ECU/CO/5-6</w:t>
      </w:r>
    </w:p>
    <w:p w14:paraId="242B8312" w14:textId="77777777" w:rsidR="00A04E14" w:rsidRDefault="00000000">
      <w:pPr>
        <w:spacing w:line="237" w:lineRule="auto"/>
        <w:ind w:left="699" w:right="7619"/>
        <w:rPr>
          <w:sz w:val="16"/>
          <w:szCs w:val="16"/>
        </w:rPr>
        <w:sectPr w:rsidR="00A04E14">
          <w:pgSz w:w="12240" w:h="15840"/>
          <w:pgMar w:top="2380" w:right="980" w:bottom="280" w:left="1000" w:header="19" w:footer="0" w:gutter="0"/>
          <w:cols w:space="720"/>
        </w:sectPr>
      </w:pPr>
      <w:r>
        <w:rPr>
          <w:sz w:val="16"/>
          <w:szCs w:val="16"/>
        </w:rPr>
        <w:t>26 de octubre de 2017 Violencia por razón de género</w:t>
      </w:r>
    </w:p>
    <w:p w14:paraId="345021BB" w14:textId="77777777" w:rsidR="00A04E14" w:rsidRDefault="00A04E14">
      <w:pPr>
        <w:pBdr>
          <w:top w:val="nil"/>
          <w:left w:val="nil"/>
          <w:bottom w:val="nil"/>
          <w:right w:val="nil"/>
          <w:between w:val="nil"/>
        </w:pBdr>
        <w:spacing w:before="1"/>
        <w:rPr>
          <w:color w:val="000000"/>
          <w:sz w:val="19"/>
          <w:szCs w:val="19"/>
        </w:rPr>
      </w:pPr>
    </w:p>
    <w:p w14:paraId="012AD4C2" w14:textId="77777777" w:rsidR="00A04E14" w:rsidRDefault="00000000">
      <w:pPr>
        <w:pBdr>
          <w:top w:val="nil"/>
          <w:left w:val="nil"/>
          <w:bottom w:val="nil"/>
          <w:right w:val="nil"/>
          <w:between w:val="nil"/>
        </w:pBdr>
        <w:spacing w:before="99" w:line="276" w:lineRule="auto"/>
        <w:ind w:left="699" w:right="720"/>
        <w:jc w:val="both"/>
        <w:rPr>
          <w:color w:val="000000"/>
          <w:sz w:val="24"/>
          <w:szCs w:val="24"/>
        </w:rPr>
      </w:pPr>
      <w:r>
        <w:rPr>
          <w:color w:val="000000"/>
          <w:sz w:val="24"/>
          <w:szCs w:val="24"/>
        </w:rPr>
        <w:t>34.- Por su parte, el Estado ecuatoriano ha señalado en su informe CRC/C/ECU/7</w:t>
      </w:r>
      <w:r>
        <w:rPr>
          <w:color w:val="000000"/>
          <w:sz w:val="24"/>
          <w:szCs w:val="24"/>
          <w:vertAlign w:val="superscript"/>
        </w:rPr>
        <w:t>25</w:t>
      </w:r>
      <w:r>
        <w:rPr>
          <w:color w:val="000000"/>
          <w:sz w:val="24"/>
          <w:szCs w:val="24"/>
        </w:rPr>
        <w:t>, el trabajo de la Mesa interinstitucional para la creación de la política integral de prevención y erradicación de la violencia sexual en el ámbito educativo en el marco de las medidas de reparación, dictadas en la sentencia de la Corte Interamericana de Derechos Humanos, en el Caso Guzmán Albarracín y otros vs. Ecuador (sentencia de 24 de junio de 2020, Fondo, Reparaciones y Costas), la misma que fue aprobada por dicha mesa en el mes de octubre del 2023, pero   que   sin   embargo,   la   Secretaría   Nacional   de   Planificación   y Desarrollo (SENPLADES), aún no ha aprobado la misma, teniendo en cuenta que este organismo es la entidad encargada de orientar la inversión pública.</w:t>
      </w:r>
    </w:p>
    <w:p w14:paraId="6330D770" w14:textId="77777777" w:rsidR="00A04E14" w:rsidRDefault="00A04E14">
      <w:pPr>
        <w:pBdr>
          <w:top w:val="nil"/>
          <w:left w:val="nil"/>
          <w:bottom w:val="nil"/>
          <w:right w:val="nil"/>
          <w:between w:val="nil"/>
        </w:pBdr>
        <w:spacing w:before="5"/>
        <w:rPr>
          <w:color w:val="000000"/>
          <w:sz w:val="27"/>
          <w:szCs w:val="27"/>
        </w:rPr>
      </w:pPr>
    </w:p>
    <w:p w14:paraId="63C5D008" w14:textId="77777777" w:rsidR="00A04E14" w:rsidRDefault="00000000">
      <w:pPr>
        <w:pStyle w:val="Heading1"/>
        <w:spacing w:before="1"/>
        <w:ind w:firstLine="699"/>
      </w:pPr>
      <w:r>
        <w:t>RECOMENDACIONES</w:t>
      </w:r>
    </w:p>
    <w:p w14:paraId="36CAC13C" w14:textId="77777777" w:rsidR="00A04E14" w:rsidRDefault="00A04E14">
      <w:pPr>
        <w:pBdr>
          <w:top w:val="nil"/>
          <w:left w:val="nil"/>
          <w:bottom w:val="nil"/>
          <w:right w:val="nil"/>
          <w:between w:val="nil"/>
        </w:pBdr>
        <w:spacing w:before="5"/>
        <w:rPr>
          <w:b/>
          <w:color w:val="000000"/>
          <w:sz w:val="31"/>
          <w:szCs w:val="31"/>
        </w:rPr>
      </w:pPr>
    </w:p>
    <w:p w14:paraId="1B63FE14"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Guayaquil, recomienda al Estado ecuatoriano:</w:t>
      </w:r>
    </w:p>
    <w:p w14:paraId="66171297" w14:textId="77777777" w:rsidR="00A04E14" w:rsidRDefault="00A04E14">
      <w:pPr>
        <w:pBdr>
          <w:top w:val="nil"/>
          <w:left w:val="nil"/>
          <w:bottom w:val="nil"/>
          <w:right w:val="nil"/>
          <w:between w:val="nil"/>
        </w:pBdr>
        <w:spacing w:before="1"/>
        <w:rPr>
          <w:color w:val="000000"/>
          <w:sz w:val="31"/>
          <w:szCs w:val="31"/>
        </w:rPr>
      </w:pPr>
    </w:p>
    <w:p w14:paraId="1E311615"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35.- Garantizar la disponibilidad de recursos de rendición de cuentas como el Registro Único de Violencia (RUV), como herramienta para centralizar, sistematizar, y procesar toda la información crítica sobre los incidentes de violencia contra las mujeres, niñez y adolescencias.</w:t>
      </w:r>
    </w:p>
    <w:p w14:paraId="5C28D455" w14:textId="77777777" w:rsidR="00A04E14" w:rsidRDefault="00A04E14">
      <w:pPr>
        <w:pBdr>
          <w:top w:val="nil"/>
          <w:left w:val="nil"/>
          <w:bottom w:val="nil"/>
          <w:right w:val="nil"/>
          <w:between w:val="nil"/>
        </w:pBdr>
        <w:spacing w:before="3"/>
        <w:rPr>
          <w:color w:val="000000"/>
          <w:sz w:val="27"/>
          <w:szCs w:val="27"/>
        </w:rPr>
      </w:pPr>
    </w:p>
    <w:p w14:paraId="25669D44" w14:textId="77777777" w:rsidR="00A04E14" w:rsidRDefault="00000000">
      <w:pPr>
        <w:pBdr>
          <w:top w:val="nil"/>
          <w:left w:val="nil"/>
          <w:bottom w:val="nil"/>
          <w:right w:val="nil"/>
          <w:between w:val="nil"/>
        </w:pBdr>
        <w:spacing w:before="1" w:line="278" w:lineRule="auto"/>
        <w:ind w:left="699" w:right="721"/>
        <w:jc w:val="both"/>
        <w:rPr>
          <w:color w:val="000000"/>
          <w:sz w:val="24"/>
          <w:szCs w:val="24"/>
        </w:rPr>
      </w:pPr>
      <w:r>
        <w:rPr>
          <w:color w:val="000000"/>
          <w:sz w:val="24"/>
          <w:szCs w:val="24"/>
        </w:rPr>
        <w:t>36.- Asegurar el sostenimiento de programas específicos destinados a la prevención, acompañamiento y reparación de los derechos de los niños, niñas y adolescentes ante casos de abuso o violencia sexual.</w:t>
      </w:r>
    </w:p>
    <w:p w14:paraId="6CAC121E" w14:textId="77777777" w:rsidR="00A04E14" w:rsidRDefault="00A04E14">
      <w:pPr>
        <w:pBdr>
          <w:top w:val="nil"/>
          <w:left w:val="nil"/>
          <w:bottom w:val="nil"/>
          <w:right w:val="nil"/>
          <w:between w:val="nil"/>
        </w:pBdr>
        <w:spacing w:before="1"/>
        <w:rPr>
          <w:color w:val="000000"/>
          <w:sz w:val="27"/>
          <w:szCs w:val="27"/>
        </w:rPr>
      </w:pPr>
    </w:p>
    <w:p w14:paraId="203FEFA1"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37.- Garantizar el acceso a la educación sexual integral como mecanismo de prevención y detección temprana de la violencia sexual hacia niños, niñas y adolescentes.</w:t>
      </w:r>
    </w:p>
    <w:p w14:paraId="4FD8A82A" w14:textId="77777777" w:rsidR="00A04E14" w:rsidRDefault="00A04E14">
      <w:pPr>
        <w:pBdr>
          <w:top w:val="nil"/>
          <w:left w:val="nil"/>
          <w:bottom w:val="nil"/>
          <w:right w:val="nil"/>
          <w:between w:val="nil"/>
        </w:pBdr>
        <w:spacing w:before="5"/>
        <w:rPr>
          <w:color w:val="000000"/>
          <w:sz w:val="27"/>
          <w:szCs w:val="27"/>
        </w:rPr>
      </w:pPr>
    </w:p>
    <w:p w14:paraId="45B82155" w14:textId="77777777" w:rsidR="00A04E14" w:rsidRDefault="00000000">
      <w:pPr>
        <w:pStyle w:val="Heading1"/>
        <w:numPr>
          <w:ilvl w:val="0"/>
          <w:numId w:val="3"/>
        </w:numPr>
        <w:tabs>
          <w:tab w:val="left" w:pos="1779"/>
          <w:tab w:val="left" w:pos="1780"/>
        </w:tabs>
        <w:ind w:hanging="721"/>
      </w:pPr>
      <w:r>
        <w:t>EDUCACIÓN</w:t>
      </w:r>
    </w:p>
    <w:p w14:paraId="43E39E0F" w14:textId="77777777" w:rsidR="00A04E14" w:rsidRDefault="00A04E14">
      <w:pPr>
        <w:pBdr>
          <w:top w:val="nil"/>
          <w:left w:val="nil"/>
          <w:bottom w:val="nil"/>
          <w:right w:val="nil"/>
          <w:between w:val="nil"/>
        </w:pBdr>
        <w:spacing w:before="6"/>
        <w:rPr>
          <w:b/>
          <w:color w:val="000000"/>
          <w:sz w:val="31"/>
          <w:szCs w:val="31"/>
        </w:rPr>
      </w:pPr>
    </w:p>
    <w:p w14:paraId="0E3379AC" w14:textId="77777777" w:rsidR="00A04E14" w:rsidRDefault="00000000">
      <w:pPr>
        <w:ind w:left="1059"/>
        <w:rPr>
          <w:b/>
          <w:sz w:val="24"/>
          <w:szCs w:val="24"/>
        </w:rPr>
      </w:pPr>
      <w:r>
        <w:rPr>
          <w:b/>
          <w:sz w:val="24"/>
          <w:szCs w:val="24"/>
        </w:rPr>
        <w:t>A. Educación Integral en la Sexualidad</w:t>
      </w:r>
    </w:p>
    <w:p w14:paraId="67CF7541" w14:textId="77777777" w:rsidR="00A04E14" w:rsidRDefault="00A04E14">
      <w:pPr>
        <w:pBdr>
          <w:top w:val="nil"/>
          <w:left w:val="nil"/>
          <w:bottom w:val="nil"/>
          <w:right w:val="nil"/>
          <w:between w:val="nil"/>
        </w:pBdr>
        <w:spacing w:before="1"/>
        <w:rPr>
          <w:b/>
          <w:color w:val="000000"/>
          <w:sz w:val="31"/>
          <w:szCs w:val="31"/>
        </w:rPr>
      </w:pPr>
    </w:p>
    <w:p w14:paraId="1CD21A2E"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38.- El derecho a la Educación Sexual Integral (EIS) es fundamental para garantizar que todas las niñas, niños, adolescentes y jóvenes, tengan acceso a información, conocimientos y herramientas necesarias para vivir de manera saludable y plena en su sexualidad. La EIS abarca aspectos como la prevención de enfermedades de transmisión sexual, la promoción</w:t>
      </w:r>
    </w:p>
    <w:p w14:paraId="434308D7" w14:textId="77777777" w:rsidR="00A04E14" w:rsidRDefault="00000000">
      <w:pPr>
        <w:pBdr>
          <w:top w:val="nil"/>
          <w:left w:val="nil"/>
          <w:bottom w:val="nil"/>
          <w:right w:val="nil"/>
          <w:between w:val="nil"/>
        </w:pBdr>
        <w:spacing w:before="3"/>
        <w:rPr>
          <w:color w:val="000000"/>
          <w:sz w:val="19"/>
          <w:szCs w:val="19"/>
        </w:rPr>
      </w:pPr>
      <w:r>
        <w:rPr>
          <w:noProof/>
        </w:rPr>
        <mc:AlternateContent>
          <mc:Choice Requires="wps">
            <w:drawing>
              <wp:anchor distT="0" distB="0" distL="114300" distR="114300" simplePos="0" relativeHeight="251667456" behindDoc="0" locked="0" layoutInCell="1" hidden="0" allowOverlap="1" wp14:anchorId="0A65B7E3" wp14:editId="7B4C46B8">
                <wp:simplePos x="0" y="0"/>
                <wp:positionH relativeFrom="column">
                  <wp:posOffset>546100</wp:posOffset>
                </wp:positionH>
                <wp:positionV relativeFrom="paragraph">
                  <wp:posOffset>152400</wp:posOffset>
                </wp:positionV>
                <wp:extent cx="6096" cy="12700"/>
                <wp:effectExtent l="0" t="0" r="0" b="0"/>
                <wp:wrapTopAndBottom distT="0" distB="0"/>
                <wp:docPr id="20" name="Rectangle 20"/>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22688CFF"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152400</wp:posOffset>
                </wp:positionV>
                <wp:extent cx="6096" cy="12700"/>
                <wp:effectExtent b="0" l="0" r="0" t="0"/>
                <wp:wrapTopAndBottom distB="0" distT="0"/>
                <wp:docPr id="20" name="image15.png"/>
                <a:graphic>
                  <a:graphicData uri="http://schemas.openxmlformats.org/drawingml/2006/picture">
                    <pic:pic>
                      <pic:nvPicPr>
                        <pic:cNvPr id="0" name="image15.png"/>
                        <pic:cNvPicPr preferRelativeResize="0"/>
                      </pic:nvPicPr>
                      <pic:blipFill>
                        <a:blip r:embed="rId44"/>
                        <a:srcRect/>
                        <a:stretch>
                          <a:fillRect/>
                        </a:stretch>
                      </pic:blipFill>
                      <pic:spPr>
                        <a:xfrm>
                          <a:off x="0" y="0"/>
                          <a:ext cx="6096" cy="12700"/>
                        </a:xfrm>
                        <a:prstGeom prst="rect"/>
                        <a:ln/>
                      </pic:spPr>
                    </pic:pic>
                  </a:graphicData>
                </a:graphic>
              </wp:anchor>
            </w:drawing>
          </mc:Fallback>
        </mc:AlternateContent>
      </w:r>
    </w:p>
    <w:p w14:paraId="7DB6E76F" w14:textId="77777777" w:rsidR="00A04E14" w:rsidRDefault="00000000">
      <w:pPr>
        <w:spacing w:before="81"/>
        <w:ind w:left="699" w:right="721"/>
        <w:rPr>
          <w:sz w:val="16"/>
          <w:szCs w:val="16"/>
        </w:rPr>
      </w:pPr>
      <w:r>
        <w:rPr>
          <w:sz w:val="16"/>
          <w:szCs w:val="16"/>
        </w:rPr>
        <w:t>Adopte unas normas claras para ofrecer vías de recurso y reparación a las niñas víctimas de violencia sexual y malos tratos, como reparación y asesoramiento psicosocial, resarcimiento, indemnizaciones y garantías de no repetición.</w:t>
      </w:r>
    </w:p>
    <w:p w14:paraId="6CD98A87" w14:textId="77777777" w:rsidR="00A04E14" w:rsidRDefault="00000000">
      <w:pPr>
        <w:spacing w:line="181" w:lineRule="auto"/>
        <w:ind w:left="699"/>
        <w:rPr>
          <w:sz w:val="16"/>
          <w:szCs w:val="16"/>
        </w:rPr>
        <w:sectPr w:rsidR="00A04E14">
          <w:pgSz w:w="12240" w:h="15840"/>
          <w:pgMar w:top="2380" w:right="980" w:bottom="280" w:left="1000" w:header="19" w:footer="0" w:gutter="0"/>
          <w:cols w:space="720"/>
        </w:sectPr>
      </w:pPr>
      <w:r>
        <w:rPr>
          <w:sz w:val="16"/>
          <w:szCs w:val="16"/>
          <w:vertAlign w:val="superscript"/>
        </w:rPr>
        <w:t>25</w:t>
      </w:r>
      <w:r>
        <w:rPr>
          <w:sz w:val="16"/>
          <w:szCs w:val="16"/>
        </w:rPr>
        <w:t xml:space="preserve"> </w:t>
      </w:r>
      <w:proofErr w:type="gramStart"/>
      <w:r>
        <w:rPr>
          <w:sz w:val="16"/>
          <w:szCs w:val="16"/>
        </w:rPr>
        <w:t>Séptimo</w:t>
      </w:r>
      <w:proofErr w:type="gramEnd"/>
      <w:r>
        <w:rPr>
          <w:sz w:val="16"/>
          <w:szCs w:val="16"/>
        </w:rPr>
        <w:t xml:space="preserve"> informe periódico que el Ecuador debía presentar en 2023 en virtud del artículo 44 de la Convención</w:t>
      </w:r>
    </w:p>
    <w:p w14:paraId="70A44AF6" w14:textId="77777777" w:rsidR="00A04E14" w:rsidRDefault="00000000">
      <w:pPr>
        <w:spacing w:before="1" w:line="276" w:lineRule="auto"/>
        <w:ind w:left="699" w:right="720"/>
        <w:jc w:val="both"/>
        <w:rPr>
          <w:b/>
          <w:sz w:val="24"/>
          <w:szCs w:val="24"/>
        </w:rPr>
      </w:pPr>
      <w:r>
        <w:rPr>
          <w:sz w:val="24"/>
          <w:szCs w:val="24"/>
        </w:rPr>
        <w:t xml:space="preserve">de relaciones saludables y consensuadas, el respeto a la diversidad sexual y de género, y sobre ser una </w:t>
      </w:r>
      <w:r>
        <w:rPr>
          <w:b/>
          <w:sz w:val="24"/>
          <w:szCs w:val="24"/>
        </w:rPr>
        <w:t>HERRAMIENTA FUNDAMENTAL PARA DETECTAR</w:t>
      </w:r>
    </w:p>
    <w:p w14:paraId="69DCAB30" w14:textId="77777777" w:rsidR="00A04E14" w:rsidRDefault="00000000">
      <w:pPr>
        <w:pBdr>
          <w:top w:val="nil"/>
          <w:left w:val="nil"/>
          <w:bottom w:val="nil"/>
          <w:right w:val="nil"/>
          <w:between w:val="nil"/>
        </w:pBdr>
        <w:spacing w:line="278" w:lineRule="auto"/>
        <w:ind w:left="699" w:right="721"/>
        <w:jc w:val="both"/>
        <w:rPr>
          <w:color w:val="000000"/>
          <w:sz w:val="24"/>
          <w:szCs w:val="24"/>
        </w:rPr>
      </w:pPr>
      <w:r>
        <w:rPr>
          <w:b/>
          <w:color w:val="000000"/>
          <w:sz w:val="24"/>
          <w:szCs w:val="24"/>
        </w:rPr>
        <w:t>SITUACIONES DE VIOLENCIA SEXUAL</w:t>
      </w:r>
      <w:r>
        <w:rPr>
          <w:b/>
          <w:color w:val="000000"/>
          <w:sz w:val="24"/>
          <w:szCs w:val="24"/>
          <w:vertAlign w:val="superscript"/>
        </w:rPr>
        <w:t>26</w:t>
      </w:r>
      <w:r>
        <w:rPr>
          <w:b/>
          <w:color w:val="000000"/>
          <w:sz w:val="24"/>
          <w:szCs w:val="24"/>
        </w:rPr>
        <w:t xml:space="preserve">, </w:t>
      </w:r>
      <w:r>
        <w:rPr>
          <w:color w:val="000000"/>
          <w:sz w:val="24"/>
          <w:szCs w:val="24"/>
        </w:rPr>
        <w:t xml:space="preserve">tal como se lo hizo saber la Corte Interamericana de Derechos Humanos al Ecuador a través de la sentencia del Caso Guzmán Albarracín y otras vs. Ecuador </w:t>
      </w:r>
      <w:r>
        <w:rPr>
          <w:color w:val="000000"/>
          <w:sz w:val="24"/>
          <w:szCs w:val="24"/>
          <w:vertAlign w:val="superscript"/>
        </w:rPr>
        <w:t>27</w:t>
      </w:r>
      <w:r>
        <w:rPr>
          <w:color w:val="000000"/>
          <w:sz w:val="24"/>
          <w:szCs w:val="24"/>
        </w:rPr>
        <w:t>.</w:t>
      </w:r>
    </w:p>
    <w:p w14:paraId="51A038F6" w14:textId="77777777" w:rsidR="00A04E14" w:rsidRDefault="00A04E14">
      <w:pPr>
        <w:pBdr>
          <w:top w:val="nil"/>
          <w:left w:val="nil"/>
          <w:bottom w:val="nil"/>
          <w:right w:val="nil"/>
          <w:between w:val="nil"/>
        </w:pBdr>
        <w:rPr>
          <w:color w:val="000000"/>
          <w:sz w:val="27"/>
          <w:szCs w:val="27"/>
        </w:rPr>
      </w:pPr>
    </w:p>
    <w:p w14:paraId="0AB61E1F"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39.- Por lo que este derecho se encuentra respaldado no sólo por diversas normativas internacionales, sino por una sentencia internacional de forma directa para Ecuador donde se reconoce la importancia de la educación sexual como parte integral de los derechos humanos. La implementación efectiva de la EIS contribuye a la prevención de embarazos no deseados, la reducción de la violencia de género, y la promoción de una sociedad más inclusiva y respetuosa de la diversidad.</w:t>
      </w:r>
    </w:p>
    <w:p w14:paraId="07AE3C32" w14:textId="77777777" w:rsidR="00A04E14" w:rsidRDefault="00A04E14">
      <w:pPr>
        <w:pBdr>
          <w:top w:val="nil"/>
          <w:left w:val="nil"/>
          <w:bottom w:val="nil"/>
          <w:right w:val="nil"/>
          <w:between w:val="nil"/>
        </w:pBdr>
        <w:spacing w:before="8"/>
        <w:rPr>
          <w:color w:val="000000"/>
          <w:sz w:val="27"/>
          <w:szCs w:val="27"/>
        </w:rPr>
      </w:pPr>
    </w:p>
    <w:p w14:paraId="4247EEBB"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 xml:space="preserve">40.- El marco reportado por el Estado ecuatoriano en su informe </w:t>
      </w:r>
      <w:r>
        <w:rPr>
          <w:color w:val="0563C1"/>
          <w:sz w:val="24"/>
          <w:szCs w:val="24"/>
          <w:u w:val="single"/>
        </w:rPr>
        <w:t>CRC/C/ECU/7</w:t>
      </w:r>
      <w:r>
        <w:rPr>
          <w:color w:val="000000"/>
          <w:sz w:val="24"/>
          <w:szCs w:val="24"/>
        </w:rPr>
        <w:t>, dirigido a este Comité, en donde se subraya que la educación sexual integral es parte del currículo nacional, para combatir el sexismo y la discriminación de género</w:t>
      </w:r>
      <w:r>
        <w:rPr>
          <w:color w:val="000000"/>
          <w:sz w:val="24"/>
          <w:szCs w:val="24"/>
          <w:vertAlign w:val="superscript"/>
        </w:rPr>
        <w:t>28</w:t>
      </w:r>
      <w:r>
        <w:rPr>
          <w:color w:val="000000"/>
          <w:sz w:val="24"/>
          <w:szCs w:val="24"/>
        </w:rPr>
        <w:t>, no ha sido eficaz para la prevención de la violencia de género y sexual en el ámbito educativo, al contrario, puede dar lugar a la violación de derechos humanos y a la denegación de acceso a EIS basada en evidencia y estándares de derechos humanos, esto debido a que las acciones ejecutadas por el Estado no contempla que actualmente la EIS no se implementa adecuadamente, debido que sus contenidos refuerzan estereotipos de género y o no abordar de manera efectiva las dinámicas de poder y control que subyacen a la violencia de género. Por tanto, encontramos una Falta de Formación Docente, así como un Currículo Incompleto y Sesgado que contribuye la Violación de Derechos Humanos al contar una implementación de la EIS sin un enfoque inclusivo y respetuoso puede resultar en la exclusión de ciertos grupos, como personas LGBTQ+, y en la perpetuación de la discriminación y la violencia.</w:t>
      </w:r>
    </w:p>
    <w:p w14:paraId="5C9E47FC" w14:textId="77777777" w:rsidR="00A04E14" w:rsidRDefault="00A04E14">
      <w:pPr>
        <w:pBdr>
          <w:top w:val="nil"/>
          <w:left w:val="nil"/>
          <w:bottom w:val="nil"/>
          <w:right w:val="nil"/>
          <w:between w:val="nil"/>
        </w:pBdr>
        <w:rPr>
          <w:color w:val="000000"/>
          <w:sz w:val="26"/>
          <w:szCs w:val="26"/>
        </w:rPr>
      </w:pPr>
    </w:p>
    <w:p w14:paraId="3F3C7666" w14:textId="77777777" w:rsidR="00A04E14" w:rsidRDefault="00A04E14">
      <w:pPr>
        <w:pBdr>
          <w:top w:val="nil"/>
          <w:left w:val="nil"/>
          <w:bottom w:val="nil"/>
          <w:right w:val="nil"/>
          <w:between w:val="nil"/>
        </w:pBdr>
        <w:spacing w:before="10"/>
        <w:rPr>
          <w:color w:val="000000"/>
          <w:sz w:val="28"/>
          <w:szCs w:val="28"/>
        </w:rPr>
      </w:pPr>
    </w:p>
    <w:p w14:paraId="0D96F775" w14:textId="77777777" w:rsidR="00A04E14" w:rsidRDefault="00000000">
      <w:pPr>
        <w:pStyle w:val="Heading1"/>
        <w:ind w:firstLine="699"/>
      </w:pPr>
      <w:r>
        <w:t>RECOMENDACIONES</w:t>
      </w:r>
    </w:p>
    <w:p w14:paraId="739FF328" w14:textId="77777777" w:rsidR="00A04E14" w:rsidRDefault="00A04E14">
      <w:pPr>
        <w:pBdr>
          <w:top w:val="nil"/>
          <w:left w:val="nil"/>
          <w:bottom w:val="nil"/>
          <w:right w:val="nil"/>
          <w:between w:val="nil"/>
        </w:pBdr>
        <w:spacing w:before="6"/>
        <w:rPr>
          <w:b/>
          <w:color w:val="000000"/>
          <w:sz w:val="31"/>
          <w:szCs w:val="31"/>
        </w:rPr>
      </w:pPr>
    </w:p>
    <w:p w14:paraId="5A403373"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Guayaquil, recomienda al Estado ecuatoriano:</w:t>
      </w:r>
    </w:p>
    <w:p w14:paraId="6C02AE99" w14:textId="77777777" w:rsidR="00A04E14" w:rsidRDefault="00A04E14">
      <w:pPr>
        <w:pBdr>
          <w:top w:val="nil"/>
          <w:left w:val="nil"/>
          <w:bottom w:val="nil"/>
          <w:right w:val="nil"/>
          <w:between w:val="nil"/>
        </w:pBdr>
        <w:rPr>
          <w:color w:val="000000"/>
          <w:sz w:val="20"/>
          <w:szCs w:val="20"/>
        </w:rPr>
      </w:pPr>
    </w:p>
    <w:p w14:paraId="3DF10C08" w14:textId="77777777" w:rsidR="00A04E14" w:rsidRDefault="00A04E14">
      <w:pPr>
        <w:pBdr>
          <w:top w:val="nil"/>
          <w:left w:val="nil"/>
          <w:bottom w:val="nil"/>
          <w:right w:val="nil"/>
          <w:between w:val="nil"/>
        </w:pBdr>
        <w:rPr>
          <w:color w:val="000000"/>
          <w:sz w:val="20"/>
          <w:szCs w:val="20"/>
        </w:rPr>
      </w:pPr>
    </w:p>
    <w:p w14:paraId="636770D6" w14:textId="77777777" w:rsidR="00A04E14" w:rsidRDefault="00A04E14">
      <w:pPr>
        <w:pBdr>
          <w:top w:val="nil"/>
          <w:left w:val="nil"/>
          <w:bottom w:val="nil"/>
          <w:right w:val="nil"/>
          <w:between w:val="nil"/>
        </w:pBdr>
        <w:rPr>
          <w:color w:val="000000"/>
          <w:sz w:val="20"/>
          <w:szCs w:val="20"/>
        </w:rPr>
      </w:pPr>
    </w:p>
    <w:p w14:paraId="1260AB18" w14:textId="77777777" w:rsidR="00A04E14" w:rsidRDefault="00000000">
      <w:pPr>
        <w:pBdr>
          <w:top w:val="nil"/>
          <w:left w:val="nil"/>
          <w:bottom w:val="nil"/>
          <w:right w:val="nil"/>
          <w:between w:val="nil"/>
        </w:pBdr>
        <w:spacing w:before="7"/>
        <w:rPr>
          <w:color w:val="000000"/>
          <w:sz w:val="25"/>
          <w:szCs w:val="25"/>
        </w:rPr>
      </w:pPr>
      <w:r>
        <w:rPr>
          <w:noProof/>
        </w:rPr>
        <mc:AlternateContent>
          <mc:Choice Requires="wps">
            <w:drawing>
              <wp:anchor distT="0" distB="0" distL="114300" distR="114300" simplePos="0" relativeHeight="251668480" behindDoc="0" locked="0" layoutInCell="1" hidden="0" allowOverlap="1" wp14:anchorId="3841F715" wp14:editId="55B0AC61">
                <wp:simplePos x="0" y="0"/>
                <wp:positionH relativeFrom="column">
                  <wp:posOffset>546100</wp:posOffset>
                </wp:positionH>
                <wp:positionV relativeFrom="paragraph">
                  <wp:posOffset>203200</wp:posOffset>
                </wp:positionV>
                <wp:extent cx="6096" cy="12700"/>
                <wp:effectExtent l="0" t="0" r="0" b="0"/>
                <wp:wrapTopAndBottom distT="0" distB="0"/>
                <wp:docPr id="17" name="Rectangle 17"/>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7E85CB8"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203200</wp:posOffset>
                </wp:positionV>
                <wp:extent cx="6096"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45"/>
                        <a:srcRect/>
                        <a:stretch>
                          <a:fillRect/>
                        </a:stretch>
                      </pic:blipFill>
                      <pic:spPr>
                        <a:xfrm>
                          <a:off x="0" y="0"/>
                          <a:ext cx="6096" cy="12700"/>
                        </a:xfrm>
                        <a:prstGeom prst="rect"/>
                        <a:ln/>
                      </pic:spPr>
                    </pic:pic>
                  </a:graphicData>
                </a:graphic>
              </wp:anchor>
            </w:drawing>
          </mc:Fallback>
        </mc:AlternateContent>
      </w:r>
    </w:p>
    <w:p w14:paraId="21907A08" w14:textId="77777777" w:rsidR="00A04E14" w:rsidRDefault="00000000">
      <w:pPr>
        <w:spacing w:before="76"/>
        <w:ind w:left="699" w:right="721"/>
        <w:jc w:val="both"/>
        <w:rPr>
          <w:sz w:val="16"/>
          <w:szCs w:val="16"/>
        </w:rPr>
      </w:pPr>
      <w:r>
        <w:rPr>
          <w:sz w:val="16"/>
          <w:szCs w:val="16"/>
          <w:vertAlign w:val="superscript"/>
        </w:rPr>
        <w:t>26</w:t>
      </w:r>
      <w:r>
        <w:rPr>
          <w:sz w:val="16"/>
          <w:szCs w:val="16"/>
        </w:rPr>
        <w:t xml:space="preserve"> </w:t>
      </w:r>
      <w:proofErr w:type="gramStart"/>
      <w:r>
        <w:rPr>
          <w:sz w:val="16"/>
          <w:szCs w:val="16"/>
        </w:rPr>
        <w:t>Caso</w:t>
      </w:r>
      <w:proofErr w:type="gramEnd"/>
      <w:r>
        <w:rPr>
          <w:sz w:val="16"/>
          <w:szCs w:val="16"/>
        </w:rPr>
        <w:t xml:space="preserve"> Guzmán Albarracín y otras vs. Ecuador. Fondo Reparaciones y Costas. Sentencia de 24 de juio de 2020. Serie CN. 4-5, párrafo 140 </w:t>
      </w:r>
      <w:r>
        <w:rPr>
          <w:sz w:val="16"/>
          <w:szCs w:val="16"/>
          <w:vertAlign w:val="superscript"/>
        </w:rPr>
        <w:t>27</w:t>
      </w:r>
      <w:r>
        <w:rPr>
          <w:sz w:val="16"/>
          <w:szCs w:val="16"/>
        </w:rPr>
        <w:t xml:space="preserve"> El caso trata sobre la responsabilidad internacional del Estado por la violencia sexual sufrida por la adolescente Paola Guzmán Albarracín en el ámbito educativo estatal, cometida por el Vicerrector del colegio al que asistía, que tuvo relación con el suicidio de la niña. La Corte declaró violados, entre otros, los derechos a la vida, integridad personal y los derechos del niño. Puede consultar el resumen oficial de la sentencia en el siguiente enlace: </w:t>
      </w:r>
      <w:r>
        <w:rPr>
          <w:color w:val="0563C1"/>
          <w:sz w:val="16"/>
          <w:szCs w:val="16"/>
          <w:u w:val="single"/>
        </w:rPr>
        <w:t>https://</w:t>
      </w:r>
      <w:hyperlink r:id="rId46">
        <w:r>
          <w:rPr>
            <w:color w:val="0563C1"/>
            <w:sz w:val="16"/>
            <w:szCs w:val="16"/>
            <w:u w:val="single"/>
          </w:rPr>
          <w:t>www.corteidh.or.cr/docs/casos/articulos/resumen_405_esp.pdf</w:t>
        </w:r>
      </w:hyperlink>
    </w:p>
    <w:p w14:paraId="3EA6553B" w14:textId="77777777" w:rsidR="00A04E14" w:rsidRDefault="00000000">
      <w:pPr>
        <w:spacing w:line="181" w:lineRule="auto"/>
        <w:ind w:left="699"/>
        <w:jc w:val="both"/>
        <w:rPr>
          <w:sz w:val="16"/>
          <w:szCs w:val="16"/>
        </w:rPr>
        <w:sectPr w:rsidR="00A04E14">
          <w:pgSz w:w="12240" w:h="15840"/>
          <w:pgMar w:top="2380" w:right="980" w:bottom="280" w:left="1000" w:header="19" w:footer="0" w:gutter="0"/>
          <w:cols w:space="720"/>
        </w:sectPr>
      </w:pPr>
      <w:r>
        <w:rPr>
          <w:sz w:val="16"/>
          <w:szCs w:val="16"/>
          <w:vertAlign w:val="superscript"/>
        </w:rPr>
        <w:t>28</w:t>
      </w:r>
      <w:r>
        <w:rPr>
          <w:sz w:val="16"/>
          <w:szCs w:val="16"/>
        </w:rPr>
        <w:t xml:space="preserve"> </w:t>
      </w:r>
      <w:r>
        <w:rPr>
          <w:color w:val="0563C1"/>
          <w:sz w:val="16"/>
          <w:szCs w:val="16"/>
          <w:u w:val="single"/>
        </w:rPr>
        <w:t>CRC/C/ECU/7</w:t>
      </w:r>
      <w:r>
        <w:rPr>
          <w:sz w:val="16"/>
          <w:szCs w:val="16"/>
        </w:rPr>
        <w:t>, párrafo 141.</w:t>
      </w:r>
    </w:p>
    <w:p w14:paraId="0E20877C"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41.- Adoptar medidas para garantizar que el Estado diseñe e implemente una política pública para la educación integral de la sexualidad (EIS), para que la EIS sea de cumplimiento obligatorio en todas las instituciones educativas del país, ya sea de gestión pública y privada, en todos los niveles de enseñanza, de acuerdo con los estándares de derechos humanos.</w:t>
      </w:r>
    </w:p>
    <w:p w14:paraId="10FA6BBA" w14:textId="77777777" w:rsidR="00A04E14" w:rsidRDefault="00A04E14">
      <w:pPr>
        <w:pBdr>
          <w:top w:val="nil"/>
          <w:left w:val="nil"/>
          <w:bottom w:val="nil"/>
          <w:right w:val="nil"/>
          <w:between w:val="nil"/>
        </w:pBdr>
        <w:spacing w:before="9"/>
        <w:rPr>
          <w:color w:val="000000"/>
          <w:sz w:val="27"/>
          <w:szCs w:val="27"/>
        </w:rPr>
      </w:pPr>
    </w:p>
    <w:p w14:paraId="7203839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42.- Garantizar el monitoreo de las políticas educativas, la producción de información sobre la implementación de la EIS en el país, mecanismos de rendición de cuentas, con participación de la sociedad civil, y canales de reclamo, sencillos, accesibles, con perspectiva de género y derechos humanos</w:t>
      </w:r>
    </w:p>
    <w:p w14:paraId="0BDBA9C6" w14:textId="77777777" w:rsidR="00A04E14" w:rsidRDefault="00A04E14">
      <w:pPr>
        <w:pBdr>
          <w:top w:val="nil"/>
          <w:left w:val="nil"/>
          <w:bottom w:val="nil"/>
          <w:right w:val="nil"/>
          <w:between w:val="nil"/>
        </w:pBdr>
        <w:spacing w:before="4"/>
        <w:rPr>
          <w:color w:val="000000"/>
          <w:sz w:val="27"/>
          <w:szCs w:val="27"/>
        </w:rPr>
      </w:pPr>
    </w:p>
    <w:p w14:paraId="050CBEB7"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43.- Abstenerse de promover y/o adoptar medidas regresivas que atenten contra los derechos de niñas, niños y adolescentes a acceder a una educación sexual integral, con perspectiva de género y diversidad y enfoque de derechos humanos.</w:t>
      </w:r>
    </w:p>
    <w:p w14:paraId="54FD2548" w14:textId="77777777" w:rsidR="00A04E14" w:rsidRDefault="00A04E14">
      <w:pPr>
        <w:pBdr>
          <w:top w:val="nil"/>
          <w:left w:val="nil"/>
          <w:bottom w:val="nil"/>
          <w:right w:val="nil"/>
          <w:between w:val="nil"/>
        </w:pBdr>
        <w:spacing w:before="9"/>
        <w:rPr>
          <w:color w:val="000000"/>
          <w:sz w:val="27"/>
          <w:szCs w:val="27"/>
        </w:rPr>
      </w:pPr>
    </w:p>
    <w:p w14:paraId="0E8C1AD8" w14:textId="77777777" w:rsidR="00A04E14" w:rsidRDefault="00000000">
      <w:pPr>
        <w:pStyle w:val="Heading1"/>
        <w:numPr>
          <w:ilvl w:val="0"/>
          <w:numId w:val="3"/>
        </w:numPr>
        <w:tabs>
          <w:tab w:val="left" w:pos="1779"/>
          <w:tab w:val="left" w:pos="1780"/>
        </w:tabs>
        <w:spacing w:before="1"/>
        <w:ind w:hanging="721"/>
      </w:pPr>
      <w:r>
        <w:t>SALUD SEXUAL Y REPRODUCTIVA</w:t>
      </w:r>
    </w:p>
    <w:p w14:paraId="2FEE8239" w14:textId="77777777" w:rsidR="00A04E14" w:rsidRDefault="00A04E14">
      <w:pPr>
        <w:pBdr>
          <w:top w:val="nil"/>
          <w:left w:val="nil"/>
          <w:bottom w:val="nil"/>
          <w:right w:val="nil"/>
          <w:between w:val="nil"/>
        </w:pBdr>
        <w:rPr>
          <w:b/>
          <w:color w:val="000000"/>
          <w:sz w:val="31"/>
          <w:szCs w:val="31"/>
        </w:rPr>
      </w:pPr>
    </w:p>
    <w:p w14:paraId="6C068F8F" w14:textId="77777777" w:rsidR="00A04E14" w:rsidRDefault="00000000">
      <w:pPr>
        <w:numPr>
          <w:ilvl w:val="0"/>
          <w:numId w:val="1"/>
        </w:numPr>
        <w:pBdr>
          <w:top w:val="nil"/>
          <w:left w:val="nil"/>
          <w:bottom w:val="nil"/>
          <w:right w:val="nil"/>
          <w:between w:val="nil"/>
        </w:pBdr>
        <w:tabs>
          <w:tab w:val="left" w:pos="1420"/>
        </w:tabs>
        <w:spacing w:before="1"/>
        <w:rPr>
          <w:b/>
          <w:color w:val="000000"/>
          <w:sz w:val="24"/>
          <w:szCs w:val="24"/>
        </w:rPr>
      </w:pPr>
      <w:r>
        <w:rPr>
          <w:b/>
          <w:color w:val="000000"/>
          <w:sz w:val="24"/>
          <w:szCs w:val="24"/>
        </w:rPr>
        <w:t>Embarazo Adolescente</w:t>
      </w:r>
    </w:p>
    <w:p w14:paraId="52BE4C65" w14:textId="77777777" w:rsidR="00A04E14" w:rsidRDefault="00A04E14">
      <w:pPr>
        <w:pBdr>
          <w:top w:val="nil"/>
          <w:left w:val="nil"/>
          <w:bottom w:val="nil"/>
          <w:right w:val="nil"/>
          <w:between w:val="nil"/>
        </w:pBdr>
        <w:spacing w:before="4"/>
        <w:rPr>
          <w:b/>
          <w:color w:val="000000"/>
          <w:sz w:val="24"/>
          <w:szCs w:val="24"/>
        </w:rPr>
      </w:pPr>
    </w:p>
    <w:p w14:paraId="6985AAD0"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44.- Ecuador es el segundo país de la región con más casos de adolescentes embarazadas</w:t>
      </w:r>
      <w:r>
        <w:rPr>
          <w:color w:val="000000"/>
          <w:sz w:val="24"/>
          <w:szCs w:val="24"/>
          <w:vertAlign w:val="superscript"/>
        </w:rPr>
        <w:t>29</w:t>
      </w:r>
      <w:r>
        <w:rPr>
          <w:color w:val="000000"/>
          <w:sz w:val="24"/>
          <w:szCs w:val="24"/>
        </w:rPr>
        <w:t>, de acuerdo con el instituto nacional de estadísticas y censos</w:t>
      </w:r>
      <w:r>
        <w:rPr>
          <w:color w:val="000000"/>
          <w:sz w:val="24"/>
          <w:szCs w:val="24"/>
          <w:vertAlign w:val="superscript"/>
        </w:rPr>
        <w:t>30</w:t>
      </w:r>
      <w:r>
        <w:rPr>
          <w:color w:val="000000"/>
          <w:sz w:val="24"/>
          <w:szCs w:val="24"/>
        </w:rPr>
        <w:t xml:space="preserve">, más de 43 mil menores de entre 10 y 19 años se convirtieron en madres durante 2022. Por su parte el Ministerio de Salud Pública reportó que durante el mismo </w:t>
      </w:r>
      <w:proofErr w:type="gramStart"/>
      <w:r>
        <w:rPr>
          <w:color w:val="000000"/>
          <w:sz w:val="24"/>
          <w:szCs w:val="24"/>
        </w:rPr>
        <w:t>lapso de tiempo</w:t>
      </w:r>
      <w:proofErr w:type="gramEnd"/>
      <w:r>
        <w:rPr>
          <w:color w:val="000000"/>
          <w:sz w:val="24"/>
          <w:szCs w:val="24"/>
        </w:rPr>
        <w:t xml:space="preserve"> se registraron 53.847 embarazos,</w:t>
      </w:r>
    </w:p>
    <w:p w14:paraId="47F6CB86" w14:textId="77777777" w:rsidR="00A04E14" w:rsidRDefault="00000000">
      <w:pPr>
        <w:pBdr>
          <w:top w:val="nil"/>
          <w:left w:val="nil"/>
          <w:bottom w:val="nil"/>
          <w:right w:val="nil"/>
          <w:between w:val="nil"/>
        </w:pBdr>
        <w:spacing w:before="2" w:line="276" w:lineRule="auto"/>
        <w:ind w:left="699" w:right="721"/>
        <w:jc w:val="both"/>
        <w:rPr>
          <w:color w:val="000000"/>
          <w:sz w:val="24"/>
          <w:szCs w:val="24"/>
        </w:rPr>
      </w:pPr>
      <w:r>
        <w:rPr>
          <w:color w:val="000000"/>
          <w:sz w:val="24"/>
          <w:szCs w:val="24"/>
        </w:rPr>
        <w:t>3.386 fueron de niñas de 10 a 14 años, mientras que los 50.461 restantes se identificaron en adolescentes de 15 a 19 años</w:t>
      </w:r>
      <w:r>
        <w:rPr>
          <w:color w:val="000000"/>
          <w:sz w:val="24"/>
          <w:szCs w:val="24"/>
          <w:vertAlign w:val="superscript"/>
        </w:rPr>
        <w:t>31</w:t>
      </w:r>
      <w:r>
        <w:rPr>
          <w:color w:val="000000"/>
          <w:sz w:val="24"/>
          <w:szCs w:val="24"/>
        </w:rPr>
        <w:t>.</w:t>
      </w:r>
    </w:p>
    <w:p w14:paraId="61EAA4FA" w14:textId="77777777" w:rsidR="00A04E14" w:rsidRDefault="00A04E14">
      <w:pPr>
        <w:pBdr>
          <w:top w:val="nil"/>
          <w:left w:val="nil"/>
          <w:bottom w:val="nil"/>
          <w:right w:val="nil"/>
          <w:between w:val="nil"/>
        </w:pBdr>
        <w:spacing w:before="8"/>
        <w:rPr>
          <w:color w:val="000000"/>
          <w:sz w:val="23"/>
          <w:szCs w:val="23"/>
        </w:rPr>
      </w:pPr>
    </w:p>
    <w:p w14:paraId="01C7E7BC"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45.- Ante las altas cifras de embarazo en la adolescencia, se puede evidenciar que los programas ejecutados por el Estado ecuatoriano dentro de su informe CRC/C/ECU/7 del 13 de febrero de 2024 a este Comité, no han sido suficiente para prevenir la maternidad temprana, misma que tiene impactos negativos en la salud y supone un obstáculo significativo para el desarrollo personal y la integración social de las adolescentes, afectando sus oportunidades de educación y empleo.</w:t>
      </w:r>
    </w:p>
    <w:p w14:paraId="6D11D3C3" w14:textId="77777777" w:rsidR="00A04E14" w:rsidRDefault="00A04E14">
      <w:pPr>
        <w:pBdr>
          <w:top w:val="nil"/>
          <w:left w:val="nil"/>
          <w:bottom w:val="nil"/>
          <w:right w:val="nil"/>
          <w:between w:val="nil"/>
        </w:pBdr>
        <w:spacing w:before="7"/>
        <w:rPr>
          <w:color w:val="000000"/>
          <w:sz w:val="27"/>
          <w:szCs w:val="27"/>
        </w:rPr>
      </w:pPr>
    </w:p>
    <w:p w14:paraId="5FF5D015"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46.- En seguimiento a las Observaciones Finales del Comité de Derechos del Niño realizadas al Estado ecuatoriano sobre salud de los adolescentes, es imperioso establecer sostenimiento</w:t>
      </w:r>
    </w:p>
    <w:p w14:paraId="743CAA4A" w14:textId="77777777" w:rsidR="00A04E14" w:rsidRDefault="00000000">
      <w:pPr>
        <w:pBdr>
          <w:top w:val="nil"/>
          <w:left w:val="nil"/>
          <w:bottom w:val="nil"/>
          <w:right w:val="nil"/>
          <w:between w:val="nil"/>
        </w:pBdr>
        <w:spacing w:before="6"/>
        <w:rPr>
          <w:color w:val="000000"/>
          <w:sz w:val="25"/>
          <w:szCs w:val="25"/>
        </w:rPr>
      </w:pPr>
      <w:r>
        <w:rPr>
          <w:noProof/>
        </w:rPr>
        <mc:AlternateContent>
          <mc:Choice Requires="wps">
            <w:drawing>
              <wp:anchor distT="0" distB="0" distL="114300" distR="114300" simplePos="0" relativeHeight="251669504" behindDoc="0" locked="0" layoutInCell="1" hidden="0" allowOverlap="1" wp14:anchorId="75D1F793" wp14:editId="1313C9A7">
                <wp:simplePos x="0" y="0"/>
                <wp:positionH relativeFrom="column">
                  <wp:posOffset>546100</wp:posOffset>
                </wp:positionH>
                <wp:positionV relativeFrom="paragraph">
                  <wp:posOffset>203200</wp:posOffset>
                </wp:positionV>
                <wp:extent cx="6096" cy="12700"/>
                <wp:effectExtent l="0" t="0" r="0" b="0"/>
                <wp:wrapTopAndBottom distT="0" distB="0"/>
                <wp:docPr id="19" name="Rectangle 19"/>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BC7DF71"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203200</wp:posOffset>
                </wp:positionV>
                <wp:extent cx="6096" cy="12700"/>
                <wp:effectExtent b="0" l="0" r="0" t="0"/>
                <wp:wrapTopAndBottom distB="0" distT="0"/>
                <wp:docPr id="19" name="image14.png"/>
                <a:graphic>
                  <a:graphicData uri="http://schemas.openxmlformats.org/drawingml/2006/picture">
                    <pic:pic>
                      <pic:nvPicPr>
                        <pic:cNvPr id="0" name="image14.png"/>
                        <pic:cNvPicPr preferRelativeResize="0"/>
                      </pic:nvPicPr>
                      <pic:blipFill>
                        <a:blip r:embed="rId47"/>
                        <a:srcRect/>
                        <a:stretch>
                          <a:fillRect/>
                        </a:stretch>
                      </pic:blipFill>
                      <pic:spPr>
                        <a:xfrm>
                          <a:off x="0" y="0"/>
                          <a:ext cx="6096" cy="12700"/>
                        </a:xfrm>
                        <a:prstGeom prst="rect"/>
                        <a:ln/>
                      </pic:spPr>
                    </pic:pic>
                  </a:graphicData>
                </a:graphic>
              </wp:anchor>
            </w:drawing>
          </mc:Fallback>
        </mc:AlternateContent>
      </w:r>
    </w:p>
    <w:p w14:paraId="565DD1F7" w14:textId="77777777" w:rsidR="00A04E14" w:rsidRPr="00822D9E" w:rsidRDefault="00000000">
      <w:pPr>
        <w:tabs>
          <w:tab w:val="left" w:pos="1114"/>
        </w:tabs>
        <w:spacing w:before="76"/>
        <w:ind w:left="699" w:right="1084"/>
        <w:rPr>
          <w:sz w:val="16"/>
          <w:szCs w:val="16"/>
          <w:lang w:val="en-GB"/>
        </w:rPr>
      </w:pPr>
      <w:r w:rsidRPr="00822D9E">
        <w:rPr>
          <w:sz w:val="16"/>
          <w:szCs w:val="16"/>
          <w:vertAlign w:val="superscript"/>
          <w:lang w:val="en-GB"/>
        </w:rPr>
        <w:t>29</w:t>
      </w:r>
      <w:r w:rsidRPr="00822D9E">
        <w:rPr>
          <w:sz w:val="16"/>
          <w:szCs w:val="16"/>
          <w:lang w:val="en-GB"/>
        </w:rPr>
        <w:tab/>
      </w:r>
      <w:r w:rsidRPr="00822D9E">
        <w:rPr>
          <w:color w:val="0563C1"/>
          <w:sz w:val="16"/>
          <w:szCs w:val="16"/>
          <w:u w:val="single"/>
          <w:lang w:val="en-GB"/>
        </w:rPr>
        <w:t>https://</w:t>
      </w:r>
      <w:hyperlink r:id="rId48">
        <w:r w:rsidRPr="00822D9E">
          <w:rPr>
            <w:color w:val="0563C1"/>
            <w:sz w:val="16"/>
            <w:szCs w:val="16"/>
            <w:u w:val="single"/>
            <w:lang w:val="en-GB"/>
          </w:rPr>
          <w:t>www.ecuavisa.com/noticias/ecuador/ecuador-es-el-segundo-pais-de-la-region-con-mas-casos-de-adolescentes-embarazadas-</w:t>
        </w:r>
      </w:hyperlink>
      <w:r w:rsidRPr="00822D9E">
        <w:rPr>
          <w:color w:val="0563C1"/>
          <w:sz w:val="16"/>
          <w:szCs w:val="16"/>
          <w:lang w:val="en-GB"/>
        </w:rPr>
        <w:t xml:space="preserve"> </w:t>
      </w:r>
      <w:r w:rsidRPr="00822D9E">
        <w:rPr>
          <w:color w:val="0563C1"/>
          <w:sz w:val="16"/>
          <w:szCs w:val="16"/>
          <w:u w:val="single"/>
          <w:lang w:val="en-GB"/>
        </w:rPr>
        <w:t>GD6306932</w:t>
      </w:r>
    </w:p>
    <w:p w14:paraId="684CDEF3" w14:textId="77777777" w:rsidR="00A04E14" w:rsidRDefault="00000000">
      <w:pPr>
        <w:spacing w:before="1"/>
        <w:ind w:left="699" w:right="6641"/>
        <w:rPr>
          <w:sz w:val="16"/>
          <w:szCs w:val="16"/>
        </w:rPr>
      </w:pPr>
      <w:r>
        <w:rPr>
          <w:sz w:val="16"/>
          <w:szCs w:val="16"/>
          <w:vertAlign w:val="superscript"/>
        </w:rPr>
        <w:t>30</w:t>
      </w:r>
      <w:r>
        <w:rPr>
          <w:sz w:val="16"/>
          <w:szCs w:val="16"/>
        </w:rPr>
        <w:t xml:space="preserve"> </w:t>
      </w:r>
      <w:proofErr w:type="gramStart"/>
      <w:r>
        <w:rPr>
          <w:sz w:val="16"/>
          <w:szCs w:val="16"/>
        </w:rPr>
        <w:t>Instituto</w:t>
      </w:r>
      <w:proofErr w:type="gramEnd"/>
      <w:r>
        <w:rPr>
          <w:sz w:val="16"/>
          <w:szCs w:val="16"/>
        </w:rPr>
        <w:t xml:space="preserve"> Nacional de Estadísticas y Censos </w:t>
      </w:r>
      <w:r>
        <w:rPr>
          <w:color w:val="0563C1"/>
          <w:sz w:val="16"/>
          <w:szCs w:val="16"/>
          <w:u w:val="single"/>
        </w:rPr>
        <w:t>https://censoecuador.ecudatanalytics.com</w:t>
      </w:r>
      <w:r>
        <w:rPr>
          <w:color w:val="0563C1"/>
          <w:sz w:val="16"/>
          <w:szCs w:val="16"/>
        </w:rPr>
        <w:t>/</w:t>
      </w:r>
    </w:p>
    <w:p w14:paraId="6811F188" w14:textId="77777777" w:rsidR="00A04E14" w:rsidRDefault="00000000">
      <w:pPr>
        <w:spacing w:line="181" w:lineRule="auto"/>
        <w:ind w:left="699"/>
        <w:rPr>
          <w:sz w:val="16"/>
          <w:szCs w:val="16"/>
        </w:rPr>
        <w:sectPr w:rsidR="00A04E14">
          <w:pgSz w:w="12240" w:h="15840"/>
          <w:pgMar w:top="2380" w:right="980" w:bottom="280" w:left="1000" w:header="19" w:footer="0" w:gutter="0"/>
          <w:cols w:space="720"/>
        </w:sectPr>
      </w:pPr>
      <w:r>
        <w:rPr>
          <w:sz w:val="16"/>
          <w:szCs w:val="16"/>
          <w:vertAlign w:val="superscript"/>
        </w:rPr>
        <w:t>31</w:t>
      </w:r>
      <w:r>
        <w:rPr>
          <w:sz w:val="16"/>
          <w:szCs w:val="16"/>
        </w:rPr>
        <w:t xml:space="preserve">   </w:t>
      </w:r>
      <w:r>
        <w:rPr>
          <w:sz w:val="16"/>
          <w:szCs w:val="16"/>
          <w:u w:val="single"/>
        </w:rPr>
        <w:t>https://</w:t>
      </w:r>
      <w:hyperlink r:id="rId49">
        <w:r>
          <w:rPr>
            <w:sz w:val="16"/>
            <w:szCs w:val="16"/>
            <w:u w:val="single"/>
          </w:rPr>
          <w:t>www.primicias.ec/noticias/sociedad/embarazos-ninas-adolescentes-ecuador-informe</w:t>
        </w:r>
      </w:hyperlink>
      <w:hyperlink r:id="rId50">
        <w:r>
          <w:rPr>
            <w:sz w:val="16"/>
            <w:szCs w:val="16"/>
          </w:rPr>
          <w:t>/</w:t>
        </w:r>
      </w:hyperlink>
    </w:p>
    <w:p w14:paraId="136BE5C5"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 xml:space="preserve">y fortalecimiento de los </w:t>
      </w:r>
      <w:r>
        <w:rPr>
          <w:b/>
          <w:color w:val="000000"/>
          <w:sz w:val="24"/>
          <w:szCs w:val="24"/>
        </w:rPr>
        <w:t xml:space="preserve">servicios de salud sexual y reproductiva. </w:t>
      </w:r>
      <w:r>
        <w:rPr>
          <w:color w:val="000000"/>
          <w:sz w:val="24"/>
          <w:szCs w:val="24"/>
        </w:rPr>
        <w:t xml:space="preserve">Por lo que se hace imperioso establecer acciones necesarias para garantizar el acceso a </w:t>
      </w:r>
      <w:r>
        <w:rPr>
          <w:b/>
          <w:color w:val="000000"/>
          <w:sz w:val="24"/>
          <w:szCs w:val="24"/>
        </w:rPr>
        <w:t>educación sexual integral</w:t>
      </w:r>
      <w:r>
        <w:rPr>
          <w:color w:val="000000"/>
          <w:sz w:val="24"/>
          <w:szCs w:val="24"/>
        </w:rPr>
        <w:t>, así como servicios de salud integrales y accesibles a las personas jóvenes en todo el país, en particular en zonas rurales y pueblos alejados de centros urbanos, incluidas campañas de información en materia de salud sexual y reproductiva, aborto legal y prevención de infecciones de transmisión sexual/VIH, que respeten la intimidad y confidencialidad, así como la toma de decisión informada sobre sus cuerpos, de acuerdo con su capacidad progresiva.</w:t>
      </w:r>
    </w:p>
    <w:p w14:paraId="2D5A779B" w14:textId="77777777" w:rsidR="00A04E14" w:rsidRDefault="00A04E14">
      <w:pPr>
        <w:pBdr>
          <w:top w:val="nil"/>
          <w:left w:val="nil"/>
          <w:bottom w:val="nil"/>
          <w:right w:val="nil"/>
          <w:between w:val="nil"/>
        </w:pBdr>
        <w:spacing w:before="7"/>
        <w:rPr>
          <w:color w:val="000000"/>
          <w:sz w:val="27"/>
          <w:szCs w:val="27"/>
        </w:rPr>
      </w:pPr>
    </w:p>
    <w:p w14:paraId="02AB4244" w14:textId="77777777" w:rsidR="00A04E14" w:rsidRDefault="00000000">
      <w:pPr>
        <w:pStyle w:val="Heading1"/>
        <w:ind w:firstLine="699"/>
      </w:pPr>
      <w:r>
        <w:t>RECOMENDACIONES</w:t>
      </w:r>
    </w:p>
    <w:p w14:paraId="7F19CCB8" w14:textId="77777777" w:rsidR="00A04E14" w:rsidRDefault="00A04E14">
      <w:pPr>
        <w:pBdr>
          <w:top w:val="nil"/>
          <w:left w:val="nil"/>
          <w:bottom w:val="nil"/>
          <w:right w:val="nil"/>
          <w:between w:val="nil"/>
        </w:pBdr>
        <w:spacing w:before="1"/>
        <w:rPr>
          <w:b/>
          <w:color w:val="000000"/>
          <w:sz w:val="31"/>
          <w:szCs w:val="31"/>
        </w:rPr>
      </w:pPr>
    </w:p>
    <w:p w14:paraId="1BCF9A85"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Guayaquil, recomienda al Estado ecuatoriano:</w:t>
      </w:r>
    </w:p>
    <w:p w14:paraId="0667AB79" w14:textId="77777777" w:rsidR="00A04E14" w:rsidRDefault="00A04E14">
      <w:pPr>
        <w:pBdr>
          <w:top w:val="nil"/>
          <w:left w:val="nil"/>
          <w:bottom w:val="nil"/>
          <w:right w:val="nil"/>
          <w:between w:val="nil"/>
        </w:pBdr>
        <w:spacing w:before="6"/>
        <w:rPr>
          <w:color w:val="000000"/>
          <w:sz w:val="31"/>
          <w:szCs w:val="31"/>
        </w:rPr>
      </w:pPr>
    </w:p>
    <w:p w14:paraId="5229FB8D"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47.- Garantizar el sostenimiento y fortalecimiento de los programas y políticas públicas que garanticen los derechos planteados en este informe. A tales fines debe asegurar el presupuesto necesario para la provisión de insumos, recursos técnicos, edilicios y de personal vinculados a su efectiva y adecuada implementación a nivel federal.</w:t>
      </w:r>
    </w:p>
    <w:p w14:paraId="2FA42BB6" w14:textId="77777777" w:rsidR="00A04E14" w:rsidRDefault="00A04E14">
      <w:pPr>
        <w:pBdr>
          <w:top w:val="nil"/>
          <w:left w:val="nil"/>
          <w:bottom w:val="nil"/>
          <w:right w:val="nil"/>
          <w:between w:val="nil"/>
        </w:pBdr>
        <w:spacing w:before="4"/>
        <w:rPr>
          <w:color w:val="000000"/>
          <w:sz w:val="27"/>
          <w:szCs w:val="27"/>
        </w:rPr>
      </w:pPr>
    </w:p>
    <w:p w14:paraId="482DB6A4"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48.- Garantizar el respeto irrestricto de los derechos sexuales y reproductivos de niñas, niños y adolescentes, de la autonomía progresiva y del derecho a la información, a la privacidad y confidencialidad en el acceso a servicios de salud.</w:t>
      </w:r>
    </w:p>
    <w:p w14:paraId="1CC47D09" w14:textId="77777777" w:rsidR="00A04E14" w:rsidRDefault="00A04E14">
      <w:pPr>
        <w:pBdr>
          <w:top w:val="nil"/>
          <w:left w:val="nil"/>
          <w:bottom w:val="nil"/>
          <w:right w:val="nil"/>
          <w:between w:val="nil"/>
        </w:pBdr>
        <w:spacing w:before="9"/>
        <w:rPr>
          <w:color w:val="000000"/>
          <w:sz w:val="27"/>
          <w:szCs w:val="27"/>
        </w:rPr>
      </w:pPr>
    </w:p>
    <w:p w14:paraId="38FD7260"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49.- Garantizar el acceso a la educación sexual integral amplia, inclusiva y apropiada para la edad y basada en información científica actualizada y en los derechos humanos.</w:t>
      </w:r>
    </w:p>
    <w:p w14:paraId="6E1997E0" w14:textId="77777777" w:rsidR="00A04E14" w:rsidRDefault="00A04E14">
      <w:pPr>
        <w:pBdr>
          <w:top w:val="nil"/>
          <w:left w:val="nil"/>
          <w:bottom w:val="nil"/>
          <w:right w:val="nil"/>
          <w:between w:val="nil"/>
        </w:pBdr>
        <w:spacing w:before="5"/>
        <w:rPr>
          <w:color w:val="000000"/>
          <w:sz w:val="27"/>
          <w:szCs w:val="27"/>
        </w:rPr>
      </w:pPr>
    </w:p>
    <w:p w14:paraId="66E465C2"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50.- Garantizar la participación y consulta de las niñeces, adolescentes y jóvenes en los procesos de creación e implementación o aplicación de las políticas públicas, programas y otras acciones encaminadas a garantizar educación sexual integral a nivel estatal</w:t>
      </w:r>
      <w:r>
        <w:rPr>
          <w:noProof/>
        </w:rPr>
        <mc:AlternateContent>
          <mc:Choice Requires="wps">
            <w:drawing>
              <wp:anchor distT="0" distB="0" distL="114300" distR="114300" simplePos="0" relativeHeight="251670528" behindDoc="0" locked="0" layoutInCell="1" hidden="0" allowOverlap="1" wp14:anchorId="792BB9E5" wp14:editId="1D87892B">
                <wp:simplePos x="0" y="0"/>
                <wp:positionH relativeFrom="column">
                  <wp:posOffset>101601</wp:posOffset>
                </wp:positionH>
                <wp:positionV relativeFrom="paragraph">
                  <wp:posOffset>393700</wp:posOffset>
                </wp:positionV>
                <wp:extent cx="9144" cy="201168"/>
                <wp:effectExtent l="0" t="0" r="0" b="0"/>
                <wp:wrapNone/>
                <wp:docPr id="15" name="Rectangle 15"/>
                <wp:cNvGraphicFramePr/>
                <a:graphic xmlns:a="http://schemas.openxmlformats.org/drawingml/2006/main">
                  <a:graphicData uri="http://schemas.microsoft.com/office/word/2010/wordprocessingShape">
                    <wps:wsp>
                      <wps:cNvSpPr/>
                      <wps:spPr>
                        <a:xfrm>
                          <a:off x="5976427" y="3679416"/>
                          <a:ext cx="9144" cy="201168"/>
                        </a:xfrm>
                        <a:prstGeom prst="rect">
                          <a:avLst/>
                        </a:prstGeom>
                        <a:solidFill>
                          <a:srgbClr val="000000"/>
                        </a:solidFill>
                        <a:ln>
                          <a:noFill/>
                        </a:ln>
                      </wps:spPr>
                      <wps:txbx>
                        <w:txbxContent>
                          <w:p w14:paraId="0DD7E2D2"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101601</wp:posOffset>
                </wp:positionH>
                <wp:positionV relativeFrom="paragraph">
                  <wp:posOffset>393700</wp:posOffset>
                </wp:positionV>
                <wp:extent cx="9144" cy="201168"/>
                <wp:effectExtent b="0" l="0" r="0" t="0"/>
                <wp:wrapNone/>
                <wp:docPr id="15" name="image10.png"/>
                <a:graphic>
                  <a:graphicData uri="http://schemas.openxmlformats.org/drawingml/2006/picture">
                    <pic:pic>
                      <pic:nvPicPr>
                        <pic:cNvPr id="0" name="image10.png"/>
                        <pic:cNvPicPr preferRelativeResize="0"/>
                      </pic:nvPicPr>
                      <pic:blipFill>
                        <a:blip r:embed="rId51"/>
                        <a:srcRect/>
                        <a:stretch>
                          <a:fillRect/>
                        </a:stretch>
                      </pic:blipFill>
                      <pic:spPr>
                        <a:xfrm>
                          <a:off x="0" y="0"/>
                          <a:ext cx="9144" cy="201168"/>
                        </a:xfrm>
                        <a:prstGeom prst="rect"/>
                        <a:ln/>
                      </pic:spPr>
                    </pic:pic>
                  </a:graphicData>
                </a:graphic>
              </wp:anchor>
            </w:drawing>
          </mc:Fallback>
        </mc:AlternateContent>
      </w:r>
    </w:p>
    <w:p w14:paraId="6320A734" w14:textId="77777777" w:rsidR="00A04E14" w:rsidRDefault="00A04E14">
      <w:pPr>
        <w:pBdr>
          <w:top w:val="nil"/>
          <w:left w:val="nil"/>
          <w:bottom w:val="nil"/>
          <w:right w:val="nil"/>
          <w:between w:val="nil"/>
        </w:pBdr>
        <w:spacing w:before="8"/>
        <w:rPr>
          <w:color w:val="000000"/>
          <w:sz w:val="20"/>
          <w:szCs w:val="20"/>
        </w:rPr>
      </w:pPr>
    </w:p>
    <w:p w14:paraId="76BB6D06" w14:textId="77777777" w:rsidR="00A04E14" w:rsidRDefault="00000000">
      <w:pPr>
        <w:pStyle w:val="Heading1"/>
        <w:numPr>
          <w:ilvl w:val="0"/>
          <w:numId w:val="1"/>
        </w:numPr>
        <w:tabs>
          <w:tab w:val="left" w:pos="1420"/>
        </w:tabs>
        <w:rPr>
          <w:b w:val="0"/>
        </w:rPr>
      </w:pPr>
      <w:r>
        <w:t>Acceso al Aborto</w:t>
      </w:r>
      <w:r>
        <w:rPr>
          <w:b w:val="0"/>
        </w:rPr>
        <w:t>.</w:t>
      </w:r>
    </w:p>
    <w:p w14:paraId="0F52780B" w14:textId="77777777" w:rsidR="00A04E14" w:rsidRDefault="00A04E14">
      <w:pPr>
        <w:pBdr>
          <w:top w:val="nil"/>
          <w:left w:val="nil"/>
          <w:bottom w:val="nil"/>
          <w:right w:val="nil"/>
          <w:between w:val="nil"/>
        </w:pBdr>
        <w:spacing w:before="8"/>
        <w:rPr>
          <w:color w:val="000000"/>
          <w:sz w:val="27"/>
          <w:szCs w:val="27"/>
        </w:rPr>
      </w:pPr>
    </w:p>
    <w:p w14:paraId="69D3F105"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51.- Ecuador criminaliza el aborto como delito penal, siendo las únicas excepciones el aborto terapéutico para proteger la vida y la salud de la madre en caso de peligro y bajo circunstancias muy limitadas y, por causa de violación bajo los términos establecidos por la Corte Constitucional en su sentencia No. 34-19-IN/21 Y ACUMULADOS</w:t>
      </w:r>
      <w:r>
        <w:rPr>
          <w:color w:val="000000"/>
          <w:sz w:val="24"/>
          <w:szCs w:val="24"/>
          <w:vertAlign w:val="superscript"/>
        </w:rPr>
        <w:t>32</w:t>
      </w:r>
      <w:r>
        <w:rPr>
          <w:color w:val="000000"/>
          <w:sz w:val="24"/>
          <w:szCs w:val="24"/>
        </w:rPr>
        <w:t>.</w:t>
      </w:r>
    </w:p>
    <w:p w14:paraId="02D24169" w14:textId="77777777" w:rsidR="00A04E14" w:rsidRDefault="00000000">
      <w:pPr>
        <w:pBdr>
          <w:top w:val="nil"/>
          <w:left w:val="nil"/>
          <w:bottom w:val="nil"/>
          <w:right w:val="nil"/>
          <w:between w:val="nil"/>
        </w:pBdr>
        <w:spacing w:before="7"/>
        <w:rPr>
          <w:color w:val="000000"/>
          <w:sz w:val="29"/>
          <w:szCs w:val="29"/>
        </w:rPr>
      </w:pPr>
      <w:r>
        <w:rPr>
          <w:noProof/>
        </w:rPr>
        <mc:AlternateContent>
          <mc:Choice Requires="wps">
            <w:drawing>
              <wp:anchor distT="0" distB="0" distL="114300" distR="114300" simplePos="0" relativeHeight="251671552" behindDoc="0" locked="0" layoutInCell="1" hidden="0" allowOverlap="1" wp14:anchorId="73A5FD93" wp14:editId="41FDF121">
                <wp:simplePos x="0" y="0"/>
                <wp:positionH relativeFrom="column">
                  <wp:posOffset>546100</wp:posOffset>
                </wp:positionH>
                <wp:positionV relativeFrom="paragraph">
                  <wp:posOffset>228600</wp:posOffset>
                </wp:positionV>
                <wp:extent cx="6096" cy="12700"/>
                <wp:effectExtent l="0" t="0" r="0" b="0"/>
                <wp:wrapTopAndBottom distT="0" distB="0"/>
                <wp:docPr id="25" name="Rectangle 25"/>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64E71969"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228600</wp:posOffset>
                </wp:positionV>
                <wp:extent cx="6096" cy="12700"/>
                <wp:effectExtent b="0" l="0" r="0" t="0"/>
                <wp:wrapTopAndBottom distB="0" distT="0"/>
                <wp:docPr id="25" name="image20.png"/>
                <a:graphic>
                  <a:graphicData uri="http://schemas.openxmlformats.org/drawingml/2006/picture">
                    <pic:pic>
                      <pic:nvPicPr>
                        <pic:cNvPr id="0" name="image20.png"/>
                        <pic:cNvPicPr preferRelativeResize="0"/>
                      </pic:nvPicPr>
                      <pic:blipFill>
                        <a:blip r:embed="rId52"/>
                        <a:srcRect/>
                        <a:stretch>
                          <a:fillRect/>
                        </a:stretch>
                      </pic:blipFill>
                      <pic:spPr>
                        <a:xfrm>
                          <a:off x="0" y="0"/>
                          <a:ext cx="6096" cy="12700"/>
                        </a:xfrm>
                        <a:prstGeom prst="rect"/>
                        <a:ln/>
                      </pic:spPr>
                    </pic:pic>
                  </a:graphicData>
                </a:graphic>
              </wp:anchor>
            </w:drawing>
          </mc:Fallback>
        </mc:AlternateContent>
      </w:r>
    </w:p>
    <w:p w14:paraId="5723FE88" w14:textId="77777777" w:rsidR="00A04E14" w:rsidRDefault="00000000">
      <w:pPr>
        <w:spacing w:before="81"/>
        <w:ind w:left="699" w:right="721"/>
        <w:jc w:val="both"/>
        <w:rPr>
          <w:sz w:val="16"/>
          <w:szCs w:val="16"/>
        </w:rPr>
        <w:sectPr w:rsidR="00A04E14">
          <w:pgSz w:w="12240" w:h="15840"/>
          <w:pgMar w:top="2380" w:right="980" w:bottom="280" w:left="1000" w:header="19" w:footer="0" w:gutter="0"/>
          <w:cols w:space="720"/>
        </w:sectPr>
      </w:pPr>
      <w:r>
        <w:rPr>
          <w:sz w:val="16"/>
          <w:szCs w:val="16"/>
          <w:vertAlign w:val="superscript"/>
        </w:rPr>
        <w:t>32</w:t>
      </w:r>
      <w:r>
        <w:rPr>
          <w:sz w:val="16"/>
          <w:szCs w:val="16"/>
        </w:rPr>
        <w:t xml:space="preserve"> </w:t>
      </w:r>
      <w:proofErr w:type="gramStart"/>
      <w:r>
        <w:rPr>
          <w:sz w:val="16"/>
          <w:szCs w:val="16"/>
        </w:rPr>
        <w:t>La</w:t>
      </w:r>
      <w:proofErr w:type="gramEnd"/>
      <w:r>
        <w:rPr>
          <w:sz w:val="16"/>
          <w:szCs w:val="16"/>
        </w:rPr>
        <w:t xml:space="preserve"> Corte Constitucional analiza la constitucionalidad de los artículos 149 y 150 del Código Orgánico Integral Penal relativos a la penalización del aborto consentido en casos de mujeres víctimas de violación y declara la inconstitucionalidad por el fondo de la frase “en una mujer que padezca de una discapacidad mental” contenida en el artículo 150 numeral 2 del COIP.</w:t>
      </w:r>
    </w:p>
    <w:p w14:paraId="1AE899C0" w14:textId="77777777" w:rsidR="00A04E14" w:rsidRDefault="00A04E14">
      <w:pPr>
        <w:pBdr>
          <w:top w:val="nil"/>
          <w:left w:val="nil"/>
          <w:bottom w:val="nil"/>
          <w:right w:val="nil"/>
          <w:between w:val="nil"/>
        </w:pBdr>
        <w:spacing w:before="10"/>
        <w:rPr>
          <w:color w:val="000000"/>
          <w:sz w:val="19"/>
          <w:szCs w:val="19"/>
        </w:rPr>
      </w:pPr>
    </w:p>
    <w:p w14:paraId="685F2C45" w14:textId="77777777" w:rsidR="00A04E14" w:rsidRDefault="00000000">
      <w:pPr>
        <w:pBdr>
          <w:top w:val="nil"/>
          <w:left w:val="nil"/>
          <w:bottom w:val="nil"/>
          <w:right w:val="nil"/>
          <w:between w:val="nil"/>
        </w:pBdr>
        <w:spacing w:before="90" w:line="276" w:lineRule="auto"/>
        <w:ind w:left="699" w:right="720"/>
        <w:jc w:val="both"/>
        <w:rPr>
          <w:color w:val="000000"/>
          <w:sz w:val="24"/>
          <w:szCs w:val="24"/>
        </w:rPr>
      </w:pPr>
      <w:r>
        <w:rPr>
          <w:color w:val="000000"/>
          <w:sz w:val="24"/>
          <w:szCs w:val="24"/>
        </w:rPr>
        <w:t>52.- En este sentido, el proceso para acceder al servicio de salud sexual y reproductivo como lo es la interrupción voluntaria del embarazo o el aborto representa varios obstáculos que provienen del marco legal interno impuesto por la Ley Orgánica que Regula la Interrupción Voluntaria del Embarazo para Niñas, Adolescentes y Mujeres en caso de Violación que estipula que la práctica e intervención de la interrupción del embarazo en casos de violación será hasta las 12 semanas de gestación (Art.18 de la Ley). Es importante señalar que este no se aplica para otras causales de aborto.</w:t>
      </w:r>
    </w:p>
    <w:p w14:paraId="263244E2" w14:textId="77777777" w:rsidR="00A04E14" w:rsidRDefault="00A04E14">
      <w:pPr>
        <w:pBdr>
          <w:top w:val="nil"/>
          <w:left w:val="nil"/>
          <w:bottom w:val="nil"/>
          <w:right w:val="nil"/>
          <w:between w:val="nil"/>
        </w:pBdr>
        <w:spacing w:before="6"/>
        <w:rPr>
          <w:color w:val="000000"/>
          <w:sz w:val="27"/>
          <w:szCs w:val="27"/>
        </w:rPr>
      </w:pPr>
    </w:p>
    <w:p w14:paraId="71896891" w14:textId="77777777" w:rsidR="00A04E14" w:rsidRDefault="00000000">
      <w:pPr>
        <w:pBdr>
          <w:top w:val="nil"/>
          <w:left w:val="nil"/>
          <w:bottom w:val="nil"/>
          <w:right w:val="nil"/>
          <w:between w:val="nil"/>
        </w:pBdr>
        <w:spacing w:before="1" w:line="276" w:lineRule="auto"/>
        <w:ind w:left="699" w:right="720"/>
        <w:jc w:val="both"/>
        <w:rPr>
          <w:color w:val="000000"/>
          <w:sz w:val="24"/>
          <w:szCs w:val="24"/>
        </w:rPr>
      </w:pPr>
      <w:r>
        <w:rPr>
          <w:color w:val="000000"/>
          <w:sz w:val="24"/>
          <w:szCs w:val="24"/>
        </w:rPr>
        <w:t>53.- Esta ley establece restricciones al acceso al aborto, como un servicio de salud reproductiva que necesitan predominantemente las mujeres y las adolescentes víctimas de violencia sexual, es discriminatorio que sometan a las mujeres a barreras innecesarias para acceder a los servicios esenciales de salud reproductiva, así como a un trato degradante donde se alimenta el estigma del aborto, que a su vez contribuye a un entorno prohibitivo y punitivo cargado de intimidación y violencia. Las restricciones legales al aborto causadas por la actual Ley Orgánica que Regula la Interrupción Voluntaria del Embarazo para Niñas, Adolescentes y Mujeres en caso de Violación, violan los derechos de las mujeres embarazadas a la vida, a la salud (incluida la salud sexual y reproductiva), a la privacidad, a la integridad corporal, a la igualdad y a la no discriminación, y a no sufrir tortura y tratos crueles, inhumanos y degradantes, así como a la violencia de género.</w:t>
      </w:r>
    </w:p>
    <w:p w14:paraId="3F7D740B" w14:textId="77777777" w:rsidR="00A04E14" w:rsidRDefault="00A04E14">
      <w:pPr>
        <w:pBdr>
          <w:top w:val="nil"/>
          <w:left w:val="nil"/>
          <w:bottom w:val="nil"/>
          <w:right w:val="nil"/>
          <w:between w:val="nil"/>
        </w:pBdr>
        <w:spacing w:before="9"/>
        <w:rPr>
          <w:color w:val="000000"/>
          <w:sz w:val="27"/>
          <w:szCs w:val="27"/>
        </w:rPr>
      </w:pPr>
    </w:p>
    <w:p w14:paraId="4AD99D17"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54.- Razón por la cual la sociedad civil ha presentado varias acciones públicas de inconstitucionalidad</w:t>
      </w:r>
      <w:r>
        <w:rPr>
          <w:color w:val="000000"/>
          <w:sz w:val="24"/>
          <w:szCs w:val="24"/>
          <w:vertAlign w:val="superscript"/>
        </w:rPr>
        <w:t>33</w:t>
      </w:r>
      <w:r>
        <w:rPr>
          <w:color w:val="000000"/>
          <w:sz w:val="24"/>
          <w:szCs w:val="24"/>
        </w:rPr>
        <w:t>, ante la Corte Constitucional con la finalidad que dicha normativa sea derogada por ser contraria a los derechos humanos</w:t>
      </w:r>
      <w:r>
        <w:rPr>
          <w:color w:val="000000"/>
          <w:sz w:val="24"/>
          <w:szCs w:val="24"/>
          <w:vertAlign w:val="superscript"/>
        </w:rPr>
        <w:t>34</w:t>
      </w:r>
      <w:r>
        <w:rPr>
          <w:color w:val="000000"/>
          <w:sz w:val="24"/>
          <w:szCs w:val="24"/>
        </w:rPr>
        <w:t>.</w:t>
      </w:r>
    </w:p>
    <w:p w14:paraId="196C660E" w14:textId="77777777" w:rsidR="00A04E14" w:rsidRDefault="00A04E14">
      <w:pPr>
        <w:pBdr>
          <w:top w:val="nil"/>
          <w:left w:val="nil"/>
          <w:bottom w:val="nil"/>
          <w:right w:val="nil"/>
          <w:between w:val="nil"/>
        </w:pBdr>
        <w:spacing w:before="5"/>
        <w:rPr>
          <w:color w:val="000000"/>
          <w:sz w:val="27"/>
          <w:szCs w:val="27"/>
        </w:rPr>
      </w:pPr>
    </w:p>
    <w:p w14:paraId="6E93F3BC"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55.- Por otro lado, en materia de insumos necesarios para acceder a abortos seguros y en condiciones de calidad, se observan progresos por parte del Estado ecuatoriano al haber autorizado la comercialización y distribución de Mifepristona y Misoprotol</w:t>
      </w:r>
      <w:r>
        <w:rPr>
          <w:color w:val="000000"/>
          <w:sz w:val="24"/>
          <w:szCs w:val="24"/>
          <w:vertAlign w:val="superscript"/>
        </w:rPr>
        <w:t>35</w:t>
      </w:r>
      <w:r>
        <w:rPr>
          <w:color w:val="000000"/>
          <w:sz w:val="24"/>
          <w:szCs w:val="24"/>
        </w:rPr>
        <w:t xml:space="preserve"> y haberlos incorporado al Cuadro Nacional de Medicamentos Básicos, pues su uso constituye uno de los procedimientos más seguros y eficaces para el acceso al aborto según la evidencia consolidada de más de una década</w:t>
      </w:r>
      <w:r>
        <w:rPr>
          <w:color w:val="000000"/>
          <w:sz w:val="24"/>
          <w:szCs w:val="24"/>
          <w:vertAlign w:val="superscript"/>
        </w:rPr>
        <w:t>36</w:t>
      </w:r>
    </w:p>
    <w:p w14:paraId="3CFA6C88" w14:textId="77777777" w:rsidR="00A04E14" w:rsidRDefault="00000000">
      <w:pPr>
        <w:pBdr>
          <w:top w:val="nil"/>
          <w:left w:val="nil"/>
          <w:bottom w:val="nil"/>
          <w:right w:val="nil"/>
          <w:between w:val="nil"/>
        </w:pBdr>
        <w:spacing w:before="10"/>
        <w:rPr>
          <w:color w:val="000000"/>
          <w:sz w:val="17"/>
          <w:szCs w:val="17"/>
        </w:rPr>
      </w:pPr>
      <w:r>
        <w:rPr>
          <w:noProof/>
        </w:rPr>
        <mc:AlternateContent>
          <mc:Choice Requires="wps">
            <w:drawing>
              <wp:anchor distT="0" distB="0" distL="114300" distR="114300" simplePos="0" relativeHeight="251672576" behindDoc="0" locked="0" layoutInCell="1" hidden="0" allowOverlap="1" wp14:anchorId="46185B3A" wp14:editId="2F708A8D">
                <wp:simplePos x="0" y="0"/>
                <wp:positionH relativeFrom="column">
                  <wp:posOffset>546100</wp:posOffset>
                </wp:positionH>
                <wp:positionV relativeFrom="paragraph">
                  <wp:posOffset>139700</wp:posOffset>
                </wp:positionV>
                <wp:extent cx="6096" cy="12700"/>
                <wp:effectExtent l="0" t="0" r="0" b="0"/>
                <wp:wrapTopAndBottom distT="0" distB="0"/>
                <wp:docPr id="22" name="Rectangle 22"/>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3B3B387"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139700</wp:posOffset>
                </wp:positionV>
                <wp:extent cx="6096" cy="12700"/>
                <wp:effectExtent b="0" l="0" r="0" t="0"/>
                <wp:wrapTopAndBottom distB="0" distT="0"/>
                <wp:docPr id="22" name="image17.png"/>
                <a:graphic>
                  <a:graphicData uri="http://schemas.openxmlformats.org/drawingml/2006/picture">
                    <pic:pic>
                      <pic:nvPicPr>
                        <pic:cNvPr id="0" name="image17.png"/>
                        <pic:cNvPicPr preferRelativeResize="0"/>
                      </pic:nvPicPr>
                      <pic:blipFill>
                        <a:blip r:embed="rId53"/>
                        <a:srcRect/>
                        <a:stretch>
                          <a:fillRect/>
                        </a:stretch>
                      </pic:blipFill>
                      <pic:spPr>
                        <a:xfrm>
                          <a:off x="0" y="0"/>
                          <a:ext cx="6096" cy="12700"/>
                        </a:xfrm>
                        <a:prstGeom prst="rect"/>
                        <a:ln/>
                      </pic:spPr>
                    </pic:pic>
                  </a:graphicData>
                </a:graphic>
              </wp:anchor>
            </w:drawing>
          </mc:Fallback>
        </mc:AlternateContent>
      </w:r>
    </w:p>
    <w:p w14:paraId="6E227359" w14:textId="77777777" w:rsidR="00A04E14" w:rsidRDefault="00000000">
      <w:pPr>
        <w:spacing w:before="76" w:line="244" w:lineRule="auto"/>
        <w:ind w:left="699"/>
        <w:rPr>
          <w:sz w:val="16"/>
          <w:szCs w:val="16"/>
        </w:rPr>
      </w:pPr>
      <w:hyperlink r:id="rId54">
        <w:r>
          <w:rPr>
            <w:sz w:val="16"/>
            <w:szCs w:val="16"/>
          </w:rPr>
          <w:t>http://esacc.corteconstitucional.gob.ec/storage/api/v1/10_DWL_FL/e2NhcnBldGE6J3RyYW1pdGUnLCB1dWlkOidiZGE2NDE0YS1jN</w:t>
        </w:r>
      </w:hyperlink>
      <w:r>
        <w:rPr>
          <w:sz w:val="16"/>
          <w:szCs w:val="16"/>
        </w:rPr>
        <w:t xml:space="preserve"> DI1LTQzMGMtYWViNi1jYjY0ODQ1YTQ2NWUucGRmJ30=</w:t>
      </w:r>
    </w:p>
    <w:p w14:paraId="3AB00449" w14:textId="77777777" w:rsidR="00A04E14" w:rsidRDefault="00000000">
      <w:pPr>
        <w:ind w:left="699" w:right="721"/>
        <w:jc w:val="both"/>
        <w:rPr>
          <w:sz w:val="16"/>
          <w:szCs w:val="16"/>
        </w:rPr>
      </w:pPr>
      <w:r>
        <w:rPr>
          <w:sz w:val="16"/>
          <w:szCs w:val="16"/>
          <w:vertAlign w:val="superscript"/>
        </w:rPr>
        <w:t>33</w:t>
      </w:r>
      <w:r>
        <w:rPr>
          <w:sz w:val="16"/>
          <w:szCs w:val="16"/>
        </w:rPr>
        <w:t xml:space="preserve"> </w:t>
      </w:r>
      <w:proofErr w:type="gramStart"/>
      <w:r>
        <w:rPr>
          <w:sz w:val="16"/>
          <w:szCs w:val="16"/>
        </w:rPr>
        <w:t>Constituyen</w:t>
      </w:r>
      <w:proofErr w:type="gramEnd"/>
      <w:r>
        <w:rPr>
          <w:sz w:val="16"/>
          <w:szCs w:val="16"/>
        </w:rPr>
        <w:t xml:space="preserve"> mecanismos de control abstracto de constitucionalidad, que tienen como finalidad "garantizar la unidad y coherencia del ordenamiento jurídico a través de la identificación y la eliminación de las incompatibilidades normativas, por razones de fondo o de forma, entre las normas constitucionales y las demás disposiciones que integran el sistema jurídico</w:t>
      </w:r>
    </w:p>
    <w:p w14:paraId="0DA12E2D" w14:textId="77777777" w:rsidR="00A04E14" w:rsidRDefault="00000000">
      <w:pPr>
        <w:ind w:left="699" w:right="721"/>
        <w:jc w:val="both"/>
        <w:rPr>
          <w:sz w:val="16"/>
          <w:szCs w:val="16"/>
        </w:rPr>
      </w:pPr>
      <w:r>
        <w:rPr>
          <w:sz w:val="16"/>
          <w:szCs w:val="16"/>
          <w:vertAlign w:val="superscript"/>
        </w:rPr>
        <w:t>34</w:t>
      </w:r>
      <w:r>
        <w:rPr>
          <w:sz w:val="16"/>
          <w:szCs w:val="16"/>
        </w:rPr>
        <w:t xml:space="preserve"> </w:t>
      </w:r>
      <w:proofErr w:type="gramStart"/>
      <w:r>
        <w:rPr>
          <w:sz w:val="16"/>
          <w:szCs w:val="16"/>
        </w:rPr>
        <w:t>Causa</w:t>
      </w:r>
      <w:proofErr w:type="gramEnd"/>
      <w:r>
        <w:rPr>
          <w:sz w:val="16"/>
          <w:szCs w:val="16"/>
        </w:rPr>
        <w:t xml:space="preserve"> No. 41-22-IN - Causa No. 39-22-IN - Causa No. 44-22-IN - Causa No. 46-22-IN - Causa No. 47-22-IN - Causa No. 66-22-IN - Causa No. 93-22-IN - Causa No. 84-22-IN - Causa No. 76-22-IN - Causa No. 41-22-IN - Causa No. 74-22-IN.</w:t>
      </w:r>
    </w:p>
    <w:p w14:paraId="7B753D06" w14:textId="77777777" w:rsidR="00A04E14" w:rsidRDefault="00000000">
      <w:pPr>
        <w:spacing w:line="183" w:lineRule="auto"/>
        <w:ind w:left="699"/>
        <w:jc w:val="both"/>
        <w:rPr>
          <w:sz w:val="16"/>
          <w:szCs w:val="16"/>
        </w:rPr>
      </w:pPr>
      <w:r>
        <w:rPr>
          <w:sz w:val="16"/>
          <w:szCs w:val="16"/>
        </w:rPr>
        <w:t>Causa No. 30-23-IN - Causa No. 31-23-IN - Causa No. 32-23-IN - Causa No. 38-23-IN - Causa No. 32-23-IN</w:t>
      </w:r>
    </w:p>
    <w:p w14:paraId="5BB316B9" w14:textId="77777777" w:rsidR="00A04E14" w:rsidRDefault="00000000">
      <w:pPr>
        <w:spacing w:line="182" w:lineRule="auto"/>
        <w:ind w:left="699"/>
        <w:rPr>
          <w:sz w:val="16"/>
          <w:szCs w:val="16"/>
        </w:rPr>
      </w:pPr>
      <w:r>
        <w:rPr>
          <w:sz w:val="16"/>
          <w:szCs w:val="16"/>
          <w:vertAlign w:val="superscript"/>
        </w:rPr>
        <w:t>35</w:t>
      </w:r>
      <w:r>
        <w:rPr>
          <w:sz w:val="16"/>
          <w:szCs w:val="16"/>
        </w:rPr>
        <w:t xml:space="preserve"> </w:t>
      </w:r>
      <w:proofErr w:type="gramStart"/>
      <w:r>
        <w:rPr>
          <w:sz w:val="16"/>
          <w:szCs w:val="16"/>
        </w:rPr>
        <w:t>Resolución</w:t>
      </w:r>
      <w:proofErr w:type="gramEnd"/>
      <w:r>
        <w:rPr>
          <w:sz w:val="16"/>
          <w:szCs w:val="16"/>
        </w:rPr>
        <w:t xml:space="preserve"> CONAMEI 22-2023</w:t>
      </w:r>
    </w:p>
    <w:p w14:paraId="007BA7AE" w14:textId="77777777" w:rsidR="00A04E14" w:rsidRDefault="00000000">
      <w:pPr>
        <w:spacing w:line="183" w:lineRule="auto"/>
        <w:ind w:left="699"/>
        <w:jc w:val="both"/>
        <w:rPr>
          <w:sz w:val="16"/>
          <w:szCs w:val="16"/>
        </w:rPr>
        <w:sectPr w:rsidR="00A04E14">
          <w:pgSz w:w="12240" w:h="15840"/>
          <w:pgMar w:top="2380" w:right="980" w:bottom="280" w:left="1000" w:header="19" w:footer="0" w:gutter="0"/>
          <w:cols w:space="720"/>
        </w:sectPr>
      </w:pPr>
      <w:r>
        <w:rPr>
          <w:sz w:val="16"/>
          <w:szCs w:val="16"/>
          <w:vertAlign w:val="superscript"/>
        </w:rPr>
        <w:t>36</w:t>
      </w:r>
      <w:r>
        <w:rPr>
          <w:sz w:val="16"/>
          <w:szCs w:val="16"/>
        </w:rPr>
        <w:t xml:space="preserve"> </w:t>
      </w:r>
      <w:proofErr w:type="gramStart"/>
      <w:r>
        <w:rPr>
          <w:sz w:val="16"/>
          <w:szCs w:val="16"/>
        </w:rPr>
        <w:t>Directrices</w:t>
      </w:r>
      <w:proofErr w:type="gramEnd"/>
      <w:r>
        <w:rPr>
          <w:sz w:val="16"/>
          <w:szCs w:val="16"/>
        </w:rPr>
        <w:t xml:space="preserve"> sobre la atención para el aborto por parte la Organización Mundial de la salud</w:t>
      </w:r>
    </w:p>
    <w:p w14:paraId="22DC63FA" w14:textId="77777777" w:rsidR="00A04E14" w:rsidRDefault="00A04E14">
      <w:pPr>
        <w:pBdr>
          <w:top w:val="nil"/>
          <w:left w:val="nil"/>
          <w:bottom w:val="nil"/>
          <w:right w:val="nil"/>
          <w:between w:val="nil"/>
        </w:pBdr>
        <w:spacing w:before="10"/>
        <w:rPr>
          <w:color w:val="000000"/>
          <w:sz w:val="19"/>
          <w:szCs w:val="19"/>
        </w:rPr>
      </w:pPr>
    </w:p>
    <w:p w14:paraId="7BF43646" w14:textId="77777777" w:rsidR="00A04E14" w:rsidRDefault="00000000">
      <w:pPr>
        <w:pBdr>
          <w:top w:val="nil"/>
          <w:left w:val="nil"/>
          <w:bottom w:val="nil"/>
          <w:right w:val="nil"/>
          <w:between w:val="nil"/>
        </w:pBdr>
        <w:spacing w:before="90" w:line="276" w:lineRule="auto"/>
        <w:ind w:left="699" w:right="720"/>
        <w:jc w:val="both"/>
        <w:rPr>
          <w:color w:val="000000"/>
          <w:sz w:val="24"/>
          <w:szCs w:val="24"/>
        </w:rPr>
      </w:pPr>
      <w:r>
        <w:rPr>
          <w:color w:val="000000"/>
          <w:sz w:val="24"/>
          <w:szCs w:val="24"/>
        </w:rPr>
        <w:t>56.- Sin embargo, se observa con preocupación que, ante las políticas de austeridad y desfinanciamiento impulsadas por la actual gestión de gobierno, se afecte la adquisición y distribución de medicamentos e insumos esenciales para asegurar el acceso a abortos en condiciones de calidad.</w:t>
      </w:r>
    </w:p>
    <w:p w14:paraId="62D31992" w14:textId="77777777" w:rsidR="00A04E14" w:rsidRDefault="00A04E14">
      <w:pPr>
        <w:pBdr>
          <w:top w:val="nil"/>
          <w:left w:val="nil"/>
          <w:bottom w:val="nil"/>
          <w:right w:val="nil"/>
          <w:between w:val="nil"/>
        </w:pBdr>
        <w:spacing w:before="11"/>
        <w:rPr>
          <w:color w:val="000000"/>
          <w:sz w:val="23"/>
          <w:szCs w:val="23"/>
        </w:rPr>
      </w:pPr>
    </w:p>
    <w:p w14:paraId="5788DB1E" w14:textId="77777777" w:rsidR="00A04E14" w:rsidRDefault="00000000">
      <w:pPr>
        <w:pBdr>
          <w:top w:val="nil"/>
          <w:left w:val="nil"/>
          <w:bottom w:val="nil"/>
          <w:right w:val="nil"/>
          <w:between w:val="nil"/>
        </w:pBdr>
        <w:spacing w:line="276" w:lineRule="auto"/>
        <w:ind w:left="699" w:right="720"/>
        <w:jc w:val="both"/>
        <w:rPr>
          <w:b/>
          <w:color w:val="000000"/>
          <w:sz w:val="24"/>
          <w:szCs w:val="24"/>
        </w:rPr>
      </w:pPr>
      <w:r>
        <w:rPr>
          <w:color w:val="000000"/>
          <w:sz w:val="24"/>
          <w:szCs w:val="24"/>
        </w:rPr>
        <w:t xml:space="preserve">57.- Por ello, preocupa que se profundicen las barreras que enfrentan las adolescentes y niñas para ejercer su derecho a la salud reproductiva de manera segura y en condiciones de calidad. Las barreras en el acceso al aborto por causal violación para niñas y adolescentes atentan contra su </w:t>
      </w:r>
      <w:r>
        <w:rPr>
          <w:b/>
          <w:color w:val="000000"/>
          <w:sz w:val="24"/>
          <w:szCs w:val="24"/>
        </w:rPr>
        <w:t>INTERÉS SUPERIOR EN SU CONDICIÓN DE VÍCTIMA DE VIOLENCIA</w:t>
      </w:r>
    </w:p>
    <w:p w14:paraId="384AE903" w14:textId="77777777" w:rsidR="00A04E14" w:rsidRDefault="00000000">
      <w:pPr>
        <w:pBdr>
          <w:top w:val="nil"/>
          <w:left w:val="nil"/>
          <w:bottom w:val="nil"/>
          <w:right w:val="nil"/>
          <w:between w:val="nil"/>
        </w:pBdr>
        <w:spacing w:before="3" w:line="276" w:lineRule="auto"/>
        <w:ind w:left="699" w:right="720"/>
        <w:jc w:val="both"/>
        <w:rPr>
          <w:color w:val="000000"/>
          <w:sz w:val="24"/>
          <w:szCs w:val="24"/>
        </w:rPr>
      </w:pPr>
      <w:r>
        <w:rPr>
          <w:b/>
          <w:color w:val="000000"/>
          <w:sz w:val="24"/>
          <w:szCs w:val="24"/>
        </w:rPr>
        <w:t xml:space="preserve">SEXUAL. </w:t>
      </w:r>
      <w:r>
        <w:rPr>
          <w:color w:val="000000"/>
          <w:sz w:val="24"/>
          <w:szCs w:val="24"/>
        </w:rPr>
        <w:t>Así como contra su derecho a la salud, a la igualdad, su proyecto de vida, a no sufrir discriminación ni ninguna otra forma de violencia, tortura o maltrato. Por ello, en seguimiento a las Observaciones Finales realizadas al Estado ecuatoriano por parte de este Comité</w:t>
      </w:r>
      <w:r>
        <w:rPr>
          <w:color w:val="000000"/>
          <w:sz w:val="24"/>
          <w:szCs w:val="24"/>
          <w:vertAlign w:val="superscript"/>
        </w:rPr>
        <w:t>37</w:t>
      </w:r>
      <w:r>
        <w:rPr>
          <w:color w:val="000000"/>
          <w:sz w:val="24"/>
          <w:szCs w:val="24"/>
        </w:rPr>
        <w:t>, es deber del gobierno nacional garantizar el acceso equitativo a servicios de aborto seguros y de calidad, asegurando así que todas las niñas y adolescentes y personas con capacidad de gestar tengan la capacidad de tomar decisiones informadas sobre su propia salud y su cuerpo.</w:t>
      </w:r>
    </w:p>
    <w:p w14:paraId="2CD9ED23" w14:textId="77777777" w:rsidR="00A04E14" w:rsidRDefault="00A04E14">
      <w:pPr>
        <w:pBdr>
          <w:top w:val="nil"/>
          <w:left w:val="nil"/>
          <w:bottom w:val="nil"/>
          <w:right w:val="nil"/>
          <w:between w:val="nil"/>
        </w:pBdr>
        <w:spacing w:before="7"/>
        <w:rPr>
          <w:color w:val="000000"/>
          <w:sz w:val="27"/>
          <w:szCs w:val="27"/>
        </w:rPr>
      </w:pPr>
    </w:p>
    <w:p w14:paraId="3F6B1169" w14:textId="77777777" w:rsidR="00A04E14" w:rsidRDefault="00000000">
      <w:pPr>
        <w:pStyle w:val="Heading1"/>
        <w:ind w:firstLine="699"/>
      </w:pPr>
      <w:r>
        <w:t>RECOMENDACIONES</w:t>
      </w:r>
    </w:p>
    <w:p w14:paraId="0987BDBE" w14:textId="77777777" w:rsidR="00A04E14" w:rsidRDefault="00A04E14">
      <w:pPr>
        <w:pBdr>
          <w:top w:val="nil"/>
          <w:left w:val="nil"/>
          <w:bottom w:val="nil"/>
          <w:right w:val="nil"/>
          <w:between w:val="nil"/>
        </w:pBdr>
        <w:spacing w:before="1"/>
        <w:rPr>
          <w:b/>
          <w:color w:val="000000"/>
          <w:sz w:val="31"/>
          <w:szCs w:val="31"/>
        </w:rPr>
      </w:pPr>
    </w:p>
    <w:p w14:paraId="3786D846" w14:textId="77777777" w:rsidR="00A04E14" w:rsidRDefault="00000000">
      <w:pPr>
        <w:pBdr>
          <w:top w:val="nil"/>
          <w:left w:val="nil"/>
          <w:bottom w:val="nil"/>
          <w:right w:val="nil"/>
          <w:between w:val="nil"/>
        </w:pBdr>
        <w:ind w:left="699"/>
        <w:jc w:val="both"/>
        <w:rPr>
          <w:color w:val="000000"/>
          <w:sz w:val="24"/>
          <w:szCs w:val="24"/>
        </w:rPr>
      </w:pPr>
      <w:r>
        <w:rPr>
          <w:color w:val="000000"/>
          <w:sz w:val="24"/>
          <w:szCs w:val="24"/>
        </w:rPr>
        <w:t>CEPAM - Guayaquil recomienda al estado ecuatoriano:</w:t>
      </w:r>
    </w:p>
    <w:p w14:paraId="4B23BC63" w14:textId="77777777" w:rsidR="00A04E14" w:rsidRDefault="00A04E14">
      <w:pPr>
        <w:pBdr>
          <w:top w:val="nil"/>
          <w:left w:val="nil"/>
          <w:bottom w:val="nil"/>
          <w:right w:val="nil"/>
          <w:between w:val="nil"/>
        </w:pBdr>
        <w:spacing w:before="1"/>
        <w:rPr>
          <w:color w:val="000000"/>
          <w:sz w:val="31"/>
          <w:szCs w:val="31"/>
        </w:rPr>
      </w:pPr>
    </w:p>
    <w:p w14:paraId="34FEFC54" w14:textId="77777777" w:rsidR="00A04E14" w:rsidRDefault="00000000">
      <w:pPr>
        <w:pBdr>
          <w:top w:val="nil"/>
          <w:left w:val="nil"/>
          <w:bottom w:val="nil"/>
          <w:right w:val="nil"/>
          <w:between w:val="nil"/>
        </w:pBdr>
        <w:spacing w:line="276" w:lineRule="auto"/>
        <w:ind w:left="699" w:right="720"/>
        <w:jc w:val="both"/>
        <w:rPr>
          <w:color w:val="000000"/>
          <w:sz w:val="24"/>
          <w:szCs w:val="24"/>
        </w:rPr>
      </w:pPr>
      <w:r>
        <w:rPr>
          <w:color w:val="000000"/>
          <w:sz w:val="24"/>
          <w:szCs w:val="24"/>
        </w:rPr>
        <w:t>58.- Garantizar la disponibilidad y accesibilidad de los insumos y el suficiente personal sanitario capacitado para la prestación de servicios de aborto por causal violación y atención posterior al aborto a través de, entre otras medidas, la asignación de presupuesto suficiente para tales fines.</w:t>
      </w:r>
    </w:p>
    <w:p w14:paraId="3522FE9A" w14:textId="77777777" w:rsidR="00A04E14" w:rsidRDefault="00A04E14">
      <w:pPr>
        <w:pBdr>
          <w:top w:val="nil"/>
          <w:left w:val="nil"/>
          <w:bottom w:val="nil"/>
          <w:right w:val="nil"/>
          <w:between w:val="nil"/>
        </w:pBdr>
        <w:spacing w:before="9"/>
        <w:rPr>
          <w:color w:val="000000"/>
          <w:sz w:val="27"/>
          <w:szCs w:val="27"/>
        </w:rPr>
      </w:pPr>
    </w:p>
    <w:p w14:paraId="1A8E3CDA" w14:textId="77777777" w:rsidR="00A04E14" w:rsidRDefault="00000000">
      <w:pPr>
        <w:pBdr>
          <w:top w:val="nil"/>
          <w:left w:val="nil"/>
          <w:bottom w:val="nil"/>
          <w:right w:val="nil"/>
          <w:between w:val="nil"/>
        </w:pBdr>
        <w:spacing w:line="276" w:lineRule="auto"/>
        <w:ind w:left="699" w:right="721"/>
        <w:jc w:val="both"/>
        <w:rPr>
          <w:color w:val="000000"/>
          <w:sz w:val="24"/>
          <w:szCs w:val="24"/>
        </w:rPr>
      </w:pPr>
      <w:r>
        <w:rPr>
          <w:color w:val="000000"/>
          <w:sz w:val="24"/>
          <w:szCs w:val="24"/>
        </w:rPr>
        <w:t>59.- Garantizar el acceso al aborto por causal violación en igualdad de condiciones para todas las mujeres, niñas, adolescentes y otras personas con capacidad de gestar a través de, entre otras medidas, políticas públicas y programas específicos que eliminen las barreras que enfrentan estás poblaciones en el ejercicio de sus derechos sexuales y reproductivos, asegurando que puedan acceder a información actualizada, comprensible, veraz y brindada en lenguaje y con formatos accesibles para la toma de decisiones libres sobre su propia salud y cuerpo.</w:t>
      </w:r>
    </w:p>
    <w:p w14:paraId="5DC1480B" w14:textId="77777777" w:rsidR="00A04E14" w:rsidRDefault="00A04E14">
      <w:pPr>
        <w:pBdr>
          <w:top w:val="nil"/>
          <w:left w:val="nil"/>
          <w:bottom w:val="nil"/>
          <w:right w:val="nil"/>
          <w:between w:val="nil"/>
        </w:pBdr>
        <w:rPr>
          <w:color w:val="000000"/>
          <w:sz w:val="20"/>
          <w:szCs w:val="20"/>
        </w:rPr>
      </w:pPr>
    </w:p>
    <w:p w14:paraId="5AF5A776" w14:textId="77777777" w:rsidR="00A04E14" w:rsidRDefault="00A04E14">
      <w:pPr>
        <w:pBdr>
          <w:top w:val="nil"/>
          <w:left w:val="nil"/>
          <w:bottom w:val="nil"/>
          <w:right w:val="nil"/>
          <w:between w:val="nil"/>
        </w:pBdr>
        <w:rPr>
          <w:color w:val="000000"/>
          <w:sz w:val="20"/>
          <w:szCs w:val="20"/>
        </w:rPr>
      </w:pPr>
    </w:p>
    <w:p w14:paraId="1D262F10" w14:textId="77777777" w:rsidR="00A04E14" w:rsidRDefault="00A04E14">
      <w:pPr>
        <w:pBdr>
          <w:top w:val="nil"/>
          <w:left w:val="nil"/>
          <w:bottom w:val="nil"/>
          <w:right w:val="nil"/>
          <w:between w:val="nil"/>
        </w:pBdr>
        <w:rPr>
          <w:color w:val="000000"/>
          <w:sz w:val="20"/>
          <w:szCs w:val="20"/>
        </w:rPr>
      </w:pPr>
    </w:p>
    <w:p w14:paraId="5CE84071" w14:textId="77777777" w:rsidR="00A04E14" w:rsidRDefault="00000000">
      <w:pPr>
        <w:pBdr>
          <w:top w:val="nil"/>
          <w:left w:val="nil"/>
          <w:bottom w:val="nil"/>
          <w:right w:val="nil"/>
          <w:between w:val="nil"/>
        </w:pBdr>
        <w:spacing w:before="6"/>
        <w:rPr>
          <w:color w:val="000000"/>
        </w:rPr>
      </w:pPr>
      <w:r>
        <w:rPr>
          <w:noProof/>
        </w:rPr>
        <mc:AlternateContent>
          <mc:Choice Requires="wps">
            <w:drawing>
              <wp:anchor distT="0" distB="0" distL="114300" distR="114300" simplePos="0" relativeHeight="251673600" behindDoc="0" locked="0" layoutInCell="1" hidden="0" allowOverlap="1" wp14:anchorId="0B800BD5" wp14:editId="4A529E3B">
                <wp:simplePos x="0" y="0"/>
                <wp:positionH relativeFrom="column">
                  <wp:posOffset>546100</wp:posOffset>
                </wp:positionH>
                <wp:positionV relativeFrom="paragraph">
                  <wp:posOffset>177800</wp:posOffset>
                </wp:positionV>
                <wp:extent cx="6096" cy="12700"/>
                <wp:effectExtent l="0" t="0" r="0" b="0"/>
                <wp:wrapTopAndBottom distT="0" distB="0"/>
                <wp:docPr id="13" name="Rectangle 13"/>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2B9DEA7D" w14:textId="77777777" w:rsidR="00A04E14" w:rsidRDefault="00A04E14">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177800</wp:posOffset>
                </wp:positionV>
                <wp:extent cx="6096" cy="12700"/>
                <wp:effectExtent b="0" l="0" r="0" t="0"/>
                <wp:wrapTopAndBottom distB="0" distT="0"/>
                <wp:docPr id="13" name="image8.png"/>
                <a:graphic>
                  <a:graphicData uri="http://schemas.openxmlformats.org/drawingml/2006/picture">
                    <pic:pic>
                      <pic:nvPicPr>
                        <pic:cNvPr id="0" name="image8.png"/>
                        <pic:cNvPicPr preferRelativeResize="0"/>
                      </pic:nvPicPr>
                      <pic:blipFill>
                        <a:blip r:embed="rId55"/>
                        <a:srcRect/>
                        <a:stretch>
                          <a:fillRect/>
                        </a:stretch>
                      </pic:blipFill>
                      <pic:spPr>
                        <a:xfrm>
                          <a:off x="0" y="0"/>
                          <a:ext cx="6096" cy="12700"/>
                        </a:xfrm>
                        <a:prstGeom prst="rect"/>
                        <a:ln/>
                      </pic:spPr>
                    </pic:pic>
                  </a:graphicData>
                </a:graphic>
              </wp:anchor>
            </w:drawing>
          </mc:Fallback>
        </mc:AlternateContent>
      </w:r>
    </w:p>
    <w:p w14:paraId="54FD21C4" w14:textId="77777777" w:rsidR="00A04E14" w:rsidRDefault="00000000">
      <w:pPr>
        <w:spacing w:before="76"/>
        <w:ind w:left="699"/>
        <w:rPr>
          <w:sz w:val="16"/>
          <w:szCs w:val="16"/>
        </w:rPr>
        <w:sectPr w:rsidR="00A04E14">
          <w:pgSz w:w="12240" w:h="15840"/>
          <w:pgMar w:top="2380" w:right="980" w:bottom="280" w:left="1000" w:header="19" w:footer="0" w:gutter="0"/>
          <w:cols w:space="720"/>
        </w:sectPr>
      </w:pPr>
      <w:r>
        <w:rPr>
          <w:sz w:val="16"/>
          <w:szCs w:val="16"/>
          <w:vertAlign w:val="superscript"/>
        </w:rPr>
        <w:t>37</w:t>
      </w:r>
      <w:r>
        <w:rPr>
          <w:sz w:val="16"/>
          <w:szCs w:val="16"/>
        </w:rPr>
        <w:t xml:space="preserve"> CRC/C/ECU/CO/5-6.- párrafo 34</w:t>
      </w:r>
    </w:p>
    <w:p w14:paraId="0E053991" w14:textId="77777777" w:rsidR="00A04E14" w:rsidRDefault="00000000">
      <w:pPr>
        <w:pBdr>
          <w:top w:val="nil"/>
          <w:left w:val="nil"/>
          <w:bottom w:val="nil"/>
          <w:right w:val="nil"/>
          <w:between w:val="nil"/>
        </w:pBdr>
        <w:spacing w:before="1" w:line="276" w:lineRule="auto"/>
        <w:ind w:left="699" w:right="721"/>
        <w:jc w:val="both"/>
        <w:rPr>
          <w:color w:val="000000"/>
          <w:sz w:val="24"/>
          <w:szCs w:val="24"/>
        </w:rPr>
      </w:pPr>
      <w:r>
        <w:rPr>
          <w:color w:val="000000"/>
          <w:sz w:val="24"/>
          <w:szCs w:val="24"/>
        </w:rPr>
        <w:t>60.- Garantizar el diseño y ejecución de campañas públicas de información sobre el derecho a la interrupción voluntaria y legal del embarazo por causal violación y/o cuando se encuentre en riesgo la salud integral (incluyendo la salud mental o psicoemocional) o la vida de la persona gestante, cómo y dónde acceder y qué se puede hacer si se encuentran barreras en el ejercicio del derecho al aborto.</w:t>
      </w:r>
    </w:p>
    <w:sectPr w:rsidR="00A04E14">
      <w:pgSz w:w="12240" w:h="15840"/>
      <w:pgMar w:top="2380" w:right="980" w:bottom="280" w:left="1000" w:header="1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50455" w14:textId="77777777" w:rsidR="0039664F" w:rsidRDefault="0039664F">
      <w:r>
        <w:separator/>
      </w:r>
    </w:p>
  </w:endnote>
  <w:endnote w:type="continuationSeparator" w:id="0">
    <w:p w14:paraId="4E01DB23" w14:textId="77777777" w:rsidR="0039664F" w:rsidRDefault="0039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6478" w14:textId="77777777" w:rsidR="0039664F" w:rsidRDefault="0039664F">
      <w:r>
        <w:separator/>
      </w:r>
    </w:p>
  </w:footnote>
  <w:footnote w:type="continuationSeparator" w:id="0">
    <w:p w14:paraId="1717169D" w14:textId="77777777" w:rsidR="0039664F" w:rsidRDefault="00396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4EDC" w14:textId="77777777" w:rsidR="00A04E14" w:rsidRDefault="00000000">
    <w:pPr>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hidden="0" allowOverlap="1" wp14:anchorId="536D4C58" wp14:editId="23169E64">
          <wp:simplePos x="0" y="0"/>
          <wp:positionH relativeFrom="page">
            <wp:posOffset>0</wp:posOffset>
          </wp:positionH>
          <wp:positionV relativeFrom="page">
            <wp:posOffset>12191</wp:posOffset>
          </wp:positionV>
          <wp:extent cx="7772400" cy="1499616"/>
          <wp:effectExtent l="0" t="0" r="0" b="0"/>
          <wp:wrapNone/>
          <wp:docPr id="2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772400" cy="149961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61A13"/>
    <w:multiLevelType w:val="multilevel"/>
    <w:tmpl w:val="15305B62"/>
    <w:lvl w:ilvl="0">
      <w:start w:val="1"/>
      <w:numFmt w:val="upperLetter"/>
      <w:lvlText w:val="%1."/>
      <w:lvlJc w:val="left"/>
      <w:pPr>
        <w:ind w:left="1419" w:hanging="360"/>
      </w:pPr>
      <w:rPr>
        <w:b/>
      </w:rPr>
    </w:lvl>
    <w:lvl w:ilvl="1">
      <w:numFmt w:val="bullet"/>
      <w:lvlText w:val="•"/>
      <w:lvlJc w:val="left"/>
      <w:pPr>
        <w:ind w:left="2304" w:hanging="360"/>
      </w:pPr>
    </w:lvl>
    <w:lvl w:ilvl="2">
      <w:numFmt w:val="bullet"/>
      <w:lvlText w:val="•"/>
      <w:lvlJc w:val="left"/>
      <w:pPr>
        <w:ind w:left="3188" w:hanging="360"/>
      </w:pPr>
    </w:lvl>
    <w:lvl w:ilvl="3">
      <w:numFmt w:val="bullet"/>
      <w:lvlText w:val="•"/>
      <w:lvlJc w:val="left"/>
      <w:pPr>
        <w:ind w:left="4072" w:hanging="360"/>
      </w:pPr>
    </w:lvl>
    <w:lvl w:ilvl="4">
      <w:numFmt w:val="bullet"/>
      <w:lvlText w:val="•"/>
      <w:lvlJc w:val="left"/>
      <w:pPr>
        <w:ind w:left="4956" w:hanging="360"/>
      </w:pPr>
    </w:lvl>
    <w:lvl w:ilvl="5">
      <w:numFmt w:val="bullet"/>
      <w:lvlText w:val="•"/>
      <w:lvlJc w:val="left"/>
      <w:pPr>
        <w:ind w:left="5840" w:hanging="360"/>
      </w:pPr>
    </w:lvl>
    <w:lvl w:ilvl="6">
      <w:numFmt w:val="bullet"/>
      <w:lvlText w:val="•"/>
      <w:lvlJc w:val="left"/>
      <w:pPr>
        <w:ind w:left="6724" w:hanging="360"/>
      </w:pPr>
    </w:lvl>
    <w:lvl w:ilvl="7">
      <w:numFmt w:val="bullet"/>
      <w:lvlText w:val="•"/>
      <w:lvlJc w:val="left"/>
      <w:pPr>
        <w:ind w:left="7608" w:hanging="360"/>
      </w:pPr>
    </w:lvl>
    <w:lvl w:ilvl="8">
      <w:numFmt w:val="bullet"/>
      <w:lvlText w:val="•"/>
      <w:lvlJc w:val="left"/>
      <w:pPr>
        <w:ind w:left="8492" w:hanging="360"/>
      </w:pPr>
    </w:lvl>
  </w:abstractNum>
  <w:abstractNum w:abstractNumId="1" w15:restartNumberingAfterBreak="0">
    <w:nsid w:val="11A33E6C"/>
    <w:multiLevelType w:val="multilevel"/>
    <w:tmpl w:val="EE4676C4"/>
    <w:lvl w:ilvl="0">
      <w:start w:val="1"/>
      <w:numFmt w:val="upperRoman"/>
      <w:lvlText w:val="%1."/>
      <w:lvlJc w:val="left"/>
      <w:pPr>
        <w:ind w:left="1779" w:hanging="720"/>
      </w:pPr>
      <w:rPr>
        <w:rFonts w:ascii="Times New Roman" w:eastAsia="Times New Roman" w:hAnsi="Times New Roman" w:cs="Times New Roman"/>
        <w:b/>
        <w:sz w:val="24"/>
        <w:szCs w:val="24"/>
      </w:rPr>
    </w:lvl>
    <w:lvl w:ilvl="1">
      <w:numFmt w:val="bullet"/>
      <w:lvlText w:val="•"/>
      <w:lvlJc w:val="left"/>
      <w:pPr>
        <w:ind w:left="2628" w:hanging="720"/>
      </w:pPr>
    </w:lvl>
    <w:lvl w:ilvl="2">
      <w:numFmt w:val="bullet"/>
      <w:lvlText w:val="•"/>
      <w:lvlJc w:val="left"/>
      <w:pPr>
        <w:ind w:left="3476" w:hanging="720"/>
      </w:pPr>
    </w:lvl>
    <w:lvl w:ilvl="3">
      <w:numFmt w:val="bullet"/>
      <w:lvlText w:val="•"/>
      <w:lvlJc w:val="left"/>
      <w:pPr>
        <w:ind w:left="4324" w:hanging="720"/>
      </w:pPr>
    </w:lvl>
    <w:lvl w:ilvl="4">
      <w:numFmt w:val="bullet"/>
      <w:lvlText w:val="•"/>
      <w:lvlJc w:val="left"/>
      <w:pPr>
        <w:ind w:left="5172" w:hanging="720"/>
      </w:pPr>
    </w:lvl>
    <w:lvl w:ilvl="5">
      <w:numFmt w:val="bullet"/>
      <w:lvlText w:val="•"/>
      <w:lvlJc w:val="left"/>
      <w:pPr>
        <w:ind w:left="6020" w:hanging="720"/>
      </w:pPr>
    </w:lvl>
    <w:lvl w:ilvl="6">
      <w:numFmt w:val="bullet"/>
      <w:lvlText w:val="•"/>
      <w:lvlJc w:val="left"/>
      <w:pPr>
        <w:ind w:left="6868" w:hanging="720"/>
      </w:pPr>
    </w:lvl>
    <w:lvl w:ilvl="7">
      <w:numFmt w:val="bullet"/>
      <w:lvlText w:val="•"/>
      <w:lvlJc w:val="left"/>
      <w:pPr>
        <w:ind w:left="7716" w:hanging="720"/>
      </w:pPr>
    </w:lvl>
    <w:lvl w:ilvl="8">
      <w:numFmt w:val="bullet"/>
      <w:lvlText w:val="•"/>
      <w:lvlJc w:val="left"/>
      <w:pPr>
        <w:ind w:left="8564" w:hanging="720"/>
      </w:pPr>
    </w:lvl>
  </w:abstractNum>
  <w:abstractNum w:abstractNumId="2" w15:restartNumberingAfterBreak="0">
    <w:nsid w:val="1A6A7843"/>
    <w:multiLevelType w:val="multilevel"/>
    <w:tmpl w:val="EAD692AE"/>
    <w:lvl w:ilvl="0">
      <w:start w:val="1"/>
      <w:numFmt w:val="upperLetter"/>
      <w:lvlText w:val="%1."/>
      <w:lvlJc w:val="left"/>
      <w:pPr>
        <w:ind w:left="1419" w:hanging="360"/>
      </w:pPr>
      <w:rPr>
        <w:rFonts w:ascii="Times New Roman" w:eastAsia="Times New Roman" w:hAnsi="Times New Roman" w:cs="Times New Roman"/>
        <w:b/>
        <w:sz w:val="24"/>
        <w:szCs w:val="24"/>
      </w:rPr>
    </w:lvl>
    <w:lvl w:ilvl="1">
      <w:numFmt w:val="bullet"/>
      <w:lvlText w:val="•"/>
      <w:lvlJc w:val="left"/>
      <w:pPr>
        <w:ind w:left="2304" w:hanging="360"/>
      </w:pPr>
    </w:lvl>
    <w:lvl w:ilvl="2">
      <w:numFmt w:val="bullet"/>
      <w:lvlText w:val="•"/>
      <w:lvlJc w:val="left"/>
      <w:pPr>
        <w:ind w:left="3188" w:hanging="360"/>
      </w:pPr>
    </w:lvl>
    <w:lvl w:ilvl="3">
      <w:numFmt w:val="bullet"/>
      <w:lvlText w:val="•"/>
      <w:lvlJc w:val="left"/>
      <w:pPr>
        <w:ind w:left="4072" w:hanging="360"/>
      </w:pPr>
    </w:lvl>
    <w:lvl w:ilvl="4">
      <w:numFmt w:val="bullet"/>
      <w:lvlText w:val="•"/>
      <w:lvlJc w:val="left"/>
      <w:pPr>
        <w:ind w:left="4956" w:hanging="360"/>
      </w:pPr>
    </w:lvl>
    <w:lvl w:ilvl="5">
      <w:numFmt w:val="bullet"/>
      <w:lvlText w:val="•"/>
      <w:lvlJc w:val="left"/>
      <w:pPr>
        <w:ind w:left="5840" w:hanging="360"/>
      </w:pPr>
    </w:lvl>
    <w:lvl w:ilvl="6">
      <w:numFmt w:val="bullet"/>
      <w:lvlText w:val="•"/>
      <w:lvlJc w:val="left"/>
      <w:pPr>
        <w:ind w:left="6724" w:hanging="360"/>
      </w:pPr>
    </w:lvl>
    <w:lvl w:ilvl="7">
      <w:numFmt w:val="bullet"/>
      <w:lvlText w:val="•"/>
      <w:lvlJc w:val="left"/>
      <w:pPr>
        <w:ind w:left="7608" w:hanging="360"/>
      </w:pPr>
    </w:lvl>
    <w:lvl w:ilvl="8">
      <w:numFmt w:val="bullet"/>
      <w:lvlText w:val="•"/>
      <w:lvlJc w:val="left"/>
      <w:pPr>
        <w:ind w:left="8492" w:hanging="360"/>
      </w:pPr>
    </w:lvl>
  </w:abstractNum>
  <w:num w:numId="1" w16cid:durableId="1505902276">
    <w:abstractNumId w:val="0"/>
  </w:num>
  <w:num w:numId="2" w16cid:durableId="833253741">
    <w:abstractNumId w:val="2"/>
  </w:num>
  <w:num w:numId="3" w16cid:durableId="2094812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E14"/>
    <w:rsid w:val="0039664F"/>
    <w:rsid w:val="00822D9E"/>
    <w:rsid w:val="00A04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666DB"/>
  <w15:docId w15:val="{6C434BAD-1AC2-4E7E-A733-B023F26E2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uiPriority w:val="9"/>
    <w:qFormat/>
    <w:pPr>
      <w:ind w:left="699"/>
      <w:outlineLvl w:val="0"/>
    </w:pPr>
    <w:rPr>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79" w:hanging="721"/>
    </w:pPr>
  </w:style>
  <w:style w:type="paragraph" w:customStyle="1" w:styleId="TableParagraph">
    <w:name w:val="Table Paragraph"/>
    <w:basedOn w:val="Normal"/>
    <w:uiPriority w:val="1"/>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hyperlink" Target="mailto:cepam@cepamgye.org" TargetMode="External"/><Relationship Id="rId26" Type="http://schemas.openxmlformats.org/officeDocument/2006/relationships/image" Target="media/image19.png"/><Relationship Id="rId39" Type="http://schemas.openxmlformats.org/officeDocument/2006/relationships/image" Target="media/image9.png"/><Relationship Id="rId21" Type="http://schemas.openxmlformats.org/officeDocument/2006/relationships/hyperlink" Target="mailto:sangus@cepamgye.org" TargetMode="External"/><Relationship Id="rId34" Type="http://schemas.openxmlformats.org/officeDocument/2006/relationships/hyperlink" Target="http://www.eluniverso.com/opinion/cartas-al-director/crisis-en-el-sistema-judicial-del-ecuador-nota/" TargetMode="External"/><Relationship Id="rId42" Type="http://schemas.openxmlformats.org/officeDocument/2006/relationships/hyperlink" Target="http://www.derechoshumanos.gob.ec/erradicar-la-violencia-contra-las-mujeres-prioridad-para-el-gobierno-del-" TargetMode="External"/><Relationship Id="rId47" Type="http://schemas.openxmlformats.org/officeDocument/2006/relationships/image" Target="media/image14.png"/><Relationship Id="rId50" Type="http://schemas.openxmlformats.org/officeDocument/2006/relationships/hyperlink" Target="http://www.primicias.ec/noticias/sociedad/embarazos-ninas-adolescentes-ecuador-informe/" TargetMode="External"/><Relationship Id="rId55"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martinez@cepamgye.org" TargetMode="External"/><Relationship Id="rId29" Type="http://schemas.openxmlformats.org/officeDocument/2006/relationships/image" Target="media/image22.png"/><Relationship Id="rId11" Type="http://schemas.openxmlformats.org/officeDocument/2006/relationships/image" Target="media/image4.jpg"/><Relationship Id="rId24" Type="http://schemas.openxmlformats.org/officeDocument/2006/relationships/hyperlink" Target="mailto:info@srigeneva.com" TargetMode="External"/><Relationship Id="rId32" Type="http://schemas.openxmlformats.org/officeDocument/2006/relationships/hyperlink" Target="http://www.primicias.ec/noticias/politica/falta-jueces-fiscales-crisis-seguridad/" TargetMode="External"/><Relationship Id="rId37" Type="http://schemas.openxmlformats.org/officeDocument/2006/relationships/hyperlink" Target="http://www.unicef.org/lac/comunicados-prensa/ecuador-la-tasa-de-homicidios-de-ninos-ninas-y-adolescentes-aumento" TargetMode="External"/><Relationship Id="rId40" Type="http://schemas.openxmlformats.org/officeDocument/2006/relationships/image" Target="media/image21.png"/><Relationship Id="rId45" Type="http://schemas.openxmlformats.org/officeDocument/2006/relationships/image" Target="media/image12.png"/><Relationship Id="rId53" Type="http://schemas.openxmlformats.org/officeDocument/2006/relationships/image" Target="media/image17.png"/><Relationship Id="rId5" Type="http://schemas.openxmlformats.org/officeDocument/2006/relationships/webSettings" Target="webSettings.xml"/><Relationship Id="rId19" Type="http://schemas.openxmlformats.org/officeDocument/2006/relationships/hyperlink" Target="mailto:jolvera@cepamgye.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hyperlink" Target="mailto:akahata@akahataorg.org" TargetMode="External"/><Relationship Id="rId27" Type="http://schemas.openxmlformats.org/officeDocument/2006/relationships/hyperlink" Target="http://www.comunicacion.gob.ec/wp-content/uploads/2023/05/Decreto_Ejecutivo_No._741_20230417063831.pdf" TargetMode="External"/><Relationship Id="rId30" Type="http://schemas.openxmlformats.org/officeDocument/2006/relationships/hyperlink" Target="http://www.imf.org/es/Publications/WEO/Issues/2024/04/16/world-economic-outlook-april-2024" TargetMode="External"/><Relationship Id="rId35" Type="http://schemas.openxmlformats.org/officeDocument/2006/relationships/hyperlink" Target="http://www.acnur.org/noticias/panama-cifra-record-de-100-000-personas-refugiadas-y-migrantes-cruzan-el-darien-en-los" TargetMode="External"/><Relationship Id="rId43" Type="http://schemas.openxmlformats.org/officeDocument/2006/relationships/image" Target="media/image18.png"/><Relationship Id="rId48" Type="http://schemas.openxmlformats.org/officeDocument/2006/relationships/hyperlink" Target="http://www.ecuavisa.com/noticias/ecuador/ecuador-es-el-segundo-pais-de-la-region-con-mas-casos-de-adolescentes-embarazadas-"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mailto:cepam@cepamgye.org" TargetMode="External"/><Relationship Id="rId25" Type="http://schemas.openxmlformats.org/officeDocument/2006/relationships/image" Target="media/image16.png"/><Relationship Id="rId33" Type="http://schemas.openxmlformats.org/officeDocument/2006/relationships/hyperlink" Target="http://www.eluniverso.com/opinion/cartas-al-director/crisis-en-el-sistema-judicial-del-ecuador-nota/" TargetMode="External"/><Relationship Id="rId38" Type="http://schemas.openxmlformats.org/officeDocument/2006/relationships/image" Target="media/image11.png"/><Relationship Id="rId46" Type="http://schemas.openxmlformats.org/officeDocument/2006/relationships/hyperlink" Target="http://www.corteidh.or.cr/docs/casos/articulos/resumen_405_esp.pdf" TargetMode="External"/><Relationship Id="rId20" Type="http://schemas.openxmlformats.org/officeDocument/2006/relationships/hyperlink" Target="mailto:sangus@cepamgye.org" TargetMode="External"/><Relationship Id="rId41" Type="http://schemas.openxmlformats.org/officeDocument/2006/relationships/hyperlink" Target="http://www.fundacionaldea.org/noticias-aldea/mapa2023" TargetMode="External"/><Relationship Id="rId54" Type="http://schemas.openxmlformats.org/officeDocument/2006/relationships/hyperlink" Target="http://esacc.corteconstitucional.gob.ec/storage/api/v1/10_DWL_FL/e2NhcnBldGE6J3RyYW1pdGUnLCB1dWlkOidiZGE2NDE0YS1j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martinez@cepamgye.org" TargetMode="External"/><Relationship Id="rId23" Type="http://schemas.openxmlformats.org/officeDocument/2006/relationships/hyperlink" Target="mailto:akahata@akahataorg.org" TargetMode="External"/><Relationship Id="rId28" Type="http://schemas.openxmlformats.org/officeDocument/2006/relationships/hyperlink" Target="http://www.bce.fin.ec/" TargetMode="External"/><Relationship Id="rId36" Type="http://schemas.openxmlformats.org/officeDocument/2006/relationships/image" Target="media/image7.png"/><Relationship Id="rId49" Type="http://schemas.openxmlformats.org/officeDocument/2006/relationships/hyperlink" Target="http://www.primicias.ec/noticias/sociedad/embarazos-ninas-adolescentes-ecuador-informe/" TargetMode="External"/><Relationship Id="rId57" Type="http://schemas.openxmlformats.org/officeDocument/2006/relationships/theme" Target="theme/theme1.xml"/><Relationship Id="rId10" Type="http://schemas.openxmlformats.org/officeDocument/2006/relationships/image" Target="media/image3.jpg"/><Relationship Id="rId31" Type="http://schemas.openxmlformats.org/officeDocument/2006/relationships/hyperlink" Target="http://www.primicias.ec/noticias/politica/falta-jueces-fiscales-crisis-seguridad/" TargetMode="External"/><Relationship Id="rId44" Type="http://schemas.openxmlformats.org/officeDocument/2006/relationships/image" Target="media/image15.png"/><Relationship Id="rId52"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8mZ/Op/paySannNyLwdqIir4g==">CgMxLjA4AHIhMWZYbWJGb2JNM2h4WTQ1YmhuWV9MbjFTcmxsMTFUV0Jj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6337</Words>
  <Characters>36125</Characters>
  <Application>Microsoft Office Word</Application>
  <DocSecurity>0</DocSecurity>
  <Lines>301</Lines>
  <Paragraphs>84</Paragraphs>
  <ScaleCrop>false</ScaleCrop>
  <Company>OHCHR</Company>
  <LinksUpToDate>false</LinksUpToDate>
  <CharactersWithSpaces>42378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2025-01-05T14:12:00Z</dcterms:created>
  <dcterms:modified xsi:type="dcterms:W3CDTF">2025-01-05T14:12:00Z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LastSaved">
    <vt:filetime>2024-12-06T00:00:00Z</vt:filetime>
  </property>
</Properties>
</file>