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47C7D" w14:textId="77777777" w:rsidR="005D548B" w:rsidRPr="00BA4AEF" w:rsidRDefault="005D548B" w:rsidP="005D548B">
      <w:pPr>
        <w:spacing w:line="360" w:lineRule="auto"/>
        <w:jc w:val="center"/>
        <w:rPr>
          <w:rFonts w:ascii="Times New Roman" w:hAnsi="Times New Roman" w:cs="Times New Roman"/>
          <w:b/>
          <w:sz w:val="24"/>
          <w:szCs w:val="24"/>
          <w:lang w:val="en-US"/>
        </w:rPr>
      </w:pPr>
      <w:r w:rsidRPr="00BA4AEF">
        <w:rPr>
          <w:rFonts w:ascii="Times New Roman" w:hAnsi="Times New Roman" w:cs="Times New Roman"/>
          <w:b/>
          <w:sz w:val="24"/>
          <w:szCs w:val="24"/>
          <w:lang w:val="en-US"/>
        </w:rPr>
        <w:t>National Commission for Human Rights and Citizenship of Cabo Verde (CNDHC) Contributions for the 9th Periodic Report of the Republic of Cabo Verde to the United Nations Committee on the Elimination of Discrimination against Women (CEDAW)</w:t>
      </w:r>
    </w:p>
    <w:p w14:paraId="3F38A3A6" w14:textId="77777777" w:rsidR="005D548B" w:rsidRPr="00BA4AEF" w:rsidRDefault="005D548B" w:rsidP="005D548B">
      <w:pPr>
        <w:rPr>
          <w:lang w:val="en-US"/>
        </w:rPr>
      </w:pPr>
    </w:p>
    <w:p w14:paraId="7AEAE1C8" w14:textId="77777777" w:rsidR="005D548B" w:rsidRPr="00BA4AEF" w:rsidRDefault="005D548B" w:rsidP="005D548B">
      <w:pPr>
        <w:spacing w:line="360" w:lineRule="auto"/>
        <w:jc w:val="center"/>
        <w:rPr>
          <w:rFonts w:ascii="Times New Roman" w:hAnsi="Times New Roman" w:cs="Times New Roman"/>
          <w:b/>
          <w:sz w:val="24"/>
          <w:szCs w:val="24"/>
          <w:lang w:val="en-US"/>
        </w:rPr>
      </w:pPr>
      <w:r w:rsidRPr="00BA4AEF">
        <w:rPr>
          <w:rFonts w:ascii="Times New Roman" w:hAnsi="Times New Roman" w:cs="Times New Roman"/>
          <w:b/>
          <w:sz w:val="24"/>
          <w:szCs w:val="24"/>
          <w:lang w:val="en-US"/>
        </w:rPr>
        <w:t>INTRODUCTION</w:t>
      </w:r>
    </w:p>
    <w:p w14:paraId="1FE4A4A1" w14:textId="281215A4" w:rsidR="005D548B" w:rsidRPr="00BA4AEF" w:rsidRDefault="005D548B" w:rsidP="005D548B">
      <w:pPr>
        <w:spacing w:line="360" w:lineRule="auto"/>
        <w:jc w:val="both"/>
        <w:rPr>
          <w:rFonts w:ascii="Times New Roman" w:hAnsi="Times New Roman" w:cs="Times New Roman"/>
          <w:sz w:val="24"/>
          <w:szCs w:val="24"/>
          <w:lang w:val="en-US"/>
        </w:rPr>
      </w:pPr>
      <w:r w:rsidRPr="00BA4AEF">
        <w:rPr>
          <w:rFonts w:ascii="Times New Roman" w:hAnsi="Times New Roman" w:cs="Times New Roman"/>
          <w:sz w:val="24"/>
          <w:szCs w:val="24"/>
          <w:lang w:val="en-US"/>
        </w:rPr>
        <w:t xml:space="preserve">On submission of the ninth periodic report of the Republic of Cabo Verde on the implementation of the </w:t>
      </w:r>
      <w:r w:rsidRPr="00BA4AEF">
        <w:rPr>
          <w:rFonts w:ascii="Times New Roman" w:hAnsi="Times New Roman" w:cs="Times New Roman"/>
          <w:b/>
          <w:sz w:val="24"/>
          <w:szCs w:val="24"/>
          <w:lang w:val="en-US"/>
        </w:rPr>
        <w:t>Convention on the Elimination of All Forms of Discrimination against Women (CEDAW)</w:t>
      </w:r>
      <w:r w:rsidRPr="00BA4AEF">
        <w:rPr>
          <w:rFonts w:ascii="Times New Roman" w:hAnsi="Times New Roman" w:cs="Times New Roman"/>
          <w:sz w:val="24"/>
          <w:szCs w:val="24"/>
          <w:lang w:val="en-US"/>
        </w:rPr>
        <w:t xml:space="preserve">, held in October 2017, the National Commission for Human Rights and Citizenship (CNDHC) is pleased to submit this contribution to the UN </w:t>
      </w:r>
      <w:r w:rsidRPr="00BA4AEF">
        <w:rPr>
          <w:rFonts w:ascii="Times New Roman" w:hAnsi="Times New Roman" w:cs="Times New Roman"/>
          <w:b/>
          <w:sz w:val="24"/>
          <w:szCs w:val="24"/>
          <w:lang w:val="en-US"/>
        </w:rPr>
        <w:t>Committee on the Elimination of Discrimination against Women</w:t>
      </w:r>
      <w:r w:rsidRPr="00BA4AEF">
        <w:rPr>
          <w:rFonts w:ascii="Times New Roman" w:hAnsi="Times New Roman" w:cs="Times New Roman"/>
          <w:sz w:val="24"/>
          <w:szCs w:val="24"/>
          <w:lang w:val="en-US"/>
        </w:rPr>
        <w:t xml:space="preserve">, containing the </w:t>
      </w:r>
      <w:r w:rsidRPr="008F055E">
        <w:rPr>
          <w:rFonts w:ascii="Times New Roman" w:hAnsi="Times New Roman" w:cs="Times New Roman"/>
          <w:sz w:val="24"/>
          <w:szCs w:val="24"/>
          <w:lang w:val="en-US"/>
        </w:rPr>
        <w:t>Commission's perspective on the implementation of CEDAW in Cabo Ver</w:t>
      </w:r>
      <w:bookmarkStart w:id="0" w:name="_GoBack"/>
      <w:bookmarkEnd w:id="0"/>
      <w:r w:rsidRPr="008F055E">
        <w:rPr>
          <w:rFonts w:ascii="Times New Roman" w:hAnsi="Times New Roman" w:cs="Times New Roman"/>
          <w:sz w:val="24"/>
          <w:szCs w:val="24"/>
          <w:lang w:val="en-US"/>
        </w:rPr>
        <w:t>de, as well as its opinions and recommendations in this regard.</w:t>
      </w:r>
      <w:r w:rsidR="008F055E" w:rsidRPr="008F055E">
        <w:rPr>
          <w:rFonts w:ascii="Times New Roman" w:hAnsi="Times New Roman" w:cs="Times New Roman"/>
          <w:sz w:val="24"/>
          <w:szCs w:val="24"/>
          <w:lang w:val="en-US"/>
        </w:rPr>
        <w:t xml:space="preserve"> </w:t>
      </w:r>
      <w:r w:rsidRPr="008F055E">
        <w:rPr>
          <w:rFonts w:ascii="Times New Roman" w:hAnsi="Times New Roman" w:cs="Times New Roman"/>
          <w:sz w:val="24"/>
          <w:szCs w:val="24"/>
          <w:lang w:val="en-US"/>
        </w:rPr>
        <w:t>For the preparation of this document, meetings were held with civil society organizations and partners to collect relevant data and information</w:t>
      </w:r>
      <w:r w:rsidRPr="00BA4AEF">
        <w:rPr>
          <w:rFonts w:ascii="Times New Roman" w:hAnsi="Times New Roman" w:cs="Times New Roman"/>
          <w:sz w:val="24"/>
          <w:szCs w:val="24"/>
          <w:lang w:val="en-US"/>
        </w:rPr>
        <w:t xml:space="preserve"> which could support </w:t>
      </w:r>
      <w:r w:rsidR="008F055E">
        <w:rPr>
          <w:rFonts w:ascii="Times New Roman" w:hAnsi="Times New Roman" w:cs="Times New Roman"/>
          <w:sz w:val="24"/>
          <w:szCs w:val="24"/>
          <w:lang w:val="en-US"/>
        </w:rPr>
        <w:t>argumentation</w:t>
      </w:r>
      <w:r w:rsidRPr="00BA4AEF">
        <w:rPr>
          <w:rFonts w:ascii="Times New Roman" w:hAnsi="Times New Roman" w:cs="Times New Roman"/>
          <w:sz w:val="24"/>
          <w:szCs w:val="24"/>
          <w:lang w:val="en-US"/>
        </w:rPr>
        <w:t xml:space="preserve"> </w:t>
      </w:r>
      <w:r w:rsidR="008F055E">
        <w:rPr>
          <w:rFonts w:ascii="Times New Roman" w:hAnsi="Times New Roman" w:cs="Times New Roman"/>
          <w:sz w:val="24"/>
          <w:szCs w:val="24"/>
          <w:lang w:val="en-US"/>
        </w:rPr>
        <w:t xml:space="preserve">of </w:t>
      </w:r>
      <w:r w:rsidRPr="00BA4AEF">
        <w:rPr>
          <w:rFonts w:ascii="Times New Roman" w:hAnsi="Times New Roman" w:cs="Times New Roman"/>
          <w:sz w:val="24"/>
          <w:szCs w:val="24"/>
          <w:lang w:val="en-US"/>
        </w:rPr>
        <w:t>some articles considered important for the effective implementation of CEDAW. This report was prepared in the framework of the 73rd session of the Committee, from July 1 to 19, 2019.</w:t>
      </w:r>
    </w:p>
    <w:p w14:paraId="218C686A" w14:textId="77777777" w:rsidR="005D548B" w:rsidRPr="00BA4AEF" w:rsidRDefault="005D548B" w:rsidP="005D548B">
      <w:pPr>
        <w:rPr>
          <w:lang w:val="en-US"/>
        </w:rPr>
      </w:pPr>
    </w:p>
    <w:p w14:paraId="228E7FA1" w14:textId="77777777" w:rsidR="005D548B" w:rsidRPr="00C96479" w:rsidRDefault="005D548B" w:rsidP="00BA4AEF">
      <w:pPr>
        <w:spacing w:line="360" w:lineRule="auto"/>
        <w:rPr>
          <w:rFonts w:ascii="Times New Roman" w:hAnsi="Times New Roman" w:cs="Times New Roman"/>
          <w:b/>
          <w:bCs/>
          <w:sz w:val="24"/>
          <w:szCs w:val="24"/>
          <w:lang w:val="en-US"/>
        </w:rPr>
      </w:pPr>
      <w:r w:rsidRPr="00C96479">
        <w:rPr>
          <w:rFonts w:ascii="Times New Roman" w:hAnsi="Times New Roman" w:cs="Times New Roman"/>
          <w:b/>
          <w:bCs/>
          <w:sz w:val="24"/>
          <w:szCs w:val="24"/>
          <w:lang w:val="en-US"/>
        </w:rPr>
        <w:t>Discriminatory gender stereotypes and harmful practices</w:t>
      </w:r>
    </w:p>
    <w:p w14:paraId="07831CA5" w14:textId="77777777" w:rsidR="005D548B" w:rsidRPr="00BA4AEF" w:rsidRDefault="005D548B" w:rsidP="00BA4AEF">
      <w:pPr>
        <w:spacing w:line="360" w:lineRule="auto"/>
        <w:jc w:val="both"/>
        <w:rPr>
          <w:rFonts w:ascii="Times New Roman" w:hAnsi="Times New Roman" w:cs="Times New Roman"/>
          <w:sz w:val="24"/>
          <w:szCs w:val="24"/>
          <w:lang w:val="en-US"/>
        </w:rPr>
      </w:pPr>
      <w:r w:rsidRPr="00BA4AEF">
        <w:rPr>
          <w:rFonts w:ascii="Times New Roman" w:hAnsi="Times New Roman" w:cs="Times New Roman"/>
          <w:sz w:val="24"/>
          <w:szCs w:val="24"/>
          <w:lang w:val="en-US"/>
        </w:rPr>
        <w:t>Measures taken by the State to eliminate discriminatory and gender stereotypes deeply rooted in the education system, in the media (on the grounds of gender, sexual orientation and gender identity, or disability) are important, but the results are not known and the impact on society.</w:t>
      </w:r>
    </w:p>
    <w:p w14:paraId="4BEE9C90" w14:textId="77777777" w:rsidR="005D548B" w:rsidRPr="00C96479" w:rsidRDefault="005D548B" w:rsidP="00BA4AEF">
      <w:pPr>
        <w:spacing w:line="360" w:lineRule="auto"/>
        <w:jc w:val="both"/>
        <w:rPr>
          <w:rFonts w:ascii="Times New Roman" w:hAnsi="Times New Roman" w:cs="Times New Roman"/>
          <w:sz w:val="24"/>
          <w:szCs w:val="24"/>
          <w:lang w:val="en-US"/>
        </w:rPr>
      </w:pPr>
      <w:r w:rsidRPr="00C96479">
        <w:rPr>
          <w:rFonts w:ascii="Times New Roman" w:hAnsi="Times New Roman" w:cs="Times New Roman"/>
          <w:sz w:val="24"/>
          <w:szCs w:val="24"/>
          <w:lang w:val="en-US"/>
        </w:rPr>
        <w:t>Despite efforts, stereotypes still persist, so the State must adopt a comprehensive national strategy to eliminate stereotypes discriminate against LGBTI people and women.</w:t>
      </w:r>
    </w:p>
    <w:p w14:paraId="1BF92A1D" w14:textId="1428371D" w:rsidR="005D548B" w:rsidRPr="00C96479" w:rsidRDefault="005D548B" w:rsidP="00BA4AEF">
      <w:pPr>
        <w:spacing w:line="360" w:lineRule="auto"/>
        <w:jc w:val="both"/>
        <w:rPr>
          <w:rFonts w:ascii="Times New Roman" w:hAnsi="Times New Roman" w:cs="Times New Roman"/>
          <w:sz w:val="24"/>
          <w:szCs w:val="24"/>
          <w:lang w:val="en-US"/>
        </w:rPr>
      </w:pPr>
      <w:r w:rsidRPr="00C96479">
        <w:rPr>
          <w:rFonts w:ascii="Times New Roman" w:hAnsi="Times New Roman" w:cs="Times New Roman"/>
          <w:sz w:val="24"/>
          <w:szCs w:val="24"/>
          <w:lang w:val="en-US"/>
        </w:rPr>
        <w:lastRenderedPageBreak/>
        <w:t xml:space="preserve">It is recommended that the work of raising awareness </w:t>
      </w:r>
      <w:r w:rsidR="007176B2">
        <w:rPr>
          <w:rFonts w:ascii="Times New Roman" w:hAnsi="Times New Roman" w:cs="Times New Roman"/>
          <w:sz w:val="24"/>
          <w:szCs w:val="24"/>
          <w:lang w:val="en-US"/>
        </w:rPr>
        <w:t>among</w:t>
      </w:r>
      <w:r w:rsidRPr="00C96479">
        <w:rPr>
          <w:rFonts w:ascii="Times New Roman" w:hAnsi="Times New Roman" w:cs="Times New Roman"/>
          <w:sz w:val="24"/>
          <w:szCs w:val="24"/>
          <w:lang w:val="en-US"/>
        </w:rPr>
        <w:t xml:space="preserve"> men be strengthened by promoting new forms of masculinity</w:t>
      </w:r>
      <w:r w:rsidR="007176B2">
        <w:rPr>
          <w:rFonts w:ascii="Times New Roman" w:hAnsi="Times New Roman" w:cs="Times New Roman"/>
          <w:sz w:val="24"/>
          <w:szCs w:val="24"/>
          <w:lang w:val="en-US"/>
        </w:rPr>
        <w:t xml:space="preserve"> which allow</w:t>
      </w:r>
      <w:r w:rsidRPr="00C96479">
        <w:rPr>
          <w:rFonts w:ascii="Times New Roman" w:hAnsi="Times New Roman" w:cs="Times New Roman"/>
          <w:sz w:val="24"/>
          <w:szCs w:val="24"/>
          <w:lang w:val="en-US"/>
        </w:rPr>
        <w:t xml:space="preserve"> balanced sharing of domestic work between men and women.</w:t>
      </w:r>
    </w:p>
    <w:p w14:paraId="40D1604B" w14:textId="77777777" w:rsidR="005D548B" w:rsidRPr="00C96479" w:rsidRDefault="005D548B" w:rsidP="00BA4AEF">
      <w:pPr>
        <w:spacing w:line="360" w:lineRule="auto"/>
        <w:jc w:val="both"/>
        <w:rPr>
          <w:rFonts w:ascii="Times New Roman" w:hAnsi="Times New Roman" w:cs="Times New Roman"/>
          <w:sz w:val="24"/>
          <w:szCs w:val="24"/>
          <w:lang w:val="en-US"/>
        </w:rPr>
      </w:pPr>
      <w:r w:rsidRPr="00C96479">
        <w:rPr>
          <w:rFonts w:ascii="Times New Roman" w:hAnsi="Times New Roman" w:cs="Times New Roman"/>
          <w:sz w:val="24"/>
          <w:szCs w:val="24"/>
          <w:lang w:val="en-US"/>
        </w:rPr>
        <w:t>Concerning harmful practices, such as female genital mutilation, although there are no reports of complaints in the Attorney General's Office (PGR) or in the National Police (PN), it is recommended that the State adopt special measures and create projects with focus on migrant communities.</w:t>
      </w:r>
    </w:p>
    <w:p w14:paraId="014DFC68" w14:textId="53006808" w:rsidR="000233AC" w:rsidRPr="00C96479" w:rsidRDefault="005D548B" w:rsidP="00BA4AEF">
      <w:pPr>
        <w:spacing w:line="360" w:lineRule="auto"/>
        <w:jc w:val="both"/>
        <w:rPr>
          <w:rFonts w:ascii="Times New Roman" w:hAnsi="Times New Roman" w:cs="Times New Roman"/>
          <w:sz w:val="24"/>
          <w:szCs w:val="24"/>
          <w:lang w:val="en-US"/>
        </w:rPr>
      </w:pPr>
      <w:r w:rsidRPr="00C96479">
        <w:rPr>
          <w:rFonts w:ascii="Times New Roman" w:hAnsi="Times New Roman" w:cs="Times New Roman"/>
          <w:sz w:val="24"/>
          <w:szCs w:val="24"/>
          <w:lang w:val="en-US"/>
        </w:rPr>
        <w:t>It should be noted the need to adopt and implement measures and actions to prevent the harmful practice of early marriages, involving mainly girls in de facto unions.</w:t>
      </w:r>
    </w:p>
    <w:p w14:paraId="4B25CFBA" w14:textId="77777777" w:rsidR="00BA740C" w:rsidRPr="00C96479" w:rsidRDefault="00BA740C" w:rsidP="00BA740C">
      <w:pPr>
        <w:spacing w:line="360" w:lineRule="auto"/>
        <w:rPr>
          <w:rFonts w:ascii="Times New Roman" w:hAnsi="Times New Roman" w:cs="Times New Roman"/>
          <w:b/>
          <w:bCs/>
          <w:sz w:val="24"/>
          <w:szCs w:val="24"/>
          <w:lang w:val="en-US"/>
        </w:rPr>
      </w:pPr>
    </w:p>
    <w:p w14:paraId="1BF0C34B" w14:textId="28F14661" w:rsidR="00BA740C" w:rsidRPr="00C96479" w:rsidRDefault="00BA740C" w:rsidP="00BA740C">
      <w:pPr>
        <w:spacing w:line="360" w:lineRule="auto"/>
        <w:rPr>
          <w:rFonts w:ascii="Times New Roman" w:hAnsi="Times New Roman" w:cs="Times New Roman"/>
          <w:b/>
          <w:bCs/>
          <w:sz w:val="24"/>
          <w:szCs w:val="24"/>
          <w:lang w:val="en-US"/>
        </w:rPr>
      </w:pPr>
      <w:r w:rsidRPr="00C96479">
        <w:rPr>
          <w:rFonts w:ascii="Times New Roman" w:hAnsi="Times New Roman" w:cs="Times New Roman"/>
          <w:b/>
          <w:bCs/>
          <w:sz w:val="24"/>
          <w:szCs w:val="24"/>
          <w:lang w:val="en-US"/>
        </w:rPr>
        <w:t>Violence Against Women</w:t>
      </w:r>
    </w:p>
    <w:p w14:paraId="6EA739D3" w14:textId="77777777" w:rsidR="00D238AC" w:rsidRPr="00D238AC" w:rsidRDefault="00D238AC" w:rsidP="00D238AC">
      <w:pPr>
        <w:spacing w:line="360" w:lineRule="auto"/>
        <w:jc w:val="both"/>
        <w:rPr>
          <w:rFonts w:ascii="Times New Roman" w:hAnsi="Times New Roman" w:cs="Times New Roman"/>
          <w:sz w:val="24"/>
          <w:szCs w:val="24"/>
          <w:lang w:val="en-US"/>
        </w:rPr>
      </w:pPr>
      <w:r w:rsidRPr="00D238AC">
        <w:rPr>
          <w:rFonts w:ascii="Times New Roman" w:hAnsi="Times New Roman" w:cs="Times New Roman"/>
          <w:sz w:val="24"/>
          <w:szCs w:val="24"/>
          <w:lang w:val="en-US"/>
        </w:rPr>
        <w:t>There is a need to strengthen the enforcement of the Special Law against Gender-Based Violence (GBV) and the regulation to this law, taking into account the non-compliance with their provisions, which lead to the prevalence rate of 11% of GBV victims, with a focus on women.</w:t>
      </w:r>
    </w:p>
    <w:p w14:paraId="206252E2" w14:textId="77777777" w:rsidR="00D238AC" w:rsidRPr="00D238AC" w:rsidRDefault="00D238AC" w:rsidP="00D238AC">
      <w:pPr>
        <w:spacing w:line="360" w:lineRule="auto"/>
        <w:jc w:val="both"/>
        <w:rPr>
          <w:rFonts w:ascii="Times New Roman" w:hAnsi="Times New Roman" w:cs="Times New Roman"/>
          <w:sz w:val="24"/>
          <w:szCs w:val="24"/>
          <w:lang w:val="en-US"/>
        </w:rPr>
      </w:pPr>
      <w:r w:rsidRPr="00D238AC">
        <w:rPr>
          <w:rFonts w:ascii="Times New Roman" w:hAnsi="Times New Roman" w:cs="Times New Roman"/>
          <w:sz w:val="24"/>
          <w:szCs w:val="24"/>
          <w:lang w:val="en-US"/>
        </w:rPr>
        <w:t>It should be noted that there is a change in the types of GBV crimes, with serious cases of homicides followed by suicides or homicides followed by escaping, which demands attention from Government authorities in drawing up public policies in this area.</w:t>
      </w:r>
    </w:p>
    <w:p w14:paraId="77126C0F" w14:textId="77777777" w:rsidR="00D238AC" w:rsidRPr="00D238AC" w:rsidRDefault="00D238AC" w:rsidP="00D238AC">
      <w:pPr>
        <w:spacing w:line="360" w:lineRule="auto"/>
        <w:jc w:val="both"/>
        <w:rPr>
          <w:rFonts w:ascii="Times New Roman" w:hAnsi="Times New Roman" w:cs="Times New Roman"/>
          <w:sz w:val="24"/>
          <w:szCs w:val="24"/>
          <w:lang w:val="en-US"/>
        </w:rPr>
      </w:pPr>
      <w:r w:rsidRPr="00D238AC">
        <w:rPr>
          <w:rFonts w:ascii="Times New Roman" w:hAnsi="Times New Roman" w:cs="Times New Roman"/>
          <w:sz w:val="24"/>
          <w:szCs w:val="24"/>
          <w:lang w:val="en-US"/>
        </w:rPr>
        <w:t>The State needs to intensify the fight against violence against women and ensure the implementation of regulations for shelters for victims of sexual violence and GBV, according to norms and on all islands.</w:t>
      </w:r>
    </w:p>
    <w:p w14:paraId="6CA6E79D" w14:textId="29754CD2" w:rsidR="006E5C47" w:rsidRDefault="00D238AC" w:rsidP="00D238AC">
      <w:pPr>
        <w:spacing w:line="360" w:lineRule="auto"/>
        <w:jc w:val="both"/>
        <w:rPr>
          <w:rFonts w:ascii="Times New Roman" w:hAnsi="Times New Roman" w:cs="Times New Roman"/>
          <w:sz w:val="24"/>
          <w:szCs w:val="24"/>
          <w:lang w:val="en-US"/>
        </w:rPr>
      </w:pPr>
      <w:r w:rsidRPr="00D238AC">
        <w:rPr>
          <w:rFonts w:ascii="Times New Roman" w:hAnsi="Times New Roman" w:cs="Times New Roman"/>
          <w:sz w:val="24"/>
          <w:szCs w:val="24"/>
          <w:lang w:val="en-US"/>
        </w:rPr>
        <w:t>Intensification of awareness-raising actions is necessary, including the training of professionals involved in the support process and protection of victims, punishment of the aggressors, as well as their rehabilitation.</w:t>
      </w:r>
    </w:p>
    <w:p w14:paraId="301C580C" w14:textId="77777777" w:rsidR="00BE5852" w:rsidRPr="00BE5852" w:rsidRDefault="00BE5852" w:rsidP="00BE5852">
      <w:pPr>
        <w:spacing w:line="360" w:lineRule="auto"/>
        <w:jc w:val="both"/>
        <w:rPr>
          <w:rFonts w:ascii="Times New Roman" w:hAnsi="Times New Roman" w:cs="Times New Roman"/>
          <w:sz w:val="24"/>
          <w:szCs w:val="24"/>
          <w:lang w:val="en-US"/>
        </w:rPr>
      </w:pPr>
      <w:r w:rsidRPr="00BE5852">
        <w:rPr>
          <w:rFonts w:ascii="Times New Roman" w:hAnsi="Times New Roman" w:cs="Times New Roman"/>
          <w:sz w:val="24"/>
          <w:szCs w:val="24"/>
          <w:lang w:val="en-US"/>
        </w:rPr>
        <w:t xml:space="preserve">It is recommended the analysis of the reasons why cases for GBV crime are filed in the Attorney General's Office, with a view to proposing measures to ensure that the provisions of the Law are effectively complied with, if this is not the case. At the </w:t>
      </w:r>
      <w:r w:rsidRPr="00BE5852">
        <w:rPr>
          <w:rFonts w:ascii="Times New Roman" w:hAnsi="Times New Roman" w:cs="Times New Roman"/>
          <w:sz w:val="24"/>
          <w:szCs w:val="24"/>
          <w:lang w:val="en-US"/>
        </w:rPr>
        <w:lastRenderedPageBreak/>
        <w:t>same time, efforts must be intensified in order to combat delays in GBV processes, promoting compliance with the deadlines set by the Law.</w:t>
      </w:r>
    </w:p>
    <w:p w14:paraId="4A6A950F" w14:textId="77777777" w:rsidR="00BE5852" w:rsidRPr="00BE5852" w:rsidRDefault="00BE5852" w:rsidP="00BE5852">
      <w:pPr>
        <w:spacing w:line="360" w:lineRule="auto"/>
        <w:jc w:val="both"/>
        <w:rPr>
          <w:rFonts w:ascii="Times New Roman" w:hAnsi="Times New Roman" w:cs="Times New Roman"/>
          <w:sz w:val="24"/>
          <w:szCs w:val="24"/>
          <w:lang w:val="en-US"/>
        </w:rPr>
      </w:pPr>
      <w:r w:rsidRPr="00BE5852">
        <w:rPr>
          <w:rFonts w:ascii="Times New Roman" w:hAnsi="Times New Roman" w:cs="Times New Roman"/>
          <w:sz w:val="24"/>
          <w:szCs w:val="24"/>
          <w:lang w:val="en-US"/>
        </w:rPr>
        <w:t>It should be noted that there was a decrease in relation to institutional support for the GBV victim, with the extinction of Casas de Direito. It is urgent to revise the existing institutional support model offered by the centres which provide assistance to victims. Likewise, it is recommended to the State that the Victim Support Fund be implemented as a matter of urgency and the temporary shelters be implemented effectively, as there are already two shelters in Santiago Island of and another one in Fogo Island.</w:t>
      </w:r>
    </w:p>
    <w:p w14:paraId="1410D003" w14:textId="21DE4B8F" w:rsidR="00BE5852" w:rsidRDefault="00BE5852" w:rsidP="00BE5852">
      <w:pPr>
        <w:spacing w:line="360" w:lineRule="auto"/>
        <w:jc w:val="both"/>
        <w:rPr>
          <w:rFonts w:ascii="Times New Roman" w:hAnsi="Times New Roman" w:cs="Times New Roman"/>
          <w:sz w:val="24"/>
          <w:szCs w:val="24"/>
          <w:lang w:val="en-US"/>
        </w:rPr>
      </w:pPr>
      <w:r w:rsidRPr="00BE5852">
        <w:rPr>
          <w:rFonts w:ascii="Times New Roman" w:hAnsi="Times New Roman" w:cs="Times New Roman"/>
          <w:sz w:val="24"/>
          <w:szCs w:val="24"/>
          <w:lang w:val="en-US"/>
        </w:rPr>
        <w:t>The partnership agreement signed between ICIEG and the 22 City Halls for the implementation of victim support centres has not been effectively implemented. The available information indicates that it only works in the municipality of Paul, and with the strong support of the District Attorney, so it is recommended to activate the other committees to ensure multidisciplinary care in a single space (psychological, legal and social).</w:t>
      </w:r>
    </w:p>
    <w:p w14:paraId="265AECB8" w14:textId="77777777" w:rsidR="005F082F" w:rsidRDefault="005F082F" w:rsidP="00051955">
      <w:pPr>
        <w:spacing w:line="360" w:lineRule="auto"/>
        <w:jc w:val="both"/>
        <w:rPr>
          <w:rFonts w:ascii="Times New Roman" w:hAnsi="Times New Roman" w:cs="Times New Roman"/>
          <w:b/>
          <w:sz w:val="24"/>
          <w:szCs w:val="24"/>
          <w:lang w:val="en-US"/>
        </w:rPr>
      </w:pPr>
    </w:p>
    <w:p w14:paraId="3C88FA5A" w14:textId="727FA7F2" w:rsidR="00051955" w:rsidRPr="005F082F" w:rsidRDefault="00051955" w:rsidP="00051955">
      <w:pPr>
        <w:spacing w:line="360" w:lineRule="auto"/>
        <w:jc w:val="both"/>
        <w:rPr>
          <w:rFonts w:ascii="Times New Roman" w:hAnsi="Times New Roman" w:cs="Times New Roman"/>
          <w:b/>
          <w:sz w:val="24"/>
          <w:szCs w:val="24"/>
          <w:lang w:val="en-US"/>
        </w:rPr>
      </w:pPr>
      <w:r w:rsidRPr="005F082F">
        <w:rPr>
          <w:rFonts w:ascii="Times New Roman" w:hAnsi="Times New Roman" w:cs="Times New Roman"/>
          <w:b/>
          <w:sz w:val="24"/>
          <w:szCs w:val="24"/>
          <w:lang w:val="en-US"/>
        </w:rPr>
        <w:t>Trafficking and exploitation of the prostitution</w:t>
      </w:r>
    </w:p>
    <w:p w14:paraId="6DF928E8" w14:textId="77777777" w:rsidR="00051955" w:rsidRP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t>In 2015, Cabo Verde established and criminalized trafficking in persons, with new changes introduced in the Criminal Code, approved by Legislative Decree No. 4/2015, of November 11. Measures were taken to combat, prevent and suppress trafficking in person, as provided for in the new legal regime on the entry, stay, exit and expulsion of foreigners, approved by Law No. 66 / VIII / 2014, of July 17, and regulated by Decree-law No. 2/2015, January 6.</w:t>
      </w:r>
    </w:p>
    <w:p w14:paraId="0AA340CC" w14:textId="77777777" w:rsidR="00051955" w:rsidRP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t>The revision of the Criminal Code has strengthened the legal framework for combating violence against children by maintaining criminal offenses related to sexual offenses and by adding Article 145-A which punishes the use of child prostitution. In addition, it aggravates the majority of sentences of sexual offenses, increases the age in article 145 on the sexual abuse of minors between 14 and 16 years for children between the ages of 14 and 18 and revises articles 148 and 149 to criminalize the facilitation, or benefit, of the prostitution of children aged 16 to 18 years.</w:t>
      </w:r>
    </w:p>
    <w:p w14:paraId="33F996F8" w14:textId="77777777" w:rsidR="00051955" w:rsidRP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lastRenderedPageBreak/>
        <w:t xml:space="preserve">The Revised Code typifies trafficking in persons, including minors, for the purpose of sexual </w:t>
      </w:r>
      <w:r w:rsidRPr="00541583">
        <w:rPr>
          <w:rFonts w:ascii="Times New Roman" w:hAnsi="Times New Roman" w:cs="Times New Roman"/>
          <w:sz w:val="24"/>
          <w:szCs w:val="24"/>
          <w:lang w:val="en-US"/>
        </w:rPr>
        <w:t>exploitation (Article 271-A).</w:t>
      </w:r>
      <w:r w:rsidRPr="00051955">
        <w:rPr>
          <w:rFonts w:ascii="Times New Roman" w:hAnsi="Times New Roman" w:cs="Times New Roman"/>
          <w:sz w:val="24"/>
          <w:szCs w:val="24"/>
          <w:lang w:val="en-US"/>
        </w:rPr>
        <w:t xml:space="preserve"> However, it does not yet typify cybercrimes, where information and communication technologies are used to commit sexual crimes against minors, and the State must proceed with the adoption of a law in this area.</w:t>
      </w:r>
    </w:p>
    <w:p w14:paraId="09217F2A" w14:textId="77777777" w:rsidR="00051955" w:rsidRP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t>Some measures have been taken but are not considered to be sufficient to eradicate or combat trafficking in persons and the exploitation of the prostitution, and the State should continue to take measures to strengthen the implementation of specific legislation in a comprehensive manner against trafficking in persons and sexual exploitation, as well as to adopt a national plan with specific reference to the trafficking and exploitation of the prostitution, guaranteeing the follow-up and evaluation.</w:t>
      </w:r>
    </w:p>
    <w:p w14:paraId="65182447" w14:textId="77777777" w:rsidR="00051955" w:rsidRP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t>The State must reinforce the mechanisms that allow denunciation to take effect and punish traffickers. In addition, the State should strengthen services for investigation and prosecution of crimes of trafficking in persons and sexual exploitation of the prostitution, fostering international partnerships to strengthen the capacity of technicians working directly with victims.</w:t>
      </w:r>
    </w:p>
    <w:p w14:paraId="68058224" w14:textId="10AB4B99" w:rsidR="00051955" w:rsidRDefault="00051955" w:rsidP="00051955">
      <w:pPr>
        <w:spacing w:line="360" w:lineRule="auto"/>
        <w:jc w:val="both"/>
        <w:rPr>
          <w:rFonts w:ascii="Times New Roman" w:hAnsi="Times New Roman" w:cs="Times New Roman"/>
          <w:sz w:val="24"/>
          <w:szCs w:val="24"/>
          <w:lang w:val="en-US"/>
        </w:rPr>
      </w:pPr>
      <w:r w:rsidRPr="00051955">
        <w:rPr>
          <w:rFonts w:ascii="Times New Roman" w:hAnsi="Times New Roman" w:cs="Times New Roman"/>
          <w:sz w:val="24"/>
          <w:szCs w:val="24"/>
          <w:lang w:val="en-US"/>
        </w:rPr>
        <w:t>There have been reports of cases of sexual exploitation of immigrant women from West African countries, notably of Nigerian nationality, on the islands of Sal and Boa</w:t>
      </w:r>
      <w:r>
        <w:rPr>
          <w:rFonts w:ascii="Times New Roman" w:hAnsi="Times New Roman" w:cs="Times New Roman"/>
          <w:sz w:val="24"/>
          <w:szCs w:val="24"/>
          <w:lang w:val="en-US"/>
        </w:rPr>
        <w:t xml:space="preserve"> V</w:t>
      </w:r>
      <w:r w:rsidRPr="00051955">
        <w:rPr>
          <w:rFonts w:ascii="Times New Roman" w:hAnsi="Times New Roman" w:cs="Times New Roman"/>
          <w:sz w:val="24"/>
          <w:szCs w:val="24"/>
          <w:lang w:val="en-US"/>
        </w:rPr>
        <w:t>ista. The contours of these practices are not well known, but the media and civil society organizations have reported episodes of this reality in the tourist areas of these islands, involving the retention of passport to guarantee the payment of debts. Recently, on the Attorney-General of the Republic website was reported the indictment of three natural persons and a legal person in the Sal Island for the crime of trafficking in persons and job for an irregular foreign worker.</w:t>
      </w:r>
    </w:p>
    <w:p w14:paraId="4160DFF7" w14:textId="77777777" w:rsidR="005F082F" w:rsidRDefault="005F082F" w:rsidP="00664FE8">
      <w:pPr>
        <w:spacing w:line="360" w:lineRule="auto"/>
        <w:jc w:val="both"/>
        <w:rPr>
          <w:rFonts w:ascii="Times New Roman" w:hAnsi="Times New Roman" w:cs="Times New Roman"/>
          <w:b/>
          <w:sz w:val="24"/>
          <w:szCs w:val="24"/>
          <w:lang w:val="en-US"/>
        </w:rPr>
      </w:pPr>
    </w:p>
    <w:p w14:paraId="36E1E3EF" w14:textId="04C2D48D" w:rsidR="00664FE8" w:rsidRPr="005F082F" w:rsidRDefault="00664FE8" w:rsidP="00664FE8">
      <w:pPr>
        <w:spacing w:line="360" w:lineRule="auto"/>
        <w:jc w:val="both"/>
        <w:rPr>
          <w:rFonts w:ascii="Times New Roman" w:hAnsi="Times New Roman" w:cs="Times New Roman"/>
          <w:b/>
          <w:sz w:val="24"/>
          <w:szCs w:val="24"/>
          <w:lang w:val="en-US"/>
        </w:rPr>
      </w:pPr>
      <w:r w:rsidRPr="005F082F">
        <w:rPr>
          <w:rFonts w:ascii="Times New Roman" w:hAnsi="Times New Roman" w:cs="Times New Roman"/>
          <w:b/>
          <w:sz w:val="24"/>
          <w:szCs w:val="24"/>
          <w:lang w:val="en-US"/>
        </w:rPr>
        <w:t>Participation in Political and Public Life</w:t>
      </w:r>
    </w:p>
    <w:p w14:paraId="12F21CDF"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 xml:space="preserve">The State must accelerate the process of approving and implementing the parity law, whose draft bill, which had already existed for years, was submitted by the Cabo </w:t>
      </w:r>
      <w:r w:rsidRPr="00664FE8">
        <w:rPr>
          <w:rFonts w:ascii="Times New Roman" w:hAnsi="Times New Roman" w:cs="Times New Roman"/>
          <w:sz w:val="24"/>
          <w:szCs w:val="24"/>
          <w:lang w:val="en-US"/>
        </w:rPr>
        <w:lastRenderedPageBreak/>
        <w:t>Verdean Parliamentary Women Network to political parties, with seats in the National Assembly for discussion and adopted in May 2019. It is thus vital to boost women's participation in political and public life, to combat discrimination in society and to promote equal rights in the economic and political sphere.</w:t>
      </w:r>
    </w:p>
    <w:p w14:paraId="6D4A50B4"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It is necessary for the State to continue its efforts to adapt the Electoral Code to the parity law immediately after its approval. It is also recommended that the State, in partnership with civil society organizations, intensify awareness-raising on the importance of women's participation in public and political life and in decision-making in both urban and rural areas.</w:t>
      </w:r>
    </w:p>
    <w:p w14:paraId="57070459"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It should be noted that there has been improvement in the level of women's participation, although timid, from 20.8% of MPs in 2013 to 23.65% in 2016. But at the level of the Executive there has been a decrease, since in 2014, there were 11 Women and 8 Men in Government. In 2014, Cabo Verde became the 2nd country in the world with the largest number of women in the Government and in 2016 Cabo Verde reduced its participation to 3 women, a total of 12 Government members. This decrease also occurred in the sphere of the local administrations with respect to Mayors, having reduced of 1 woman in 2013 to 0 in 2016.</w:t>
      </w:r>
    </w:p>
    <w:p w14:paraId="433EA705" w14:textId="77777777" w:rsidR="00664FE8" w:rsidRPr="00664FE8" w:rsidRDefault="00664FE8" w:rsidP="00664FE8">
      <w:pPr>
        <w:spacing w:line="360" w:lineRule="auto"/>
        <w:jc w:val="both"/>
        <w:rPr>
          <w:rFonts w:ascii="Times New Roman" w:hAnsi="Times New Roman" w:cs="Times New Roman"/>
          <w:sz w:val="24"/>
          <w:szCs w:val="24"/>
          <w:lang w:val="en-US"/>
        </w:rPr>
      </w:pPr>
    </w:p>
    <w:p w14:paraId="559A38BE" w14:textId="77777777" w:rsidR="00664FE8" w:rsidRPr="005F082F" w:rsidRDefault="00664FE8" w:rsidP="00664FE8">
      <w:pPr>
        <w:spacing w:line="360" w:lineRule="auto"/>
        <w:jc w:val="both"/>
        <w:rPr>
          <w:rFonts w:ascii="Times New Roman" w:hAnsi="Times New Roman" w:cs="Times New Roman"/>
          <w:b/>
          <w:sz w:val="24"/>
          <w:szCs w:val="24"/>
          <w:lang w:val="en-US"/>
        </w:rPr>
      </w:pPr>
      <w:r w:rsidRPr="005F082F">
        <w:rPr>
          <w:rFonts w:ascii="Times New Roman" w:hAnsi="Times New Roman" w:cs="Times New Roman"/>
          <w:b/>
          <w:sz w:val="24"/>
          <w:szCs w:val="24"/>
          <w:lang w:val="en-US"/>
        </w:rPr>
        <w:t>Equality in Education</w:t>
      </w:r>
    </w:p>
    <w:p w14:paraId="187FA745"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Much has been done to improve women's access to education, but there is still a need to strengthen adult literacy programs, especially for women in rural areas.</w:t>
      </w:r>
    </w:p>
    <w:p w14:paraId="7440B829"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It is necessary to prevent, punish and eradicate all forms of violence against women and girls in public and private education institutions, as cases are still reported through civil society organizations.</w:t>
      </w:r>
    </w:p>
    <w:p w14:paraId="71E602A4"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In addition, the State should continue to promote equality to facilitate access to education at all levels, including strategies to provide access to rural women and women with disabilities to education.</w:t>
      </w:r>
    </w:p>
    <w:p w14:paraId="20003043"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lastRenderedPageBreak/>
        <w:t>The promotion of the mainstreaming of human rights, citizenship and gender education in curricula and educational materials is encouraged, as well as the promotion of the inclusion of age-appropriate sex education, health and reproductive rights content.</w:t>
      </w:r>
    </w:p>
    <w:p w14:paraId="4248365C" w14:textId="77777777" w:rsidR="00664FE8" w:rsidRP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In this regard, it is fundamental that the State guarantees the implementation of Decree-Law No. 47/2017, of October 26, which establishes measures of social and school support to pregnant students, promoting specific action in cases of pregnancy of children under 14 years, associated with a crime of sexual abuse. On the other hand, it is essential to create instances in school premises that support pregnant adolescents and discourage suspension and / or dropping out of school.</w:t>
      </w:r>
    </w:p>
    <w:p w14:paraId="167FE60E" w14:textId="36E1C093" w:rsidR="00664FE8" w:rsidRDefault="00664FE8" w:rsidP="00664FE8">
      <w:pPr>
        <w:spacing w:line="360" w:lineRule="auto"/>
        <w:jc w:val="both"/>
        <w:rPr>
          <w:rFonts w:ascii="Times New Roman" w:hAnsi="Times New Roman" w:cs="Times New Roman"/>
          <w:sz w:val="24"/>
          <w:szCs w:val="24"/>
          <w:lang w:val="en-US"/>
        </w:rPr>
      </w:pPr>
      <w:r w:rsidRPr="00664FE8">
        <w:rPr>
          <w:rFonts w:ascii="Times New Roman" w:hAnsi="Times New Roman" w:cs="Times New Roman"/>
          <w:sz w:val="24"/>
          <w:szCs w:val="24"/>
          <w:lang w:val="en-US"/>
        </w:rPr>
        <w:t>The State should create the necessary conditions to ensure special education in all schools of the country, in order to ensure the rights of persons with disabilities.</w:t>
      </w:r>
    </w:p>
    <w:p w14:paraId="5665F27B" w14:textId="77777777" w:rsidR="005F082F" w:rsidRDefault="005F082F" w:rsidP="005F082F">
      <w:pPr>
        <w:spacing w:line="360" w:lineRule="auto"/>
        <w:jc w:val="both"/>
        <w:rPr>
          <w:rFonts w:ascii="Times New Roman" w:hAnsi="Times New Roman" w:cs="Times New Roman"/>
          <w:b/>
          <w:sz w:val="24"/>
          <w:szCs w:val="24"/>
          <w:lang w:val="en-US"/>
        </w:rPr>
      </w:pPr>
    </w:p>
    <w:p w14:paraId="0D7ABEAF" w14:textId="605FCDC5" w:rsidR="005F082F" w:rsidRPr="005F082F" w:rsidRDefault="005F082F" w:rsidP="005F082F">
      <w:pPr>
        <w:spacing w:line="360" w:lineRule="auto"/>
        <w:jc w:val="both"/>
        <w:rPr>
          <w:rFonts w:ascii="Times New Roman" w:hAnsi="Times New Roman" w:cs="Times New Roman"/>
          <w:b/>
          <w:sz w:val="24"/>
          <w:szCs w:val="24"/>
          <w:lang w:val="en-US"/>
        </w:rPr>
      </w:pPr>
      <w:r w:rsidRPr="005F082F">
        <w:rPr>
          <w:rFonts w:ascii="Times New Roman" w:hAnsi="Times New Roman" w:cs="Times New Roman"/>
          <w:b/>
          <w:sz w:val="24"/>
          <w:szCs w:val="24"/>
          <w:lang w:val="en-US"/>
        </w:rPr>
        <w:t>Equality of Rights in the Workplace</w:t>
      </w:r>
    </w:p>
    <w:p w14:paraId="38F1E5CA"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The State of Cabo Verde has introduced some adjustments in labour legislation, but the principle of equal pay for work of equal value still needs to be incorporated into the Labour Code in line with Convention 100 of the International Labour Organization (ILO) and to continue to work to eliminate the gender pay gap and to ensure equal opportunities for women in the labour market.</w:t>
      </w:r>
    </w:p>
    <w:p w14:paraId="33094249"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In addition, it is recommended that the State amend the Labour Code in respect of maternity leave to increase the leave period from 2 to 4 months and the inclusion of paternity leave within the first 10 days child's birth, as a way to stimulate men's participation in childcare.</w:t>
      </w:r>
    </w:p>
    <w:p w14:paraId="0540C470"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Despite some progress, women continue to be more inactive than men and when they active the integration in the labour market is less favorable, since most are in domestic work, health, trade, education, housing and catering, continuing discriminatory acts and the permanence of gender stereotypes. There is a large percentage of women in the informal sector, which makes them more susceptible to not being covered by the social security contributory scheme and more susceptible to low social pensions, making them more vulnerable to poverty.</w:t>
      </w:r>
    </w:p>
    <w:p w14:paraId="20BCAEF7"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lastRenderedPageBreak/>
        <w:t>Domestic workers, the majority of whom are women, have a set of rights enshrined in the Cabo Verde legal system that have yet to be implemented, namely the poor enrollment in the national social security system and the non-inclusion in the unemployment insurance fund. It is also necessary to regulate domestic work, and there is already a proposal for a law in this sense, but has not yet been approved.</w:t>
      </w:r>
    </w:p>
    <w:p w14:paraId="01910F01"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The innovation since then refers to the approval of Decree-Law No. 15/2016 of 5 March 2016, which establishes the legal regime for the award of unemployment benefits, as well as Decree-Law No. 23/2017, of May 29, establishing May 1, 2017 for the entry into force of the unemployment benefit in a phased manner, specifying that it will begin with the general regime, while the special regimes (domestic workers, public administration and special regime for micro and small enterprises) will be progressively incorporated by means of a specific law.</w:t>
      </w:r>
    </w:p>
    <w:p w14:paraId="34F9419A"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It is necessary to expand the measures for the conversion of women's labour informality, including the de-bureaucratization of the Special Regime for Micro and Small Enterprises - REMPE and its promotion and dissemination that can effectively cover women in the informal sector.</w:t>
      </w:r>
    </w:p>
    <w:p w14:paraId="67AFB247" w14:textId="77777777" w:rsidR="00F176FA" w:rsidRDefault="00F176FA" w:rsidP="005F082F">
      <w:pPr>
        <w:spacing w:line="360" w:lineRule="auto"/>
        <w:jc w:val="both"/>
        <w:rPr>
          <w:rFonts w:ascii="Times New Roman" w:hAnsi="Times New Roman" w:cs="Times New Roman"/>
          <w:b/>
          <w:sz w:val="24"/>
          <w:szCs w:val="24"/>
          <w:lang w:val="en-US"/>
        </w:rPr>
      </w:pPr>
    </w:p>
    <w:p w14:paraId="5956792D" w14:textId="7DD1762E" w:rsidR="005F082F" w:rsidRPr="005F082F" w:rsidRDefault="005F082F" w:rsidP="005F082F">
      <w:pPr>
        <w:spacing w:line="360" w:lineRule="auto"/>
        <w:jc w:val="both"/>
        <w:rPr>
          <w:rFonts w:ascii="Times New Roman" w:hAnsi="Times New Roman" w:cs="Times New Roman"/>
          <w:b/>
          <w:sz w:val="24"/>
          <w:szCs w:val="24"/>
          <w:lang w:val="en-US"/>
        </w:rPr>
      </w:pPr>
      <w:r w:rsidRPr="005F082F">
        <w:rPr>
          <w:rFonts w:ascii="Times New Roman" w:hAnsi="Times New Roman" w:cs="Times New Roman"/>
          <w:b/>
          <w:sz w:val="24"/>
          <w:szCs w:val="24"/>
          <w:lang w:val="en-US"/>
        </w:rPr>
        <w:t>Access to health services</w:t>
      </w:r>
    </w:p>
    <w:p w14:paraId="65739C95"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The change in the medical reimbursement table in public health structures, exempting pregnant and parturient women from health care fees in order to avoid the regression of childbirth indicators in health facilities and the creation of conditions so that babies up to 2 years can be accompanied by one of the parents in case of hospitalization constitute urgent and necessary measures to be taken in order to encourage the demand for health services.</w:t>
      </w:r>
    </w:p>
    <w:p w14:paraId="1F4AF193"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In order to guarantee a better response in terms of social protection, it is urgent that the State regulates the Basic Law on Social Protection of the Non-Contributory Regime, so that people in situations of vulnerability can enjoy the rights already enshrined.</w:t>
      </w:r>
    </w:p>
    <w:p w14:paraId="19224808"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lastRenderedPageBreak/>
        <w:t>It is necessary to promote the effective guarantee of the right to health, improving the physical, geographical and economic accessibility of public services, including primary care and observing the situation of the most vulnerable.</w:t>
      </w:r>
    </w:p>
    <w:p w14:paraId="53321427" w14:textId="77777777" w:rsidR="005F082F" w:rsidRPr="005F082F"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It is considered necessary to implement measures and actions to address sexual exploitation, abuse and use of alcohol, tobacco and other substances, teenage pregnancy, Sexually Transmitted Infections (STIs), Human Immunodeficiency Virus (HIV / AIDS ) and unsafe abortion.</w:t>
      </w:r>
    </w:p>
    <w:p w14:paraId="0DA5A66A" w14:textId="538F58E4" w:rsidR="00664FE8" w:rsidRDefault="005F082F" w:rsidP="005F082F">
      <w:pPr>
        <w:spacing w:line="360" w:lineRule="auto"/>
        <w:jc w:val="both"/>
        <w:rPr>
          <w:rFonts w:ascii="Times New Roman" w:hAnsi="Times New Roman" w:cs="Times New Roman"/>
          <w:sz w:val="24"/>
          <w:szCs w:val="24"/>
          <w:lang w:val="en-US"/>
        </w:rPr>
      </w:pPr>
      <w:r w:rsidRPr="005F082F">
        <w:rPr>
          <w:rFonts w:ascii="Times New Roman" w:hAnsi="Times New Roman" w:cs="Times New Roman"/>
          <w:sz w:val="24"/>
          <w:szCs w:val="24"/>
          <w:lang w:val="en-US"/>
        </w:rPr>
        <w:t>It is essential to strengthen and review the strategies adopted by the Sexual and Reproductive Health Services, including the provision of sex education for all adolescents.</w:t>
      </w:r>
    </w:p>
    <w:p w14:paraId="74DEA470"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Pregnant women have free access to Sexual and Reproductive Health services, including prenatal HIV testing, pre-natal and post-natal care. On the other hand, there was a lack of access to sexual and reproductive health by people in rural areas and, moreover, access to consultations with specialists in all health facilities. In spite of the efforts, it is verified that the programs directed to Sexual and Reproductive Health have not yet achieved an action that reaches the reality of the situation of the people, citing the deficiencies in the service, with deficiency in the provision of information and guidelines, marking and conducting examinations, among others. In recent years there have been cases of women who lost their lives due to poor conditions in internal evacuation and urgent attention is therefore required.</w:t>
      </w:r>
    </w:p>
    <w:p w14:paraId="1C57637C"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Continuing to effectively ensure the free provision of sexual and reproductive health services and to promote their expansion and improve access to sexual and reproductive health services for rural women and women with disabilities are recommended strategies.</w:t>
      </w:r>
    </w:p>
    <w:p w14:paraId="5F905D31"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It is imperative to review the regulation of voluntary termination of pregnancy in public health institutions, presenting measures to reduce the bureaucracy of the process, as well as to review costs and ensure that women with limited economic resources have access to services free of charge.</w:t>
      </w:r>
    </w:p>
    <w:p w14:paraId="40541624"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lastRenderedPageBreak/>
        <w:t>The effort to humanize health services in order to eliminate discriminatory attitudes of health professionals towards women with disabilities and those living with HIV / AIDS, as well as to hospital equipment (stretchers, bathrooms, etc.) necessary for the quality care of this vulnerable group.</w:t>
      </w:r>
    </w:p>
    <w:p w14:paraId="74E227C9"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In addition, the reproductive health sector needs to be strengthened, especially in primary care, as the health report for the year 2017 points to the reduction of the anti-contraceptive prevalence rate at national level and an increase in new HIV /AIDS cases.</w:t>
      </w:r>
    </w:p>
    <w:p w14:paraId="231D3984" w14:textId="77777777" w:rsidR="00CD7030" w:rsidRPr="00CD7030" w:rsidRDefault="00CD7030" w:rsidP="00CD7030">
      <w:pPr>
        <w:spacing w:line="360" w:lineRule="auto"/>
        <w:jc w:val="both"/>
        <w:rPr>
          <w:rFonts w:ascii="Times New Roman" w:hAnsi="Times New Roman" w:cs="Times New Roman"/>
          <w:sz w:val="24"/>
          <w:szCs w:val="24"/>
          <w:lang w:val="en-US"/>
        </w:rPr>
      </w:pPr>
    </w:p>
    <w:p w14:paraId="7D81B4B7" w14:textId="77777777" w:rsidR="00F176FA" w:rsidRDefault="00F176FA" w:rsidP="00CD7030">
      <w:pPr>
        <w:spacing w:line="360" w:lineRule="auto"/>
        <w:jc w:val="both"/>
        <w:rPr>
          <w:rFonts w:ascii="Times New Roman" w:hAnsi="Times New Roman" w:cs="Times New Roman"/>
          <w:b/>
          <w:sz w:val="24"/>
          <w:szCs w:val="24"/>
          <w:lang w:val="en-US"/>
        </w:rPr>
      </w:pPr>
    </w:p>
    <w:p w14:paraId="33343B38" w14:textId="106E961E" w:rsidR="00CD7030" w:rsidRPr="00F176FA" w:rsidRDefault="00CD7030" w:rsidP="00CD7030">
      <w:pPr>
        <w:spacing w:line="360" w:lineRule="auto"/>
        <w:jc w:val="both"/>
        <w:rPr>
          <w:rFonts w:ascii="Times New Roman" w:hAnsi="Times New Roman" w:cs="Times New Roman"/>
          <w:b/>
          <w:sz w:val="24"/>
          <w:szCs w:val="24"/>
          <w:lang w:val="en-US"/>
        </w:rPr>
      </w:pPr>
      <w:r w:rsidRPr="00F176FA">
        <w:rPr>
          <w:rFonts w:ascii="Times New Roman" w:hAnsi="Times New Roman" w:cs="Times New Roman"/>
          <w:b/>
          <w:sz w:val="24"/>
          <w:szCs w:val="24"/>
          <w:lang w:val="en-US"/>
        </w:rPr>
        <w:t>Rural Women</w:t>
      </w:r>
    </w:p>
    <w:p w14:paraId="75D0AB02"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Since 1998, the Government has been implementing the National Program to Combat Poverty, which aims to combat it through the implementation of integrated actions aimed at reducing asymmetries and strengthening social cohesion. The target group of the Program is women, mainly heads of households, the unemployed, particularly young people, vulnerable groups and rural workers, especially in rural poverty reduction in the last few years, with a focus on agricultural islands, where the poverty rate is substantially higher (with the creation under the PNLP of the Program for the Promotion of Rural Socioeconomic Opportunities - POSER for the years 2012-2018). Interventions include access to basic social services (education, housing, water and sanitation, electricity, community infrastructures), integration interventions in the economy (vocational training, support for income-generating activities) and capacity building of development associations place in the fight against poverty.</w:t>
      </w:r>
    </w:p>
    <w:p w14:paraId="613D597F"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Training programs have been developed under the program, but it is recommended that the State promote effective actions to eradicate poverty, including actions related to social protection, food and nutritional insecurity, solidarity economy, promotion of agro-industry, improvement of basic infrastructure (roads, airports and ports), access to health, education, housing, etc.;</w:t>
      </w:r>
    </w:p>
    <w:p w14:paraId="099F3B07"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lastRenderedPageBreak/>
        <w:t>Despite the successive programs adopted by the State, there is a need to integrate the most vulnerable groups in the actions and measures to combat poverty and to reinforce the actions for the implementation and monitoring the measures and the results in order to improve the quality of life of the citizens, especially women, who remain unprotected, especially in the non-monetary sectors of the economy where the majority work.</w:t>
      </w:r>
    </w:p>
    <w:p w14:paraId="3CA81F82" w14:textId="77777777" w:rsidR="00CD7030" w:rsidRPr="00CD7030"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In order to combat the drought and the bad agricultural year, one of the measures adopted by the State was the granting of check for the subsidy on the purchase of food for livestock, under the Emergency Program for Drought Mitigation and the Bad Agricultural Year (PEMSMAA), a measure that has been criticized by livestock farmers, alleging that it is ineffective and considered insufficient to combat drought and bad agricultural year, and therefore it is necessary to adopt other more effective measures.</w:t>
      </w:r>
    </w:p>
    <w:p w14:paraId="3D51F9AC" w14:textId="32B3F57E" w:rsidR="00A35289" w:rsidRDefault="00CD7030" w:rsidP="00CD7030">
      <w:pPr>
        <w:spacing w:line="360" w:lineRule="auto"/>
        <w:jc w:val="both"/>
        <w:rPr>
          <w:rFonts w:ascii="Times New Roman" w:hAnsi="Times New Roman" w:cs="Times New Roman"/>
          <w:sz w:val="24"/>
          <w:szCs w:val="24"/>
          <w:lang w:val="en-US"/>
        </w:rPr>
      </w:pPr>
      <w:r w:rsidRPr="00CD7030">
        <w:rPr>
          <w:rFonts w:ascii="Times New Roman" w:hAnsi="Times New Roman" w:cs="Times New Roman"/>
          <w:sz w:val="24"/>
          <w:szCs w:val="24"/>
          <w:lang w:val="en-US"/>
        </w:rPr>
        <w:t>The high unemployment rate in the country, coupled with the situation of the bad agricultural year that has occurred in recent years, has greatly conditioned the lives of families in rural areas, constituting one of the great obstacles to the normal development and sustainability of the family mainly female heads of household in rural areas.</w:t>
      </w:r>
    </w:p>
    <w:p w14:paraId="2528A41D" w14:textId="77777777" w:rsidR="006D2F7D" w:rsidRPr="006D2F7D" w:rsidRDefault="006D2F7D" w:rsidP="006D2F7D">
      <w:pPr>
        <w:spacing w:line="360" w:lineRule="auto"/>
        <w:jc w:val="both"/>
        <w:rPr>
          <w:rFonts w:ascii="Times New Roman" w:hAnsi="Times New Roman" w:cs="Times New Roman"/>
          <w:sz w:val="24"/>
          <w:szCs w:val="24"/>
          <w:lang w:val="en-US"/>
        </w:rPr>
      </w:pPr>
      <w:r w:rsidRPr="006D2F7D">
        <w:rPr>
          <w:rFonts w:ascii="Times New Roman" w:hAnsi="Times New Roman" w:cs="Times New Roman"/>
          <w:sz w:val="24"/>
          <w:szCs w:val="24"/>
          <w:lang w:val="en-US"/>
        </w:rPr>
        <w:t>It is of the utmost urgency for the State to promote the guarantee of the right to access to water, sanitation and electricity, including economic accessibility, in view of the specific needs of rural women, given the situation of water scarcity.</w:t>
      </w:r>
    </w:p>
    <w:p w14:paraId="232CB4FE" w14:textId="77777777" w:rsidR="006D2F7D" w:rsidRPr="006D2F7D" w:rsidRDefault="006D2F7D" w:rsidP="006D2F7D">
      <w:pPr>
        <w:spacing w:line="360" w:lineRule="auto"/>
        <w:jc w:val="both"/>
        <w:rPr>
          <w:rFonts w:ascii="Times New Roman" w:hAnsi="Times New Roman" w:cs="Times New Roman"/>
          <w:sz w:val="24"/>
          <w:szCs w:val="24"/>
          <w:lang w:val="en-US"/>
        </w:rPr>
      </w:pPr>
      <w:r w:rsidRPr="006D2F7D">
        <w:rPr>
          <w:rFonts w:ascii="Times New Roman" w:hAnsi="Times New Roman" w:cs="Times New Roman"/>
          <w:sz w:val="24"/>
          <w:szCs w:val="24"/>
          <w:lang w:val="en-US"/>
        </w:rPr>
        <w:t>The State should intensify its efforts to combat poverty and promote social inclusion by implementing rural development strategies mainly for mothers of children with disabilities in rural areas, since there remain strong deficits in their access to health facilities, while they do not directly benefit from social security and adequate housing programs because they are working in the informal sector.</w:t>
      </w:r>
    </w:p>
    <w:p w14:paraId="3CDDB5CB" w14:textId="0528408E" w:rsidR="00CD7030" w:rsidRDefault="006D2F7D" w:rsidP="006D2F7D">
      <w:pPr>
        <w:spacing w:line="360" w:lineRule="auto"/>
        <w:jc w:val="both"/>
        <w:rPr>
          <w:rFonts w:ascii="Times New Roman" w:hAnsi="Times New Roman" w:cs="Times New Roman"/>
          <w:sz w:val="24"/>
          <w:szCs w:val="24"/>
          <w:lang w:val="en-US"/>
        </w:rPr>
      </w:pPr>
      <w:r w:rsidRPr="006D2F7D">
        <w:rPr>
          <w:rFonts w:ascii="Times New Roman" w:hAnsi="Times New Roman" w:cs="Times New Roman"/>
          <w:sz w:val="24"/>
          <w:szCs w:val="24"/>
          <w:lang w:val="en-US"/>
        </w:rPr>
        <w:t>It is appropriate to establish strategies to facilitate access to vocational education and training with specific guidance for women in the markets labour in rural areas.</w:t>
      </w:r>
    </w:p>
    <w:p w14:paraId="26E65B7C" w14:textId="77777777" w:rsidR="005F082F" w:rsidRPr="00BA740C" w:rsidRDefault="005F082F" w:rsidP="005F082F">
      <w:pPr>
        <w:spacing w:line="360" w:lineRule="auto"/>
        <w:jc w:val="both"/>
        <w:rPr>
          <w:rFonts w:ascii="Times New Roman" w:hAnsi="Times New Roman" w:cs="Times New Roman"/>
          <w:sz w:val="24"/>
          <w:szCs w:val="24"/>
          <w:lang w:val="en-US"/>
        </w:rPr>
      </w:pPr>
    </w:p>
    <w:sectPr w:rsidR="005F082F" w:rsidRPr="00BA740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BA4EA" w14:textId="77777777" w:rsidR="009F4EF1" w:rsidRDefault="009F4EF1" w:rsidP="00843E35">
      <w:pPr>
        <w:spacing w:after="0" w:line="240" w:lineRule="auto"/>
      </w:pPr>
      <w:r>
        <w:separator/>
      </w:r>
    </w:p>
  </w:endnote>
  <w:endnote w:type="continuationSeparator" w:id="0">
    <w:p w14:paraId="3930D82A" w14:textId="77777777" w:rsidR="009F4EF1" w:rsidRDefault="009F4EF1" w:rsidP="0084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CD52C" w14:textId="77777777" w:rsidR="00CE5E48" w:rsidRPr="003A3EB0" w:rsidRDefault="00CE5E48" w:rsidP="00CE5E48">
    <w:pPr>
      <w:pStyle w:val="Footer"/>
      <w:jc w:val="center"/>
      <w:rPr>
        <w:sz w:val="18"/>
        <w:szCs w:val="18"/>
      </w:rPr>
    </w:pPr>
    <w:r w:rsidRPr="009A5CDF">
      <w:rPr>
        <w:noProof/>
        <w:sz w:val="18"/>
        <w:szCs w:val="18"/>
        <w:lang w:val="en-GB" w:eastAsia="en-GB"/>
      </w:rPr>
      <mc:AlternateContent>
        <mc:Choice Requires="wps">
          <w:drawing>
            <wp:anchor distT="4294967295" distB="4294967295" distL="114300" distR="114300" simplePos="0" relativeHeight="251659264" behindDoc="0" locked="0" layoutInCell="1" allowOverlap="1" wp14:anchorId="5381D9C4" wp14:editId="378C1875">
              <wp:simplePos x="0" y="0"/>
              <wp:positionH relativeFrom="column">
                <wp:posOffset>0</wp:posOffset>
              </wp:positionH>
              <wp:positionV relativeFrom="paragraph">
                <wp:posOffset>5079</wp:posOffset>
              </wp:positionV>
              <wp:extent cx="5372100" cy="0"/>
              <wp:effectExtent l="0" t="0" r="19050" b="19050"/>
              <wp:wrapNone/>
              <wp:docPr id="6" name="Conexão recta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noFill/>
                      <a:ln w="12700" cap="flat" cmpd="sng" algn="ctr">
                        <a:solidFill>
                          <a:srgbClr val="0070C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F8002B6" id="Conexão recta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4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" strokecolor="#0070c0" strokeweight="1pt">
              <o:lock v:ext="edit" shapetype="f"/>
            </v:lin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14931BB2" wp14:editId="6A9A314F">
              <wp:simplePos x="0" y="0"/>
              <wp:positionH relativeFrom="column">
                <wp:posOffset>1080135</wp:posOffset>
              </wp:positionH>
              <wp:positionV relativeFrom="paragraph">
                <wp:posOffset>9700895</wp:posOffset>
              </wp:positionV>
              <wp:extent cx="5363845" cy="635"/>
              <wp:effectExtent l="0" t="19050" r="8255" b="37465"/>
              <wp:wrapNone/>
              <wp:docPr id="3" name="Conexão recta unidireccional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2B5727" id="_x0000_t32" coordsize="21600,21600" o:spt="32" o:oned="t" path="m,l21600,21600e" filled="f">
              <v:path arrowok="t" fillok="f" o:connecttype="none"/>
              <o:lock v:ext="edit" shapetype="t"/>
            </v:shapetype>
            <v:shape id="Conexão recta unidireccional 3" o:spid="_x0000_s1026" type="#_x0000_t32" style="position:absolute;margin-left:85.05pt;margin-top:763.85pt;width:422.3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NAUg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" strokecolor="#0070c0" strokeweight="3p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862A600" wp14:editId="3B8722F8">
              <wp:simplePos x="0" y="0"/>
              <wp:positionH relativeFrom="column">
                <wp:posOffset>1080135</wp:posOffset>
              </wp:positionH>
              <wp:positionV relativeFrom="paragraph">
                <wp:posOffset>9700895</wp:posOffset>
              </wp:positionV>
              <wp:extent cx="5363845" cy="635"/>
              <wp:effectExtent l="0" t="19050" r="8255" b="37465"/>
              <wp:wrapNone/>
              <wp:docPr id="2" name="Conexão recta unidireccional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DF1EE1" id="Conexão recta unidireccional 2" o:spid="_x0000_s1026" type="#_x0000_t32" style="position:absolute;margin-left:85.05pt;margin-top:763.85pt;width:422.3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qUw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" strokecolor="#0070c0" strokeweight="3pt"/>
          </w:pict>
        </mc:Fallback>
      </mc:AlternateContent>
    </w:r>
    <w:r w:rsidRPr="00095A72">
      <w:rPr>
        <w:sz w:val="16"/>
        <w:szCs w:val="16"/>
      </w:rPr>
      <w:t xml:space="preserve">Comissão Nacional para os Direitos Humanos e a Cidadania – Rua Cidade do Funchal – nº 2 – 1º andar </w:t>
    </w:r>
    <w:r>
      <w:rPr>
        <w:sz w:val="16"/>
        <w:szCs w:val="16"/>
      </w:rPr>
      <w:t>- Achada Santo António</w:t>
    </w:r>
  </w:p>
  <w:p w14:paraId="231ACA6F" w14:textId="77777777" w:rsidR="00CE5E48" w:rsidRPr="00095A72" w:rsidRDefault="00CE5E48" w:rsidP="00CE5E48">
    <w:pPr>
      <w:pStyle w:val="Footer"/>
      <w:jc w:val="center"/>
      <w:rPr>
        <w:sz w:val="16"/>
        <w:szCs w:val="16"/>
      </w:rPr>
    </w:pPr>
    <w:r w:rsidRPr="00095A72">
      <w:rPr>
        <w:sz w:val="16"/>
        <w:szCs w:val="16"/>
      </w:rPr>
      <w:t>C.P. 191 – Praia – Cab</w:t>
    </w:r>
    <w:r>
      <w:rPr>
        <w:sz w:val="16"/>
        <w:szCs w:val="16"/>
      </w:rPr>
      <w:t>o Verde - Tel.: (+238) 2624506</w:t>
    </w:r>
    <w:r w:rsidRPr="00095A72">
      <w:rPr>
        <w:sz w:val="16"/>
        <w:szCs w:val="16"/>
      </w:rPr>
      <w:t xml:space="preserve"> – Tlm.: 9979687</w:t>
    </w:r>
  </w:p>
  <w:p w14:paraId="55D4C8CF" w14:textId="77777777" w:rsidR="00CE5E48" w:rsidRPr="00095A72" w:rsidRDefault="00CE5E48" w:rsidP="00CE5E48">
    <w:pPr>
      <w:pStyle w:val="Footer"/>
      <w:jc w:val="center"/>
      <w:rPr>
        <w:sz w:val="16"/>
        <w:szCs w:val="16"/>
      </w:rPr>
    </w:pPr>
    <w:r>
      <w:rPr>
        <w:sz w:val="16"/>
        <w:szCs w:val="16"/>
      </w:rPr>
      <w:t xml:space="preserve">E-mail: </w:t>
    </w:r>
    <w:hyperlink r:id="rId1" w:history="1">
      <w:r w:rsidRPr="00232CF5">
        <w:rPr>
          <w:rStyle w:val="Hyperlink"/>
          <w:sz w:val="16"/>
          <w:szCs w:val="16"/>
        </w:rPr>
        <w:t>cndhc@cndhc.gov.cv</w:t>
      </w:r>
    </w:hyperlink>
    <w:r>
      <w:rPr>
        <w:sz w:val="16"/>
        <w:szCs w:val="16"/>
      </w:rPr>
      <w:t xml:space="preserve"> – Site</w:t>
    </w:r>
    <w:r w:rsidRPr="00095A72">
      <w:rPr>
        <w:sz w:val="16"/>
        <w:szCs w:val="16"/>
      </w:rPr>
      <w:t xml:space="preserve">: </w:t>
    </w:r>
    <w:hyperlink r:id="rId2" w:history="1">
      <w:r w:rsidRPr="00232CF5">
        <w:rPr>
          <w:rStyle w:val="Hyperlink"/>
          <w:sz w:val="16"/>
          <w:szCs w:val="16"/>
        </w:rPr>
        <w:t>www.cndhc.org.cv</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FEC6C" w14:textId="77777777" w:rsidR="009F4EF1" w:rsidRDefault="009F4EF1" w:rsidP="00843E35">
      <w:pPr>
        <w:spacing w:after="0" w:line="240" w:lineRule="auto"/>
      </w:pPr>
      <w:r>
        <w:separator/>
      </w:r>
    </w:p>
  </w:footnote>
  <w:footnote w:type="continuationSeparator" w:id="0">
    <w:p w14:paraId="37448219" w14:textId="77777777" w:rsidR="009F4EF1" w:rsidRDefault="009F4EF1" w:rsidP="00843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1731F" w14:textId="77777777" w:rsidR="00CE5E48" w:rsidRDefault="00DC0E03" w:rsidP="00CE5E48">
    <w:pPr>
      <w:pStyle w:val="Header"/>
      <w:jc w:val="center"/>
    </w:pPr>
    <w:sdt>
      <w:sdtPr>
        <w:id w:val="-2018072891"/>
        <w:docPartObj>
          <w:docPartGallery w:val="Page Numbers (Margins)"/>
          <w:docPartUnique/>
        </w:docPartObj>
      </w:sdtPr>
      <w:sdtEndPr/>
      <w:sdtContent>
        <w:r w:rsidR="004153BE">
          <w:rPr>
            <w:noProof/>
            <w:lang w:val="en-GB" w:eastAsia="en-GB"/>
          </w:rPr>
          <mc:AlternateContent>
            <mc:Choice Requires="wpg">
              <w:drawing>
                <wp:anchor distT="0" distB="0" distL="114300" distR="114300" simplePos="0" relativeHeight="251663360" behindDoc="0" locked="0" layoutInCell="0" allowOverlap="1" wp14:anchorId="398F18A2" wp14:editId="41B0D0D3">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55D2F" w14:textId="74D713AA" w:rsidR="004153BE" w:rsidRDefault="004153BE">
                                <w:pPr>
                                  <w:pStyle w:val="Header"/>
                                  <w:jc w:val="center"/>
                                </w:pPr>
                                <w:r>
                                  <w:fldChar w:fldCharType="begin"/>
                                </w:r>
                                <w:r>
                                  <w:instrText>PAGE    \* MERGEFORMAT</w:instrText>
                                </w:r>
                                <w:r>
                                  <w:fldChar w:fldCharType="separate"/>
                                </w:r>
                                <w:r w:rsidR="00DC0E03" w:rsidRPr="00DC0E03">
                                  <w:rPr>
                                    <w:rStyle w:val="PageNumber"/>
                                    <w:b/>
                                    <w:bCs/>
                                    <w:noProof/>
                                    <w:color w:val="7F5F00" w:themeColor="accent4" w:themeShade="7F"/>
                                    <w:sz w:val="16"/>
                                    <w:szCs w:val="16"/>
                                  </w:rPr>
                                  <w:t>4</w:t>
                                </w:r>
                                <w:r>
                                  <w:rPr>
                                    <w:rStyle w:val="PageNumber"/>
                                    <w:b/>
                                    <w:bCs/>
                                    <w:color w:val="7F5F00" w:themeColor="accent4" w:themeShade="7F"/>
                                    <w:sz w:val="16"/>
                                    <w:szCs w:val="16"/>
                                  </w:rPr>
                                  <w:fldChar w:fldCharType="end"/>
                                </w:r>
                              </w:p>
                            </w:txbxContent>
                          </wps:txbx>
                          <wps:bodyPr rot="0" vert="horz" wrap="square" lIns="0" tIns="0" rIns="0" bIns="0" anchor="ctr" anchorCtr="0" upright="1">
                            <a:noAutofit/>
                          </wps:bodyPr>
                        </wps:wsp>
                        <wpg:grpSp>
                          <wpg:cNvPr id="7" name="Group 72"/>
                          <wpg:cNvGrpSpPr>
                            <a:grpSpLocks/>
                          </wpg:cNvGrpSpPr>
                          <wpg:grpSpPr bwMode="auto">
                            <a:xfrm>
                              <a:off x="886" y="3255"/>
                              <a:ext cx="374" cy="374"/>
                              <a:chOff x="1453" y="14832"/>
                              <a:chExt cx="374" cy="374"/>
                            </a:xfrm>
                          </wpg:grpSpPr>
                          <wps:wsp>
                            <wps:cNvPr id="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98F18A2" id="Grupo 4" o:spid="_x0000_s1026" style="position:absolute;left:0;text-align:left;margin-left:0;margin-top:0;width:38.45pt;height:18.7pt;z-index:251663360;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4A555D2F" w14:textId="74D713AA" w:rsidR="004153BE" w:rsidRDefault="004153BE">
                          <w:pPr>
                            <w:pStyle w:val="Header"/>
                            <w:jc w:val="center"/>
                          </w:pPr>
                          <w:r>
                            <w:fldChar w:fldCharType="begin"/>
                          </w:r>
                          <w:r>
                            <w:instrText>PAGE    \* MERGEFORMAT</w:instrText>
                          </w:r>
                          <w:r>
                            <w:fldChar w:fldCharType="separate"/>
                          </w:r>
                          <w:r w:rsidR="00DC0E03" w:rsidRPr="00DC0E03">
                            <w:rPr>
                              <w:rStyle w:val="PageNumber"/>
                              <w:b/>
                              <w:bCs/>
                              <w:noProof/>
                              <w:color w:val="7F5F00" w:themeColor="accent4" w:themeShade="7F"/>
                              <w:sz w:val="16"/>
                              <w:szCs w:val="16"/>
                            </w:rPr>
                            <w:t>4</w:t>
                          </w:r>
                          <w:r>
                            <w:rPr>
                              <w:rStyle w:val="PageNumber"/>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" fillcolor="#84a2c6" stroked="f"/>
                  </v:group>
                  <w10:wrap anchorx="margin" anchory="page"/>
                </v:group>
              </w:pict>
            </mc:Fallback>
          </mc:AlternateContent>
        </w:r>
      </w:sdtContent>
    </w:sdt>
    <w:r w:rsidR="00CE5E48">
      <w:rPr>
        <w:noProof/>
        <w:lang w:val="en-GB" w:eastAsia="en-GB"/>
      </w:rPr>
      <w:drawing>
        <wp:inline distT="0" distB="0" distL="0" distR="0" wp14:anchorId="3747FD8D" wp14:editId="5FD6EE53">
          <wp:extent cx="1038860" cy="1045876"/>
          <wp:effectExtent l="0" t="0" r="889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106249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E2F20"/>
    <w:multiLevelType w:val="hybridMultilevel"/>
    <w:tmpl w:val="152ED8B0"/>
    <w:lvl w:ilvl="0" w:tplc="08160001">
      <w:start w:val="1"/>
      <w:numFmt w:val="bullet"/>
      <w:lvlText w:val=""/>
      <w:lvlJc w:val="left"/>
      <w:pPr>
        <w:ind w:left="772" w:hanging="360"/>
      </w:pPr>
      <w:rPr>
        <w:rFonts w:ascii="Symbol" w:hAnsi="Symbol" w:hint="default"/>
      </w:rPr>
    </w:lvl>
    <w:lvl w:ilvl="1" w:tplc="08160003" w:tentative="1">
      <w:start w:val="1"/>
      <w:numFmt w:val="bullet"/>
      <w:lvlText w:val="o"/>
      <w:lvlJc w:val="left"/>
      <w:pPr>
        <w:ind w:left="1492" w:hanging="360"/>
      </w:pPr>
      <w:rPr>
        <w:rFonts w:ascii="Courier New" w:hAnsi="Courier New" w:cs="Courier New" w:hint="default"/>
      </w:rPr>
    </w:lvl>
    <w:lvl w:ilvl="2" w:tplc="08160005" w:tentative="1">
      <w:start w:val="1"/>
      <w:numFmt w:val="bullet"/>
      <w:lvlText w:val=""/>
      <w:lvlJc w:val="left"/>
      <w:pPr>
        <w:ind w:left="2212" w:hanging="360"/>
      </w:pPr>
      <w:rPr>
        <w:rFonts w:ascii="Wingdings" w:hAnsi="Wingdings" w:hint="default"/>
      </w:rPr>
    </w:lvl>
    <w:lvl w:ilvl="3" w:tplc="08160001" w:tentative="1">
      <w:start w:val="1"/>
      <w:numFmt w:val="bullet"/>
      <w:lvlText w:val=""/>
      <w:lvlJc w:val="left"/>
      <w:pPr>
        <w:ind w:left="2932" w:hanging="360"/>
      </w:pPr>
      <w:rPr>
        <w:rFonts w:ascii="Symbol" w:hAnsi="Symbol" w:hint="default"/>
      </w:rPr>
    </w:lvl>
    <w:lvl w:ilvl="4" w:tplc="08160003" w:tentative="1">
      <w:start w:val="1"/>
      <w:numFmt w:val="bullet"/>
      <w:lvlText w:val="o"/>
      <w:lvlJc w:val="left"/>
      <w:pPr>
        <w:ind w:left="3652" w:hanging="360"/>
      </w:pPr>
      <w:rPr>
        <w:rFonts w:ascii="Courier New" w:hAnsi="Courier New" w:cs="Courier New" w:hint="default"/>
      </w:rPr>
    </w:lvl>
    <w:lvl w:ilvl="5" w:tplc="08160005" w:tentative="1">
      <w:start w:val="1"/>
      <w:numFmt w:val="bullet"/>
      <w:lvlText w:val=""/>
      <w:lvlJc w:val="left"/>
      <w:pPr>
        <w:ind w:left="4372" w:hanging="360"/>
      </w:pPr>
      <w:rPr>
        <w:rFonts w:ascii="Wingdings" w:hAnsi="Wingdings" w:hint="default"/>
      </w:rPr>
    </w:lvl>
    <w:lvl w:ilvl="6" w:tplc="08160001" w:tentative="1">
      <w:start w:val="1"/>
      <w:numFmt w:val="bullet"/>
      <w:lvlText w:val=""/>
      <w:lvlJc w:val="left"/>
      <w:pPr>
        <w:ind w:left="5092" w:hanging="360"/>
      </w:pPr>
      <w:rPr>
        <w:rFonts w:ascii="Symbol" w:hAnsi="Symbol" w:hint="default"/>
      </w:rPr>
    </w:lvl>
    <w:lvl w:ilvl="7" w:tplc="08160003" w:tentative="1">
      <w:start w:val="1"/>
      <w:numFmt w:val="bullet"/>
      <w:lvlText w:val="o"/>
      <w:lvlJc w:val="left"/>
      <w:pPr>
        <w:ind w:left="5812" w:hanging="360"/>
      </w:pPr>
      <w:rPr>
        <w:rFonts w:ascii="Courier New" w:hAnsi="Courier New" w:cs="Courier New" w:hint="default"/>
      </w:rPr>
    </w:lvl>
    <w:lvl w:ilvl="8" w:tplc="08160005" w:tentative="1">
      <w:start w:val="1"/>
      <w:numFmt w:val="bullet"/>
      <w:lvlText w:val=""/>
      <w:lvlJc w:val="left"/>
      <w:pPr>
        <w:ind w:left="6532" w:hanging="360"/>
      </w:pPr>
      <w:rPr>
        <w:rFonts w:ascii="Wingdings" w:hAnsi="Wingdings" w:hint="default"/>
      </w:rPr>
    </w:lvl>
  </w:abstractNum>
  <w:abstractNum w:abstractNumId="1" w15:restartNumberingAfterBreak="0">
    <w:nsid w:val="1DF271BF"/>
    <w:multiLevelType w:val="hybridMultilevel"/>
    <w:tmpl w:val="851C0FF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 w15:restartNumberingAfterBreak="0">
    <w:nsid w:val="1F8C7396"/>
    <w:multiLevelType w:val="hybridMultilevel"/>
    <w:tmpl w:val="BF8036FA"/>
    <w:lvl w:ilvl="0" w:tplc="E6CE17CE">
      <w:start w:val="1"/>
      <w:numFmt w:val="decimal"/>
      <w:lvlText w:val="%1."/>
      <w:lvlJc w:val="left"/>
      <w:pPr>
        <w:ind w:left="360" w:hanging="360"/>
      </w:pPr>
      <w:rPr>
        <w:rFonts w:hint="default"/>
        <w:b/>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3" w15:restartNumberingAfterBreak="0">
    <w:nsid w:val="737A5271"/>
    <w:multiLevelType w:val="hybridMultilevel"/>
    <w:tmpl w:val="666CC288"/>
    <w:lvl w:ilvl="0" w:tplc="91364D3A">
      <w:start w:val="1"/>
      <w:numFmt w:val="decimal"/>
      <w:lvlText w:val="%1."/>
      <w:lvlJc w:val="left"/>
      <w:pPr>
        <w:ind w:left="720" w:hanging="360"/>
      </w:pPr>
      <w:rPr>
        <w:rFonts w:hint="default"/>
        <w:b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0A3"/>
    <w:rsid w:val="000233AC"/>
    <w:rsid w:val="000255F6"/>
    <w:rsid w:val="00027E37"/>
    <w:rsid w:val="000348EA"/>
    <w:rsid w:val="00051955"/>
    <w:rsid w:val="00051B43"/>
    <w:rsid w:val="000530CA"/>
    <w:rsid w:val="000669DC"/>
    <w:rsid w:val="00075E1E"/>
    <w:rsid w:val="00094957"/>
    <w:rsid w:val="000B5226"/>
    <w:rsid w:val="000C216A"/>
    <w:rsid w:val="000C29A5"/>
    <w:rsid w:val="000C38D5"/>
    <w:rsid w:val="000F1B19"/>
    <w:rsid w:val="00113B07"/>
    <w:rsid w:val="00114A93"/>
    <w:rsid w:val="001257E2"/>
    <w:rsid w:val="00134C31"/>
    <w:rsid w:val="00147B6F"/>
    <w:rsid w:val="001605EF"/>
    <w:rsid w:val="00190DB8"/>
    <w:rsid w:val="001A24C9"/>
    <w:rsid w:val="001B6050"/>
    <w:rsid w:val="001C476B"/>
    <w:rsid w:val="001C4BDC"/>
    <w:rsid w:val="001D4504"/>
    <w:rsid w:val="001D7C52"/>
    <w:rsid w:val="001E10A3"/>
    <w:rsid w:val="00201A12"/>
    <w:rsid w:val="00210E30"/>
    <w:rsid w:val="002467C7"/>
    <w:rsid w:val="00253EB8"/>
    <w:rsid w:val="00271D01"/>
    <w:rsid w:val="00285CD9"/>
    <w:rsid w:val="00286873"/>
    <w:rsid w:val="00296DCC"/>
    <w:rsid w:val="0029783D"/>
    <w:rsid w:val="002A1A9E"/>
    <w:rsid w:val="002B6B90"/>
    <w:rsid w:val="002E2834"/>
    <w:rsid w:val="002E4CBB"/>
    <w:rsid w:val="002F5626"/>
    <w:rsid w:val="002F5C95"/>
    <w:rsid w:val="00300D9E"/>
    <w:rsid w:val="00321BD9"/>
    <w:rsid w:val="00333566"/>
    <w:rsid w:val="003604A4"/>
    <w:rsid w:val="003A7C79"/>
    <w:rsid w:val="003B53C0"/>
    <w:rsid w:val="003C50B5"/>
    <w:rsid w:val="003D2824"/>
    <w:rsid w:val="003E015D"/>
    <w:rsid w:val="004066FD"/>
    <w:rsid w:val="004153BE"/>
    <w:rsid w:val="00454176"/>
    <w:rsid w:val="004555A6"/>
    <w:rsid w:val="00473C64"/>
    <w:rsid w:val="00476AC1"/>
    <w:rsid w:val="004772C0"/>
    <w:rsid w:val="00491E69"/>
    <w:rsid w:val="00492017"/>
    <w:rsid w:val="004A4255"/>
    <w:rsid w:val="004B5B2C"/>
    <w:rsid w:val="004C7DA2"/>
    <w:rsid w:val="004E5BC1"/>
    <w:rsid w:val="004E77B3"/>
    <w:rsid w:val="00541583"/>
    <w:rsid w:val="00543C4D"/>
    <w:rsid w:val="00544C3D"/>
    <w:rsid w:val="005459CC"/>
    <w:rsid w:val="00553856"/>
    <w:rsid w:val="00591701"/>
    <w:rsid w:val="00593ABD"/>
    <w:rsid w:val="005D548B"/>
    <w:rsid w:val="005E65DE"/>
    <w:rsid w:val="005F082F"/>
    <w:rsid w:val="005F5380"/>
    <w:rsid w:val="00606432"/>
    <w:rsid w:val="00610E96"/>
    <w:rsid w:val="00612863"/>
    <w:rsid w:val="006532F4"/>
    <w:rsid w:val="006559EA"/>
    <w:rsid w:val="00656F74"/>
    <w:rsid w:val="00657914"/>
    <w:rsid w:val="0066159A"/>
    <w:rsid w:val="00664FE8"/>
    <w:rsid w:val="00667D25"/>
    <w:rsid w:val="00690BA4"/>
    <w:rsid w:val="00696BAB"/>
    <w:rsid w:val="006A61EB"/>
    <w:rsid w:val="006B747A"/>
    <w:rsid w:val="006D2F7D"/>
    <w:rsid w:val="006E5C47"/>
    <w:rsid w:val="006F04D4"/>
    <w:rsid w:val="006F424F"/>
    <w:rsid w:val="006F6BFF"/>
    <w:rsid w:val="007026E7"/>
    <w:rsid w:val="007176B2"/>
    <w:rsid w:val="00727739"/>
    <w:rsid w:val="0073226E"/>
    <w:rsid w:val="007354C6"/>
    <w:rsid w:val="00735C1A"/>
    <w:rsid w:val="00740A93"/>
    <w:rsid w:val="00741C17"/>
    <w:rsid w:val="00746C63"/>
    <w:rsid w:val="00747AFC"/>
    <w:rsid w:val="00755C8D"/>
    <w:rsid w:val="00757830"/>
    <w:rsid w:val="00763A2E"/>
    <w:rsid w:val="007837B3"/>
    <w:rsid w:val="007D61BE"/>
    <w:rsid w:val="007D6F98"/>
    <w:rsid w:val="007E164C"/>
    <w:rsid w:val="0080122D"/>
    <w:rsid w:val="008065D7"/>
    <w:rsid w:val="008176C2"/>
    <w:rsid w:val="008321FA"/>
    <w:rsid w:val="008342BE"/>
    <w:rsid w:val="00842078"/>
    <w:rsid w:val="00843E35"/>
    <w:rsid w:val="008544D9"/>
    <w:rsid w:val="00854F12"/>
    <w:rsid w:val="008647A4"/>
    <w:rsid w:val="0086721B"/>
    <w:rsid w:val="00877131"/>
    <w:rsid w:val="008C1DF1"/>
    <w:rsid w:val="008D333E"/>
    <w:rsid w:val="008E1BA9"/>
    <w:rsid w:val="008E1EB7"/>
    <w:rsid w:val="008F055E"/>
    <w:rsid w:val="00931A72"/>
    <w:rsid w:val="0094075F"/>
    <w:rsid w:val="0097224D"/>
    <w:rsid w:val="00982480"/>
    <w:rsid w:val="009A077C"/>
    <w:rsid w:val="009A2E5E"/>
    <w:rsid w:val="009A4F85"/>
    <w:rsid w:val="009B37CD"/>
    <w:rsid w:val="009B4E29"/>
    <w:rsid w:val="009C6DD4"/>
    <w:rsid w:val="009D102F"/>
    <w:rsid w:val="009F4B37"/>
    <w:rsid w:val="009F4EF1"/>
    <w:rsid w:val="009F5E29"/>
    <w:rsid w:val="00A000BE"/>
    <w:rsid w:val="00A04DC5"/>
    <w:rsid w:val="00A22CDB"/>
    <w:rsid w:val="00A32BC1"/>
    <w:rsid w:val="00A35289"/>
    <w:rsid w:val="00A50735"/>
    <w:rsid w:val="00A55354"/>
    <w:rsid w:val="00A613BE"/>
    <w:rsid w:val="00A648E2"/>
    <w:rsid w:val="00A707E2"/>
    <w:rsid w:val="00A74FDF"/>
    <w:rsid w:val="00A755E6"/>
    <w:rsid w:val="00A840F4"/>
    <w:rsid w:val="00AA3A1A"/>
    <w:rsid w:val="00AC0C11"/>
    <w:rsid w:val="00AD10C9"/>
    <w:rsid w:val="00AE2366"/>
    <w:rsid w:val="00AF6A1C"/>
    <w:rsid w:val="00AF6A4D"/>
    <w:rsid w:val="00AF7946"/>
    <w:rsid w:val="00B169FE"/>
    <w:rsid w:val="00B3591A"/>
    <w:rsid w:val="00B3647C"/>
    <w:rsid w:val="00B5109B"/>
    <w:rsid w:val="00B54D91"/>
    <w:rsid w:val="00B576E3"/>
    <w:rsid w:val="00B7472E"/>
    <w:rsid w:val="00B81AE7"/>
    <w:rsid w:val="00BA4AEF"/>
    <w:rsid w:val="00BA740C"/>
    <w:rsid w:val="00BB05AC"/>
    <w:rsid w:val="00BB0BD7"/>
    <w:rsid w:val="00BB4977"/>
    <w:rsid w:val="00BC161F"/>
    <w:rsid w:val="00BE1609"/>
    <w:rsid w:val="00BE1F3B"/>
    <w:rsid w:val="00BE4FBB"/>
    <w:rsid w:val="00BE5852"/>
    <w:rsid w:val="00BE6A09"/>
    <w:rsid w:val="00C06F71"/>
    <w:rsid w:val="00C32105"/>
    <w:rsid w:val="00C40F92"/>
    <w:rsid w:val="00C43647"/>
    <w:rsid w:val="00C74F73"/>
    <w:rsid w:val="00C80B5C"/>
    <w:rsid w:val="00C80C18"/>
    <w:rsid w:val="00C908FA"/>
    <w:rsid w:val="00C952D6"/>
    <w:rsid w:val="00C96479"/>
    <w:rsid w:val="00CA7387"/>
    <w:rsid w:val="00CB6529"/>
    <w:rsid w:val="00CC34EE"/>
    <w:rsid w:val="00CC558A"/>
    <w:rsid w:val="00CC7E36"/>
    <w:rsid w:val="00CD7030"/>
    <w:rsid w:val="00CE5E48"/>
    <w:rsid w:val="00D073EA"/>
    <w:rsid w:val="00D238AC"/>
    <w:rsid w:val="00D93C5A"/>
    <w:rsid w:val="00D97818"/>
    <w:rsid w:val="00DB0112"/>
    <w:rsid w:val="00DB18F2"/>
    <w:rsid w:val="00DB7236"/>
    <w:rsid w:val="00DC0E03"/>
    <w:rsid w:val="00DC6AB2"/>
    <w:rsid w:val="00DC70DC"/>
    <w:rsid w:val="00DD51FA"/>
    <w:rsid w:val="00DE6F77"/>
    <w:rsid w:val="00DF01CF"/>
    <w:rsid w:val="00E07119"/>
    <w:rsid w:val="00E07A48"/>
    <w:rsid w:val="00E72DDA"/>
    <w:rsid w:val="00E94A6A"/>
    <w:rsid w:val="00EA5D57"/>
    <w:rsid w:val="00EB7FE5"/>
    <w:rsid w:val="00EC4576"/>
    <w:rsid w:val="00EE2734"/>
    <w:rsid w:val="00EE61FB"/>
    <w:rsid w:val="00EF0290"/>
    <w:rsid w:val="00EF117B"/>
    <w:rsid w:val="00EF56B8"/>
    <w:rsid w:val="00F11BE6"/>
    <w:rsid w:val="00F15B93"/>
    <w:rsid w:val="00F1656B"/>
    <w:rsid w:val="00F176C7"/>
    <w:rsid w:val="00F176FA"/>
    <w:rsid w:val="00F2429C"/>
    <w:rsid w:val="00F24973"/>
    <w:rsid w:val="00F40437"/>
    <w:rsid w:val="00F42CD0"/>
    <w:rsid w:val="00F42EE2"/>
    <w:rsid w:val="00F633E6"/>
    <w:rsid w:val="00F65EC9"/>
    <w:rsid w:val="00F70DAE"/>
    <w:rsid w:val="00F76888"/>
    <w:rsid w:val="00F845AF"/>
    <w:rsid w:val="00F86D3A"/>
    <w:rsid w:val="00F979FA"/>
    <w:rsid w:val="00FC7A50"/>
    <w:rsid w:val="00FE4B04"/>
    <w:rsid w:val="00FE6B3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E8BE22"/>
  <w15:chartTrackingRefBased/>
  <w15:docId w15:val="{E74D447B-FD4A-4D29-B298-8B82E9702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E35"/>
    <w:pPr>
      <w:tabs>
        <w:tab w:val="center" w:pos="4252"/>
        <w:tab w:val="right" w:pos="8504"/>
      </w:tabs>
      <w:spacing w:after="0" w:line="240" w:lineRule="auto"/>
    </w:pPr>
  </w:style>
  <w:style w:type="character" w:customStyle="1" w:styleId="HeaderChar">
    <w:name w:val="Header Char"/>
    <w:basedOn w:val="DefaultParagraphFont"/>
    <w:link w:val="Header"/>
    <w:uiPriority w:val="99"/>
    <w:rsid w:val="00843E35"/>
  </w:style>
  <w:style w:type="paragraph" w:styleId="Footer">
    <w:name w:val="footer"/>
    <w:basedOn w:val="Normal"/>
    <w:link w:val="FooterChar"/>
    <w:uiPriority w:val="99"/>
    <w:unhideWhenUsed/>
    <w:rsid w:val="00843E35"/>
    <w:pPr>
      <w:tabs>
        <w:tab w:val="center" w:pos="4252"/>
        <w:tab w:val="right" w:pos="8504"/>
      </w:tabs>
      <w:spacing w:after="0" w:line="240" w:lineRule="auto"/>
    </w:pPr>
  </w:style>
  <w:style w:type="character" w:customStyle="1" w:styleId="FooterChar">
    <w:name w:val="Footer Char"/>
    <w:basedOn w:val="DefaultParagraphFont"/>
    <w:link w:val="Footer"/>
    <w:uiPriority w:val="99"/>
    <w:rsid w:val="00843E35"/>
  </w:style>
  <w:style w:type="paragraph" w:styleId="ListParagraph">
    <w:name w:val="List Paragraph"/>
    <w:basedOn w:val="Normal"/>
    <w:uiPriority w:val="34"/>
    <w:qFormat/>
    <w:rsid w:val="00667D25"/>
    <w:pPr>
      <w:spacing w:after="200" w:line="276" w:lineRule="auto"/>
      <w:ind w:left="720"/>
      <w:contextualSpacing/>
    </w:pPr>
    <w:rPr>
      <w:rFonts w:ascii="Calibri" w:eastAsia="Calibri" w:hAnsi="Calibri" w:cs="Times New Roman"/>
    </w:rPr>
  </w:style>
  <w:style w:type="character" w:styleId="Hyperlink">
    <w:name w:val="Hyperlink"/>
    <w:uiPriority w:val="99"/>
    <w:unhideWhenUsed/>
    <w:rsid w:val="00CE5E48"/>
    <w:rPr>
      <w:color w:val="0000FF"/>
      <w:u w:val="single"/>
    </w:rPr>
  </w:style>
  <w:style w:type="character" w:styleId="PageNumber">
    <w:name w:val="page number"/>
    <w:basedOn w:val="DefaultParagraphFont"/>
    <w:uiPriority w:val="99"/>
    <w:unhideWhenUsed/>
    <w:rsid w:val="004153BE"/>
  </w:style>
  <w:style w:type="character" w:styleId="CommentReference">
    <w:name w:val="annotation reference"/>
    <w:basedOn w:val="DefaultParagraphFont"/>
    <w:uiPriority w:val="99"/>
    <w:semiHidden/>
    <w:unhideWhenUsed/>
    <w:rsid w:val="0094075F"/>
    <w:rPr>
      <w:sz w:val="16"/>
      <w:szCs w:val="16"/>
    </w:rPr>
  </w:style>
  <w:style w:type="paragraph" w:styleId="CommentText">
    <w:name w:val="annotation text"/>
    <w:basedOn w:val="Normal"/>
    <w:link w:val="CommentTextChar"/>
    <w:uiPriority w:val="99"/>
    <w:semiHidden/>
    <w:unhideWhenUsed/>
    <w:rsid w:val="0094075F"/>
    <w:pPr>
      <w:spacing w:line="240" w:lineRule="auto"/>
    </w:pPr>
    <w:rPr>
      <w:sz w:val="20"/>
      <w:szCs w:val="20"/>
    </w:rPr>
  </w:style>
  <w:style w:type="character" w:customStyle="1" w:styleId="CommentTextChar">
    <w:name w:val="Comment Text Char"/>
    <w:basedOn w:val="DefaultParagraphFont"/>
    <w:link w:val="CommentText"/>
    <w:uiPriority w:val="99"/>
    <w:semiHidden/>
    <w:rsid w:val="0094075F"/>
    <w:rPr>
      <w:sz w:val="20"/>
      <w:szCs w:val="20"/>
    </w:rPr>
  </w:style>
  <w:style w:type="paragraph" w:styleId="CommentSubject">
    <w:name w:val="annotation subject"/>
    <w:basedOn w:val="CommentText"/>
    <w:next w:val="CommentText"/>
    <w:link w:val="CommentSubjectChar"/>
    <w:uiPriority w:val="99"/>
    <w:semiHidden/>
    <w:unhideWhenUsed/>
    <w:rsid w:val="0094075F"/>
    <w:rPr>
      <w:b/>
      <w:bCs/>
    </w:rPr>
  </w:style>
  <w:style w:type="character" w:customStyle="1" w:styleId="CommentSubjectChar">
    <w:name w:val="Comment Subject Char"/>
    <w:basedOn w:val="CommentTextChar"/>
    <w:link w:val="CommentSubject"/>
    <w:uiPriority w:val="99"/>
    <w:semiHidden/>
    <w:rsid w:val="0094075F"/>
    <w:rPr>
      <w:b/>
      <w:bCs/>
      <w:sz w:val="20"/>
      <w:szCs w:val="20"/>
    </w:rPr>
  </w:style>
  <w:style w:type="paragraph" w:styleId="BalloonText">
    <w:name w:val="Balloon Text"/>
    <w:basedOn w:val="Normal"/>
    <w:link w:val="BalloonTextChar"/>
    <w:uiPriority w:val="99"/>
    <w:semiHidden/>
    <w:unhideWhenUsed/>
    <w:rsid w:val="00940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7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78143">
      <w:bodyDiv w:val="1"/>
      <w:marLeft w:val="0"/>
      <w:marRight w:val="0"/>
      <w:marTop w:val="0"/>
      <w:marBottom w:val="0"/>
      <w:divBdr>
        <w:top w:val="none" w:sz="0" w:space="0" w:color="auto"/>
        <w:left w:val="none" w:sz="0" w:space="0" w:color="auto"/>
        <w:bottom w:val="none" w:sz="0" w:space="0" w:color="auto"/>
        <w:right w:val="none" w:sz="0" w:space="0" w:color="auto"/>
      </w:divBdr>
    </w:div>
    <w:div w:id="1364407934">
      <w:bodyDiv w:val="1"/>
      <w:marLeft w:val="0"/>
      <w:marRight w:val="0"/>
      <w:marTop w:val="0"/>
      <w:marBottom w:val="0"/>
      <w:divBdr>
        <w:top w:val="none" w:sz="0" w:space="0" w:color="auto"/>
        <w:left w:val="none" w:sz="0" w:space="0" w:color="auto"/>
        <w:bottom w:val="none" w:sz="0" w:space="0" w:color="auto"/>
        <w:right w:val="none" w:sz="0" w:space="0" w:color="auto"/>
      </w:divBdr>
    </w:div>
    <w:div w:id="1502113418">
      <w:bodyDiv w:val="1"/>
      <w:marLeft w:val="0"/>
      <w:marRight w:val="0"/>
      <w:marTop w:val="0"/>
      <w:marBottom w:val="0"/>
      <w:divBdr>
        <w:top w:val="none" w:sz="0" w:space="0" w:color="auto"/>
        <w:left w:val="none" w:sz="0" w:space="0" w:color="auto"/>
        <w:bottom w:val="none" w:sz="0" w:space="0" w:color="auto"/>
        <w:right w:val="none" w:sz="0" w:space="0" w:color="auto"/>
      </w:divBdr>
    </w:div>
    <w:div w:id="1600943915">
      <w:bodyDiv w:val="1"/>
      <w:marLeft w:val="0"/>
      <w:marRight w:val="0"/>
      <w:marTop w:val="0"/>
      <w:marBottom w:val="0"/>
      <w:divBdr>
        <w:top w:val="none" w:sz="0" w:space="0" w:color="auto"/>
        <w:left w:val="none" w:sz="0" w:space="0" w:color="auto"/>
        <w:bottom w:val="none" w:sz="0" w:space="0" w:color="auto"/>
        <w:right w:val="none" w:sz="0" w:space="0" w:color="auto"/>
      </w:divBdr>
    </w:div>
    <w:div w:id="167746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hyperlink" Target="http://www.cndhc.org.cv" TargetMode="External"/><Relationship Id="rId1" Type="http://schemas.openxmlformats.org/officeDocument/2006/relationships/hyperlink" Target="mailto:cndhc@cndhc.gov.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47C17E-62AC-46D0-8C0C-CCA711574D71}">
  <ds:schemaRefs>
    <ds:schemaRef ds:uri="http://schemas.openxmlformats.org/officeDocument/2006/bibliography"/>
  </ds:schemaRefs>
</ds:datastoreItem>
</file>

<file path=customXml/itemProps2.xml><?xml version="1.0" encoding="utf-8"?>
<ds:datastoreItem xmlns:ds="http://schemas.openxmlformats.org/officeDocument/2006/customXml" ds:itemID="{67DA6C36-680C-4884-9BE6-244BD58AE713}"/>
</file>

<file path=customXml/itemProps3.xml><?xml version="1.0" encoding="utf-8"?>
<ds:datastoreItem xmlns:ds="http://schemas.openxmlformats.org/officeDocument/2006/customXml" ds:itemID="{26F2B96C-3D4D-4FC0-82B7-4F0771D2A265}"/>
</file>

<file path=customXml/itemProps4.xml><?xml version="1.0" encoding="utf-8"?>
<ds:datastoreItem xmlns:ds="http://schemas.openxmlformats.org/officeDocument/2006/customXml" ds:itemID="{5AFBA84C-FE22-49D8-B054-3AA081B53D40}"/>
</file>

<file path=docProps/app.xml><?xml version="1.0" encoding="utf-8"?>
<Properties xmlns="http://schemas.openxmlformats.org/officeDocument/2006/extended-properties" xmlns:vt="http://schemas.openxmlformats.org/officeDocument/2006/docPropsVTypes">
  <Template>Normal.dotm</Template>
  <TotalTime>0</TotalTime>
  <Pages>10</Pages>
  <Words>3116</Words>
  <Characters>16796</Characters>
  <Application>Microsoft Office Word</Application>
  <DocSecurity>4</DocSecurity>
  <Lines>270</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CNDHC / Jurista -  Thelma Indira Tavares Pereira</dc:creator>
  <cp:keywords/>
  <dc:description/>
  <cp:lastModifiedBy>Céline Reynaud</cp:lastModifiedBy>
  <cp:revision>2</cp:revision>
  <dcterms:created xsi:type="dcterms:W3CDTF">2019-06-12T12:48:00Z</dcterms:created>
  <dcterms:modified xsi:type="dcterms:W3CDTF">2019-06-12T12:48:00Z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