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5FC6F" w14:textId="77777777" w:rsidR="00F05F1C" w:rsidRPr="00F11914" w:rsidRDefault="00F05F1C" w:rsidP="00D52BB7">
      <w:pPr>
        <w:pStyle w:val="Encabezado"/>
        <w:snapToGrid w:val="0"/>
        <w:spacing w:line="276" w:lineRule="auto"/>
        <w:contextualSpacing/>
        <w:jc w:val="both"/>
        <w:rPr>
          <w:rFonts w:ascii="Times New Roman" w:hAnsi="Times New Roman"/>
          <w:b/>
          <w:lang w:val="es-ES_tradnl"/>
        </w:rPr>
      </w:pPr>
      <w:r w:rsidRPr="00F11914">
        <w:rPr>
          <w:rFonts w:ascii="Times New Roman" w:hAnsi="Times New Roman"/>
          <w:noProof/>
          <w:lang w:val="es-US" w:eastAsia="es-US"/>
        </w:rPr>
        <w:drawing>
          <wp:inline distT="0" distB="0" distL="0" distR="0" wp14:anchorId="6CCCF3AC" wp14:editId="0DACEF45">
            <wp:extent cx="750570" cy="1025525"/>
            <wp:effectExtent l="0" t="0" r="0" b="3175"/>
            <wp:docPr id="1" name="Imagen 1" descr="http://www.unjc.co.cu/assets/images/logo/unj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unjc.co.cu/assets/images/logo/unjc-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0570" cy="1025525"/>
                    </a:xfrm>
                    <a:prstGeom prst="rect">
                      <a:avLst/>
                    </a:prstGeom>
                    <a:noFill/>
                    <a:ln>
                      <a:noFill/>
                    </a:ln>
                  </pic:spPr>
                </pic:pic>
              </a:graphicData>
            </a:graphic>
          </wp:inline>
        </w:drawing>
      </w:r>
      <w:r w:rsidRPr="00F11914">
        <w:rPr>
          <w:rFonts w:ascii="Arial" w:hAnsi="Arial" w:cs="Arial"/>
          <w:b/>
          <w:lang w:val="es-ES_tradnl"/>
        </w:rPr>
        <w:t>UNIÓN NACIONAL DE JURISTAS DE CUBA</w:t>
      </w:r>
    </w:p>
    <w:p w14:paraId="28BFEB70" w14:textId="77777777" w:rsidR="00D95EFD" w:rsidRPr="00D95EFD" w:rsidRDefault="00D95EFD" w:rsidP="00D95EFD">
      <w:pPr>
        <w:spacing w:before="100" w:beforeAutospacing="1" w:after="100" w:afterAutospacing="1" w:line="240" w:lineRule="auto"/>
        <w:jc w:val="both"/>
        <w:outlineLvl w:val="0"/>
        <w:rPr>
          <w:rFonts w:ascii="Arial" w:eastAsia="Times New Roman" w:hAnsi="Arial" w:cs="Arial"/>
          <w:b/>
          <w:bCs/>
          <w:kern w:val="36"/>
          <w:sz w:val="24"/>
          <w:szCs w:val="24"/>
          <w:lang w:eastAsia="es-US"/>
        </w:rPr>
      </w:pPr>
      <w:r w:rsidRPr="00D95EFD">
        <w:rPr>
          <w:rFonts w:ascii="Arial" w:eastAsia="Times New Roman" w:hAnsi="Arial" w:cs="Arial"/>
          <w:b/>
          <w:bCs/>
          <w:kern w:val="36"/>
          <w:sz w:val="24"/>
          <w:szCs w:val="24"/>
          <w:lang w:eastAsia="es-US"/>
        </w:rPr>
        <w:t>Contribution to the presentation of the Republic of Cuba’s report at the 117th session of CERD.</w:t>
      </w:r>
    </w:p>
    <w:p w14:paraId="65B7FE9A"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Name of the organization: The National Union of Jurists of Cuba</w:t>
      </w:r>
    </w:p>
    <w:p w14:paraId="5EAF4EC2"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Description of the organization: The National Union of Jurists of Cuba is a non-governmental organization comprising more than 17,300 legal professionals. It is part of Cuban civil society and its primary objective is to represent the interests of jurists, promote their professional development in technical and academic fields, and disseminate legal knowledge to the general public.</w:t>
      </w:r>
    </w:p>
    <w:p w14:paraId="066D4923"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By its very nature and the profession of its members, our organization is a non-governmental organization that is highly committed to constitutionality, legality, and the promotion, protection, and guarantee of human rights.</w:t>
      </w:r>
    </w:p>
    <w:p w14:paraId="299B8355" w14:textId="77777777" w:rsidR="00D95EFD" w:rsidRPr="00D95EFD" w:rsidRDefault="00D95EFD" w:rsidP="00D95EFD">
      <w:pPr>
        <w:spacing w:before="100" w:beforeAutospacing="1" w:after="100" w:afterAutospacing="1" w:line="240" w:lineRule="auto"/>
        <w:jc w:val="both"/>
        <w:outlineLvl w:val="2"/>
        <w:rPr>
          <w:rFonts w:ascii="Arial" w:eastAsia="Times New Roman" w:hAnsi="Arial" w:cs="Arial"/>
          <w:b/>
          <w:bCs/>
          <w:sz w:val="24"/>
          <w:szCs w:val="24"/>
          <w:lang w:eastAsia="es-US"/>
        </w:rPr>
      </w:pPr>
      <w:r w:rsidRPr="00D95EFD">
        <w:rPr>
          <w:rFonts w:ascii="Arial" w:eastAsia="Times New Roman" w:hAnsi="Arial" w:cs="Arial"/>
          <w:b/>
          <w:bCs/>
          <w:sz w:val="24"/>
          <w:szCs w:val="24"/>
          <w:lang w:eastAsia="es-US"/>
        </w:rPr>
        <w:t>1. Major progress in the country since the previous review before the Committee (2018)</w:t>
      </w:r>
    </w:p>
    <w:p w14:paraId="4E0A0F85" w14:textId="724D8B5E"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Enactment of the 2019 Constitution, which recognizes the principle of equality and prohibits discrimination based on ethnic origin and skin color (Art. 42), and obligates the State to create conditions to guarantee equality (Art. 44), while defining as one of its essential purposes the guarantee of effective equality in the enjoyment of rights and the fulfillment of duties enshrined in the Constitution and other legal norms (Art. 13, subparagraph d).</w:t>
      </w:r>
    </w:p>
    <w:p w14:paraId="730251A2" w14:textId="4D58D671"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Adoption and implementation (since November 2019) of the National Program against Racism and Racial Discrimination “Color Cubano” and creation of the National Commission to oversee it.</w:t>
      </w:r>
    </w:p>
    <w:p w14:paraId="3B029868" w14:textId="471638FE"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Approval of a set of laws between 2019 and 2023 in full accordance with the Cuban Constitution, among which the following stand out:</w:t>
      </w:r>
    </w:p>
    <w:p w14:paraId="6D9D9EA0" w14:textId="7B122C8B" w:rsidR="00D95EFD" w:rsidRPr="00D95EFD" w:rsidRDefault="00D95EFD" w:rsidP="00D95EFD">
      <w:pPr>
        <w:pStyle w:val="Prrafodelista"/>
        <w:numPr>
          <w:ilvl w:val="0"/>
          <w:numId w:val="15"/>
        </w:num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xml:space="preserve">the Penal Code (Law No. 151/2022). One of the objectives of this law is the protection of the rights recognized in the Constitution and the rest of the legal system (Art. 1.1, subpar. b). Likewise, it considers the commission of a crime motivated by gender-based violence or domestic violence, as well as by discrimination based on sex, gender, sexual orientation, gender identity, age, ethnic origin, skin color, religious belief, disability, national or territorial origin, or any other personal condition or circumstance that entails a distinction </w:t>
      </w:r>
      <w:r w:rsidRPr="00D95EFD">
        <w:rPr>
          <w:rFonts w:ascii="Arial" w:eastAsia="Times New Roman" w:hAnsi="Arial" w:cs="Arial"/>
          <w:sz w:val="24"/>
          <w:szCs w:val="24"/>
          <w:lang w:eastAsia="es-US"/>
        </w:rPr>
        <w:lastRenderedPageBreak/>
        <w:t>harmful to human dignity, to be an aggravating circumstance of criminal liability (Art. 80.1, subpar. n). It also imposes particularly severe penalties for the crime of genocide when committed with the intent to destroy, in whole or in part, a national, ethnic, religious, or racial group (Art. 134.1); it strengthens the criminal response to the crime of apartheid by increasing the penalties (Art. 136.1, 136.2, and 136.3); and it criminalizes the dissemination of ideas based on racial superiority or hatred on the grounds of skin color (Art. 388.1, 388.2, and 388.3).</w:t>
      </w:r>
    </w:p>
    <w:p w14:paraId="52DB5FF4" w14:textId="2D714BD2" w:rsidR="00D95EFD" w:rsidRPr="00D95EFD" w:rsidRDefault="00D95EFD" w:rsidP="00D95EFD">
      <w:pPr>
        <w:pStyle w:val="Prrafodelista"/>
        <w:numPr>
          <w:ilvl w:val="0"/>
          <w:numId w:val="15"/>
        </w:num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the Criminal Procedure Act (Act No. 143/2021) and the Act on the Protection of Constitutional Rights (Act No. 153/2022), which strengthen due process guarantees and judicial avenues for the protection of rights.</w:t>
      </w:r>
    </w:p>
    <w:p w14:paraId="44FCE8FC" w14:textId="20F23D50" w:rsidR="00D95EFD" w:rsidRPr="00D95EFD" w:rsidRDefault="00D95EFD" w:rsidP="00D95EFD">
      <w:pPr>
        <w:pStyle w:val="Prrafodelista"/>
        <w:numPr>
          <w:ilvl w:val="0"/>
          <w:numId w:val="15"/>
        </w:num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the Family Code (Law No. 156/2022), which defines and prohibits discrimination within the family based on ethnic origin and skin color, and establishes urgent protection in cases of discrimination and violence.</w:t>
      </w:r>
    </w:p>
    <w:p w14:paraId="3582E11E" w14:textId="7A151F8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xml:space="preserve">Of particular relevance in this context is the specific judicial guarantee of protection against the violation of constitutional rights provided for in Article 99 of the Constitution, which already has its implementing legislation: the Law on the Protection of Constitutional Rights. The new constitutional text establishes a “special defense mechanism” aimed at protecting individuals whose rights enshrined in the Constitution are violated and who, as a result, suffer harm or damage at the hands of State bodies, their directors, officials, or employees, due to improper action or omission in the performance of their duties, as well as at the hands of private individuals or non-State entities. This is an instrument of an eminently procedural-constitutional nature, a specific jurisdictional guarantee that confers the right to seek restoration of rights before the courts and to obtain the corresponding reparation or compensation. </w:t>
      </w:r>
    </w:p>
    <w:p w14:paraId="79030001" w14:textId="69469A5C"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Greater incorporation of the ethnic-racial variable into official statistics based on self-identification (based on the 2012 Census) and reference to the population composition in the state report.</w:t>
      </w:r>
    </w:p>
    <w:p w14:paraId="03242AD7" w14:textId="77777777" w:rsidR="00D95EFD" w:rsidRPr="00D95EFD" w:rsidRDefault="00D95EFD" w:rsidP="00D95EFD">
      <w:pPr>
        <w:spacing w:before="100" w:beforeAutospacing="1" w:after="100" w:afterAutospacing="1" w:line="240" w:lineRule="auto"/>
        <w:jc w:val="both"/>
        <w:outlineLvl w:val="2"/>
        <w:rPr>
          <w:rFonts w:ascii="Arial" w:eastAsia="Times New Roman" w:hAnsi="Arial" w:cs="Arial"/>
          <w:b/>
          <w:bCs/>
          <w:sz w:val="24"/>
          <w:szCs w:val="24"/>
          <w:lang w:eastAsia="es-US"/>
        </w:rPr>
      </w:pPr>
      <w:r w:rsidRPr="00D95EFD">
        <w:rPr>
          <w:rFonts w:ascii="Arial" w:eastAsia="Times New Roman" w:hAnsi="Arial" w:cs="Arial"/>
          <w:b/>
          <w:bCs/>
          <w:sz w:val="24"/>
          <w:szCs w:val="24"/>
          <w:lang w:eastAsia="es-US"/>
        </w:rPr>
        <w:t>2. Contributions from the National Union of Jurists of Cuba.</w:t>
      </w:r>
    </w:p>
    <w:p w14:paraId="1D8C32FA"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o Training of legal practitioners, with multidisciplinary support from other civil society organizations, to ensure consistency with constitutional principles in the interpretation of legislation for its more effective implementation.</w:t>
      </w:r>
    </w:p>
    <w:p w14:paraId="268C757E"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o Awareness-raising and legal education initiatives for the population to combat racial stereotypes and prejudices based on skin color, thereby contributing to the implementation of measures established in the National Program against Racism and Racial Discrimination “Color Cubano.”</w:t>
      </w:r>
    </w:p>
    <w:p w14:paraId="758436FD"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o Active and leading participation in legislative drafting processes, including the 2019 Cuban Constitution, so that civil society can contribute to the development of laws that guarantee the protection of human rights and provide legal certainty to all citizens and residents of our country.</w:t>
      </w:r>
    </w:p>
    <w:p w14:paraId="6C3E8E67"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lastRenderedPageBreak/>
        <w:t>o Member of the commissions of the National Program for the Advancement of Women and against Racism and Racial Discrimination “Color Cubano,” participating in forums for debate on issues of equality, discrimination, and the protection of human rights at the national and international levels.</w:t>
      </w:r>
    </w:p>
    <w:p w14:paraId="36EA076B"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o Publications in Cuban journals, particularly in the Cuban Law Journal, and dissemination through mass media and social media of approved legal norms and their effective implementation to contribute to a full understanding of the rights of Cubans.</w:t>
      </w:r>
    </w:p>
    <w:p w14:paraId="4B2B7368" w14:textId="77777777" w:rsidR="00D95EFD" w:rsidRPr="00D95EFD" w:rsidRDefault="00D95EFD" w:rsidP="00D95EFD">
      <w:pPr>
        <w:spacing w:before="100" w:beforeAutospacing="1" w:after="100" w:afterAutospacing="1" w:line="240" w:lineRule="auto"/>
        <w:jc w:val="both"/>
        <w:outlineLvl w:val="2"/>
        <w:rPr>
          <w:rFonts w:ascii="Arial" w:eastAsia="Times New Roman" w:hAnsi="Arial" w:cs="Arial"/>
          <w:b/>
          <w:bCs/>
          <w:sz w:val="24"/>
          <w:szCs w:val="24"/>
          <w:lang w:eastAsia="es-US"/>
        </w:rPr>
      </w:pPr>
      <w:r w:rsidRPr="00D95EFD">
        <w:rPr>
          <w:rFonts w:ascii="Arial" w:eastAsia="Times New Roman" w:hAnsi="Arial" w:cs="Arial"/>
          <w:b/>
          <w:bCs/>
          <w:sz w:val="24"/>
          <w:szCs w:val="24"/>
          <w:lang w:eastAsia="es-US"/>
        </w:rPr>
        <w:t>3. Main challenges that persist in the fight against racial discrimination</w:t>
      </w:r>
    </w:p>
    <w:p w14:paraId="5CF726F5"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Manifestations of racism and socioeconomic inequalities affecting people of African descent, reflected in gaps in employment, access to decision-making positions, and living conditions.</w:t>
      </w:r>
    </w:p>
    <w:p w14:paraId="109E7E77"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Need for greater public information on results, indicators, and impact assessments of the “Color Cubano” Program and policies to reduce racial inequalities. Similarly, continue to expand these actions of the “Color Cubano” Program to all levels of education, with special emphasis on schools, communities, workplaces, and other settings.</w:t>
      </w:r>
    </w:p>
    <w:p w14:paraId="2B665F91"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Limited public awareness of mechanisms for reporting and redress regarding racial discrimination and discrimination based on skin color.</w:t>
      </w:r>
    </w:p>
    <w:p w14:paraId="116D0A55"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Greater publicity is needed for legal institutions that handle complaints or reports of discriminatory actions, such as the Ombudsman’s Office, an entity attached to the Ministry of Justice with representation in all municipalities and provinces of the country (approved by Agreement 9571 of May 11, 2013, amending Agreement 8663 of the Council of Ministers of August 13, 2019, and Resolution 496 of 2023 of the Ministry of Justice, which regulates its operations), whose mission is to guarantee and restore the rights of individuals in situations of socio-legal vulnerability, with special emphasis on children, adolescents, persons with disabilities, and victims of violence or discrimination, offering comprehensive support and legal advice during administrative or judicial proceedings, with emotional and psychological support if necessary.</w:t>
      </w:r>
    </w:p>
    <w:p w14:paraId="1F320B63"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Continue all efforts to raise the legal literacy of the population, so that they may better understand the content of legal norms that guarantee the protection of individuals’ rights, such as Law 153 of 2022 “On the Process of Constitutional Remedies,” since there is a lack of awareness among the population regarding mechanisms that make the judicial protection of rights recognized in the Cuban Constitution much more effective in cases of damages or harm, which may be caused by improper actions or omissions on the part of state bodies, officials, or employees, or by private individuals or state or non-state entities.</w:t>
      </w:r>
    </w:p>
    <w:p w14:paraId="5DEBAAC2"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lastRenderedPageBreak/>
        <w:t>· Greater dissemination and visibility in the media of actions to address discriminatory biases based on skin color that have become normalized in the lives of Cubans.</w:t>
      </w:r>
    </w:p>
    <w:p w14:paraId="3502AD7E"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Lack of awareness among legal practitioners to detect possible manifestations of racial discrimination in the proceedings, complaints, or reports submitted for their consideration, and lack of knowledge regarding the International Convention on the Elimination of All Forms of Racial Discrimination and other binding treaties to which Cuba is a signatory.</w:t>
      </w:r>
    </w:p>
    <w:p w14:paraId="42C68C85"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Lack of structured data on complaints, grievances, claims, and legal proceedings regarding discrimination based on skin color.</w:t>
      </w:r>
    </w:p>
    <w:p w14:paraId="4BE578F4" w14:textId="4901E9B9"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Impact of the economic, commercial, and financial blockade imposed by the United States government on the Cuban people, currently intensified by an oil embargo that causes greater shortages of economic resources, lack of financing, and fuel shortages affecting electricity generation and transportation. All of the above deteriorates the quality of life of the population, especially the most vulnerable, and severely hinders the implementation of public policies on social justice and the planned actions for preparation, training, outreach, printing of materials, etc., to advance the objectives of the “Color Cubano” National Program and awareness of the Convention. This genocidal policy constitutes a massive, flagrant, and systematic violation of the human rights of Cubans and is the main obstacle to the country’s economic and social development.</w:t>
      </w:r>
    </w:p>
    <w:p w14:paraId="3D5DF4C5" w14:textId="78685D3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bookmarkStart w:id="0" w:name="_GoBack"/>
      <w:bookmarkEnd w:id="0"/>
      <w:r w:rsidRPr="00D95EFD">
        <w:rPr>
          <w:rFonts w:ascii="Arial" w:eastAsia="Times New Roman" w:hAnsi="Arial" w:cs="Arial"/>
          <w:sz w:val="24"/>
          <w:szCs w:val="24"/>
          <w:lang w:eastAsia="es-US"/>
        </w:rPr>
        <w:t xml:space="preserve">4. </w:t>
      </w:r>
      <w:r w:rsidRPr="00D95EFD">
        <w:rPr>
          <w:rFonts w:ascii="Arial" w:eastAsia="Times New Roman" w:hAnsi="Arial" w:cs="Arial"/>
          <w:b/>
          <w:bCs/>
          <w:sz w:val="24"/>
          <w:szCs w:val="24"/>
          <w:lang w:eastAsia="es-US"/>
        </w:rPr>
        <w:t>Specific Recommendations</w:t>
      </w:r>
    </w:p>
    <w:p w14:paraId="5883F205"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Develop a monitoring system for the “Color Cubano” Program with indicators, targets, and deadlines; publish periodic reports on results and budgets; and continue to ensure the effective participation of civil society organizations in its design and implementation.</w:t>
      </w:r>
    </w:p>
    <w:p w14:paraId="58E89C75"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Implement mandatory and ongoing training on the Convention, racial biases, and non-discrimination for judges, prosecutors, police, and public officials; include modules on indirect discrimination and CERD standards.</w:t>
      </w:r>
    </w:p>
    <w:p w14:paraId="6EC70AE5" w14:textId="77777777" w:rsidR="00D95EFD" w:rsidRPr="00D95EFD" w:rsidRDefault="00D95EFD" w:rsidP="00D95EFD">
      <w:pPr>
        <w:spacing w:before="100" w:beforeAutospacing="1" w:after="100" w:afterAutospacing="1" w:line="240" w:lineRule="auto"/>
        <w:jc w:val="both"/>
        <w:rPr>
          <w:rFonts w:ascii="Arial" w:eastAsia="Times New Roman" w:hAnsi="Arial" w:cs="Arial"/>
          <w:sz w:val="24"/>
          <w:szCs w:val="24"/>
          <w:lang w:eastAsia="es-US"/>
        </w:rPr>
      </w:pPr>
      <w:r w:rsidRPr="00D95EFD">
        <w:rPr>
          <w:rFonts w:ascii="Arial" w:eastAsia="Times New Roman" w:hAnsi="Arial" w:cs="Arial"/>
          <w:sz w:val="24"/>
          <w:szCs w:val="24"/>
          <w:lang w:eastAsia="es-US"/>
        </w:rPr>
        <w:t>· Adopt temporary special measures to reduce historical disparities, including affirmative action in employment, higher education, housing, and representation in decision-making positions.</w:t>
      </w:r>
    </w:p>
    <w:p w14:paraId="5E93F28D" w14:textId="77777777" w:rsidR="00AF5C54" w:rsidRPr="00D95EFD" w:rsidRDefault="00AF5C54" w:rsidP="00D52BB7">
      <w:pPr>
        <w:pStyle w:val="Listaconvietas"/>
        <w:ind w:left="360"/>
        <w:jc w:val="both"/>
      </w:pPr>
    </w:p>
    <w:sectPr w:rsidR="00AF5C54" w:rsidRPr="00D95EFD" w:rsidSect="00D52BB7">
      <w:pgSz w:w="12240" w:h="15840"/>
      <w:pgMar w:top="1440" w:right="1467"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37583" w14:textId="77777777" w:rsidR="00B25BB6" w:rsidRDefault="00B25BB6" w:rsidP="00CB43A0">
      <w:pPr>
        <w:spacing w:after="0" w:line="240" w:lineRule="auto"/>
      </w:pPr>
      <w:r>
        <w:separator/>
      </w:r>
    </w:p>
  </w:endnote>
  <w:endnote w:type="continuationSeparator" w:id="0">
    <w:p w14:paraId="504D52CB" w14:textId="77777777" w:rsidR="00B25BB6" w:rsidRDefault="00B25BB6" w:rsidP="00CB4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C138F" w14:textId="77777777" w:rsidR="00B25BB6" w:rsidRDefault="00B25BB6" w:rsidP="00CB43A0">
      <w:pPr>
        <w:spacing w:after="0" w:line="240" w:lineRule="auto"/>
      </w:pPr>
      <w:r>
        <w:separator/>
      </w:r>
    </w:p>
  </w:footnote>
  <w:footnote w:type="continuationSeparator" w:id="0">
    <w:p w14:paraId="3E94A17D" w14:textId="77777777" w:rsidR="00B25BB6" w:rsidRDefault="00B25BB6" w:rsidP="00CB4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1C065FA2"/>
    <w:lvl w:ilvl="0">
      <w:start w:val="1"/>
      <w:numFmt w:val="bullet"/>
      <w:pStyle w:val="Listaconvietas"/>
      <w:lvlText w:val="o"/>
      <w:lvlJc w:val="left"/>
      <w:pPr>
        <w:ind w:left="360" w:hanging="360"/>
      </w:pPr>
      <w:rPr>
        <w:rFonts w:ascii="Courier New" w:hAnsi="Courier New" w:cs="Courier New" w:hint="default"/>
      </w:rPr>
    </w:lvl>
  </w:abstractNum>
  <w:abstractNum w:abstractNumId="9" w15:restartNumberingAfterBreak="0">
    <w:nsid w:val="03435ABD"/>
    <w:multiLevelType w:val="hybridMultilevel"/>
    <w:tmpl w:val="F08CE6B0"/>
    <w:lvl w:ilvl="0" w:tplc="658622C2">
      <w:numFmt w:val="bullet"/>
      <w:lvlText w:val=""/>
      <w:lvlJc w:val="left"/>
      <w:pPr>
        <w:ind w:left="720" w:hanging="360"/>
      </w:pPr>
      <w:rPr>
        <w:rFonts w:ascii="Symbol" w:eastAsia="Times New Roman" w:hAnsi="Symbol" w:cs="Aria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2B92362A"/>
    <w:multiLevelType w:val="hybridMultilevel"/>
    <w:tmpl w:val="53CADFB8"/>
    <w:lvl w:ilvl="0" w:tplc="540A0003">
      <w:start w:val="1"/>
      <w:numFmt w:val="bullet"/>
      <w:lvlText w:val="o"/>
      <w:lvlJc w:val="left"/>
      <w:pPr>
        <w:ind w:left="720" w:hanging="360"/>
      </w:pPr>
      <w:rPr>
        <w:rFonts w:ascii="Courier New" w:hAnsi="Courier New" w:cs="Courier New"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1" w15:restartNumberingAfterBreak="0">
    <w:nsid w:val="4128660D"/>
    <w:multiLevelType w:val="hybridMultilevel"/>
    <w:tmpl w:val="AEA8E6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2" w15:restartNumberingAfterBreak="0">
    <w:nsid w:val="607F432F"/>
    <w:multiLevelType w:val="hybridMultilevel"/>
    <w:tmpl w:val="4A88B8D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3" w15:restartNumberingAfterBreak="0">
    <w:nsid w:val="72FA28D0"/>
    <w:multiLevelType w:val="hybridMultilevel"/>
    <w:tmpl w:val="CB90D5B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7C1C1FEB"/>
    <w:multiLevelType w:val="hybridMultilevel"/>
    <w:tmpl w:val="6194DF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0"/>
  </w:num>
  <w:num w:numId="12">
    <w:abstractNumId w:val="12"/>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1313"/>
    <w:rsid w:val="0006063C"/>
    <w:rsid w:val="0007382F"/>
    <w:rsid w:val="000C2AD6"/>
    <w:rsid w:val="00106684"/>
    <w:rsid w:val="0015074B"/>
    <w:rsid w:val="00156373"/>
    <w:rsid w:val="001737A3"/>
    <w:rsid w:val="00176ED1"/>
    <w:rsid w:val="00180605"/>
    <w:rsid w:val="001879F3"/>
    <w:rsid w:val="00243145"/>
    <w:rsid w:val="002437FB"/>
    <w:rsid w:val="0029639D"/>
    <w:rsid w:val="0029678D"/>
    <w:rsid w:val="002F0434"/>
    <w:rsid w:val="00322691"/>
    <w:rsid w:val="00326F90"/>
    <w:rsid w:val="00345AC0"/>
    <w:rsid w:val="00392CFF"/>
    <w:rsid w:val="003D2795"/>
    <w:rsid w:val="004079A7"/>
    <w:rsid w:val="004D6EC4"/>
    <w:rsid w:val="005222D8"/>
    <w:rsid w:val="005C20F8"/>
    <w:rsid w:val="005E426E"/>
    <w:rsid w:val="0060710B"/>
    <w:rsid w:val="006220DA"/>
    <w:rsid w:val="00633058"/>
    <w:rsid w:val="00646932"/>
    <w:rsid w:val="006659DC"/>
    <w:rsid w:val="00695A02"/>
    <w:rsid w:val="00695CF7"/>
    <w:rsid w:val="00724726"/>
    <w:rsid w:val="00744A33"/>
    <w:rsid w:val="008367FB"/>
    <w:rsid w:val="00844DA5"/>
    <w:rsid w:val="00891083"/>
    <w:rsid w:val="00910455"/>
    <w:rsid w:val="00957F8D"/>
    <w:rsid w:val="0097047E"/>
    <w:rsid w:val="009A56E4"/>
    <w:rsid w:val="00A358BC"/>
    <w:rsid w:val="00AA1D8D"/>
    <w:rsid w:val="00AB00BD"/>
    <w:rsid w:val="00AB0F25"/>
    <w:rsid w:val="00AF5C54"/>
    <w:rsid w:val="00B1094D"/>
    <w:rsid w:val="00B25BB6"/>
    <w:rsid w:val="00B47730"/>
    <w:rsid w:val="00B703A3"/>
    <w:rsid w:val="00C44257"/>
    <w:rsid w:val="00CB0664"/>
    <w:rsid w:val="00CB43A0"/>
    <w:rsid w:val="00CF3432"/>
    <w:rsid w:val="00D005B0"/>
    <w:rsid w:val="00D2156E"/>
    <w:rsid w:val="00D52BB7"/>
    <w:rsid w:val="00D954A0"/>
    <w:rsid w:val="00D95EFD"/>
    <w:rsid w:val="00DD3C61"/>
    <w:rsid w:val="00DE5993"/>
    <w:rsid w:val="00E1299E"/>
    <w:rsid w:val="00E17287"/>
    <w:rsid w:val="00E6758C"/>
    <w:rsid w:val="00EA34E7"/>
    <w:rsid w:val="00EA4AD1"/>
    <w:rsid w:val="00EA5066"/>
    <w:rsid w:val="00EA7DD5"/>
    <w:rsid w:val="00EE4B92"/>
    <w:rsid w:val="00EF4745"/>
    <w:rsid w:val="00F001EF"/>
    <w:rsid w:val="00F05F1C"/>
    <w:rsid w:val="00F11914"/>
    <w:rsid w:val="00FC3519"/>
    <w:rsid w:val="00FC693F"/>
    <w:rsid w:val="00FE15B7"/>
    <w:rsid w:val="00FE3E2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762C53"/>
  <w15:docId w15:val="{F74014A6-B30B-4B41-845D-2B1086E3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libri" w:hAnsi="Calibri"/>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xtodeglobo">
    <w:name w:val="Balloon Text"/>
    <w:basedOn w:val="Normal"/>
    <w:link w:val="TextodegloboCar"/>
    <w:uiPriority w:val="99"/>
    <w:semiHidden/>
    <w:unhideWhenUsed/>
    <w:rsid w:val="00D52B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52BB7"/>
    <w:rPr>
      <w:rFonts w:ascii="Tahoma" w:hAnsi="Tahoma" w:cs="Tahoma"/>
      <w:sz w:val="16"/>
      <w:szCs w:val="16"/>
    </w:rPr>
  </w:style>
  <w:style w:type="paragraph" w:styleId="Textonotaalfinal">
    <w:name w:val="endnote text"/>
    <w:basedOn w:val="Normal"/>
    <w:link w:val="TextonotaalfinalCar"/>
    <w:uiPriority w:val="99"/>
    <w:semiHidden/>
    <w:unhideWhenUsed/>
    <w:rsid w:val="00CB43A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B43A0"/>
    <w:rPr>
      <w:rFonts w:ascii="Calibri" w:hAnsi="Calibri"/>
      <w:sz w:val="20"/>
      <w:szCs w:val="20"/>
    </w:rPr>
  </w:style>
  <w:style w:type="character" w:styleId="Refdenotaalfinal">
    <w:name w:val="endnote reference"/>
    <w:basedOn w:val="Fuentedeprrafopredeter"/>
    <w:uiPriority w:val="99"/>
    <w:semiHidden/>
    <w:unhideWhenUsed/>
    <w:rsid w:val="00CB43A0"/>
    <w:rPr>
      <w:vertAlign w:val="superscript"/>
    </w:rPr>
  </w:style>
  <w:style w:type="paragraph" w:styleId="Textonotapie">
    <w:name w:val="footnote text"/>
    <w:basedOn w:val="Normal"/>
    <w:link w:val="TextonotapieCar"/>
    <w:uiPriority w:val="99"/>
    <w:semiHidden/>
    <w:unhideWhenUsed/>
    <w:rsid w:val="00CB43A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B43A0"/>
    <w:rPr>
      <w:rFonts w:ascii="Calibri" w:hAnsi="Calibri"/>
      <w:sz w:val="20"/>
      <w:szCs w:val="20"/>
    </w:rPr>
  </w:style>
  <w:style w:type="character" w:styleId="Refdenotaalpie">
    <w:name w:val="footnote reference"/>
    <w:basedOn w:val="Fuentedeprrafopredeter"/>
    <w:uiPriority w:val="99"/>
    <w:semiHidden/>
    <w:unhideWhenUsed/>
    <w:rsid w:val="00CB43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630216">
      <w:bodyDiv w:val="1"/>
      <w:marLeft w:val="0"/>
      <w:marRight w:val="0"/>
      <w:marTop w:val="0"/>
      <w:marBottom w:val="0"/>
      <w:divBdr>
        <w:top w:val="none" w:sz="0" w:space="0" w:color="auto"/>
        <w:left w:val="none" w:sz="0" w:space="0" w:color="auto"/>
        <w:bottom w:val="none" w:sz="0" w:space="0" w:color="auto"/>
        <w:right w:val="none" w:sz="0" w:space="0" w:color="auto"/>
      </w:divBdr>
    </w:div>
    <w:div w:id="20672940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68A41-0A4F-4FD5-9791-4F3BEF7FA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1568</Words>
  <Characters>8628</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Yamila Gonzalez Ferrer</cp:lastModifiedBy>
  <cp:revision>3</cp:revision>
  <dcterms:created xsi:type="dcterms:W3CDTF">2026-03-22T22:46:00Z</dcterms:created>
  <dcterms:modified xsi:type="dcterms:W3CDTF">2026-03-22T23:53:00Z</dcterms:modified>
</cp:coreProperties>
</file>