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464D5" w14:textId="09B5556A" w:rsidR="000B74A3" w:rsidRDefault="001D4EF8" w:rsidP="000B74A3">
      <w:pPr>
        <w:pStyle w:val="HChG"/>
      </w:pPr>
      <w:r>
        <w:tab/>
      </w:r>
      <w:r w:rsidR="000B74A3" w:rsidRPr="00532AC1">
        <w:rPr>
          <w:color w:val="000000" w:themeColor="text1"/>
        </w:rPr>
        <w:t>I.</w:t>
      </w:r>
      <w:r w:rsidR="000B74A3" w:rsidRPr="00532AC1">
        <w:rPr>
          <w:color w:val="000000" w:themeColor="text1"/>
        </w:rPr>
        <w:tab/>
        <w:t xml:space="preserve">Introduction </w:t>
      </w:r>
    </w:p>
    <w:p w14:paraId="7F5EB853" w14:textId="48F51121" w:rsidR="003D51A3" w:rsidRPr="00A341C9" w:rsidRDefault="003D51A3" w:rsidP="003D51A3">
      <w:pPr>
        <w:pStyle w:val="SingleTxtG"/>
        <w:spacing w:after="100" w:afterAutospacing="1" w:line="276" w:lineRule="auto"/>
        <w:ind w:left="0" w:right="-22"/>
        <w:rPr>
          <w:rFonts w:eastAsiaTheme="minorEastAsia"/>
          <w:color w:val="000000" w:themeColor="text1"/>
          <w:sz w:val="24"/>
          <w:szCs w:val="24"/>
        </w:rPr>
      </w:pPr>
      <w:r w:rsidRPr="00A341C9">
        <w:rPr>
          <w:rFonts w:eastAsiaTheme="minorEastAsia"/>
          <w:color w:val="000000" w:themeColor="text1"/>
          <w:sz w:val="24"/>
          <w:szCs w:val="24"/>
        </w:rPr>
        <w:t xml:space="preserve">The second periodic report of Lithuania on the State's compliance with the International Covenant on Economic, Social and Cultural Rights (CESR) was </w:t>
      </w:r>
      <w:r w:rsidR="001C3948" w:rsidRPr="00A341C9">
        <w:rPr>
          <w:rFonts w:eastAsiaTheme="minorEastAsia"/>
          <w:color w:val="000000" w:themeColor="text1"/>
          <w:sz w:val="24"/>
          <w:szCs w:val="24"/>
        </w:rPr>
        <w:t xml:space="preserve">reviewed </w:t>
      </w:r>
      <w:r w:rsidRPr="00A341C9">
        <w:rPr>
          <w:rFonts w:eastAsiaTheme="minorEastAsia"/>
          <w:color w:val="000000" w:themeColor="text1"/>
          <w:sz w:val="24"/>
          <w:szCs w:val="24"/>
        </w:rPr>
        <w:t xml:space="preserve">by the </w:t>
      </w:r>
      <w:r w:rsidRPr="00A341C9">
        <w:rPr>
          <w:rFonts w:eastAsiaTheme="minorEastAsia"/>
          <w:b/>
          <w:color w:val="000000" w:themeColor="text1"/>
          <w:sz w:val="24"/>
          <w:szCs w:val="24"/>
        </w:rPr>
        <w:t>United Nations Committee on Economic, Social and Cultural Rights</w:t>
      </w:r>
      <w:r w:rsidR="001C3948" w:rsidRPr="00A341C9">
        <w:rPr>
          <w:rFonts w:eastAsiaTheme="minorEastAsia"/>
          <w:b/>
          <w:color w:val="000000" w:themeColor="text1"/>
          <w:sz w:val="24"/>
          <w:szCs w:val="24"/>
        </w:rPr>
        <w:t xml:space="preserve"> </w:t>
      </w:r>
      <w:r w:rsidR="001C3948" w:rsidRPr="00A341C9">
        <w:rPr>
          <w:rFonts w:eastAsiaTheme="minorEastAsia"/>
          <w:bCs/>
          <w:color w:val="000000" w:themeColor="text1"/>
          <w:sz w:val="24"/>
          <w:szCs w:val="24"/>
        </w:rPr>
        <w:t>(Committee)</w:t>
      </w:r>
      <w:r w:rsidRPr="00A341C9">
        <w:rPr>
          <w:rFonts w:eastAsiaTheme="minorEastAsia"/>
          <w:b/>
          <w:color w:val="000000" w:themeColor="text1"/>
          <w:sz w:val="24"/>
          <w:szCs w:val="24"/>
        </w:rPr>
        <w:t xml:space="preserve"> </w:t>
      </w:r>
      <w:r w:rsidR="001C3948" w:rsidRPr="00A341C9">
        <w:rPr>
          <w:rFonts w:eastAsiaTheme="minorEastAsia"/>
          <w:color w:val="000000" w:themeColor="text1"/>
          <w:sz w:val="24"/>
          <w:szCs w:val="24"/>
        </w:rPr>
        <w:t xml:space="preserve">resulting in </w:t>
      </w:r>
      <w:r w:rsidRPr="00A341C9">
        <w:rPr>
          <w:rFonts w:eastAsiaTheme="minorEastAsia"/>
          <w:b/>
          <w:color w:val="000000" w:themeColor="text1"/>
          <w:sz w:val="24"/>
          <w:szCs w:val="24"/>
        </w:rPr>
        <w:t xml:space="preserve">Concluding </w:t>
      </w:r>
      <w:r w:rsidR="001C3948" w:rsidRPr="00A341C9">
        <w:rPr>
          <w:rFonts w:eastAsiaTheme="minorEastAsia"/>
          <w:b/>
          <w:color w:val="000000" w:themeColor="text1"/>
          <w:sz w:val="24"/>
          <w:szCs w:val="24"/>
        </w:rPr>
        <w:t>o</w:t>
      </w:r>
      <w:r w:rsidRPr="00A341C9">
        <w:rPr>
          <w:rFonts w:eastAsiaTheme="minorEastAsia"/>
          <w:b/>
          <w:color w:val="000000" w:themeColor="text1"/>
          <w:sz w:val="24"/>
          <w:szCs w:val="24"/>
        </w:rPr>
        <w:t>bservations</w:t>
      </w:r>
      <w:r w:rsidR="001C3948" w:rsidRPr="00A341C9">
        <w:rPr>
          <w:rFonts w:eastAsiaTheme="minorEastAsia"/>
          <w:b/>
          <w:color w:val="000000" w:themeColor="text1"/>
          <w:sz w:val="24"/>
          <w:szCs w:val="24"/>
        </w:rPr>
        <w:t xml:space="preserve"> </w:t>
      </w:r>
      <w:r w:rsidR="001C3948" w:rsidRPr="00A341C9">
        <w:rPr>
          <w:rFonts w:eastAsiaTheme="minorEastAsia"/>
          <w:bCs/>
          <w:color w:val="000000" w:themeColor="text1"/>
          <w:sz w:val="24"/>
          <w:szCs w:val="24"/>
        </w:rPr>
        <w:t>E/C.12/LTU/CO/2, adopted by the Committee,</w:t>
      </w:r>
      <w:r w:rsidRPr="00A341C9">
        <w:rPr>
          <w:rFonts w:eastAsiaTheme="minorEastAsia"/>
          <w:b/>
          <w:color w:val="000000" w:themeColor="text1"/>
          <w:sz w:val="24"/>
          <w:szCs w:val="24"/>
        </w:rPr>
        <w:t xml:space="preserve"> </w:t>
      </w:r>
      <w:r w:rsidR="001C3948" w:rsidRPr="00A341C9">
        <w:rPr>
          <w:rFonts w:eastAsiaTheme="minorEastAsia"/>
          <w:color w:val="000000" w:themeColor="text1"/>
          <w:sz w:val="24"/>
          <w:szCs w:val="24"/>
        </w:rPr>
        <w:t xml:space="preserve">which defines the principal subjects of concern and recommendations to the State party. </w:t>
      </w:r>
    </w:p>
    <w:p w14:paraId="4F8B6F77" w14:textId="32759518" w:rsidR="00A341C9" w:rsidRDefault="003D51A3" w:rsidP="0096005E">
      <w:pPr>
        <w:pStyle w:val="SingleTxtG"/>
        <w:spacing w:after="100" w:afterAutospacing="1" w:line="276" w:lineRule="auto"/>
        <w:ind w:left="0" w:right="-22"/>
        <w:rPr>
          <w:rFonts w:eastAsiaTheme="minorEastAsia"/>
          <w:color w:val="000000" w:themeColor="text1"/>
          <w:sz w:val="24"/>
          <w:szCs w:val="24"/>
        </w:rPr>
      </w:pPr>
      <w:r w:rsidRPr="00A341C9">
        <w:rPr>
          <w:rFonts w:eastAsiaTheme="minorEastAsia"/>
          <w:color w:val="000000" w:themeColor="text1"/>
          <w:sz w:val="24"/>
          <w:szCs w:val="24"/>
        </w:rPr>
        <w:t xml:space="preserve">Paragraph </w:t>
      </w:r>
      <w:r w:rsidR="00A341C9" w:rsidRPr="00A341C9">
        <w:rPr>
          <w:rFonts w:eastAsiaTheme="minorEastAsia"/>
          <w:color w:val="000000" w:themeColor="text1"/>
          <w:sz w:val="24"/>
          <w:szCs w:val="24"/>
        </w:rPr>
        <w:t>8</w:t>
      </w:r>
      <w:r w:rsidRPr="00A341C9">
        <w:rPr>
          <w:rFonts w:eastAsiaTheme="minorEastAsia"/>
          <w:color w:val="000000" w:themeColor="text1"/>
          <w:sz w:val="24"/>
          <w:szCs w:val="24"/>
        </w:rPr>
        <w:t xml:space="preserve"> of the Concluding observations states that “</w:t>
      </w:r>
      <w:r w:rsidR="00A341C9" w:rsidRPr="0096005E">
        <w:rPr>
          <w:rFonts w:eastAsiaTheme="minorEastAsia"/>
          <w:color w:val="000000" w:themeColor="text1"/>
          <w:sz w:val="24"/>
          <w:szCs w:val="24"/>
        </w:rPr>
        <w:t>The Committee is concerned at the situation of individuals in the State party who face discrimination in their enjoyment of the rights guaranteed under the Covenant on the grounds of sexual orientation or gender identity, including access to health-care services such as gender reassignment surgery. The Committee also regrets the lack of information on measures taken to combat and prevent discrimination on the basis of sexual orientation, particularly in respect of access to employment, health care</w:t>
      </w:r>
      <w:r w:rsidR="00007D7B">
        <w:rPr>
          <w:rFonts w:eastAsiaTheme="minorEastAsia"/>
          <w:color w:val="000000" w:themeColor="text1"/>
          <w:sz w:val="24"/>
          <w:szCs w:val="24"/>
        </w:rPr>
        <w:t>,</w:t>
      </w:r>
      <w:r w:rsidR="00A341C9" w:rsidRPr="0096005E">
        <w:rPr>
          <w:rFonts w:eastAsiaTheme="minorEastAsia"/>
          <w:color w:val="000000" w:themeColor="text1"/>
          <w:sz w:val="24"/>
          <w:szCs w:val="24"/>
        </w:rPr>
        <w:t xml:space="preserve"> and education (arts. 2 and 12). The Committee encourages the State party to take effective measures to ensure that lesbian, gay, bisexual and transgender persons can enjoy their economic, social</w:t>
      </w:r>
      <w:r w:rsidR="00007D7B">
        <w:rPr>
          <w:rFonts w:eastAsiaTheme="minorEastAsia"/>
          <w:color w:val="000000" w:themeColor="text1"/>
          <w:sz w:val="24"/>
          <w:szCs w:val="24"/>
        </w:rPr>
        <w:t>,</w:t>
      </w:r>
      <w:r w:rsidR="00A341C9" w:rsidRPr="0096005E">
        <w:rPr>
          <w:rFonts w:eastAsiaTheme="minorEastAsia"/>
          <w:color w:val="000000" w:themeColor="text1"/>
          <w:sz w:val="24"/>
          <w:szCs w:val="24"/>
        </w:rPr>
        <w:t xml:space="preserve"> and cultural rights without discrimination, including access to health care, employment</w:t>
      </w:r>
      <w:r w:rsidR="00007D7B">
        <w:rPr>
          <w:rFonts w:eastAsiaTheme="minorEastAsia"/>
          <w:color w:val="000000" w:themeColor="text1"/>
          <w:sz w:val="24"/>
          <w:szCs w:val="24"/>
        </w:rPr>
        <w:t>,</w:t>
      </w:r>
      <w:r w:rsidR="00A341C9" w:rsidRPr="0096005E">
        <w:rPr>
          <w:rFonts w:eastAsiaTheme="minorEastAsia"/>
          <w:color w:val="000000" w:themeColor="text1"/>
          <w:sz w:val="24"/>
          <w:szCs w:val="24"/>
        </w:rPr>
        <w:t xml:space="preserve"> and education, and that legal recognition of their gender is not dependent on whether or not they have undergone gender reassignment surgery.</w:t>
      </w:r>
      <w:r w:rsidRPr="00A341C9">
        <w:rPr>
          <w:rFonts w:eastAsiaTheme="minorEastAsia"/>
          <w:color w:val="000000" w:themeColor="text1"/>
          <w:sz w:val="24"/>
          <w:szCs w:val="24"/>
        </w:rPr>
        <w:t xml:space="preserve">” </w:t>
      </w:r>
    </w:p>
    <w:p w14:paraId="3270AA00" w14:textId="790A1E9F" w:rsidR="00A341C9" w:rsidRDefault="00A341C9" w:rsidP="0096005E">
      <w:pPr>
        <w:pStyle w:val="SingleTxtG"/>
        <w:spacing w:after="100" w:afterAutospacing="1" w:line="276" w:lineRule="auto"/>
        <w:ind w:left="0" w:right="-22"/>
        <w:rPr>
          <w:rFonts w:eastAsiaTheme="minorEastAsia"/>
          <w:color w:val="000000" w:themeColor="text1"/>
          <w:sz w:val="24"/>
          <w:szCs w:val="24"/>
        </w:rPr>
      </w:pPr>
      <w:r w:rsidRPr="0096005E">
        <w:rPr>
          <w:rFonts w:eastAsiaTheme="minorEastAsia"/>
          <w:color w:val="000000" w:themeColor="text1"/>
          <w:sz w:val="24"/>
          <w:szCs w:val="24"/>
        </w:rPr>
        <w:t>In the period between 2015 and 2022</w:t>
      </w:r>
      <w:r w:rsidR="00007D7B">
        <w:rPr>
          <w:rFonts w:eastAsiaTheme="minorEastAsia"/>
          <w:color w:val="000000" w:themeColor="text1"/>
          <w:sz w:val="24"/>
          <w:szCs w:val="24"/>
        </w:rPr>
        <w:t>,</w:t>
      </w:r>
      <w:r w:rsidRPr="0096005E">
        <w:rPr>
          <w:rFonts w:eastAsiaTheme="minorEastAsia"/>
          <w:color w:val="000000" w:themeColor="text1"/>
          <w:sz w:val="24"/>
          <w:szCs w:val="24"/>
        </w:rPr>
        <w:t xml:space="preserve"> the </w:t>
      </w:r>
      <w:r w:rsidR="00007D7B" w:rsidRPr="0096005E">
        <w:rPr>
          <w:rFonts w:eastAsiaTheme="minorEastAsia"/>
          <w:color w:val="000000" w:themeColor="text1"/>
          <w:sz w:val="24"/>
          <w:szCs w:val="24"/>
        </w:rPr>
        <w:t>Lithuanian authorities</w:t>
      </w:r>
      <w:r w:rsidRPr="0096005E">
        <w:rPr>
          <w:rFonts w:eastAsiaTheme="minorEastAsia"/>
          <w:color w:val="000000" w:themeColor="text1"/>
          <w:sz w:val="24"/>
          <w:szCs w:val="24"/>
        </w:rPr>
        <w:t> did engage in a number of positive developments, yet the latter lack a strategic and comprehensive approach to the matter which leaves the local LGBTI community at a significant disadvantage.</w:t>
      </w:r>
    </w:p>
    <w:p w14:paraId="4F2D6ACF" w14:textId="64EFB520" w:rsidR="00007D7B" w:rsidRPr="00007D7B" w:rsidRDefault="00007D7B" w:rsidP="00007D7B">
      <w:pPr>
        <w:pStyle w:val="SingleTxtG"/>
        <w:spacing w:after="100" w:afterAutospacing="1" w:line="276" w:lineRule="auto"/>
        <w:ind w:left="0" w:right="-22"/>
        <w:rPr>
          <w:rFonts w:eastAsiaTheme="minorEastAsia"/>
          <w:color w:val="000000" w:themeColor="text1"/>
          <w:sz w:val="24"/>
          <w:szCs w:val="24"/>
        </w:rPr>
      </w:pPr>
      <w:r w:rsidRPr="00007D7B">
        <w:rPr>
          <w:rFonts w:eastAsiaTheme="minorEastAsia"/>
          <w:color w:val="000000" w:themeColor="text1"/>
          <w:sz w:val="24"/>
          <w:szCs w:val="24"/>
        </w:rPr>
        <w:t xml:space="preserve">Results of 2017 LGL nation-wide LGBTQI high school student survey revealed that 82% of respondents were bullied due to their sexual orientation and/or gender identity in the last year. 50% of survey respondents also declared that their teachers </w:t>
      </w:r>
      <w:r w:rsidR="00DE232D" w:rsidRPr="00007D7B">
        <w:rPr>
          <w:rFonts w:eastAsiaTheme="minorEastAsia"/>
          <w:color w:val="000000" w:themeColor="text1"/>
          <w:sz w:val="24"/>
          <w:szCs w:val="24"/>
        </w:rPr>
        <w:t>did</w:t>
      </w:r>
      <w:r w:rsidRPr="00007D7B">
        <w:rPr>
          <w:rFonts w:eastAsiaTheme="minorEastAsia"/>
          <w:color w:val="000000" w:themeColor="text1"/>
          <w:sz w:val="24"/>
          <w:szCs w:val="24"/>
        </w:rPr>
        <w:t xml:space="preserve"> not respond appropriately to homophobic bullying, if they responded at all.</w:t>
      </w:r>
    </w:p>
    <w:p w14:paraId="1445A73C" w14:textId="77777777" w:rsidR="00007D7B" w:rsidRDefault="00007D7B" w:rsidP="0096005E">
      <w:pPr>
        <w:pStyle w:val="SingleTxtG"/>
        <w:spacing w:after="100" w:afterAutospacing="1" w:line="276" w:lineRule="auto"/>
        <w:ind w:left="0" w:right="-22"/>
        <w:rPr>
          <w:rFonts w:eastAsiaTheme="minorEastAsia"/>
          <w:color w:val="000000" w:themeColor="text1"/>
          <w:sz w:val="24"/>
          <w:szCs w:val="24"/>
        </w:rPr>
      </w:pPr>
    </w:p>
    <w:p w14:paraId="09F80CCF" w14:textId="23C193AF" w:rsidR="006A26B4" w:rsidRPr="0096005E" w:rsidRDefault="006A26B4" w:rsidP="00007D7B">
      <w:pPr>
        <w:pStyle w:val="SingleTxtG"/>
        <w:spacing w:after="100" w:afterAutospacing="1" w:line="276" w:lineRule="auto"/>
        <w:ind w:left="0" w:right="-22"/>
        <w:rPr>
          <w:rFonts w:eastAsiaTheme="minorEastAsia"/>
          <w:color w:val="000000" w:themeColor="text1"/>
          <w:sz w:val="24"/>
          <w:szCs w:val="24"/>
        </w:rPr>
      </w:pPr>
      <w:r w:rsidRPr="006A26B4">
        <w:rPr>
          <w:rFonts w:eastAsiaTheme="minorEastAsia"/>
          <w:color w:val="000000" w:themeColor="text1"/>
          <w:sz w:val="24"/>
          <w:szCs w:val="24"/>
        </w:rPr>
        <w:t xml:space="preserve">European </w:t>
      </w:r>
      <w:r>
        <w:rPr>
          <w:rFonts w:eastAsiaTheme="minorEastAsia"/>
          <w:color w:val="000000" w:themeColor="text1"/>
          <w:sz w:val="24"/>
          <w:szCs w:val="24"/>
        </w:rPr>
        <w:t>Union</w:t>
      </w:r>
      <w:r w:rsidRPr="006A26B4">
        <w:rPr>
          <w:rFonts w:eastAsiaTheme="minorEastAsia"/>
          <w:color w:val="000000" w:themeColor="text1"/>
          <w:sz w:val="24"/>
          <w:szCs w:val="24"/>
        </w:rPr>
        <w:t xml:space="preserve"> Agency for Fundamental Rights (FRA) </w:t>
      </w:r>
      <w:hyperlink r:id="rId11" w:history="1">
        <w:r w:rsidRPr="006A26B4">
          <w:rPr>
            <w:rFonts w:eastAsiaTheme="minorEastAsia"/>
            <w:color w:val="000000" w:themeColor="text1"/>
            <w:sz w:val="24"/>
            <w:szCs w:val="24"/>
          </w:rPr>
          <w:t>released</w:t>
        </w:r>
      </w:hyperlink>
      <w:r w:rsidRPr="006A26B4">
        <w:rPr>
          <w:rFonts w:eastAsiaTheme="minorEastAsia"/>
          <w:color w:val="000000" w:themeColor="text1"/>
          <w:sz w:val="24"/>
          <w:szCs w:val="24"/>
        </w:rPr>
        <w:t> its LGBTI survey</w:t>
      </w:r>
      <w:r w:rsidR="00007D7B">
        <w:rPr>
          <w:rStyle w:val="FootnoteReference"/>
          <w:rFonts w:eastAsiaTheme="minorEastAsia"/>
          <w:color w:val="000000" w:themeColor="text1"/>
          <w:szCs w:val="24"/>
        </w:rPr>
        <w:footnoteReference w:id="2"/>
      </w:r>
      <w:r w:rsidRPr="006A26B4">
        <w:rPr>
          <w:rFonts w:eastAsiaTheme="minorEastAsia"/>
          <w:color w:val="000000" w:themeColor="text1"/>
          <w:sz w:val="24"/>
          <w:szCs w:val="24"/>
        </w:rPr>
        <w:t xml:space="preserve"> finding</w:t>
      </w:r>
      <w:r>
        <w:rPr>
          <w:rFonts w:eastAsiaTheme="minorEastAsia"/>
          <w:color w:val="000000" w:themeColor="text1"/>
          <w:sz w:val="24"/>
          <w:szCs w:val="24"/>
        </w:rPr>
        <w:t>s in 2020 which</w:t>
      </w:r>
      <w:r>
        <w:rPr>
          <w:rFonts w:eastAsiaTheme="minorEastAsia"/>
          <w:b/>
          <w:bCs/>
          <w:color w:val="000000" w:themeColor="text1"/>
          <w:sz w:val="24"/>
          <w:szCs w:val="24"/>
        </w:rPr>
        <w:t xml:space="preserve"> </w:t>
      </w:r>
      <w:r w:rsidRPr="006A26B4">
        <w:rPr>
          <w:rFonts w:eastAsiaTheme="minorEastAsia"/>
          <w:color w:val="000000" w:themeColor="text1"/>
          <w:sz w:val="24"/>
          <w:szCs w:val="24"/>
        </w:rPr>
        <w:t xml:space="preserve">revealed an alarming situation in Lithuania: Lithuanian respondents admitted </w:t>
      </w:r>
      <w:r w:rsidR="00E74A27">
        <w:rPr>
          <w:rFonts w:eastAsiaTheme="minorEastAsia"/>
          <w:color w:val="000000" w:themeColor="text1"/>
          <w:sz w:val="24"/>
          <w:szCs w:val="24"/>
        </w:rPr>
        <w:t>hiding their LGBTI identity at school (59%) and at work (51%)</w:t>
      </w:r>
      <w:r w:rsidRPr="006A26B4">
        <w:rPr>
          <w:rFonts w:eastAsiaTheme="minorEastAsia"/>
          <w:color w:val="000000" w:themeColor="text1"/>
          <w:sz w:val="24"/>
          <w:szCs w:val="24"/>
        </w:rPr>
        <w:t>. Moreover, 55 % of Lithuanian respondents personally felt discriminated against in 8 areas of life due to their LGBTI identity. These rates are the highest among all EU countries.</w:t>
      </w:r>
    </w:p>
    <w:p w14:paraId="7000CA75" w14:textId="34C6176D" w:rsidR="003D51A3" w:rsidRPr="00A341C9" w:rsidRDefault="003D51A3" w:rsidP="003D51A3">
      <w:pPr>
        <w:pStyle w:val="SingleTxtG"/>
        <w:spacing w:after="100" w:afterAutospacing="1" w:line="276" w:lineRule="auto"/>
        <w:ind w:left="0" w:right="-22"/>
        <w:rPr>
          <w:rFonts w:eastAsiaTheme="minorEastAsia"/>
          <w:color w:val="000000" w:themeColor="text1"/>
          <w:sz w:val="24"/>
          <w:szCs w:val="24"/>
        </w:rPr>
      </w:pPr>
      <w:r w:rsidRPr="00A341C9">
        <w:rPr>
          <w:rFonts w:eastAsiaTheme="minorEastAsia"/>
          <w:color w:val="000000" w:themeColor="text1"/>
          <w:sz w:val="24"/>
          <w:szCs w:val="24"/>
        </w:rPr>
        <w:t xml:space="preserve">The purpose of this report is to contribute to the Committee's evaluation by providing the </w:t>
      </w:r>
      <w:r w:rsidR="00775CD2">
        <w:rPr>
          <w:rFonts w:eastAsiaTheme="minorEastAsia"/>
          <w:b/>
          <w:color w:val="000000" w:themeColor="text1"/>
          <w:sz w:val="24"/>
          <w:szCs w:val="24"/>
        </w:rPr>
        <w:t>civil</w:t>
      </w:r>
      <w:r w:rsidR="003D01A4">
        <w:rPr>
          <w:rFonts w:eastAsiaTheme="minorEastAsia"/>
          <w:b/>
          <w:color w:val="000000" w:themeColor="text1"/>
          <w:sz w:val="24"/>
          <w:szCs w:val="24"/>
        </w:rPr>
        <w:t xml:space="preserve"> society perspective</w:t>
      </w:r>
      <w:r w:rsidRPr="00A341C9">
        <w:rPr>
          <w:rFonts w:eastAsiaTheme="minorEastAsia"/>
          <w:color w:val="000000" w:themeColor="text1"/>
          <w:sz w:val="24"/>
          <w:szCs w:val="24"/>
        </w:rPr>
        <w:t xml:space="preserve"> on the measures taken by the State to implement the recommendations on discrimination on the grounds of sexual orientation and gender identity selected for the follow-up procedure.</w:t>
      </w:r>
    </w:p>
    <w:p w14:paraId="25378FB4" w14:textId="77777777" w:rsidR="00532AC1" w:rsidRPr="00532AC1" w:rsidRDefault="00532AC1" w:rsidP="00532AC1"/>
    <w:p w14:paraId="4DF23B82" w14:textId="5EDCFB2D" w:rsidR="00E44FFD" w:rsidRDefault="000B74A3" w:rsidP="000B74A3">
      <w:pPr>
        <w:pStyle w:val="HChG"/>
      </w:pPr>
      <w:r w:rsidRPr="00160899">
        <w:tab/>
      </w:r>
      <w:r>
        <w:t>II.</w:t>
      </w:r>
      <w:r w:rsidRPr="00160899">
        <w:tab/>
      </w:r>
      <w:r>
        <w:t>Repl</w:t>
      </w:r>
      <w:r w:rsidR="00143A43">
        <w:t>ies</w:t>
      </w:r>
      <w:r>
        <w:t xml:space="preserve"> to </w:t>
      </w:r>
      <w:r w:rsidR="00E44FFD">
        <w:t>the list of issues</w:t>
      </w:r>
      <w:r w:rsidR="003D01A4">
        <w:t xml:space="preserve"> in relation to the third periodic report of Lithuania</w:t>
      </w:r>
    </w:p>
    <w:p w14:paraId="60E1D1DA" w14:textId="565A0711" w:rsidR="000B74A3" w:rsidRPr="00337477" w:rsidRDefault="00143A43" w:rsidP="00143A43">
      <w:pPr>
        <w:pStyle w:val="H1G"/>
      </w:pPr>
      <w:r>
        <w:tab/>
        <w:t>A.</w:t>
      </w:r>
      <w:r>
        <w:tab/>
      </w:r>
      <w:r w:rsidRPr="0096005E">
        <w:rPr>
          <w:color w:val="000000" w:themeColor="text1"/>
        </w:rPr>
        <w:t xml:space="preserve">Reply to </w:t>
      </w:r>
      <w:r w:rsidR="000B74A3" w:rsidRPr="0096005E">
        <w:rPr>
          <w:color w:val="000000" w:themeColor="text1"/>
        </w:rPr>
        <w:t>paragraph</w:t>
      </w:r>
      <w:r w:rsidR="0096005E" w:rsidRPr="0096005E">
        <w:rPr>
          <w:color w:val="000000" w:themeColor="text1"/>
        </w:rPr>
        <w:t xml:space="preserve"> </w:t>
      </w:r>
      <w:r w:rsidR="0096005E">
        <w:rPr>
          <w:color w:val="000000" w:themeColor="text1"/>
        </w:rPr>
        <w:t xml:space="preserve">II (8) </w:t>
      </w:r>
      <w:r w:rsidR="000B74A3" w:rsidRPr="0096005E">
        <w:rPr>
          <w:color w:val="000000" w:themeColor="text1"/>
        </w:rPr>
        <w:t>of the list of issues</w:t>
      </w:r>
    </w:p>
    <w:p w14:paraId="12126EF3" w14:textId="5FE8427B" w:rsidR="003D01A4" w:rsidRDefault="003D01A4" w:rsidP="003D01A4">
      <w:pPr>
        <w:pStyle w:val="SingleTxtG"/>
        <w:spacing w:before="240" w:after="0"/>
        <w:rPr>
          <w:b/>
          <w:bCs/>
        </w:rPr>
      </w:pPr>
      <w:r w:rsidRPr="003D01A4">
        <w:rPr>
          <w:b/>
          <w:bCs/>
        </w:rPr>
        <w:t>Non-discrimination (art. 2 (2))</w:t>
      </w:r>
    </w:p>
    <w:p w14:paraId="60C1BB2D" w14:textId="329102C9" w:rsidR="00BA3A38" w:rsidRPr="00BA3A38" w:rsidRDefault="003D01A4" w:rsidP="007D1607">
      <w:pPr>
        <w:pStyle w:val="SingleTxtG"/>
        <w:numPr>
          <w:ilvl w:val="0"/>
          <w:numId w:val="6"/>
        </w:numPr>
        <w:spacing w:before="240" w:after="0"/>
        <w:rPr>
          <w:rFonts w:cstheme="minorHAnsi"/>
          <w:color w:val="000000" w:themeColor="text1"/>
        </w:rPr>
      </w:pPr>
      <w:r>
        <w:t xml:space="preserve">Since </w:t>
      </w:r>
      <w:r w:rsidRPr="00B72A66">
        <w:t>2017,</w:t>
      </w:r>
      <w:r>
        <w:t xml:space="preserve"> partially as a result of</w:t>
      </w:r>
      <w:r w:rsidR="005C316C">
        <w:t xml:space="preserve"> the </w:t>
      </w:r>
      <w:r>
        <w:t xml:space="preserve">National LGBTI Rights Organization LGL’s (LGL) strategic litigation measures, </w:t>
      </w:r>
      <w:r w:rsidRPr="00B72A66">
        <w:t>the national courts developed jurisprudence regarding the change of personal identity documents for transgender persons</w:t>
      </w:r>
      <w:r>
        <w:t xml:space="preserve"> without the </w:t>
      </w:r>
      <w:r w:rsidRPr="00B72A66">
        <w:t>mandatory surgery requirement</w:t>
      </w:r>
      <w:r>
        <w:t>. However</w:t>
      </w:r>
      <w:r w:rsidR="005C316C">
        <w:t>,</w:t>
      </w:r>
      <w:r>
        <w:t xml:space="preserve"> the current procedure </w:t>
      </w:r>
      <w:r w:rsidR="005C316C">
        <w:t xml:space="preserve">is not satisfactory as </w:t>
      </w:r>
      <w:r>
        <w:t xml:space="preserve">it </w:t>
      </w:r>
      <w:r w:rsidR="005C316C">
        <w:t xml:space="preserve">is </w:t>
      </w:r>
      <w:r w:rsidRPr="00B72A66">
        <w:t>based on a</w:t>
      </w:r>
      <w:r w:rsidR="005C316C">
        <w:t>n obsolete</w:t>
      </w:r>
      <w:r w:rsidRPr="00B72A66">
        <w:t xml:space="preserve"> psychiatric</w:t>
      </w:r>
      <w:r>
        <w:t xml:space="preserve"> </w:t>
      </w:r>
      <w:r w:rsidRPr="00B72A66">
        <w:t>diagnosis</w:t>
      </w:r>
      <w:r w:rsidR="005C316C">
        <w:t xml:space="preserve"> of “transsexualism”,</w:t>
      </w:r>
      <w:r w:rsidR="00D0119B" w:rsidRPr="00C97FEC">
        <w:rPr>
          <w:rFonts w:cstheme="minorHAnsi"/>
          <w:color w:val="000000" w:themeColor="text1"/>
        </w:rPr>
        <w:t xml:space="preserve"> therefore it does not integrate the principle of self-determination and does to correspond with the </w:t>
      </w:r>
      <w:r w:rsidR="00A841D9">
        <w:rPr>
          <w:rFonts w:cstheme="minorHAnsi"/>
          <w:color w:val="000000" w:themeColor="text1"/>
        </w:rPr>
        <w:t xml:space="preserve">definitions of the </w:t>
      </w:r>
      <w:r w:rsidR="00D0119B" w:rsidRPr="00C97FEC">
        <w:rPr>
          <w:rFonts w:cstheme="minorHAnsi"/>
          <w:color w:val="000000" w:themeColor="text1"/>
        </w:rPr>
        <w:t>11th edition of the International Statistical Classification of Diseases and Related Health Problems (ICD-11)</w:t>
      </w:r>
      <w:r w:rsidR="00AF2B61" w:rsidRPr="00C97FEC">
        <w:rPr>
          <w:rFonts w:cstheme="minorHAnsi"/>
          <w:color w:val="000000" w:themeColor="text1"/>
        </w:rPr>
        <w:t xml:space="preserve">. </w:t>
      </w:r>
      <w:r w:rsidR="00775CD2" w:rsidRPr="00C97FEC">
        <w:rPr>
          <w:rFonts w:cstheme="minorHAnsi"/>
          <w:color w:val="000000" w:themeColor="text1"/>
        </w:rPr>
        <w:t xml:space="preserve">Currently </w:t>
      </w:r>
      <w:r w:rsidR="00007D7B" w:rsidRPr="00C97FEC">
        <w:rPr>
          <w:rFonts w:cstheme="minorHAnsi"/>
          <w:color w:val="000000" w:themeColor="text1"/>
        </w:rPr>
        <w:t>available</w:t>
      </w:r>
      <w:r w:rsidR="00D0119B" w:rsidRPr="00C97FEC">
        <w:rPr>
          <w:rFonts w:cstheme="minorHAnsi"/>
          <w:color w:val="000000" w:themeColor="text1"/>
        </w:rPr>
        <w:t xml:space="preserve"> Legal Gender Recognition</w:t>
      </w:r>
      <w:r w:rsidR="00AF2B61" w:rsidRPr="00C97FEC">
        <w:rPr>
          <w:rFonts w:cstheme="minorHAnsi"/>
          <w:color w:val="000000" w:themeColor="text1"/>
        </w:rPr>
        <w:t xml:space="preserve"> </w:t>
      </w:r>
      <w:r w:rsidR="00D02937" w:rsidRPr="00C97FEC">
        <w:rPr>
          <w:rFonts w:cstheme="minorHAnsi"/>
          <w:color w:val="000000" w:themeColor="text1"/>
        </w:rPr>
        <w:t>procedure fails to comply with</w:t>
      </w:r>
      <w:r w:rsidR="00AF2B61" w:rsidRPr="00C97FEC">
        <w:rPr>
          <w:rFonts w:cstheme="minorHAnsi"/>
          <w:color w:val="000000" w:themeColor="text1"/>
        </w:rPr>
        <w:t xml:space="preserve"> the standards set by the Council of Europe in PACE Resolution 2048(2015), the World Health Organisation, the European Commission, and the UN SOGI Independent Expert</w:t>
      </w:r>
      <w:r w:rsidR="00AF2B61" w:rsidRPr="003B7D79">
        <w:rPr>
          <w:rStyle w:val="FootnoteReference"/>
          <w:rFonts w:cstheme="minorHAnsi"/>
          <w:color w:val="000000" w:themeColor="text1"/>
        </w:rPr>
        <w:footnoteReference w:id="3"/>
      </w:r>
      <w:r w:rsidR="005C316C">
        <w:t xml:space="preserve"> </w:t>
      </w:r>
      <w:r w:rsidR="00AF2B61">
        <w:t xml:space="preserve">and it </w:t>
      </w:r>
      <w:r w:rsidR="005C316C">
        <w:t>includes a mandatory divorce requirement for married transgender individuals</w:t>
      </w:r>
      <w:r w:rsidR="004D456A">
        <w:t>. T</w:t>
      </w:r>
      <w:r w:rsidR="005C316C">
        <w:t xml:space="preserve">he procedure is not available to minors without a statutory permit, and it is inaccessible for people that lack sufficient </w:t>
      </w:r>
      <w:r w:rsidR="00AF2B61">
        <w:t xml:space="preserve">funds </w:t>
      </w:r>
      <w:r w:rsidR="005C316C">
        <w:t>to participate in court proceedings.</w:t>
      </w:r>
      <w:r w:rsidR="0005457B">
        <w:t xml:space="preserve"> </w:t>
      </w:r>
      <w:r w:rsidR="003D6986" w:rsidRPr="003B7D79">
        <w:rPr>
          <w:rFonts w:cstheme="minorHAnsi"/>
          <w:color w:val="000000" w:themeColor="text1"/>
          <w:lang w:eastAsia="en-GB"/>
        </w:rPr>
        <w:t>In 2021, the Ministry of Justice introduced a general regulation on names</w:t>
      </w:r>
      <w:r w:rsidR="003D6986" w:rsidRPr="003B7D79">
        <w:rPr>
          <w:rStyle w:val="FootnoteReference"/>
          <w:rFonts w:cstheme="minorHAnsi"/>
          <w:color w:val="000000" w:themeColor="text1"/>
          <w:lang w:eastAsia="en-GB"/>
        </w:rPr>
        <w:footnoteReference w:id="4"/>
      </w:r>
      <w:r w:rsidR="003D6986" w:rsidRPr="003B7D79">
        <w:rPr>
          <w:rFonts w:cstheme="minorHAnsi"/>
          <w:color w:val="000000" w:themeColor="text1"/>
          <w:lang w:eastAsia="en-GB"/>
        </w:rPr>
        <w:t xml:space="preserve">, which transgender individuals can use to facilitate name change procedures. It </w:t>
      </w:r>
      <w:r w:rsidR="003D6986">
        <w:rPr>
          <w:rFonts w:cstheme="minorHAnsi"/>
          <w:color w:val="000000" w:themeColor="text1"/>
          <w:lang w:eastAsia="en-GB"/>
        </w:rPr>
        <w:t>enables</w:t>
      </w:r>
      <w:r w:rsidR="003D6986" w:rsidRPr="003B7D79">
        <w:rPr>
          <w:rFonts w:cstheme="minorHAnsi"/>
          <w:color w:val="000000" w:themeColor="text1"/>
          <w:lang w:eastAsia="en-GB"/>
        </w:rPr>
        <w:t xml:space="preserve"> transgender persons to apply for name change via regular civil registry means without the need to </w:t>
      </w:r>
      <w:r w:rsidR="003D6986">
        <w:rPr>
          <w:rFonts w:cstheme="minorHAnsi"/>
          <w:color w:val="000000" w:themeColor="text1"/>
          <w:lang w:eastAsia="en-GB"/>
        </w:rPr>
        <w:t>undergo</w:t>
      </w:r>
      <w:r w:rsidR="003D6986" w:rsidRPr="003B7D79">
        <w:rPr>
          <w:rFonts w:cstheme="minorHAnsi"/>
          <w:color w:val="000000" w:themeColor="text1"/>
          <w:lang w:eastAsia="en-GB"/>
        </w:rPr>
        <w:t xml:space="preserve"> court proceedings.</w:t>
      </w:r>
      <w:r w:rsidR="003D6986">
        <w:rPr>
          <w:rFonts w:cstheme="minorHAnsi"/>
          <w:color w:val="000000" w:themeColor="text1"/>
          <w:lang w:eastAsia="en-GB"/>
        </w:rPr>
        <w:t xml:space="preserve"> Nevertheless, t</w:t>
      </w:r>
      <w:r w:rsidR="003D6986" w:rsidRPr="003B7D79">
        <w:rPr>
          <w:rFonts w:cstheme="minorHAnsi"/>
          <w:color w:val="000000" w:themeColor="text1"/>
          <w:lang w:eastAsia="en-GB"/>
        </w:rPr>
        <w:t xml:space="preserve">he procedure for name change does not affect a person's gender marker or personal identification code. </w:t>
      </w:r>
      <w:r w:rsidR="00A841D9">
        <w:rPr>
          <w:rFonts w:cstheme="minorHAnsi"/>
          <w:color w:val="000000" w:themeColor="text1"/>
          <w:lang w:eastAsia="en-GB"/>
        </w:rPr>
        <w:t>A</w:t>
      </w:r>
      <w:r w:rsidR="00A841D9" w:rsidRPr="003B7D79">
        <w:rPr>
          <w:rFonts w:cstheme="minorHAnsi"/>
          <w:color w:val="000000" w:themeColor="text1"/>
          <w:lang w:eastAsia="en-GB"/>
        </w:rPr>
        <w:t>s Lithuanian language is heavily gendered</w:t>
      </w:r>
      <w:r w:rsidR="00A841D9">
        <w:rPr>
          <w:rFonts w:cstheme="minorHAnsi"/>
          <w:color w:val="000000" w:themeColor="text1"/>
          <w:lang w:eastAsia="en-GB"/>
        </w:rPr>
        <w:t>, h</w:t>
      </w:r>
      <w:r w:rsidR="003D6986" w:rsidRPr="003B7D79">
        <w:rPr>
          <w:rFonts w:cstheme="minorHAnsi"/>
          <w:color w:val="000000" w:themeColor="text1"/>
          <w:lang w:eastAsia="en-GB"/>
        </w:rPr>
        <w:t xml:space="preserve">aving a gender marker with one gender and a name signifying another can lead to </w:t>
      </w:r>
      <w:r w:rsidR="00A841D9">
        <w:rPr>
          <w:rFonts w:cstheme="minorHAnsi"/>
          <w:color w:val="000000" w:themeColor="text1"/>
          <w:lang w:eastAsia="en-GB"/>
        </w:rPr>
        <w:t>substantial problems and confusing situations in everyday life</w:t>
      </w:r>
      <w:r w:rsidR="003D6986" w:rsidRPr="003B7D79">
        <w:rPr>
          <w:rFonts w:cstheme="minorHAnsi"/>
          <w:color w:val="000000" w:themeColor="text1"/>
          <w:lang w:eastAsia="en-GB"/>
        </w:rPr>
        <w:t xml:space="preserve">.  </w:t>
      </w:r>
      <w:r w:rsidR="0005457B">
        <w:t>In</w:t>
      </w:r>
      <w:r w:rsidR="0005457B" w:rsidRPr="00C97FEC">
        <w:t xml:space="preserve"> August, </w:t>
      </w:r>
      <w:r w:rsidR="0005457B">
        <w:t xml:space="preserve">2022 </w:t>
      </w:r>
      <w:r w:rsidR="0005457B" w:rsidRPr="00C97FEC">
        <w:t>the</w:t>
      </w:r>
      <w:r w:rsidR="0005457B">
        <w:t xml:space="preserve"> transgender persons’ </w:t>
      </w:r>
      <w:r w:rsidR="0005457B" w:rsidRPr="00C97FEC">
        <w:t xml:space="preserve">healthcare protocol was </w:t>
      </w:r>
      <w:hyperlink r:id="rId12" w:history="1">
        <w:r w:rsidR="0005457B" w:rsidRPr="00C97FEC">
          <w:t>released</w:t>
        </w:r>
      </w:hyperlink>
      <w:r w:rsidR="0005457B" w:rsidRPr="00C97FEC">
        <w:t xml:space="preserve">, </w:t>
      </w:r>
      <w:r w:rsidR="0005457B">
        <w:t xml:space="preserve">which set </w:t>
      </w:r>
      <w:r w:rsidR="0005457B" w:rsidRPr="00C97FEC">
        <w:t xml:space="preserve">guidelines and steps for care provision. </w:t>
      </w:r>
      <w:r w:rsidR="0005457B">
        <w:t xml:space="preserve">The </w:t>
      </w:r>
      <w:r w:rsidR="0005457B" w:rsidRPr="00C97FEC">
        <w:t xml:space="preserve">protocol maintains </w:t>
      </w:r>
      <w:proofErr w:type="spellStart"/>
      <w:r w:rsidR="0005457B">
        <w:t>pathologization</w:t>
      </w:r>
      <w:proofErr w:type="spellEnd"/>
      <w:r w:rsidR="00D025F2">
        <w:t>,</w:t>
      </w:r>
      <w:r w:rsidR="0005457B" w:rsidRPr="00C97FEC">
        <w:t xml:space="preserve"> </w:t>
      </w:r>
      <w:r w:rsidR="0005457B">
        <w:t xml:space="preserve">does </w:t>
      </w:r>
      <w:r w:rsidR="0005457B">
        <w:lastRenderedPageBreak/>
        <w:t xml:space="preserve">not include guidelines related to surgical interventions and </w:t>
      </w:r>
      <w:r w:rsidR="00D025F2">
        <w:t>is only</w:t>
      </w:r>
      <w:r w:rsidR="0005457B">
        <w:t xml:space="preserve"> applied to </w:t>
      </w:r>
      <w:r w:rsidR="00D025F2">
        <w:t>adult patients.</w:t>
      </w:r>
    </w:p>
    <w:p w14:paraId="64EFE437" w14:textId="7980E442" w:rsidR="00C97FEC" w:rsidRPr="00C97FEC" w:rsidRDefault="00C97FEC" w:rsidP="007D1607">
      <w:pPr>
        <w:pStyle w:val="SingleTxtG"/>
        <w:numPr>
          <w:ilvl w:val="0"/>
          <w:numId w:val="6"/>
        </w:numPr>
        <w:spacing w:before="240" w:after="0"/>
        <w:rPr>
          <w:rFonts w:cstheme="minorHAnsi"/>
          <w:color w:val="000000" w:themeColor="text1"/>
        </w:rPr>
      </w:pPr>
      <w:r>
        <w:t xml:space="preserve"> </w:t>
      </w:r>
      <w:r w:rsidR="00BE44B6" w:rsidRPr="00C97FEC">
        <w:rPr>
          <w:rFonts w:cstheme="minorHAnsi"/>
          <w:color w:val="000000" w:themeColor="text1"/>
        </w:rPr>
        <w:t xml:space="preserve">Lithuania remains the only Council of Europe member state reserving the existing general partnership provision, which itself </w:t>
      </w:r>
      <w:r w:rsidR="0005457B" w:rsidRPr="00C97FEC">
        <w:rPr>
          <w:rFonts w:cstheme="minorHAnsi"/>
          <w:color w:val="000000" w:themeColor="text1"/>
        </w:rPr>
        <w:t>has</w:t>
      </w:r>
      <w:r w:rsidR="00BE44B6" w:rsidRPr="00C97FEC">
        <w:rPr>
          <w:rFonts w:cstheme="minorHAnsi"/>
          <w:color w:val="000000" w:themeColor="text1"/>
        </w:rPr>
        <w:t xml:space="preserve"> not yet been implemented, to different-sex persons.</w:t>
      </w:r>
      <w:r w:rsidR="0005457B" w:rsidRPr="00C97FEC">
        <w:rPr>
          <w:rFonts w:cstheme="minorHAnsi"/>
          <w:color w:val="000000" w:themeColor="text1"/>
        </w:rPr>
        <w:t xml:space="preserve"> Attempts to adopt a gender-neutral partnership regulation thus far have been unsuccessful.</w:t>
      </w:r>
      <w:r w:rsidR="00BE44B6" w:rsidRPr="00C97FEC">
        <w:rPr>
          <w:rFonts w:cstheme="minorHAnsi"/>
          <w:color w:val="000000" w:themeColor="text1"/>
        </w:rPr>
        <w:t xml:space="preserve"> The Law on Family Strengthening</w:t>
      </w:r>
      <w:r w:rsidR="00BE44B6" w:rsidRPr="002A1D21">
        <w:rPr>
          <w:rStyle w:val="FootnoteReference"/>
        </w:rPr>
        <w:footnoteReference w:id="5"/>
      </w:r>
      <w:r w:rsidR="00BE44B6" w:rsidRPr="002A1D21">
        <w:rPr>
          <w:rStyle w:val="FootnoteReference"/>
        </w:rPr>
        <w:t xml:space="preserve"> </w:t>
      </w:r>
      <w:r w:rsidR="00BE44B6" w:rsidRPr="00C97FEC">
        <w:rPr>
          <w:rFonts w:cstheme="minorHAnsi"/>
          <w:color w:val="000000" w:themeColor="text1"/>
        </w:rPr>
        <w:t xml:space="preserve">includes a concept of complementarity of maternity and paternity which conflicts with LGBTI individuals’ rights to private and family life, equality and non-discrimination as it is defined as an essential need of a child to have two parents of different sexes. Such </w:t>
      </w:r>
      <w:r w:rsidR="0005457B" w:rsidRPr="00C97FEC">
        <w:rPr>
          <w:rFonts w:cstheme="minorHAnsi"/>
          <w:color w:val="000000" w:themeColor="text1"/>
        </w:rPr>
        <w:t>regulation</w:t>
      </w:r>
      <w:r w:rsidR="00BE44B6" w:rsidRPr="00C97FEC">
        <w:rPr>
          <w:rFonts w:cstheme="minorHAnsi"/>
          <w:color w:val="000000" w:themeColor="text1"/>
        </w:rPr>
        <w:t xml:space="preserve"> also effectively excludes same-sex couples and their children from national social </w:t>
      </w:r>
      <w:r w:rsidR="00D025F2" w:rsidRPr="00C97FEC">
        <w:rPr>
          <w:rFonts w:cstheme="minorHAnsi"/>
          <w:color w:val="000000" w:themeColor="text1"/>
        </w:rPr>
        <w:t>assistance</w:t>
      </w:r>
      <w:r w:rsidR="00BE44B6" w:rsidRPr="00C97FEC">
        <w:rPr>
          <w:rFonts w:cstheme="minorHAnsi"/>
          <w:color w:val="000000" w:themeColor="text1"/>
        </w:rPr>
        <w:t xml:space="preserve"> mechanisms aimed to support </w:t>
      </w:r>
      <w:proofErr w:type="gramStart"/>
      <w:r w:rsidR="00BE44B6" w:rsidRPr="00C97FEC">
        <w:rPr>
          <w:rFonts w:cstheme="minorHAnsi"/>
          <w:color w:val="000000" w:themeColor="text1"/>
        </w:rPr>
        <w:t>families</w:t>
      </w:r>
      <w:r w:rsidR="001722A3" w:rsidRPr="00C97FEC">
        <w:rPr>
          <w:rFonts w:cstheme="minorHAnsi"/>
          <w:color w:val="000000" w:themeColor="text1"/>
        </w:rPr>
        <w:t xml:space="preserve"> ,e</w:t>
      </w:r>
      <w:proofErr w:type="gramEnd"/>
      <w:r w:rsidR="001722A3" w:rsidRPr="00C97FEC">
        <w:rPr>
          <w:rFonts w:cstheme="minorHAnsi"/>
          <w:color w:val="000000" w:themeColor="text1"/>
        </w:rPr>
        <w:t xml:space="preserve"> g. these couples have no access to state-sponsored subsidies for young families. </w:t>
      </w:r>
      <w:r w:rsidRPr="00C97FEC">
        <w:rPr>
          <w:rFonts w:cstheme="minorHAnsi"/>
          <w:color w:val="000000" w:themeColor="text1"/>
        </w:rPr>
        <w:t xml:space="preserve">In 2019 LGL received several inquiries from LGBT individuals currently serving a custodial sentence regarding the lack of access to long-term (i.e. lasting up to 24 hours) meetings with family members because </w:t>
      </w:r>
      <w:r>
        <w:rPr>
          <w:rFonts w:cstheme="minorHAnsi"/>
          <w:color w:val="000000" w:themeColor="text1"/>
        </w:rPr>
        <w:t>regulations</w:t>
      </w:r>
      <w:r w:rsidRPr="00C97FEC">
        <w:rPr>
          <w:rFonts w:cstheme="minorHAnsi"/>
          <w:color w:val="000000" w:themeColor="text1"/>
        </w:rPr>
        <w:t xml:space="preserve"> do not recognize their partners as a family member/spouse. </w:t>
      </w:r>
    </w:p>
    <w:p w14:paraId="1C985CAB" w14:textId="308BFF31" w:rsidR="00BE44B6" w:rsidRPr="001722A3" w:rsidRDefault="001722A3" w:rsidP="00774A91">
      <w:pPr>
        <w:pStyle w:val="SingleTxtG"/>
        <w:numPr>
          <w:ilvl w:val="0"/>
          <w:numId w:val="6"/>
        </w:numPr>
        <w:spacing w:before="240" w:after="0"/>
        <w:rPr>
          <w:rFonts w:cstheme="minorHAnsi"/>
          <w:color w:val="000000" w:themeColor="text1"/>
        </w:rPr>
      </w:pPr>
      <w:r>
        <w:t xml:space="preserve"> Due to the lack of regulation, same-sex couples also experience numerous other issues in their daily life, including but not limited to receiving information on partner’s health in a hospital, negotiating a joint-loan</w:t>
      </w:r>
      <w:r w:rsidR="002A1D21">
        <w:t xml:space="preserve"> or accessing another bank/financial services available to married individuals</w:t>
      </w:r>
      <w:r>
        <w:t xml:space="preserve">, surviving de facto partner cannot inherit by the rules of intestacy, same-sex couples have limited access to co-insurance and various compensations in case of </w:t>
      </w:r>
      <w:r w:rsidR="002A1D21">
        <w:t xml:space="preserve">de facto partner’s </w:t>
      </w:r>
      <w:r>
        <w:t>death,</w:t>
      </w:r>
      <w:r w:rsidR="002A1D21">
        <w:t xml:space="preserve"> exercising the right to family leave, among many others.</w:t>
      </w:r>
    </w:p>
    <w:p w14:paraId="7BB50BED" w14:textId="71407D39" w:rsidR="006C3887" w:rsidRDefault="00972FA8" w:rsidP="006C3887">
      <w:pPr>
        <w:pStyle w:val="SingleTxtG"/>
        <w:numPr>
          <w:ilvl w:val="0"/>
          <w:numId w:val="6"/>
        </w:numPr>
        <w:spacing w:before="240" w:after="0"/>
        <w:rPr>
          <w:rFonts w:cstheme="minorHAnsi"/>
          <w:color w:val="000000" w:themeColor="text1"/>
        </w:rPr>
      </w:pPr>
      <w:r>
        <w:t xml:space="preserve">Lithuanian Authorities did not present any comprehensive strategy </w:t>
      </w:r>
      <w:r w:rsidR="006A26B4">
        <w:t>for</w:t>
      </w:r>
      <w:r>
        <w:t xml:space="preserve"> eliminating discrimination on the ground of sexual orientation and gender identity. Action Plan for Promoting Non-discrimination 2017–2019 and Action Plan for Promoting Non-discrimination 2021-2023, despite being key policy documents for countering discrimination, do not sufficiently address the specific needs of LGBTI individuals. The latter document</w:t>
      </w:r>
      <w:r w:rsidR="001722A3">
        <w:t xml:space="preserve"> </w:t>
      </w:r>
      <w:r w:rsidR="00105F37">
        <w:t xml:space="preserve">despite naming several issues concerning LGBTI situation in </w:t>
      </w:r>
      <w:proofErr w:type="spellStart"/>
      <w:r w:rsidR="00105F37">
        <w:t>it’s</w:t>
      </w:r>
      <w:proofErr w:type="spellEnd"/>
      <w:r w:rsidR="00105F37">
        <w:t xml:space="preserve"> preamble</w:t>
      </w:r>
      <w:r w:rsidR="00105F37">
        <w:rPr>
          <w:rStyle w:val="FootnoteReference"/>
        </w:rPr>
        <w:footnoteReference w:id="6"/>
      </w:r>
      <w:r w:rsidR="00105F37">
        <w:t xml:space="preserve">, </w:t>
      </w:r>
      <w:r>
        <w:t>does not include any LGBTI-specific course of action with measurable progress indicators</w:t>
      </w:r>
      <w:r w:rsidR="001722A3">
        <w:t xml:space="preserve">, </w:t>
      </w:r>
    </w:p>
    <w:p w14:paraId="2DAA9CF0" w14:textId="1F07FA87" w:rsidR="006C3887" w:rsidRDefault="006C3887" w:rsidP="006C3887">
      <w:pPr>
        <w:pStyle w:val="SingleTxtG"/>
        <w:numPr>
          <w:ilvl w:val="0"/>
          <w:numId w:val="6"/>
        </w:numPr>
        <w:spacing w:before="240" w:after="0"/>
        <w:rPr>
          <w:rFonts w:cstheme="minorHAnsi"/>
          <w:color w:val="000000" w:themeColor="text1"/>
        </w:rPr>
      </w:pPr>
      <w:r w:rsidRPr="00471D76">
        <w:rPr>
          <w:rFonts w:cstheme="minorHAnsi"/>
          <w:color w:val="000000" w:themeColor="text1"/>
        </w:rPr>
        <w:t xml:space="preserve">Two amendments to the Law on Equal Opportunities were </w:t>
      </w:r>
      <w:r>
        <w:rPr>
          <w:rFonts w:cstheme="minorHAnsi"/>
          <w:color w:val="000000" w:themeColor="text1"/>
        </w:rPr>
        <w:t>initiated</w:t>
      </w:r>
      <w:r>
        <w:rPr>
          <w:rStyle w:val="FootnoteReference"/>
          <w:rFonts w:cstheme="minorHAnsi"/>
          <w:color w:val="000000" w:themeColor="text1"/>
        </w:rPr>
        <w:footnoteReference w:id="7"/>
      </w:r>
      <w:r w:rsidRPr="00471D76">
        <w:rPr>
          <w:rFonts w:cstheme="minorHAnsi"/>
          <w:color w:val="000000" w:themeColor="text1"/>
        </w:rPr>
        <w:t xml:space="preserve"> </w:t>
      </w:r>
      <w:r>
        <w:rPr>
          <w:rFonts w:cstheme="minorHAnsi"/>
          <w:color w:val="000000" w:themeColor="text1"/>
        </w:rPr>
        <w:t xml:space="preserve">in 2022 </w:t>
      </w:r>
      <w:r w:rsidRPr="00471D76">
        <w:rPr>
          <w:rFonts w:cstheme="minorHAnsi"/>
          <w:color w:val="000000" w:themeColor="text1"/>
        </w:rPr>
        <w:t xml:space="preserve">to </w:t>
      </w:r>
      <w:hyperlink r:id="rId13" w:history="1">
        <w:r w:rsidRPr="00471D76">
          <w:rPr>
            <w:rFonts w:cstheme="minorHAnsi"/>
            <w:color w:val="000000" w:themeColor="text1"/>
          </w:rPr>
          <w:t>cover</w:t>
        </w:r>
      </w:hyperlink>
      <w:r w:rsidRPr="00471D76">
        <w:rPr>
          <w:rFonts w:cstheme="minorHAnsi"/>
          <w:color w:val="000000" w:themeColor="text1"/>
        </w:rPr>
        <w:t xml:space="preserve"> the ground of </w:t>
      </w:r>
      <w:r>
        <w:rPr>
          <w:rFonts w:cstheme="minorHAnsi"/>
          <w:color w:val="000000" w:themeColor="text1"/>
        </w:rPr>
        <w:t>“</w:t>
      </w:r>
      <w:r w:rsidRPr="00471D76">
        <w:rPr>
          <w:rFonts w:cstheme="minorHAnsi"/>
          <w:color w:val="000000" w:themeColor="text1"/>
        </w:rPr>
        <w:t>family status</w:t>
      </w:r>
      <w:r>
        <w:rPr>
          <w:rFonts w:cstheme="minorHAnsi"/>
          <w:color w:val="000000" w:themeColor="text1"/>
        </w:rPr>
        <w:t>”</w:t>
      </w:r>
      <w:r w:rsidRPr="00471D76">
        <w:rPr>
          <w:rFonts w:cstheme="minorHAnsi"/>
          <w:color w:val="000000" w:themeColor="text1"/>
        </w:rPr>
        <w:t xml:space="preserve"> and to </w:t>
      </w:r>
      <w:hyperlink r:id="rId14" w:history="1">
        <w:r w:rsidRPr="00471D76">
          <w:rPr>
            <w:rFonts w:cstheme="minorHAnsi"/>
            <w:color w:val="000000" w:themeColor="text1"/>
          </w:rPr>
          <w:t>prohibit</w:t>
        </w:r>
      </w:hyperlink>
      <w:r w:rsidRPr="00471D76">
        <w:rPr>
          <w:rFonts w:cstheme="minorHAnsi"/>
          <w:color w:val="000000" w:themeColor="text1"/>
        </w:rPr>
        <w:t xml:space="preserve"> sexual harassment beyond the sphere of employment</w:t>
      </w:r>
      <w:r>
        <w:rPr>
          <w:rFonts w:cstheme="minorHAnsi"/>
          <w:color w:val="000000" w:themeColor="text1"/>
        </w:rPr>
        <w:t xml:space="preserve">, however, they did not introduce gender identity among the protected characteristics, thus the efficacy investigation cases concerning discrimination of transgender </w:t>
      </w:r>
      <w:r w:rsidR="00D025F2">
        <w:rPr>
          <w:rFonts w:cstheme="minorHAnsi"/>
          <w:color w:val="000000" w:themeColor="text1"/>
        </w:rPr>
        <w:t xml:space="preserve">individuals (e.g. instances of discrimination in employment and education settings, access to services, etc.) </w:t>
      </w:r>
      <w:r>
        <w:rPr>
          <w:rFonts w:cstheme="minorHAnsi"/>
          <w:color w:val="000000" w:themeColor="text1"/>
        </w:rPr>
        <w:t xml:space="preserve">may remain stalled. </w:t>
      </w:r>
    </w:p>
    <w:p w14:paraId="2BC09350" w14:textId="1443A819" w:rsidR="006C3887" w:rsidRDefault="006C3887" w:rsidP="006C3887">
      <w:pPr>
        <w:pStyle w:val="SingleTxtG"/>
        <w:numPr>
          <w:ilvl w:val="0"/>
          <w:numId w:val="6"/>
        </w:numPr>
        <w:spacing w:before="240" w:after="0"/>
        <w:rPr>
          <w:rFonts w:cstheme="minorHAnsi"/>
          <w:color w:val="000000" w:themeColor="text1"/>
        </w:rPr>
      </w:pPr>
      <w:r>
        <w:rPr>
          <w:rFonts w:cstheme="minorHAnsi"/>
          <w:color w:val="000000" w:themeColor="text1"/>
        </w:rPr>
        <w:t xml:space="preserve">LGBTI community in Lithuania continues to face challenges in terms of freedom of expression and peaceful assembly. </w:t>
      </w:r>
      <w:r w:rsidRPr="006C3887">
        <w:rPr>
          <w:rFonts w:cstheme="minorHAnsi"/>
          <w:color w:val="000000" w:themeColor="text1"/>
        </w:rPr>
        <w:t xml:space="preserve">In </w:t>
      </w:r>
      <w:r>
        <w:rPr>
          <w:rFonts w:cstheme="minorHAnsi"/>
          <w:color w:val="000000" w:themeColor="text1"/>
        </w:rPr>
        <w:t xml:space="preserve">2021 </w:t>
      </w:r>
      <w:r w:rsidRPr="006C3887">
        <w:rPr>
          <w:rFonts w:cstheme="minorHAnsi"/>
          <w:color w:val="000000" w:themeColor="text1"/>
        </w:rPr>
        <w:t xml:space="preserve">Kaunas </w:t>
      </w:r>
      <w:r>
        <w:rPr>
          <w:rFonts w:cstheme="minorHAnsi"/>
          <w:color w:val="000000" w:themeColor="text1"/>
        </w:rPr>
        <w:t xml:space="preserve">municipality </w:t>
      </w:r>
      <w:hyperlink r:id="rId15" w:history="1">
        <w:r w:rsidRPr="006C3887">
          <w:rPr>
            <w:rFonts w:cstheme="minorHAnsi"/>
            <w:color w:val="000000" w:themeColor="text1"/>
          </w:rPr>
          <w:t>refused</w:t>
        </w:r>
      </w:hyperlink>
      <w:r w:rsidRPr="006C3887">
        <w:rPr>
          <w:rFonts w:cstheme="minorHAnsi"/>
          <w:color w:val="000000" w:themeColor="text1"/>
        </w:rPr>
        <w:t xml:space="preserve"> to grant a permit for the city’s first Pride march</w:t>
      </w:r>
      <w:r>
        <w:rPr>
          <w:rFonts w:cstheme="minorHAnsi"/>
          <w:color w:val="000000" w:themeColor="text1"/>
        </w:rPr>
        <w:t>, however,</w:t>
      </w:r>
      <w:r w:rsidRPr="006C3887">
        <w:rPr>
          <w:rFonts w:cstheme="minorHAnsi"/>
          <w:color w:val="000000" w:themeColor="text1"/>
        </w:rPr>
        <w:t xml:space="preserve"> the court </w:t>
      </w:r>
      <w:hyperlink r:id="rId16" w:history="1">
        <w:r w:rsidRPr="006C3887">
          <w:rPr>
            <w:rFonts w:cstheme="minorHAnsi"/>
            <w:color w:val="000000" w:themeColor="text1"/>
          </w:rPr>
          <w:t>ruled</w:t>
        </w:r>
      </w:hyperlink>
      <w:r w:rsidRPr="006C3887">
        <w:rPr>
          <w:rFonts w:cstheme="minorHAnsi"/>
          <w:color w:val="000000" w:themeColor="text1"/>
        </w:rPr>
        <w:t xml:space="preserve"> in favour of the organisers</w:t>
      </w:r>
      <w:r w:rsidR="006A26B4">
        <w:rPr>
          <w:rStyle w:val="FootnoteReference"/>
          <w:rFonts w:cstheme="minorHAnsi"/>
          <w:color w:val="000000" w:themeColor="text1"/>
        </w:rPr>
        <w:footnoteReference w:id="8"/>
      </w:r>
      <w:r w:rsidRPr="006C3887">
        <w:rPr>
          <w:rFonts w:cstheme="minorHAnsi"/>
          <w:color w:val="000000" w:themeColor="text1"/>
        </w:rPr>
        <w:t>.</w:t>
      </w:r>
      <w:r>
        <w:rPr>
          <w:rFonts w:cstheme="minorHAnsi"/>
          <w:color w:val="000000" w:themeColor="text1"/>
        </w:rPr>
        <w:t xml:space="preserve"> This</w:t>
      </w:r>
      <w:r w:rsidR="00C97FEC">
        <w:rPr>
          <w:rFonts w:cstheme="minorHAnsi"/>
          <w:color w:val="000000" w:themeColor="text1"/>
        </w:rPr>
        <w:t>, however,</w:t>
      </w:r>
      <w:r>
        <w:rPr>
          <w:rFonts w:cstheme="minorHAnsi"/>
          <w:color w:val="000000" w:themeColor="text1"/>
        </w:rPr>
        <w:t xml:space="preserve"> was not the case with Baltic Pride, which took place in Vilnius for the fifth time in June 2022 </w:t>
      </w:r>
      <w:r w:rsidR="006A26B4">
        <w:rPr>
          <w:rFonts w:cstheme="minorHAnsi"/>
          <w:color w:val="000000" w:themeColor="text1"/>
        </w:rPr>
        <w:t xml:space="preserve">as LGL </w:t>
      </w:r>
      <w:r>
        <w:rPr>
          <w:rFonts w:cstheme="minorHAnsi"/>
          <w:color w:val="000000" w:themeColor="text1"/>
        </w:rPr>
        <w:t xml:space="preserve">developed a partnership with the Vilnius municipality in the context of </w:t>
      </w:r>
      <w:r w:rsidR="006A26B4">
        <w:rPr>
          <w:rFonts w:cstheme="minorHAnsi"/>
          <w:color w:val="000000" w:themeColor="text1"/>
        </w:rPr>
        <w:t>the Baltic Pride festival organization</w:t>
      </w:r>
      <w:r w:rsidR="006A26B4">
        <w:rPr>
          <w:rStyle w:val="FootnoteReference"/>
          <w:rFonts w:cstheme="minorHAnsi"/>
          <w:color w:val="000000" w:themeColor="text1"/>
        </w:rPr>
        <w:footnoteReference w:id="9"/>
      </w:r>
      <w:r w:rsidR="006A26B4">
        <w:rPr>
          <w:rFonts w:cstheme="minorHAnsi"/>
          <w:color w:val="000000" w:themeColor="text1"/>
        </w:rPr>
        <w:t xml:space="preserve">. </w:t>
      </w:r>
    </w:p>
    <w:p w14:paraId="0294838E" w14:textId="364BB7A7" w:rsidR="003D6986" w:rsidRDefault="00320723" w:rsidP="006C3887">
      <w:pPr>
        <w:pStyle w:val="SingleTxtG"/>
        <w:numPr>
          <w:ilvl w:val="0"/>
          <w:numId w:val="6"/>
        </w:numPr>
        <w:spacing w:before="240" w:after="0"/>
        <w:rPr>
          <w:rFonts w:cstheme="minorHAnsi"/>
          <w:color w:val="000000" w:themeColor="text1"/>
        </w:rPr>
      </w:pPr>
      <w:r>
        <w:rPr>
          <w:rFonts w:cstheme="minorHAnsi"/>
          <w:color w:val="000000" w:themeColor="text1"/>
        </w:rPr>
        <w:t xml:space="preserve">In 2020 </w:t>
      </w:r>
      <w:r w:rsidR="003D6986">
        <w:rPr>
          <w:rFonts w:cstheme="minorHAnsi"/>
          <w:color w:val="000000" w:themeColor="text1"/>
        </w:rPr>
        <w:t>World Health Organization’s data revealed that Lithuania</w:t>
      </w:r>
      <w:r w:rsidR="00AD585C">
        <w:rPr>
          <w:rFonts w:cstheme="minorHAnsi"/>
          <w:color w:val="000000" w:themeColor="text1"/>
        </w:rPr>
        <w:t>n adolescents are among the most bullied in Europe</w:t>
      </w:r>
      <w:r w:rsidR="00AD585C">
        <w:rPr>
          <w:rStyle w:val="FootnoteReference"/>
          <w:rFonts w:cstheme="minorHAnsi"/>
          <w:color w:val="000000" w:themeColor="text1"/>
        </w:rPr>
        <w:footnoteReference w:id="10"/>
      </w:r>
      <w:r w:rsidR="00AD585C">
        <w:rPr>
          <w:rFonts w:cstheme="minorHAnsi"/>
          <w:color w:val="000000" w:themeColor="text1"/>
        </w:rPr>
        <w:t xml:space="preserve"> while Lithuanian teenagers are among the most </w:t>
      </w:r>
      <w:r w:rsidR="00AD585C">
        <w:rPr>
          <w:rFonts w:cstheme="minorHAnsi"/>
          <w:color w:val="000000" w:themeColor="text1"/>
        </w:rPr>
        <w:lastRenderedPageBreak/>
        <w:t>stressed in Europe</w:t>
      </w:r>
      <w:r w:rsidR="00AD585C">
        <w:rPr>
          <w:rStyle w:val="FootnoteReference"/>
          <w:rFonts w:cstheme="minorHAnsi"/>
          <w:color w:val="000000" w:themeColor="text1"/>
        </w:rPr>
        <w:footnoteReference w:id="11"/>
      </w:r>
      <w:r w:rsidR="00AD585C">
        <w:rPr>
          <w:rFonts w:cstheme="minorHAnsi"/>
          <w:color w:val="000000" w:themeColor="text1"/>
        </w:rPr>
        <w:t xml:space="preserve">. </w:t>
      </w:r>
      <w:r w:rsidR="003D6986" w:rsidRPr="003D6986">
        <w:rPr>
          <w:rFonts w:cstheme="minorHAnsi"/>
          <w:color w:val="000000" w:themeColor="text1"/>
        </w:rPr>
        <w:t>In 2017, LGL carried out an anonymous </w:t>
      </w:r>
      <w:hyperlink r:id="rId17" w:history="1">
        <w:r w:rsidR="003D6986" w:rsidRPr="003D6986">
          <w:rPr>
            <w:rFonts w:cstheme="minorHAnsi"/>
            <w:color w:val="000000" w:themeColor="text1"/>
          </w:rPr>
          <w:t>survey</w:t>
        </w:r>
      </w:hyperlink>
      <w:r w:rsidR="003D6986" w:rsidRPr="003D6986">
        <w:rPr>
          <w:rFonts w:cstheme="minorHAnsi"/>
          <w:color w:val="000000" w:themeColor="text1"/>
        </w:rPr>
        <w:t xml:space="preserve"> in which respondents </w:t>
      </w:r>
      <w:proofErr w:type="gramStart"/>
      <w:r w:rsidR="003D6986" w:rsidRPr="003D6986">
        <w:rPr>
          <w:rFonts w:cstheme="minorHAnsi"/>
          <w:color w:val="000000" w:themeColor="text1"/>
        </w:rPr>
        <w:t>–  644</w:t>
      </w:r>
      <w:proofErr w:type="gramEnd"/>
      <w:r w:rsidR="003D6986" w:rsidRPr="003D6986">
        <w:rPr>
          <w:rFonts w:cstheme="minorHAnsi"/>
          <w:color w:val="000000" w:themeColor="text1"/>
        </w:rPr>
        <w:t xml:space="preserve"> LGBT high school students between the ages of 14 and 18 – elaborated on what LGBT adolescents face in Lithuanian school settings. LGL’s survey showed that half of LGBT young people feel unsafe in Lithuanian schools because of their sexual orientation and/or gender identity.</w:t>
      </w:r>
      <w:r>
        <w:rPr>
          <w:rFonts w:cstheme="minorHAnsi"/>
          <w:color w:val="000000" w:themeColor="text1"/>
        </w:rPr>
        <w:t xml:space="preserve"> Although this topic seemingly receives more publicity and recognition</w:t>
      </w:r>
      <w:r>
        <w:rPr>
          <w:rStyle w:val="FootnoteReference"/>
          <w:rFonts w:cstheme="minorHAnsi"/>
          <w:color w:val="000000" w:themeColor="text1"/>
        </w:rPr>
        <w:footnoteReference w:id="12"/>
      </w:r>
      <w:r>
        <w:rPr>
          <w:rFonts w:cstheme="minorHAnsi"/>
          <w:color w:val="000000" w:themeColor="text1"/>
        </w:rPr>
        <w:t>, concrete action by the Lithuanian authorities are yet to be taken.</w:t>
      </w:r>
    </w:p>
    <w:p w14:paraId="7015A3CD" w14:textId="33CF7A75" w:rsidR="00007D7B" w:rsidRPr="00105F37" w:rsidRDefault="00F21585" w:rsidP="006C3887">
      <w:pPr>
        <w:pStyle w:val="SingleTxtG"/>
        <w:numPr>
          <w:ilvl w:val="0"/>
          <w:numId w:val="6"/>
        </w:numPr>
        <w:spacing w:before="240" w:after="0"/>
        <w:rPr>
          <w:rFonts w:cstheme="minorHAnsi"/>
          <w:color w:val="000000" w:themeColor="text1"/>
        </w:rPr>
      </w:pPr>
      <w:r>
        <w:t xml:space="preserve">Article 4 (2)(16) of the Law on the Protection of Minors against the Detrimental Effect of Public Information prescribes that the information which expresses contempt for family values, encourages the concept of entry into a marriage and creation of a family other than stipulated in the Constitution of the Republic of Lithuania and the Civil Code of the Republic of Lithuania shall be attributed to information which has a detrimental effect on minors. </w:t>
      </w:r>
      <w:r w:rsidR="00007D7B">
        <w:t xml:space="preserve">The amendment of the Law on Protection of Minors from the Detrimental Effects of Public Information modifying the Art. 4.2.16 so it could not be used to discriminate on the grounds of sexual orientation was registered in 2017, but no further action was initiated. Amendments to </w:t>
      </w:r>
      <w:r w:rsidR="00105F37">
        <w:t xml:space="preserve">the </w:t>
      </w:r>
      <w:r w:rsidR="00007D7B">
        <w:t xml:space="preserve">aforementioned law were adopted on January 14, 2021, although they did not include any revisions to the Art. 4.2.16. </w:t>
      </w:r>
      <w:r w:rsidR="00BE44B6">
        <w:t xml:space="preserve">Thus, </w:t>
      </w:r>
      <w:r w:rsidR="00007D7B">
        <w:t xml:space="preserve">Lithuanian “anti-gay propaganda” provision remains intact which </w:t>
      </w:r>
      <w:r w:rsidR="00BE44B6">
        <w:t xml:space="preserve">perpetuates the stigmatization of LGBTI identities and </w:t>
      </w:r>
      <w:r w:rsidR="00007D7B">
        <w:t xml:space="preserve">interferes with access to LGBTI-related material in schools or inclusive education developments. The law continues to be applied in a discriminatory manner </w:t>
      </w:r>
      <w:r w:rsidR="00A841D9">
        <w:t>with</w:t>
      </w:r>
      <w:r w:rsidR="00007D7B">
        <w:t xml:space="preserve"> the view of limiting LGBTI content: in 2019 National Broadcaster documentary on same-sex parenthood was suspended, in 2021 LGL received a report from a student whose thesis was </w:t>
      </w:r>
      <w:r w:rsidR="00105F37">
        <w:t xml:space="preserve">initially </w:t>
      </w:r>
      <w:r w:rsidR="00007D7B">
        <w:t xml:space="preserve">rejected </w:t>
      </w:r>
      <w:r w:rsidR="00105F37">
        <w:t>due to LGBTI-related topic.</w:t>
      </w:r>
    </w:p>
    <w:p w14:paraId="269DFA17" w14:textId="63D09F89" w:rsidR="00105F37" w:rsidRPr="00105F37" w:rsidRDefault="00105F37" w:rsidP="006C3887">
      <w:pPr>
        <w:pStyle w:val="SingleTxtG"/>
        <w:numPr>
          <w:ilvl w:val="0"/>
          <w:numId w:val="6"/>
        </w:numPr>
        <w:spacing w:before="240" w:after="0"/>
        <w:rPr>
          <w:rFonts w:cstheme="minorHAnsi"/>
          <w:color w:val="000000" w:themeColor="text1"/>
        </w:rPr>
      </w:pPr>
      <w:r w:rsidRPr="00105F37">
        <w:rPr>
          <w:rFonts w:cstheme="minorHAnsi"/>
          <w:color w:val="000000" w:themeColor="text1"/>
        </w:rPr>
        <w:t xml:space="preserve">In 2021 LGL received over 40 inquiries from LGBTIQ migrants and/or asylum seekers regarding poor housing conditions, lack of medical care, and anti-LGBTQI bias and/or harassment </w:t>
      </w:r>
      <w:r>
        <w:rPr>
          <w:rFonts w:cstheme="minorHAnsi"/>
          <w:color w:val="000000" w:themeColor="text1"/>
        </w:rPr>
        <w:t xml:space="preserve">stemming from both </w:t>
      </w:r>
      <w:r w:rsidRPr="00105F37">
        <w:rPr>
          <w:rFonts w:cstheme="minorHAnsi"/>
          <w:color w:val="000000" w:themeColor="text1"/>
        </w:rPr>
        <w:t xml:space="preserve">authorities </w:t>
      </w:r>
      <w:r>
        <w:rPr>
          <w:rFonts w:cstheme="minorHAnsi"/>
          <w:color w:val="000000" w:themeColor="text1"/>
        </w:rPr>
        <w:t>and other migrants</w:t>
      </w:r>
      <w:r>
        <w:rPr>
          <w:rStyle w:val="FootnoteReference"/>
          <w:rFonts w:cstheme="minorHAnsi"/>
          <w:color w:val="000000" w:themeColor="text1"/>
        </w:rPr>
        <w:footnoteReference w:id="13"/>
      </w:r>
      <w:r w:rsidRPr="00105F37">
        <w:rPr>
          <w:rFonts w:cstheme="minorHAnsi"/>
          <w:color w:val="000000" w:themeColor="text1"/>
        </w:rPr>
        <w:t xml:space="preserve">. Applications from LGBTIQ asylum seekers were seemingly rejected </w:t>
      </w:r>
      <w:proofErr w:type="spellStart"/>
      <w:r w:rsidRPr="00105F37">
        <w:rPr>
          <w:rFonts w:cstheme="minorHAnsi"/>
          <w:color w:val="000000" w:themeColor="text1"/>
        </w:rPr>
        <w:t>en</w:t>
      </w:r>
      <w:proofErr w:type="spellEnd"/>
      <w:r w:rsidRPr="00105F37">
        <w:rPr>
          <w:rFonts w:cstheme="minorHAnsi"/>
          <w:color w:val="000000" w:themeColor="text1"/>
        </w:rPr>
        <w:t xml:space="preserve"> masse</w:t>
      </w:r>
      <w:r w:rsidR="00C97FEC">
        <w:rPr>
          <w:rFonts w:cstheme="minorHAnsi"/>
          <w:color w:val="000000" w:themeColor="text1"/>
        </w:rPr>
        <w:t xml:space="preserve"> while the </w:t>
      </w:r>
      <w:r w:rsidR="00C97FEC" w:rsidRPr="00C97FEC">
        <w:rPr>
          <w:rFonts w:cstheme="minorHAnsi"/>
          <w:color w:val="000000" w:themeColor="text1"/>
        </w:rPr>
        <w:t>Chair of the Supreme Court of Lithuania, has recently </w:t>
      </w:r>
      <w:hyperlink r:id="rId18" w:history="1">
        <w:r w:rsidR="00C97FEC" w:rsidRPr="00C97FEC">
          <w:rPr>
            <w:rFonts w:cstheme="minorHAnsi"/>
            <w:color w:val="000000" w:themeColor="text1"/>
          </w:rPr>
          <w:t>stated</w:t>
        </w:r>
      </w:hyperlink>
      <w:r w:rsidR="00C97FEC" w:rsidRPr="00C97FEC">
        <w:rPr>
          <w:rFonts w:cstheme="minorHAnsi"/>
          <w:color w:val="000000" w:themeColor="text1"/>
        </w:rPr>
        <w:t> that political pressure to the courts regarding the migrant situation is “very high”</w:t>
      </w:r>
      <w:r w:rsidR="00C97FEC">
        <w:rPr>
          <w:rStyle w:val="FootnoteReference"/>
          <w:rFonts w:cstheme="minorHAnsi"/>
          <w:color w:val="000000" w:themeColor="text1"/>
        </w:rPr>
        <w:footnoteReference w:id="14"/>
      </w:r>
      <w:r w:rsidRPr="00105F37">
        <w:rPr>
          <w:rFonts w:cstheme="minorHAnsi"/>
          <w:color w:val="000000" w:themeColor="text1"/>
        </w:rPr>
        <w:t xml:space="preserve">. In December, the head of the Migration department </w:t>
      </w:r>
      <w:hyperlink r:id="rId19" w:history="1">
        <w:r w:rsidRPr="00105F37">
          <w:rPr>
            <w:rFonts w:cstheme="minorHAnsi"/>
            <w:color w:val="000000" w:themeColor="text1"/>
          </w:rPr>
          <w:t>said</w:t>
        </w:r>
      </w:hyperlink>
      <w:r w:rsidRPr="00105F37">
        <w:rPr>
          <w:rFonts w:cstheme="minorHAnsi"/>
          <w:color w:val="000000" w:themeColor="text1"/>
        </w:rPr>
        <w:t xml:space="preserve"> LGBTI asylum seekers will be “tolerated” in their home countries as long as they hide their identities</w:t>
      </w:r>
      <w:r>
        <w:rPr>
          <w:rStyle w:val="FootnoteReference"/>
          <w:rFonts w:cstheme="minorHAnsi"/>
          <w:color w:val="000000" w:themeColor="text1"/>
        </w:rPr>
        <w:footnoteReference w:id="15"/>
      </w:r>
      <w:r w:rsidRPr="00105F37">
        <w:rPr>
          <w:rFonts w:cstheme="minorHAnsi"/>
          <w:color w:val="000000" w:themeColor="text1"/>
        </w:rPr>
        <w:t>.</w:t>
      </w:r>
      <w:r>
        <w:rPr>
          <w:rFonts w:cstheme="minorHAnsi"/>
          <w:color w:val="000000" w:themeColor="text1"/>
        </w:rPr>
        <w:t xml:space="preserve"> </w:t>
      </w:r>
    </w:p>
    <w:p w14:paraId="66215599" w14:textId="65BAF4D2" w:rsidR="00471D76" w:rsidRPr="00972FA8" w:rsidRDefault="00972FA8" w:rsidP="00471D76">
      <w:pPr>
        <w:pStyle w:val="SingleTxtG"/>
        <w:numPr>
          <w:ilvl w:val="0"/>
          <w:numId w:val="6"/>
        </w:numPr>
        <w:spacing w:before="240" w:after="0"/>
        <w:rPr>
          <w:rFonts w:cstheme="minorHAnsi"/>
          <w:color w:val="000000" w:themeColor="text1"/>
        </w:rPr>
      </w:pPr>
      <w:r w:rsidRPr="006C3887">
        <w:rPr>
          <w:rFonts w:cstheme="minorHAnsi"/>
          <w:color w:val="000000" w:themeColor="text1"/>
        </w:rPr>
        <w:t>In June 2017, Lithuania joined the</w:t>
      </w:r>
      <w:r w:rsidRPr="00B72A66">
        <w:t xml:space="preserve"> international informal Equal Rights Coalition, </w:t>
      </w:r>
      <w:r>
        <w:t xml:space="preserve">however, </w:t>
      </w:r>
      <w:r w:rsidR="00105F37">
        <w:t xml:space="preserve">a </w:t>
      </w:r>
      <w:r>
        <w:t xml:space="preserve">Lithuanian </w:t>
      </w:r>
      <w:r w:rsidR="00105F37">
        <w:t xml:space="preserve">government </w:t>
      </w:r>
      <w:r>
        <w:t>representative did not participate at the latest meeting in 2022 taking place in Buenos Aires.</w:t>
      </w:r>
    </w:p>
    <w:p w14:paraId="0C14061B" w14:textId="77777777" w:rsidR="00721DEA" w:rsidRDefault="00721DEA" w:rsidP="00721DEA">
      <w:pPr>
        <w:pStyle w:val="SingleTxtG"/>
        <w:spacing w:before="240" w:after="0"/>
        <w:ind w:left="0"/>
        <w:rPr>
          <w:rFonts w:cstheme="minorHAnsi"/>
          <w:color w:val="000000" w:themeColor="text1"/>
        </w:rPr>
      </w:pPr>
    </w:p>
    <w:p w14:paraId="773AE09E" w14:textId="77777777" w:rsidR="00721DEA" w:rsidRDefault="00721DEA" w:rsidP="00721DEA">
      <w:pPr>
        <w:pStyle w:val="SingleTxtG"/>
        <w:spacing w:before="240" w:after="0"/>
        <w:ind w:left="0"/>
        <w:rPr>
          <w:rFonts w:cstheme="minorHAnsi"/>
          <w:color w:val="000000" w:themeColor="text1"/>
        </w:rPr>
      </w:pPr>
    </w:p>
    <w:p w14:paraId="39F41A73" w14:textId="0581D3A2" w:rsidR="00721DEA" w:rsidRDefault="00721DEA" w:rsidP="00721DEA">
      <w:pPr>
        <w:pStyle w:val="SingleTxtG"/>
        <w:spacing w:before="240" w:after="0"/>
        <w:ind w:left="0"/>
        <w:rPr>
          <w:rFonts w:cstheme="minorHAnsi"/>
          <w:color w:val="000000" w:themeColor="text1"/>
        </w:rPr>
      </w:pPr>
      <w:r>
        <w:rPr>
          <w:rFonts w:cstheme="minorHAnsi"/>
          <w:color w:val="000000" w:themeColor="text1"/>
        </w:rPr>
        <w:t xml:space="preserve">Vladimir </w:t>
      </w:r>
      <w:proofErr w:type="spellStart"/>
      <w:r>
        <w:rPr>
          <w:rFonts w:cstheme="minorHAnsi"/>
          <w:color w:val="000000" w:themeColor="text1"/>
        </w:rPr>
        <w:t>Simonko</w:t>
      </w:r>
      <w:proofErr w:type="spellEnd"/>
      <w:r>
        <w:rPr>
          <w:rFonts w:cstheme="minorHAnsi"/>
          <w:color w:val="000000" w:themeColor="text1"/>
        </w:rPr>
        <w:t>, Executive Director</w:t>
      </w:r>
    </w:p>
    <w:p w14:paraId="3F21BB1C" w14:textId="77777777" w:rsidR="00721DEA" w:rsidRDefault="00721DEA" w:rsidP="00721DEA">
      <w:pPr>
        <w:pStyle w:val="SingleTxtG"/>
        <w:spacing w:before="240" w:after="0"/>
        <w:ind w:left="0"/>
        <w:rPr>
          <w:rFonts w:cstheme="minorHAnsi"/>
          <w:color w:val="000000" w:themeColor="text1"/>
        </w:rPr>
      </w:pPr>
    </w:p>
    <w:p w14:paraId="32653EF1" w14:textId="386F6A07" w:rsidR="00721DEA" w:rsidRDefault="00721DEA" w:rsidP="00721DEA">
      <w:pPr>
        <w:pStyle w:val="SingleTxtG"/>
        <w:spacing w:before="240" w:after="0"/>
        <w:ind w:left="0"/>
        <w:rPr>
          <w:rFonts w:cstheme="minorHAnsi"/>
          <w:color w:val="000000" w:themeColor="text1"/>
        </w:rPr>
      </w:pPr>
      <w:r>
        <w:rPr>
          <w:rFonts w:cstheme="minorHAnsi"/>
          <w:color w:val="000000" w:themeColor="text1"/>
        </w:rPr>
        <w:t xml:space="preserve">Contact person: Monika Antanaitytė, </w:t>
      </w:r>
      <w:hyperlink r:id="rId20" w:history="1">
        <w:r w:rsidRPr="00DF06C3">
          <w:rPr>
            <w:rStyle w:val="Hyperlink"/>
            <w:rFonts w:cstheme="minorHAnsi"/>
          </w:rPr>
          <w:t>monika</w:t>
        </w:r>
        <w:r w:rsidRPr="00DF06C3">
          <w:rPr>
            <w:rStyle w:val="Hyperlink"/>
            <w:rFonts w:cstheme="minorHAnsi"/>
            <w:lang w:val="en-US"/>
          </w:rPr>
          <w:t>@gay.lt</w:t>
        </w:r>
      </w:hyperlink>
    </w:p>
    <w:p w14:paraId="02A72FA9" w14:textId="3B98104A" w:rsidR="00B9140A" w:rsidRDefault="00AC3CB4" w:rsidP="00AC3CB4">
      <w:pPr>
        <w:pStyle w:val="SingleTxtG"/>
        <w:tabs>
          <w:tab w:val="left" w:pos="2130"/>
        </w:tabs>
        <w:spacing w:before="240" w:after="0"/>
        <w:ind w:left="0"/>
        <w:rPr>
          <w:u w:val="single"/>
        </w:rPr>
      </w:pPr>
      <w:r>
        <w:rPr>
          <w:rFonts w:cstheme="minorHAnsi"/>
          <w:color w:val="000000" w:themeColor="text1"/>
        </w:rPr>
        <w:tab/>
      </w:r>
    </w:p>
    <w:sectPr w:rsidR="00B9140A" w:rsidSect="006908F0">
      <w:footerReference w:type="even" r:id="rId21"/>
      <w:footerReference w:type="default" r:id="rId22"/>
      <w:headerReference w:type="first" r:id="rId2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51156" w14:textId="77777777" w:rsidR="00AE2CE0" w:rsidRDefault="00AE2CE0"/>
  </w:endnote>
  <w:endnote w:type="continuationSeparator" w:id="0">
    <w:p w14:paraId="5D386C4F" w14:textId="77777777" w:rsidR="00AE2CE0" w:rsidRDefault="00AE2CE0"/>
  </w:endnote>
  <w:endnote w:type="continuationNotice" w:id="1">
    <w:p w14:paraId="0EBD2835" w14:textId="77777777" w:rsidR="00AE2CE0" w:rsidRDefault="00AE2C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4A877" w14:textId="77777777" w:rsidR="001D4EF8" w:rsidRPr="001D4EF8" w:rsidRDefault="001D4EF8" w:rsidP="001D4EF8">
    <w:pPr>
      <w:pStyle w:val="Footer"/>
      <w:tabs>
        <w:tab w:val="right" w:pos="9638"/>
      </w:tabs>
      <w:rPr>
        <w:sz w:val="18"/>
      </w:rPr>
    </w:pPr>
    <w:r w:rsidRPr="001D4EF8">
      <w:rPr>
        <w:b/>
        <w:sz w:val="18"/>
      </w:rPr>
      <w:fldChar w:fldCharType="begin"/>
    </w:r>
    <w:r w:rsidRPr="001D4EF8">
      <w:rPr>
        <w:b/>
        <w:sz w:val="18"/>
      </w:rPr>
      <w:instrText xml:space="preserve"> PAGE  \* MERGEFORMAT </w:instrText>
    </w:r>
    <w:r w:rsidRPr="001D4EF8">
      <w:rPr>
        <w:b/>
        <w:sz w:val="18"/>
      </w:rPr>
      <w:fldChar w:fldCharType="separate"/>
    </w:r>
    <w:r w:rsidR="008403A9">
      <w:rPr>
        <w:b/>
        <w:noProof/>
        <w:sz w:val="18"/>
      </w:rPr>
      <w:t>4</w:t>
    </w:r>
    <w:r w:rsidRPr="001D4EF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7773" w14:textId="77777777" w:rsidR="001D4EF8" w:rsidRPr="001D4EF8" w:rsidRDefault="001D4EF8" w:rsidP="001D4EF8">
    <w:pPr>
      <w:pStyle w:val="Footer"/>
      <w:tabs>
        <w:tab w:val="right" w:pos="9638"/>
      </w:tabs>
      <w:rPr>
        <w:b/>
        <w:sz w:val="18"/>
      </w:rPr>
    </w:pPr>
    <w:r>
      <w:tab/>
    </w:r>
    <w:r w:rsidRPr="001D4EF8">
      <w:rPr>
        <w:b/>
        <w:sz w:val="18"/>
      </w:rPr>
      <w:fldChar w:fldCharType="begin"/>
    </w:r>
    <w:r w:rsidRPr="001D4EF8">
      <w:rPr>
        <w:b/>
        <w:sz w:val="18"/>
      </w:rPr>
      <w:instrText xml:space="preserve"> PAGE  \* MERGEFORMAT </w:instrText>
    </w:r>
    <w:r w:rsidRPr="001D4EF8">
      <w:rPr>
        <w:b/>
        <w:sz w:val="18"/>
      </w:rPr>
      <w:fldChar w:fldCharType="separate"/>
    </w:r>
    <w:r w:rsidR="008403A9">
      <w:rPr>
        <w:b/>
        <w:noProof/>
        <w:sz w:val="18"/>
      </w:rPr>
      <w:t>5</w:t>
    </w:r>
    <w:r w:rsidRPr="001D4EF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F1BE1" w14:textId="77777777" w:rsidR="00AE2CE0" w:rsidRPr="000B175B" w:rsidRDefault="00AE2CE0" w:rsidP="000B175B">
      <w:pPr>
        <w:tabs>
          <w:tab w:val="right" w:pos="2155"/>
        </w:tabs>
        <w:spacing w:after="80"/>
        <w:ind w:left="680"/>
        <w:rPr>
          <w:u w:val="single"/>
        </w:rPr>
      </w:pPr>
      <w:r>
        <w:rPr>
          <w:u w:val="single"/>
        </w:rPr>
        <w:tab/>
      </w:r>
    </w:p>
  </w:footnote>
  <w:footnote w:type="continuationSeparator" w:id="0">
    <w:p w14:paraId="50471339" w14:textId="77777777" w:rsidR="00AE2CE0" w:rsidRPr="00FC68B7" w:rsidRDefault="00AE2CE0" w:rsidP="00FC68B7">
      <w:pPr>
        <w:tabs>
          <w:tab w:val="left" w:pos="2155"/>
        </w:tabs>
        <w:spacing w:after="80"/>
        <w:ind w:left="680"/>
        <w:rPr>
          <w:u w:val="single"/>
        </w:rPr>
      </w:pPr>
      <w:r>
        <w:rPr>
          <w:u w:val="single"/>
        </w:rPr>
        <w:tab/>
      </w:r>
    </w:p>
  </w:footnote>
  <w:footnote w:type="continuationNotice" w:id="1">
    <w:p w14:paraId="4F03CF78" w14:textId="77777777" w:rsidR="00AE2CE0" w:rsidRDefault="00AE2CE0"/>
  </w:footnote>
  <w:footnote w:id="2">
    <w:p w14:paraId="544B5A31" w14:textId="576F7F1C" w:rsidR="00007D7B" w:rsidRPr="00007D7B" w:rsidRDefault="00007D7B">
      <w:pPr>
        <w:pStyle w:val="FootnoteText"/>
        <w:rPr>
          <w:lang w:val="en-US"/>
        </w:rPr>
      </w:pPr>
      <w:r>
        <w:rPr>
          <w:rStyle w:val="FootnoteReference"/>
        </w:rPr>
        <w:footnoteRef/>
      </w:r>
      <w:r>
        <w:t xml:space="preserve"> </w:t>
      </w:r>
      <w:r w:rsidRPr="00007D7B">
        <w:t>https://fra.europa.eu/en/data-and-maps/2020/lgbti-survey-data-explorer</w:t>
      </w:r>
    </w:p>
  </w:footnote>
  <w:footnote w:id="3">
    <w:p w14:paraId="5EFF1A9B" w14:textId="2EF20FFC" w:rsidR="00AF2B61" w:rsidRPr="00DE6C95" w:rsidRDefault="00AF2B61" w:rsidP="00AF2B61">
      <w:pPr>
        <w:pStyle w:val="FootnoteText"/>
        <w:jc w:val="both"/>
        <w:rPr>
          <w:lang w:val="lt-LT"/>
        </w:rPr>
      </w:pPr>
      <w:r>
        <w:rPr>
          <w:rStyle w:val="FootnoteReference"/>
        </w:rPr>
        <w:footnoteRef/>
      </w:r>
      <w:r>
        <w:t xml:space="preserve"> </w:t>
      </w:r>
      <w:r w:rsidRPr="00AF2B61">
        <w:t xml:space="preserve">Report on Legal Recognition of Gender Identity and </w:t>
      </w:r>
      <w:r w:rsidRPr="00AF2B61">
        <w:t xml:space="preserve">Depathologization, Mandate </w:t>
      </w:r>
      <w:r w:rsidR="00010852">
        <w:t xml:space="preserve">of the UN Independent Expert on </w:t>
      </w:r>
      <w:r w:rsidRPr="00AF2B61">
        <w:t xml:space="preserve">protection against violence and discrimination against violence and discrimination based on sexual orientation and gender identity - IE SOGI, 12 July, 2018 </w:t>
      </w:r>
      <w:hyperlink r:id="rId1" w:history="1">
        <w:r w:rsidRPr="00AF2B61">
          <w:rPr>
            <w:rStyle w:val="Hyperlink"/>
          </w:rPr>
          <w:t>https://www.ohchr.org/en/calls-for-input/reports/2018/report-legal-recognition-gender-identity-and-depathologization</w:t>
        </w:r>
      </w:hyperlink>
    </w:p>
  </w:footnote>
  <w:footnote w:id="4">
    <w:p w14:paraId="46E119E0" w14:textId="77777777" w:rsidR="003D6986" w:rsidRPr="008D5649" w:rsidRDefault="003D6986" w:rsidP="003D6986">
      <w:pPr>
        <w:pStyle w:val="FootnoteText"/>
        <w:rPr>
          <w:lang w:val="lt-LT"/>
        </w:rPr>
      </w:pPr>
      <w:r>
        <w:rPr>
          <w:rStyle w:val="FootnoteReference"/>
        </w:rPr>
        <w:footnoteRef/>
      </w:r>
      <w:r>
        <w:t>On the 31 of December 2021 the Ministry of Justice adopted the amendment of the Order of the Minister of Justice "On the approval of the order of the amendment of the name and surname</w:t>
      </w:r>
      <w:hyperlink r:id="rId2" w:tgtFrame="_blank" w:history="1">
        <w:r w:rsidRPr="008D5649">
          <w:rPr>
            <w:rStyle w:val="Hyperlink"/>
          </w:rPr>
          <w:t>https://e-seimas.lrs.lt/portal/legalAct/lt/TAD/de5a27006a7911ecb2fe9975f8a9e52e?positionInSearchResults=8&amp;searchModelUUID=e207a152-bb76-44f4-b2f2-624d436e8a2b</w:t>
        </w:r>
      </w:hyperlink>
      <w:r w:rsidRPr="008D5649">
        <w:rPr>
          <w:rStyle w:val="Hyperlink"/>
        </w:rPr>
        <w:t> )</w:t>
      </w:r>
    </w:p>
  </w:footnote>
  <w:footnote w:id="5">
    <w:p w14:paraId="0B99AC0D" w14:textId="55E01851" w:rsidR="00BE44B6" w:rsidRPr="00BE44B6" w:rsidRDefault="00BE44B6">
      <w:pPr>
        <w:pStyle w:val="FootnoteText"/>
        <w:rPr>
          <w:lang w:val="en-US"/>
        </w:rPr>
      </w:pPr>
      <w:r>
        <w:rPr>
          <w:rStyle w:val="FootnoteReference"/>
        </w:rPr>
        <w:footnoteRef/>
      </w:r>
      <w:r>
        <w:t xml:space="preserve"> </w:t>
      </w:r>
      <w:r w:rsidRPr="00BE44B6">
        <w:t>https://e-seimas.lrs.lt/portal/legalAct/lt/TAD/71039aa2b98511e7967a9645b537eb05</w:t>
      </w:r>
    </w:p>
  </w:footnote>
  <w:footnote w:id="6">
    <w:p w14:paraId="6FF8050C" w14:textId="77777777" w:rsidR="00105F37" w:rsidRPr="001722A3" w:rsidRDefault="00105F37" w:rsidP="00105F37">
      <w:pPr>
        <w:pStyle w:val="FootnoteText"/>
        <w:rPr>
          <w:lang w:val="en-US"/>
        </w:rPr>
      </w:pPr>
      <w:r>
        <w:rPr>
          <w:rStyle w:val="FootnoteReference"/>
        </w:rPr>
        <w:footnoteRef/>
      </w:r>
      <w:r>
        <w:t xml:space="preserve"> </w:t>
      </w:r>
      <w:r w:rsidRPr="001722A3">
        <w:t>https://www.e-tar.lt/portal/lt/legalAct/b1c5e3b03ae511eb8d9fe110e148c770/bOExvEIYGN</w:t>
      </w:r>
    </w:p>
  </w:footnote>
  <w:footnote w:id="7">
    <w:p w14:paraId="7FE3F9BA" w14:textId="408DDE0D" w:rsidR="006C3887" w:rsidRPr="00471D76" w:rsidRDefault="006C3887" w:rsidP="006C3887">
      <w:pPr>
        <w:pStyle w:val="FootnoteText"/>
        <w:rPr>
          <w:lang w:val="en-US"/>
        </w:rPr>
      </w:pPr>
      <w:r>
        <w:rPr>
          <w:rStyle w:val="FootnoteReference"/>
        </w:rPr>
        <w:footnoteRef/>
      </w:r>
      <w:r>
        <w:t xml:space="preserve"> </w:t>
      </w:r>
      <w:hyperlink r:id="rId3" w:history="1">
        <w:r w:rsidRPr="005E4E50">
          <w:rPr>
            <w:rStyle w:val="Hyperlink"/>
          </w:rPr>
          <w:t>https://e-tar.lt/portal/lt/legalAct/24f6571000e811ed8fa7d02a65c371ad</w:t>
        </w:r>
      </w:hyperlink>
    </w:p>
  </w:footnote>
  <w:footnote w:id="8">
    <w:p w14:paraId="68BEA3BE" w14:textId="3BF8E5B7" w:rsidR="006A26B4" w:rsidRPr="006A26B4" w:rsidRDefault="006A26B4">
      <w:pPr>
        <w:pStyle w:val="FootnoteText"/>
        <w:rPr>
          <w:lang w:val="en-US"/>
        </w:rPr>
      </w:pPr>
      <w:r>
        <w:rPr>
          <w:rStyle w:val="FootnoteReference"/>
        </w:rPr>
        <w:footnoteRef/>
      </w:r>
      <w:r>
        <w:t xml:space="preserve"> </w:t>
      </w:r>
      <w:r w:rsidRPr="006A26B4">
        <w:t>https://www.lrt.lt/en/news-in-english/19/1461010/court-orders-kaunas-authorities-to-permit-lgbt-march</w:t>
      </w:r>
    </w:p>
  </w:footnote>
  <w:footnote w:id="9">
    <w:p w14:paraId="0B108EDB" w14:textId="551ADBE5" w:rsidR="006A26B4" w:rsidRPr="006A26B4" w:rsidRDefault="006A26B4">
      <w:pPr>
        <w:pStyle w:val="FootnoteText"/>
        <w:rPr>
          <w:lang w:val="en-US"/>
        </w:rPr>
      </w:pPr>
      <w:r>
        <w:rPr>
          <w:rStyle w:val="FootnoteReference"/>
        </w:rPr>
        <w:footnoteRef/>
      </w:r>
      <w:r>
        <w:t xml:space="preserve"> </w:t>
      </w:r>
      <w:r w:rsidRPr="006A26B4">
        <w:t>https://www.lgl.lt/en/?p=25813</w:t>
      </w:r>
    </w:p>
  </w:footnote>
  <w:footnote w:id="10">
    <w:p w14:paraId="61C53597" w14:textId="716E9372" w:rsidR="00AD585C" w:rsidRPr="00AD585C" w:rsidRDefault="00AD585C">
      <w:pPr>
        <w:pStyle w:val="FootnoteText"/>
        <w:rPr>
          <w:lang w:val="en-US"/>
        </w:rPr>
      </w:pPr>
      <w:r>
        <w:rPr>
          <w:rStyle w:val="FootnoteReference"/>
        </w:rPr>
        <w:footnoteRef/>
      </w:r>
      <w:r>
        <w:t xml:space="preserve"> </w:t>
      </w:r>
      <w:r w:rsidRPr="00AD585C">
        <w:t>https://www.lrt.lt/en/news-in-english/19/1180226/lithuanian-adolescents-among-most-bullied-in-europe-who-survey</w:t>
      </w:r>
    </w:p>
  </w:footnote>
  <w:footnote w:id="11">
    <w:p w14:paraId="5626A72E" w14:textId="52A4D9D1" w:rsidR="00AD585C" w:rsidRPr="00AD585C" w:rsidRDefault="00AD585C">
      <w:pPr>
        <w:pStyle w:val="FootnoteText"/>
        <w:rPr>
          <w:lang w:val="en-US"/>
        </w:rPr>
      </w:pPr>
      <w:r>
        <w:rPr>
          <w:rStyle w:val="FootnoteReference"/>
        </w:rPr>
        <w:footnoteRef/>
      </w:r>
      <w:r>
        <w:t xml:space="preserve"> </w:t>
      </w:r>
      <w:r w:rsidRPr="00AD585C">
        <w:t>https://www.lrt.lt/en/news-in-english/19/1183947/lithuanian-teenagers-among-the-most-stressed-in-europe-who-survey</w:t>
      </w:r>
    </w:p>
  </w:footnote>
  <w:footnote w:id="12">
    <w:p w14:paraId="5297C7D1" w14:textId="5C482A07" w:rsidR="00320723" w:rsidRPr="00320723" w:rsidRDefault="00320723">
      <w:pPr>
        <w:pStyle w:val="FootnoteText"/>
        <w:rPr>
          <w:lang w:val="en-US"/>
        </w:rPr>
      </w:pPr>
      <w:r>
        <w:rPr>
          <w:rStyle w:val="FootnoteReference"/>
        </w:rPr>
        <w:footnoteRef/>
      </w:r>
      <w:r>
        <w:t xml:space="preserve"> </w:t>
      </w:r>
      <w:r w:rsidRPr="00320723">
        <w:t>https://www.lgl.lt/en/?p=26455</w:t>
      </w:r>
    </w:p>
  </w:footnote>
  <w:footnote w:id="13">
    <w:p w14:paraId="72DBF9FB" w14:textId="6BF7D29A" w:rsidR="00105F37" w:rsidRPr="00105F37" w:rsidRDefault="00105F37">
      <w:pPr>
        <w:pStyle w:val="FootnoteText"/>
        <w:rPr>
          <w:lang w:val="en-US"/>
        </w:rPr>
      </w:pPr>
      <w:r>
        <w:rPr>
          <w:rStyle w:val="FootnoteReference"/>
        </w:rPr>
        <w:footnoteRef/>
      </w:r>
      <w:r>
        <w:t xml:space="preserve"> </w:t>
      </w:r>
      <w:r w:rsidRPr="00105F37">
        <w:t>https://www.lgl.lt/en/?p=24649</w:t>
      </w:r>
    </w:p>
  </w:footnote>
  <w:footnote w:id="14">
    <w:p w14:paraId="558544E7" w14:textId="32B40E1B" w:rsidR="00C97FEC" w:rsidRPr="00C97FEC" w:rsidRDefault="00C97FEC">
      <w:pPr>
        <w:pStyle w:val="FootnoteText"/>
        <w:rPr>
          <w:lang w:val="en-US"/>
        </w:rPr>
      </w:pPr>
      <w:r>
        <w:rPr>
          <w:rStyle w:val="FootnoteReference"/>
        </w:rPr>
        <w:footnoteRef/>
      </w:r>
      <w:r>
        <w:t xml:space="preserve"> </w:t>
      </w:r>
      <w:r w:rsidRPr="00C97FEC">
        <w:t>https://iq.lt/advokatas/s-rudenaite-spaudimas-teisejams-del-migrantu-yra-labai-didelis/241297</w:t>
      </w:r>
    </w:p>
  </w:footnote>
  <w:footnote w:id="15">
    <w:p w14:paraId="134811C6" w14:textId="5AECD80D" w:rsidR="00105F37" w:rsidRPr="00105F37" w:rsidRDefault="00105F37">
      <w:pPr>
        <w:pStyle w:val="FootnoteText"/>
        <w:rPr>
          <w:lang w:val="en-US"/>
        </w:rPr>
      </w:pPr>
      <w:r>
        <w:rPr>
          <w:rStyle w:val="FootnoteReference"/>
        </w:rPr>
        <w:footnoteRef/>
      </w:r>
      <w:r>
        <w:t xml:space="preserve"> </w:t>
      </w:r>
      <w:r w:rsidRPr="00105F37">
        <w:t>https://www.lrt.lt/naujienos/lietuvoje/2/1560252/migracijos-departamento-vadove-ginasi-del-lgbt-asmenu-prieglobscio-proceduru-homoseksualiu-populiaru-apsimesti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DED50" w14:textId="5D52FCC5" w:rsidR="00A841D9" w:rsidRDefault="00AC3CB4" w:rsidP="00AC3CB4">
    <w:pPr>
      <w:spacing w:before="120"/>
      <w:jc w:val="center"/>
      <w:rPr>
        <w:b/>
        <w:sz w:val="24"/>
        <w:szCs w:val="24"/>
      </w:rPr>
    </w:pPr>
    <w:r>
      <w:rPr>
        <w:b/>
        <w:noProof/>
        <w:sz w:val="24"/>
        <w:szCs w:val="24"/>
      </w:rPr>
      <w:drawing>
        <wp:inline distT="0" distB="0" distL="0" distR="0" wp14:anchorId="53B80AF3" wp14:editId="772B1444">
          <wp:extent cx="1905000" cy="982753"/>
          <wp:effectExtent l="0" t="0" r="0" b="8255"/>
          <wp:docPr id="1" name="Paveikslėlis 1" descr="Paveikslėlis, kuriame yra žinutė&#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žinutė&#10;&#10;Automatiškai sugeneruotas aprašymas"/>
                  <pic:cNvPicPr/>
                </pic:nvPicPr>
                <pic:blipFill>
                  <a:blip r:embed="rId1">
                    <a:extLst>
                      <a:ext uri="{28A0092B-C50C-407E-A947-70E740481C1C}">
                        <a14:useLocalDpi xmlns:a14="http://schemas.microsoft.com/office/drawing/2010/main" val="0"/>
                      </a:ext>
                    </a:extLst>
                  </a:blip>
                  <a:stretch>
                    <a:fillRect/>
                  </a:stretch>
                </pic:blipFill>
                <pic:spPr>
                  <a:xfrm>
                    <a:off x="0" y="0"/>
                    <a:ext cx="1908578" cy="984599"/>
                  </a:xfrm>
                  <a:prstGeom prst="rect">
                    <a:avLst/>
                  </a:prstGeom>
                </pic:spPr>
              </pic:pic>
            </a:graphicData>
          </a:graphic>
        </wp:inline>
      </w:drawing>
    </w:r>
  </w:p>
  <w:p w14:paraId="263EA44B" w14:textId="77777777" w:rsidR="003D01A4" w:rsidRPr="00BD6D80" w:rsidRDefault="003D01A4" w:rsidP="003D01A4">
    <w:pPr>
      <w:spacing w:before="120"/>
      <w:rPr>
        <w:b/>
        <w:sz w:val="24"/>
        <w:szCs w:val="24"/>
      </w:rPr>
    </w:pPr>
    <w:r w:rsidRPr="00BD6D80">
      <w:rPr>
        <w:b/>
        <w:sz w:val="24"/>
        <w:szCs w:val="24"/>
      </w:rPr>
      <w:t>Committee on Economic, Social and Cultural Rights</w:t>
    </w:r>
  </w:p>
  <w:p w14:paraId="4C3188EB" w14:textId="77777777" w:rsidR="003D01A4" w:rsidRPr="00BD6D80" w:rsidRDefault="003D01A4" w:rsidP="003D01A4">
    <w:pPr>
      <w:rPr>
        <w:b/>
        <w:bCs/>
        <w:color w:val="000000" w:themeColor="text1"/>
      </w:rPr>
    </w:pPr>
    <w:r w:rsidRPr="00BD6D80">
      <w:rPr>
        <w:b/>
        <w:bCs/>
        <w:color w:val="000000" w:themeColor="text1"/>
      </w:rPr>
      <w:t>Seventy-</w:t>
    </w:r>
    <w:r>
      <w:rPr>
        <w:b/>
        <w:bCs/>
        <w:color w:val="000000" w:themeColor="text1"/>
      </w:rPr>
      <w:t>third</w:t>
    </w:r>
    <w:r w:rsidRPr="00BD6D80">
      <w:rPr>
        <w:b/>
        <w:bCs/>
        <w:color w:val="000000" w:themeColor="text1"/>
      </w:rPr>
      <w:t xml:space="preserve"> session</w:t>
    </w:r>
  </w:p>
  <w:p w14:paraId="235E77A4" w14:textId="77777777" w:rsidR="003D01A4" w:rsidRPr="00BD6D80" w:rsidRDefault="003D01A4" w:rsidP="003D01A4">
    <w:pPr>
      <w:rPr>
        <w:color w:val="000000" w:themeColor="text1"/>
      </w:rPr>
    </w:pPr>
    <w:r>
      <w:rPr>
        <w:color w:val="000000" w:themeColor="text1"/>
      </w:rPr>
      <w:t>13</w:t>
    </w:r>
    <w:r w:rsidRPr="00BD6D80">
      <w:rPr>
        <w:color w:val="000000" w:themeColor="text1"/>
      </w:rPr>
      <w:t xml:space="preserve"> </w:t>
    </w:r>
    <w:r>
      <w:rPr>
        <w:color w:val="000000" w:themeColor="text1"/>
      </w:rPr>
      <w:t>February</w:t>
    </w:r>
    <w:r w:rsidRPr="00BD6D80">
      <w:rPr>
        <w:color w:val="000000" w:themeColor="text1"/>
      </w:rPr>
      <w:t>–</w:t>
    </w:r>
    <w:r>
      <w:rPr>
        <w:color w:val="000000" w:themeColor="text1"/>
      </w:rPr>
      <w:t>3</w:t>
    </w:r>
    <w:r w:rsidRPr="00BD6D80">
      <w:rPr>
        <w:color w:val="000000" w:themeColor="text1"/>
      </w:rPr>
      <w:t xml:space="preserve"> </w:t>
    </w:r>
    <w:r>
      <w:rPr>
        <w:color w:val="000000" w:themeColor="text1"/>
      </w:rPr>
      <w:t>March</w:t>
    </w:r>
    <w:r w:rsidRPr="00BD6D80">
      <w:rPr>
        <w:color w:val="000000" w:themeColor="text1"/>
      </w:rPr>
      <w:t xml:space="preserve"> 202</w:t>
    </w:r>
    <w:r>
      <w:rPr>
        <w:color w:val="000000" w:themeColor="text1"/>
      </w:rPr>
      <w:t>3</w:t>
    </w:r>
  </w:p>
  <w:p w14:paraId="7A208100" w14:textId="77777777" w:rsidR="003D01A4" w:rsidRPr="00BD6D80" w:rsidRDefault="003D01A4" w:rsidP="003D01A4">
    <w:pPr>
      <w:rPr>
        <w:b/>
        <w:bCs/>
        <w:color w:val="000000" w:themeColor="text1"/>
      </w:rPr>
    </w:pPr>
    <w:r w:rsidRPr="00BD6D80">
      <w:rPr>
        <w:b/>
        <w:bCs/>
        <w:color w:val="000000" w:themeColor="text1"/>
      </w:rPr>
      <w:t>Consideration of reports: reports submitted by States parties</w:t>
    </w:r>
  </w:p>
  <w:p w14:paraId="4C01E691" w14:textId="77777777" w:rsidR="003D01A4" w:rsidRPr="00BD6D80" w:rsidRDefault="003D01A4" w:rsidP="003D01A4">
    <w:pPr>
      <w:rPr>
        <w:b/>
        <w:bCs/>
        <w:color w:val="000000" w:themeColor="text1"/>
      </w:rPr>
    </w:pPr>
    <w:r w:rsidRPr="00BD6D80">
      <w:rPr>
        <w:b/>
        <w:bCs/>
        <w:color w:val="000000" w:themeColor="text1"/>
      </w:rPr>
      <w:t>in accordance with articles 16 and 17 of the Covenant</w:t>
    </w:r>
  </w:p>
  <w:p w14:paraId="7A4220C0" w14:textId="77777777" w:rsidR="0096005E" w:rsidRDefault="0096005E" w:rsidP="00532AC1">
    <w:pPr>
      <w:spacing w:before="120"/>
      <w:rPr>
        <w:b/>
        <w:sz w:val="24"/>
        <w:szCs w:val="24"/>
      </w:rPr>
    </w:pPr>
  </w:p>
  <w:p w14:paraId="4B328CF5" w14:textId="55EF6FB1" w:rsidR="00A52110" w:rsidRPr="00532AC1" w:rsidRDefault="00A52110" w:rsidP="0096005E">
    <w:pPr>
      <w:spacing w:before="120"/>
      <w:jc w:val="center"/>
      <w:rPr>
        <w:b/>
        <w:sz w:val="24"/>
        <w:szCs w:val="24"/>
      </w:rPr>
    </w:pPr>
    <w:r w:rsidRPr="00532AC1">
      <w:rPr>
        <w:b/>
        <w:sz w:val="24"/>
        <w:szCs w:val="24"/>
      </w:rPr>
      <w:t>Report</w:t>
    </w:r>
  </w:p>
  <w:p w14:paraId="7EE82D91" w14:textId="2BF40362" w:rsidR="00E409A4" w:rsidRPr="00532AC1" w:rsidRDefault="00A52110" w:rsidP="0096005E">
    <w:pPr>
      <w:spacing w:before="120"/>
      <w:jc w:val="center"/>
      <w:rPr>
        <w:b/>
        <w:sz w:val="24"/>
        <w:szCs w:val="24"/>
      </w:rPr>
    </w:pPr>
    <w:r w:rsidRPr="00532AC1">
      <w:rPr>
        <w:b/>
        <w:sz w:val="24"/>
        <w:szCs w:val="24"/>
      </w:rPr>
      <w:t xml:space="preserve">on the </w:t>
    </w:r>
    <w:r w:rsidR="00E409A4" w:rsidRPr="00532AC1">
      <w:rPr>
        <w:b/>
        <w:sz w:val="24"/>
        <w:szCs w:val="24"/>
      </w:rPr>
      <w:t>Discrimination on the grounds of sexual orientation and gender identity</w:t>
    </w:r>
  </w:p>
  <w:p w14:paraId="2C29069E" w14:textId="77777777" w:rsidR="00E409A4" w:rsidRPr="00532AC1" w:rsidRDefault="00E409A4" w:rsidP="0096005E">
    <w:pPr>
      <w:spacing w:before="120"/>
      <w:jc w:val="center"/>
      <w:rPr>
        <w:b/>
        <w:sz w:val="24"/>
        <w:szCs w:val="24"/>
      </w:rPr>
    </w:pPr>
  </w:p>
  <w:p w14:paraId="1EA3FD9E" w14:textId="77777777" w:rsidR="0096005E" w:rsidRDefault="00E409A4" w:rsidP="0096005E">
    <w:pPr>
      <w:spacing w:before="120"/>
      <w:jc w:val="center"/>
      <w:rPr>
        <w:b/>
        <w:sz w:val="24"/>
        <w:szCs w:val="24"/>
      </w:rPr>
    </w:pPr>
    <w:r w:rsidRPr="00532AC1">
      <w:rPr>
        <w:b/>
        <w:sz w:val="24"/>
        <w:szCs w:val="24"/>
      </w:rPr>
      <w:t xml:space="preserve">Submitted by </w:t>
    </w:r>
    <w:r w:rsidR="00532AC1">
      <w:rPr>
        <w:b/>
        <w:sz w:val="24"/>
        <w:szCs w:val="24"/>
      </w:rPr>
      <w:t xml:space="preserve">the </w:t>
    </w:r>
    <w:r w:rsidRPr="00532AC1">
      <w:rPr>
        <w:b/>
        <w:sz w:val="24"/>
        <w:szCs w:val="24"/>
      </w:rPr>
      <w:t>National LGBT rights organization LGL</w:t>
    </w:r>
  </w:p>
  <w:p w14:paraId="50F7CEA1" w14:textId="61E1631B" w:rsidR="00E409A4" w:rsidRPr="00532AC1" w:rsidRDefault="00E409A4" w:rsidP="0096005E">
    <w:pPr>
      <w:spacing w:before="120"/>
      <w:jc w:val="center"/>
      <w:rPr>
        <w:b/>
        <w:sz w:val="24"/>
        <w:szCs w:val="24"/>
      </w:rPr>
    </w:pPr>
    <w:r w:rsidRPr="00532AC1">
      <w:rPr>
        <w:b/>
        <w:sz w:val="24"/>
        <w:szCs w:val="24"/>
      </w:rPr>
      <w:t xml:space="preserve"> January 16, 2023</w:t>
    </w:r>
  </w:p>
  <w:p w14:paraId="2110D326" w14:textId="1D810D42" w:rsidR="00532AC1" w:rsidRDefault="00532AC1" w:rsidP="00E409A4">
    <w:pPr>
      <w:suppressAutoHyphens w:val="0"/>
      <w:ind w:left="-993" w:right="-448"/>
      <w:jc w:val="right"/>
      <w:rPr>
        <w:rFonts w:asciiTheme="minorHAnsi" w:eastAsiaTheme="minorEastAsia" w:hAnsiTheme="minorHAnsi"/>
        <w:color w:val="000000" w:themeColor="text1"/>
        <w:sz w:val="24"/>
        <w:szCs w:val="24"/>
      </w:rPr>
    </w:pPr>
  </w:p>
  <w:p w14:paraId="627FE616" w14:textId="5401D763" w:rsidR="007A486D" w:rsidRDefault="007A486D" w:rsidP="00532AC1">
    <w:pPr>
      <w:rPr>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27E4"/>
    <w:multiLevelType w:val="hybridMultilevel"/>
    <w:tmpl w:val="8494B2B0"/>
    <w:lvl w:ilvl="0" w:tplc="E3B404F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57F11B0"/>
    <w:multiLevelType w:val="hybridMultilevel"/>
    <w:tmpl w:val="0ED090C8"/>
    <w:lvl w:ilvl="0" w:tplc="504CF10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61751806"/>
    <w:multiLevelType w:val="hybridMultilevel"/>
    <w:tmpl w:val="9A229266"/>
    <w:lvl w:ilvl="0" w:tplc="E22EA9E8">
      <w:start w:val="1"/>
      <w:numFmt w:val="decimal"/>
      <w:lvlText w:val="%1."/>
      <w:lvlJc w:val="left"/>
      <w:pPr>
        <w:tabs>
          <w:tab w:val="num" w:pos="2835"/>
        </w:tabs>
        <w:ind w:left="2268" w:firstLine="0"/>
      </w:pPr>
      <w:rPr>
        <w:rFonts w:hint="default"/>
        <w:b w:val="0"/>
        <w:bCs w:val="0"/>
        <w:i w:val="0"/>
        <w:iCs w:val="0"/>
        <w:sz w:val="20"/>
        <w:szCs w:val="20"/>
      </w:rPr>
    </w:lvl>
    <w:lvl w:ilvl="1" w:tplc="04090019" w:tentative="1">
      <w:start w:val="1"/>
      <w:numFmt w:val="lowerLetter"/>
      <w:lvlText w:val="%2."/>
      <w:lvlJc w:val="left"/>
      <w:pPr>
        <w:tabs>
          <w:tab w:val="num" w:pos="2574"/>
        </w:tabs>
        <w:ind w:left="2574" w:hanging="360"/>
      </w:pPr>
    </w:lvl>
    <w:lvl w:ilvl="2" w:tplc="1C7C24AC">
      <w:start w:val="1"/>
      <w:numFmt w:val="decimal"/>
      <w:lvlText w:val="%3."/>
      <w:lvlJc w:val="left"/>
      <w:pPr>
        <w:tabs>
          <w:tab w:val="num" w:pos="3681"/>
        </w:tabs>
        <w:ind w:left="3114" w:firstLine="0"/>
      </w:pPr>
      <w:rPr>
        <w:rFonts w:hint="default"/>
        <w:b w:val="0"/>
        <w:bCs w:val="0"/>
        <w:i w:val="0"/>
        <w:iCs w:val="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EF8"/>
    <w:rsid w:val="00007D7B"/>
    <w:rsid w:val="00010852"/>
    <w:rsid w:val="00050F6B"/>
    <w:rsid w:val="0005457B"/>
    <w:rsid w:val="0006283C"/>
    <w:rsid w:val="00072C8C"/>
    <w:rsid w:val="000766DD"/>
    <w:rsid w:val="000931C0"/>
    <w:rsid w:val="000A068E"/>
    <w:rsid w:val="000B175B"/>
    <w:rsid w:val="000B3A0F"/>
    <w:rsid w:val="000B675E"/>
    <w:rsid w:val="000B74A3"/>
    <w:rsid w:val="000E0415"/>
    <w:rsid w:val="000F093E"/>
    <w:rsid w:val="00105F37"/>
    <w:rsid w:val="0012188D"/>
    <w:rsid w:val="00143A43"/>
    <w:rsid w:val="00160899"/>
    <w:rsid w:val="001722A3"/>
    <w:rsid w:val="00196411"/>
    <w:rsid w:val="001A1BD4"/>
    <w:rsid w:val="001B4B04"/>
    <w:rsid w:val="001C3948"/>
    <w:rsid w:val="001C6663"/>
    <w:rsid w:val="001C7895"/>
    <w:rsid w:val="001D1FB6"/>
    <w:rsid w:val="001D26DF"/>
    <w:rsid w:val="001D4EF8"/>
    <w:rsid w:val="001F1320"/>
    <w:rsid w:val="001F3AED"/>
    <w:rsid w:val="00211E0B"/>
    <w:rsid w:val="00236220"/>
    <w:rsid w:val="00257434"/>
    <w:rsid w:val="002A1D21"/>
    <w:rsid w:val="002D4629"/>
    <w:rsid w:val="003107FA"/>
    <w:rsid w:val="00320723"/>
    <w:rsid w:val="003229D8"/>
    <w:rsid w:val="003312A5"/>
    <w:rsid w:val="0033745A"/>
    <w:rsid w:val="00337477"/>
    <w:rsid w:val="0039277A"/>
    <w:rsid w:val="003972E0"/>
    <w:rsid w:val="003A2C52"/>
    <w:rsid w:val="003A6806"/>
    <w:rsid w:val="003C2CC4"/>
    <w:rsid w:val="003D01A4"/>
    <w:rsid w:val="003D4B23"/>
    <w:rsid w:val="003D51A3"/>
    <w:rsid w:val="003D5C18"/>
    <w:rsid w:val="003D6986"/>
    <w:rsid w:val="003E30A6"/>
    <w:rsid w:val="004325CB"/>
    <w:rsid w:val="00442210"/>
    <w:rsid w:val="00446DE4"/>
    <w:rsid w:val="00471D76"/>
    <w:rsid w:val="004A41CA"/>
    <w:rsid w:val="004A4510"/>
    <w:rsid w:val="004D456A"/>
    <w:rsid w:val="004F03B7"/>
    <w:rsid w:val="00503228"/>
    <w:rsid w:val="00505384"/>
    <w:rsid w:val="005258BB"/>
    <w:rsid w:val="00532AC1"/>
    <w:rsid w:val="005420F2"/>
    <w:rsid w:val="005A5262"/>
    <w:rsid w:val="005B3DB3"/>
    <w:rsid w:val="005C316C"/>
    <w:rsid w:val="005E3984"/>
    <w:rsid w:val="00611FC4"/>
    <w:rsid w:val="006176FB"/>
    <w:rsid w:val="00627ED0"/>
    <w:rsid w:val="00640B26"/>
    <w:rsid w:val="00665595"/>
    <w:rsid w:val="006810D3"/>
    <w:rsid w:val="006908F0"/>
    <w:rsid w:val="006A26B4"/>
    <w:rsid w:val="006A6779"/>
    <w:rsid w:val="006A7392"/>
    <w:rsid w:val="006C3887"/>
    <w:rsid w:val="006E39E2"/>
    <w:rsid w:val="006E564B"/>
    <w:rsid w:val="00721DEA"/>
    <w:rsid w:val="0072632A"/>
    <w:rsid w:val="007369EB"/>
    <w:rsid w:val="00775CD2"/>
    <w:rsid w:val="00782B24"/>
    <w:rsid w:val="00794553"/>
    <w:rsid w:val="0079596A"/>
    <w:rsid w:val="007A486D"/>
    <w:rsid w:val="007A68A7"/>
    <w:rsid w:val="007B6BA5"/>
    <w:rsid w:val="007C3390"/>
    <w:rsid w:val="007C4F4B"/>
    <w:rsid w:val="007D7895"/>
    <w:rsid w:val="007F0B83"/>
    <w:rsid w:val="007F6611"/>
    <w:rsid w:val="00803E78"/>
    <w:rsid w:val="008175E9"/>
    <w:rsid w:val="008242D7"/>
    <w:rsid w:val="008311A3"/>
    <w:rsid w:val="008403A9"/>
    <w:rsid w:val="00861F97"/>
    <w:rsid w:val="00865556"/>
    <w:rsid w:val="00871FD5"/>
    <w:rsid w:val="00883FBD"/>
    <w:rsid w:val="008979B1"/>
    <w:rsid w:val="008A6B25"/>
    <w:rsid w:val="008A6C4F"/>
    <w:rsid w:val="008E0E46"/>
    <w:rsid w:val="008E1E32"/>
    <w:rsid w:val="00907AD2"/>
    <w:rsid w:val="009428B6"/>
    <w:rsid w:val="0096005E"/>
    <w:rsid w:val="00963CBA"/>
    <w:rsid w:val="00972FA8"/>
    <w:rsid w:val="00974A8D"/>
    <w:rsid w:val="009773F1"/>
    <w:rsid w:val="00991261"/>
    <w:rsid w:val="009F3A17"/>
    <w:rsid w:val="00A1427D"/>
    <w:rsid w:val="00A341C9"/>
    <w:rsid w:val="00A37D4B"/>
    <w:rsid w:val="00A43A48"/>
    <w:rsid w:val="00A46CFA"/>
    <w:rsid w:val="00A52110"/>
    <w:rsid w:val="00A658EA"/>
    <w:rsid w:val="00A72F22"/>
    <w:rsid w:val="00A748A6"/>
    <w:rsid w:val="00A841D9"/>
    <w:rsid w:val="00A879A4"/>
    <w:rsid w:val="00AC145F"/>
    <w:rsid w:val="00AC3CB4"/>
    <w:rsid w:val="00AD585C"/>
    <w:rsid w:val="00AE2CE0"/>
    <w:rsid w:val="00AF2AE4"/>
    <w:rsid w:val="00AF2B61"/>
    <w:rsid w:val="00B30179"/>
    <w:rsid w:val="00B33EC0"/>
    <w:rsid w:val="00B65161"/>
    <w:rsid w:val="00B81E12"/>
    <w:rsid w:val="00B9140A"/>
    <w:rsid w:val="00BA3A38"/>
    <w:rsid w:val="00BC74E9"/>
    <w:rsid w:val="00BE44B6"/>
    <w:rsid w:val="00BE4F74"/>
    <w:rsid w:val="00BE618E"/>
    <w:rsid w:val="00C17699"/>
    <w:rsid w:val="00C463DD"/>
    <w:rsid w:val="00C745C3"/>
    <w:rsid w:val="00C97FEC"/>
    <w:rsid w:val="00CE4A8F"/>
    <w:rsid w:val="00D0119B"/>
    <w:rsid w:val="00D025F2"/>
    <w:rsid w:val="00D02937"/>
    <w:rsid w:val="00D041A7"/>
    <w:rsid w:val="00D2031B"/>
    <w:rsid w:val="00D25FE2"/>
    <w:rsid w:val="00D317BB"/>
    <w:rsid w:val="00D43252"/>
    <w:rsid w:val="00D978C6"/>
    <w:rsid w:val="00DA5512"/>
    <w:rsid w:val="00DA67AD"/>
    <w:rsid w:val="00DB5D0F"/>
    <w:rsid w:val="00DC5F89"/>
    <w:rsid w:val="00DE232D"/>
    <w:rsid w:val="00DF0F82"/>
    <w:rsid w:val="00DF12F7"/>
    <w:rsid w:val="00E02C81"/>
    <w:rsid w:val="00E130AB"/>
    <w:rsid w:val="00E1514B"/>
    <w:rsid w:val="00E3517E"/>
    <w:rsid w:val="00E409A4"/>
    <w:rsid w:val="00E4219A"/>
    <w:rsid w:val="00E44FFD"/>
    <w:rsid w:val="00E7260F"/>
    <w:rsid w:val="00E74A27"/>
    <w:rsid w:val="00E87921"/>
    <w:rsid w:val="00E96630"/>
    <w:rsid w:val="00ED7A2A"/>
    <w:rsid w:val="00EF1D7F"/>
    <w:rsid w:val="00F0697A"/>
    <w:rsid w:val="00F20223"/>
    <w:rsid w:val="00F21585"/>
    <w:rsid w:val="00F52FBC"/>
    <w:rsid w:val="00F53EDA"/>
    <w:rsid w:val="00F575F4"/>
    <w:rsid w:val="00F62E28"/>
    <w:rsid w:val="00F7141A"/>
    <w:rsid w:val="00F76845"/>
    <w:rsid w:val="00F7753D"/>
    <w:rsid w:val="00F80EB9"/>
    <w:rsid w:val="00F83AC1"/>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754FD"/>
  <w15:docId w15:val="{2B5D0147-ED64-48E9-9A9E-5E7EB2F2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BalloonText">
    <w:name w:val="Balloon Text"/>
    <w:basedOn w:val="Normal"/>
    <w:link w:val="BalloonTextChar"/>
    <w:semiHidden/>
    <w:unhideWhenUsed/>
    <w:rsid w:val="002362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36220"/>
    <w:rPr>
      <w:rFonts w:ascii="Segoe UI" w:hAnsi="Segoe UI" w:cs="Segoe UI"/>
      <w:sz w:val="18"/>
      <w:szCs w:val="18"/>
      <w:lang w:val="en-GB" w:eastAsia="en-US"/>
    </w:rPr>
  </w:style>
  <w:style w:type="character" w:customStyle="1" w:styleId="SingleTxtGChar">
    <w:name w:val="_ Single Txt_G Char"/>
    <w:link w:val="SingleTxtG"/>
    <w:locked/>
    <w:rsid w:val="00532AC1"/>
    <w:rPr>
      <w:lang w:val="en-GB" w:eastAsia="en-US"/>
    </w:rPr>
  </w:style>
  <w:style w:type="character" w:customStyle="1" w:styleId="FootnoteTextChar">
    <w:name w:val="Footnote Text Char"/>
    <w:aliases w:val="5_G Char"/>
    <w:basedOn w:val="DefaultParagraphFont"/>
    <w:link w:val="FootnoteText"/>
    <w:uiPriority w:val="99"/>
    <w:rsid w:val="003D51A3"/>
    <w:rPr>
      <w:sz w:val="18"/>
      <w:lang w:val="en-GB" w:eastAsia="en-US"/>
    </w:rPr>
  </w:style>
  <w:style w:type="character" w:customStyle="1" w:styleId="Neapdorotaspaminjimas1">
    <w:name w:val="Neapdorotas paminėjimas1"/>
    <w:basedOn w:val="DefaultParagraphFont"/>
    <w:uiPriority w:val="99"/>
    <w:semiHidden/>
    <w:unhideWhenUsed/>
    <w:rsid w:val="00471D76"/>
    <w:rPr>
      <w:color w:val="605E5C"/>
      <w:shd w:val="clear" w:color="auto" w:fill="E1DFDD"/>
    </w:rPr>
  </w:style>
  <w:style w:type="character" w:styleId="Strong">
    <w:name w:val="Strong"/>
    <w:basedOn w:val="DefaultParagraphFont"/>
    <w:uiPriority w:val="22"/>
    <w:qFormat/>
    <w:rsid w:val="006A26B4"/>
    <w:rPr>
      <w:b/>
      <w:bCs/>
    </w:rPr>
  </w:style>
  <w:style w:type="paragraph" w:customStyle="1" w:styleId="Default">
    <w:name w:val="Default"/>
    <w:rsid w:val="00C97FEC"/>
    <w:pPr>
      <w:autoSpaceDE w:val="0"/>
      <w:autoSpaceDN w:val="0"/>
      <w:adjustRightInd w:val="0"/>
    </w:pPr>
    <w:rPr>
      <w:rFonts w:ascii="Calibri" w:eastAsiaTheme="minorHAnsi" w:hAnsi="Calibri" w:cs="Calibri"/>
      <w:color w:val="000000"/>
      <w:sz w:val="24"/>
      <w:szCs w:val="24"/>
      <w:lang w:val="en-US" w:eastAsia="en-US"/>
    </w:rPr>
  </w:style>
  <w:style w:type="character" w:styleId="CommentReference">
    <w:name w:val="annotation reference"/>
    <w:basedOn w:val="DefaultParagraphFont"/>
    <w:uiPriority w:val="99"/>
    <w:semiHidden/>
    <w:unhideWhenUsed/>
    <w:rsid w:val="00C97FEC"/>
    <w:rPr>
      <w:sz w:val="18"/>
      <w:szCs w:val="18"/>
    </w:rPr>
  </w:style>
  <w:style w:type="paragraph" w:styleId="CommentText">
    <w:name w:val="annotation text"/>
    <w:basedOn w:val="Normal"/>
    <w:link w:val="CommentTextChar"/>
    <w:uiPriority w:val="99"/>
    <w:semiHidden/>
    <w:unhideWhenUsed/>
    <w:rsid w:val="00C97FEC"/>
    <w:pPr>
      <w:spacing w:line="240" w:lineRule="auto"/>
    </w:pPr>
    <w:rPr>
      <w:rFonts w:ascii="Calibri" w:eastAsia="Calibri" w:hAnsi="Calibri"/>
      <w:sz w:val="24"/>
      <w:szCs w:val="24"/>
    </w:rPr>
  </w:style>
  <w:style w:type="character" w:customStyle="1" w:styleId="CommentTextChar">
    <w:name w:val="Comment Text Char"/>
    <w:basedOn w:val="DefaultParagraphFont"/>
    <w:link w:val="CommentText"/>
    <w:uiPriority w:val="99"/>
    <w:semiHidden/>
    <w:rsid w:val="00C97FEC"/>
    <w:rPr>
      <w:rFonts w:ascii="Calibri" w:eastAsia="Calibri" w:hAnsi="Calibri"/>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327470">
      <w:bodyDiv w:val="1"/>
      <w:marLeft w:val="0"/>
      <w:marRight w:val="0"/>
      <w:marTop w:val="0"/>
      <w:marBottom w:val="0"/>
      <w:divBdr>
        <w:top w:val="none" w:sz="0" w:space="0" w:color="auto"/>
        <w:left w:val="none" w:sz="0" w:space="0" w:color="auto"/>
        <w:bottom w:val="none" w:sz="0" w:space="0" w:color="auto"/>
        <w:right w:val="none" w:sz="0" w:space="0" w:color="auto"/>
      </w:divBdr>
    </w:div>
    <w:div w:id="170813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tar.lt/portal/lt/legalAct/24f6571000e811ed8fa7d02a65c371ad" TargetMode="External"/><Relationship Id="rId18" Type="http://schemas.openxmlformats.org/officeDocument/2006/relationships/hyperlink" Target="https://iq.alfa.lt/advokatas/s-rudenaite-spaudimas-teisejams-del-migrantu-yra-labai-didelis/241297"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tgeu.org/lithuania-releases-protocol-on-trans-specific-healthcare/" TargetMode="External"/><Relationship Id="rId17" Type="http://schemas.openxmlformats.org/officeDocument/2006/relationships/hyperlink" Target="https://www.lgl.lt/en/?p=1998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rt.lt/en/news-in-english/19/1461010/court-orders-kaunas-authorities-to-permit-lgbt-march" TargetMode="External"/><Relationship Id="rId20" Type="http://schemas.openxmlformats.org/officeDocument/2006/relationships/hyperlink" Target="mailto:monika@gay.l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ra.europa.eu/en/data-and-maps/2020/lgbti-survey-data-explore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rt.lt/en/news-in-english/19/1428963/lithuania-s-kaunas-denies-permission-to-hold-gay-pride-march"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lrt.lt/naujienos/lietuvoje/2/1560252/migracijos-departamento-vadove-ginasi-del-lgbt-asmenu-prieglobscio-proceduru-homoseksualiu-populiaru-apsimest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eimas.lrs.lt/portal/legalAct/lt/TAP/652fea40c13111ec9f0095b4d96fd400."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24f6571000e811ed8fa7d02a65c371ad" TargetMode="External"/><Relationship Id="rId2" Type="http://schemas.openxmlformats.org/officeDocument/2006/relationships/hyperlink" Target="https://e-seimas.lrs.lt/portal/legalAct/lt/TAD/de5a27006a7911ecb2fe9975f8a9e52e?positionInSearchResults=8&amp;searchModelUUID=e207a152-bb76-44f4-b2f2-624d436e8a2b" TargetMode="External"/><Relationship Id="rId1" Type="http://schemas.openxmlformats.org/officeDocument/2006/relationships/hyperlink" Target="https://www.ohchr.org/en/calls-for-input/reports/2018/report-legal-recognition-gender-identity-and-depathologiza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0F06A8-1D0E-482C-993F-019A954A5FD0}">
  <ds:schemaRefs>
    <ds:schemaRef ds:uri="http://schemas.microsoft.com/sharepoint/v3/contenttype/forms"/>
  </ds:schemaRefs>
</ds:datastoreItem>
</file>

<file path=customXml/itemProps2.xml><?xml version="1.0" encoding="utf-8"?>
<ds:datastoreItem xmlns:ds="http://schemas.openxmlformats.org/officeDocument/2006/customXml" ds:itemID="{0F08B879-ED83-4FDF-9E95-2FF0A0A01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165D5F-F799-41BD-8B33-A41148A1A51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4A6ACCD-B2A8-46C2-8827-76D64EC04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PlainPage_E.dotm</Template>
  <TotalTime>1</TotalTime>
  <Pages>4</Pages>
  <Words>1790</Words>
  <Characters>10206</Characters>
  <Application>Microsoft Office Word</Application>
  <DocSecurity>0</DocSecurity>
  <Lines>85</Lines>
  <Paragraphs>23</Paragraphs>
  <ScaleCrop>false</ScaleCrop>
  <HeadingPairs>
    <vt:vector size="6" baseType="variant">
      <vt:variant>
        <vt:lpstr>Title</vt:lpstr>
      </vt:variant>
      <vt:variant>
        <vt:i4>1</vt:i4>
      </vt:variant>
      <vt:variant>
        <vt:lpstr>Pavadinimas</vt:lpstr>
      </vt:variant>
      <vt:variant>
        <vt:i4>1</vt:i4>
      </vt:variant>
      <vt:variant>
        <vt:lpstr>Titre</vt:lpstr>
      </vt:variant>
      <vt:variant>
        <vt:i4>1</vt:i4>
      </vt:variant>
    </vt:vector>
  </HeadingPairs>
  <TitlesOfParts>
    <vt:vector size="3" baseType="lpstr">
      <vt:lpstr>xxxx/x/xx/xx</vt:lpstr>
      <vt:lpstr>xxxx/x/xx/xx</vt:lpstr>
      <vt:lpstr/>
    </vt:vector>
  </TitlesOfParts>
  <Company>CSD</Company>
  <LinksUpToDate>false</LinksUpToDate>
  <CharactersWithSpaces>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xxxx/x/xx/xx</dc:title>
  <dc:creator>CAILLOT Lucille</dc:creator>
  <cp:lastModifiedBy>Celine Reynaud</cp:lastModifiedBy>
  <cp:revision>2</cp:revision>
  <cp:lastPrinted>2019-06-03T13:17:00Z</cp:lastPrinted>
  <dcterms:created xsi:type="dcterms:W3CDTF">2023-01-17T09:27:00Z</dcterms:created>
  <dcterms:modified xsi:type="dcterms:W3CDTF">2023-01-17T09:27:00Z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GrammarlyDocumentId">
    <vt:lpwstr>d82e0bd5f8336197a6bb10d3120f041725bb7de3df2d9cfe1b0e2798c747eda7</vt:lpwstr>
  </property>
</Properties>
</file>