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D13B7" w14:textId="3984BB58" w:rsidR="00071232" w:rsidRPr="00211517" w:rsidRDefault="00071232" w:rsidP="00007E01">
      <w:pPr>
        <w:pStyle w:val="Title"/>
        <w:spacing w:line="240" w:lineRule="auto"/>
      </w:pPr>
      <w:r w:rsidRPr="00071232">
        <w:t>Position of the Lithuanian Disability Forum (LDF) on the Implementation of the Rights of Women with Disabilities in Lithuania under the United Nations Convention on the Elimination of All Forms of Discrimination against Women (CEDAW)</w:t>
      </w:r>
    </w:p>
    <w:p w14:paraId="39563ABA" w14:textId="65457DE0" w:rsidR="00FA777B" w:rsidRPr="00071232" w:rsidRDefault="00303113" w:rsidP="00007E01">
      <w:pPr>
        <w:spacing w:line="240" w:lineRule="auto"/>
      </w:pPr>
      <w:r w:rsidRPr="00071232">
        <w:t>The Lithuanian Disability Forum (LDF) brings together 1</w:t>
      </w:r>
      <w:r w:rsidR="00BB56F4" w:rsidRPr="00071232">
        <w:t>9</w:t>
      </w:r>
      <w:r w:rsidRPr="00071232">
        <w:t xml:space="preserve"> organi</w:t>
      </w:r>
      <w:r w:rsidR="007C7A10" w:rsidRPr="00071232">
        <w:t>z</w:t>
      </w:r>
      <w:r w:rsidRPr="00071232">
        <w:t xml:space="preserve">ations that collectively represent the interests of around 300,000 people with disabilities, their families, and people with disabilities. </w:t>
      </w:r>
      <w:r w:rsidR="005D5615" w:rsidRPr="00071232">
        <w:t>The information presented is drawn from research conducted by the Women with Disabilities Committee of the Lithuanian Disability Forum and publicly available data.</w:t>
      </w:r>
    </w:p>
    <w:p w14:paraId="731C2E9B" w14:textId="77777777" w:rsidR="00AF1D98" w:rsidRPr="00071232" w:rsidRDefault="00AF1D98" w:rsidP="00007E01">
      <w:pPr>
        <w:spacing w:line="240" w:lineRule="auto"/>
      </w:pPr>
    </w:p>
    <w:p w14:paraId="34B1AC7E" w14:textId="620C263D" w:rsidR="00071232" w:rsidRDefault="00303113" w:rsidP="00007E01">
      <w:pPr>
        <w:spacing w:line="240" w:lineRule="auto"/>
      </w:pPr>
      <w:r w:rsidRPr="00071232">
        <w:t>Since 2021, the Association has formed a Committee for Women with Disabilities. It includes women with disabilities from various organizations and the L</w:t>
      </w:r>
      <w:r w:rsidR="00E127E9" w:rsidRPr="00071232">
        <w:t>DF</w:t>
      </w:r>
      <w:r w:rsidRPr="00071232">
        <w:t xml:space="preserve"> Secretariat. This is the only body in Lithuania focused solely on the intersection of gender and disability, and it is led by women with disabilities themselves. </w:t>
      </w:r>
    </w:p>
    <w:p w14:paraId="232B97D6" w14:textId="77777777" w:rsidR="00007E01" w:rsidRDefault="00007E01" w:rsidP="00007E01">
      <w:pPr>
        <w:spacing w:line="240" w:lineRule="auto"/>
      </w:pPr>
    </w:p>
    <w:p w14:paraId="2C443892" w14:textId="77777777" w:rsidR="00071232" w:rsidRPr="00071232" w:rsidRDefault="00071232" w:rsidP="00007E01">
      <w:pPr>
        <w:spacing w:line="240" w:lineRule="auto"/>
      </w:pPr>
      <w:r w:rsidRPr="00071232">
        <w:t>Text of the report drafted by:</w:t>
      </w:r>
    </w:p>
    <w:p w14:paraId="503AF402" w14:textId="04C91E37" w:rsidR="00071232" w:rsidRDefault="00071232" w:rsidP="00007E01">
      <w:pPr>
        <w:spacing w:line="240" w:lineRule="auto"/>
        <w:rPr>
          <w:lang w:val="lt-LT"/>
        </w:rPr>
      </w:pPr>
      <w:r w:rsidRPr="00071232">
        <w:t xml:space="preserve">Simona </w:t>
      </w:r>
      <w:proofErr w:type="spellStart"/>
      <w:r w:rsidRPr="00071232">
        <w:t>Aginskaitė</w:t>
      </w:r>
      <w:proofErr w:type="spellEnd"/>
      <w:r w:rsidRPr="00071232">
        <w:t xml:space="preserve">, </w:t>
      </w:r>
      <w:proofErr w:type="spellStart"/>
      <w:r w:rsidRPr="00071232">
        <w:t>Dovilė</w:t>
      </w:r>
      <w:proofErr w:type="spellEnd"/>
      <w:r w:rsidRPr="00071232">
        <w:t xml:space="preserve"> Juodkaitė, Kornelija </w:t>
      </w:r>
      <w:proofErr w:type="spellStart"/>
      <w:r w:rsidRPr="00071232">
        <w:t>Krutulyt</w:t>
      </w:r>
      <w:proofErr w:type="spellEnd"/>
      <w:r w:rsidRPr="00071232">
        <w:rPr>
          <w:lang w:val="lt-LT"/>
        </w:rPr>
        <w:t>ė</w:t>
      </w:r>
    </w:p>
    <w:p w14:paraId="162E404B" w14:textId="77777777" w:rsidR="00007E01" w:rsidRPr="00071232" w:rsidRDefault="00007E01" w:rsidP="00007E01">
      <w:pPr>
        <w:spacing w:line="240" w:lineRule="auto"/>
        <w:rPr>
          <w:lang w:val="lt-LT"/>
        </w:rPr>
      </w:pPr>
    </w:p>
    <w:p w14:paraId="7CBDE541" w14:textId="6406FA68" w:rsidR="00007E01" w:rsidRDefault="00007E01" w:rsidP="00007E01">
      <w:pPr>
        <w:spacing w:line="240" w:lineRule="auto"/>
      </w:pPr>
      <w:r>
        <w:t>As LDF is an association we present the list of member organizations contributed to the preparation of the report:</w:t>
      </w:r>
      <w:r w:rsidRPr="005144BF">
        <w:t xml:space="preserve"> </w:t>
      </w:r>
    </w:p>
    <w:p w14:paraId="655247A9" w14:textId="77777777" w:rsidR="00007E01" w:rsidRDefault="00007E01" w:rsidP="00007E01">
      <w:pPr>
        <w:spacing w:line="240" w:lineRule="auto"/>
      </w:pPr>
    </w:p>
    <w:p w14:paraId="1C10E933" w14:textId="77777777" w:rsidR="00007E01" w:rsidRPr="005144BF" w:rsidRDefault="00007E01" w:rsidP="00007E01">
      <w:pPr>
        <w:spacing w:line="240" w:lineRule="auto"/>
      </w:pPr>
      <w:r w:rsidRPr="005144BF">
        <w:t>Lithuanian Union of the Blind and Visually Impaired</w:t>
      </w:r>
    </w:p>
    <w:p w14:paraId="4FCF034C" w14:textId="77777777" w:rsidR="00007E01" w:rsidRPr="005144BF" w:rsidRDefault="00007E01" w:rsidP="00007E01">
      <w:pPr>
        <w:spacing w:line="240" w:lineRule="auto"/>
      </w:pPr>
      <w:r w:rsidRPr="005144BF">
        <w:t>Lithuanian Association of the Deaf</w:t>
      </w:r>
    </w:p>
    <w:p w14:paraId="53BE562C" w14:textId="77777777" w:rsidR="00007E01" w:rsidRPr="005144BF" w:rsidRDefault="00007E01" w:rsidP="00007E01">
      <w:pPr>
        <w:spacing w:line="240" w:lineRule="auto"/>
      </w:pPr>
      <w:r w:rsidRPr="005144BF">
        <w:t>Mental Health Perspectives (Public Institution)</w:t>
      </w:r>
    </w:p>
    <w:p w14:paraId="47FCAE79" w14:textId="77777777" w:rsidR="00007E01" w:rsidRPr="005144BF" w:rsidRDefault="00007E01" w:rsidP="00007E01">
      <w:pPr>
        <w:spacing w:line="240" w:lineRule="auto"/>
      </w:pPr>
      <w:r w:rsidRPr="005144BF">
        <w:t>Lithuanian Community for the Care of People with Intellectual Disabilities VILTIS</w:t>
      </w:r>
    </w:p>
    <w:p w14:paraId="43BE45A7" w14:textId="77777777" w:rsidR="00007E01" w:rsidRPr="005144BF" w:rsidRDefault="00007E01" w:rsidP="00007E01">
      <w:pPr>
        <w:spacing w:line="240" w:lineRule="auto"/>
      </w:pPr>
      <w:r w:rsidRPr="005144BF">
        <w:t>Lithuanian Union of People with Disabilities</w:t>
      </w:r>
    </w:p>
    <w:p w14:paraId="7582EE82" w14:textId="77777777" w:rsidR="00007E01" w:rsidRPr="005144BF" w:rsidRDefault="00007E01" w:rsidP="00007E01">
      <w:pPr>
        <w:spacing w:line="240" w:lineRule="auto"/>
      </w:pPr>
      <w:r w:rsidRPr="005144BF">
        <w:t>Lithuanian Paraplegics Association</w:t>
      </w:r>
    </w:p>
    <w:p w14:paraId="44EE9A51" w14:textId="28323438" w:rsidR="00007E01" w:rsidRPr="005144BF" w:rsidRDefault="00007E01" w:rsidP="00007E01">
      <w:pPr>
        <w:spacing w:line="240" w:lineRule="auto"/>
      </w:pPr>
      <w:r w:rsidRPr="005144BF">
        <w:t>Lithuanian Autism Association Rain Children</w:t>
      </w:r>
    </w:p>
    <w:p w14:paraId="0723CC74" w14:textId="77777777" w:rsidR="00007E01" w:rsidRPr="00071232" w:rsidRDefault="00007E01" w:rsidP="00007E01">
      <w:pPr>
        <w:spacing w:line="240" w:lineRule="auto"/>
      </w:pPr>
    </w:p>
    <w:p w14:paraId="03672CE6" w14:textId="77777777" w:rsidR="00007E01" w:rsidRDefault="00007E01" w:rsidP="00007E01">
      <w:pPr>
        <w:spacing w:line="240" w:lineRule="auto"/>
      </w:pPr>
      <w:r w:rsidRPr="00071232">
        <w:t xml:space="preserve">The shadow report has been prepared and financed by the Ministry of Social Security and Labor under the </w:t>
      </w:r>
      <w:proofErr w:type="spellStart"/>
      <w:r w:rsidRPr="00071232">
        <w:t>Program</w:t>
      </w:r>
      <w:r>
        <w:t>me</w:t>
      </w:r>
      <w:proofErr w:type="spellEnd"/>
      <w:r w:rsidRPr="00071232">
        <w:t xml:space="preserve"> for Institutional Strengthening of Associations of Non-Governmental Organizations for the period 2025-2026 under the project "Strong Disability Umbrella - Strong Advocacy".</w:t>
      </w:r>
    </w:p>
    <w:p w14:paraId="524AB77C" w14:textId="77777777" w:rsidR="005D5615" w:rsidRDefault="005D5615" w:rsidP="004525FD"/>
    <w:p w14:paraId="4E5509DE" w14:textId="0C21BFD9" w:rsidR="005D5615" w:rsidRPr="00071232" w:rsidRDefault="005D5615" w:rsidP="004525FD">
      <w:pPr>
        <w:rPr>
          <w:color w:val="383D41"/>
        </w:rPr>
      </w:pPr>
    </w:p>
    <w:p w14:paraId="75FE9F15" w14:textId="5FF95E2F" w:rsidR="00303113" w:rsidRPr="00071232" w:rsidRDefault="00BB56F4" w:rsidP="004525FD">
      <w:r w:rsidRPr="00071232">
        <w:rPr>
          <w:noProof/>
          <w:lang w:eastAsia="en-US"/>
          <w14:ligatures w14:val="standardContextual"/>
        </w:rPr>
        <w:drawing>
          <wp:inline distT="0" distB="0" distL="0" distR="0" wp14:anchorId="20B6125F" wp14:editId="2B3B4230">
            <wp:extent cx="2933065" cy="713931"/>
            <wp:effectExtent l="0" t="0" r="635" b="0"/>
            <wp:docPr id="1453808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0885" name="Picture 1453808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89445" cy="751995"/>
                    </a:xfrm>
                    <a:prstGeom prst="rect">
                      <a:avLst/>
                    </a:prstGeom>
                  </pic:spPr>
                </pic:pic>
              </a:graphicData>
            </a:graphic>
          </wp:inline>
        </w:drawing>
      </w:r>
      <w:r w:rsidR="00303113" w:rsidRPr="00071232">
        <w:t xml:space="preserve">       </w:t>
      </w:r>
      <w:r w:rsidRPr="00071232">
        <w:rPr>
          <w:noProof/>
          <w14:ligatures w14:val="standardContextual"/>
        </w:rPr>
        <w:drawing>
          <wp:inline distT="0" distB="0" distL="0" distR="0" wp14:anchorId="7B2FD6B6" wp14:editId="7B7E7933">
            <wp:extent cx="2546252" cy="965052"/>
            <wp:effectExtent l="0" t="0" r="0" b="0"/>
            <wp:docPr id="6066116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611636" name="Picture 606611636"/>
                    <pic:cNvPicPr/>
                  </pic:nvPicPr>
                  <pic:blipFill>
                    <a:blip r:embed="rId9"/>
                    <a:stretch>
                      <a:fillRect/>
                    </a:stretch>
                  </pic:blipFill>
                  <pic:spPr>
                    <a:xfrm>
                      <a:off x="0" y="0"/>
                      <a:ext cx="2601447" cy="985972"/>
                    </a:xfrm>
                    <a:prstGeom prst="rect">
                      <a:avLst/>
                    </a:prstGeom>
                  </pic:spPr>
                </pic:pic>
              </a:graphicData>
            </a:graphic>
          </wp:inline>
        </w:drawing>
      </w:r>
    </w:p>
    <w:p w14:paraId="2AE156F0" w14:textId="77777777" w:rsidR="00BB56F4" w:rsidRDefault="00BB56F4" w:rsidP="004525FD"/>
    <w:p w14:paraId="250F9813" w14:textId="73B90916" w:rsidR="00071232" w:rsidRPr="00071232" w:rsidRDefault="00071232" w:rsidP="001A377C">
      <w:pPr>
        <w:jc w:val="right"/>
      </w:pPr>
      <w:r>
        <w:t>Vilnius, 2025 12 29</w:t>
      </w:r>
    </w:p>
    <w:sdt>
      <w:sdtPr>
        <w:rPr>
          <w:rFonts w:asciiTheme="minorHAnsi" w:eastAsia="Times New Roman" w:hAnsiTheme="minorHAnsi" w:cstheme="minorHAnsi"/>
          <w:b w:val="0"/>
          <w:bCs w:val="0"/>
          <w:color w:val="auto"/>
          <w:sz w:val="24"/>
          <w:szCs w:val="24"/>
          <w:lang w:eastAsia="en-GB"/>
        </w:rPr>
        <w:id w:val="-827208804"/>
        <w:docPartObj>
          <w:docPartGallery w:val="Table of Contents"/>
          <w:docPartUnique/>
        </w:docPartObj>
      </w:sdtPr>
      <w:sdtEndPr>
        <w:rPr>
          <w:noProof/>
        </w:rPr>
      </w:sdtEndPr>
      <w:sdtContent>
        <w:p w14:paraId="4429D546" w14:textId="3298D61C" w:rsidR="0090240C" w:rsidRPr="000B7D77" w:rsidRDefault="0090240C">
          <w:pPr>
            <w:pStyle w:val="TOCHeading"/>
            <w:rPr>
              <w:rFonts w:asciiTheme="minorHAnsi" w:hAnsiTheme="minorHAnsi" w:cstheme="minorHAnsi"/>
              <w:sz w:val="24"/>
              <w:szCs w:val="24"/>
            </w:rPr>
          </w:pPr>
          <w:r w:rsidRPr="000B7D77">
            <w:rPr>
              <w:rFonts w:asciiTheme="minorHAnsi" w:hAnsiTheme="minorHAnsi" w:cstheme="minorHAnsi"/>
              <w:sz w:val="24"/>
              <w:szCs w:val="24"/>
            </w:rPr>
            <w:t>Table of Content</w:t>
          </w:r>
        </w:p>
        <w:p w14:paraId="179D267B" w14:textId="5050E51F" w:rsidR="000B7D77" w:rsidRPr="000B7D77" w:rsidRDefault="0090240C">
          <w:pPr>
            <w:pStyle w:val="TOC1"/>
            <w:tabs>
              <w:tab w:val="right" w:leader="dot" w:pos="9016"/>
            </w:tabs>
            <w:rPr>
              <w:rFonts w:eastAsiaTheme="minorEastAsia"/>
              <w:i w:val="0"/>
              <w:iCs w:val="0"/>
              <w:noProof/>
              <w:kern w:val="2"/>
              <w:lang/>
              <w14:ligatures w14:val="standardContextual"/>
            </w:rPr>
          </w:pPr>
          <w:r w:rsidRPr="000B7D77">
            <w:fldChar w:fldCharType="begin"/>
          </w:r>
          <w:r w:rsidRPr="000B7D77">
            <w:instrText xml:space="preserve"> TOC \o "1-3" \h \z \u </w:instrText>
          </w:r>
          <w:r w:rsidRPr="000B7D77">
            <w:fldChar w:fldCharType="separate"/>
          </w:r>
          <w:hyperlink w:anchor="_Toc217829519" w:history="1">
            <w:r w:rsidR="000B7D77" w:rsidRPr="000B7D77">
              <w:rPr>
                <w:rStyle w:val="Hyperlink"/>
                <w:rFonts w:asciiTheme="minorHAnsi" w:hAnsiTheme="minorHAnsi" w:cstheme="minorHAnsi"/>
                <w:noProof/>
              </w:rPr>
              <w:t>Introduction</w:t>
            </w:r>
            <w:r w:rsidR="000B7D77" w:rsidRPr="000B7D77">
              <w:rPr>
                <w:noProof/>
                <w:webHidden/>
              </w:rPr>
              <w:tab/>
            </w:r>
            <w:r w:rsidR="000B7D77" w:rsidRPr="000B7D77">
              <w:rPr>
                <w:noProof/>
                <w:webHidden/>
              </w:rPr>
              <w:fldChar w:fldCharType="begin"/>
            </w:r>
            <w:r w:rsidR="000B7D77" w:rsidRPr="000B7D77">
              <w:rPr>
                <w:noProof/>
                <w:webHidden/>
              </w:rPr>
              <w:instrText xml:space="preserve"> PAGEREF _Toc217829519 \h </w:instrText>
            </w:r>
            <w:r w:rsidR="000B7D77" w:rsidRPr="000B7D77">
              <w:rPr>
                <w:noProof/>
                <w:webHidden/>
              </w:rPr>
            </w:r>
            <w:r w:rsidR="000B7D77" w:rsidRPr="000B7D77">
              <w:rPr>
                <w:noProof/>
                <w:webHidden/>
              </w:rPr>
              <w:fldChar w:fldCharType="separate"/>
            </w:r>
            <w:r w:rsidR="000B7D77" w:rsidRPr="000B7D77">
              <w:rPr>
                <w:noProof/>
                <w:webHidden/>
              </w:rPr>
              <w:t>2</w:t>
            </w:r>
            <w:r w:rsidR="000B7D77" w:rsidRPr="000B7D77">
              <w:rPr>
                <w:noProof/>
                <w:webHidden/>
              </w:rPr>
              <w:fldChar w:fldCharType="end"/>
            </w:r>
          </w:hyperlink>
        </w:p>
        <w:p w14:paraId="02D9F183" w14:textId="2FBD65E2" w:rsidR="000B7D77" w:rsidRPr="000B7D77" w:rsidRDefault="000B7D77">
          <w:pPr>
            <w:pStyle w:val="TOC1"/>
            <w:tabs>
              <w:tab w:val="left" w:pos="480"/>
              <w:tab w:val="right" w:leader="dot" w:pos="9016"/>
            </w:tabs>
            <w:rPr>
              <w:rFonts w:eastAsiaTheme="minorEastAsia"/>
              <w:i w:val="0"/>
              <w:iCs w:val="0"/>
              <w:noProof/>
              <w:kern w:val="2"/>
              <w:lang/>
              <w14:ligatures w14:val="standardContextual"/>
            </w:rPr>
          </w:pPr>
          <w:hyperlink w:anchor="_Toc217829520" w:history="1">
            <w:r w:rsidRPr="000B7D77">
              <w:rPr>
                <w:rStyle w:val="Hyperlink"/>
                <w:rFonts w:asciiTheme="minorHAnsi" w:hAnsiTheme="minorHAnsi" w:cstheme="minorHAnsi"/>
                <w:noProof/>
              </w:rPr>
              <w:t>1.</w:t>
            </w:r>
            <w:r w:rsidRPr="000B7D77">
              <w:rPr>
                <w:rFonts w:eastAsiaTheme="minorEastAsia"/>
                <w:i w:val="0"/>
                <w:iCs w:val="0"/>
                <w:noProof/>
                <w:kern w:val="2"/>
                <w:lang/>
                <w14:ligatures w14:val="standardContextual"/>
              </w:rPr>
              <w:tab/>
            </w:r>
            <w:r w:rsidRPr="000B7D77">
              <w:rPr>
                <w:rStyle w:val="Hyperlink"/>
                <w:rFonts w:asciiTheme="minorHAnsi" w:hAnsiTheme="minorHAnsi" w:cstheme="minorHAnsi"/>
                <w:noProof/>
              </w:rPr>
              <w:t>The situation of women with disabilities in the context of domestic violence</w:t>
            </w:r>
            <w:r w:rsidRPr="000B7D77">
              <w:rPr>
                <w:noProof/>
                <w:webHidden/>
              </w:rPr>
              <w:tab/>
            </w:r>
            <w:r w:rsidRPr="000B7D77">
              <w:rPr>
                <w:noProof/>
                <w:webHidden/>
              </w:rPr>
              <w:fldChar w:fldCharType="begin"/>
            </w:r>
            <w:r w:rsidRPr="000B7D77">
              <w:rPr>
                <w:noProof/>
                <w:webHidden/>
              </w:rPr>
              <w:instrText xml:space="preserve"> PAGEREF _Toc217829520 \h </w:instrText>
            </w:r>
            <w:r w:rsidRPr="000B7D77">
              <w:rPr>
                <w:noProof/>
                <w:webHidden/>
              </w:rPr>
            </w:r>
            <w:r w:rsidRPr="000B7D77">
              <w:rPr>
                <w:noProof/>
                <w:webHidden/>
              </w:rPr>
              <w:fldChar w:fldCharType="separate"/>
            </w:r>
            <w:r w:rsidRPr="000B7D77">
              <w:rPr>
                <w:noProof/>
                <w:webHidden/>
              </w:rPr>
              <w:t>3</w:t>
            </w:r>
            <w:r w:rsidRPr="000B7D77">
              <w:rPr>
                <w:noProof/>
                <w:webHidden/>
              </w:rPr>
              <w:fldChar w:fldCharType="end"/>
            </w:r>
          </w:hyperlink>
        </w:p>
        <w:p w14:paraId="7E12E43C" w14:textId="11098039" w:rsidR="000B7D77" w:rsidRPr="000B7D77" w:rsidRDefault="000B7D77">
          <w:pPr>
            <w:pStyle w:val="TOC2"/>
            <w:tabs>
              <w:tab w:val="right" w:leader="dot" w:pos="9016"/>
            </w:tabs>
            <w:rPr>
              <w:rFonts w:eastAsiaTheme="minorEastAsia"/>
              <w:noProof/>
              <w:kern w:val="2"/>
              <w:sz w:val="24"/>
              <w:szCs w:val="24"/>
              <w:lang/>
              <w14:ligatures w14:val="standardContextual"/>
            </w:rPr>
          </w:pPr>
          <w:hyperlink w:anchor="_Toc217829521" w:history="1">
            <w:r w:rsidRPr="000B7D77">
              <w:rPr>
                <w:rStyle w:val="Hyperlink"/>
                <w:rFonts w:asciiTheme="minorHAnsi" w:hAnsiTheme="minorHAnsi" w:cstheme="minorHAnsi"/>
                <w:noProof/>
              </w:rPr>
              <w:t>Recomendations:</w:t>
            </w:r>
            <w:r w:rsidRPr="000B7D77">
              <w:rPr>
                <w:noProof/>
                <w:webHidden/>
              </w:rPr>
              <w:tab/>
            </w:r>
            <w:r w:rsidRPr="000B7D77">
              <w:rPr>
                <w:noProof/>
                <w:webHidden/>
              </w:rPr>
              <w:fldChar w:fldCharType="begin"/>
            </w:r>
            <w:r w:rsidRPr="000B7D77">
              <w:rPr>
                <w:noProof/>
                <w:webHidden/>
              </w:rPr>
              <w:instrText xml:space="preserve"> PAGEREF _Toc217829521 \h </w:instrText>
            </w:r>
            <w:r w:rsidRPr="000B7D77">
              <w:rPr>
                <w:noProof/>
                <w:webHidden/>
              </w:rPr>
            </w:r>
            <w:r w:rsidRPr="000B7D77">
              <w:rPr>
                <w:noProof/>
                <w:webHidden/>
              </w:rPr>
              <w:fldChar w:fldCharType="separate"/>
            </w:r>
            <w:r w:rsidRPr="000B7D77">
              <w:rPr>
                <w:noProof/>
                <w:webHidden/>
              </w:rPr>
              <w:t>4</w:t>
            </w:r>
            <w:r w:rsidRPr="000B7D77">
              <w:rPr>
                <w:noProof/>
                <w:webHidden/>
              </w:rPr>
              <w:fldChar w:fldCharType="end"/>
            </w:r>
          </w:hyperlink>
        </w:p>
        <w:p w14:paraId="35CAD41A" w14:textId="7D314007" w:rsidR="000B7D77" w:rsidRPr="000B7D77" w:rsidRDefault="000B7D77">
          <w:pPr>
            <w:pStyle w:val="TOC1"/>
            <w:tabs>
              <w:tab w:val="left" w:pos="480"/>
              <w:tab w:val="right" w:leader="dot" w:pos="9016"/>
            </w:tabs>
            <w:rPr>
              <w:rFonts w:eastAsiaTheme="minorEastAsia"/>
              <w:i w:val="0"/>
              <w:iCs w:val="0"/>
              <w:noProof/>
              <w:kern w:val="2"/>
              <w:lang/>
              <w14:ligatures w14:val="standardContextual"/>
            </w:rPr>
          </w:pPr>
          <w:hyperlink w:anchor="_Toc217829522" w:history="1">
            <w:r w:rsidRPr="000B7D77">
              <w:rPr>
                <w:rStyle w:val="Hyperlink"/>
                <w:rFonts w:asciiTheme="minorHAnsi" w:hAnsiTheme="minorHAnsi" w:cstheme="minorHAnsi"/>
                <w:noProof/>
              </w:rPr>
              <w:t>2.</w:t>
            </w:r>
            <w:r w:rsidRPr="000B7D77">
              <w:rPr>
                <w:rFonts w:eastAsiaTheme="minorEastAsia"/>
                <w:i w:val="0"/>
                <w:iCs w:val="0"/>
                <w:noProof/>
                <w:kern w:val="2"/>
                <w:lang/>
                <w14:ligatures w14:val="standardContextual"/>
              </w:rPr>
              <w:tab/>
            </w:r>
            <w:r w:rsidRPr="000B7D77">
              <w:rPr>
                <w:rStyle w:val="Hyperlink"/>
                <w:rFonts w:asciiTheme="minorHAnsi" w:hAnsiTheme="minorHAnsi" w:cstheme="minorHAnsi"/>
                <w:noProof/>
                <w:shd w:val="clear" w:color="auto" w:fill="FFFFFF"/>
              </w:rPr>
              <w:t>Access to justice</w:t>
            </w:r>
            <w:r w:rsidRPr="000B7D77">
              <w:rPr>
                <w:noProof/>
                <w:webHidden/>
              </w:rPr>
              <w:tab/>
            </w:r>
            <w:r w:rsidRPr="000B7D77">
              <w:rPr>
                <w:noProof/>
                <w:webHidden/>
              </w:rPr>
              <w:fldChar w:fldCharType="begin"/>
            </w:r>
            <w:r w:rsidRPr="000B7D77">
              <w:rPr>
                <w:noProof/>
                <w:webHidden/>
              </w:rPr>
              <w:instrText xml:space="preserve"> PAGEREF _Toc217829522 \h </w:instrText>
            </w:r>
            <w:r w:rsidRPr="000B7D77">
              <w:rPr>
                <w:noProof/>
                <w:webHidden/>
              </w:rPr>
            </w:r>
            <w:r w:rsidRPr="000B7D77">
              <w:rPr>
                <w:noProof/>
                <w:webHidden/>
              </w:rPr>
              <w:fldChar w:fldCharType="separate"/>
            </w:r>
            <w:r w:rsidRPr="000B7D77">
              <w:rPr>
                <w:noProof/>
                <w:webHidden/>
              </w:rPr>
              <w:t>5</w:t>
            </w:r>
            <w:r w:rsidRPr="000B7D77">
              <w:rPr>
                <w:noProof/>
                <w:webHidden/>
              </w:rPr>
              <w:fldChar w:fldCharType="end"/>
            </w:r>
          </w:hyperlink>
        </w:p>
        <w:p w14:paraId="4137AF0E" w14:textId="6B6D3EC6" w:rsidR="000B7D77" w:rsidRPr="000B7D77" w:rsidRDefault="000B7D77">
          <w:pPr>
            <w:pStyle w:val="TOC2"/>
            <w:tabs>
              <w:tab w:val="right" w:leader="dot" w:pos="9016"/>
            </w:tabs>
            <w:rPr>
              <w:rFonts w:eastAsiaTheme="minorEastAsia"/>
              <w:noProof/>
              <w:kern w:val="2"/>
              <w:sz w:val="24"/>
              <w:szCs w:val="24"/>
              <w:lang/>
              <w14:ligatures w14:val="standardContextual"/>
            </w:rPr>
          </w:pPr>
          <w:hyperlink w:anchor="_Toc217829523" w:history="1">
            <w:r w:rsidRPr="000B7D77">
              <w:rPr>
                <w:rStyle w:val="Hyperlink"/>
                <w:rFonts w:asciiTheme="minorHAnsi" w:hAnsiTheme="minorHAnsi" w:cstheme="minorHAnsi"/>
                <w:noProof/>
              </w:rPr>
              <w:t>Recomendations:</w:t>
            </w:r>
            <w:r w:rsidRPr="000B7D77">
              <w:rPr>
                <w:noProof/>
                <w:webHidden/>
              </w:rPr>
              <w:tab/>
            </w:r>
            <w:r w:rsidRPr="000B7D77">
              <w:rPr>
                <w:noProof/>
                <w:webHidden/>
              </w:rPr>
              <w:fldChar w:fldCharType="begin"/>
            </w:r>
            <w:r w:rsidRPr="000B7D77">
              <w:rPr>
                <w:noProof/>
                <w:webHidden/>
              </w:rPr>
              <w:instrText xml:space="preserve"> PAGEREF _Toc217829523 \h </w:instrText>
            </w:r>
            <w:r w:rsidRPr="000B7D77">
              <w:rPr>
                <w:noProof/>
                <w:webHidden/>
              </w:rPr>
            </w:r>
            <w:r w:rsidRPr="000B7D77">
              <w:rPr>
                <w:noProof/>
                <w:webHidden/>
              </w:rPr>
              <w:fldChar w:fldCharType="separate"/>
            </w:r>
            <w:r w:rsidRPr="000B7D77">
              <w:rPr>
                <w:noProof/>
                <w:webHidden/>
              </w:rPr>
              <w:t>7</w:t>
            </w:r>
            <w:r w:rsidRPr="000B7D77">
              <w:rPr>
                <w:noProof/>
                <w:webHidden/>
              </w:rPr>
              <w:fldChar w:fldCharType="end"/>
            </w:r>
          </w:hyperlink>
        </w:p>
        <w:p w14:paraId="10437C1D" w14:textId="0EF4078E" w:rsidR="000B7D77" w:rsidRPr="000B7D77" w:rsidRDefault="000B7D77">
          <w:pPr>
            <w:pStyle w:val="TOC1"/>
            <w:tabs>
              <w:tab w:val="left" w:pos="480"/>
              <w:tab w:val="right" w:leader="dot" w:pos="9016"/>
            </w:tabs>
            <w:rPr>
              <w:rFonts w:eastAsiaTheme="minorEastAsia"/>
              <w:i w:val="0"/>
              <w:iCs w:val="0"/>
              <w:noProof/>
              <w:kern w:val="2"/>
              <w:lang/>
              <w14:ligatures w14:val="standardContextual"/>
            </w:rPr>
          </w:pPr>
          <w:hyperlink w:anchor="_Toc217829524" w:history="1">
            <w:r w:rsidRPr="000B7D77">
              <w:rPr>
                <w:rStyle w:val="Hyperlink"/>
                <w:rFonts w:asciiTheme="minorHAnsi" w:hAnsiTheme="minorHAnsi" w:cstheme="minorHAnsi"/>
                <w:noProof/>
              </w:rPr>
              <w:t>3.</w:t>
            </w:r>
            <w:r w:rsidRPr="000B7D77">
              <w:rPr>
                <w:rFonts w:eastAsiaTheme="minorEastAsia"/>
                <w:i w:val="0"/>
                <w:iCs w:val="0"/>
                <w:noProof/>
                <w:kern w:val="2"/>
                <w:lang/>
                <w14:ligatures w14:val="standardContextual"/>
              </w:rPr>
              <w:tab/>
            </w:r>
            <w:r w:rsidRPr="000B7D77">
              <w:rPr>
                <w:rStyle w:val="Hyperlink"/>
                <w:rFonts w:asciiTheme="minorHAnsi" w:hAnsiTheme="minorHAnsi" w:cstheme="minorHAnsi"/>
                <w:noProof/>
              </w:rPr>
              <w:t>Education</w:t>
            </w:r>
            <w:r w:rsidRPr="000B7D77">
              <w:rPr>
                <w:noProof/>
                <w:webHidden/>
              </w:rPr>
              <w:tab/>
            </w:r>
            <w:r w:rsidRPr="000B7D77">
              <w:rPr>
                <w:noProof/>
                <w:webHidden/>
              </w:rPr>
              <w:fldChar w:fldCharType="begin"/>
            </w:r>
            <w:r w:rsidRPr="000B7D77">
              <w:rPr>
                <w:noProof/>
                <w:webHidden/>
              </w:rPr>
              <w:instrText xml:space="preserve"> PAGEREF _Toc217829524 \h </w:instrText>
            </w:r>
            <w:r w:rsidRPr="000B7D77">
              <w:rPr>
                <w:noProof/>
                <w:webHidden/>
              </w:rPr>
            </w:r>
            <w:r w:rsidRPr="000B7D77">
              <w:rPr>
                <w:noProof/>
                <w:webHidden/>
              </w:rPr>
              <w:fldChar w:fldCharType="separate"/>
            </w:r>
            <w:r w:rsidRPr="000B7D77">
              <w:rPr>
                <w:noProof/>
                <w:webHidden/>
              </w:rPr>
              <w:t>7</w:t>
            </w:r>
            <w:r w:rsidRPr="000B7D77">
              <w:rPr>
                <w:noProof/>
                <w:webHidden/>
              </w:rPr>
              <w:fldChar w:fldCharType="end"/>
            </w:r>
          </w:hyperlink>
        </w:p>
        <w:p w14:paraId="07FD17B7" w14:textId="22A177A6" w:rsidR="000B7D77" w:rsidRPr="000B7D77" w:rsidRDefault="000B7D77">
          <w:pPr>
            <w:pStyle w:val="TOC2"/>
            <w:tabs>
              <w:tab w:val="right" w:leader="dot" w:pos="9016"/>
            </w:tabs>
            <w:rPr>
              <w:rFonts w:eastAsiaTheme="minorEastAsia"/>
              <w:noProof/>
              <w:kern w:val="2"/>
              <w:sz w:val="24"/>
              <w:szCs w:val="24"/>
              <w:lang/>
              <w14:ligatures w14:val="standardContextual"/>
            </w:rPr>
          </w:pPr>
          <w:hyperlink w:anchor="_Toc217829525" w:history="1">
            <w:r w:rsidRPr="000B7D77">
              <w:rPr>
                <w:rStyle w:val="Hyperlink"/>
                <w:rFonts w:asciiTheme="minorHAnsi" w:hAnsiTheme="minorHAnsi" w:cstheme="minorHAnsi"/>
                <w:noProof/>
                <w:lang w:val="lt-LT"/>
              </w:rPr>
              <w:t>Recomendations:</w:t>
            </w:r>
            <w:r w:rsidRPr="000B7D77">
              <w:rPr>
                <w:noProof/>
                <w:webHidden/>
              </w:rPr>
              <w:tab/>
            </w:r>
            <w:r w:rsidRPr="000B7D77">
              <w:rPr>
                <w:noProof/>
                <w:webHidden/>
              </w:rPr>
              <w:fldChar w:fldCharType="begin"/>
            </w:r>
            <w:r w:rsidRPr="000B7D77">
              <w:rPr>
                <w:noProof/>
                <w:webHidden/>
              </w:rPr>
              <w:instrText xml:space="preserve"> PAGEREF _Toc217829525 \h </w:instrText>
            </w:r>
            <w:r w:rsidRPr="000B7D77">
              <w:rPr>
                <w:noProof/>
                <w:webHidden/>
              </w:rPr>
            </w:r>
            <w:r w:rsidRPr="000B7D77">
              <w:rPr>
                <w:noProof/>
                <w:webHidden/>
              </w:rPr>
              <w:fldChar w:fldCharType="separate"/>
            </w:r>
            <w:r w:rsidRPr="000B7D77">
              <w:rPr>
                <w:noProof/>
                <w:webHidden/>
              </w:rPr>
              <w:t>10</w:t>
            </w:r>
            <w:r w:rsidRPr="000B7D77">
              <w:rPr>
                <w:noProof/>
                <w:webHidden/>
              </w:rPr>
              <w:fldChar w:fldCharType="end"/>
            </w:r>
          </w:hyperlink>
        </w:p>
        <w:p w14:paraId="13837D48" w14:textId="3D1BDF9C" w:rsidR="000B7D77" w:rsidRPr="000B7D77" w:rsidRDefault="000B7D77">
          <w:pPr>
            <w:pStyle w:val="TOC1"/>
            <w:tabs>
              <w:tab w:val="left" w:pos="480"/>
              <w:tab w:val="right" w:leader="dot" w:pos="9016"/>
            </w:tabs>
            <w:rPr>
              <w:rFonts w:eastAsiaTheme="minorEastAsia"/>
              <w:i w:val="0"/>
              <w:iCs w:val="0"/>
              <w:noProof/>
              <w:kern w:val="2"/>
              <w:lang/>
              <w14:ligatures w14:val="standardContextual"/>
            </w:rPr>
          </w:pPr>
          <w:hyperlink w:anchor="_Toc217829526" w:history="1">
            <w:r w:rsidRPr="000B7D77">
              <w:rPr>
                <w:rStyle w:val="Hyperlink"/>
                <w:rFonts w:asciiTheme="minorHAnsi" w:hAnsiTheme="minorHAnsi" w:cstheme="minorHAnsi"/>
                <w:noProof/>
              </w:rPr>
              <w:t>4.</w:t>
            </w:r>
            <w:r w:rsidRPr="000B7D77">
              <w:rPr>
                <w:rFonts w:eastAsiaTheme="minorEastAsia"/>
                <w:i w:val="0"/>
                <w:iCs w:val="0"/>
                <w:noProof/>
                <w:kern w:val="2"/>
                <w:lang/>
                <w14:ligatures w14:val="standardContextual"/>
              </w:rPr>
              <w:tab/>
            </w:r>
            <w:r w:rsidRPr="000B7D77">
              <w:rPr>
                <w:rStyle w:val="Hyperlink"/>
                <w:rFonts w:asciiTheme="minorHAnsi" w:hAnsiTheme="minorHAnsi" w:cstheme="minorHAnsi"/>
                <w:noProof/>
              </w:rPr>
              <w:t>Employment</w:t>
            </w:r>
            <w:r w:rsidRPr="000B7D77">
              <w:rPr>
                <w:noProof/>
                <w:webHidden/>
              </w:rPr>
              <w:tab/>
            </w:r>
            <w:r w:rsidRPr="000B7D77">
              <w:rPr>
                <w:noProof/>
                <w:webHidden/>
              </w:rPr>
              <w:fldChar w:fldCharType="begin"/>
            </w:r>
            <w:r w:rsidRPr="000B7D77">
              <w:rPr>
                <w:noProof/>
                <w:webHidden/>
              </w:rPr>
              <w:instrText xml:space="preserve"> PAGEREF _Toc217829526 \h </w:instrText>
            </w:r>
            <w:r w:rsidRPr="000B7D77">
              <w:rPr>
                <w:noProof/>
                <w:webHidden/>
              </w:rPr>
            </w:r>
            <w:r w:rsidRPr="000B7D77">
              <w:rPr>
                <w:noProof/>
                <w:webHidden/>
              </w:rPr>
              <w:fldChar w:fldCharType="separate"/>
            </w:r>
            <w:r w:rsidRPr="000B7D77">
              <w:rPr>
                <w:noProof/>
                <w:webHidden/>
              </w:rPr>
              <w:t>11</w:t>
            </w:r>
            <w:r w:rsidRPr="000B7D77">
              <w:rPr>
                <w:noProof/>
                <w:webHidden/>
              </w:rPr>
              <w:fldChar w:fldCharType="end"/>
            </w:r>
          </w:hyperlink>
        </w:p>
        <w:p w14:paraId="3669F6AB" w14:textId="4653C8CE" w:rsidR="000B7D77" w:rsidRPr="000B7D77" w:rsidRDefault="000B7D77">
          <w:pPr>
            <w:pStyle w:val="TOC2"/>
            <w:tabs>
              <w:tab w:val="right" w:leader="dot" w:pos="9016"/>
            </w:tabs>
            <w:rPr>
              <w:rFonts w:eastAsiaTheme="minorEastAsia"/>
              <w:noProof/>
              <w:kern w:val="2"/>
              <w:sz w:val="24"/>
              <w:szCs w:val="24"/>
              <w:lang/>
              <w14:ligatures w14:val="standardContextual"/>
            </w:rPr>
          </w:pPr>
          <w:hyperlink w:anchor="_Toc217829527" w:history="1">
            <w:r w:rsidRPr="000B7D77">
              <w:rPr>
                <w:rStyle w:val="Hyperlink"/>
                <w:rFonts w:asciiTheme="minorHAnsi" w:hAnsiTheme="minorHAnsi" w:cstheme="minorHAnsi"/>
                <w:noProof/>
              </w:rPr>
              <w:t>Recomendations:</w:t>
            </w:r>
            <w:r w:rsidRPr="000B7D77">
              <w:rPr>
                <w:noProof/>
                <w:webHidden/>
              </w:rPr>
              <w:tab/>
            </w:r>
            <w:r w:rsidRPr="000B7D77">
              <w:rPr>
                <w:noProof/>
                <w:webHidden/>
              </w:rPr>
              <w:fldChar w:fldCharType="begin"/>
            </w:r>
            <w:r w:rsidRPr="000B7D77">
              <w:rPr>
                <w:noProof/>
                <w:webHidden/>
              </w:rPr>
              <w:instrText xml:space="preserve"> PAGEREF _Toc217829527 \h </w:instrText>
            </w:r>
            <w:r w:rsidRPr="000B7D77">
              <w:rPr>
                <w:noProof/>
                <w:webHidden/>
              </w:rPr>
            </w:r>
            <w:r w:rsidRPr="000B7D77">
              <w:rPr>
                <w:noProof/>
                <w:webHidden/>
              </w:rPr>
              <w:fldChar w:fldCharType="separate"/>
            </w:r>
            <w:r w:rsidRPr="000B7D77">
              <w:rPr>
                <w:noProof/>
                <w:webHidden/>
              </w:rPr>
              <w:t>13</w:t>
            </w:r>
            <w:r w:rsidRPr="000B7D77">
              <w:rPr>
                <w:noProof/>
                <w:webHidden/>
              </w:rPr>
              <w:fldChar w:fldCharType="end"/>
            </w:r>
          </w:hyperlink>
        </w:p>
        <w:p w14:paraId="1A28CADA" w14:textId="4424435C" w:rsidR="000B7D77" w:rsidRPr="000B7D77" w:rsidRDefault="000B7D77">
          <w:pPr>
            <w:pStyle w:val="TOC1"/>
            <w:tabs>
              <w:tab w:val="left" w:pos="480"/>
              <w:tab w:val="right" w:leader="dot" w:pos="9016"/>
            </w:tabs>
            <w:rPr>
              <w:rFonts w:eastAsiaTheme="minorEastAsia"/>
              <w:i w:val="0"/>
              <w:iCs w:val="0"/>
              <w:noProof/>
              <w:kern w:val="2"/>
              <w:lang/>
              <w14:ligatures w14:val="standardContextual"/>
            </w:rPr>
          </w:pPr>
          <w:hyperlink w:anchor="_Toc217829528" w:history="1">
            <w:r w:rsidRPr="000B7D77">
              <w:rPr>
                <w:rStyle w:val="Hyperlink"/>
                <w:rFonts w:asciiTheme="minorHAnsi" w:hAnsiTheme="minorHAnsi" w:cstheme="minorHAnsi"/>
                <w:noProof/>
              </w:rPr>
              <w:t>5.</w:t>
            </w:r>
            <w:r w:rsidRPr="000B7D77">
              <w:rPr>
                <w:rFonts w:eastAsiaTheme="minorEastAsia"/>
                <w:i w:val="0"/>
                <w:iCs w:val="0"/>
                <w:noProof/>
                <w:kern w:val="2"/>
                <w:lang/>
                <w14:ligatures w14:val="standardContextual"/>
              </w:rPr>
              <w:tab/>
            </w:r>
            <w:r w:rsidRPr="000B7D77">
              <w:rPr>
                <w:rStyle w:val="Hyperlink"/>
                <w:rFonts w:asciiTheme="minorHAnsi" w:hAnsiTheme="minorHAnsi" w:cstheme="minorHAnsi"/>
                <w:noProof/>
              </w:rPr>
              <w:t>Legal guardianship and intervention in the body of a person with a disability without her/his consent</w:t>
            </w:r>
            <w:r w:rsidRPr="000B7D77">
              <w:rPr>
                <w:noProof/>
                <w:webHidden/>
              </w:rPr>
              <w:tab/>
            </w:r>
            <w:r w:rsidRPr="000B7D77">
              <w:rPr>
                <w:noProof/>
                <w:webHidden/>
              </w:rPr>
              <w:fldChar w:fldCharType="begin"/>
            </w:r>
            <w:r w:rsidRPr="000B7D77">
              <w:rPr>
                <w:noProof/>
                <w:webHidden/>
              </w:rPr>
              <w:instrText xml:space="preserve"> PAGEREF _Toc217829528 \h </w:instrText>
            </w:r>
            <w:r w:rsidRPr="000B7D77">
              <w:rPr>
                <w:noProof/>
                <w:webHidden/>
              </w:rPr>
            </w:r>
            <w:r w:rsidRPr="000B7D77">
              <w:rPr>
                <w:noProof/>
                <w:webHidden/>
              </w:rPr>
              <w:fldChar w:fldCharType="separate"/>
            </w:r>
            <w:r w:rsidRPr="000B7D77">
              <w:rPr>
                <w:noProof/>
                <w:webHidden/>
              </w:rPr>
              <w:t>14</w:t>
            </w:r>
            <w:r w:rsidRPr="000B7D77">
              <w:rPr>
                <w:noProof/>
                <w:webHidden/>
              </w:rPr>
              <w:fldChar w:fldCharType="end"/>
            </w:r>
          </w:hyperlink>
        </w:p>
        <w:p w14:paraId="29FAC0AC" w14:textId="2D5E1190" w:rsidR="000B7D77" w:rsidRPr="000B7D77" w:rsidRDefault="000B7D77">
          <w:pPr>
            <w:pStyle w:val="TOC2"/>
            <w:tabs>
              <w:tab w:val="right" w:leader="dot" w:pos="9016"/>
            </w:tabs>
            <w:rPr>
              <w:rFonts w:eastAsiaTheme="minorEastAsia"/>
              <w:noProof/>
              <w:kern w:val="2"/>
              <w:sz w:val="24"/>
              <w:szCs w:val="24"/>
              <w:lang/>
              <w14:ligatures w14:val="standardContextual"/>
            </w:rPr>
          </w:pPr>
          <w:hyperlink w:anchor="_Toc217829529" w:history="1">
            <w:r w:rsidRPr="000B7D77">
              <w:rPr>
                <w:rStyle w:val="Hyperlink"/>
                <w:rFonts w:asciiTheme="minorHAnsi" w:hAnsiTheme="minorHAnsi" w:cstheme="minorHAnsi"/>
                <w:noProof/>
              </w:rPr>
              <w:t>Recommendations:</w:t>
            </w:r>
            <w:r w:rsidRPr="000B7D77">
              <w:rPr>
                <w:noProof/>
                <w:webHidden/>
              </w:rPr>
              <w:tab/>
            </w:r>
            <w:r w:rsidRPr="000B7D77">
              <w:rPr>
                <w:noProof/>
                <w:webHidden/>
              </w:rPr>
              <w:fldChar w:fldCharType="begin"/>
            </w:r>
            <w:r w:rsidRPr="000B7D77">
              <w:rPr>
                <w:noProof/>
                <w:webHidden/>
              </w:rPr>
              <w:instrText xml:space="preserve"> PAGEREF _Toc217829529 \h </w:instrText>
            </w:r>
            <w:r w:rsidRPr="000B7D77">
              <w:rPr>
                <w:noProof/>
                <w:webHidden/>
              </w:rPr>
            </w:r>
            <w:r w:rsidRPr="000B7D77">
              <w:rPr>
                <w:noProof/>
                <w:webHidden/>
              </w:rPr>
              <w:fldChar w:fldCharType="separate"/>
            </w:r>
            <w:r w:rsidRPr="000B7D77">
              <w:rPr>
                <w:noProof/>
                <w:webHidden/>
              </w:rPr>
              <w:t>16</w:t>
            </w:r>
            <w:r w:rsidRPr="000B7D77">
              <w:rPr>
                <w:noProof/>
                <w:webHidden/>
              </w:rPr>
              <w:fldChar w:fldCharType="end"/>
            </w:r>
          </w:hyperlink>
        </w:p>
        <w:p w14:paraId="13BE5829" w14:textId="4F9C6384" w:rsidR="000B7D77" w:rsidRPr="000B7D77" w:rsidRDefault="000B7D77">
          <w:pPr>
            <w:pStyle w:val="TOC1"/>
            <w:tabs>
              <w:tab w:val="left" w:pos="480"/>
              <w:tab w:val="right" w:leader="dot" w:pos="9016"/>
            </w:tabs>
            <w:rPr>
              <w:rFonts w:eastAsiaTheme="minorEastAsia"/>
              <w:i w:val="0"/>
              <w:iCs w:val="0"/>
              <w:noProof/>
              <w:kern w:val="2"/>
              <w:lang/>
              <w14:ligatures w14:val="standardContextual"/>
            </w:rPr>
          </w:pPr>
          <w:hyperlink w:anchor="_Toc217829530" w:history="1">
            <w:r w:rsidRPr="000B7D77">
              <w:rPr>
                <w:rStyle w:val="Hyperlink"/>
                <w:rFonts w:asciiTheme="minorHAnsi" w:hAnsiTheme="minorHAnsi" w:cstheme="minorHAnsi"/>
                <w:noProof/>
                <w:lang/>
              </w:rPr>
              <w:t>6.</w:t>
            </w:r>
            <w:r w:rsidRPr="000B7D77">
              <w:rPr>
                <w:rFonts w:eastAsiaTheme="minorEastAsia"/>
                <w:i w:val="0"/>
                <w:iCs w:val="0"/>
                <w:noProof/>
                <w:kern w:val="2"/>
                <w:lang/>
                <w14:ligatures w14:val="standardContextual"/>
              </w:rPr>
              <w:tab/>
            </w:r>
            <w:r w:rsidRPr="000B7D77">
              <w:rPr>
                <w:rStyle w:val="Hyperlink"/>
                <w:rFonts w:asciiTheme="minorHAnsi" w:hAnsiTheme="minorHAnsi" w:cstheme="minorHAnsi"/>
                <w:noProof/>
              </w:rPr>
              <w:t>The situation of women with disabilities in the context of r</w:t>
            </w:r>
            <w:r w:rsidRPr="000B7D77">
              <w:rPr>
                <w:rStyle w:val="Hyperlink"/>
                <w:rFonts w:asciiTheme="minorHAnsi" w:hAnsiTheme="minorHAnsi" w:cstheme="minorHAnsi"/>
                <w:noProof/>
                <w:lang/>
              </w:rPr>
              <w:t>eproductive rights</w:t>
            </w:r>
            <w:r w:rsidRPr="000B7D77">
              <w:rPr>
                <w:noProof/>
                <w:webHidden/>
              </w:rPr>
              <w:tab/>
            </w:r>
            <w:r w:rsidRPr="000B7D77">
              <w:rPr>
                <w:noProof/>
                <w:webHidden/>
              </w:rPr>
              <w:fldChar w:fldCharType="begin"/>
            </w:r>
            <w:r w:rsidRPr="000B7D77">
              <w:rPr>
                <w:noProof/>
                <w:webHidden/>
              </w:rPr>
              <w:instrText xml:space="preserve"> PAGEREF _Toc217829530 \h </w:instrText>
            </w:r>
            <w:r w:rsidRPr="000B7D77">
              <w:rPr>
                <w:noProof/>
                <w:webHidden/>
              </w:rPr>
            </w:r>
            <w:r w:rsidRPr="000B7D77">
              <w:rPr>
                <w:noProof/>
                <w:webHidden/>
              </w:rPr>
              <w:fldChar w:fldCharType="separate"/>
            </w:r>
            <w:r w:rsidRPr="000B7D77">
              <w:rPr>
                <w:noProof/>
                <w:webHidden/>
              </w:rPr>
              <w:t>18</w:t>
            </w:r>
            <w:r w:rsidRPr="000B7D77">
              <w:rPr>
                <w:noProof/>
                <w:webHidden/>
              </w:rPr>
              <w:fldChar w:fldCharType="end"/>
            </w:r>
          </w:hyperlink>
        </w:p>
        <w:p w14:paraId="0848CFED" w14:textId="24505873" w:rsidR="000B7D77" w:rsidRPr="000B7D77" w:rsidRDefault="000B7D77">
          <w:pPr>
            <w:pStyle w:val="TOC2"/>
            <w:tabs>
              <w:tab w:val="right" w:leader="dot" w:pos="9016"/>
            </w:tabs>
            <w:rPr>
              <w:rFonts w:eastAsiaTheme="minorEastAsia"/>
              <w:noProof/>
              <w:kern w:val="2"/>
              <w:sz w:val="24"/>
              <w:szCs w:val="24"/>
              <w:lang/>
              <w14:ligatures w14:val="standardContextual"/>
            </w:rPr>
          </w:pPr>
          <w:hyperlink w:anchor="_Toc217829531" w:history="1">
            <w:r w:rsidRPr="000B7D77">
              <w:rPr>
                <w:rStyle w:val="Hyperlink"/>
                <w:rFonts w:asciiTheme="minorHAnsi" w:hAnsiTheme="minorHAnsi" w:cstheme="minorHAnsi"/>
                <w:noProof/>
              </w:rPr>
              <w:t>Recomendations:</w:t>
            </w:r>
            <w:r w:rsidRPr="000B7D77">
              <w:rPr>
                <w:noProof/>
                <w:webHidden/>
              </w:rPr>
              <w:tab/>
            </w:r>
            <w:r w:rsidRPr="000B7D77">
              <w:rPr>
                <w:noProof/>
                <w:webHidden/>
              </w:rPr>
              <w:fldChar w:fldCharType="begin"/>
            </w:r>
            <w:r w:rsidRPr="000B7D77">
              <w:rPr>
                <w:noProof/>
                <w:webHidden/>
              </w:rPr>
              <w:instrText xml:space="preserve"> PAGEREF _Toc217829531 \h </w:instrText>
            </w:r>
            <w:r w:rsidRPr="000B7D77">
              <w:rPr>
                <w:noProof/>
                <w:webHidden/>
              </w:rPr>
            </w:r>
            <w:r w:rsidRPr="000B7D77">
              <w:rPr>
                <w:noProof/>
                <w:webHidden/>
              </w:rPr>
              <w:fldChar w:fldCharType="separate"/>
            </w:r>
            <w:r w:rsidRPr="000B7D77">
              <w:rPr>
                <w:noProof/>
                <w:webHidden/>
              </w:rPr>
              <w:t>19</w:t>
            </w:r>
            <w:r w:rsidRPr="000B7D77">
              <w:rPr>
                <w:noProof/>
                <w:webHidden/>
              </w:rPr>
              <w:fldChar w:fldCharType="end"/>
            </w:r>
          </w:hyperlink>
        </w:p>
        <w:p w14:paraId="6B78D154" w14:textId="730E0F6A" w:rsidR="0090240C" w:rsidRPr="00071232" w:rsidRDefault="0090240C" w:rsidP="004525FD">
          <w:pPr>
            <w:rPr>
              <w:rFonts w:cstheme="minorHAnsi"/>
            </w:rPr>
          </w:pPr>
          <w:r w:rsidRPr="000B7D77">
            <w:rPr>
              <w:rFonts w:cstheme="minorHAnsi"/>
              <w:b/>
              <w:bCs/>
              <w:noProof/>
            </w:rPr>
            <w:fldChar w:fldCharType="end"/>
          </w:r>
        </w:p>
      </w:sdtContent>
    </w:sdt>
    <w:p w14:paraId="150363E0" w14:textId="730E0F6A" w:rsidR="009B15EF" w:rsidRPr="00071232" w:rsidRDefault="009B15EF" w:rsidP="00A047ED">
      <w:pPr>
        <w:pStyle w:val="Heading1"/>
        <w:rPr>
          <w:rFonts w:cstheme="minorHAnsi"/>
        </w:rPr>
      </w:pPr>
      <w:bookmarkStart w:id="0" w:name="_Toc217829519"/>
      <w:r w:rsidRPr="00071232">
        <w:rPr>
          <w:rFonts w:cstheme="minorHAnsi"/>
        </w:rPr>
        <w:t>Introduction</w:t>
      </w:r>
      <w:bookmarkEnd w:id="0"/>
    </w:p>
    <w:p w14:paraId="16F657E5" w14:textId="5D76CEFB" w:rsidR="005D5615" w:rsidRPr="00071232" w:rsidRDefault="006F3CEE" w:rsidP="004525FD">
      <w:r w:rsidRPr="006F3CEE">
        <w:t>This report is based on the List of Issues and Questions related to Lithuania’s seventh periodic report prepared by the Committee on the Elimination of Discrimination against Women (2025), and also takes into account the Concluding Observations and recommendations provided to Lithuania by the CEDAW Committee</w:t>
      </w:r>
      <w:r>
        <w:t xml:space="preserve"> (</w:t>
      </w:r>
      <w:r w:rsidRPr="006F3CEE">
        <w:t>2019</w:t>
      </w:r>
      <w:r>
        <w:t xml:space="preserve">). </w:t>
      </w:r>
      <w:r w:rsidR="005D5615" w:rsidRPr="00071232">
        <w:t xml:space="preserve">It focuses on </w:t>
      </w:r>
      <w:r w:rsidR="0091425F">
        <w:t>1)</w:t>
      </w:r>
      <w:r w:rsidR="004525FD">
        <w:t xml:space="preserve"> </w:t>
      </w:r>
      <w:r w:rsidR="005D5615" w:rsidRPr="00071232">
        <w:t xml:space="preserve">gender-based violence, </w:t>
      </w:r>
      <w:r w:rsidR="0091425F">
        <w:t>2)</w:t>
      </w:r>
      <w:r w:rsidR="0091425F" w:rsidRPr="00071232">
        <w:t xml:space="preserve"> access to justice, </w:t>
      </w:r>
      <w:r>
        <w:t>3</w:t>
      </w:r>
      <w:r w:rsidR="0091425F">
        <w:t xml:space="preserve">) </w:t>
      </w:r>
      <w:r w:rsidR="005D5615" w:rsidRPr="00071232">
        <w:t xml:space="preserve">education, </w:t>
      </w:r>
      <w:r>
        <w:t>4</w:t>
      </w:r>
      <w:r w:rsidR="0091425F">
        <w:t xml:space="preserve">) </w:t>
      </w:r>
      <w:r w:rsidR="005D5615" w:rsidRPr="00071232">
        <w:t>employment</w:t>
      </w:r>
      <w:r>
        <w:t xml:space="preserve">, 5) legal guardianship and intervention in the body of a person with a disability without consent as well as on 6) </w:t>
      </w:r>
      <w:r w:rsidR="0091425F">
        <w:t xml:space="preserve">reproducive rights </w:t>
      </w:r>
      <w:r w:rsidR="005D5615" w:rsidRPr="00071232">
        <w:t xml:space="preserve">from the perspective of women and girls with disabilities. </w:t>
      </w:r>
    </w:p>
    <w:p w14:paraId="442C5418" w14:textId="1219EBA7" w:rsidR="00A047ED" w:rsidRPr="006F3CEE" w:rsidRDefault="00FB1419" w:rsidP="004525FD">
      <w:r w:rsidRPr="00071232">
        <w:t>In Lithuania, the lack of comprehensive data on gender and disability makes it difficult to identify and address the specific forms of discrimination experienced by women with disabilities. This report presents findings based on</w:t>
      </w:r>
      <w:r w:rsidR="00C00B8C" w:rsidRPr="00071232">
        <w:t xml:space="preserve"> various</w:t>
      </w:r>
      <w:r w:rsidRPr="00071232">
        <w:t xml:space="preserve"> research</w:t>
      </w:r>
      <w:r w:rsidR="00C00B8C" w:rsidRPr="00071232">
        <w:t xml:space="preserve">, surveys </w:t>
      </w:r>
      <w:r w:rsidRPr="00071232">
        <w:t xml:space="preserve">and advocacy </w:t>
      </w:r>
      <w:r w:rsidRPr="00071232">
        <w:lastRenderedPageBreak/>
        <w:t xml:space="preserve">carried out by </w:t>
      </w:r>
      <w:r w:rsidR="005D5615" w:rsidRPr="00071232">
        <w:t>LDF and its</w:t>
      </w:r>
      <w:r w:rsidRPr="00071232">
        <w:t xml:space="preserve"> </w:t>
      </w:r>
      <w:r w:rsidR="00155639" w:rsidRPr="00071232">
        <w:t>Women with Disabilities Committee</w:t>
      </w:r>
      <w:r w:rsidR="005D5615" w:rsidRPr="00071232">
        <w:t xml:space="preserve"> as well as publicly available data: research conducted by other organizations and statistical data gathered by the state</w:t>
      </w:r>
      <w:r w:rsidR="006F3CEE">
        <w:t xml:space="preserve"> or EU institutions. </w:t>
      </w:r>
    </w:p>
    <w:p w14:paraId="73A2F31C" w14:textId="64F5EECD" w:rsidR="004249CE" w:rsidRPr="00071232" w:rsidRDefault="004249CE" w:rsidP="00A003D0">
      <w:pPr>
        <w:pStyle w:val="Heading1"/>
        <w:numPr>
          <w:ilvl w:val="0"/>
          <w:numId w:val="21"/>
        </w:numPr>
        <w:rPr>
          <w:rFonts w:cstheme="minorHAnsi"/>
        </w:rPr>
      </w:pPr>
      <w:bookmarkStart w:id="1" w:name="_Toc217829520"/>
      <w:r w:rsidRPr="00071232">
        <w:rPr>
          <w:rFonts w:cstheme="minorHAnsi"/>
        </w:rPr>
        <w:t>The situation of women with disabilities in the context of domestic violence</w:t>
      </w:r>
      <w:bookmarkEnd w:id="1"/>
    </w:p>
    <w:p w14:paraId="57D39095" w14:textId="687805B6" w:rsidR="00AF1D98" w:rsidRDefault="00A115C5" w:rsidP="00C87455">
      <w:r w:rsidRPr="00071232">
        <w:t>Crime and pre-trial investigation statistics show that around 150 women</w:t>
      </w:r>
      <w:r w:rsidR="007C7A10" w:rsidRPr="00071232">
        <w:t xml:space="preserve"> with disabilities</w:t>
      </w:r>
      <w:r w:rsidRPr="00071232">
        <w:t xml:space="preserve"> a year are victims of domestic violence</w:t>
      </w:r>
      <w:r w:rsidR="00021BC7">
        <w:t xml:space="preserve"> (the total number of women who experience domestic violence in Lithuania per year is approximately 5000)</w:t>
      </w:r>
      <w:r w:rsidRPr="00071232">
        <w:t xml:space="preserve">, while </w:t>
      </w:r>
      <w:r w:rsidR="00915760" w:rsidRPr="00071232">
        <w:t>statistics on sexual violence against women with disabilities is totally absent</w:t>
      </w:r>
      <w:r w:rsidRPr="00071232">
        <w:t>. However, a victimological study of women with disabilities</w:t>
      </w:r>
      <w:r w:rsidR="000A0790">
        <w:rPr>
          <w:rStyle w:val="FootnoteReference"/>
          <w:rFonts w:cstheme="minorHAnsi"/>
        </w:rPr>
        <w:footnoteReference w:id="1"/>
      </w:r>
      <w:r w:rsidR="000A0790">
        <w:t xml:space="preserve"> </w:t>
      </w:r>
      <w:r w:rsidRPr="00071232">
        <w:t>carried out by the LDF in 2021 showed that only one in five women who experience violence report it to the police, while a third do not tell anyone. It also showed that more than 50% of respondents</w:t>
      </w:r>
      <w:r w:rsidR="00C00B8C" w:rsidRPr="00071232">
        <w:t>-victims of violence</w:t>
      </w:r>
      <w:r w:rsidRPr="00071232">
        <w:t xml:space="preserve"> had been exposed to sexual violence at least once in their lives and 84% had experienced physical violence. It is particularly worrying that a quarter of the participants in the study reported experiencing</w:t>
      </w:r>
      <w:r w:rsidRPr="00071232">
        <w:rPr>
          <w:i/>
        </w:rPr>
        <w:t xml:space="preserve"> </w:t>
      </w:r>
      <w:r w:rsidRPr="00071232">
        <w:t>physical violence on a systemic basis, and a similar proportion of women claimed to have experienced systemic sexual violence.</w:t>
      </w:r>
    </w:p>
    <w:p w14:paraId="79116C20" w14:textId="77777777" w:rsidR="00C87455" w:rsidRPr="00071232" w:rsidRDefault="00C87455" w:rsidP="00C87455"/>
    <w:p w14:paraId="74B1C212" w14:textId="53F651FA" w:rsidR="00AF1D98" w:rsidRDefault="00AF1D98" w:rsidP="00C87455">
      <w:r w:rsidRPr="00071232">
        <w:t>The Victimological Survey of Women with Disabilities and the Qualitative Study on Help-seeking Experiences of Women with Disabilities who have been subjected to violence, conducted in 2023</w:t>
      </w:r>
      <w:r w:rsidR="00FC2C4D">
        <w:rPr>
          <w:rStyle w:val="FootnoteReference"/>
        </w:rPr>
        <w:footnoteReference w:id="2"/>
      </w:r>
      <w:r w:rsidRPr="00071232">
        <w:t xml:space="preserve">, revealed a heightened level of dependency of women with disabilities on perpetrators. This dependency not only significantly hinders the recognition of violence but also reduces the motivation to seek help, particularly in contexts where state-provided services fail to ensure adequate levels of autonomy. </w:t>
      </w:r>
    </w:p>
    <w:p w14:paraId="2A4BC20C" w14:textId="77777777" w:rsidR="00C87455" w:rsidRPr="00C87455" w:rsidRDefault="00C87455" w:rsidP="00C87455"/>
    <w:p w14:paraId="63F52D45" w14:textId="72C579EE" w:rsidR="00AF1D98" w:rsidRPr="00071232" w:rsidRDefault="00915760" w:rsidP="00C87455">
      <w:r w:rsidRPr="00071232">
        <w:t xml:space="preserve">As for victim support services and resources in Lithuania, they often fail to ensure that women with various disabilities are appropriately supported, and that information and all </w:t>
      </w:r>
      <w:r w:rsidRPr="00071232">
        <w:lastRenderedPageBreak/>
        <w:t xml:space="preserve">services are accessible to them. Even though there are obligatory accessibility requirements (both physical and informational) for all public services, no additional funding is provided to ensure such accessibility. </w:t>
      </w:r>
    </w:p>
    <w:p w14:paraId="64A1C0CB" w14:textId="77777777" w:rsidR="00AF1D98" w:rsidRPr="00071232" w:rsidRDefault="00AF1D98" w:rsidP="00C87455"/>
    <w:p w14:paraId="78778CC8" w14:textId="2E6AB605" w:rsidR="00AF1D98" w:rsidRDefault="007036BD" w:rsidP="00C87455">
      <w:r w:rsidRPr="007036BD">
        <w:t>Studies show that women with intellectual disabilities face an increased risk of violence, yet this issue remains under-researched due to the need for accessible methodologies. Consequently, they have limited or no access to violence prevention services, while neither they nor their support networks receive appropriate training or accessible materials</w:t>
      </w:r>
      <w:r w:rsidR="00021BC7">
        <w:t xml:space="preserve"> on recognition of domestic violence and services available</w:t>
      </w:r>
      <w:r w:rsidRPr="007036BD">
        <w:t>. Although professionals such as healthcare providers and social workers often identify suspicions of violence, there are no established protocols to support, protect, or empower these women to recognize and respond to different forms of violence.</w:t>
      </w:r>
    </w:p>
    <w:p w14:paraId="75F1EAC9" w14:textId="77777777" w:rsidR="00C87455" w:rsidRPr="00071232" w:rsidRDefault="00C87455" w:rsidP="00C87455"/>
    <w:p w14:paraId="4DA1C51B" w14:textId="13EAFF07" w:rsidR="00A115C5" w:rsidRDefault="00A115C5" w:rsidP="00C87455">
      <w:pPr>
        <w:rPr>
          <w:lang w:val="lt-LT"/>
        </w:rPr>
      </w:pPr>
      <w:r w:rsidRPr="00071232">
        <w:rPr>
          <w:lang w:val="lt-LT"/>
        </w:rPr>
        <w:t>Disability rights organisations recommend that the current Law on Protection against Domestic Violence</w:t>
      </w:r>
      <w:r w:rsidRPr="00071232">
        <w:rPr>
          <w:rStyle w:val="FootnoteReference"/>
          <w:rFonts w:cstheme="minorHAnsi"/>
          <w:lang w:val="lt-LT"/>
        </w:rPr>
        <w:footnoteReference w:id="3"/>
      </w:r>
      <w:r w:rsidRPr="00071232">
        <w:rPr>
          <w:lang w:val="lt-LT"/>
        </w:rPr>
        <w:t xml:space="preserve"> be amended to include a mandatory initiation of case management when a person with disabilities at risk of or exposed to </w:t>
      </w:r>
      <w:r w:rsidR="00015581">
        <w:rPr>
          <w:lang w:val="lt-LT"/>
        </w:rPr>
        <w:t xml:space="preserve">domestic </w:t>
      </w:r>
      <w:r w:rsidRPr="00071232">
        <w:rPr>
          <w:lang w:val="lt-LT"/>
        </w:rPr>
        <w:t>violence is identified as needing services to ensure his or her independence. Unless a person with a disability receives services that enable him or her to live independently and without dependence on his or her immediate environment, it is highly unlikely that he or she will seek help.</w:t>
      </w:r>
    </w:p>
    <w:p w14:paraId="1271BC3F" w14:textId="77777777" w:rsidR="00C87455" w:rsidRPr="00C87455" w:rsidRDefault="00C87455" w:rsidP="00C87455">
      <w:pPr>
        <w:rPr>
          <w:lang w:val="lt-LT"/>
        </w:rPr>
      </w:pPr>
    </w:p>
    <w:p w14:paraId="1312218D" w14:textId="5F8014D8" w:rsidR="001A377C" w:rsidRPr="00071232" w:rsidRDefault="00A115C5" w:rsidP="00C87455">
      <w:pPr>
        <w:rPr>
          <w:lang w:val="lt-LT"/>
        </w:rPr>
      </w:pPr>
      <w:r w:rsidRPr="00071232">
        <w:rPr>
          <w:lang w:val="lt-LT"/>
        </w:rPr>
        <w:t xml:space="preserve">Lithuania is one of the countries that has not yet ratified the Council of Europe's </w:t>
      </w:r>
      <w:r w:rsidR="007E0E26" w:rsidRPr="000928E1">
        <w:rPr>
          <w:lang w:val="lt-LT"/>
        </w:rPr>
        <w:t>Convention on preventing and combating violence against women and domestic violence</w:t>
      </w:r>
      <w:r w:rsidR="007E0E26" w:rsidRPr="00071232">
        <w:rPr>
          <w:lang w:val="lt-LT"/>
        </w:rPr>
        <w:t xml:space="preserve"> </w:t>
      </w:r>
      <w:r w:rsidR="007E0E26">
        <w:rPr>
          <w:lang w:val="lt-LT"/>
        </w:rPr>
        <w:t>(</w:t>
      </w:r>
      <w:r w:rsidRPr="00071232">
        <w:rPr>
          <w:lang w:val="lt-LT"/>
        </w:rPr>
        <w:t>Istanbul Convention</w:t>
      </w:r>
      <w:r w:rsidR="007E0E26">
        <w:rPr>
          <w:lang w:val="lt-LT"/>
        </w:rPr>
        <w:t>)</w:t>
      </w:r>
      <w:r w:rsidRPr="00071232">
        <w:rPr>
          <w:lang w:val="lt-LT"/>
        </w:rPr>
        <w:t>, which is crucial for the prevention of gender-based violence and more effective assistance in case of violence. Lithuania must ratify this instrument and undertake the obligations set out therein.</w:t>
      </w:r>
    </w:p>
    <w:p w14:paraId="07CB5095" w14:textId="3EE94A0D" w:rsidR="001A377C" w:rsidRPr="001A377C" w:rsidRDefault="004249CE" w:rsidP="001A377C">
      <w:pPr>
        <w:pStyle w:val="Heading2"/>
      </w:pPr>
      <w:bookmarkStart w:id="2" w:name="_Toc217829521"/>
      <w:proofErr w:type="spellStart"/>
      <w:r w:rsidRPr="00211517">
        <w:t>Recomendations</w:t>
      </w:r>
      <w:proofErr w:type="spellEnd"/>
      <w:r w:rsidRPr="00211517">
        <w:t>:</w:t>
      </w:r>
      <w:bookmarkEnd w:id="2"/>
    </w:p>
    <w:p w14:paraId="107E7A6A" w14:textId="77777777" w:rsidR="00FA777B" w:rsidRPr="004525FD" w:rsidRDefault="004249CE" w:rsidP="00DA1D09">
      <w:pPr>
        <w:pStyle w:val="ListParagraph"/>
        <w:numPr>
          <w:ilvl w:val="0"/>
          <w:numId w:val="31"/>
        </w:numPr>
      </w:pPr>
      <w:r w:rsidRPr="00DA1D09">
        <w:rPr>
          <w:rStyle w:val="Strong"/>
          <w:rFonts w:eastAsiaTheme="majorEastAsia"/>
          <w:b w:val="0"/>
          <w:bCs w:val="0"/>
        </w:rPr>
        <w:t>Ratify the Istanbul Convention</w:t>
      </w:r>
    </w:p>
    <w:p w14:paraId="5F2ADDCB" w14:textId="77777777" w:rsidR="004249CE" w:rsidRDefault="004249CE" w:rsidP="00DA1D09">
      <w:r w:rsidRPr="00071232">
        <w:t xml:space="preserve">The Government of Lithuania should urgently ratify the Council of Europe's Istanbul Convention to strengthen legal and institutional frameworks for preventing gender-based </w:t>
      </w:r>
      <w:r w:rsidRPr="00071232">
        <w:lastRenderedPageBreak/>
        <w:t>violence and ensuring protection and support for all survivors, including women with disabilities.</w:t>
      </w:r>
    </w:p>
    <w:p w14:paraId="491B70CE" w14:textId="77777777" w:rsidR="001A377C" w:rsidRPr="00071232" w:rsidRDefault="001A377C" w:rsidP="00DA1D09"/>
    <w:p w14:paraId="0A8B91D0" w14:textId="77777777" w:rsidR="0090240C" w:rsidRPr="004525FD" w:rsidRDefault="004249CE" w:rsidP="00DA1D09">
      <w:pPr>
        <w:pStyle w:val="ListParagraph"/>
        <w:numPr>
          <w:ilvl w:val="0"/>
          <w:numId w:val="31"/>
        </w:numPr>
      </w:pPr>
      <w:r w:rsidRPr="00DA1D09">
        <w:rPr>
          <w:rStyle w:val="Strong"/>
          <w:rFonts w:eastAsiaTheme="majorEastAsia"/>
          <w:b w:val="0"/>
          <w:bCs w:val="0"/>
        </w:rPr>
        <w:t>Amend the Law on Protection Against Domestic Violence</w:t>
      </w:r>
    </w:p>
    <w:p w14:paraId="127EF952" w14:textId="2C6DFF83" w:rsidR="00DA1D09" w:rsidRDefault="004249CE" w:rsidP="00DA1D09">
      <w:r w:rsidRPr="00071232">
        <w:t>Introduce a provision mandating case management for persons with disabilities who are at risk of or subjected to violence, ensuring access to services that enable independent and safe living.</w:t>
      </w:r>
    </w:p>
    <w:p w14:paraId="0C93A7DE" w14:textId="77777777" w:rsidR="001A377C" w:rsidRPr="00071232" w:rsidRDefault="001A377C" w:rsidP="00DA1D09"/>
    <w:p w14:paraId="7B6A07F1" w14:textId="77777777" w:rsidR="0090240C" w:rsidRPr="004525FD" w:rsidRDefault="004249CE" w:rsidP="00DA1D09">
      <w:pPr>
        <w:pStyle w:val="ListParagraph"/>
        <w:numPr>
          <w:ilvl w:val="0"/>
          <w:numId w:val="31"/>
        </w:numPr>
      </w:pPr>
      <w:r w:rsidRPr="00DA1D09">
        <w:rPr>
          <w:rStyle w:val="Strong"/>
          <w:rFonts w:eastAsiaTheme="majorEastAsia"/>
          <w:b w:val="0"/>
          <w:bCs w:val="0"/>
        </w:rPr>
        <w:t>Ensure Accessible and Inclusive Support Services</w:t>
      </w:r>
    </w:p>
    <w:p w14:paraId="2DBFAD40" w14:textId="77777777" w:rsidR="004249CE" w:rsidRDefault="004249CE" w:rsidP="00DA1D09">
      <w:r w:rsidRPr="00071232">
        <w:t>Guarantee that all services for victims of violence—including shelters, helplines, psychological support, and legal aid—are physically accessible, inclusive of different communication needs, and staffed by professionals trained in disability awareness.</w:t>
      </w:r>
    </w:p>
    <w:p w14:paraId="4CAD8FA4" w14:textId="77777777" w:rsidR="001A377C" w:rsidRPr="00071232" w:rsidRDefault="001A377C" w:rsidP="00DA1D09"/>
    <w:p w14:paraId="2D663E1A" w14:textId="77777777" w:rsidR="0090240C" w:rsidRPr="00DA1D09" w:rsidRDefault="004249CE" w:rsidP="00DA1D09">
      <w:pPr>
        <w:pStyle w:val="ListParagraph"/>
        <w:numPr>
          <w:ilvl w:val="0"/>
          <w:numId w:val="31"/>
        </w:numPr>
        <w:rPr>
          <w:rStyle w:val="Strong"/>
          <w:rFonts w:eastAsiaTheme="majorEastAsia"/>
          <w:b w:val="0"/>
          <w:bCs w:val="0"/>
        </w:rPr>
      </w:pPr>
      <w:r w:rsidRPr="00DA1D09">
        <w:rPr>
          <w:rStyle w:val="Strong"/>
          <w:rFonts w:eastAsiaTheme="majorEastAsia"/>
          <w:b w:val="0"/>
          <w:bCs w:val="0"/>
        </w:rPr>
        <w:t>Improve Data Collection and Disaggregation</w:t>
      </w:r>
    </w:p>
    <w:p w14:paraId="46693AB8" w14:textId="77777777" w:rsidR="004249CE" w:rsidRDefault="004249CE" w:rsidP="00DA1D09">
      <w:r w:rsidRPr="00071232">
        <w:t>Systematically collect and publish disaggregated data on gender-based and disability-related violence, including sexual violence, to ensure visibility and inform evidence-based policy-making.</w:t>
      </w:r>
    </w:p>
    <w:p w14:paraId="533FBAA8" w14:textId="77777777" w:rsidR="001A377C" w:rsidRPr="00071232" w:rsidRDefault="001A377C" w:rsidP="00DA1D09"/>
    <w:p w14:paraId="4DFE856D" w14:textId="77777777" w:rsidR="0090240C" w:rsidRPr="004525FD" w:rsidRDefault="004249CE" w:rsidP="00DA1D09">
      <w:pPr>
        <w:pStyle w:val="ListParagraph"/>
        <w:numPr>
          <w:ilvl w:val="0"/>
          <w:numId w:val="31"/>
        </w:numPr>
      </w:pPr>
      <w:r w:rsidRPr="00DA1D09">
        <w:rPr>
          <w:rStyle w:val="Strong"/>
          <w:rFonts w:eastAsiaTheme="majorEastAsia"/>
          <w:b w:val="0"/>
          <w:bCs w:val="0"/>
        </w:rPr>
        <w:t>Raise Awareness and Train Professionals</w:t>
      </w:r>
    </w:p>
    <w:p w14:paraId="3851859C" w14:textId="77777777" w:rsidR="004249CE" w:rsidRDefault="004249CE" w:rsidP="00DA1D09">
      <w:r w:rsidRPr="00071232">
        <w:t>Provide mandatory training for law enforcement, judicial personnel, healthcare providers, and social workers on the specific needs of women with disabilities, the human rights-based model of disability, and the forms of violence they may face.</w:t>
      </w:r>
    </w:p>
    <w:p w14:paraId="2F9E3722" w14:textId="77777777" w:rsidR="001A377C" w:rsidRPr="00071232" w:rsidRDefault="001A377C" w:rsidP="00DA1D09"/>
    <w:p w14:paraId="2A7F7170" w14:textId="1D65C92B" w:rsidR="0090240C" w:rsidRPr="004525FD" w:rsidRDefault="004249CE" w:rsidP="00DA1D09">
      <w:pPr>
        <w:pStyle w:val="ListParagraph"/>
        <w:numPr>
          <w:ilvl w:val="0"/>
          <w:numId w:val="31"/>
        </w:numPr>
      </w:pPr>
      <w:r w:rsidRPr="00DA1D09">
        <w:rPr>
          <w:rStyle w:val="Strong"/>
          <w:rFonts w:eastAsiaTheme="majorEastAsia"/>
          <w:b w:val="0"/>
          <w:bCs w:val="0"/>
        </w:rPr>
        <w:t xml:space="preserve">Empower </w:t>
      </w:r>
      <w:r w:rsidR="004525FD" w:rsidRPr="00DA1D09">
        <w:rPr>
          <w:rStyle w:val="Strong"/>
          <w:rFonts w:eastAsiaTheme="majorEastAsia"/>
          <w:b w:val="0"/>
          <w:bCs w:val="0"/>
        </w:rPr>
        <w:t>w</w:t>
      </w:r>
      <w:r w:rsidRPr="00DA1D09">
        <w:rPr>
          <w:rStyle w:val="Strong"/>
          <w:rFonts w:eastAsiaTheme="majorEastAsia"/>
          <w:b w:val="0"/>
          <w:bCs w:val="0"/>
        </w:rPr>
        <w:t xml:space="preserve">omen with </w:t>
      </w:r>
      <w:r w:rsidR="004525FD" w:rsidRPr="00DA1D09">
        <w:rPr>
          <w:rStyle w:val="Strong"/>
          <w:rFonts w:eastAsiaTheme="majorEastAsia"/>
          <w:b w:val="0"/>
          <w:bCs w:val="0"/>
        </w:rPr>
        <w:t>d</w:t>
      </w:r>
      <w:r w:rsidRPr="00DA1D09">
        <w:rPr>
          <w:rStyle w:val="Strong"/>
          <w:rFonts w:eastAsiaTheme="majorEastAsia"/>
          <w:b w:val="0"/>
          <w:bCs w:val="0"/>
        </w:rPr>
        <w:t>isabilities</w:t>
      </w:r>
    </w:p>
    <w:p w14:paraId="762F9F44" w14:textId="6DA28481" w:rsidR="004249CE" w:rsidRPr="00071232" w:rsidRDefault="004249CE" w:rsidP="00DA1D09">
      <w:r w:rsidRPr="00071232">
        <w:t>Support initiatives led by women with disabilities</w:t>
      </w:r>
      <w:r w:rsidR="00C2182C">
        <w:t xml:space="preserve"> </w:t>
      </w:r>
      <w:r w:rsidR="00C2182C" w:rsidRPr="00C2182C">
        <w:t>with particular emphasis on initiatives for women with intellectual disabilities.</w:t>
      </w:r>
      <w:r w:rsidR="00C2182C">
        <w:t xml:space="preserve"> P</w:t>
      </w:r>
      <w:r w:rsidRPr="00071232">
        <w:t>eer support networks</w:t>
      </w:r>
      <w:r w:rsidR="00C2182C">
        <w:t xml:space="preserve">, </w:t>
      </w:r>
      <w:r w:rsidRPr="00071232">
        <w:t xml:space="preserve">advocacy groups, </w:t>
      </w:r>
      <w:r w:rsidR="00C2182C">
        <w:t xml:space="preserve">trainings </w:t>
      </w:r>
      <w:r w:rsidRPr="00071232">
        <w:t xml:space="preserve">to </w:t>
      </w:r>
      <w:r w:rsidR="00C2182C" w:rsidRPr="00C2182C">
        <w:t xml:space="preserve">support the identification of violence and appropriate responses in situations of abuse, </w:t>
      </w:r>
      <w:r w:rsidRPr="00071232">
        <w:t>amplify their voices and increase their involvement in policy-making, service design, and monitoring of violence prevention strategies.</w:t>
      </w:r>
    </w:p>
    <w:p w14:paraId="4DA0EB13" w14:textId="30251292" w:rsidR="00A115C5" w:rsidRPr="00071232" w:rsidRDefault="00F463AC" w:rsidP="00211517">
      <w:pPr>
        <w:pStyle w:val="Heading1"/>
        <w:numPr>
          <w:ilvl w:val="0"/>
          <w:numId w:val="21"/>
        </w:numPr>
        <w:rPr>
          <w:rFonts w:cstheme="minorHAnsi"/>
          <w:shd w:val="clear" w:color="auto" w:fill="FFFFFF"/>
        </w:rPr>
      </w:pPr>
      <w:bookmarkStart w:id="3" w:name="_Toc217829522"/>
      <w:r w:rsidRPr="00071232">
        <w:rPr>
          <w:rFonts w:cstheme="minorHAnsi"/>
          <w:shd w:val="clear" w:color="auto" w:fill="FFFFFF"/>
        </w:rPr>
        <w:lastRenderedPageBreak/>
        <w:t>Access to justice</w:t>
      </w:r>
      <w:bookmarkEnd w:id="3"/>
    </w:p>
    <w:p w14:paraId="194CE83B" w14:textId="72E640BF" w:rsidR="000A0790" w:rsidRDefault="000A0790" w:rsidP="004525FD">
      <w:r w:rsidRPr="000A0790">
        <w:t xml:space="preserve">Data on access to justice are not disaggregated by </w:t>
      </w:r>
      <w:r w:rsidR="007E0E26">
        <w:t>gender</w:t>
      </w:r>
      <w:r w:rsidRPr="000A0790">
        <w:t>; therefore, the following assessment reflects the overall situation.</w:t>
      </w:r>
    </w:p>
    <w:p w14:paraId="0ECCA177" w14:textId="77777777" w:rsidR="004525FD" w:rsidRPr="000A0790" w:rsidRDefault="004525FD" w:rsidP="004525FD">
      <w:pPr>
        <w:rPr>
          <w:lang/>
        </w:rPr>
      </w:pPr>
    </w:p>
    <w:p w14:paraId="635F4CD6" w14:textId="16978710" w:rsidR="000A0790" w:rsidRDefault="000A0790" w:rsidP="004525FD">
      <w:r w:rsidRPr="000A0790">
        <w:t>Recent studies</w:t>
      </w:r>
      <w:r w:rsidR="004525FD">
        <w:rPr>
          <w:rStyle w:val="FootnoteReference"/>
        </w:rPr>
        <w:footnoteReference w:id="4"/>
      </w:r>
      <w:r w:rsidRPr="000A0790">
        <w:t xml:space="preserve"> have highlighted significant gaps in ensuring the rights of victims of crime with disabilities and the implementation of the EU Victims' Rights Directive. During the transposition of the Directive into national law, amendments to the Code of Criminal Procedure did not include provisions specifically addressing persons with disabilities. In line with Article 4 of the Directive, the Prosecutor General approved a standardised “Annex to the victim’s rights clarification protocol” (a letter of rights). However, neither the format nor the wording of this document meets the Directive’s requirements to be “easy to read” or “easy to understand.” In practice, law enforcement officials rarely ensure that victims fully understand the content of the letter, for instance by providing verbal explanations. </w:t>
      </w:r>
      <w:r w:rsidR="007E0E26">
        <w:t>Victims in m</w:t>
      </w:r>
      <w:r w:rsidRPr="000A0790">
        <w:t xml:space="preserve">ore vulnerable </w:t>
      </w:r>
      <w:r w:rsidR="007E0E26">
        <w:t>situations</w:t>
      </w:r>
      <w:r w:rsidRPr="000A0790">
        <w:t>—including persons with visual, intellectual, or psychosocial disabilities, and children—are often not given this information in an accessible format or a language they can easily comprehend.</w:t>
      </w:r>
    </w:p>
    <w:p w14:paraId="1A0AF0F2" w14:textId="77777777" w:rsidR="004525FD" w:rsidRPr="000A0790" w:rsidRDefault="004525FD" w:rsidP="004525FD"/>
    <w:p w14:paraId="3F051A19" w14:textId="6FF4F972" w:rsidR="000A0790" w:rsidRDefault="000A0790" w:rsidP="004525FD">
      <w:r w:rsidRPr="000A0790">
        <w:t xml:space="preserve">Disability-related hate crimes remain largely unrecognised in Lithuania. The qualifying circumstance “a vulnerable state of the victim” is often applied to persons with disabilities, while additional motives or the possibility of disability-based hate crimes </w:t>
      </w:r>
      <w:proofErr w:type="gramStart"/>
      <w:r w:rsidRPr="000A0790">
        <w:t>are</w:t>
      </w:r>
      <w:proofErr w:type="gramEnd"/>
      <w:r w:rsidRPr="000A0790">
        <w:t xml:space="preserve"> rarely considered. NGOs note that such crimes are scarcely reflected in national statistics, indicating that bias-motivated crimes against persons with disabilities are not systematically recorded or addressed. A clear legislative definition of hate crimes, specifying that they are committed with a “biased motivation” rather than as a mere expression of hatred, is urgently needed.</w:t>
      </w:r>
    </w:p>
    <w:p w14:paraId="56759794" w14:textId="77777777" w:rsidR="004525FD" w:rsidRPr="004525FD" w:rsidRDefault="004525FD" w:rsidP="004525FD">
      <w:pPr>
        <w:rPr>
          <w:lang w:val="lt-LT"/>
        </w:rPr>
      </w:pPr>
    </w:p>
    <w:p w14:paraId="2182CED6" w14:textId="77777777" w:rsidR="000A0790" w:rsidRDefault="000A0790" w:rsidP="004525FD">
      <w:r w:rsidRPr="000A0790">
        <w:t xml:space="preserve">Furthermore, there is a critical need for disability awareness training for law enforcement officers. Research shows that current training lacks focus on disability issues and on a </w:t>
      </w:r>
      <w:r w:rsidRPr="000A0790">
        <w:lastRenderedPageBreak/>
        <w:t>human rights-based approach in line with the UN Convention on the Rights of Persons with Disabilities. Effective communication with victims with disabilities is as important as the content of the communication itself, yet it is not prioritised in practice, leaving many victims without adequate support.</w:t>
      </w:r>
    </w:p>
    <w:p w14:paraId="793FF224" w14:textId="77777777" w:rsidR="001A377C" w:rsidRPr="000A0790" w:rsidRDefault="001A377C" w:rsidP="004525FD"/>
    <w:p w14:paraId="2AF04C11" w14:textId="7B246951" w:rsidR="001A377C" w:rsidRPr="001A377C" w:rsidRDefault="00A003D0" w:rsidP="001A377C">
      <w:pPr>
        <w:pStyle w:val="Heading2"/>
      </w:pPr>
      <w:bookmarkStart w:id="4" w:name="_Toc217829523"/>
      <w:proofErr w:type="spellStart"/>
      <w:r w:rsidRPr="00DA1D09">
        <w:t>Recomendations</w:t>
      </w:r>
      <w:proofErr w:type="spellEnd"/>
      <w:r w:rsidRPr="00DA1D09">
        <w:t>:</w:t>
      </w:r>
      <w:bookmarkEnd w:id="4"/>
    </w:p>
    <w:p w14:paraId="2699EDDE" w14:textId="71182F34" w:rsidR="004525FD" w:rsidRPr="00DA1D09" w:rsidRDefault="004525FD" w:rsidP="00DA1D09">
      <w:pPr>
        <w:pStyle w:val="ListParagraph"/>
        <w:numPr>
          <w:ilvl w:val="0"/>
          <w:numId w:val="31"/>
        </w:numPr>
        <w:rPr>
          <w:rStyle w:val="Strong"/>
          <w:rFonts w:eastAsiaTheme="majorEastAsia"/>
          <w:b w:val="0"/>
          <w:bCs w:val="0"/>
        </w:rPr>
      </w:pPr>
      <w:r w:rsidRPr="00DA1D09">
        <w:rPr>
          <w:rStyle w:val="Strong"/>
          <w:rFonts w:eastAsiaTheme="majorEastAsia"/>
          <w:b w:val="0"/>
          <w:bCs w:val="0"/>
        </w:rPr>
        <w:t>Improve accessibility of information for victims with disabilities</w:t>
      </w:r>
    </w:p>
    <w:p w14:paraId="45F22592" w14:textId="552E7ABE" w:rsidR="004525FD" w:rsidRDefault="004525FD" w:rsidP="00DA1D09">
      <w:pPr>
        <w:rPr>
          <w:rStyle w:val="Strong"/>
          <w:b w:val="0"/>
          <w:bCs w:val="0"/>
        </w:rPr>
      </w:pPr>
      <w:r w:rsidRPr="004525FD">
        <w:rPr>
          <w:rStyle w:val="Strong"/>
          <w:b w:val="0"/>
          <w:bCs w:val="0"/>
        </w:rPr>
        <w:t>It is recommended that the State considers revising the victim’s rights clarification protocol and related materials to ensure they are accessible, including easy-to-read and easy-to-understand formats, and adapted to meet the needs of persons with visual, intellectual, or psychosocial disabilities</w:t>
      </w:r>
      <w:r w:rsidR="00F2217F">
        <w:rPr>
          <w:rStyle w:val="Strong"/>
          <w:b w:val="0"/>
          <w:bCs w:val="0"/>
        </w:rPr>
        <w:t xml:space="preserve">. </w:t>
      </w:r>
    </w:p>
    <w:p w14:paraId="7621376D" w14:textId="77777777" w:rsidR="00F2217F" w:rsidRDefault="00F2217F" w:rsidP="00DA1D09">
      <w:pPr>
        <w:rPr>
          <w:rStyle w:val="Strong"/>
          <w:b w:val="0"/>
          <w:bCs w:val="0"/>
        </w:rPr>
      </w:pPr>
    </w:p>
    <w:p w14:paraId="40EEBC39" w14:textId="39C5FA1E" w:rsidR="00F2217F" w:rsidRPr="00F2217F" w:rsidRDefault="00F2217F" w:rsidP="00F2217F">
      <w:pPr>
        <w:pStyle w:val="ListParagraph"/>
        <w:numPr>
          <w:ilvl w:val="0"/>
          <w:numId w:val="31"/>
        </w:numPr>
        <w:rPr>
          <w:rStyle w:val="Strong"/>
          <w:b w:val="0"/>
          <w:bCs w:val="0"/>
        </w:rPr>
      </w:pPr>
      <w:r w:rsidRPr="00F2217F">
        <w:rPr>
          <w:rStyle w:val="Strong"/>
          <w:rFonts w:eastAsiaTheme="majorEastAsia"/>
          <w:b w:val="0"/>
          <w:bCs w:val="0"/>
        </w:rPr>
        <w:t>Promote disability awareness and human rights training for justice professionals</w:t>
      </w:r>
      <w:r w:rsidR="003A0D84">
        <w:rPr>
          <w:rStyle w:val="Strong"/>
          <w:rFonts w:eastAsiaTheme="majorEastAsia"/>
          <w:b w:val="0"/>
          <w:bCs w:val="0"/>
        </w:rPr>
        <w:t>.</w:t>
      </w:r>
    </w:p>
    <w:p w14:paraId="1A8023EB" w14:textId="1D676EC5" w:rsidR="00F2217F" w:rsidRDefault="00F2217F" w:rsidP="00DA1D09">
      <w:pPr>
        <w:rPr>
          <w:rStyle w:val="Strong"/>
          <w:b w:val="0"/>
          <w:bCs w:val="0"/>
        </w:rPr>
      </w:pPr>
      <w:r w:rsidRPr="004525FD">
        <w:rPr>
          <w:rStyle w:val="Strong"/>
          <w:b w:val="0"/>
          <w:bCs w:val="0"/>
        </w:rPr>
        <w:t>It is suggested that law enforcement and other justice professionals receive training on disability rights and effective communication with victims with disabilities, guided by a human rights-based approach in line with the UN Convention on the Rights of Persons with Disabilities.</w:t>
      </w:r>
    </w:p>
    <w:p w14:paraId="7BD2A7FE" w14:textId="77777777" w:rsidR="001A377C" w:rsidRPr="004525FD" w:rsidRDefault="001A377C" w:rsidP="00DA1D09">
      <w:pPr>
        <w:rPr>
          <w:rStyle w:val="Strong"/>
          <w:b w:val="0"/>
          <w:bCs w:val="0"/>
        </w:rPr>
      </w:pPr>
    </w:p>
    <w:p w14:paraId="0B4537B9" w14:textId="4880CB2E" w:rsidR="004525FD" w:rsidRPr="00DA1D09" w:rsidRDefault="004525FD" w:rsidP="00DA1D09">
      <w:pPr>
        <w:pStyle w:val="ListParagraph"/>
        <w:numPr>
          <w:ilvl w:val="0"/>
          <w:numId w:val="31"/>
        </w:numPr>
        <w:rPr>
          <w:rStyle w:val="Strong"/>
          <w:b w:val="0"/>
          <w:bCs w:val="0"/>
        </w:rPr>
      </w:pPr>
      <w:r w:rsidRPr="00DA1D09">
        <w:rPr>
          <w:rStyle w:val="Strong"/>
          <w:b w:val="0"/>
          <w:bCs w:val="0"/>
        </w:rPr>
        <w:t>Recognize</w:t>
      </w:r>
      <w:r w:rsidRPr="00DA1D09">
        <w:rPr>
          <w:rStyle w:val="Strong"/>
          <w:rFonts w:eastAsiaTheme="majorEastAsia"/>
          <w:b w:val="0"/>
          <w:bCs w:val="0"/>
        </w:rPr>
        <w:t xml:space="preserve"> and address disability-related hate crimes</w:t>
      </w:r>
    </w:p>
    <w:p w14:paraId="62CE056F" w14:textId="3774920F" w:rsidR="00AB204B" w:rsidRPr="00AB204B" w:rsidRDefault="004525FD" w:rsidP="00AB204B">
      <w:r w:rsidRPr="004525FD">
        <w:rPr>
          <w:rStyle w:val="Strong"/>
          <w:b w:val="0"/>
          <w:bCs w:val="0"/>
        </w:rPr>
        <w:t>The State may consider establishing clear guidance for identifying, investigating, and recording hate crimes against persons with disabilities, ensuring that potential bias motivations are taken into account in criminal investigations and national statistics.</w:t>
      </w:r>
      <w:bookmarkStart w:id="5" w:name="_Toc156155310"/>
    </w:p>
    <w:p w14:paraId="50675E58" w14:textId="34C47119" w:rsidR="00A115C5" w:rsidRPr="00211517" w:rsidRDefault="008F0BF9" w:rsidP="00850FFB">
      <w:pPr>
        <w:pStyle w:val="Heading1"/>
        <w:numPr>
          <w:ilvl w:val="0"/>
          <w:numId w:val="21"/>
        </w:numPr>
      </w:pPr>
      <w:bookmarkStart w:id="6" w:name="_Toc217829524"/>
      <w:bookmarkEnd w:id="5"/>
      <w:r w:rsidRPr="00211517">
        <w:rPr>
          <w:rFonts w:cstheme="minorHAnsi"/>
        </w:rPr>
        <w:t>Education</w:t>
      </w:r>
      <w:bookmarkEnd w:id="6"/>
    </w:p>
    <w:p w14:paraId="52CE0BBF" w14:textId="4E25294F" w:rsidR="003141F4" w:rsidRDefault="003141F4" w:rsidP="00DA1D09">
      <w:r w:rsidRPr="00FE3EFF">
        <w:t xml:space="preserve">In Lithuania, education indicators are not disaggregated by </w:t>
      </w:r>
      <w:r w:rsidR="003A0D84">
        <w:t>gender</w:t>
      </w:r>
      <w:r w:rsidRPr="00FE3EFF">
        <w:t>, or such data are not made publicly available. As a result, the following assessment reflects the overall situation of inclusive education rather than gender-specific trends.</w:t>
      </w:r>
    </w:p>
    <w:p w14:paraId="182EB7B0" w14:textId="77777777" w:rsidR="00DA1D09" w:rsidRPr="00FE3EFF" w:rsidRDefault="00DA1D09" w:rsidP="00DA1D09"/>
    <w:p w14:paraId="2CA9C2B2" w14:textId="4BDD1CA8" w:rsidR="005743DF" w:rsidRDefault="005743DF" w:rsidP="00DA1D09">
      <w:r w:rsidRPr="00FE3EFF">
        <w:t xml:space="preserve">The number of children with disabilities in special education has remained almost unchanged. Amendments to the Law on Education adopted on 30 June 2020 guarantee the </w:t>
      </w:r>
      <w:r w:rsidRPr="00FE3EFF">
        <w:lastRenderedPageBreak/>
        <w:t>right of children with disabilities to attend the nearest mainstream school on an equal basis, with full implementation scheduled for 1 September 2024. Between 2020 and 2023, the number of special education establishments decreased marginally (from 43 to 42), while the number of children educated in them remained stable (from 3,685 to 3,656).</w:t>
      </w:r>
    </w:p>
    <w:p w14:paraId="502C1B0B" w14:textId="77777777" w:rsidR="00DA1D09" w:rsidRPr="00FE3EFF" w:rsidRDefault="00DA1D09" w:rsidP="00DA1D09"/>
    <w:p w14:paraId="4F83E68B" w14:textId="51CD6D93" w:rsidR="00021BC7" w:rsidRDefault="00021BC7" w:rsidP="00DA1D09">
      <w:r>
        <w:t>As the entry into force of inclusive education reforms was approaching, attempts emerged to restrict the rights of children with disabilities and their families to freely choose an educational setting. On 14 December 2023, the Seimas approved the submission of a draft amendment to the Law on Education that could have limited the inclusion of children with disabilities in mainstream classes. The proposal would have allowed educational psychological services to recommend segregated education and, in certain cases, enabled municipal authorities to override parental choice. Although the amendment was ultimately not adopted, the Lithuanian Disability Forum (LND) warned that it was incompatible with the UN Convention on the Rights of Persons with Disabilities and viewed it as an indication of a persistent risk of backsliding—reflecting an ongoing inclination to retreat from CRPD standards in education and to reintroduce discriminatory practices abolished in 2020.</w:t>
      </w:r>
    </w:p>
    <w:p w14:paraId="0B443902" w14:textId="77777777" w:rsidR="00DA1D09" w:rsidRPr="00FE3EFF" w:rsidRDefault="00DA1D09" w:rsidP="00DA1D09"/>
    <w:p w14:paraId="78C69356" w14:textId="72A0E104" w:rsidR="005743DF" w:rsidRDefault="00DA1D09" w:rsidP="00DA1D09">
      <w:r w:rsidRPr="00DA1D09">
        <w:t xml:space="preserve">Another serious issue in inclusive education is related to public attitudes towards children with disabilities in mainstream schools. </w:t>
      </w:r>
      <w:r w:rsidR="005743DF" w:rsidRPr="00DA1D09">
        <w:t>In 2024, negative</w:t>
      </w:r>
      <w:r w:rsidR="005743DF" w:rsidRPr="00FE3EFF">
        <w:t xml:space="preserve"> public attitudes towards inclusive education continue</w:t>
      </w:r>
      <w:r w:rsidR="00B671B6">
        <w:t>d</w:t>
      </w:r>
      <w:r w:rsidR="005743DF" w:rsidRPr="00FE3EFF">
        <w:t xml:space="preserve"> to hinder its implementation. Only 43% of respondents to a survey by the Office of the Equal Opportunities Ombudsman agreed that children with disabilities should be educated in the same classes as their peers, while 32% disagreed and 25% expressed no opinion. Despite this, there are no clear state-led initiatives to address stigma, inform parents, or ensure effective remedies when the rights of children with disabilities are not </w:t>
      </w:r>
      <w:r w:rsidR="00C87455" w:rsidRPr="00FE3EFF">
        <w:t>realized</w:t>
      </w:r>
      <w:r w:rsidR="005743DF" w:rsidRPr="00FE3EFF">
        <w:t>.</w:t>
      </w:r>
    </w:p>
    <w:p w14:paraId="5C89CEE3" w14:textId="77777777" w:rsidR="00DA1D09" w:rsidRPr="00FE3EFF" w:rsidRDefault="00DA1D09" w:rsidP="00DA1D09"/>
    <w:p w14:paraId="750F3BFB" w14:textId="50F171B3" w:rsidR="005743DF" w:rsidRPr="00FE3EFF" w:rsidRDefault="005743DF" w:rsidP="00DA1D09">
      <w:r w:rsidRPr="00FE3EFF">
        <w:t>Declining participation of persons with disabilities in higher education</w:t>
      </w:r>
      <w:r w:rsidR="003141F4" w:rsidRPr="00FE3EFF">
        <w:t xml:space="preserve">. </w:t>
      </w:r>
      <w:r w:rsidRPr="00FE3EFF">
        <w:t xml:space="preserve">The number of persons with disabilities in higher education in Lithuania is steadily decreasing, and access remains limited for students from low-income backgrounds and those with special educational needs. In the 2022–2023 academic year, 1,440 persons with disabilities studied in vocational education, compared to only 109 in colleges and 218 in universities. </w:t>
      </w:r>
      <w:r w:rsidR="00021BC7">
        <w:t xml:space="preserve">The number of students with disabilities in university level education has never even reached </w:t>
      </w:r>
      <w:r w:rsidR="00021BC7">
        <w:lastRenderedPageBreak/>
        <w:t xml:space="preserve">one percent of the total student population, and the current downward trend in </w:t>
      </w:r>
      <w:r w:rsidRPr="00FE3EFF">
        <w:t>university enrolment highlights persistent structural barriers.</w:t>
      </w:r>
    </w:p>
    <w:p w14:paraId="0BEAAD36" w14:textId="77777777" w:rsidR="00DA1D09" w:rsidRDefault="00DA1D09" w:rsidP="00DA1D09"/>
    <w:p w14:paraId="647D020B" w14:textId="79FA21AC" w:rsidR="005743DF" w:rsidRDefault="005743DF" w:rsidP="00DA1D09">
      <w:r w:rsidRPr="00FE3EFF">
        <w:t>The STRATA EUROSTUDENT VII (2021) report identifies financial dependence, limited personalisation of study programmes, and inadequate infrastructure as key obstacles for students with disabilities. These factors significantly restrict both access to and successful participation in higher education.</w:t>
      </w:r>
    </w:p>
    <w:p w14:paraId="396FEABC" w14:textId="77777777" w:rsidR="00DA1D09" w:rsidRPr="00FE3EFF" w:rsidRDefault="00DA1D09" w:rsidP="00DA1D09"/>
    <w:p w14:paraId="609D24C7" w14:textId="77777777" w:rsidR="00FE3EFF" w:rsidRDefault="005743DF" w:rsidP="00DA1D09">
      <w:r w:rsidRPr="00FE3EFF">
        <w:t>Access to higher education is largely left to the discretion of individual institutions, with the Law on Science and Studies addressing accessibility only in general terms. While the law provides for alternative assessment methods, it does not specify how institutions should implement reasonable accommodations or adjust study processes for students with disabilities.</w:t>
      </w:r>
      <w:r w:rsidR="003141F4" w:rsidRPr="00FE3EFF">
        <w:t xml:space="preserve"> </w:t>
      </w:r>
      <w:r w:rsidRPr="00FE3EFF">
        <w:t>There is no legal requirement or incentive for higher education institutions to systematically improve accessibility or tailor studies to individual needs. As a result, many students with disabilities discontinue their studies due to insufficient support, and no official data are collected on completion or graduation rates among this group.</w:t>
      </w:r>
    </w:p>
    <w:p w14:paraId="31DF662A" w14:textId="77777777" w:rsidR="00DA1D09" w:rsidRDefault="00DA1D09" w:rsidP="00DA1D09"/>
    <w:p w14:paraId="7095FC61" w14:textId="7E330C06" w:rsidR="005743DF" w:rsidRDefault="00372DF5" w:rsidP="00DA1D09">
      <w:r w:rsidRPr="00850FFB">
        <w:t>From 2023, the Life Skills program</w:t>
      </w:r>
      <w:r w:rsidR="00FE3EFF" w:rsidRPr="00850FFB">
        <w:t>me</w:t>
      </w:r>
      <w:r w:rsidR="00FE3EFF" w:rsidRPr="00850FFB">
        <w:rPr>
          <w:rStyle w:val="FootnoteReference"/>
          <w:rFonts w:cstheme="minorHAnsi"/>
          <w:bCs/>
        </w:rPr>
        <w:footnoteReference w:id="5"/>
      </w:r>
      <w:r w:rsidRPr="00850FFB">
        <w:t xml:space="preserve"> for pupils in grades 1 to 10 was introduced in mainstream schools. The </w:t>
      </w:r>
      <w:proofErr w:type="spellStart"/>
      <w:r w:rsidRPr="00850FFB">
        <w:t>progra</w:t>
      </w:r>
      <w:r w:rsidR="000928E1">
        <w:t>mme</w:t>
      </w:r>
      <w:proofErr w:type="spellEnd"/>
      <w:r w:rsidRPr="00850FFB">
        <w:t xml:space="preserve"> aims to enable every pupil to develop life skills such as social, emotional, healthy living, learning to protect their own and others' health and life, building personal and professional relationships, choosing a career path, developing empathy and sensitivity towards the well-being of others, the community and society</w:t>
      </w:r>
      <w:r w:rsidR="00FE3EFF" w:rsidRPr="00850FFB">
        <w:t xml:space="preserve"> as well as gender stereotypes. Although the</w:t>
      </w:r>
      <w:r w:rsidRPr="00850FFB">
        <w:t xml:space="preserve"> programme includes elements addressing gender equality and the reduction of gender stereotypes</w:t>
      </w:r>
      <w:r w:rsidR="00FE3EFF" w:rsidRPr="00850FFB">
        <w:t>,</w:t>
      </w:r>
      <w:r w:rsidRPr="00850FFB">
        <w:t xml:space="preserve"> however, these topics are not covered in a comprehensive or systematic manner, and their practical implementation largely depends on the level of teachers’ preparedness.</w:t>
      </w:r>
      <w:r w:rsidR="00FE3EFF" w:rsidRPr="00850FFB">
        <w:t xml:space="preserve"> However, what is of particular concern to the disability community is that this </w:t>
      </w:r>
      <w:proofErr w:type="spellStart"/>
      <w:r w:rsidR="00FE3EFF" w:rsidRPr="00850FFB">
        <w:t>programme</w:t>
      </w:r>
      <w:proofErr w:type="spellEnd"/>
      <w:r w:rsidR="00FE3EFF" w:rsidRPr="00850FFB">
        <w:t xml:space="preserve"> does not </w:t>
      </w:r>
      <w:r w:rsidRPr="00850FFB">
        <w:t xml:space="preserve">adequately reflect the diversity of disabilities or provide education on disability awareness, communication with persons with </w:t>
      </w:r>
      <w:r w:rsidRPr="00850FFB">
        <w:lastRenderedPageBreak/>
        <w:t>disabilities, or their rights. Moreover, the programme is not sufficiently adapted to children with different types of disabilities, as essential topics such as sexual education, violence prevention and access to support are often not delivered in accessible formats (e.g. easy-to-read language or sign language), leaving children with disabilities—who face a heightened risk of violence and exploitation—without effective access to vital protective information</w:t>
      </w:r>
      <w:r w:rsidR="00FE3EFF" w:rsidRPr="00850FFB">
        <w:t xml:space="preserve">. </w:t>
      </w:r>
    </w:p>
    <w:p w14:paraId="5137851A" w14:textId="77777777" w:rsidR="001A377C" w:rsidRPr="00850FFB" w:rsidRDefault="001A377C" w:rsidP="00DA1D09"/>
    <w:p w14:paraId="7991F819" w14:textId="5E7CF734" w:rsidR="001A377C" w:rsidRDefault="00A003D0" w:rsidP="001A377C">
      <w:pPr>
        <w:pStyle w:val="Heading2"/>
        <w:rPr>
          <w:lang w:val="lt-LT"/>
        </w:rPr>
      </w:pPr>
      <w:bookmarkStart w:id="7" w:name="_Toc217829525"/>
      <w:r w:rsidRPr="00071232">
        <w:rPr>
          <w:lang w:val="lt-LT"/>
        </w:rPr>
        <w:t>Recomendations:</w:t>
      </w:r>
      <w:bookmarkEnd w:id="7"/>
    </w:p>
    <w:p w14:paraId="58720DF9" w14:textId="4448FAF5" w:rsidR="00373652" w:rsidRPr="00373652" w:rsidRDefault="00373652" w:rsidP="00373652">
      <w:pPr>
        <w:pStyle w:val="ListParagraph"/>
        <w:numPr>
          <w:ilvl w:val="0"/>
          <w:numId w:val="31"/>
        </w:numPr>
        <w:rPr>
          <w:lang/>
        </w:rPr>
      </w:pPr>
      <w:r w:rsidRPr="00373652">
        <w:rPr>
          <w:lang/>
        </w:rPr>
        <w:t>Data Collection and Transparency</w:t>
      </w:r>
    </w:p>
    <w:p w14:paraId="2A8EDDD4" w14:textId="61B2C6B1" w:rsidR="00373652" w:rsidRDefault="00373652" w:rsidP="00373652">
      <w:pPr>
        <w:rPr>
          <w:lang/>
        </w:rPr>
      </w:pPr>
      <w:r w:rsidRPr="00373652">
        <w:rPr>
          <w:lang/>
        </w:rPr>
        <w:t xml:space="preserve">The State could consider collecting and publicly publishing data on educational participation disaggregated by </w:t>
      </w:r>
      <w:r w:rsidR="00E44BDB">
        <w:rPr>
          <w:lang/>
        </w:rPr>
        <w:t>gender</w:t>
      </w:r>
      <w:r w:rsidRPr="00373652">
        <w:rPr>
          <w:lang/>
        </w:rPr>
        <w:t>, disability, and other criteria. This would support a more comprehensive analysis, inform policy development, help identify disparities, and guide measures to improve inclusion and accessibility.</w:t>
      </w:r>
    </w:p>
    <w:p w14:paraId="433B78A7" w14:textId="77777777" w:rsidR="00373652" w:rsidRPr="00373652" w:rsidRDefault="00373652" w:rsidP="00373652">
      <w:pPr>
        <w:rPr>
          <w:lang/>
        </w:rPr>
      </w:pPr>
    </w:p>
    <w:p w14:paraId="45E0D5B9" w14:textId="77777777" w:rsidR="00373652" w:rsidRPr="00373652" w:rsidRDefault="00373652" w:rsidP="00373652">
      <w:pPr>
        <w:pStyle w:val="ListParagraph"/>
        <w:numPr>
          <w:ilvl w:val="0"/>
          <w:numId w:val="31"/>
        </w:numPr>
        <w:rPr>
          <w:lang/>
        </w:rPr>
      </w:pPr>
      <w:r w:rsidRPr="00373652">
        <w:rPr>
          <w:lang/>
        </w:rPr>
        <w:t>Inclusive Education in Mainstream Schools</w:t>
      </w:r>
    </w:p>
    <w:p w14:paraId="5D73ED87" w14:textId="77777777" w:rsidR="00373652" w:rsidRDefault="00373652" w:rsidP="00373652">
      <w:pPr>
        <w:rPr>
          <w:lang/>
        </w:rPr>
      </w:pPr>
      <w:r w:rsidRPr="00373652">
        <w:rPr>
          <w:lang/>
        </w:rPr>
        <w:t>It is important to ensure that the legal right of children with disabilities to attend the nearest mainstream school is fully implemented. The State may encourage schools and municipalities to create a supportive inclusive environment, monitor progress, and prevent regression. Public attitudes toward inclusive education could be improved through information campaigns for parents and the wider community, while clear mechanisms should be available to address violations of children’s rights in schools.</w:t>
      </w:r>
    </w:p>
    <w:p w14:paraId="16FB766E" w14:textId="77777777" w:rsidR="00373652" w:rsidRPr="00373652" w:rsidRDefault="00373652" w:rsidP="00373652">
      <w:pPr>
        <w:rPr>
          <w:lang/>
        </w:rPr>
      </w:pPr>
    </w:p>
    <w:p w14:paraId="436C2D48" w14:textId="77777777" w:rsidR="00373652" w:rsidRPr="00373652" w:rsidRDefault="00373652" w:rsidP="00373652">
      <w:pPr>
        <w:pStyle w:val="ListParagraph"/>
        <w:numPr>
          <w:ilvl w:val="0"/>
          <w:numId w:val="31"/>
        </w:numPr>
        <w:rPr>
          <w:lang/>
        </w:rPr>
      </w:pPr>
      <w:r w:rsidRPr="00373652">
        <w:rPr>
          <w:lang/>
        </w:rPr>
        <w:t>Participation in Higher Education</w:t>
      </w:r>
    </w:p>
    <w:p w14:paraId="281209CF" w14:textId="46C06C50" w:rsidR="00373652" w:rsidRDefault="00373652" w:rsidP="00373652">
      <w:pPr>
        <w:rPr>
          <w:lang/>
        </w:rPr>
      </w:pPr>
      <w:r w:rsidRPr="00373652">
        <w:rPr>
          <w:lang/>
        </w:rPr>
        <w:t>Clear mechanisms could be established for higher education institutions to implement reasonable accommodations, adapt study processes, and provide individualized support to reduce dropout rates. Regular collection and publication of data on enrollment, completion, and graduation rates of students with disabilities could further help monitor progress and identify structural barriers.</w:t>
      </w:r>
    </w:p>
    <w:p w14:paraId="228F8496" w14:textId="77777777" w:rsidR="00373652" w:rsidRPr="00373652" w:rsidRDefault="00373652" w:rsidP="00373652">
      <w:pPr>
        <w:rPr>
          <w:lang/>
        </w:rPr>
      </w:pPr>
    </w:p>
    <w:p w14:paraId="570F1E31" w14:textId="77777777" w:rsidR="00373652" w:rsidRPr="00373652" w:rsidRDefault="00373652" w:rsidP="00373652">
      <w:pPr>
        <w:pStyle w:val="ListParagraph"/>
        <w:numPr>
          <w:ilvl w:val="0"/>
          <w:numId w:val="31"/>
        </w:numPr>
        <w:rPr>
          <w:lang/>
        </w:rPr>
      </w:pPr>
      <w:r w:rsidRPr="00373652">
        <w:rPr>
          <w:lang/>
        </w:rPr>
        <w:t>Life Skills and Disability Awareness Education</w:t>
      </w:r>
    </w:p>
    <w:p w14:paraId="1E30EBBF" w14:textId="4CC1ED7B" w:rsidR="00373652" w:rsidRPr="00373652" w:rsidRDefault="00373652" w:rsidP="00373652">
      <w:pPr>
        <w:rPr>
          <w:lang/>
        </w:rPr>
      </w:pPr>
      <w:r w:rsidRPr="00373652">
        <w:rPr>
          <w:lang/>
        </w:rPr>
        <w:t xml:space="preserve">The Life Skills programme could be further developed to systematically cover gender equality, disability awareness, communication with persons with disabilities, their rights, </w:t>
      </w:r>
      <w:r w:rsidRPr="00373652">
        <w:rPr>
          <w:lang/>
        </w:rPr>
        <w:lastRenderedPageBreak/>
        <w:t>and violence prevention. The State could promote measures to ensure accessibility for all students, including adaptations for different types of disabilities (e.g., easy-to-read materials, sign language, visual and auditory support), so that students with disabilities have equal access to essential protective information and life skills education.</w:t>
      </w:r>
    </w:p>
    <w:p w14:paraId="60325F6F" w14:textId="20F54545" w:rsidR="00AB204B" w:rsidRPr="00211517" w:rsidRDefault="00AB204B" w:rsidP="00AB204B">
      <w:pPr>
        <w:pStyle w:val="Heading1"/>
        <w:numPr>
          <w:ilvl w:val="0"/>
          <w:numId w:val="21"/>
        </w:numPr>
        <w:rPr>
          <w:rFonts w:cstheme="minorHAnsi"/>
        </w:rPr>
      </w:pPr>
      <w:bookmarkStart w:id="8" w:name="_Toc217829526"/>
      <w:r w:rsidRPr="00211517">
        <w:rPr>
          <w:rFonts w:cstheme="minorHAnsi"/>
        </w:rPr>
        <w:t>Employment</w:t>
      </w:r>
      <w:bookmarkEnd w:id="8"/>
    </w:p>
    <w:p w14:paraId="0784114D" w14:textId="6C1B7D80" w:rsidR="00AB204B" w:rsidRDefault="00AB204B" w:rsidP="00AB204B">
      <w:pPr>
        <w:rPr>
          <w:lang/>
        </w:rPr>
      </w:pPr>
      <w:r w:rsidRPr="00B52C21">
        <w:rPr>
          <w:lang/>
        </w:rPr>
        <w:t>In Lithuania, there are slightly more than 151,000 persons with disabilities of working age; however, only around 30% of them are employed. This proportion has remained unchanged for many years, despite repeated legislative reforms and modifications to incentive schemes intended to promote employment. Moreover, the quality of employment remains a significant concern: approximately one third of employed persons with disabilities are engaged in low-skilled work, while only about 14% are employed in positions requiring high qualifications</w:t>
      </w:r>
      <w:r w:rsidR="00A806B7">
        <w:rPr>
          <w:rStyle w:val="FootnoteReference"/>
          <w:lang/>
        </w:rPr>
        <w:footnoteReference w:id="6"/>
      </w:r>
      <w:r w:rsidRPr="00B52C21">
        <w:rPr>
          <w:lang/>
        </w:rPr>
        <w:t>. These figures indicate structural barriers to equal participation in the labour market and limited opportunities for career progression.</w:t>
      </w:r>
    </w:p>
    <w:p w14:paraId="709860A1" w14:textId="77777777" w:rsidR="00AB204B" w:rsidRPr="00B52C21" w:rsidRDefault="00AB204B" w:rsidP="00AB204B">
      <w:pPr>
        <w:rPr>
          <w:lang/>
        </w:rPr>
      </w:pPr>
    </w:p>
    <w:p w14:paraId="20C00065" w14:textId="77777777" w:rsidR="00AB204B" w:rsidRPr="00B52C21" w:rsidRDefault="00AB204B" w:rsidP="00AB204B">
      <w:pPr>
        <w:rPr>
          <w:lang/>
        </w:rPr>
      </w:pPr>
      <w:r w:rsidRPr="00B52C21">
        <w:rPr>
          <w:lang/>
        </w:rPr>
        <w:t>The persistently low employment rate must be considered in the broader context of social exclusion and poverty. The risk of poverty and social exclusion among persons with disabilities in Lithuania continues to increase and is among the highest in the European Union (45.8%, Eurostat, 2024). Although employment is widely recognised as a key mechanism for reducing poverty and social exclusion, current policies have failed to produce measurable improvements in labour market participation for persons with disabilities.</w:t>
      </w:r>
    </w:p>
    <w:p w14:paraId="00DBD892" w14:textId="77777777" w:rsidR="00AB204B" w:rsidRDefault="00AB204B" w:rsidP="00AB204B">
      <w:pPr>
        <w:rPr>
          <w:lang/>
        </w:rPr>
      </w:pPr>
    </w:p>
    <w:p w14:paraId="0D0FFD28" w14:textId="59E4C6C0" w:rsidR="00AB204B" w:rsidRPr="00B52C21" w:rsidRDefault="00AB204B" w:rsidP="00AB204B">
      <w:pPr>
        <w:rPr>
          <w:lang/>
        </w:rPr>
      </w:pPr>
      <w:r w:rsidRPr="00B52C21">
        <w:rPr>
          <w:lang/>
        </w:rPr>
        <w:t>Gender-disaggregated data reveal additional and largely unaddressed inequalities.</w:t>
      </w:r>
      <w:r>
        <w:rPr>
          <w:lang/>
        </w:rPr>
        <w:t xml:space="preserve"> </w:t>
      </w:r>
      <w:r w:rsidRPr="00B52C21">
        <w:rPr>
          <w:lang/>
        </w:rPr>
        <w:t xml:space="preserve">According to the Gender Equality Index of the European Institute for Gender Equality, only 14% of women with disabilities and 23% of men with disabilities in Lithuania </w:t>
      </w:r>
      <w:r w:rsidR="00E448DC">
        <w:rPr>
          <w:lang/>
        </w:rPr>
        <w:t>participate in</w:t>
      </w:r>
      <w:r w:rsidR="00E448DC" w:rsidRPr="00B52C21">
        <w:rPr>
          <w:lang/>
        </w:rPr>
        <w:t xml:space="preserve"> full time </w:t>
      </w:r>
      <w:r w:rsidR="00E448DC">
        <w:rPr>
          <w:lang/>
        </w:rPr>
        <w:t xml:space="preserve">equivalent </w:t>
      </w:r>
      <w:r w:rsidR="00E448DC" w:rsidRPr="00B52C21">
        <w:rPr>
          <w:lang/>
        </w:rPr>
        <w:t>employ</w:t>
      </w:r>
      <w:r w:rsidR="00E448DC">
        <w:rPr>
          <w:lang/>
        </w:rPr>
        <w:t>ment</w:t>
      </w:r>
      <w:r w:rsidRPr="00B52C21">
        <w:rPr>
          <w:lang/>
        </w:rPr>
        <w:t xml:space="preserve">. This substantial gender gap, combined with overall employment rates well below the EU average, points to intersecting forms of discrimination. Nevertheless, gender-specific disparities are not meaningfully analysed in public discourse or policy discussions on disability and employment. The absence of targeted research on the </w:t>
      </w:r>
      <w:r w:rsidRPr="00B52C21">
        <w:rPr>
          <w:lang/>
        </w:rPr>
        <w:lastRenderedPageBreak/>
        <w:t>causes of these inequalities further limits the development of evidence-based measures to address them.</w:t>
      </w:r>
    </w:p>
    <w:p w14:paraId="396FB023" w14:textId="77777777" w:rsidR="00AB204B" w:rsidRDefault="00AB204B" w:rsidP="00AB204B">
      <w:pPr>
        <w:rPr>
          <w:lang/>
        </w:rPr>
      </w:pPr>
    </w:p>
    <w:p w14:paraId="0CC5146F" w14:textId="460C4B27" w:rsidR="00AB204B" w:rsidRDefault="00AB204B" w:rsidP="00AB204B">
      <w:pPr>
        <w:rPr>
          <w:lang/>
        </w:rPr>
      </w:pPr>
      <w:r w:rsidRPr="00B52C21">
        <w:rPr>
          <w:lang/>
        </w:rPr>
        <w:t xml:space="preserve">In recent years, Lithuania has introduced several legislative changes aimed at reforming the employment support system for persons with disabilities. In 2022, amendments to the Law on Employment abolished the </w:t>
      </w:r>
      <w:r w:rsidR="00E448DC">
        <w:rPr>
          <w:lang/>
        </w:rPr>
        <w:t xml:space="preserve">specialised </w:t>
      </w:r>
      <w:r w:rsidRPr="00B52C21">
        <w:rPr>
          <w:lang/>
        </w:rPr>
        <w:t>status of social enterprises and sought to establish equal conditions for all employers to access employment support. The reforms introduced a new accompanied employment assistance service alongside existing measures such as wage subsidies, workplace adaptation, and reimbursement of job assistant costs. In 2024, employment quotas for persons with disabilities were introduced in the public sector, and a broader reform of disability determination based on the assessment of functional capacities is currently underway.</w:t>
      </w:r>
    </w:p>
    <w:p w14:paraId="7FAD9CCB" w14:textId="77777777" w:rsidR="00AB204B" w:rsidRPr="00B52C21" w:rsidRDefault="00AB204B" w:rsidP="00AB204B">
      <w:pPr>
        <w:rPr>
          <w:lang/>
        </w:rPr>
      </w:pPr>
    </w:p>
    <w:p w14:paraId="426519F9" w14:textId="6303DB66" w:rsidR="00AB204B" w:rsidRDefault="00AB204B" w:rsidP="00AB204B">
      <w:pPr>
        <w:rPr>
          <w:lang/>
        </w:rPr>
      </w:pPr>
      <w:r w:rsidRPr="00B52C21">
        <w:rPr>
          <w:lang/>
        </w:rPr>
        <w:t xml:space="preserve">However, the implementation of these reforms has prioritised financial subsidies for employers over the development of comprehensive, person-centred support services for persons with disabilities. As a result, the employment support system remains fragmented, inconsistent, and insufficiently adapted to individuals with higher or complex support needs. Participation of persons with disabilities with significant support needs in the open labour market remains extremely limited. Evidence from non-governmental organisations indicates a substantial gap between the services currently provided by the </w:t>
      </w:r>
      <w:r w:rsidR="00FF7901">
        <w:rPr>
          <w:lang/>
        </w:rPr>
        <w:t xml:space="preserve">State </w:t>
      </w:r>
      <w:r w:rsidRPr="00B52C21">
        <w:rPr>
          <w:lang/>
        </w:rPr>
        <w:t>Employment Service and the actual needs of long-term unemployed persons with disabilities, including sustained motivation support, development of everyday social and work-related skills, and opportunities to acquire practical experience in real work environments.</w:t>
      </w:r>
    </w:p>
    <w:p w14:paraId="3BA23375" w14:textId="77777777" w:rsidR="00AB204B" w:rsidRPr="00B52C21" w:rsidRDefault="00AB204B" w:rsidP="00AB204B">
      <w:pPr>
        <w:rPr>
          <w:lang/>
        </w:rPr>
      </w:pPr>
    </w:p>
    <w:p w14:paraId="589CECB7" w14:textId="2B0BC56C" w:rsidR="00AB204B" w:rsidRPr="00B52C21" w:rsidRDefault="00AB204B" w:rsidP="00AB204B">
      <w:pPr>
        <w:rPr>
          <w:lang/>
        </w:rPr>
      </w:pPr>
      <w:r w:rsidRPr="00B52C21">
        <w:rPr>
          <w:lang/>
        </w:rPr>
        <w:t xml:space="preserve">Employment services are delivered partly by the </w:t>
      </w:r>
      <w:r w:rsidR="00FF7901">
        <w:rPr>
          <w:lang/>
        </w:rPr>
        <w:t xml:space="preserve">State </w:t>
      </w:r>
      <w:r w:rsidRPr="00B52C21">
        <w:rPr>
          <w:lang/>
        </w:rPr>
        <w:t xml:space="preserve">Employment Service and partly through procurement from external providers, including NGOs. This model is poorly suited to persons with disabilities who require intensive, continuous, and individualised support. For such individuals, trust-based relationships, uninterrupted accompaniment throughout the </w:t>
      </w:r>
      <w:r w:rsidR="00FF7901">
        <w:rPr>
          <w:lang/>
        </w:rPr>
        <w:t xml:space="preserve">whole </w:t>
      </w:r>
      <w:r w:rsidRPr="00B52C21">
        <w:rPr>
          <w:lang/>
        </w:rPr>
        <w:t xml:space="preserve">employment process, and guarantees of post-placement support are essential for sustainable employment. Fragmentation of services among multiple providers undermines continuity, limits the effective use of NGO expertise, and raises concerns regarding service quality and accountability. Furthermore, responsibility for workplace adaptation and for </w:t>
      </w:r>
      <w:r w:rsidRPr="00B52C21">
        <w:rPr>
          <w:lang/>
        </w:rPr>
        <w:lastRenderedPageBreak/>
        <w:t>addressing the social support needs necessary for maintaining employment remains unclear. Certain essential services, such as intermediary or assistant support for persons with hearing impairments, are currently financed exclusively through EU project-based funding, with no assurance of long-term sustainability or extension to persons with other types of disabilities.</w:t>
      </w:r>
    </w:p>
    <w:p w14:paraId="173200D3" w14:textId="77777777" w:rsidR="00AB204B" w:rsidRDefault="00AB204B" w:rsidP="00AB204B">
      <w:pPr>
        <w:pStyle w:val="Heading2"/>
      </w:pPr>
      <w:bookmarkStart w:id="9" w:name="_Toc217829527"/>
      <w:proofErr w:type="spellStart"/>
      <w:r w:rsidRPr="0091425F">
        <w:t>Recomendations</w:t>
      </w:r>
      <w:proofErr w:type="spellEnd"/>
      <w:r w:rsidRPr="0091425F">
        <w:t>:</w:t>
      </w:r>
      <w:bookmarkEnd w:id="9"/>
    </w:p>
    <w:p w14:paraId="23F0DB5D" w14:textId="77777777" w:rsidR="000B7D77" w:rsidRDefault="000B7D77" w:rsidP="000B7D77">
      <w:pPr>
        <w:pStyle w:val="ListParagraph"/>
        <w:numPr>
          <w:ilvl w:val="0"/>
          <w:numId w:val="31"/>
        </w:numPr>
      </w:pPr>
      <w:r>
        <w:t>Shift to Person-</w:t>
      </w:r>
      <w:proofErr w:type="spellStart"/>
      <w:r>
        <w:t>Centred</w:t>
      </w:r>
      <w:proofErr w:type="spellEnd"/>
      <w:r>
        <w:t xml:space="preserve"> Employment Support</w:t>
      </w:r>
    </w:p>
    <w:p w14:paraId="7456580B" w14:textId="01909D58" w:rsidR="00AB204B" w:rsidRPr="000B7D77" w:rsidRDefault="00AB204B" w:rsidP="000B7D77">
      <w:pPr>
        <w:rPr>
          <w:rStyle w:val="Strong"/>
          <w:b w:val="0"/>
          <w:bCs w:val="0"/>
        </w:rPr>
      </w:pPr>
      <w:r w:rsidRPr="000B7D77">
        <w:rPr>
          <w:rStyle w:val="Strong"/>
          <w:rFonts w:eastAsiaTheme="majorEastAsia"/>
          <w:b w:val="0"/>
          <w:bCs w:val="0"/>
        </w:rPr>
        <w:t xml:space="preserve">Increase </w:t>
      </w:r>
      <w:proofErr w:type="spellStart"/>
      <w:r w:rsidRPr="000B7D77">
        <w:rPr>
          <w:rStyle w:val="Strong"/>
          <w:rFonts w:eastAsiaTheme="majorEastAsia"/>
          <w:b w:val="0"/>
          <w:bCs w:val="0"/>
        </w:rPr>
        <w:t>labour</w:t>
      </w:r>
      <w:proofErr w:type="spellEnd"/>
      <w:r w:rsidRPr="000B7D77">
        <w:rPr>
          <w:rStyle w:val="Strong"/>
          <w:rFonts w:eastAsiaTheme="majorEastAsia"/>
          <w:b w:val="0"/>
          <w:bCs w:val="0"/>
        </w:rPr>
        <w:t xml:space="preserve"> market participation of persons with disabilities</w:t>
      </w:r>
      <w:r w:rsidRPr="000B7D77">
        <w:rPr>
          <w:rStyle w:val="Strong"/>
          <w:b w:val="0"/>
          <w:bCs w:val="0"/>
        </w:rPr>
        <w:t xml:space="preserve"> by shifting from a subsidy-driven approach towards comprehensive, person-</w:t>
      </w:r>
      <w:proofErr w:type="spellStart"/>
      <w:r w:rsidRPr="000B7D77">
        <w:rPr>
          <w:rStyle w:val="Strong"/>
          <w:b w:val="0"/>
          <w:bCs w:val="0"/>
        </w:rPr>
        <w:t>centred</w:t>
      </w:r>
      <w:proofErr w:type="spellEnd"/>
      <w:r w:rsidRPr="000B7D77">
        <w:rPr>
          <w:rStyle w:val="Strong"/>
          <w:b w:val="0"/>
          <w:bCs w:val="0"/>
        </w:rPr>
        <w:t xml:space="preserve"> employment support services, particularly for individuals with higher and complex support needs.</w:t>
      </w:r>
    </w:p>
    <w:p w14:paraId="2F7CA372" w14:textId="77777777" w:rsidR="00AB204B" w:rsidRDefault="00AB204B" w:rsidP="00AB204B">
      <w:pPr>
        <w:rPr>
          <w:rStyle w:val="Strong"/>
          <w:b w:val="0"/>
          <w:bCs w:val="0"/>
        </w:rPr>
      </w:pPr>
    </w:p>
    <w:p w14:paraId="5DFE52EB" w14:textId="77777777" w:rsidR="000B7D77" w:rsidRDefault="000B7D77" w:rsidP="000B7D77">
      <w:pPr>
        <w:pStyle w:val="ListParagraph"/>
        <w:numPr>
          <w:ilvl w:val="0"/>
          <w:numId w:val="31"/>
        </w:numPr>
      </w:pPr>
      <w:r>
        <w:t>Ensure Continuity and Integration of Services</w:t>
      </w:r>
    </w:p>
    <w:p w14:paraId="5B971338" w14:textId="74117D3C" w:rsidR="00AB204B" w:rsidRPr="000B7D77" w:rsidRDefault="00AB204B" w:rsidP="000B7D77">
      <w:pPr>
        <w:rPr>
          <w:rStyle w:val="Strong"/>
          <w:b w:val="0"/>
          <w:bCs w:val="0"/>
        </w:rPr>
      </w:pPr>
      <w:r w:rsidRPr="000B7D77">
        <w:rPr>
          <w:rStyle w:val="Strong"/>
          <w:rFonts w:eastAsiaTheme="majorEastAsia"/>
          <w:b w:val="0"/>
          <w:bCs w:val="0"/>
        </w:rPr>
        <w:t>Ensure continuity and integration of employment services</w:t>
      </w:r>
      <w:r w:rsidRPr="000B7D77">
        <w:rPr>
          <w:rStyle w:val="Strong"/>
          <w:b w:val="0"/>
          <w:bCs w:val="0"/>
        </w:rPr>
        <w:t>, including job coaching, social skills development, motivation support, and post-placement assistance, by reducing fragmentation among service providers and establishing clear responsibility for long-term support.</w:t>
      </w:r>
    </w:p>
    <w:p w14:paraId="4DC93E22" w14:textId="77777777" w:rsidR="00AB204B" w:rsidRPr="00AB204B" w:rsidRDefault="00AB204B" w:rsidP="00AB204B">
      <w:pPr>
        <w:rPr>
          <w:rStyle w:val="Strong"/>
          <w:b w:val="0"/>
          <w:bCs w:val="0"/>
        </w:rPr>
      </w:pPr>
    </w:p>
    <w:p w14:paraId="2E551B22" w14:textId="77777777" w:rsidR="000B7D77" w:rsidRPr="000B7D77" w:rsidRDefault="000B7D77" w:rsidP="000B7D77">
      <w:pPr>
        <w:pStyle w:val="ListParagraph"/>
        <w:numPr>
          <w:ilvl w:val="0"/>
          <w:numId w:val="31"/>
        </w:numPr>
        <w:rPr>
          <w:rStyle w:val="Strong"/>
          <w:b w:val="0"/>
          <w:bCs w:val="0"/>
        </w:rPr>
      </w:pPr>
      <w:r w:rsidRPr="000B7D77">
        <w:rPr>
          <w:rStyle w:val="Strong"/>
          <w:rFonts w:eastAsiaTheme="majorEastAsia"/>
          <w:b w:val="0"/>
          <w:bCs w:val="0"/>
        </w:rPr>
        <w:t xml:space="preserve">Address gender inequalities </w:t>
      </w:r>
    </w:p>
    <w:p w14:paraId="49C28AF0" w14:textId="5F0810BA" w:rsidR="000B7D77" w:rsidRPr="000B7D77" w:rsidRDefault="00AB204B" w:rsidP="000B7D77">
      <w:pPr>
        <w:rPr>
          <w:rStyle w:val="Strong"/>
          <w:b w:val="0"/>
          <w:bCs w:val="0"/>
        </w:rPr>
      </w:pPr>
      <w:r w:rsidRPr="000B7D77">
        <w:rPr>
          <w:rStyle w:val="Strong"/>
          <w:rFonts w:eastAsiaTheme="majorEastAsia"/>
          <w:b w:val="0"/>
          <w:bCs w:val="0"/>
        </w:rPr>
        <w:t>Address gender inequalities in employment</w:t>
      </w:r>
      <w:r w:rsidRPr="000B7D77">
        <w:rPr>
          <w:rStyle w:val="Strong"/>
          <w:b w:val="0"/>
          <w:bCs w:val="0"/>
        </w:rPr>
        <w:t xml:space="preserve"> by collecting and </w:t>
      </w:r>
      <w:r w:rsidR="000B7D77" w:rsidRPr="000B7D77">
        <w:rPr>
          <w:rStyle w:val="Strong"/>
          <w:b w:val="0"/>
          <w:bCs w:val="0"/>
        </w:rPr>
        <w:t>analyzing</w:t>
      </w:r>
      <w:r w:rsidRPr="000B7D77">
        <w:rPr>
          <w:rStyle w:val="Strong"/>
          <w:b w:val="0"/>
          <w:bCs w:val="0"/>
        </w:rPr>
        <w:t xml:space="preserve"> gender-disaggregated data, commissioning targeted research on the causes of disparities between women and men with disabilities, and developing specific measures to reduce intersectional discrimination.</w:t>
      </w:r>
    </w:p>
    <w:p w14:paraId="5419B8F2" w14:textId="77777777" w:rsidR="00AB204B" w:rsidRPr="00AB204B" w:rsidRDefault="00AB204B" w:rsidP="00AB204B">
      <w:pPr>
        <w:rPr>
          <w:rStyle w:val="Strong"/>
          <w:b w:val="0"/>
          <w:bCs w:val="0"/>
        </w:rPr>
      </w:pPr>
    </w:p>
    <w:p w14:paraId="4A3698DD" w14:textId="77777777" w:rsidR="000B7D77" w:rsidRPr="000B7D77" w:rsidRDefault="000B7D77" w:rsidP="000B7D77">
      <w:pPr>
        <w:pStyle w:val="ListParagraph"/>
        <w:numPr>
          <w:ilvl w:val="0"/>
          <w:numId w:val="31"/>
        </w:numPr>
        <w:rPr>
          <w:rStyle w:val="Strong"/>
          <w:b w:val="0"/>
          <w:bCs w:val="0"/>
        </w:rPr>
      </w:pPr>
      <w:r>
        <w:t>Guarantee Sustainable Support Services</w:t>
      </w:r>
      <w:r w:rsidRPr="000B7D77">
        <w:rPr>
          <w:rStyle w:val="Strong"/>
          <w:rFonts w:eastAsiaTheme="majorEastAsia"/>
          <w:b w:val="0"/>
          <w:bCs w:val="0"/>
        </w:rPr>
        <w:t xml:space="preserve"> </w:t>
      </w:r>
    </w:p>
    <w:p w14:paraId="79D8ED5C" w14:textId="30265924" w:rsidR="00AB204B" w:rsidRPr="000B7D77" w:rsidRDefault="00AB204B" w:rsidP="000B7D77">
      <w:pPr>
        <w:rPr>
          <w:rStyle w:val="Strong"/>
          <w:b w:val="0"/>
          <w:bCs w:val="0"/>
        </w:rPr>
      </w:pPr>
      <w:r w:rsidRPr="000B7D77">
        <w:rPr>
          <w:rStyle w:val="Strong"/>
          <w:rFonts w:eastAsiaTheme="majorEastAsia"/>
          <w:b w:val="0"/>
          <w:bCs w:val="0"/>
        </w:rPr>
        <w:t>Guarantee sustainable funding for essential support services</w:t>
      </w:r>
      <w:r w:rsidRPr="000B7D77">
        <w:rPr>
          <w:rStyle w:val="Strong"/>
          <w:b w:val="0"/>
          <w:bCs w:val="0"/>
        </w:rPr>
        <w:t>, including intermediary and assistant services, and ensure their availability to persons with different types of disabilities beyond EU-funded pilot projects.</w:t>
      </w:r>
    </w:p>
    <w:p w14:paraId="1216CD46" w14:textId="77777777" w:rsidR="00AB204B" w:rsidRPr="00AB204B" w:rsidRDefault="00AB204B" w:rsidP="00AB204B">
      <w:pPr>
        <w:rPr>
          <w:rStyle w:val="Strong"/>
          <w:b w:val="0"/>
          <w:bCs w:val="0"/>
        </w:rPr>
      </w:pPr>
    </w:p>
    <w:p w14:paraId="775BAD47" w14:textId="77777777" w:rsidR="000B7D77" w:rsidRPr="000B7D77" w:rsidRDefault="000B7D77" w:rsidP="000B7D77">
      <w:pPr>
        <w:pStyle w:val="ListParagraph"/>
        <w:numPr>
          <w:ilvl w:val="0"/>
          <w:numId w:val="31"/>
        </w:numPr>
        <w:rPr>
          <w:rStyle w:val="Strong"/>
          <w:b w:val="0"/>
          <w:bCs w:val="0"/>
        </w:rPr>
      </w:pPr>
      <w:r w:rsidRPr="000B7D77">
        <w:rPr>
          <w:rStyle w:val="Strong"/>
          <w:rFonts w:eastAsiaTheme="majorEastAsia"/>
          <w:b w:val="0"/>
          <w:bCs w:val="0"/>
        </w:rPr>
        <w:t>Clarify responsibility for workplace adaptation</w:t>
      </w:r>
    </w:p>
    <w:p w14:paraId="0FCDAAA8" w14:textId="03127D40" w:rsidR="00AB204B" w:rsidRPr="000B7D77" w:rsidRDefault="00AB204B" w:rsidP="000B7D77">
      <w:pPr>
        <w:rPr>
          <w:rStyle w:val="Strong"/>
          <w:b w:val="0"/>
          <w:bCs w:val="0"/>
        </w:rPr>
      </w:pPr>
      <w:r w:rsidRPr="000B7D77">
        <w:rPr>
          <w:rStyle w:val="Strong"/>
          <w:rFonts w:eastAsiaTheme="majorEastAsia"/>
          <w:b w:val="0"/>
          <w:bCs w:val="0"/>
        </w:rPr>
        <w:lastRenderedPageBreak/>
        <w:t>Clarify responsibility for workplace adaptation and social support</w:t>
      </w:r>
      <w:r w:rsidRPr="000B7D77">
        <w:rPr>
          <w:rStyle w:val="Strong"/>
          <w:b w:val="0"/>
          <w:bCs w:val="0"/>
        </w:rPr>
        <w:t>, ensuring coordinated action between employers, the Employment Service, and social support systems to promote sustainable and decent employment outcomes.</w:t>
      </w:r>
    </w:p>
    <w:p w14:paraId="2450F846" w14:textId="77777777" w:rsidR="00AB204B" w:rsidRPr="00C87455" w:rsidRDefault="00AB204B" w:rsidP="00C87455">
      <w:pPr>
        <w:rPr>
          <w:b/>
          <w:bCs/>
        </w:rPr>
      </w:pPr>
    </w:p>
    <w:p w14:paraId="4447A240" w14:textId="164C4E05" w:rsidR="00850FFB" w:rsidRPr="00C87455" w:rsidRDefault="00850FFB" w:rsidP="00AB204B">
      <w:pPr>
        <w:pStyle w:val="Heading1"/>
        <w:numPr>
          <w:ilvl w:val="0"/>
          <w:numId w:val="21"/>
        </w:numPr>
        <w:rPr>
          <w:rFonts w:cstheme="minorHAnsi"/>
        </w:rPr>
      </w:pPr>
      <w:bookmarkStart w:id="10" w:name="_Toc217829528"/>
      <w:r>
        <w:rPr>
          <w:rFonts w:cstheme="minorHAnsi"/>
        </w:rPr>
        <w:t>Legal guardianship and i</w:t>
      </w:r>
      <w:r w:rsidRPr="00071232">
        <w:rPr>
          <w:rFonts w:cstheme="minorHAnsi"/>
        </w:rPr>
        <w:t>ntervention in the body of a person with a disability without h</w:t>
      </w:r>
      <w:r w:rsidR="007A7B5C">
        <w:rPr>
          <w:rFonts w:cstheme="minorHAnsi"/>
        </w:rPr>
        <w:t>er</w:t>
      </w:r>
      <w:r w:rsidRPr="00071232">
        <w:rPr>
          <w:rFonts w:cstheme="minorHAnsi"/>
        </w:rPr>
        <w:t>/h</w:t>
      </w:r>
      <w:r w:rsidR="007A7B5C">
        <w:rPr>
          <w:rFonts w:cstheme="minorHAnsi"/>
        </w:rPr>
        <w:t>is</w:t>
      </w:r>
      <w:r w:rsidRPr="00071232">
        <w:rPr>
          <w:rFonts w:cstheme="minorHAnsi"/>
        </w:rPr>
        <w:t xml:space="preserve"> consent</w:t>
      </w:r>
      <w:bookmarkEnd w:id="10"/>
      <w:r w:rsidRPr="00071232">
        <w:rPr>
          <w:rFonts w:cstheme="minorHAnsi"/>
        </w:rPr>
        <w:t xml:space="preserve"> </w:t>
      </w:r>
    </w:p>
    <w:p w14:paraId="0F6ADF4D" w14:textId="38A9A591" w:rsidR="00850FFB" w:rsidRPr="00071232" w:rsidRDefault="00850FFB" w:rsidP="004525FD">
      <w:pPr>
        <w:rPr>
          <w:rFonts w:cstheme="minorHAnsi"/>
        </w:rPr>
      </w:pPr>
      <w:r w:rsidRPr="00071232">
        <w:rPr>
          <w:rFonts w:cstheme="minorHAnsi"/>
        </w:rPr>
        <w:t xml:space="preserve">The Civil Code of the Republic of Lithuania leaves the possibility to intervene in the body of a woman with a disability who has been declared </w:t>
      </w:r>
      <w:r w:rsidR="00FF7901">
        <w:rPr>
          <w:rFonts w:cstheme="minorHAnsi"/>
        </w:rPr>
        <w:t xml:space="preserve">legally </w:t>
      </w:r>
      <w:r w:rsidRPr="00071232">
        <w:rPr>
          <w:rFonts w:cstheme="minorHAnsi"/>
        </w:rPr>
        <w:t>incapable</w:t>
      </w:r>
      <w:r>
        <w:rPr>
          <w:rFonts w:cstheme="minorHAnsi"/>
        </w:rPr>
        <w:t xml:space="preserve"> and are under guardianship,</w:t>
      </w:r>
      <w:r w:rsidRPr="00071232">
        <w:rPr>
          <w:rFonts w:cstheme="minorHAnsi"/>
        </w:rPr>
        <w:t xml:space="preserve"> without the consent of the person.</w:t>
      </w:r>
      <w:r w:rsidR="00FF7901">
        <w:rPr>
          <w:rFonts w:cstheme="minorHAnsi"/>
        </w:rPr>
        <w:t xml:space="preserve"> </w:t>
      </w:r>
      <w:r w:rsidRPr="00071232">
        <w:rPr>
          <w:rFonts w:cstheme="minorHAnsi"/>
        </w:rPr>
        <w:t>Article 2.25(2) of the Civil Code of the Republic of Lithuania states: "Intervention into a human body, removal of parts of his body or organs shall be possible only with his consent. Consent to a surgical operation shall be given in writing. Where a person is incapable his guardian shall give his consent, in the event of castration, sterilization, abortion, operation, or removal of organs of an incapable person, however, authorization of the court shall be necessary. Such consent shall not be necessary in emergency cases when a person’s life is endangered and has to be saved while the person himself is unable to express his will".</w:t>
      </w:r>
    </w:p>
    <w:p w14:paraId="120538F5" w14:textId="77777777" w:rsidR="00850FFB" w:rsidRPr="00071232" w:rsidRDefault="00850FFB" w:rsidP="004525FD">
      <w:pPr>
        <w:rPr>
          <w:rFonts w:cstheme="minorHAnsi"/>
        </w:rPr>
      </w:pPr>
    </w:p>
    <w:p w14:paraId="6D66DA61" w14:textId="77777777" w:rsidR="00850FFB" w:rsidRPr="00071232" w:rsidRDefault="00850FFB" w:rsidP="004525FD">
      <w:pPr>
        <w:rPr>
          <w:rFonts w:cstheme="minorHAnsi"/>
        </w:rPr>
      </w:pPr>
      <w:r w:rsidRPr="00071232">
        <w:rPr>
          <w:rFonts w:cstheme="minorHAnsi"/>
        </w:rPr>
        <w:t>A written inquiry to the National Judicial Administration about the number of courts permits for sterilization/castration resulted in the reply that such data are not collected separately.</w:t>
      </w:r>
    </w:p>
    <w:p w14:paraId="1DD4B11A" w14:textId="77777777" w:rsidR="00850FFB" w:rsidRPr="00F06274" w:rsidRDefault="00850FFB" w:rsidP="004525FD">
      <w:pPr>
        <w:rPr>
          <w:rFonts w:cstheme="minorHAnsi"/>
        </w:rPr>
      </w:pPr>
      <w:r w:rsidRPr="00F06274">
        <w:rPr>
          <w:rFonts w:cstheme="minorHAnsi"/>
        </w:rPr>
        <w:t>As a result, Lithuania has no data whatsoever on which it could rely to assess the extent to which interventions are carried out on the bodies of women with disabilities without their informed consent. Nevertheless, individual cases reported in the media indicate that such practices do occur</w:t>
      </w:r>
      <w:r w:rsidRPr="000928E1">
        <w:rPr>
          <w:rFonts w:cstheme="minorHAnsi"/>
          <w:vertAlign w:val="superscript"/>
        </w:rPr>
        <w:footnoteReference w:id="7"/>
      </w:r>
      <w:r w:rsidRPr="00F06274">
        <w:rPr>
          <w:rFonts w:cstheme="minorHAnsi"/>
        </w:rPr>
        <w:t>. For example, one woman with an intellectual disability was unable to become pregnant a second time, and it later emerged that she had been sterilized during her first childbirth at the request of her parents and without her consent.</w:t>
      </w:r>
    </w:p>
    <w:p w14:paraId="039B01A6" w14:textId="77777777" w:rsidR="00850FFB" w:rsidRPr="00071232" w:rsidRDefault="00850FFB" w:rsidP="004525FD">
      <w:pPr>
        <w:rPr>
          <w:rFonts w:cstheme="minorHAnsi"/>
          <w:color w:val="EE0000"/>
        </w:rPr>
      </w:pPr>
    </w:p>
    <w:p w14:paraId="6C9AF08E" w14:textId="5F418224" w:rsidR="00850FFB" w:rsidRDefault="00850FFB" w:rsidP="004525FD">
      <w:pPr>
        <w:rPr>
          <w:rFonts w:cstheme="minorHAnsi"/>
        </w:rPr>
      </w:pPr>
      <w:r w:rsidRPr="00071232">
        <w:rPr>
          <w:rFonts w:cstheme="minorHAnsi"/>
        </w:rPr>
        <w:t xml:space="preserve">Such legislation when forced sterilization is applied to women and girls with disabilities who have lost their legal capacity conflicts with the UN Convention on the rights of persons with </w:t>
      </w:r>
      <w:r w:rsidRPr="00071232">
        <w:rPr>
          <w:rFonts w:cstheme="minorHAnsi"/>
        </w:rPr>
        <w:lastRenderedPageBreak/>
        <w:t>disabilities. This procedure is still allowed in at least 1</w:t>
      </w:r>
      <w:r w:rsidR="00FF7901">
        <w:rPr>
          <w:rFonts w:cstheme="minorHAnsi"/>
        </w:rPr>
        <w:t>2</w:t>
      </w:r>
      <w:r w:rsidRPr="00071232">
        <w:rPr>
          <w:rFonts w:cstheme="minorHAnsi"/>
        </w:rPr>
        <w:t xml:space="preserve"> EU Member States, including Lithuania. Forced sterilization can lead to further sexual exploitation, especially of women living in institutions. This is why Lithuanian disability organizations, together with the European disability community, are calling for the criminalization of forced sterilization and assistance to victims.</w:t>
      </w:r>
      <w:r w:rsidRPr="005112EF">
        <w:rPr>
          <w:rFonts w:cstheme="minorHAnsi"/>
        </w:rPr>
        <w:t xml:space="preserve"> The LDF Committee of Women with Disabilities has submitted a formal letter to the </w:t>
      </w:r>
      <w:r w:rsidR="00FF7901">
        <w:rPr>
          <w:rFonts w:cstheme="minorHAnsi"/>
        </w:rPr>
        <w:t xml:space="preserve">Lithuanian </w:t>
      </w:r>
      <w:r w:rsidRPr="005112EF">
        <w:rPr>
          <w:rFonts w:cstheme="minorHAnsi"/>
        </w:rPr>
        <w:t>Ministry of Justice calling for the termination of this practice. The issue has also been raised at the governmental level and in the Seimas (Parliament), however, to date, no systemic measures have been taken to address it.</w:t>
      </w:r>
      <w:r>
        <w:rPr>
          <w:rFonts w:cstheme="minorHAnsi"/>
        </w:rPr>
        <w:t xml:space="preserve"> </w:t>
      </w:r>
    </w:p>
    <w:p w14:paraId="0F0B5AB8" w14:textId="20A28B30" w:rsidR="00850FFB" w:rsidRPr="00B76EB6" w:rsidRDefault="00850FFB" w:rsidP="00850FFB">
      <w:pPr>
        <w:pStyle w:val="NormalWeb"/>
        <w:spacing w:line="360" w:lineRule="auto"/>
        <w:rPr>
          <w:rFonts w:cstheme="minorHAnsi"/>
          <w:lang w:val="en-US"/>
        </w:rPr>
      </w:pPr>
      <w:r w:rsidRPr="00B76EB6">
        <w:rPr>
          <w:rFonts w:cstheme="minorHAnsi"/>
          <w:lang w:val="en-US"/>
        </w:rPr>
        <w:t xml:space="preserve">The Ministry of Justice is not taking active steps to address the issue of forced </w:t>
      </w:r>
      <w:proofErr w:type="spellStart"/>
      <w:r w:rsidRPr="00B76EB6">
        <w:rPr>
          <w:rFonts w:cstheme="minorHAnsi"/>
          <w:lang w:val="en-US"/>
        </w:rPr>
        <w:t>sterilisation</w:t>
      </w:r>
      <w:proofErr w:type="spellEnd"/>
      <w:r w:rsidRPr="00B76EB6">
        <w:rPr>
          <w:rFonts w:cstheme="minorHAnsi"/>
          <w:lang w:val="en-US"/>
        </w:rPr>
        <w:t xml:space="preserve"> of women with disabilities, arguing that it will be resolved together with the reform of the legal capacity framework, which has been under consideration for some time. Following the 2016 legal capacity reform in Lithuania, total incapacity was abandoned as the main legal category, and the possibility to restrict the legal capacity of persons with psychosocial disabilities only in specific areas was expanded, thereby reducing the overall number of persons declared </w:t>
      </w:r>
      <w:r w:rsidR="00BC4A95">
        <w:rPr>
          <w:rFonts w:cstheme="minorHAnsi"/>
          <w:lang w:val="en-US"/>
        </w:rPr>
        <w:t xml:space="preserve">totally </w:t>
      </w:r>
      <w:r w:rsidRPr="00B76EB6">
        <w:rPr>
          <w:rFonts w:cstheme="minorHAnsi"/>
          <w:lang w:val="en-US"/>
        </w:rPr>
        <w:t>incapacitated. However, even after the reform, the legal framework remains fundamentally inconsistent with the UN Convention on the Rights of Persons with Disabilities, as national legislation continues to allow persons to be declared fully or partially incapacitated. According to data from the Ministry of Justice, there are currently approximately 12,000 persons whose legal capacity is restricted partially or in all area</w:t>
      </w:r>
      <w:r w:rsidR="00A806B7">
        <w:rPr>
          <w:rFonts w:cstheme="minorHAnsi"/>
          <w:lang w:val="en-US"/>
        </w:rPr>
        <w:t xml:space="preserve">s, </w:t>
      </w:r>
      <w:r w:rsidR="00A806B7">
        <w:t>women account for 52 percent, while men account for 48 percent</w:t>
      </w:r>
      <w:r w:rsidR="00A806B7">
        <w:rPr>
          <w:rFonts w:cstheme="minorHAnsi"/>
          <w:lang w:val="en-US"/>
        </w:rPr>
        <w:t>.</w:t>
      </w:r>
      <w:r w:rsidR="00A806B7">
        <w:rPr>
          <w:rStyle w:val="FootnoteReference"/>
          <w:rFonts w:cstheme="minorHAnsi"/>
          <w:lang w:val="en-US"/>
        </w:rPr>
        <w:footnoteReference w:id="8"/>
      </w:r>
    </w:p>
    <w:p w14:paraId="41A4044F" w14:textId="16C277B2" w:rsidR="00850FFB" w:rsidRPr="00626A1F" w:rsidRDefault="00850FFB" w:rsidP="00850FFB">
      <w:pPr>
        <w:pStyle w:val="NormalWeb"/>
        <w:spacing w:line="360" w:lineRule="auto"/>
        <w:rPr>
          <w:rFonts w:cstheme="minorHAnsi"/>
          <w:lang w:val="en-US"/>
        </w:rPr>
      </w:pPr>
      <w:r w:rsidRPr="00B76EB6">
        <w:rPr>
          <w:rFonts w:cstheme="minorHAnsi"/>
          <w:lang w:val="en-US"/>
        </w:rPr>
        <w:t>In practice, mechanisms for reviewing legal incapacity operate in a largely formalistic manner: municipal commissions often rely exclusively on medical opinions, without involving the persons concerned, while state-guaranteed legal aid lawyers frequently provide only nominal representation. At the same time, decision-making support services have begun to emerge</w:t>
      </w:r>
      <w:r>
        <w:rPr>
          <w:rFonts w:cstheme="minorHAnsi"/>
          <w:lang w:val="en-US"/>
        </w:rPr>
        <w:t xml:space="preserve"> (still limited and not very well known among social service providers</w:t>
      </w:r>
      <w:r w:rsidR="007A7B5C">
        <w:rPr>
          <w:rFonts w:cstheme="minorHAnsi"/>
          <w:lang w:val="en-US"/>
        </w:rPr>
        <w:t xml:space="preserve">) </w:t>
      </w:r>
      <w:r w:rsidRPr="00B76EB6">
        <w:rPr>
          <w:rFonts w:cstheme="minorHAnsi"/>
          <w:lang w:val="en-US"/>
        </w:rPr>
        <w:t xml:space="preserve">and are being applied more frequently, and the Agency for the Protection of the Rights of Persons with Disabilities under the Ministry of Social Security and </w:t>
      </w:r>
      <w:proofErr w:type="spellStart"/>
      <w:r w:rsidRPr="00B76EB6">
        <w:rPr>
          <w:rFonts w:cstheme="minorHAnsi"/>
          <w:lang w:val="en-US"/>
        </w:rPr>
        <w:t>Labour</w:t>
      </w:r>
      <w:proofErr w:type="spellEnd"/>
      <w:r w:rsidRPr="00B76EB6">
        <w:rPr>
          <w:rFonts w:cstheme="minorHAnsi"/>
          <w:lang w:val="en-US"/>
        </w:rPr>
        <w:t xml:space="preserve"> is implementing a project that includes support aimed at preventing restrictions on legal capacity. In recent </w:t>
      </w:r>
      <w:r w:rsidRPr="00B76EB6">
        <w:rPr>
          <w:rFonts w:cstheme="minorHAnsi"/>
          <w:lang w:val="en-US"/>
        </w:rPr>
        <w:lastRenderedPageBreak/>
        <w:t xml:space="preserve">years, thanks both to the work of these professionals and initiatives by disability </w:t>
      </w:r>
      <w:r w:rsidR="007A7B5C" w:rsidRPr="00B76EB6">
        <w:rPr>
          <w:rFonts w:cstheme="minorHAnsi"/>
          <w:lang w:val="en-US"/>
        </w:rPr>
        <w:t>organizations</w:t>
      </w:r>
      <w:r w:rsidRPr="00B76EB6">
        <w:rPr>
          <w:rFonts w:cstheme="minorHAnsi"/>
          <w:lang w:val="en-US"/>
        </w:rPr>
        <w:t>, a number of cases have been successfully concluded (approximately ten cases known to us) in which persons with disabilities, including women, have restored their legal capacity through court proceedings. Nevertheless, this remains a complex and dignity-undermining process. Thus, although alternative solutions exist, a fundamental reform of the legal capacity framework is necessary in order to prevent interference with women’s bodies and to address a wide range of other human rights violations linked to restrictions o</w:t>
      </w:r>
      <w:r w:rsidR="00666277">
        <w:rPr>
          <w:rFonts w:cstheme="minorHAnsi"/>
          <w:lang w:val="en-US"/>
        </w:rPr>
        <w:t>f</w:t>
      </w:r>
      <w:r w:rsidRPr="00B76EB6">
        <w:rPr>
          <w:rFonts w:cstheme="minorHAnsi"/>
          <w:lang w:val="en-US"/>
        </w:rPr>
        <w:t xml:space="preserve"> legal capacity.</w:t>
      </w:r>
    </w:p>
    <w:p w14:paraId="4D8BB300" w14:textId="5736703F" w:rsidR="001A377C" w:rsidRPr="001A377C" w:rsidRDefault="00850FFB" w:rsidP="001A377C">
      <w:pPr>
        <w:pStyle w:val="Heading2"/>
      </w:pPr>
      <w:bookmarkStart w:id="11" w:name="_Toc217829529"/>
      <w:r w:rsidRPr="00071232">
        <w:t>Recommendations:</w:t>
      </w:r>
      <w:bookmarkEnd w:id="11"/>
    </w:p>
    <w:p w14:paraId="39173DC3" w14:textId="0DC56DCA" w:rsidR="00850FFB" w:rsidRPr="00C87455" w:rsidRDefault="00850FFB" w:rsidP="00C87455">
      <w:pPr>
        <w:pStyle w:val="ListParagraph"/>
        <w:numPr>
          <w:ilvl w:val="0"/>
          <w:numId w:val="31"/>
        </w:numPr>
        <w:rPr>
          <w:b/>
          <w:bCs/>
        </w:rPr>
      </w:pPr>
      <w:r w:rsidRPr="00C87455">
        <w:rPr>
          <w:rStyle w:val="Strong"/>
          <w:rFonts w:eastAsiaTheme="majorEastAsia" w:cstheme="minorHAnsi"/>
          <w:b w:val="0"/>
          <w:bCs w:val="0"/>
          <w:color w:val="000000"/>
        </w:rPr>
        <w:t>Amend the Civil Code</w:t>
      </w:r>
      <w:r w:rsidR="00666277">
        <w:rPr>
          <w:rStyle w:val="Strong"/>
          <w:rFonts w:eastAsiaTheme="majorEastAsia" w:cstheme="minorHAnsi"/>
          <w:b w:val="0"/>
          <w:bCs w:val="0"/>
          <w:color w:val="000000"/>
        </w:rPr>
        <w:t xml:space="preserve"> of the Republic of Lithuania</w:t>
      </w:r>
    </w:p>
    <w:p w14:paraId="4BA945A5" w14:textId="23592027" w:rsidR="00850FFB" w:rsidRDefault="00850FFB" w:rsidP="00C87455">
      <w:r w:rsidRPr="00626A1F">
        <w:t xml:space="preserve">Review Article 2.25(2) of the Civil Code and prohibit any medical intervention, except in cases of strict necessity where a person’s life is at imminent risk and the person is unable to give consent. Prohibit medical interventions, including </w:t>
      </w:r>
      <w:proofErr w:type="spellStart"/>
      <w:r w:rsidRPr="00626A1F">
        <w:t>sterilisation</w:t>
      </w:r>
      <w:proofErr w:type="spellEnd"/>
      <w:r w:rsidRPr="00626A1F">
        <w:t>, abortion, or castration, without the person’s prior, free and informed consent, regardless of their legal capacity status, in accordance with Articles 12, 22 and 23 of the UN Convention on the Rights of Persons with Disabilities</w:t>
      </w:r>
      <w:r w:rsidR="00A806B7">
        <w:t>.</w:t>
      </w:r>
    </w:p>
    <w:p w14:paraId="3E0A6472" w14:textId="77777777" w:rsidR="001A377C" w:rsidRPr="00626A1F" w:rsidRDefault="001A377C" w:rsidP="00C87455"/>
    <w:p w14:paraId="37E1A2AF" w14:textId="3A745879" w:rsidR="00850FFB" w:rsidRPr="00C87455" w:rsidRDefault="00850FFB" w:rsidP="00C87455">
      <w:pPr>
        <w:pStyle w:val="ListParagraph"/>
        <w:numPr>
          <w:ilvl w:val="0"/>
          <w:numId w:val="31"/>
        </w:numPr>
        <w:rPr>
          <w:b/>
          <w:bCs/>
        </w:rPr>
      </w:pPr>
      <w:r w:rsidRPr="00C87455">
        <w:rPr>
          <w:rStyle w:val="Strong"/>
          <w:rFonts w:eastAsiaTheme="majorEastAsia" w:cstheme="minorHAnsi"/>
          <w:b w:val="0"/>
          <w:bCs w:val="0"/>
          <w:color w:val="000000"/>
        </w:rPr>
        <w:t>Recognise legal capacity for all</w:t>
      </w:r>
      <w:r w:rsidR="00666277">
        <w:rPr>
          <w:rStyle w:val="Strong"/>
          <w:rFonts w:eastAsiaTheme="majorEastAsia" w:cstheme="minorHAnsi"/>
          <w:b w:val="0"/>
          <w:bCs w:val="0"/>
          <w:color w:val="000000"/>
        </w:rPr>
        <w:t xml:space="preserve"> persons with disabilities </w:t>
      </w:r>
    </w:p>
    <w:p w14:paraId="662AE1F2" w14:textId="23F512E0" w:rsidR="00850FFB" w:rsidRDefault="00850FFB" w:rsidP="00C87455">
      <w:r w:rsidRPr="00626A1F">
        <w:t xml:space="preserve">Reform the legal capacity system to ensure that all persons, including persons with disabilities, retain full legal capacity on an equal basis with others and have access to decision-making support mechanisms rather than substitute decision-making. In the course of the reform, explore other legal institutions that could serve as legal alternatives to restrictions on legal capacity. </w:t>
      </w:r>
    </w:p>
    <w:p w14:paraId="27E5470F" w14:textId="77777777" w:rsidR="001A377C" w:rsidRPr="00626A1F" w:rsidRDefault="001A377C" w:rsidP="00C87455"/>
    <w:p w14:paraId="162B00F8" w14:textId="77777777" w:rsidR="00850FFB" w:rsidRPr="00C87455" w:rsidRDefault="00850FFB" w:rsidP="00C87455">
      <w:pPr>
        <w:pStyle w:val="ListParagraph"/>
        <w:numPr>
          <w:ilvl w:val="0"/>
          <w:numId w:val="31"/>
        </w:numPr>
        <w:rPr>
          <w:b/>
          <w:bCs/>
        </w:rPr>
      </w:pPr>
      <w:r w:rsidRPr="00C87455">
        <w:rPr>
          <w:rStyle w:val="Strong"/>
          <w:rFonts w:eastAsiaTheme="majorEastAsia" w:cstheme="minorHAnsi"/>
          <w:b w:val="0"/>
          <w:bCs w:val="0"/>
          <w:color w:val="000000"/>
        </w:rPr>
        <w:t>Ensure oversight and data collection</w:t>
      </w:r>
    </w:p>
    <w:p w14:paraId="0AD0EDD5" w14:textId="77777777" w:rsidR="00850FFB" w:rsidRDefault="00850FFB" w:rsidP="00C87455">
      <w:r w:rsidRPr="00A003D0">
        <w:t>Oblige judicial authorities and the National Courts Administration to collect and publish disaggregated data on court-authorised medical procedures, including sterilisation and castration, in order to ensure transparency, accountability, and monitoring of potential human rights violations.</w:t>
      </w:r>
    </w:p>
    <w:p w14:paraId="1BDF45A2" w14:textId="77777777" w:rsidR="001A377C" w:rsidRPr="00A003D0" w:rsidRDefault="001A377C" w:rsidP="00C87455"/>
    <w:p w14:paraId="0C40BFA7" w14:textId="77777777" w:rsidR="00850FFB" w:rsidRPr="00C87455" w:rsidRDefault="00850FFB" w:rsidP="00C87455">
      <w:pPr>
        <w:pStyle w:val="ListParagraph"/>
        <w:numPr>
          <w:ilvl w:val="0"/>
          <w:numId w:val="31"/>
        </w:numPr>
        <w:rPr>
          <w:b/>
          <w:bCs/>
        </w:rPr>
      </w:pPr>
      <w:r w:rsidRPr="00C87455">
        <w:rPr>
          <w:rStyle w:val="Strong"/>
          <w:rFonts w:eastAsiaTheme="majorEastAsia" w:cstheme="minorHAnsi"/>
          <w:b w:val="0"/>
          <w:bCs w:val="0"/>
          <w:color w:val="000000"/>
        </w:rPr>
        <w:lastRenderedPageBreak/>
        <w:t>Provide remedies and support to victims</w:t>
      </w:r>
    </w:p>
    <w:p w14:paraId="2B0510C8" w14:textId="77777777" w:rsidR="00850FFB" w:rsidRDefault="00850FFB" w:rsidP="00C87455">
      <w:r w:rsidRPr="00A003D0">
        <w:t>Establish mechanisms to identify and support victims of forced sterilisation and castration, including access to psychological support, legal assistance, and compensation, as well as public acknowledgment of past violations.</w:t>
      </w:r>
    </w:p>
    <w:p w14:paraId="24A77346" w14:textId="77777777" w:rsidR="001A377C" w:rsidRPr="00A003D0" w:rsidRDefault="001A377C" w:rsidP="00C87455"/>
    <w:p w14:paraId="7C619B73" w14:textId="77777777" w:rsidR="00850FFB" w:rsidRPr="00C87455" w:rsidRDefault="00850FFB" w:rsidP="00C87455">
      <w:pPr>
        <w:pStyle w:val="ListParagraph"/>
        <w:numPr>
          <w:ilvl w:val="0"/>
          <w:numId w:val="31"/>
        </w:numPr>
        <w:rPr>
          <w:rStyle w:val="Strong"/>
          <w:rFonts w:cstheme="minorHAnsi"/>
          <w:b w:val="0"/>
          <w:bCs w:val="0"/>
          <w:color w:val="000000"/>
        </w:rPr>
      </w:pPr>
      <w:r w:rsidRPr="00C87455">
        <w:rPr>
          <w:rStyle w:val="Strong"/>
          <w:rFonts w:eastAsiaTheme="majorEastAsia" w:cstheme="minorHAnsi"/>
          <w:b w:val="0"/>
          <w:bCs w:val="0"/>
          <w:color w:val="000000"/>
        </w:rPr>
        <w:t>Raise awareness among judges, notaries and medical professionals</w:t>
      </w:r>
    </w:p>
    <w:p w14:paraId="47957FF7" w14:textId="77777777" w:rsidR="00850FFB" w:rsidRDefault="00850FFB" w:rsidP="00C87455">
      <w:r w:rsidRPr="00A003D0">
        <w:t>Implement mandatory training for judges, guardians, and health care professionals on informed consent, reproductive rights, and the rights of persons with disabilities under international human rights law.</w:t>
      </w:r>
    </w:p>
    <w:p w14:paraId="0FB48FAB" w14:textId="77777777" w:rsidR="001A377C" w:rsidRPr="00A003D0" w:rsidRDefault="001A377C" w:rsidP="00C87455"/>
    <w:p w14:paraId="7597BD4C" w14:textId="4C964E41" w:rsidR="00850FFB" w:rsidRPr="00C87455" w:rsidRDefault="00850FFB" w:rsidP="00C87455">
      <w:pPr>
        <w:pStyle w:val="ListParagraph"/>
        <w:numPr>
          <w:ilvl w:val="0"/>
          <w:numId w:val="31"/>
        </w:numPr>
        <w:rPr>
          <w:b/>
          <w:bCs/>
        </w:rPr>
      </w:pPr>
      <w:r w:rsidRPr="00C87455">
        <w:rPr>
          <w:rStyle w:val="Strong"/>
          <w:rFonts w:eastAsiaTheme="majorEastAsia" w:cstheme="minorHAnsi"/>
          <w:b w:val="0"/>
          <w:bCs w:val="0"/>
          <w:color w:val="000000"/>
        </w:rPr>
        <w:t xml:space="preserve">Strengthen </w:t>
      </w:r>
      <w:r w:rsidR="00601E86">
        <w:rPr>
          <w:rStyle w:val="Strong"/>
          <w:rFonts w:eastAsiaTheme="majorEastAsia" w:cstheme="minorHAnsi"/>
          <w:b w:val="0"/>
          <w:bCs w:val="0"/>
          <w:color w:val="000000"/>
        </w:rPr>
        <w:t>inter-</w:t>
      </w:r>
      <w:r w:rsidRPr="00C87455">
        <w:rPr>
          <w:rStyle w:val="Strong"/>
          <w:rFonts w:eastAsiaTheme="majorEastAsia" w:cstheme="minorHAnsi"/>
          <w:b w:val="0"/>
          <w:bCs w:val="0"/>
          <w:color w:val="000000"/>
        </w:rPr>
        <w:t xml:space="preserve">ministerial engagement </w:t>
      </w:r>
      <w:r w:rsidR="00601E86">
        <w:rPr>
          <w:rStyle w:val="Strong"/>
          <w:rFonts w:eastAsiaTheme="majorEastAsia" w:cstheme="minorHAnsi"/>
          <w:b w:val="0"/>
          <w:bCs w:val="0"/>
          <w:color w:val="000000"/>
        </w:rPr>
        <w:t xml:space="preserve">and responsibility </w:t>
      </w:r>
      <w:r w:rsidRPr="00C87455">
        <w:rPr>
          <w:rStyle w:val="Strong"/>
          <w:rFonts w:eastAsiaTheme="majorEastAsia" w:cstheme="minorHAnsi"/>
          <w:b w:val="0"/>
          <w:bCs w:val="0"/>
          <w:color w:val="000000"/>
        </w:rPr>
        <w:t>in reform</w:t>
      </w:r>
    </w:p>
    <w:p w14:paraId="25DDCB9F" w14:textId="6B76B70E" w:rsidR="00850FFB" w:rsidRPr="007331BD" w:rsidRDefault="00850FFB" w:rsidP="004525FD">
      <w:r w:rsidRPr="00A003D0">
        <w:t>Increase the involvement of the Ministry of Health and the Ministry of Justice of the Republic of Lithuania in reforming the legal incapacity framework.</w:t>
      </w:r>
    </w:p>
    <w:p w14:paraId="3FA6F973" w14:textId="17F195C0" w:rsidR="008F0BF9" w:rsidRDefault="00AD6983" w:rsidP="00AB204B">
      <w:pPr>
        <w:pStyle w:val="Heading1"/>
        <w:numPr>
          <w:ilvl w:val="0"/>
          <w:numId w:val="21"/>
        </w:numPr>
        <w:rPr>
          <w:lang/>
        </w:rPr>
      </w:pPr>
      <w:bookmarkStart w:id="12" w:name="_Toc217829530"/>
      <w:r w:rsidRPr="00071232">
        <w:t xml:space="preserve">The situation of women with disabilities in the context of </w:t>
      </w:r>
      <w:r>
        <w:t>r</w:t>
      </w:r>
      <w:r w:rsidR="00225F80" w:rsidRPr="00AD6983">
        <w:rPr>
          <w:lang/>
        </w:rPr>
        <w:t>eproductive rights</w:t>
      </w:r>
      <w:bookmarkEnd w:id="12"/>
    </w:p>
    <w:p w14:paraId="5F9D5421" w14:textId="28BD6533" w:rsidR="007331BD" w:rsidRPr="007331BD" w:rsidRDefault="007331BD" w:rsidP="007331BD">
      <w:pPr>
        <w:rPr>
          <w:rFonts w:ascii="Times New Roman" w:hAnsi="Times New Roman"/>
        </w:rPr>
      </w:pPr>
      <w:r w:rsidRPr="007331BD">
        <w:t xml:space="preserve">Public opinion surveys in Lithuania indicate that societal attitudes towards motherhood for women with disabilities remain largely unfavorable, particularly for women with psychosocial or intellectual disabilities. </w:t>
      </w:r>
      <w:r w:rsidRPr="007331BD">
        <w:rPr>
          <w:rFonts w:ascii="Times New Roman" w:hAnsi="Times New Roman"/>
        </w:rPr>
        <w:t>The situation is not improved by the fact, as previously mentioned, that</w:t>
      </w:r>
      <w:r>
        <w:rPr>
          <w:rFonts w:ascii="Times New Roman" w:hAnsi="Times New Roman"/>
        </w:rPr>
        <w:t xml:space="preserve"> </w:t>
      </w:r>
      <w:r>
        <w:t>t</w:t>
      </w:r>
      <w:r w:rsidRPr="007331BD">
        <w:t xml:space="preserve">he </w:t>
      </w:r>
      <w:r>
        <w:t>l</w:t>
      </w:r>
      <w:r w:rsidRPr="007331BD">
        <w:t xml:space="preserve">ife </w:t>
      </w:r>
      <w:r>
        <w:t>s</w:t>
      </w:r>
      <w:r w:rsidRPr="007331BD">
        <w:t xml:space="preserve">kills </w:t>
      </w:r>
      <w:proofErr w:type="spellStart"/>
      <w:r w:rsidR="001A377C">
        <w:t>p</w:t>
      </w:r>
      <w:r w:rsidRPr="007331BD">
        <w:t>rogramme’s</w:t>
      </w:r>
      <w:proofErr w:type="spellEnd"/>
      <w:r w:rsidRPr="007331BD">
        <w:t xml:space="preserve"> section on sex</w:t>
      </w:r>
      <w:r w:rsidR="00601E86">
        <w:t>ual</w:t>
      </w:r>
      <w:r w:rsidRPr="007331BD">
        <w:t xml:space="preserve"> education </w:t>
      </w:r>
      <w:r>
        <w:t xml:space="preserve">is </w:t>
      </w:r>
      <w:proofErr w:type="spellStart"/>
      <w:r>
        <w:t>shcools</w:t>
      </w:r>
      <w:proofErr w:type="spellEnd"/>
      <w:r>
        <w:t xml:space="preserve"> </w:t>
      </w:r>
      <w:r w:rsidRPr="007331BD">
        <w:t>is not tailored to different disability groups and does not address the intersection of sexuality and disability, limiting women’s reproductive rights, including their right to make independent decisions about having children.</w:t>
      </w:r>
    </w:p>
    <w:p w14:paraId="31B16E40" w14:textId="77777777" w:rsidR="007331BD" w:rsidRPr="007331BD" w:rsidRDefault="007331BD" w:rsidP="007331BD"/>
    <w:p w14:paraId="7EDF552D" w14:textId="1DDC14B5" w:rsidR="007331BD" w:rsidRPr="007331BD" w:rsidRDefault="007331BD" w:rsidP="007331BD">
      <w:r w:rsidRPr="007331BD">
        <w:t>Significant violations of reproductive rights have been documented in Lithuania. In 2019, a hospital in Kaunas sterilised a woman during a cesarean section without her consent at the request of her relatives. In another case, the Kėdainiai municipality removed a newborn from parents with disabilities and placed the child in foster care</w:t>
      </w:r>
      <w:r>
        <w:t>. A</w:t>
      </w:r>
      <w:r w:rsidRPr="007331BD">
        <w:t xml:space="preserve">lthough the family successfully challenged the decision in court, the child remains with foster parents. </w:t>
      </w:r>
    </w:p>
    <w:p w14:paraId="58D3ADEF" w14:textId="77777777" w:rsidR="007331BD" w:rsidRPr="007331BD" w:rsidRDefault="007331BD" w:rsidP="007331BD">
      <w:pPr>
        <w:pStyle w:val="ListParagraph"/>
        <w:rPr>
          <w:lang/>
        </w:rPr>
      </w:pPr>
    </w:p>
    <w:p w14:paraId="4BC49D23" w14:textId="18653FB0" w:rsidR="007331BD" w:rsidRDefault="00A806B7" w:rsidP="007331BD">
      <w:pPr>
        <w:rPr>
          <w:lang/>
        </w:rPr>
      </w:pPr>
      <w:r>
        <w:lastRenderedPageBreak/>
        <w:t>Meetings held in 2023 by the LDF</w:t>
      </w:r>
      <w:r w:rsidR="000928E1" w:rsidRPr="000928E1">
        <w:t xml:space="preserve"> </w:t>
      </w:r>
      <w:r w:rsidR="000928E1" w:rsidRPr="00071232">
        <w:t>Women with Disabilities Committee</w:t>
      </w:r>
      <w:r>
        <w:t xml:space="preserve">, including open online meetings with women with disabilities and representatives of social services departments from 17 out of 60 municipalities, revealed that women with disabilities are often unaware of available support services, and that municipal social service </w:t>
      </w:r>
      <w:proofErr w:type="spellStart"/>
      <w:r>
        <w:t>centres</w:t>
      </w:r>
      <w:proofErr w:type="spellEnd"/>
      <w:r>
        <w:t xml:space="preserve"> have largely failed to identify and respond to their needs. </w:t>
      </w:r>
      <w:r w:rsidR="007331BD" w:rsidRPr="007331BD">
        <w:rPr>
          <w:lang/>
        </w:rPr>
        <w:t>Existing services are usually reserved for families facing significal social challenges, while families whose difficulties arise from disability—such as limited mobility or visual impairment affecting childcare—receive little or no support, negatively impacting both children and parents’ ability to care for them.</w:t>
      </w:r>
    </w:p>
    <w:p w14:paraId="3B85D790" w14:textId="77777777" w:rsidR="007331BD" w:rsidRPr="007331BD" w:rsidRDefault="007331BD" w:rsidP="007331BD">
      <w:pPr>
        <w:rPr>
          <w:lang/>
        </w:rPr>
      </w:pPr>
    </w:p>
    <w:p w14:paraId="06F668DE" w14:textId="0ACA6DDD" w:rsidR="001B60FB" w:rsidRDefault="007331BD" w:rsidP="001B60FB">
      <w:pPr>
        <w:rPr>
          <w:lang/>
        </w:rPr>
      </w:pPr>
      <w:r w:rsidRPr="007331BD">
        <w:rPr>
          <w:lang/>
        </w:rPr>
        <w:t>Serious limitations in the field of reproductive health services persist, related both to the accessibility of services and to the attitudes of medical professionals towards disability and reproductive rights.</w:t>
      </w:r>
      <w:r>
        <w:t xml:space="preserve"> </w:t>
      </w:r>
      <w:r w:rsidR="001B60FB" w:rsidRPr="001B60FB">
        <w:rPr>
          <w:lang/>
        </w:rPr>
        <w:t xml:space="preserve">In 2023, the Lithuanian Disability Forum conducted a survey of over 150 women with </w:t>
      </w:r>
      <w:r w:rsidR="001B60FB">
        <w:rPr>
          <w:lang/>
        </w:rPr>
        <w:t xml:space="preserve">various </w:t>
      </w:r>
      <w:r w:rsidR="001B60FB" w:rsidRPr="001B60FB">
        <w:rPr>
          <w:lang/>
        </w:rPr>
        <w:t>disabilities on the accessibility of reproductive health services and the attitudes of medical professionals, complemented by focus group interviews with obstetricians</w:t>
      </w:r>
      <w:r>
        <w:rPr>
          <w:rStyle w:val="FootnoteReference"/>
          <w:lang/>
        </w:rPr>
        <w:footnoteReference w:id="9"/>
      </w:r>
      <w:r w:rsidR="001B60FB" w:rsidRPr="001B60FB">
        <w:rPr>
          <w:lang/>
        </w:rPr>
        <w:t>. While more than half of respondents rated obstetricians’ competence and adaptability to individual needs as good or excellent, some reported gaps in knowledge about the impact of disability on reproductive health and negative attitudes. Services were found to be particularly inaccessible for women with reduced mobility, with over 30% of respondents rating pregnancy care and childbirth services as poor or very poor. Common barriers included inaccessible equipment and facilities, which sometimes led to additional medical interventions, such as catheterisation when women could not access toilets.</w:t>
      </w:r>
    </w:p>
    <w:p w14:paraId="3E540214" w14:textId="77777777" w:rsidR="001B60FB" w:rsidRPr="001B60FB" w:rsidRDefault="001B60FB" w:rsidP="001B60FB">
      <w:pPr>
        <w:rPr>
          <w:lang/>
        </w:rPr>
      </w:pPr>
    </w:p>
    <w:p w14:paraId="27492A1E" w14:textId="731D701C" w:rsidR="001B60FB" w:rsidRPr="001B60FB" w:rsidRDefault="001B60FB" w:rsidP="001B60FB">
      <w:pPr>
        <w:rPr>
          <w:lang/>
        </w:rPr>
      </w:pPr>
      <w:r w:rsidRPr="001B60FB">
        <w:rPr>
          <w:lang/>
        </w:rPr>
        <w:t xml:space="preserve">Women also reported experiences of persistent negative attitudes and stereotypes, including moralising remarks about their choice to become mothers, questioning their abilities, and encouragement not to become pregnant. Among the 141 respondents, 22% reported receiving inappropriate comments or indiscreet questions, 8% had their ability to become mothers questioned, and another 8% were urged not to conceive. Obstetricians themselves indicated a lack of training on a human rights-based understanding of disability </w:t>
      </w:r>
      <w:r w:rsidRPr="001B60FB">
        <w:rPr>
          <w:lang/>
        </w:rPr>
        <w:lastRenderedPageBreak/>
        <w:t>and limited knowledge of practices ensuring accessibility. Counseling women with intellectual disabilities was highlighted as particularly challenging, with a tendency to communicate through relatives rather than directly with the individual in an accessible manner.</w:t>
      </w:r>
    </w:p>
    <w:p w14:paraId="6A5A4479" w14:textId="731D701C" w:rsidR="001A377C" w:rsidRPr="001A377C" w:rsidRDefault="0091425F" w:rsidP="001A377C">
      <w:pPr>
        <w:pStyle w:val="Heading2"/>
      </w:pPr>
      <w:bookmarkStart w:id="13" w:name="_Toc217829531"/>
      <w:proofErr w:type="spellStart"/>
      <w:r w:rsidRPr="0091425F">
        <w:t>Recomendations</w:t>
      </w:r>
      <w:proofErr w:type="spellEnd"/>
      <w:r w:rsidRPr="0091425F">
        <w:t>:</w:t>
      </w:r>
      <w:bookmarkEnd w:id="13"/>
    </w:p>
    <w:p w14:paraId="2F78920E" w14:textId="06091985" w:rsidR="001A377C" w:rsidRPr="001A377C" w:rsidRDefault="001A377C" w:rsidP="001A377C">
      <w:pPr>
        <w:pStyle w:val="ListParagraph"/>
        <w:numPr>
          <w:ilvl w:val="0"/>
          <w:numId w:val="31"/>
        </w:numPr>
        <w:rPr>
          <w:rFonts w:cstheme="minorHAnsi"/>
          <w:lang/>
        </w:rPr>
      </w:pPr>
      <w:r w:rsidRPr="001A377C">
        <w:rPr>
          <w:rFonts w:cstheme="minorHAnsi"/>
          <w:lang/>
        </w:rPr>
        <w:t>Promote inclusive and accessible sex</w:t>
      </w:r>
      <w:r w:rsidR="000001C0">
        <w:rPr>
          <w:rFonts w:cstheme="minorHAnsi"/>
          <w:lang/>
        </w:rPr>
        <w:t>ual</w:t>
      </w:r>
      <w:r w:rsidRPr="001A377C">
        <w:rPr>
          <w:rFonts w:cstheme="minorHAnsi"/>
          <w:lang/>
        </w:rPr>
        <w:t xml:space="preserve"> education</w:t>
      </w:r>
    </w:p>
    <w:p w14:paraId="4BC80EF7" w14:textId="28BCBD2A" w:rsidR="001A377C" w:rsidRDefault="001A377C" w:rsidP="001A377C">
      <w:pPr>
        <w:rPr>
          <w:rFonts w:cstheme="minorHAnsi"/>
          <w:lang/>
        </w:rPr>
      </w:pPr>
      <w:r w:rsidRPr="001A377C">
        <w:rPr>
          <w:rFonts w:cstheme="minorHAnsi"/>
          <w:lang/>
        </w:rPr>
        <w:t>It is recommended that the State considers adapting school-based sex</w:t>
      </w:r>
      <w:r w:rsidR="000001C0">
        <w:rPr>
          <w:rFonts w:cstheme="minorHAnsi"/>
          <w:lang/>
        </w:rPr>
        <w:t>ual</w:t>
      </w:r>
      <w:r w:rsidRPr="001A377C">
        <w:rPr>
          <w:rFonts w:cstheme="minorHAnsi"/>
          <w:lang/>
        </w:rPr>
        <w:t xml:space="preserve"> education, including the Life Skills Programme, to the needs of different disability groups and addressing the intersection of sexuality and disability, in order to support women’s full reproductive rights and their ability to make independent decisions about having children.</w:t>
      </w:r>
    </w:p>
    <w:p w14:paraId="6FB272E1" w14:textId="77777777" w:rsidR="001A377C" w:rsidRPr="001A377C" w:rsidRDefault="001A377C" w:rsidP="001A377C">
      <w:pPr>
        <w:rPr>
          <w:rFonts w:cstheme="minorHAnsi"/>
          <w:lang/>
        </w:rPr>
      </w:pPr>
    </w:p>
    <w:p w14:paraId="3EBB9ECF" w14:textId="77777777" w:rsidR="001A377C" w:rsidRPr="001A377C" w:rsidRDefault="001A377C" w:rsidP="001A377C">
      <w:pPr>
        <w:pStyle w:val="ListParagraph"/>
        <w:numPr>
          <w:ilvl w:val="0"/>
          <w:numId w:val="31"/>
        </w:numPr>
        <w:rPr>
          <w:rFonts w:cstheme="minorHAnsi"/>
          <w:lang/>
        </w:rPr>
      </w:pPr>
      <w:r w:rsidRPr="001A377C">
        <w:rPr>
          <w:rFonts w:cstheme="minorHAnsi"/>
          <w:lang/>
        </w:rPr>
        <w:t>Enhance awareness and training for medical professionals</w:t>
      </w:r>
    </w:p>
    <w:p w14:paraId="54F2F238" w14:textId="0D3F98EF" w:rsidR="001A377C" w:rsidRDefault="00373652" w:rsidP="001A377C">
      <w:pPr>
        <w:rPr>
          <w:rFonts w:cstheme="minorHAnsi"/>
          <w:lang/>
        </w:rPr>
      </w:pPr>
      <w:r>
        <w:rPr>
          <w:rFonts w:cstheme="minorHAnsi"/>
          <w:lang/>
        </w:rPr>
        <w:t>Measures needed</w:t>
      </w:r>
      <w:r w:rsidR="001A377C" w:rsidRPr="001A377C">
        <w:rPr>
          <w:rFonts w:cstheme="minorHAnsi"/>
          <w:lang/>
        </w:rPr>
        <w:t xml:space="preserve"> to provide health care professionals with training on a human rights-based approach to disability, including knowledge of reproductive health needs and accessible practices, to ensure respectful and equitable treatment of women with disabilities.</w:t>
      </w:r>
    </w:p>
    <w:p w14:paraId="6A4791EE" w14:textId="77777777" w:rsidR="001A377C" w:rsidRPr="001A377C" w:rsidRDefault="001A377C" w:rsidP="001A377C">
      <w:pPr>
        <w:rPr>
          <w:rFonts w:cstheme="minorHAnsi"/>
          <w:lang/>
        </w:rPr>
      </w:pPr>
    </w:p>
    <w:p w14:paraId="20FF8EB5" w14:textId="77777777" w:rsidR="001A377C" w:rsidRDefault="001A377C" w:rsidP="001A377C">
      <w:pPr>
        <w:pStyle w:val="ListParagraph"/>
        <w:numPr>
          <w:ilvl w:val="0"/>
          <w:numId w:val="31"/>
        </w:numPr>
        <w:rPr>
          <w:rFonts w:cstheme="minorHAnsi"/>
          <w:lang/>
        </w:rPr>
      </w:pPr>
      <w:r w:rsidRPr="001A377C">
        <w:rPr>
          <w:rFonts w:cstheme="minorHAnsi"/>
          <w:lang/>
        </w:rPr>
        <w:t>Improve accessibility of reproductive health services</w:t>
      </w:r>
    </w:p>
    <w:p w14:paraId="07433C0B" w14:textId="39A2DCD8" w:rsidR="001A377C" w:rsidRDefault="001A377C" w:rsidP="001A377C">
      <w:pPr>
        <w:rPr>
          <w:rFonts w:cstheme="minorHAnsi"/>
          <w:lang/>
        </w:rPr>
      </w:pPr>
      <w:r w:rsidRPr="001A377C">
        <w:rPr>
          <w:rFonts w:cstheme="minorHAnsi"/>
          <w:lang/>
        </w:rPr>
        <w:t xml:space="preserve">The State </w:t>
      </w:r>
      <w:r w:rsidR="00373652">
        <w:rPr>
          <w:rFonts w:cstheme="minorHAnsi"/>
          <w:lang/>
        </w:rPr>
        <w:t>must</w:t>
      </w:r>
      <w:r w:rsidRPr="001A377C">
        <w:rPr>
          <w:rFonts w:cstheme="minorHAnsi"/>
          <w:lang/>
        </w:rPr>
        <w:t xml:space="preserve"> consider further efforts to ensure that reproductive health services, including pregnancy care and childbirth, are physically and practically accessible to women with disabilities, with adequate facilities, equipment, and communication support.</w:t>
      </w:r>
      <w:r w:rsidR="00373652">
        <w:rPr>
          <w:rFonts w:cstheme="minorHAnsi"/>
          <w:lang/>
        </w:rPr>
        <w:t xml:space="preserve"> </w:t>
      </w:r>
      <w:r w:rsidR="00373652" w:rsidRPr="00373652">
        <w:rPr>
          <w:rFonts w:cstheme="minorHAnsi"/>
          <w:lang/>
        </w:rPr>
        <w:t xml:space="preserve">A comprehensive </w:t>
      </w:r>
      <w:r w:rsidR="00373652">
        <w:rPr>
          <w:rFonts w:cstheme="minorHAnsi"/>
          <w:lang/>
        </w:rPr>
        <w:t xml:space="preserve">and explicit </w:t>
      </w:r>
      <w:r w:rsidR="00373652" w:rsidRPr="00373652">
        <w:rPr>
          <w:rFonts w:cstheme="minorHAnsi"/>
          <w:lang/>
        </w:rPr>
        <w:t>regulation of reasonable accommodations in healthcare legislation could create the necessary conditions for the required changes.</w:t>
      </w:r>
      <w:r w:rsidR="000928E1" w:rsidRPr="000928E1">
        <w:t xml:space="preserve"> </w:t>
      </w:r>
      <w:r w:rsidR="000928E1">
        <w:t>At present, the provision of reasonable accommodation is defined in the Law on Equal Opportunities, however, it is not regulated separately in legislation governing health-care services.</w:t>
      </w:r>
    </w:p>
    <w:p w14:paraId="285CF3D3" w14:textId="77777777" w:rsidR="001A377C" w:rsidRPr="001A377C" w:rsidRDefault="001A377C" w:rsidP="001A377C">
      <w:pPr>
        <w:rPr>
          <w:rFonts w:cstheme="minorHAnsi"/>
          <w:lang/>
        </w:rPr>
      </w:pPr>
    </w:p>
    <w:p w14:paraId="4122B1CD" w14:textId="77777777" w:rsidR="001A377C" w:rsidRDefault="001A377C" w:rsidP="001A377C">
      <w:pPr>
        <w:pStyle w:val="ListParagraph"/>
        <w:numPr>
          <w:ilvl w:val="0"/>
          <w:numId w:val="31"/>
        </w:numPr>
        <w:rPr>
          <w:rFonts w:cstheme="minorHAnsi"/>
          <w:lang/>
        </w:rPr>
      </w:pPr>
      <w:r w:rsidRPr="001A377C">
        <w:rPr>
          <w:rFonts w:cstheme="minorHAnsi"/>
          <w:lang/>
        </w:rPr>
        <w:t>Strengthen support services for mothers with disabilities</w:t>
      </w:r>
    </w:p>
    <w:p w14:paraId="3963227A" w14:textId="2E6CA34F" w:rsidR="001A377C" w:rsidRDefault="001A377C" w:rsidP="001A377C">
      <w:pPr>
        <w:rPr>
          <w:rFonts w:cstheme="minorHAnsi"/>
          <w:lang/>
        </w:rPr>
      </w:pPr>
      <w:r w:rsidRPr="001A377C">
        <w:rPr>
          <w:rFonts w:cstheme="minorHAnsi"/>
          <w:lang/>
        </w:rPr>
        <w:t xml:space="preserve">It is suggested that municipal social services and other relevant authorities review and expand support services for parents with disabilities, including those whose difficulties arise primarily from mobility, visual, or other disability-related challenges, so that families can </w:t>
      </w:r>
      <w:r w:rsidR="001C20DF">
        <w:rPr>
          <w:rFonts w:cstheme="minorHAnsi"/>
          <w:lang/>
        </w:rPr>
        <w:t xml:space="preserve">receive support for </w:t>
      </w:r>
      <w:r w:rsidRPr="001A377C">
        <w:rPr>
          <w:rFonts w:cstheme="minorHAnsi"/>
          <w:lang/>
        </w:rPr>
        <w:t xml:space="preserve">care for their children </w:t>
      </w:r>
      <w:r w:rsidR="001C20DF">
        <w:rPr>
          <w:rFonts w:cstheme="minorHAnsi"/>
          <w:lang/>
        </w:rPr>
        <w:t xml:space="preserve">to be </w:t>
      </w:r>
      <w:r w:rsidRPr="001A377C">
        <w:rPr>
          <w:rFonts w:cstheme="minorHAnsi"/>
          <w:lang/>
        </w:rPr>
        <w:t>effective and safe</w:t>
      </w:r>
      <w:r>
        <w:rPr>
          <w:rFonts w:cstheme="minorHAnsi"/>
          <w:lang/>
        </w:rPr>
        <w:t>.</w:t>
      </w:r>
    </w:p>
    <w:p w14:paraId="369377D3" w14:textId="77777777" w:rsidR="001A377C" w:rsidRPr="001A377C" w:rsidRDefault="001A377C" w:rsidP="001A377C">
      <w:pPr>
        <w:rPr>
          <w:rFonts w:cstheme="minorHAnsi"/>
          <w:lang/>
        </w:rPr>
      </w:pPr>
    </w:p>
    <w:p w14:paraId="28777D67" w14:textId="77777777" w:rsidR="001A377C" w:rsidRDefault="001A377C" w:rsidP="001A377C">
      <w:pPr>
        <w:pStyle w:val="ListParagraph"/>
        <w:numPr>
          <w:ilvl w:val="0"/>
          <w:numId w:val="31"/>
        </w:numPr>
        <w:rPr>
          <w:rFonts w:cstheme="minorHAnsi"/>
          <w:lang/>
        </w:rPr>
      </w:pPr>
      <w:r w:rsidRPr="001A377C">
        <w:rPr>
          <w:rFonts w:cstheme="minorHAnsi"/>
          <w:lang/>
        </w:rPr>
        <w:t>Address societal attitudes and discrimination</w:t>
      </w:r>
    </w:p>
    <w:p w14:paraId="5903BA6D" w14:textId="5BDAC8BD" w:rsidR="003B1EFF" w:rsidRPr="00373652" w:rsidRDefault="001A377C" w:rsidP="004525FD">
      <w:pPr>
        <w:rPr>
          <w:rFonts w:cstheme="minorHAnsi"/>
          <w:lang/>
        </w:rPr>
      </w:pPr>
      <w:r w:rsidRPr="001A377C">
        <w:rPr>
          <w:rFonts w:cstheme="minorHAnsi"/>
          <w:lang/>
        </w:rPr>
        <w:t>The State could take steps to raise public awareness about the rights of women with disabilities to become mothers, to combat negative stereotypes, and to promote positive social attitudes that respect their reproductive choices and family life.</w:t>
      </w:r>
    </w:p>
    <w:sectPr w:rsidR="003B1EFF" w:rsidRPr="00373652">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EF01C" w14:textId="77777777" w:rsidR="00D16E71" w:rsidRDefault="00D16E71" w:rsidP="00A115C5">
      <w:pPr>
        <w:spacing w:line="240" w:lineRule="auto"/>
      </w:pPr>
      <w:r>
        <w:separator/>
      </w:r>
    </w:p>
  </w:endnote>
  <w:endnote w:type="continuationSeparator" w:id="0">
    <w:p w14:paraId="223D724D" w14:textId="77777777" w:rsidR="00D16E71" w:rsidRDefault="00D16E71" w:rsidP="00A115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660151"/>
      <w:docPartObj>
        <w:docPartGallery w:val="Page Numbers (Bottom of Page)"/>
        <w:docPartUnique/>
      </w:docPartObj>
    </w:sdtPr>
    <w:sdtEndPr>
      <w:rPr>
        <w:rStyle w:val="PageNumber"/>
      </w:rPr>
    </w:sdtEndPr>
    <w:sdtContent>
      <w:p w14:paraId="4C942302" w14:textId="7F65E1D1" w:rsidR="009D2F76" w:rsidRDefault="009D2F76" w:rsidP="00BB3B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706D7DE" w14:textId="77777777" w:rsidR="009D2F76" w:rsidRDefault="009D2F76" w:rsidP="009D2F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0784776"/>
      <w:docPartObj>
        <w:docPartGallery w:val="Page Numbers (Bottom of Page)"/>
        <w:docPartUnique/>
      </w:docPartObj>
    </w:sdtPr>
    <w:sdtEndPr>
      <w:rPr>
        <w:rStyle w:val="PageNumber"/>
      </w:rPr>
    </w:sdtEndPr>
    <w:sdtContent>
      <w:p w14:paraId="306A4B07" w14:textId="270CFC79" w:rsidR="009D2F76" w:rsidRDefault="009D2F76" w:rsidP="00BB3B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52A21E1E" w14:textId="77777777" w:rsidR="009D2F76" w:rsidRDefault="009D2F76" w:rsidP="009D2F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87207" w14:textId="77777777" w:rsidR="00D16E71" w:rsidRDefault="00D16E71" w:rsidP="00A115C5">
      <w:pPr>
        <w:spacing w:line="240" w:lineRule="auto"/>
      </w:pPr>
      <w:r>
        <w:separator/>
      </w:r>
    </w:p>
  </w:footnote>
  <w:footnote w:type="continuationSeparator" w:id="0">
    <w:p w14:paraId="0526C408" w14:textId="77777777" w:rsidR="00D16E71" w:rsidRDefault="00D16E71" w:rsidP="00A115C5">
      <w:pPr>
        <w:spacing w:line="240" w:lineRule="auto"/>
      </w:pPr>
      <w:r>
        <w:continuationSeparator/>
      </w:r>
    </w:p>
  </w:footnote>
  <w:footnote w:id="1">
    <w:p w14:paraId="00ECF144" w14:textId="1528B981" w:rsidR="000A0790" w:rsidRPr="000A0790" w:rsidRDefault="000A0790">
      <w:pPr>
        <w:pStyle w:val="FootnoteText"/>
      </w:pPr>
      <w:r>
        <w:rPr>
          <w:rStyle w:val="FootnoteReference"/>
        </w:rPr>
        <w:footnoteRef/>
      </w:r>
      <w:r>
        <w:t xml:space="preserve"> </w:t>
      </w:r>
      <w:r>
        <w:rPr>
          <w:lang w:val="lt-LT"/>
        </w:rPr>
        <w:t xml:space="preserve">Simona Aginskaitė, Rokas Uscila, </w:t>
      </w:r>
      <w:r w:rsidRPr="001E7BE0">
        <w:t>"</w:t>
      </w:r>
      <w:r w:rsidRPr="001E7BE0">
        <w:rPr>
          <w:lang w:val="lt-LT"/>
        </w:rPr>
        <w:t>Victimology study: experiences of violence by women with disabilities</w:t>
      </w:r>
      <w:r w:rsidRPr="001E7BE0">
        <w:t>"</w:t>
      </w:r>
      <w:r>
        <w:rPr>
          <w:rFonts w:ascii="Arial" w:hAnsi="Arial" w:cs="Arial"/>
          <w:color w:val="4D5156"/>
          <w:sz w:val="14"/>
          <w:szCs w:val="14"/>
          <w:shd w:val="clear" w:color="auto" w:fill="FFFFFF"/>
        </w:rPr>
        <w:t> </w:t>
      </w:r>
      <w:r>
        <w:rPr>
          <w:lang w:val="lt-LT"/>
        </w:rPr>
        <w:t xml:space="preserve">, </w:t>
      </w:r>
      <w:r w:rsidRPr="00DC6D83">
        <w:rPr>
          <w:lang w:val="lt-LT"/>
        </w:rPr>
        <w:t xml:space="preserve">2021, </w:t>
      </w:r>
      <w:hyperlink r:id="rId1" w:history="1">
        <w:r w:rsidRPr="00142B2C">
          <w:rPr>
            <w:rStyle w:val="Hyperlink"/>
            <w:lang w:val="lt-LT"/>
          </w:rPr>
          <w:t>https://www.lnf.lt/wp-content/uploads/2022/03/Viktimologinio-tyrimo-ataskaita-LNF.pdf</w:t>
        </w:r>
      </w:hyperlink>
      <w:r>
        <w:rPr>
          <w:lang w:val="lt-LT"/>
        </w:rPr>
        <w:t>.</w:t>
      </w:r>
    </w:p>
  </w:footnote>
  <w:footnote w:id="2">
    <w:p w14:paraId="2BB3D530" w14:textId="2404FB98" w:rsidR="00FC2C4D" w:rsidRDefault="00FC2C4D">
      <w:pPr>
        <w:pStyle w:val="FootnoteText"/>
      </w:pPr>
      <w:r>
        <w:rPr>
          <w:rStyle w:val="FootnoteReference"/>
        </w:rPr>
        <w:footnoteRef/>
      </w:r>
      <w:r>
        <w:t xml:space="preserve"> </w:t>
      </w:r>
      <w:proofErr w:type="spellStart"/>
      <w:r>
        <w:t>U.Grigaite</w:t>
      </w:r>
      <w:proofErr w:type="spellEnd"/>
      <w:r>
        <w:t xml:space="preserve">, </w:t>
      </w:r>
      <w:r w:rsidRPr="001E7BE0">
        <w:t>"</w:t>
      </w:r>
      <w:proofErr w:type="spellStart"/>
      <w:r>
        <w:t>S.Aginskaite</w:t>
      </w:r>
      <w:proofErr w:type="spellEnd"/>
      <w:r>
        <w:t xml:space="preserve">, </w:t>
      </w:r>
      <w:r w:rsidRPr="001E7BE0">
        <w:t>"</w:t>
      </w:r>
      <w:r w:rsidRPr="00FC2C4D">
        <w:rPr>
          <w:bCs/>
          <w:lang w:val="lt-LT"/>
        </w:rPr>
        <w:t>Experiences of Women with Disabilities in Lithuania when their Gender, Disability, Domestic Violence, and Mental Health Services Intertwine</w:t>
      </w:r>
      <w:r w:rsidRPr="001E7BE0">
        <w:t>"</w:t>
      </w:r>
      <w:r>
        <w:t>, Disability and Health Journal, 2025, &lt;</w:t>
      </w:r>
      <w:hyperlink r:id="rId2" w:history="1">
        <w:r w:rsidRPr="00BB3BA9">
          <w:rPr>
            <w:rStyle w:val="Hyperlink"/>
            <w:rFonts w:asciiTheme="minorHAnsi" w:hAnsiTheme="minorHAnsi"/>
          </w:rPr>
          <w:t>https://www.researchgate.net/publication/390715001_Experiences_of_Women_with_Disabilities_in_Lithuania_when_their_Gender_Disability_Domestic_Violence_and_Mental_Health_Services_Intertwine</w:t>
        </w:r>
      </w:hyperlink>
      <w:r>
        <w:t>&gt;.</w:t>
      </w:r>
    </w:p>
  </w:footnote>
  <w:footnote w:id="3">
    <w:p w14:paraId="3C8D3A21" w14:textId="77777777" w:rsidR="00A115C5" w:rsidRPr="00A05FB5" w:rsidRDefault="00A115C5" w:rsidP="00A115C5">
      <w:pPr>
        <w:pStyle w:val="FootnoteText"/>
        <w:rPr>
          <w:lang w:val="lt-LT"/>
        </w:rPr>
      </w:pPr>
      <w:r>
        <w:rPr>
          <w:rStyle w:val="FootnoteReference"/>
        </w:rPr>
        <w:footnoteRef/>
      </w:r>
      <w:r>
        <w:t xml:space="preserve"> Republic of Lithuania </w:t>
      </w:r>
      <w:r w:rsidRPr="00CB78A9">
        <w:t>Law on Prote</w:t>
      </w:r>
      <w:r>
        <w:t>ction against Domestic Violence</w:t>
      </w:r>
      <w:r>
        <w:rPr>
          <w:lang w:val="lt-LT"/>
        </w:rPr>
        <w:t>, &lt;</w:t>
      </w:r>
      <w:r w:rsidRPr="00A05FB5">
        <w:t xml:space="preserve"> </w:t>
      </w:r>
      <w:hyperlink r:id="rId3" w:history="1">
        <w:r w:rsidRPr="00142B2C">
          <w:rPr>
            <w:rStyle w:val="Hyperlink"/>
            <w:lang w:val="lt-LT"/>
          </w:rPr>
          <w:t>https://e-seimas.lrs.lt/portal/legalAct/lt/TAD/TAIS.400334</w:t>
        </w:r>
      </w:hyperlink>
      <w:r>
        <w:rPr>
          <w:lang w:val="lt-LT"/>
        </w:rPr>
        <w:t>&gt;.</w:t>
      </w:r>
    </w:p>
  </w:footnote>
  <w:footnote w:id="4">
    <w:p w14:paraId="4C9AF213" w14:textId="6311209A" w:rsidR="004525FD" w:rsidRPr="004525FD" w:rsidRDefault="004525FD">
      <w:pPr>
        <w:pStyle w:val="FootnoteText"/>
      </w:pPr>
      <w:r>
        <w:rPr>
          <w:rStyle w:val="FootnoteReference"/>
        </w:rPr>
        <w:footnoteRef/>
      </w:r>
      <w:r>
        <w:t xml:space="preserve"> </w:t>
      </w:r>
      <w:proofErr w:type="gramStart"/>
      <w:r w:rsidR="00FC2C4D">
        <w:t>U</w:t>
      </w:r>
      <w:r w:rsidR="00FC2C4D">
        <w:rPr>
          <w:lang w:val="lt-LT"/>
        </w:rPr>
        <w:t>.Grigaite</w:t>
      </w:r>
      <w:proofErr w:type="gramEnd"/>
      <w:r w:rsidR="00FC2C4D">
        <w:rPr>
          <w:lang w:val="lt-LT"/>
        </w:rPr>
        <w:t xml:space="preserve">, </w:t>
      </w:r>
      <w:proofErr w:type="gramStart"/>
      <w:r w:rsidR="00FC2C4D">
        <w:rPr>
          <w:lang w:val="lt-LT"/>
        </w:rPr>
        <w:t>K.Levickaite</w:t>
      </w:r>
      <w:proofErr w:type="gramEnd"/>
      <w:r w:rsidR="00FC2C4D">
        <w:rPr>
          <w:lang w:val="lt-LT"/>
        </w:rPr>
        <w:t>, „</w:t>
      </w:r>
      <w:r>
        <w:t>Enhancing the Rights of Defendants and Detainees with Intellectual and/or Psychosocial Disabilities: EU Cross-Border Transfers, Detention, and Alternatives. National Research Repor</w:t>
      </w:r>
      <w:r w:rsidR="00FC2C4D">
        <w:t>t</w:t>
      </w:r>
      <w:r>
        <w:t>: Lithuania</w:t>
      </w:r>
      <w:r w:rsidR="00FC2C4D">
        <w:t>”</w:t>
      </w:r>
      <w:r>
        <w:t>, 2023. &lt;</w:t>
      </w:r>
      <w:hyperlink r:id="rId4" w:history="1">
        <w:r w:rsidRPr="00BB3BA9">
          <w:rPr>
            <w:rStyle w:val="Hyperlink"/>
            <w:lang w:val="lt-LT"/>
          </w:rPr>
          <w:t>https://perspektyvos.org/wp-content/uploads/2024/01/Justice-for-all-LT-National-Research-report.pdf</w:t>
        </w:r>
      </w:hyperlink>
      <w:r>
        <w:rPr>
          <w:lang w:val="lt-LT"/>
        </w:rPr>
        <w:t>&gt;</w:t>
      </w:r>
    </w:p>
  </w:footnote>
  <w:footnote w:id="5">
    <w:p w14:paraId="7D20759C" w14:textId="27A38C93" w:rsidR="00FE3EFF" w:rsidRPr="00FE3EFF" w:rsidRDefault="00FE3EFF">
      <w:pPr>
        <w:pStyle w:val="FootnoteText"/>
        <w:rPr>
          <w:lang w:val="lt-LT"/>
        </w:rPr>
      </w:pPr>
      <w:r>
        <w:rPr>
          <w:rStyle w:val="FootnoteReference"/>
        </w:rPr>
        <w:footnoteRef/>
      </w:r>
      <w:r>
        <w:t xml:space="preserve"> </w:t>
      </w:r>
      <w:r w:rsidRPr="00F06DA3">
        <w:rPr>
          <w:lang w:val="lt-LT"/>
        </w:rPr>
        <w:t xml:space="preserve">Gyvenimo </w:t>
      </w:r>
      <w:r w:rsidRPr="00F06DA3">
        <w:rPr>
          <w:lang w:val="lt-LT"/>
        </w:rPr>
        <w:t>įgūdžių bendroji programa,</w:t>
      </w:r>
      <w:r>
        <w:rPr>
          <w:lang w:val="lt-LT"/>
        </w:rPr>
        <w:t>(</w:t>
      </w:r>
      <w:r w:rsidRPr="00680089">
        <w:rPr>
          <w:i/>
          <w:lang w:val="lt-LT"/>
        </w:rPr>
        <w:t>Life Skills Programme</w:t>
      </w:r>
      <w:r>
        <w:rPr>
          <w:lang w:val="lt-LT"/>
        </w:rPr>
        <w:t xml:space="preserve">) </w:t>
      </w:r>
      <w:r w:rsidRPr="00F06DA3">
        <w:rPr>
          <w:lang w:val="lt-LT"/>
        </w:rPr>
        <w:t>&lt;</w:t>
      </w:r>
      <w:r>
        <w:fldChar w:fldCharType="begin"/>
      </w:r>
      <w:r>
        <w:instrText>HYPERLINK "https://www.emokykla.lt/bendrosios-programos/visos-bendrosios.%20programos/48?st=2&amp;fbclid=IwAR0r7nggNyIrMTYw9d1nVeX4aD1STOw8wifrRWuiGQHeoQLdxhbr6SVyt-s&amp;ach-1=0&amp;ach-4=5"</w:instrText>
      </w:r>
      <w:r>
        <w:fldChar w:fldCharType="separate"/>
      </w:r>
      <w:r w:rsidRPr="00BB3BA9">
        <w:rPr>
          <w:rStyle w:val="Hyperlink"/>
        </w:rPr>
        <w:t>https://www.emokykla.lt/bendrosios-programos/visos-bendrosios. programos/48?st=2&amp;fbclid=IwAR0r7nggNyIrMTYw9d1nVeX4aD1STOw8wifrRWuiGQHeoQLdxhbr6SVyt-s&amp;ach-1=0&amp;ach-4=5</w:t>
      </w:r>
      <w:r>
        <w:fldChar w:fldCharType="end"/>
      </w:r>
      <w:r>
        <w:t>&gt;</w:t>
      </w:r>
    </w:p>
  </w:footnote>
  <w:footnote w:id="6">
    <w:p w14:paraId="75AA95D3" w14:textId="7BA02FFC" w:rsidR="00A806B7" w:rsidRPr="00A806B7" w:rsidRDefault="00A806B7">
      <w:pPr>
        <w:pStyle w:val="FootnoteText"/>
      </w:pPr>
      <w:r>
        <w:rPr>
          <w:rStyle w:val="FootnoteReference"/>
        </w:rPr>
        <w:footnoteRef/>
      </w:r>
      <w:r>
        <w:t xml:space="preserve"> Lithuanian Employment Service data, 2024.</w:t>
      </w:r>
    </w:p>
  </w:footnote>
  <w:footnote w:id="7">
    <w:p w14:paraId="6D7ACF59" w14:textId="77777777" w:rsidR="00850FFB" w:rsidRPr="005112EF" w:rsidRDefault="00850FFB" w:rsidP="00850FFB">
      <w:pPr>
        <w:pStyle w:val="FootnoteText"/>
        <w:rPr>
          <w:lang w:val="lt-LT"/>
        </w:rPr>
      </w:pPr>
      <w:r>
        <w:rPr>
          <w:rStyle w:val="FootnoteReference"/>
        </w:rPr>
        <w:footnoteRef/>
      </w:r>
      <w:r w:rsidRPr="005112EF">
        <w:rPr>
          <w:lang w:val="lt-LT"/>
        </w:rPr>
        <w:t xml:space="preserve"> </w:t>
      </w:r>
      <w:r>
        <w:rPr>
          <w:lang w:val="lt-LT"/>
        </w:rPr>
        <w:t>„</w:t>
      </w:r>
      <w:r>
        <w:t xml:space="preserve">Scandalous Verdict: Woman Sterilized Without Her Knowledge”, </w:t>
      </w:r>
      <w:proofErr w:type="spellStart"/>
      <w:r>
        <w:t>delfi.lt</w:t>
      </w:r>
      <w:proofErr w:type="spellEnd"/>
      <w:r>
        <w:t xml:space="preserve">, 2019 07 03, </w:t>
      </w:r>
      <w:hyperlink r:id="rId5" w:history="1">
        <w:r w:rsidRPr="00BB3BA9">
          <w:rPr>
            <w:rStyle w:val="Hyperlink"/>
            <w:lang w:val="lt-LT"/>
          </w:rPr>
          <w:t>https://www.delfi.lt/news/daily/lithuania/skandalingas-nuosprendis-moteris-sterilizuota-be-jos-zinios-81626697</w:t>
        </w:r>
      </w:hyperlink>
      <w:r>
        <w:rPr>
          <w:lang w:val="lt-LT"/>
        </w:rPr>
        <w:t xml:space="preserve">. </w:t>
      </w:r>
    </w:p>
  </w:footnote>
  <w:footnote w:id="8">
    <w:p w14:paraId="71B95299" w14:textId="131DFF38" w:rsidR="00A806B7" w:rsidRDefault="00A806B7">
      <w:pPr>
        <w:pStyle w:val="FootnoteText"/>
      </w:pPr>
      <w:r>
        <w:rPr>
          <w:rStyle w:val="FootnoteReference"/>
        </w:rPr>
        <w:footnoteRef/>
      </w:r>
      <w:r>
        <w:t xml:space="preserve"> Centre of Registers data, &lt;</w:t>
      </w:r>
      <w:hyperlink r:id="rId6" w:history="1">
        <w:r w:rsidRPr="00BB3BA9">
          <w:rPr>
            <w:rStyle w:val="Hyperlink"/>
            <w:rFonts w:asciiTheme="minorHAnsi" w:hAnsiTheme="minorHAnsi"/>
          </w:rPr>
          <w:t>https://www.registrucentras.lt/atviri-duomenys-ir-statistika/neveiksniu-ir-ribotai-veiksniu-asmenu-registro-statistiniai-duomenys</w:t>
        </w:r>
      </w:hyperlink>
      <w:r>
        <w:t>&gt;</w:t>
      </w:r>
    </w:p>
  </w:footnote>
  <w:footnote w:id="9">
    <w:p w14:paraId="16F46B56" w14:textId="2634DB51" w:rsidR="007331BD" w:rsidRPr="007331BD" w:rsidRDefault="007331BD" w:rsidP="007331BD">
      <w:pPr>
        <w:pStyle w:val="Heading1"/>
        <w:shd w:val="clear" w:color="auto" w:fill="FFFFFF"/>
        <w:spacing w:before="0" w:after="0" w:line="240" w:lineRule="auto"/>
        <w:rPr>
          <w:rFonts w:cstheme="minorHAnsi"/>
          <w:b w:val="0"/>
          <w:color w:val="111111"/>
          <w:sz w:val="20"/>
          <w:szCs w:val="20"/>
        </w:rPr>
      </w:pPr>
      <w:r w:rsidRPr="007331BD">
        <w:rPr>
          <w:rStyle w:val="FootnoteReference"/>
          <w:rFonts w:cstheme="minorHAnsi"/>
          <w:sz w:val="20"/>
          <w:szCs w:val="20"/>
        </w:rPr>
        <w:footnoteRef/>
      </w:r>
      <w:r w:rsidRPr="007331BD">
        <w:rPr>
          <w:rFonts w:cstheme="minorHAnsi"/>
          <w:sz w:val="20"/>
          <w:szCs w:val="20"/>
        </w:rPr>
        <w:t xml:space="preserve"> </w:t>
      </w:r>
      <w:proofErr w:type="spellStart"/>
      <w:r w:rsidR="00FC2C4D" w:rsidRPr="00FC2C4D">
        <w:rPr>
          <w:rFonts w:cstheme="minorHAnsi"/>
          <w:b w:val="0"/>
          <w:bCs/>
          <w:sz w:val="20"/>
          <w:szCs w:val="20"/>
        </w:rPr>
        <w:t>U.Grigaite</w:t>
      </w:r>
      <w:proofErr w:type="spellEnd"/>
      <w:r w:rsidR="00FC2C4D" w:rsidRPr="00FC2C4D">
        <w:rPr>
          <w:rFonts w:cstheme="minorHAnsi"/>
          <w:b w:val="0"/>
          <w:bCs/>
          <w:sz w:val="20"/>
          <w:szCs w:val="20"/>
        </w:rPr>
        <w:t xml:space="preserve">, </w:t>
      </w:r>
      <w:proofErr w:type="spellStart"/>
      <w:r w:rsidR="00FC2C4D" w:rsidRPr="00FC2C4D">
        <w:rPr>
          <w:rFonts w:cstheme="minorHAnsi"/>
          <w:b w:val="0"/>
          <w:bCs/>
          <w:sz w:val="20"/>
          <w:szCs w:val="20"/>
        </w:rPr>
        <w:t>S.Aginskaite</w:t>
      </w:r>
      <w:proofErr w:type="spellEnd"/>
      <w:r w:rsidR="00FC2C4D" w:rsidRPr="00FC2C4D">
        <w:rPr>
          <w:rFonts w:cstheme="minorHAnsi"/>
          <w:b w:val="0"/>
          <w:bCs/>
          <w:sz w:val="20"/>
          <w:szCs w:val="20"/>
        </w:rPr>
        <w:t>, “</w:t>
      </w:r>
      <w:r w:rsidRPr="00FC2C4D">
        <w:rPr>
          <w:rFonts w:eastAsia="Times New Roman" w:cs="Times New Roman"/>
          <w:b w:val="0"/>
          <w:bCs/>
          <w:color w:val="auto"/>
          <w:sz w:val="20"/>
          <w:szCs w:val="20"/>
          <w:lang w:val="lt-LT"/>
        </w:rPr>
        <w:t>Accessibility</w:t>
      </w:r>
      <w:r w:rsidRPr="007331BD">
        <w:rPr>
          <w:rFonts w:eastAsia="Times New Roman" w:cs="Times New Roman"/>
          <w:b w:val="0"/>
          <w:color w:val="auto"/>
          <w:sz w:val="20"/>
          <w:szCs w:val="20"/>
          <w:lang w:val="lt-LT"/>
        </w:rPr>
        <w:t xml:space="preserve"> and Utilisation of Reproductive Healthcare Services Among Women with Disabilities in Lithuania: Insights from a Mixed-Methods Study</w:t>
      </w:r>
      <w:r w:rsidR="00FC2C4D">
        <w:rPr>
          <w:rFonts w:eastAsia="Times New Roman" w:cs="Times New Roman"/>
          <w:b w:val="0"/>
          <w:color w:val="auto"/>
          <w:sz w:val="20"/>
          <w:szCs w:val="20"/>
          <w:lang w:val="lt-LT"/>
        </w:rPr>
        <w:t>“</w:t>
      </w:r>
      <w:r>
        <w:rPr>
          <w:rFonts w:eastAsia="Times New Roman" w:cs="Times New Roman"/>
          <w:b w:val="0"/>
          <w:color w:val="auto"/>
          <w:sz w:val="20"/>
          <w:szCs w:val="20"/>
          <w:lang w:val="lt-LT"/>
        </w:rPr>
        <w:t xml:space="preserve">, Disability and Health Journal, </w:t>
      </w:r>
      <w:r>
        <w:rPr>
          <w:rFonts w:eastAsia="Times New Roman" w:cs="Times New Roman"/>
          <w:b w:val="0"/>
          <w:color w:val="auto"/>
          <w:sz w:val="20"/>
          <w:szCs w:val="20"/>
        </w:rPr>
        <w:t>2025, &lt;</w:t>
      </w:r>
      <w:hyperlink r:id="rId7" w:history="1">
        <w:r w:rsidRPr="00BB3BA9">
          <w:rPr>
            <w:rStyle w:val="Hyperlink"/>
            <w:rFonts w:asciiTheme="minorHAnsi" w:eastAsia="Times New Roman" w:hAnsiTheme="minorHAnsi"/>
            <w:b w:val="0"/>
            <w:sz w:val="20"/>
            <w:szCs w:val="20"/>
          </w:rPr>
          <w:t>https://www.researchgate.net/publication/393842155_Accessibility_and_Utilisation_of_Reproductive_Healthcare_Services_Among_Women_with_Disabilities_in_Lithuania_Insights_from_a_Mixed-Methods_Study</w:t>
        </w:r>
      </w:hyperlink>
      <w:r>
        <w:rPr>
          <w:rFonts w:eastAsia="Times New Roman" w:cs="Times New Roman"/>
          <w:b w:val="0"/>
          <w:color w:val="auto"/>
          <w:sz w:val="20"/>
          <w:szCs w:val="20"/>
        </w:rPr>
        <w:t>&gt;</w:t>
      </w:r>
    </w:p>
    <w:p w14:paraId="12E56046" w14:textId="39C680F5" w:rsidR="007331BD" w:rsidRPr="007331BD" w:rsidRDefault="007331BD">
      <w:pPr>
        <w:pStyle w:val="FootnoteText"/>
        <w:rPr>
          <w:lang/>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7DC6"/>
    <w:multiLevelType w:val="hybridMultilevel"/>
    <w:tmpl w:val="6A84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93A98"/>
    <w:multiLevelType w:val="hybridMultilevel"/>
    <w:tmpl w:val="2F147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03483"/>
    <w:multiLevelType w:val="hybridMultilevel"/>
    <w:tmpl w:val="0930D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011D1D"/>
    <w:multiLevelType w:val="multilevel"/>
    <w:tmpl w:val="4E40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A2359"/>
    <w:multiLevelType w:val="hybridMultilevel"/>
    <w:tmpl w:val="3EAA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16143"/>
    <w:multiLevelType w:val="hybridMultilevel"/>
    <w:tmpl w:val="D7F2D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3554AE"/>
    <w:multiLevelType w:val="hybridMultilevel"/>
    <w:tmpl w:val="0930D9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D96A96"/>
    <w:multiLevelType w:val="multilevel"/>
    <w:tmpl w:val="B2867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0D29B0"/>
    <w:multiLevelType w:val="hybridMultilevel"/>
    <w:tmpl w:val="E012D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8C3DDC"/>
    <w:multiLevelType w:val="multilevel"/>
    <w:tmpl w:val="A5D0A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FD1CEA"/>
    <w:multiLevelType w:val="multilevel"/>
    <w:tmpl w:val="E7F4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BC519A"/>
    <w:multiLevelType w:val="multilevel"/>
    <w:tmpl w:val="80F6F7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C3068B"/>
    <w:multiLevelType w:val="multilevel"/>
    <w:tmpl w:val="655E4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7017C3"/>
    <w:multiLevelType w:val="hybridMultilevel"/>
    <w:tmpl w:val="0930D9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D800C66"/>
    <w:multiLevelType w:val="multilevel"/>
    <w:tmpl w:val="A2CAAF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897910"/>
    <w:multiLevelType w:val="hybridMultilevel"/>
    <w:tmpl w:val="5E7C3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4E1A3D"/>
    <w:multiLevelType w:val="multilevel"/>
    <w:tmpl w:val="AFB086D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8E09FE"/>
    <w:multiLevelType w:val="multilevel"/>
    <w:tmpl w:val="FEE4F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6D7799"/>
    <w:multiLevelType w:val="hybridMultilevel"/>
    <w:tmpl w:val="48B24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6E49B0"/>
    <w:multiLevelType w:val="hybridMultilevel"/>
    <w:tmpl w:val="4BAEC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1B65A1"/>
    <w:multiLevelType w:val="hybridMultilevel"/>
    <w:tmpl w:val="1C065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4676CE"/>
    <w:multiLevelType w:val="multilevel"/>
    <w:tmpl w:val="FA8203D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680E70"/>
    <w:multiLevelType w:val="multilevel"/>
    <w:tmpl w:val="163C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0F0019"/>
    <w:multiLevelType w:val="hybridMultilevel"/>
    <w:tmpl w:val="0930D9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C05FB7"/>
    <w:multiLevelType w:val="hybridMultilevel"/>
    <w:tmpl w:val="AB661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D33270"/>
    <w:multiLevelType w:val="hybridMultilevel"/>
    <w:tmpl w:val="0930D9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9491116"/>
    <w:multiLevelType w:val="hybridMultilevel"/>
    <w:tmpl w:val="4BB4B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E066EE"/>
    <w:multiLevelType w:val="multilevel"/>
    <w:tmpl w:val="12BC28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605130"/>
    <w:multiLevelType w:val="hybridMultilevel"/>
    <w:tmpl w:val="6EAC2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FB183E"/>
    <w:multiLevelType w:val="multilevel"/>
    <w:tmpl w:val="8B64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6035DD"/>
    <w:multiLevelType w:val="multilevel"/>
    <w:tmpl w:val="5A00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011305"/>
    <w:multiLevelType w:val="hybridMultilevel"/>
    <w:tmpl w:val="C4A22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C543EF"/>
    <w:multiLevelType w:val="hybridMultilevel"/>
    <w:tmpl w:val="E2A6B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5117137">
    <w:abstractNumId w:val="12"/>
  </w:num>
  <w:num w:numId="2" w16cid:durableId="658388613">
    <w:abstractNumId w:val="30"/>
  </w:num>
  <w:num w:numId="3" w16cid:durableId="431054049">
    <w:abstractNumId w:val="22"/>
  </w:num>
  <w:num w:numId="4" w16cid:durableId="578095408">
    <w:abstractNumId w:val="29"/>
  </w:num>
  <w:num w:numId="5" w16cid:durableId="822508233">
    <w:abstractNumId w:val="7"/>
  </w:num>
  <w:num w:numId="6" w16cid:durableId="1423529233">
    <w:abstractNumId w:val="21"/>
  </w:num>
  <w:num w:numId="7" w16cid:durableId="1776747431">
    <w:abstractNumId w:val="14"/>
  </w:num>
  <w:num w:numId="8" w16cid:durableId="1118989216">
    <w:abstractNumId w:val="16"/>
  </w:num>
  <w:num w:numId="9" w16cid:durableId="1709378308">
    <w:abstractNumId w:val="11"/>
  </w:num>
  <w:num w:numId="10" w16cid:durableId="952706026">
    <w:abstractNumId w:val="19"/>
  </w:num>
  <w:num w:numId="11" w16cid:durableId="1972858300">
    <w:abstractNumId w:val="4"/>
  </w:num>
  <w:num w:numId="12" w16cid:durableId="796685544">
    <w:abstractNumId w:val="9"/>
  </w:num>
  <w:num w:numId="13" w16cid:durableId="764232097">
    <w:abstractNumId w:val="0"/>
  </w:num>
  <w:num w:numId="14" w16cid:durableId="759257571">
    <w:abstractNumId w:val="5"/>
  </w:num>
  <w:num w:numId="15" w16cid:durableId="606154446">
    <w:abstractNumId w:val="24"/>
  </w:num>
  <w:num w:numId="16" w16cid:durableId="2066222947">
    <w:abstractNumId w:val="32"/>
  </w:num>
  <w:num w:numId="17" w16cid:durableId="30109021">
    <w:abstractNumId w:val="3"/>
  </w:num>
  <w:num w:numId="18" w16cid:durableId="951784914">
    <w:abstractNumId w:val="20"/>
  </w:num>
  <w:num w:numId="19" w16cid:durableId="1976717822">
    <w:abstractNumId w:val="15"/>
  </w:num>
  <w:num w:numId="20" w16cid:durableId="1226794519">
    <w:abstractNumId w:val="17"/>
  </w:num>
  <w:num w:numId="21" w16cid:durableId="343869616">
    <w:abstractNumId w:val="2"/>
  </w:num>
  <w:num w:numId="22" w16cid:durableId="2057771158">
    <w:abstractNumId w:val="23"/>
  </w:num>
  <w:num w:numId="23" w16cid:durableId="1238202808">
    <w:abstractNumId w:val="13"/>
  </w:num>
  <w:num w:numId="24" w16cid:durableId="1303582529">
    <w:abstractNumId w:val="6"/>
  </w:num>
  <w:num w:numId="25" w16cid:durableId="1602957726">
    <w:abstractNumId w:val="10"/>
  </w:num>
  <w:num w:numId="26" w16cid:durableId="645818206">
    <w:abstractNumId w:val="18"/>
  </w:num>
  <w:num w:numId="27" w16cid:durableId="1039014076">
    <w:abstractNumId w:val="8"/>
  </w:num>
  <w:num w:numId="28" w16cid:durableId="939677523">
    <w:abstractNumId w:val="26"/>
  </w:num>
  <w:num w:numId="29" w16cid:durableId="1599436753">
    <w:abstractNumId w:val="28"/>
  </w:num>
  <w:num w:numId="30" w16cid:durableId="1115755847">
    <w:abstractNumId w:val="31"/>
  </w:num>
  <w:num w:numId="31" w16cid:durableId="1413703800">
    <w:abstractNumId w:val="1"/>
  </w:num>
  <w:num w:numId="32" w16cid:durableId="556010930">
    <w:abstractNumId w:val="25"/>
  </w:num>
  <w:num w:numId="33" w16cid:durableId="195867506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113"/>
    <w:rsid w:val="000001C0"/>
    <w:rsid w:val="00007E01"/>
    <w:rsid w:val="00015581"/>
    <w:rsid w:val="00021BC7"/>
    <w:rsid w:val="00071232"/>
    <w:rsid w:val="00092363"/>
    <w:rsid w:val="000928E1"/>
    <w:rsid w:val="000A0790"/>
    <w:rsid w:val="000B7D77"/>
    <w:rsid w:val="00155639"/>
    <w:rsid w:val="00156301"/>
    <w:rsid w:val="001A377C"/>
    <w:rsid w:val="001B60FB"/>
    <w:rsid w:val="001C20DF"/>
    <w:rsid w:val="00211517"/>
    <w:rsid w:val="00225F80"/>
    <w:rsid w:val="00240790"/>
    <w:rsid w:val="00252076"/>
    <w:rsid w:val="00252FB8"/>
    <w:rsid w:val="0025363B"/>
    <w:rsid w:val="002637AE"/>
    <w:rsid w:val="00303113"/>
    <w:rsid w:val="0031239A"/>
    <w:rsid w:val="003141F4"/>
    <w:rsid w:val="00331FAB"/>
    <w:rsid w:val="003443DA"/>
    <w:rsid w:val="00372DF5"/>
    <w:rsid w:val="00373652"/>
    <w:rsid w:val="003A0D84"/>
    <w:rsid w:val="003A2F07"/>
    <w:rsid w:val="003B1EFF"/>
    <w:rsid w:val="003D725A"/>
    <w:rsid w:val="003E4205"/>
    <w:rsid w:val="004249CE"/>
    <w:rsid w:val="004525FD"/>
    <w:rsid w:val="00452FD3"/>
    <w:rsid w:val="004F4263"/>
    <w:rsid w:val="005112EF"/>
    <w:rsid w:val="00536D73"/>
    <w:rsid w:val="005743DF"/>
    <w:rsid w:val="005D5615"/>
    <w:rsid w:val="00601E86"/>
    <w:rsid w:val="00626A1F"/>
    <w:rsid w:val="00666277"/>
    <w:rsid w:val="006D6D76"/>
    <w:rsid w:val="006F3CEE"/>
    <w:rsid w:val="007036BD"/>
    <w:rsid w:val="0070666D"/>
    <w:rsid w:val="0072126D"/>
    <w:rsid w:val="007331BD"/>
    <w:rsid w:val="007A69A0"/>
    <w:rsid w:val="007A7B5C"/>
    <w:rsid w:val="007B245C"/>
    <w:rsid w:val="007C7A10"/>
    <w:rsid w:val="007D20D6"/>
    <w:rsid w:val="007E0E26"/>
    <w:rsid w:val="008339C6"/>
    <w:rsid w:val="00850FFB"/>
    <w:rsid w:val="008B1BE1"/>
    <w:rsid w:val="008B4E89"/>
    <w:rsid w:val="008F0BF9"/>
    <w:rsid w:val="0090240C"/>
    <w:rsid w:val="0091425F"/>
    <w:rsid w:val="00915760"/>
    <w:rsid w:val="00937C75"/>
    <w:rsid w:val="00962DDB"/>
    <w:rsid w:val="009738C1"/>
    <w:rsid w:val="009742AE"/>
    <w:rsid w:val="009B15EF"/>
    <w:rsid w:val="009D2F76"/>
    <w:rsid w:val="00A003D0"/>
    <w:rsid w:val="00A047ED"/>
    <w:rsid w:val="00A10B51"/>
    <w:rsid w:val="00A115C5"/>
    <w:rsid w:val="00A806B7"/>
    <w:rsid w:val="00AB204B"/>
    <w:rsid w:val="00AC5675"/>
    <w:rsid w:val="00AC6ABE"/>
    <w:rsid w:val="00AD6983"/>
    <w:rsid w:val="00AF1D98"/>
    <w:rsid w:val="00B46529"/>
    <w:rsid w:val="00B52C21"/>
    <w:rsid w:val="00B671B6"/>
    <w:rsid w:val="00B76EB6"/>
    <w:rsid w:val="00BA1601"/>
    <w:rsid w:val="00BB56F4"/>
    <w:rsid w:val="00BC4A95"/>
    <w:rsid w:val="00BD6A60"/>
    <w:rsid w:val="00BF3CB9"/>
    <w:rsid w:val="00C00B8C"/>
    <w:rsid w:val="00C2182C"/>
    <w:rsid w:val="00C22EB5"/>
    <w:rsid w:val="00C71FCC"/>
    <w:rsid w:val="00C73232"/>
    <w:rsid w:val="00C87455"/>
    <w:rsid w:val="00CA3806"/>
    <w:rsid w:val="00CE4C64"/>
    <w:rsid w:val="00D14161"/>
    <w:rsid w:val="00D16E71"/>
    <w:rsid w:val="00DA0E3E"/>
    <w:rsid w:val="00DA1D09"/>
    <w:rsid w:val="00DD7F94"/>
    <w:rsid w:val="00E02DA7"/>
    <w:rsid w:val="00E0346E"/>
    <w:rsid w:val="00E127E9"/>
    <w:rsid w:val="00E448DC"/>
    <w:rsid w:val="00E44BDB"/>
    <w:rsid w:val="00E843D9"/>
    <w:rsid w:val="00E936D0"/>
    <w:rsid w:val="00EB5F53"/>
    <w:rsid w:val="00F06274"/>
    <w:rsid w:val="00F2217F"/>
    <w:rsid w:val="00F463AC"/>
    <w:rsid w:val="00FA3C11"/>
    <w:rsid w:val="00FA777B"/>
    <w:rsid w:val="00FB1419"/>
    <w:rsid w:val="00FC2C4D"/>
    <w:rsid w:val="00FE3EFF"/>
    <w:rsid w:val="00FF7901"/>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EB546"/>
  <w15:chartTrackingRefBased/>
  <w15:docId w15:val="{2B30BE2D-AC76-9D48-9915-164C46DFF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04B"/>
    <w:pPr>
      <w:spacing w:line="360" w:lineRule="auto"/>
    </w:pPr>
    <w:rPr>
      <w:rFonts w:eastAsia="Times New Roman" w:cs="Times New Roman"/>
      <w:kern w:val="0"/>
      <w:lang w:val="en-US" w:eastAsia="en-GB"/>
      <w14:ligatures w14:val="none"/>
    </w:rPr>
  </w:style>
  <w:style w:type="paragraph" w:styleId="Heading1">
    <w:name w:val="heading 1"/>
    <w:basedOn w:val="Normal"/>
    <w:next w:val="Normal"/>
    <w:link w:val="Heading1Char"/>
    <w:uiPriority w:val="9"/>
    <w:qFormat/>
    <w:rsid w:val="00071232"/>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211517"/>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4525FD"/>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3031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31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31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1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1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1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232"/>
    <w:rPr>
      <w:rFonts w:eastAsiaTheme="majorEastAsia" w:cstheme="majorBidi"/>
      <w:b/>
      <w:color w:val="000000" w:themeColor="text1"/>
      <w:kern w:val="0"/>
      <w:sz w:val="32"/>
      <w:szCs w:val="40"/>
      <w:lang w:val="en-US" w:eastAsia="en-GB"/>
      <w14:ligatures w14:val="none"/>
    </w:rPr>
  </w:style>
  <w:style w:type="character" w:customStyle="1" w:styleId="Heading2Char">
    <w:name w:val="Heading 2 Char"/>
    <w:basedOn w:val="DefaultParagraphFont"/>
    <w:link w:val="Heading2"/>
    <w:uiPriority w:val="9"/>
    <w:rsid w:val="00211517"/>
    <w:rPr>
      <w:rFonts w:eastAsiaTheme="majorEastAsia" w:cstheme="majorBidi"/>
      <w:b/>
      <w:color w:val="000000" w:themeColor="text1"/>
      <w:kern w:val="0"/>
      <w:sz w:val="28"/>
      <w:szCs w:val="32"/>
      <w:lang w:val="en-US" w:eastAsia="en-GB"/>
      <w14:ligatures w14:val="none"/>
    </w:rPr>
  </w:style>
  <w:style w:type="character" w:customStyle="1" w:styleId="Heading3Char">
    <w:name w:val="Heading 3 Char"/>
    <w:basedOn w:val="DefaultParagraphFont"/>
    <w:link w:val="Heading3"/>
    <w:uiPriority w:val="9"/>
    <w:rsid w:val="004525FD"/>
    <w:rPr>
      <w:rFonts w:eastAsiaTheme="majorEastAsia" w:cstheme="majorBidi"/>
      <w:b/>
      <w:color w:val="000000" w:themeColor="text1"/>
      <w:kern w:val="0"/>
      <w:szCs w:val="28"/>
      <w:lang w:val="en-US" w:eastAsia="en-GB"/>
      <w14:ligatures w14:val="none"/>
    </w:rPr>
  </w:style>
  <w:style w:type="character" w:customStyle="1" w:styleId="Heading4Char">
    <w:name w:val="Heading 4 Char"/>
    <w:basedOn w:val="DefaultParagraphFont"/>
    <w:link w:val="Heading4"/>
    <w:uiPriority w:val="9"/>
    <w:rsid w:val="003031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31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3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113"/>
    <w:rPr>
      <w:rFonts w:eastAsiaTheme="majorEastAsia" w:cstheme="majorBidi"/>
      <w:color w:val="272727" w:themeColor="text1" w:themeTint="D8"/>
    </w:rPr>
  </w:style>
  <w:style w:type="paragraph" w:styleId="Title">
    <w:name w:val="Title"/>
    <w:basedOn w:val="Normal"/>
    <w:next w:val="Normal"/>
    <w:link w:val="TitleChar"/>
    <w:uiPriority w:val="10"/>
    <w:qFormat/>
    <w:rsid w:val="00A003D0"/>
    <w:pPr>
      <w:spacing w:before="240" w:after="240"/>
      <w:contextualSpacing/>
    </w:pPr>
    <w:rPr>
      <w:rFonts w:eastAsiaTheme="majorEastAsia" w:cstheme="majorBidi"/>
      <w:b/>
      <w:color w:val="000000" w:themeColor="text1"/>
      <w:spacing w:val="-10"/>
      <w:kern w:val="28"/>
      <w:sz w:val="28"/>
      <w:szCs w:val="56"/>
    </w:rPr>
  </w:style>
  <w:style w:type="character" w:customStyle="1" w:styleId="TitleChar">
    <w:name w:val="Title Char"/>
    <w:basedOn w:val="DefaultParagraphFont"/>
    <w:link w:val="Title"/>
    <w:uiPriority w:val="10"/>
    <w:rsid w:val="00A003D0"/>
    <w:rPr>
      <w:rFonts w:eastAsiaTheme="majorEastAsia" w:cstheme="majorBidi"/>
      <w:b/>
      <w:color w:val="000000" w:themeColor="text1"/>
      <w:spacing w:val="-10"/>
      <w:kern w:val="28"/>
      <w:sz w:val="28"/>
      <w:szCs w:val="56"/>
      <w:lang w:val="en-US" w:eastAsia="en-GB"/>
      <w14:ligatures w14:val="none"/>
    </w:rPr>
  </w:style>
  <w:style w:type="paragraph" w:styleId="Subtitle">
    <w:name w:val="Subtitle"/>
    <w:basedOn w:val="Normal"/>
    <w:next w:val="Normal"/>
    <w:link w:val="SubtitleChar"/>
    <w:uiPriority w:val="11"/>
    <w:qFormat/>
    <w:rsid w:val="0030311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1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03113"/>
    <w:rPr>
      <w:i/>
      <w:iCs/>
      <w:color w:val="404040" w:themeColor="text1" w:themeTint="BF"/>
    </w:rPr>
  </w:style>
  <w:style w:type="paragraph" w:styleId="ListParagraph">
    <w:name w:val="List Paragraph"/>
    <w:basedOn w:val="Normal"/>
    <w:uiPriority w:val="34"/>
    <w:qFormat/>
    <w:rsid w:val="00303113"/>
    <w:pPr>
      <w:ind w:left="720"/>
      <w:contextualSpacing/>
    </w:pPr>
  </w:style>
  <w:style w:type="character" w:styleId="IntenseEmphasis">
    <w:name w:val="Intense Emphasis"/>
    <w:basedOn w:val="DefaultParagraphFont"/>
    <w:uiPriority w:val="21"/>
    <w:qFormat/>
    <w:rsid w:val="00303113"/>
    <w:rPr>
      <w:i/>
      <w:iCs/>
      <w:color w:val="2F5496" w:themeColor="accent1" w:themeShade="BF"/>
    </w:rPr>
  </w:style>
  <w:style w:type="paragraph" w:styleId="IntenseQuote">
    <w:name w:val="Intense Quote"/>
    <w:basedOn w:val="Normal"/>
    <w:next w:val="Normal"/>
    <w:link w:val="IntenseQuoteChar"/>
    <w:uiPriority w:val="30"/>
    <w:qFormat/>
    <w:rsid w:val="003031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3113"/>
    <w:rPr>
      <w:i/>
      <w:iCs/>
      <w:color w:val="2F5496" w:themeColor="accent1" w:themeShade="BF"/>
    </w:rPr>
  </w:style>
  <w:style w:type="character" w:styleId="IntenseReference">
    <w:name w:val="Intense Reference"/>
    <w:basedOn w:val="DefaultParagraphFont"/>
    <w:uiPriority w:val="32"/>
    <w:qFormat/>
    <w:rsid w:val="00303113"/>
    <w:rPr>
      <w:b/>
      <w:bCs/>
      <w:smallCaps/>
      <w:color w:val="2F5496" w:themeColor="accent1" w:themeShade="BF"/>
      <w:spacing w:val="5"/>
    </w:rPr>
  </w:style>
  <w:style w:type="character" w:styleId="Strong">
    <w:name w:val="Strong"/>
    <w:basedOn w:val="DefaultParagraphFont"/>
    <w:uiPriority w:val="22"/>
    <w:qFormat/>
    <w:rsid w:val="009B15EF"/>
    <w:rPr>
      <w:b/>
      <w:bCs/>
    </w:rPr>
  </w:style>
  <w:style w:type="paragraph" w:styleId="NormalWeb">
    <w:name w:val="Normal (Web)"/>
    <w:basedOn w:val="Normal"/>
    <w:uiPriority w:val="99"/>
    <w:unhideWhenUsed/>
    <w:rsid w:val="009B15EF"/>
    <w:pPr>
      <w:spacing w:before="100" w:beforeAutospacing="1" w:after="100" w:afterAutospacing="1" w:line="240" w:lineRule="auto"/>
    </w:pPr>
    <w:rPr>
      <w:lang/>
    </w:rPr>
  </w:style>
  <w:style w:type="paragraph" w:styleId="FootnoteText">
    <w:name w:val="footnote text"/>
    <w:aliases w:val="5_G"/>
    <w:basedOn w:val="Normal"/>
    <w:link w:val="FootnoteTextChar"/>
    <w:uiPriority w:val="99"/>
    <w:unhideWhenUsed/>
    <w:qFormat/>
    <w:rsid w:val="00A115C5"/>
    <w:pPr>
      <w:spacing w:line="240" w:lineRule="auto"/>
    </w:pPr>
    <w:rPr>
      <w:sz w:val="20"/>
      <w:szCs w:val="20"/>
    </w:rPr>
  </w:style>
  <w:style w:type="character" w:customStyle="1" w:styleId="FootnoteTextChar">
    <w:name w:val="Footnote Text Char"/>
    <w:aliases w:val="5_G Char"/>
    <w:basedOn w:val="DefaultParagraphFont"/>
    <w:link w:val="FootnoteText"/>
    <w:uiPriority w:val="99"/>
    <w:rsid w:val="00A115C5"/>
    <w:rPr>
      <w:rFonts w:ascii="Times New Roman" w:eastAsia="Times New Roman" w:hAnsi="Times New Roman" w:cs="Times New Roman"/>
      <w:kern w:val="0"/>
      <w:sz w:val="20"/>
      <w:szCs w:val="20"/>
      <w:lang w:val="en-US" w:eastAsia="en-GB"/>
      <w14:ligatures w14:val="none"/>
    </w:rPr>
  </w:style>
  <w:style w:type="character" w:styleId="FootnoteReference">
    <w:name w:val="footnote reference"/>
    <w:aliases w:val="4_G"/>
    <w:basedOn w:val="DefaultParagraphFont"/>
    <w:uiPriority w:val="99"/>
    <w:unhideWhenUsed/>
    <w:qFormat/>
    <w:rsid w:val="00A115C5"/>
    <w:rPr>
      <w:vertAlign w:val="superscript"/>
    </w:rPr>
  </w:style>
  <w:style w:type="character" w:styleId="Hyperlink">
    <w:name w:val="Hyperlink"/>
    <w:uiPriority w:val="99"/>
    <w:rsid w:val="00A115C5"/>
    <w:rPr>
      <w:rFonts w:ascii="Times New Roman" w:hAnsi="Times New Roman" w:cs="Times New Roman"/>
      <w:color w:val="0000FF"/>
      <w:u w:val="single"/>
    </w:rPr>
  </w:style>
  <w:style w:type="paragraph" w:styleId="TOCHeading">
    <w:name w:val="TOC Heading"/>
    <w:basedOn w:val="Heading1"/>
    <w:next w:val="Normal"/>
    <w:uiPriority w:val="39"/>
    <w:unhideWhenUsed/>
    <w:qFormat/>
    <w:rsid w:val="00FA777B"/>
    <w:pPr>
      <w:spacing w:before="480" w:after="0" w:line="276" w:lineRule="auto"/>
      <w:outlineLvl w:val="9"/>
    </w:pPr>
    <w:rPr>
      <w:rFonts w:asciiTheme="majorHAnsi" w:hAnsiTheme="majorHAnsi"/>
      <w:bCs/>
      <w:sz w:val="28"/>
      <w:szCs w:val="28"/>
      <w:lang w:eastAsia="en-US"/>
    </w:rPr>
  </w:style>
  <w:style w:type="paragraph" w:styleId="TOC1">
    <w:name w:val="toc 1"/>
    <w:basedOn w:val="Normal"/>
    <w:next w:val="Normal"/>
    <w:autoRedefine/>
    <w:uiPriority w:val="39"/>
    <w:unhideWhenUsed/>
    <w:rsid w:val="00FA777B"/>
    <w:pPr>
      <w:spacing w:before="120"/>
    </w:pPr>
    <w:rPr>
      <w:rFonts w:cstheme="minorHAnsi"/>
      <w:b/>
      <w:bCs/>
      <w:i/>
      <w:iCs/>
    </w:rPr>
  </w:style>
  <w:style w:type="paragraph" w:styleId="TOC2">
    <w:name w:val="toc 2"/>
    <w:basedOn w:val="Normal"/>
    <w:next w:val="Normal"/>
    <w:autoRedefine/>
    <w:uiPriority w:val="39"/>
    <w:unhideWhenUsed/>
    <w:rsid w:val="00FA777B"/>
    <w:pPr>
      <w:spacing w:before="120"/>
      <w:ind w:left="240"/>
    </w:pPr>
    <w:rPr>
      <w:rFonts w:cstheme="minorHAnsi"/>
      <w:b/>
      <w:bCs/>
      <w:sz w:val="22"/>
      <w:szCs w:val="22"/>
    </w:rPr>
  </w:style>
  <w:style w:type="paragraph" w:styleId="TOC3">
    <w:name w:val="toc 3"/>
    <w:basedOn w:val="Normal"/>
    <w:next w:val="Normal"/>
    <w:autoRedefine/>
    <w:uiPriority w:val="39"/>
    <w:unhideWhenUsed/>
    <w:rsid w:val="00FA777B"/>
    <w:pPr>
      <w:ind w:left="480"/>
    </w:pPr>
    <w:rPr>
      <w:rFonts w:cstheme="minorHAnsi"/>
      <w:sz w:val="20"/>
      <w:szCs w:val="20"/>
    </w:rPr>
  </w:style>
  <w:style w:type="paragraph" w:styleId="TOC4">
    <w:name w:val="toc 4"/>
    <w:basedOn w:val="Normal"/>
    <w:next w:val="Normal"/>
    <w:autoRedefine/>
    <w:uiPriority w:val="39"/>
    <w:semiHidden/>
    <w:unhideWhenUsed/>
    <w:rsid w:val="00FA777B"/>
    <w:pPr>
      <w:ind w:left="720"/>
    </w:pPr>
    <w:rPr>
      <w:rFonts w:cstheme="minorHAnsi"/>
      <w:sz w:val="20"/>
      <w:szCs w:val="20"/>
    </w:rPr>
  </w:style>
  <w:style w:type="paragraph" w:styleId="TOC5">
    <w:name w:val="toc 5"/>
    <w:basedOn w:val="Normal"/>
    <w:next w:val="Normal"/>
    <w:autoRedefine/>
    <w:uiPriority w:val="39"/>
    <w:semiHidden/>
    <w:unhideWhenUsed/>
    <w:rsid w:val="00FA777B"/>
    <w:pPr>
      <w:ind w:left="960"/>
    </w:pPr>
    <w:rPr>
      <w:rFonts w:cstheme="minorHAnsi"/>
      <w:sz w:val="20"/>
      <w:szCs w:val="20"/>
    </w:rPr>
  </w:style>
  <w:style w:type="paragraph" w:styleId="TOC6">
    <w:name w:val="toc 6"/>
    <w:basedOn w:val="Normal"/>
    <w:next w:val="Normal"/>
    <w:autoRedefine/>
    <w:uiPriority w:val="39"/>
    <w:semiHidden/>
    <w:unhideWhenUsed/>
    <w:rsid w:val="00FA777B"/>
    <w:pPr>
      <w:ind w:left="1200"/>
    </w:pPr>
    <w:rPr>
      <w:rFonts w:cstheme="minorHAnsi"/>
      <w:sz w:val="20"/>
      <w:szCs w:val="20"/>
    </w:rPr>
  </w:style>
  <w:style w:type="paragraph" w:styleId="TOC7">
    <w:name w:val="toc 7"/>
    <w:basedOn w:val="Normal"/>
    <w:next w:val="Normal"/>
    <w:autoRedefine/>
    <w:uiPriority w:val="39"/>
    <w:semiHidden/>
    <w:unhideWhenUsed/>
    <w:rsid w:val="00FA777B"/>
    <w:pPr>
      <w:ind w:left="1440"/>
    </w:pPr>
    <w:rPr>
      <w:rFonts w:cstheme="minorHAnsi"/>
      <w:sz w:val="20"/>
      <w:szCs w:val="20"/>
    </w:rPr>
  </w:style>
  <w:style w:type="paragraph" w:styleId="TOC8">
    <w:name w:val="toc 8"/>
    <w:basedOn w:val="Normal"/>
    <w:next w:val="Normal"/>
    <w:autoRedefine/>
    <w:uiPriority w:val="39"/>
    <w:semiHidden/>
    <w:unhideWhenUsed/>
    <w:rsid w:val="00FA777B"/>
    <w:pPr>
      <w:ind w:left="1680"/>
    </w:pPr>
    <w:rPr>
      <w:rFonts w:cstheme="minorHAnsi"/>
      <w:sz w:val="20"/>
      <w:szCs w:val="20"/>
    </w:rPr>
  </w:style>
  <w:style w:type="paragraph" w:styleId="TOC9">
    <w:name w:val="toc 9"/>
    <w:basedOn w:val="Normal"/>
    <w:next w:val="Normal"/>
    <w:autoRedefine/>
    <w:uiPriority w:val="39"/>
    <w:semiHidden/>
    <w:unhideWhenUsed/>
    <w:rsid w:val="00FA777B"/>
    <w:pPr>
      <w:ind w:left="1920"/>
    </w:pPr>
    <w:rPr>
      <w:rFonts w:cstheme="minorHAnsi"/>
      <w:sz w:val="20"/>
      <w:szCs w:val="20"/>
    </w:rPr>
  </w:style>
  <w:style w:type="character" w:styleId="CommentReference">
    <w:name w:val="annotation reference"/>
    <w:basedOn w:val="DefaultParagraphFont"/>
    <w:uiPriority w:val="99"/>
    <w:semiHidden/>
    <w:unhideWhenUsed/>
    <w:rsid w:val="00C00B8C"/>
    <w:rPr>
      <w:sz w:val="16"/>
      <w:szCs w:val="16"/>
    </w:rPr>
  </w:style>
  <w:style w:type="paragraph" w:styleId="CommentText">
    <w:name w:val="annotation text"/>
    <w:basedOn w:val="Normal"/>
    <w:link w:val="CommentTextChar"/>
    <w:uiPriority w:val="99"/>
    <w:semiHidden/>
    <w:unhideWhenUsed/>
    <w:rsid w:val="00C00B8C"/>
    <w:pPr>
      <w:spacing w:line="240" w:lineRule="auto"/>
    </w:pPr>
    <w:rPr>
      <w:sz w:val="20"/>
      <w:szCs w:val="20"/>
    </w:rPr>
  </w:style>
  <w:style w:type="character" w:customStyle="1" w:styleId="CommentTextChar">
    <w:name w:val="Comment Text Char"/>
    <w:basedOn w:val="DefaultParagraphFont"/>
    <w:link w:val="CommentText"/>
    <w:uiPriority w:val="99"/>
    <w:semiHidden/>
    <w:rsid w:val="00C00B8C"/>
    <w:rPr>
      <w:rFonts w:ascii="Times New Roman" w:eastAsia="Times New Roman" w:hAnsi="Times New Roman" w:cs="Times New Roman"/>
      <w:kern w:val="0"/>
      <w:sz w:val="20"/>
      <w:szCs w:val="20"/>
      <w:lang w:val="en-US" w:eastAsia="en-GB"/>
      <w14:ligatures w14:val="none"/>
    </w:rPr>
  </w:style>
  <w:style w:type="paragraph" w:styleId="CommentSubject">
    <w:name w:val="annotation subject"/>
    <w:basedOn w:val="CommentText"/>
    <w:next w:val="CommentText"/>
    <w:link w:val="CommentSubjectChar"/>
    <w:uiPriority w:val="99"/>
    <w:semiHidden/>
    <w:unhideWhenUsed/>
    <w:rsid w:val="00C00B8C"/>
    <w:rPr>
      <w:b/>
      <w:bCs/>
    </w:rPr>
  </w:style>
  <w:style w:type="character" w:customStyle="1" w:styleId="CommentSubjectChar">
    <w:name w:val="Comment Subject Char"/>
    <w:basedOn w:val="CommentTextChar"/>
    <w:link w:val="CommentSubject"/>
    <w:uiPriority w:val="99"/>
    <w:semiHidden/>
    <w:rsid w:val="00C00B8C"/>
    <w:rPr>
      <w:rFonts w:ascii="Times New Roman" w:eastAsia="Times New Roman" w:hAnsi="Times New Roman" w:cs="Times New Roman"/>
      <w:b/>
      <w:bCs/>
      <w:kern w:val="0"/>
      <w:sz w:val="20"/>
      <w:szCs w:val="20"/>
      <w:lang w:val="en-US" w:eastAsia="en-GB"/>
      <w14:ligatures w14:val="none"/>
    </w:rPr>
  </w:style>
  <w:style w:type="paragraph" w:styleId="Revision">
    <w:name w:val="Revision"/>
    <w:hidden/>
    <w:uiPriority w:val="99"/>
    <w:semiHidden/>
    <w:rsid w:val="00C00B8C"/>
    <w:rPr>
      <w:rFonts w:ascii="Times New Roman" w:eastAsia="Times New Roman" w:hAnsi="Times New Roman" w:cs="Times New Roman"/>
      <w:kern w:val="0"/>
      <w:lang w:val="en-US" w:eastAsia="en-GB"/>
      <w14:ligatures w14:val="none"/>
    </w:rPr>
  </w:style>
  <w:style w:type="paragraph" w:customStyle="1" w:styleId="HChG">
    <w:name w:val="_ H _Ch_G"/>
    <w:basedOn w:val="Normal"/>
    <w:next w:val="Normal"/>
    <w:qFormat/>
    <w:rsid w:val="00E0346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szCs w:val="20"/>
      <w:lang w:val="en-GB" w:eastAsia="en-US"/>
    </w:rPr>
  </w:style>
  <w:style w:type="character" w:styleId="Emphasis">
    <w:name w:val="Emphasis"/>
    <w:basedOn w:val="DefaultParagraphFont"/>
    <w:uiPriority w:val="20"/>
    <w:qFormat/>
    <w:rsid w:val="009738C1"/>
    <w:rPr>
      <w:i/>
      <w:iCs/>
    </w:rPr>
  </w:style>
  <w:style w:type="paragraph" w:customStyle="1" w:styleId="SingleTxtG">
    <w:name w:val="_ Single Txt_G"/>
    <w:basedOn w:val="Normal"/>
    <w:link w:val="SingleTxtGChar"/>
    <w:qFormat/>
    <w:rsid w:val="00F463A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eastAsia="en-US"/>
    </w:rPr>
  </w:style>
  <w:style w:type="character" w:customStyle="1" w:styleId="SingleTxtGChar">
    <w:name w:val="_ Single Txt_G Char"/>
    <w:link w:val="SingleTxtG"/>
    <w:locked/>
    <w:rsid w:val="00F463AC"/>
    <w:rPr>
      <w:rFonts w:ascii="Times New Roman" w:hAnsi="Times New Roman" w:cs="Times New Roman"/>
      <w:kern w:val="0"/>
      <w:sz w:val="20"/>
      <w:szCs w:val="20"/>
      <w:lang w:val="en-GB"/>
      <w14:ligatures w14:val="none"/>
    </w:rPr>
  </w:style>
  <w:style w:type="character" w:styleId="UnresolvedMention">
    <w:name w:val="Unresolved Mention"/>
    <w:basedOn w:val="DefaultParagraphFont"/>
    <w:uiPriority w:val="99"/>
    <w:semiHidden/>
    <w:unhideWhenUsed/>
    <w:rsid w:val="008B1BE1"/>
    <w:rPr>
      <w:color w:val="605E5C"/>
      <w:shd w:val="clear" w:color="auto" w:fill="E1DFDD"/>
    </w:rPr>
  </w:style>
  <w:style w:type="character" w:styleId="FollowedHyperlink">
    <w:name w:val="FollowedHyperlink"/>
    <w:basedOn w:val="DefaultParagraphFont"/>
    <w:uiPriority w:val="99"/>
    <w:semiHidden/>
    <w:unhideWhenUsed/>
    <w:rsid w:val="001A377C"/>
    <w:rPr>
      <w:color w:val="954F72" w:themeColor="followedHyperlink"/>
      <w:u w:val="single"/>
    </w:rPr>
  </w:style>
  <w:style w:type="paragraph" w:styleId="Footer">
    <w:name w:val="footer"/>
    <w:basedOn w:val="Normal"/>
    <w:link w:val="FooterChar"/>
    <w:uiPriority w:val="99"/>
    <w:unhideWhenUsed/>
    <w:rsid w:val="009D2F76"/>
    <w:pPr>
      <w:tabs>
        <w:tab w:val="center" w:pos="4513"/>
        <w:tab w:val="right" w:pos="9026"/>
      </w:tabs>
      <w:spacing w:line="240" w:lineRule="auto"/>
    </w:pPr>
  </w:style>
  <w:style w:type="character" w:customStyle="1" w:styleId="FooterChar">
    <w:name w:val="Footer Char"/>
    <w:basedOn w:val="DefaultParagraphFont"/>
    <w:link w:val="Footer"/>
    <w:uiPriority w:val="99"/>
    <w:rsid w:val="009D2F76"/>
    <w:rPr>
      <w:rFonts w:eastAsia="Times New Roman" w:cs="Times New Roman"/>
      <w:kern w:val="0"/>
      <w:lang w:val="en-US" w:eastAsia="en-GB"/>
      <w14:ligatures w14:val="none"/>
    </w:rPr>
  </w:style>
  <w:style w:type="character" w:styleId="PageNumber">
    <w:name w:val="page number"/>
    <w:basedOn w:val="DefaultParagraphFont"/>
    <w:uiPriority w:val="99"/>
    <w:semiHidden/>
    <w:unhideWhenUsed/>
    <w:rsid w:val="009D2F76"/>
  </w:style>
  <w:style w:type="paragraph" w:styleId="Header">
    <w:name w:val="header"/>
    <w:basedOn w:val="Normal"/>
    <w:link w:val="HeaderChar"/>
    <w:uiPriority w:val="99"/>
    <w:semiHidden/>
    <w:unhideWhenUsed/>
    <w:rsid w:val="00BF3CB9"/>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F3CB9"/>
    <w:rPr>
      <w:rFonts w:eastAsia="Times New Roman" w:cs="Times New Roman"/>
      <w:kern w:val="0"/>
      <w:lang w:val="en-US"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441753">
      <w:bodyDiv w:val="1"/>
      <w:marLeft w:val="0"/>
      <w:marRight w:val="0"/>
      <w:marTop w:val="0"/>
      <w:marBottom w:val="0"/>
      <w:divBdr>
        <w:top w:val="none" w:sz="0" w:space="0" w:color="auto"/>
        <w:left w:val="none" w:sz="0" w:space="0" w:color="auto"/>
        <w:bottom w:val="none" w:sz="0" w:space="0" w:color="auto"/>
        <w:right w:val="none" w:sz="0" w:space="0" w:color="auto"/>
      </w:divBdr>
    </w:div>
    <w:div w:id="768551960">
      <w:bodyDiv w:val="1"/>
      <w:marLeft w:val="0"/>
      <w:marRight w:val="0"/>
      <w:marTop w:val="0"/>
      <w:marBottom w:val="0"/>
      <w:divBdr>
        <w:top w:val="none" w:sz="0" w:space="0" w:color="auto"/>
        <w:left w:val="none" w:sz="0" w:space="0" w:color="auto"/>
        <w:bottom w:val="none" w:sz="0" w:space="0" w:color="auto"/>
        <w:right w:val="none" w:sz="0" w:space="0" w:color="auto"/>
      </w:divBdr>
    </w:div>
    <w:div w:id="818572855">
      <w:bodyDiv w:val="1"/>
      <w:marLeft w:val="0"/>
      <w:marRight w:val="0"/>
      <w:marTop w:val="0"/>
      <w:marBottom w:val="0"/>
      <w:divBdr>
        <w:top w:val="none" w:sz="0" w:space="0" w:color="auto"/>
        <w:left w:val="none" w:sz="0" w:space="0" w:color="auto"/>
        <w:bottom w:val="none" w:sz="0" w:space="0" w:color="auto"/>
        <w:right w:val="none" w:sz="0" w:space="0" w:color="auto"/>
      </w:divBdr>
    </w:div>
    <w:div w:id="1060323954">
      <w:bodyDiv w:val="1"/>
      <w:marLeft w:val="0"/>
      <w:marRight w:val="0"/>
      <w:marTop w:val="0"/>
      <w:marBottom w:val="0"/>
      <w:divBdr>
        <w:top w:val="none" w:sz="0" w:space="0" w:color="auto"/>
        <w:left w:val="none" w:sz="0" w:space="0" w:color="auto"/>
        <w:bottom w:val="none" w:sz="0" w:space="0" w:color="auto"/>
        <w:right w:val="none" w:sz="0" w:space="0" w:color="auto"/>
      </w:divBdr>
    </w:div>
    <w:div w:id="1302036253">
      <w:bodyDiv w:val="1"/>
      <w:marLeft w:val="0"/>
      <w:marRight w:val="0"/>
      <w:marTop w:val="0"/>
      <w:marBottom w:val="0"/>
      <w:divBdr>
        <w:top w:val="none" w:sz="0" w:space="0" w:color="auto"/>
        <w:left w:val="none" w:sz="0" w:space="0" w:color="auto"/>
        <w:bottom w:val="none" w:sz="0" w:space="0" w:color="auto"/>
        <w:right w:val="none" w:sz="0" w:space="0" w:color="auto"/>
      </w:divBdr>
    </w:div>
    <w:div w:id="1509059470">
      <w:bodyDiv w:val="1"/>
      <w:marLeft w:val="0"/>
      <w:marRight w:val="0"/>
      <w:marTop w:val="0"/>
      <w:marBottom w:val="0"/>
      <w:divBdr>
        <w:top w:val="none" w:sz="0" w:space="0" w:color="auto"/>
        <w:left w:val="none" w:sz="0" w:space="0" w:color="auto"/>
        <w:bottom w:val="none" w:sz="0" w:space="0" w:color="auto"/>
        <w:right w:val="none" w:sz="0" w:space="0" w:color="auto"/>
      </w:divBdr>
    </w:div>
    <w:div w:id="1678771543">
      <w:bodyDiv w:val="1"/>
      <w:marLeft w:val="0"/>
      <w:marRight w:val="0"/>
      <w:marTop w:val="0"/>
      <w:marBottom w:val="0"/>
      <w:divBdr>
        <w:top w:val="none" w:sz="0" w:space="0" w:color="auto"/>
        <w:left w:val="none" w:sz="0" w:space="0" w:color="auto"/>
        <w:bottom w:val="none" w:sz="0" w:space="0" w:color="auto"/>
        <w:right w:val="none" w:sz="0" w:space="0" w:color="auto"/>
      </w:divBdr>
    </w:div>
    <w:div w:id="184832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footnotes.xml.rels><?xml version="1.0" encoding="UTF-8" standalone="yes"?>
<Relationships xmlns="http://schemas.openxmlformats.org/package/2006/relationships"><Relationship Id="rId3" Type="http://schemas.openxmlformats.org/officeDocument/2006/relationships/hyperlink" Target="https://e-seimas.lrs.lt/portal/legalAct/lt/TAD/TAIS.400334" TargetMode="External"/><Relationship Id="rId7" Type="http://schemas.openxmlformats.org/officeDocument/2006/relationships/hyperlink" Target="https://www.researchgate.net/publication/393842155_Accessibility_and_Utilisation_of_Reproductive_Healthcare_Services_Among_Women_with_Disabilities_in_Lithuania_Insights_from_a_Mixed-Methods_Study" TargetMode="External"/><Relationship Id="rId2" Type="http://schemas.openxmlformats.org/officeDocument/2006/relationships/hyperlink" Target="https://www.researchgate.net/publication/390715001_Experiences_of_Women_with_Disabilities_in_Lithuania_when_their_Gender_Disability_Domestic_Violence_and_Mental_Health_Services_Intertwine" TargetMode="External"/><Relationship Id="rId1" Type="http://schemas.openxmlformats.org/officeDocument/2006/relationships/hyperlink" Target="https://www.lnf.lt/wp-content/uploads/2022/03/Viktimologinio-tyrimo-ataskaita-LNF.pdf" TargetMode="External"/><Relationship Id="rId6" Type="http://schemas.openxmlformats.org/officeDocument/2006/relationships/hyperlink" Target="https://www.registrucentras.lt/atviri-duomenys-ir-statistika/neveiksniu-ir-ribotai-veiksniu-asmenu-registro-statistiniai-duomenys" TargetMode="External"/><Relationship Id="rId5" Type="http://schemas.openxmlformats.org/officeDocument/2006/relationships/hyperlink" Target="https://www.delfi.lt/news/daily/lithuania/skandalingas-nuosprendis-moteris-sterilizuota-be-jos-zinios-81626697" TargetMode="External"/><Relationship Id="rId4" Type="http://schemas.openxmlformats.org/officeDocument/2006/relationships/hyperlink" Target="https://perspektyvos.org/wp-content/uploads/2024/01/Justice-for-all-LT-National-Research-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B3957-A8EB-1247-89D6-8B9DE41CFFB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6</TotalTime>
  <Pages>20</Pages>
  <Words>5863</Words>
  <Characters>33425</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Aginskaitė</dc:creator>
  <cp:keywords/>
  <dc:description/>
  <cp:lastModifiedBy>Xiaoyue Zhang</cp:lastModifiedBy>
  <cp:revision>5</cp:revision>
  <dcterms:created xsi:type="dcterms:W3CDTF">2025-12-29T09:16:00Z</dcterms:created>
  <dcterms:modified xsi:type="dcterms:W3CDTF">2026-01-07T07:50:00Z</dcterms:modified>
</cp:coreProperties>
</file>