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300618" w14:textId="77777777" w:rsidR="00AC0F53" w:rsidRPr="0048749F" w:rsidRDefault="00AC0F53" w:rsidP="00AC0F53">
      <w:pPr>
        <w:spacing w:line="240" w:lineRule="auto"/>
        <w:jc w:val="center"/>
        <w:rPr>
          <w:lang w:val="en-US"/>
        </w:rPr>
      </w:pPr>
      <w:bookmarkStart w:id="0" w:name="_heading=h.gjdgxs" w:colFirst="0" w:colLast="0"/>
      <w:bookmarkStart w:id="1" w:name="_gjdgxs" w:colFirst="0" w:colLast="0"/>
      <w:bookmarkEnd w:id="0"/>
      <w:bookmarkEnd w:id="1"/>
    </w:p>
    <w:p w14:paraId="1E667E05" w14:textId="77777777" w:rsidR="00AC0F53" w:rsidRPr="0048749F" w:rsidRDefault="00AC0F53" w:rsidP="00AC0F53">
      <w:pPr>
        <w:spacing w:line="240" w:lineRule="auto"/>
        <w:jc w:val="center"/>
        <w:rPr>
          <w:lang w:val="en-US"/>
        </w:rPr>
      </w:pPr>
      <w:r w:rsidRPr="0048749F">
        <w:rPr>
          <w:rFonts w:eastAsia="Calibri"/>
          <w:noProof/>
          <w:lang w:val="en-US"/>
        </w:rPr>
        <w:drawing>
          <wp:inline distT="0" distB="0" distL="0" distR="0" wp14:anchorId="68DEF29B" wp14:editId="4C0E19CC">
            <wp:extent cx="2362200" cy="1518797"/>
            <wp:effectExtent l="0" t="0" r="0" b="5715"/>
            <wp:docPr id="1" name="Picture 6" descr="C:\Users\ADHRB Laptop\AppData\Local\Microsoft\Windows\INetCache\Content.Word\ADHR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ADHRB Laptop\AppData\Local\Microsoft\Windows\INetCache\Content.Word\ADHRB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3182" cy="1525858"/>
                    </a:xfrm>
                    <a:prstGeom prst="rect">
                      <a:avLst/>
                    </a:prstGeom>
                    <a:noFill/>
                    <a:ln>
                      <a:noFill/>
                    </a:ln>
                  </pic:spPr>
                </pic:pic>
              </a:graphicData>
            </a:graphic>
          </wp:inline>
        </w:drawing>
      </w:r>
    </w:p>
    <w:p w14:paraId="5CFD3B3D" w14:textId="77777777" w:rsidR="00AC0F53" w:rsidRPr="0048749F" w:rsidRDefault="00AC0F53" w:rsidP="00AC0F53">
      <w:pPr>
        <w:spacing w:line="240" w:lineRule="auto"/>
        <w:jc w:val="center"/>
        <w:rPr>
          <w:lang w:val="en-US"/>
        </w:rPr>
      </w:pPr>
    </w:p>
    <w:p w14:paraId="79D6808D" w14:textId="77777777" w:rsidR="00AC0F53" w:rsidRPr="0048749F" w:rsidRDefault="00AC0F53" w:rsidP="00AC0F53">
      <w:pPr>
        <w:spacing w:line="240" w:lineRule="auto"/>
        <w:jc w:val="center"/>
        <w:rPr>
          <w:lang w:val="en-US"/>
        </w:rPr>
      </w:pPr>
    </w:p>
    <w:p w14:paraId="350EA8EB" w14:textId="77777777" w:rsidR="00AC0F53" w:rsidRDefault="00AC0F53" w:rsidP="00AC0F53">
      <w:pPr>
        <w:spacing w:line="240" w:lineRule="auto"/>
        <w:jc w:val="center"/>
        <w:rPr>
          <w:rFonts w:cstheme="minorHAnsi"/>
          <w:lang w:val="en-US"/>
        </w:rPr>
      </w:pPr>
      <w:r w:rsidRPr="0048749F">
        <w:rPr>
          <w:rFonts w:cstheme="minorHAnsi"/>
          <w:lang w:val="en-US"/>
        </w:rPr>
        <w:t>Americans for Democracy and Human Rights in Bahrain</w:t>
      </w:r>
    </w:p>
    <w:p w14:paraId="0E73176A" w14:textId="77777777" w:rsidR="00AC0F53" w:rsidRDefault="00AC0F53" w:rsidP="00AC0F53">
      <w:pPr>
        <w:spacing w:line="240" w:lineRule="auto"/>
        <w:jc w:val="center"/>
        <w:rPr>
          <w:rFonts w:cstheme="minorHAnsi"/>
          <w:lang w:val="en-US"/>
        </w:rPr>
      </w:pPr>
    </w:p>
    <w:p w14:paraId="70560164" w14:textId="43527D2A" w:rsidR="00AC0F53" w:rsidRDefault="00AC0F53" w:rsidP="00AC0F53">
      <w:pPr>
        <w:spacing w:line="240" w:lineRule="auto"/>
        <w:jc w:val="center"/>
        <w:rPr>
          <w:rFonts w:cstheme="minorHAnsi"/>
          <w:lang w:val="en-US"/>
        </w:rPr>
      </w:pPr>
    </w:p>
    <w:p w14:paraId="2E8048E6" w14:textId="07697779" w:rsidR="00AC0F53" w:rsidRDefault="00E3325A" w:rsidP="00AC0F53">
      <w:pPr>
        <w:spacing w:line="240" w:lineRule="auto"/>
        <w:jc w:val="center"/>
        <w:rPr>
          <w:rFonts w:cstheme="minorHAnsi"/>
          <w:lang w:val="en-US"/>
        </w:rPr>
      </w:pPr>
      <w:r w:rsidRPr="00E3325A">
        <w:rPr>
          <w:rFonts w:cstheme="minorHAnsi"/>
          <w:noProof/>
          <w:lang w:val="en-US"/>
        </w:rPr>
        <w:drawing>
          <wp:inline distT="0" distB="0" distL="0" distR="0" wp14:anchorId="3122791D" wp14:editId="3BBAC6CD">
            <wp:extent cx="3086100" cy="1066800"/>
            <wp:effectExtent l="0" t="0" r="0" b="0"/>
            <wp:docPr id="3" name="Picture 3" descr="C:\Users\Mohajer12\Downloads\I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hajer12\Downloads\ID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0" cy="1066800"/>
                    </a:xfrm>
                    <a:prstGeom prst="rect">
                      <a:avLst/>
                    </a:prstGeom>
                    <a:noFill/>
                    <a:ln>
                      <a:noFill/>
                    </a:ln>
                  </pic:spPr>
                </pic:pic>
              </a:graphicData>
            </a:graphic>
          </wp:inline>
        </w:drawing>
      </w:r>
    </w:p>
    <w:p w14:paraId="27325069" w14:textId="0B437EF1" w:rsidR="00AC0F53" w:rsidRPr="0048749F" w:rsidRDefault="00AC0F53" w:rsidP="00AC0F53">
      <w:pPr>
        <w:spacing w:line="240" w:lineRule="auto"/>
        <w:jc w:val="center"/>
        <w:rPr>
          <w:rFonts w:cstheme="minorHAnsi"/>
          <w:lang w:val="en-US"/>
        </w:rPr>
      </w:pPr>
    </w:p>
    <w:p w14:paraId="6E1F4CCC" w14:textId="103D74A4" w:rsidR="00AC0F53" w:rsidRPr="0048749F" w:rsidRDefault="00E3325A" w:rsidP="00AC0F53">
      <w:pPr>
        <w:spacing w:line="240" w:lineRule="auto"/>
        <w:jc w:val="center"/>
        <w:rPr>
          <w:rFonts w:cstheme="minorHAnsi"/>
          <w:lang w:val="en-US"/>
        </w:rPr>
      </w:pPr>
      <w:r>
        <w:rPr>
          <w:rFonts w:cstheme="minorHAnsi"/>
          <w:lang w:val="en-US"/>
        </w:rPr>
        <w:t xml:space="preserve">Iraqi Development Organization (IDO) </w:t>
      </w:r>
    </w:p>
    <w:p w14:paraId="41D21822" w14:textId="77777777" w:rsidR="00AC0F53" w:rsidRPr="0048749F" w:rsidRDefault="00AC0F53" w:rsidP="00AC0F53">
      <w:pPr>
        <w:spacing w:line="240" w:lineRule="auto"/>
        <w:jc w:val="center"/>
        <w:rPr>
          <w:rFonts w:cstheme="minorHAnsi"/>
          <w:lang w:val="en-US"/>
        </w:rPr>
      </w:pPr>
    </w:p>
    <w:p w14:paraId="33F4AB17" w14:textId="77777777" w:rsidR="00AC0F53" w:rsidRPr="0048749F" w:rsidRDefault="00AC0F53" w:rsidP="00AC0F53">
      <w:pPr>
        <w:spacing w:line="240" w:lineRule="auto"/>
        <w:jc w:val="center"/>
        <w:rPr>
          <w:rFonts w:cstheme="minorHAnsi"/>
          <w:lang w:val="en-US"/>
        </w:rPr>
      </w:pPr>
    </w:p>
    <w:p w14:paraId="4C5469EC" w14:textId="77777777" w:rsidR="00AC0F53" w:rsidRPr="0048749F" w:rsidRDefault="00AC0F53" w:rsidP="00AC0F53">
      <w:pPr>
        <w:spacing w:line="240" w:lineRule="auto"/>
        <w:jc w:val="center"/>
        <w:rPr>
          <w:rFonts w:cstheme="minorHAnsi"/>
          <w:lang w:val="en-US"/>
        </w:rPr>
      </w:pPr>
      <w:r w:rsidRPr="0048749F">
        <w:rPr>
          <w:rFonts w:cstheme="minorHAnsi"/>
          <w:lang w:val="en-US"/>
        </w:rPr>
        <w:t xml:space="preserve">Contribution to the </w:t>
      </w:r>
      <w:r>
        <w:rPr>
          <w:rFonts w:cstheme="minorHAnsi"/>
          <w:lang w:val="en-US"/>
        </w:rPr>
        <w:t>76</w:t>
      </w:r>
      <w:r w:rsidRPr="0048749F">
        <w:rPr>
          <w:rFonts w:cstheme="minorHAnsi"/>
          <w:vertAlign w:val="superscript"/>
          <w:lang w:val="en-US"/>
        </w:rPr>
        <w:t>th</w:t>
      </w:r>
      <w:r w:rsidRPr="0048749F">
        <w:rPr>
          <w:rFonts w:cstheme="minorHAnsi"/>
          <w:lang w:val="en-US"/>
        </w:rPr>
        <w:t xml:space="preserve"> session of the </w:t>
      </w:r>
      <w:r>
        <w:rPr>
          <w:rFonts w:cstheme="minorHAnsi"/>
          <w:lang w:val="en-US"/>
        </w:rPr>
        <w:t>Convention of the Elimination of All Forms of Discrimination Against Women-CEDAW</w:t>
      </w:r>
    </w:p>
    <w:p w14:paraId="5D705108" w14:textId="77777777" w:rsidR="00AC0F53" w:rsidRPr="0048749F" w:rsidRDefault="00AC0F53" w:rsidP="00AC0F53">
      <w:pPr>
        <w:spacing w:line="240" w:lineRule="auto"/>
        <w:jc w:val="center"/>
        <w:rPr>
          <w:rFonts w:cstheme="minorHAnsi"/>
          <w:lang w:val="en-US"/>
        </w:rPr>
      </w:pPr>
    </w:p>
    <w:p w14:paraId="38E198FE" w14:textId="77777777" w:rsidR="00AC0F53" w:rsidRPr="0048749F" w:rsidRDefault="00AC0F53" w:rsidP="00AC0F53">
      <w:pPr>
        <w:spacing w:line="240" w:lineRule="auto"/>
        <w:rPr>
          <w:rFonts w:cstheme="minorHAnsi"/>
          <w:lang w:val="en-US"/>
        </w:rPr>
      </w:pPr>
    </w:p>
    <w:p w14:paraId="41B71021" w14:textId="77777777" w:rsidR="00AC0F53" w:rsidRPr="0048749F" w:rsidRDefault="00AC0F53" w:rsidP="00AC0F53">
      <w:pPr>
        <w:spacing w:line="240" w:lineRule="auto"/>
        <w:rPr>
          <w:rFonts w:cstheme="minorHAnsi"/>
          <w:lang w:val="en-US"/>
        </w:rPr>
      </w:pPr>
    </w:p>
    <w:p w14:paraId="26F2A33F" w14:textId="77777777" w:rsidR="00AC0F53" w:rsidRPr="0048749F" w:rsidRDefault="00AC0F53" w:rsidP="00AC0F53">
      <w:pPr>
        <w:spacing w:line="240" w:lineRule="auto"/>
        <w:rPr>
          <w:rFonts w:cstheme="minorHAnsi"/>
          <w:lang w:val="en-US"/>
        </w:rPr>
      </w:pPr>
    </w:p>
    <w:p w14:paraId="15665A59" w14:textId="77777777" w:rsidR="00E3325A" w:rsidRPr="00E3325A" w:rsidRDefault="00E3325A" w:rsidP="00AC0F53">
      <w:pPr>
        <w:spacing w:line="240" w:lineRule="auto"/>
        <w:jc w:val="center"/>
        <w:rPr>
          <w:rFonts w:cstheme="minorHAnsi"/>
          <w:b/>
          <w:bCs/>
          <w:sz w:val="32"/>
          <w:szCs w:val="32"/>
          <w:shd w:val="clear" w:color="auto" w:fill="FFFFFF"/>
          <w:lang w:val="en-US"/>
        </w:rPr>
      </w:pPr>
      <w:r w:rsidRPr="00E3325A">
        <w:rPr>
          <w:rFonts w:cstheme="minorHAnsi"/>
          <w:b/>
          <w:bCs/>
          <w:sz w:val="32"/>
          <w:szCs w:val="32"/>
          <w:shd w:val="clear" w:color="auto" w:fill="FFFFFF"/>
          <w:lang w:val="en-US"/>
        </w:rPr>
        <w:t>Women Rights in Bahrain</w:t>
      </w:r>
    </w:p>
    <w:p w14:paraId="456D78E2" w14:textId="26FE51F2" w:rsidR="00AC0F53" w:rsidRPr="00E3325A" w:rsidRDefault="00E3325A" w:rsidP="00AC0F53">
      <w:pPr>
        <w:spacing w:line="240" w:lineRule="auto"/>
        <w:jc w:val="center"/>
        <w:rPr>
          <w:rFonts w:cstheme="minorHAnsi"/>
          <w:b/>
          <w:bCs/>
          <w:sz w:val="32"/>
          <w:szCs w:val="32"/>
          <w:shd w:val="clear" w:color="auto" w:fill="FFFFFF"/>
          <w:lang w:val="en-US"/>
        </w:rPr>
      </w:pPr>
      <w:r w:rsidRPr="00E3325A">
        <w:rPr>
          <w:rFonts w:cstheme="minorHAnsi"/>
          <w:b/>
          <w:bCs/>
          <w:sz w:val="32"/>
          <w:szCs w:val="32"/>
          <w:shd w:val="clear" w:color="auto" w:fill="FFFFFF"/>
          <w:lang w:val="en-US"/>
        </w:rPr>
        <w:t>Systematic Legal and Bureaucratic Failure</w:t>
      </w:r>
      <w:r>
        <w:rPr>
          <w:rFonts w:cstheme="minorHAnsi"/>
          <w:b/>
          <w:bCs/>
          <w:sz w:val="32"/>
          <w:szCs w:val="32"/>
          <w:shd w:val="clear" w:color="auto" w:fill="FFFFFF"/>
          <w:lang w:val="en-US"/>
        </w:rPr>
        <w:t>s</w:t>
      </w:r>
      <w:r w:rsidRPr="00E3325A">
        <w:rPr>
          <w:rFonts w:cstheme="minorHAnsi"/>
          <w:b/>
          <w:bCs/>
          <w:sz w:val="32"/>
          <w:szCs w:val="32"/>
          <w:shd w:val="clear" w:color="auto" w:fill="FFFFFF"/>
          <w:lang w:val="en-US"/>
        </w:rPr>
        <w:t xml:space="preserve">  </w:t>
      </w:r>
    </w:p>
    <w:p w14:paraId="13C35D81" w14:textId="77777777" w:rsidR="00AC0F53" w:rsidRPr="0048749F" w:rsidRDefault="00AC0F53" w:rsidP="00AC0F53">
      <w:pPr>
        <w:spacing w:line="240" w:lineRule="auto"/>
        <w:rPr>
          <w:rFonts w:cstheme="minorHAnsi"/>
          <w:shd w:val="clear" w:color="auto" w:fill="FFFFFF"/>
          <w:lang w:val="en-US"/>
        </w:rPr>
      </w:pPr>
    </w:p>
    <w:p w14:paraId="48E6EAD0" w14:textId="77777777" w:rsidR="00AC0F53" w:rsidRPr="0048749F" w:rsidRDefault="00AC0F53" w:rsidP="00AC0F53">
      <w:pPr>
        <w:spacing w:line="240" w:lineRule="auto"/>
        <w:rPr>
          <w:rFonts w:cstheme="minorHAnsi"/>
          <w:lang w:val="en-US"/>
        </w:rPr>
      </w:pPr>
    </w:p>
    <w:p w14:paraId="5DCB1C4E" w14:textId="77777777" w:rsidR="00AC0F53" w:rsidRPr="0048749F" w:rsidRDefault="00AC0F53" w:rsidP="00AC0F53">
      <w:pPr>
        <w:spacing w:line="240" w:lineRule="auto"/>
        <w:rPr>
          <w:rFonts w:cstheme="minorHAnsi"/>
          <w:lang w:val="en-US"/>
        </w:rPr>
      </w:pPr>
    </w:p>
    <w:p w14:paraId="5409C802" w14:textId="77777777" w:rsidR="00AC0F53" w:rsidRPr="0048749F" w:rsidRDefault="00AC0F53" w:rsidP="00AC0F53">
      <w:pPr>
        <w:spacing w:line="240" w:lineRule="auto"/>
        <w:rPr>
          <w:rFonts w:cstheme="minorHAnsi"/>
          <w:lang w:val="en-US"/>
        </w:rPr>
      </w:pPr>
    </w:p>
    <w:p w14:paraId="164ACF3E" w14:textId="77777777" w:rsidR="00AC0F53" w:rsidRPr="0048749F" w:rsidRDefault="00AC0F53" w:rsidP="00AC0F53">
      <w:pPr>
        <w:tabs>
          <w:tab w:val="left" w:pos="2552"/>
          <w:tab w:val="center" w:pos="3402"/>
          <w:tab w:val="right" w:pos="4536"/>
        </w:tabs>
        <w:spacing w:line="240" w:lineRule="auto"/>
        <w:ind w:left="2127"/>
        <w:jc w:val="both"/>
        <w:rPr>
          <w:rFonts w:eastAsia="Calibri" w:cstheme="minorHAnsi"/>
          <w:b/>
          <w:bCs/>
          <w:shd w:val="clear" w:color="auto" w:fill="FFFFFF"/>
          <w:lang w:val="en-US"/>
        </w:rPr>
      </w:pPr>
    </w:p>
    <w:p w14:paraId="4EFD412F" w14:textId="77777777" w:rsidR="00AC0F53" w:rsidRPr="0048749F" w:rsidRDefault="00AC0F53" w:rsidP="00AC0F53">
      <w:pPr>
        <w:tabs>
          <w:tab w:val="left" w:pos="2552"/>
          <w:tab w:val="center" w:pos="3402"/>
          <w:tab w:val="center" w:pos="3969"/>
          <w:tab w:val="right" w:pos="4536"/>
          <w:tab w:val="right" w:pos="5103"/>
        </w:tabs>
        <w:spacing w:line="240" w:lineRule="auto"/>
        <w:ind w:left="2127"/>
        <w:jc w:val="both"/>
        <w:rPr>
          <w:rFonts w:eastAsia="Calibri" w:cstheme="minorHAnsi"/>
          <w:shd w:val="clear" w:color="auto" w:fill="FFFFFF"/>
          <w:lang w:val="en-US"/>
        </w:rPr>
      </w:pPr>
      <w:r w:rsidRPr="0048749F">
        <w:rPr>
          <w:rFonts w:eastAsia="Calibri" w:cstheme="minorHAnsi"/>
          <w:shd w:val="clear" w:color="auto" w:fill="FFFFFF"/>
          <w:lang w:val="en-US"/>
        </w:rPr>
        <w:t xml:space="preserve">Email: </w:t>
      </w:r>
      <w:hyperlink r:id="rId10" w:history="1">
        <w:r w:rsidRPr="0048749F">
          <w:rPr>
            <w:rFonts w:eastAsia="Calibri" w:cstheme="minorHAnsi"/>
            <w:color w:val="0000FF"/>
            <w:u w:val="single"/>
            <w:shd w:val="clear" w:color="auto" w:fill="FFFFFF"/>
            <w:lang w:val="en-US"/>
          </w:rPr>
          <w:t>habdulla@adhrb.org</w:t>
        </w:r>
      </w:hyperlink>
    </w:p>
    <w:p w14:paraId="64BA82BC" w14:textId="77777777" w:rsidR="00AC0F53" w:rsidRPr="0048749F" w:rsidRDefault="00AC0F53" w:rsidP="00AC0F53">
      <w:pPr>
        <w:spacing w:line="240" w:lineRule="auto"/>
        <w:ind w:left="2268"/>
        <w:jc w:val="both"/>
        <w:rPr>
          <w:rFonts w:eastAsia="Calibri" w:cstheme="minorHAnsi"/>
          <w:shd w:val="clear" w:color="auto" w:fill="FFFFFF"/>
          <w:lang w:val="en-US"/>
        </w:rPr>
      </w:pPr>
    </w:p>
    <w:p w14:paraId="62365E41" w14:textId="77777777" w:rsidR="00AC0F53" w:rsidRPr="0048749F" w:rsidRDefault="00AC0F53" w:rsidP="00AC0F53">
      <w:pPr>
        <w:spacing w:line="240" w:lineRule="auto"/>
        <w:ind w:left="1418" w:firstLine="709"/>
        <w:jc w:val="both"/>
        <w:rPr>
          <w:rFonts w:eastAsia="Calibri" w:cstheme="minorHAnsi"/>
          <w:shd w:val="clear" w:color="auto" w:fill="FFFFFF"/>
          <w:lang w:val="en-US"/>
        </w:rPr>
      </w:pPr>
    </w:p>
    <w:p w14:paraId="5206C5CC" w14:textId="642F0F22" w:rsidR="00AC0F53" w:rsidRDefault="00AC0F53" w:rsidP="00FD209F">
      <w:pPr>
        <w:spacing w:line="240" w:lineRule="auto"/>
        <w:ind w:left="1418" w:firstLine="709"/>
        <w:jc w:val="both"/>
        <w:rPr>
          <w:rFonts w:eastAsia="Calibri" w:cstheme="minorHAnsi"/>
          <w:color w:val="0000FF"/>
          <w:u w:val="single"/>
          <w:shd w:val="clear" w:color="auto" w:fill="FFFFFF"/>
          <w:lang w:val="en-US"/>
        </w:rPr>
      </w:pPr>
    </w:p>
    <w:p w14:paraId="7C6475D2" w14:textId="3508FDC3" w:rsidR="00FD209F" w:rsidRDefault="00FD209F" w:rsidP="00FD209F">
      <w:pPr>
        <w:spacing w:line="240" w:lineRule="auto"/>
        <w:ind w:left="1418" w:firstLine="709"/>
        <w:jc w:val="both"/>
        <w:rPr>
          <w:rFonts w:eastAsia="Calibri" w:cstheme="minorHAnsi"/>
          <w:color w:val="0000FF"/>
          <w:u w:val="single"/>
          <w:shd w:val="clear" w:color="auto" w:fill="FFFFFF"/>
          <w:lang w:val="en-US"/>
        </w:rPr>
      </w:pPr>
    </w:p>
    <w:p w14:paraId="34FC0113" w14:textId="77777777" w:rsidR="00FD209F" w:rsidRPr="00FD209F" w:rsidRDefault="00FD209F" w:rsidP="00FD209F">
      <w:pPr>
        <w:spacing w:line="240" w:lineRule="auto"/>
        <w:ind w:left="1418" w:firstLine="709"/>
        <w:jc w:val="both"/>
        <w:rPr>
          <w:rFonts w:eastAsia="Calibri" w:cstheme="minorHAnsi"/>
          <w:color w:val="0000FF"/>
          <w:u w:val="single"/>
          <w:shd w:val="clear" w:color="auto" w:fill="FFFFFF"/>
          <w:lang w:val="en-US"/>
        </w:rPr>
      </w:pPr>
    </w:p>
    <w:p w14:paraId="30573A97" w14:textId="77777777" w:rsidR="0034449A" w:rsidRDefault="0034449A">
      <w:pPr>
        <w:spacing w:line="240" w:lineRule="auto"/>
        <w:jc w:val="both"/>
        <w:rPr>
          <w:rFonts w:ascii="Times New Roman" w:eastAsia="Times New Roman" w:hAnsi="Times New Roman" w:cs="Times New Roman"/>
          <w:b/>
          <w:sz w:val="24"/>
          <w:szCs w:val="24"/>
          <w:u w:val="single"/>
        </w:rPr>
      </w:pPr>
    </w:p>
    <w:p w14:paraId="5A9DC409" w14:textId="77777777" w:rsidR="0034449A" w:rsidRDefault="0034449A">
      <w:pPr>
        <w:spacing w:line="240" w:lineRule="auto"/>
        <w:jc w:val="both"/>
        <w:rPr>
          <w:rFonts w:ascii="Times New Roman" w:eastAsia="Times New Roman" w:hAnsi="Times New Roman" w:cs="Times New Roman"/>
          <w:b/>
          <w:sz w:val="24"/>
          <w:szCs w:val="24"/>
          <w:u w:val="single"/>
        </w:rPr>
      </w:pPr>
    </w:p>
    <w:p w14:paraId="66A08BDE" w14:textId="77777777" w:rsidR="0034449A" w:rsidRDefault="0034449A">
      <w:pPr>
        <w:spacing w:line="240" w:lineRule="auto"/>
        <w:jc w:val="both"/>
        <w:rPr>
          <w:rFonts w:ascii="Times New Roman" w:eastAsia="Times New Roman" w:hAnsi="Times New Roman" w:cs="Times New Roman"/>
          <w:b/>
          <w:sz w:val="24"/>
          <w:szCs w:val="24"/>
          <w:u w:val="single"/>
        </w:rPr>
      </w:pPr>
    </w:p>
    <w:p w14:paraId="25FD33AF" w14:textId="77777777" w:rsidR="0034449A" w:rsidRDefault="0034449A">
      <w:pPr>
        <w:spacing w:line="240" w:lineRule="auto"/>
        <w:jc w:val="both"/>
        <w:rPr>
          <w:rFonts w:ascii="Times New Roman" w:eastAsia="Times New Roman" w:hAnsi="Times New Roman" w:cs="Times New Roman"/>
          <w:b/>
          <w:sz w:val="24"/>
          <w:szCs w:val="24"/>
          <w:u w:val="single"/>
        </w:rPr>
      </w:pPr>
    </w:p>
    <w:p w14:paraId="69AA8F31" w14:textId="77777777" w:rsidR="00E3325A" w:rsidRPr="00E3325A" w:rsidRDefault="00E3325A" w:rsidP="00E3325A">
      <w:pPr>
        <w:spacing w:line="240" w:lineRule="auto"/>
        <w:jc w:val="center"/>
        <w:rPr>
          <w:rFonts w:cstheme="minorHAnsi"/>
          <w:b/>
          <w:bCs/>
          <w:sz w:val="32"/>
          <w:szCs w:val="32"/>
          <w:shd w:val="clear" w:color="auto" w:fill="FFFFFF"/>
          <w:lang w:val="en-US"/>
        </w:rPr>
      </w:pPr>
      <w:r w:rsidRPr="00E3325A">
        <w:rPr>
          <w:rFonts w:cstheme="minorHAnsi"/>
          <w:b/>
          <w:bCs/>
          <w:sz w:val="32"/>
          <w:szCs w:val="32"/>
          <w:shd w:val="clear" w:color="auto" w:fill="FFFFFF"/>
          <w:lang w:val="en-US"/>
        </w:rPr>
        <w:lastRenderedPageBreak/>
        <w:t>Women Rights in Bahrain</w:t>
      </w:r>
    </w:p>
    <w:p w14:paraId="4F444083" w14:textId="77777777" w:rsidR="00E3325A" w:rsidRPr="00E3325A" w:rsidRDefault="00E3325A" w:rsidP="00E3325A">
      <w:pPr>
        <w:spacing w:line="240" w:lineRule="auto"/>
        <w:jc w:val="center"/>
        <w:rPr>
          <w:rFonts w:cstheme="minorHAnsi"/>
          <w:b/>
          <w:bCs/>
          <w:sz w:val="32"/>
          <w:szCs w:val="32"/>
          <w:shd w:val="clear" w:color="auto" w:fill="FFFFFF"/>
          <w:lang w:val="en-US"/>
        </w:rPr>
      </w:pPr>
      <w:r w:rsidRPr="00E3325A">
        <w:rPr>
          <w:rFonts w:cstheme="minorHAnsi"/>
          <w:b/>
          <w:bCs/>
          <w:sz w:val="32"/>
          <w:szCs w:val="32"/>
          <w:shd w:val="clear" w:color="auto" w:fill="FFFFFF"/>
          <w:lang w:val="en-US"/>
        </w:rPr>
        <w:t>Systematic Legal and Bureaucratic Failure</w:t>
      </w:r>
      <w:r>
        <w:rPr>
          <w:rFonts w:cstheme="minorHAnsi"/>
          <w:b/>
          <w:bCs/>
          <w:sz w:val="32"/>
          <w:szCs w:val="32"/>
          <w:shd w:val="clear" w:color="auto" w:fill="FFFFFF"/>
          <w:lang w:val="en-US"/>
        </w:rPr>
        <w:t>s</w:t>
      </w:r>
      <w:r w:rsidRPr="00E3325A">
        <w:rPr>
          <w:rFonts w:cstheme="minorHAnsi"/>
          <w:b/>
          <w:bCs/>
          <w:sz w:val="32"/>
          <w:szCs w:val="32"/>
          <w:shd w:val="clear" w:color="auto" w:fill="FFFFFF"/>
          <w:lang w:val="en-US"/>
        </w:rPr>
        <w:t xml:space="preserve">  </w:t>
      </w:r>
    </w:p>
    <w:p w14:paraId="11364CFB" w14:textId="77777777" w:rsidR="0034449A" w:rsidRDefault="0034449A" w:rsidP="00E3325A">
      <w:pPr>
        <w:spacing w:line="240" w:lineRule="auto"/>
        <w:jc w:val="center"/>
        <w:rPr>
          <w:rFonts w:ascii="Times New Roman" w:eastAsia="Times New Roman" w:hAnsi="Times New Roman" w:cs="Times New Roman"/>
          <w:b/>
          <w:sz w:val="24"/>
          <w:szCs w:val="24"/>
          <w:u w:val="single"/>
        </w:rPr>
      </w:pPr>
    </w:p>
    <w:p w14:paraId="2CC83596" w14:textId="3B788B0E" w:rsidR="00E3325A" w:rsidRDefault="00E3325A">
      <w:pPr>
        <w:spacing w:line="240" w:lineRule="auto"/>
        <w:jc w:val="both"/>
        <w:rPr>
          <w:rFonts w:ascii="Times New Roman" w:eastAsia="Times New Roman" w:hAnsi="Times New Roman" w:cs="Times New Roman"/>
          <w:b/>
          <w:sz w:val="24"/>
          <w:szCs w:val="24"/>
          <w:u w:val="single"/>
        </w:rPr>
      </w:pPr>
    </w:p>
    <w:p w14:paraId="09562ABC" w14:textId="77777777" w:rsidR="00E96BB5" w:rsidRPr="00E96BB5" w:rsidRDefault="00E96BB5" w:rsidP="00E96BB5">
      <w:pPr>
        <w:spacing w:after="200" w:line="360" w:lineRule="auto"/>
        <w:rPr>
          <w:rFonts w:asciiTheme="majorBidi" w:eastAsia="Calibri" w:hAnsiTheme="majorBidi" w:cstheme="majorBidi"/>
          <w:b/>
          <w:color w:val="1D1D1D"/>
          <w:sz w:val="24"/>
          <w:szCs w:val="24"/>
        </w:rPr>
      </w:pPr>
      <w:r w:rsidRPr="00E96BB5">
        <w:rPr>
          <w:rFonts w:asciiTheme="majorBidi" w:eastAsia="Calibri" w:hAnsiTheme="majorBidi" w:cstheme="majorBidi"/>
          <w:b/>
          <w:color w:val="1D1D1D"/>
          <w:sz w:val="24"/>
          <w:szCs w:val="24"/>
        </w:rPr>
        <w:t xml:space="preserve">Submitting Organization </w:t>
      </w:r>
    </w:p>
    <w:p w14:paraId="1D09E4E2" w14:textId="58B9085A" w:rsidR="00E96BB5" w:rsidRDefault="00E96BB5" w:rsidP="00754055">
      <w:pPr>
        <w:spacing w:line="360" w:lineRule="auto"/>
        <w:jc w:val="both"/>
        <w:rPr>
          <w:rFonts w:ascii="Times New Roman" w:eastAsia="Times New Roman" w:hAnsi="Times New Roman" w:cs="Times New Roman"/>
          <w:b/>
          <w:sz w:val="24"/>
          <w:szCs w:val="24"/>
          <w:u w:val="single"/>
        </w:rPr>
      </w:pPr>
      <w:r w:rsidRPr="00E96BB5">
        <w:rPr>
          <w:rFonts w:asciiTheme="majorBidi" w:eastAsia="Calibri" w:hAnsiTheme="majorBidi" w:cstheme="majorBidi"/>
          <w:color w:val="1D1D1D"/>
          <w:sz w:val="24"/>
          <w:szCs w:val="24"/>
        </w:rPr>
        <w:t xml:space="preserve">Americans for Democracy &amp; Human Rights in Bahrain (ADHRB) is a non-profit organization fostering awareness of and support for democracy and human rights in Bahrain and the Middle East. ADHRB holds ECOSOC consultative status with the United Nations (UN). </w:t>
      </w:r>
      <w:r w:rsidR="00720BF9">
        <w:rPr>
          <w:rFonts w:asciiTheme="majorBidi" w:eastAsia="Calibri" w:hAnsiTheme="majorBidi" w:cstheme="majorBidi"/>
          <w:color w:val="1D1D1D"/>
          <w:sz w:val="24"/>
          <w:szCs w:val="24"/>
        </w:rPr>
        <w:t>Iraqi Development Organization</w:t>
      </w:r>
      <w:r w:rsidR="00754055">
        <w:rPr>
          <w:rFonts w:asciiTheme="majorBidi" w:eastAsia="Calibri" w:hAnsiTheme="majorBidi" w:cstheme="majorBidi"/>
          <w:color w:val="1D1D1D"/>
          <w:sz w:val="24"/>
          <w:szCs w:val="24"/>
        </w:rPr>
        <w:t xml:space="preserve"> (IDO) </w:t>
      </w:r>
      <w:r w:rsidRPr="00E96BB5">
        <w:rPr>
          <w:rFonts w:asciiTheme="majorBidi" w:eastAsia="Calibri" w:hAnsiTheme="majorBidi" w:cstheme="majorBidi"/>
          <w:color w:val="1D1D1D"/>
          <w:sz w:val="24"/>
          <w:szCs w:val="24"/>
        </w:rPr>
        <w:t>is a non-p</w:t>
      </w:r>
      <w:r w:rsidR="00E7120A">
        <w:rPr>
          <w:rFonts w:asciiTheme="majorBidi" w:eastAsia="Calibri" w:hAnsiTheme="majorBidi" w:cstheme="majorBidi"/>
          <w:color w:val="1D1D1D"/>
          <w:sz w:val="24"/>
          <w:szCs w:val="24"/>
        </w:rPr>
        <w:t>rofit organization offers developments and educational programs for women and disadvantage youth</w:t>
      </w:r>
      <w:r w:rsidR="00D61956">
        <w:rPr>
          <w:rFonts w:asciiTheme="majorBidi" w:eastAsia="Calibri" w:hAnsiTheme="majorBidi" w:cstheme="majorBidi"/>
          <w:color w:val="1D1D1D"/>
          <w:sz w:val="24"/>
          <w:szCs w:val="24"/>
        </w:rPr>
        <w:t>. IDO</w:t>
      </w:r>
      <w:r w:rsidRPr="00E96BB5">
        <w:rPr>
          <w:rFonts w:asciiTheme="majorBidi" w:eastAsia="Calibri" w:hAnsiTheme="majorBidi" w:cstheme="majorBidi"/>
          <w:color w:val="1D1D1D"/>
          <w:sz w:val="24"/>
          <w:szCs w:val="24"/>
        </w:rPr>
        <w:t xml:space="preserve"> holds ECOSOC consultative status with t</w:t>
      </w:r>
      <w:r w:rsidR="00E7120A">
        <w:rPr>
          <w:rFonts w:asciiTheme="majorBidi" w:eastAsia="Calibri" w:hAnsiTheme="majorBidi" w:cstheme="majorBidi"/>
          <w:color w:val="1D1D1D"/>
          <w:sz w:val="24"/>
          <w:szCs w:val="24"/>
        </w:rPr>
        <w:t>he United Nation (UN) since 2012</w:t>
      </w:r>
      <w:r w:rsidRPr="00E96BB5">
        <w:rPr>
          <w:rFonts w:asciiTheme="majorBidi" w:eastAsia="Calibri" w:hAnsiTheme="majorBidi" w:cstheme="majorBidi"/>
          <w:color w:val="1D1D1D"/>
          <w:sz w:val="24"/>
          <w:szCs w:val="24"/>
        </w:rPr>
        <w:t>.</w:t>
      </w:r>
    </w:p>
    <w:p w14:paraId="1C9FD9F0" w14:textId="77777777" w:rsidR="00E96BB5" w:rsidRDefault="00E96BB5">
      <w:pPr>
        <w:spacing w:line="240" w:lineRule="auto"/>
        <w:jc w:val="both"/>
        <w:rPr>
          <w:rFonts w:ascii="Times New Roman" w:eastAsia="Times New Roman" w:hAnsi="Times New Roman" w:cs="Times New Roman"/>
          <w:b/>
          <w:sz w:val="24"/>
          <w:szCs w:val="24"/>
          <w:u w:val="single"/>
        </w:rPr>
      </w:pPr>
    </w:p>
    <w:p w14:paraId="00000001" w14:textId="1F9E729E" w:rsidR="002D1F78" w:rsidRDefault="00EE58C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Introduction</w:t>
      </w:r>
    </w:p>
    <w:p w14:paraId="00000005" w14:textId="3FD12FFC" w:rsidR="002D1F78" w:rsidRDefault="002D1F78">
      <w:pPr>
        <w:spacing w:line="240" w:lineRule="auto"/>
        <w:jc w:val="both"/>
        <w:rPr>
          <w:rFonts w:ascii="Times New Roman" w:eastAsia="Times New Roman" w:hAnsi="Times New Roman" w:cs="Times New Roman"/>
          <w:sz w:val="24"/>
          <w:szCs w:val="24"/>
        </w:rPr>
      </w:pPr>
    </w:p>
    <w:p w14:paraId="00000007" w14:textId="3079F16D" w:rsidR="002D1F78" w:rsidRDefault="00EE58CF" w:rsidP="009D101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report is divided in different sections and it aims at exposing the violations of the different articles and recommendations submitted by the CEDAW Committee to protect and promote women’s rights in the country. </w:t>
      </w:r>
      <w:r w:rsidR="009D101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first section concerns the legislative framework regarding women’s rights and how the Bahraini government failed to implement most of the Convention’s articles and recommendations. This part describes the inability to create specific legislation which can promote women’s equality and protect them from any kind of abuse. </w:t>
      </w:r>
    </w:p>
    <w:p w14:paraId="00000008" w14:textId="409DF86F" w:rsidR="002D1F78" w:rsidRDefault="00EE58C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section considers the reasons for the ineffective role of the National Institute for Human Rights (NIHR) for the protection of women's rights. Although the NIHR claims to be an independent institution, it is strictly connected and dependent on government decisions. For this reason, the NIHR has failed to protect human rights, especially women’s rights as they have not been able to use their m</w:t>
      </w:r>
      <w:r w:rsidR="00B00861">
        <w:rPr>
          <w:rFonts w:ascii="Times New Roman" w:eastAsia="Times New Roman" w:hAnsi="Times New Roman" w:cs="Times New Roman"/>
          <w:sz w:val="24"/>
          <w:szCs w:val="24"/>
        </w:rPr>
        <w:t>echanisms to</w:t>
      </w:r>
      <w:r>
        <w:rPr>
          <w:rFonts w:ascii="Times New Roman" w:eastAsia="Times New Roman" w:hAnsi="Times New Roman" w:cs="Times New Roman"/>
          <w:sz w:val="24"/>
          <w:szCs w:val="24"/>
        </w:rPr>
        <w:t xml:space="preserve"> promote their equality and role in the society. </w:t>
      </w:r>
    </w:p>
    <w:p w14:paraId="00000009" w14:textId="77777777" w:rsidR="002D1F78" w:rsidRDefault="00EE58C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third part, the report addresses the human rights violations suffered by a number of women political prisoners, journalists and members of civil society organizations under the Bahraini broad counter-terror law, which are in contravention of specific articles of the CEDAW. Moreover, it shows the inadequacy of oversight bodies to prevent and prosecute abuses, and the failure of the mechanisms tasked with providing means of redress to the victims, following the recommendations of the Committee. </w:t>
      </w:r>
    </w:p>
    <w:p w14:paraId="0000000A" w14:textId="77777777" w:rsidR="002D1F78" w:rsidRDefault="00EE58C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fourth section describes how, despite previous recommendations of the CEDAW committee, the Bahraini government has not taken major steps to implement regulations that encourage the participation of Bahraini women in political and public life. The section also points out the restrictions of the political work of opposition parties and the amendment of the electoral law which further inhibit the rights of activists and opposition members.</w:t>
      </w:r>
    </w:p>
    <w:p w14:paraId="0000000D" w14:textId="036395C8" w:rsidR="002D1F78" w:rsidRDefault="00EE58CF" w:rsidP="00E96BB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fifth section illustrates how Bahraini Nationality Law openly discriminates against women in their ability to confer their citizenship to their offspring. The section also highlights how Bahrain is still not adhering to art. 9 of the convention as it has not withdrawn the reservations on art. 9 (2) and has not taken into consideration the recommendations of the CEDAW committee.</w:t>
      </w:r>
    </w:p>
    <w:p w14:paraId="1E75B8C1" w14:textId="77777777" w:rsidR="00E96BB5" w:rsidRDefault="00E96BB5" w:rsidP="00E96BB5">
      <w:pPr>
        <w:spacing w:line="240" w:lineRule="auto"/>
        <w:jc w:val="both"/>
        <w:rPr>
          <w:rFonts w:ascii="Times New Roman" w:eastAsia="Times New Roman" w:hAnsi="Times New Roman" w:cs="Times New Roman"/>
          <w:sz w:val="24"/>
          <w:szCs w:val="24"/>
        </w:rPr>
      </w:pPr>
    </w:p>
    <w:p w14:paraId="277F5F7A" w14:textId="77777777" w:rsidR="009D2199" w:rsidRDefault="009D2199">
      <w:pPr>
        <w:spacing w:line="240" w:lineRule="auto"/>
        <w:jc w:val="both"/>
        <w:rPr>
          <w:rFonts w:ascii="Times New Roman" w:eastAsia="Times New Roman" w:hAnsi="Times New Roman" w:cs="Times New Roman"/>
          <w:b/>
          <w:sz w:val="24"/>
          <w:szCs w:val="24"/>
        </w:rPr>
      </w:pPr>
    </w:p>
    <w:p w14:paraId="0000000E" w14:textId="77777777" w:rsidR="002D1F78" w:rsidRDefault="00EE58CF">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Legislative Framework </w:t>
      </w:r>
    </w:p>
    <w:p w14:paraId="0000000F" w14:textId="77777777" w:rsidR="002D1F78" w:rsidRDefault="002D1F78">
      <w:pPr>
        <w:spacing w:line="240" w:lineRule="auto"/>
        <w:jc w:val="both"/>
        <w:rPr>
          <w:rFonts w:ascii="Times New Roman" w:eastAsia="Times New Roman" w:hAnsi="Times New Roman" w:cs="Times New Roman"/>
          <w:b/>
          <w:sz w:val="24"/>
          <w:szCs w:val="24"/>
        </w:rPr>
      </w:pPr>
    </w:p>
    <w:p w14:paraId="00000010" w14:textId="26B172FD" w:rsidR="002D1F78" w:rsidRDefault="00EE58C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i/>
          <w:sz w:val="24"/>
          <w:szCs w:val="24"/>
        </w:rPr>
        <w:t>Bahrain’s 2002 Constitution</w:t>
      </w:r>
      <w:r>
        <w:rPr>
          <w:rFonts w:ascii="Times New Roman" w:eastAsia="Times New Roman" w:hAnsi="Times New Roman" w:cs="Times New Roman"/>
          <w:sz w:val="24"/>
          <w:szCs w:val="24"/>
        </w:rPr>
        <w:t>, equality is granted between man and woman ‘in political, cultural, economic spheres, without breaching the provision of Islamic canon law’.</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Although the Constitution does not discriminate between people based on their gender, there are no laws which directly ban discrimination as described in the</w:t>
      </w:r>
      <w:r>
        <w:rPr>
          <w:rFonts w:ascii="Times New Roman" w:eastAsia="Times New Roman" w:hAnsi="Times New Roman" w:cs="Times New Roman"/>
          <w:i/>
          <w:sz w:val="24"/>
          <w:szCs w:val="24"/>
        </w:rPr>
        <w:t xml:space="preserve"> CEDAW Convention</w:t>
      </w:r>
      <w:r>
        <w:rPr>
          <w:rFonts w:ascii="Times New Roman" w:eastAsia="Times New Roman" w:hAnsi="Times New Roman" w:cs="Times New Roman"/>
          <w:sz w:val="24"/>
          <w:szCs w:val="24"/>
        </w:rPr>
        <w:t xml:space="preserve">. According to </w:t>
      </w:r>
      <w:r>
        <w:rPr>
          <w:rFonts w:ascii="Times New Roman" w:eastAsia="Times New Roman" w:hAnsi="Times New Roman" w:cs="Times New Roman"/>
          <w:i/>
          <w:sz w:val="24"/>
          <w:szCs w:val="24"/>
        </w:rPr>
        <w:t>article 2 (f) of CEDAW</w:t>
      </w:r>
      <w:r>
        <w:rPr>
          <w:rFonts w:ascii="Times New Roman" w:eastAsia="Times New Roman" w:hAnsi="Times New Roman" w:cs="Times New Roman"/>
          <w:sz w:val="24"/>
          <w:szCs w:val="24"/>
        </w:rPr>
        <w:t xml:space="preserve">, Bahrain should modify or abolish any laws which constitute a discrimination against women. Previously, the </w:t>
      </w:r>
      <w:r>
        <w:rPr>
          <w:rFonts w:ascii="Times New Roman" w:eastAsia="Times New Roman" w:hAnsi="Times New Roman" w:cs="Times New Roman"/>
          <w:i/>
          <w:sz w:val="24"/>
          <w:szCs w:val="24"/>
        </w:rPr>
        <w:t>CEDAW Committee</w:t>
      </w:r>
      <w:r>
        <w:rPr>
          <w:rFonts w:ascii="Times New Roman" w:eastAsia="Times New Roman" w:hAnsi="Times New Roman" w:cs="Times New Roman"/>
          <w:sz w:val="24"/>
          <w:szCs w:val="24"/>
        </w:rPr>
        <w:t xml:space="preserve"> has requested Bahrain to give high priority to its law reforms process and to modify or repeal discriminatory legislations including provisions within the Penal Code and Nationality Law.</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This measure has not been incorporated as </w:t>
      </w:r>
      <w:r>
        <w:rPr>
          <w:rFonts w:ascii="Times New Roman" w:eastAsia="Times New Roman" w:hAnsi="Times New Roman" w:cs="Times New Roman"/>
          <w:i/>
          <w:sz w:val="24"/>
          <w:szCs w:val="24"/>
        </w:rPr>
        <w:t>The Penal Code</w:t>
      </w:r>
      <w:r>
        <w:rPr>
          <w:rFonts w:ascii="Times New Roman" w:eastAsia="Times New Roman" w:hAnsi="Times New Roman" w:cs="Times New Roman"/>
          <w:sz w:val="24"/>
          <w:szCs w:val="24"/>
        </w:rPr>
        <w:t xml:space="preserve"> generally addresses violence against citizens, but this is not enough in order to protect women against sexual harassment and domestic abuse.</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The Committee has </w:t>
      </w:r>
      <w:r w:rsidR="00B55A8A">
        <w:rPr>
          <w:rFonts w:ascii="Times New Roman" w:eastAsia="Times New Roman" w:hAnsi="Times New Roman" w:cs="Times New Roman"/>
          <w:sz w:val="24"/>
          <w:szCs w:val="24"/>
        </w:rPr>
        <w:t>highlighted</w:t>
      </w:r>
      <w:r>
        <w:rPr>
          <w:rFonts w:ascii="Times New Roman" w:eastAsia="Times New Roman" w:hAnsi="Times New Roman" w:cs="Times New Roman"/>
          <w:sz w:val="24"/>
          <w:szCs w:val="24"/>
        </w:rPr>
        <w:t xml:space="preserve"> the general </w:t>
      </w:r>
      <w:r w:rsidR="00B55A8A">
        <w:rPr>
          <w:rFonts w:ascii="Times New Roman" w:eastAsia="Times New Roman" w:hAnsi="Times New Roman" w:cs="Times New Roman"/>
          <w:sz w:val="24"/>
          <w:szCs w:val="24"/>
        </w:rPr>
        <w:t>recommendations</w:t>
      </w:r>
      <w:r>
        <w:rPr>
          <w:rFonts w:ascii="Times New Roman" w:eastAsia="Times New Roman" w:hAnsi="Times New Roman" w:cs="Times New Roman"/>
          <w:sz w:val="24"/>
          <w:szCs w:val="24"/>
        </w:rPr>
        <w:t xml:space="preserve"> No. 19 on violence against women and has urged the Bahraini authorities to put in place a comprehensive</w:t>
      </w:r>
      <w:r w:rsidR="0039144A">
        <w:rPr>
          <w:rFonts w:ascii="Times New Roman" w:eastAsia="Times New Roman" w:hAnsi="Times New Roman" w:cs="Times New Roman"/>
          <w:sz w:val="24"/>
          <w:szCs w:val="24"/>
        </w:rPr>
        <w:t xml:space="preserve"> national strategy and program</w:t>
      </w:r>
      <w:r>
        <w:rPr>
          <w:rFonts w:ascii="Times New Roman" w:eastAsia="Times New Roman" w:hAnsi="Times New Roman" w:cs="Times New Roman"/>
          <w:sz w:val="24"/>
          <w:szCs w:val="24"/>
        </w:rPr>
        <w:t xml:space="preserve"> to address all forms of violence </w:t>
      </w:r>
      <w:r w:rsidR="0039144A">
        <w:rPr>
          <w:rFonts w:ascii="Times New Roman" w:eastAsia="Times New Roman" w:hAnsi="Times New Roman" w:cs="Times New Roman"/>
          <w:sz w:val="24"/>
          <w:szCs w:val="24"/>
        </w:rPr>
        <w:t>against</w:t>
      </w:r>
      <w:r>
        <w:rPr>
          <w:rFonts w:ascii="Times New Roman" w:eastAsia="Times New Roman" w:hAnsi="Times New Roman" w:cs="Times New Roman"/>
          <w:sz w:val="24"/>
          <w:szCs w:val="24"/>
        </w:rPr>
        <w:t xml:space="preserve"> women, especially the adoption of a bill to </w:t>
      </w:r>
      <w:r w:rsidR="0039144A">
        <w:rPr>
          <w:rFonts w:ascii="Times New Roman" w:eastAsia="Times New Roman" w:hAnsi="Times New Roman" w:cs="Times New Roman"/>
          <w:sz w:val="24"/>
          <w:szCs w:val="24"/>
        </w:rPr>
        <w:t>combat</w:t>
      </w:r>
      <w:r>
        <w:rPr>
          <w:rFonts w:ascii="Times New Roman" w:eastAsia="Times New Roman" w:hAnsi="Times New Roman" w:cs="Times New Roman"/>
          <w:sz w:val="24"/>
          <w:szCs w:val="24"/>
        </w:rPr>
        <w:t xml:space="preserve"> domestic violence.</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This measure has still not been incorporated and, in fact, </w:t>
      </w:r>
      <w:r>
        <w:rPr>
          <w:rFonts w:ascii="Times New Roman" w:eastAsia="Times New Roman" w:hAnsi="Times New Roman" w:cs="Times New Roman"/>
          <w:i/>
          <w:sz w:val="24"/>
          <w:szCs w:val="24"/>
        </w:rPr>
        <w:t>The Penal Code of 1963</w:t>
      </w:r>
      <w:r>
        <w:rPr>
          <w:rFonts w:ascii="Times New Roman" w:eastAsia="Times New Roman" w:hAnsi="Times New Roman" w:cs="Times New Roman"/>
          <w:sz w:val="24"/>
          <w:szCs w:val="24"/>
        </w:rPr>
        <w:t xml:space="preserve"> does not contain any provisions to punish individuals found guilty of discrimination against women at their workplace or in other places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The CEDAW Convention</w:t>
      </w:r>
      <w:r>
        <w:rPr>
          <w:rFonts w:ascii="Times New Roman" w:eastAsia="Times New Roman" w:hAnsi="Times New Roman" w:cs="Times New Roman"/>
          <w:sz w:val="24"/>
          <w:szCs w:val="24"/>
        </w:rPr>
        <w:t xml:space="preserve"> requires the respect of women’s rights but also their protection. This has been violated by the Bahraini laws which clearly discriminate against women who are victims of crimes, such as stated in </w:t>
      </w:r>
      <w:r>
        <w:rPr>
          <w:rFonts w:ascii="Times New Roman" w:eastAsia="Times New Roman" w:hAnsi="Times New Roman" w:cs="Times New Roman"/>
          <w:i/>
          <w:sz w:val="24"/>
          <w:szCs w:val="24"/>
        </w:rPr>
        <w:t>article 535 of the Penal Code</w:t>
      </w:r>
      <w:r>
        <w:rPr>
          <w:rFonts w:ascii="Times New Roman" w:eastAsia="Times New Roman" w:hAnsi="Times New Roman" w:cs="Times New Roman"/>
          <w:sz w:val="24"/>
          <w:szCs w:val="24"/>
        </w:rPr>
        <w:t xml:space="preserve"> “no penalty shall be inflicted upon a person who rapes an unmarried woman as long as he then marries her”</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Moreover, if a man surprises his wife in the act of adultery and proceeds to murder, he will receive a reduced sentence, as stated in </w:t>
      </w:r>
      <w:r>
        <w:rPr>
          <w:rFonts w:ascii="Times New Roman" w:eastAsia="Times New Roman" w:hAnsi="Times New Roman" w:cs="Times New Roman"/>
          <w:i/>
          <w:sz w:val="24"/>
          <w:szCs w:val="24"/>
        </w:rPr>
        <w:t>article 334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In this regard, the</w:t>
      </w:r>
      <w:r>
        <w:rPr>
          <w:rFonts w:ascii="Times New Roman" w:eastAsia="Times New Roman" w:hAnsi="Times New Roman" w:cs="Times New Roman"/>
          <w:i/>
          <w:sz w:val="24"/>
          <w:szCs w:val="24"/>
        </w:rPr>
        <w:t xml:space="preserve"> Committee</w:t>
      </w:r>
      <w:r>
        <w:rPr>
          <w:rFonts w:ascii="Times New Roman" w:eastAsia="Times New Roman" w:hAnsi="Times New Roman" w:cs="Times New Roman"/>
          <w:sz w:val="24"/>
          <w:szCs w:val="24"/>
        </w:rPr>
        <w:t xml:space="preserve"> has declared the importance for the State to endure women who are victims of violence an effective protection, and that their perpetrators are persecuted and punished.</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Spousal abuse has a low reporting rate, and although a minority of women cite abuse in divorce cases, there is still a reluctance for victims to report the abuse.</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This problematic has been also highlighted by the </w:t>
      </w:r>
      <w:r>
        <w:rPr>
          <w:rFonts w:ascii="Times New Roman" w:eastAsia="Times New Roman" w:hAnsi="Times New Roman" w:cs="Times New Roman"/>
          <w:i/>
          <w:sz w:val="24"/>
          <w:szCs w:val="24"/>
        </w:rPr>
        <w:t>Committee</w:t>
      </w:r>
      <w:r>
        <w:rPr>
          <w:rFonts w:ascii="Times New Roman" w:eastAsia="Times New Roman" w:hAnsi="Times New Roman" w:cs="Times New Roman"/>
          <w:sz w:val="24"/>
          <w:szCs w:val="24"/>
        </w:rPr>
        <w:t>, which has urged the State to take measures to ensure that the lack of reported cases is not due to the victims' fear of retribution, stigma or for the lack of confidence in the judicial authorities.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p>
    <w:p w14:paraId="00000011" w14:textId="77777777" w:rsidR="002D1F78" w:rsidRDefault="002D1F78">
      <w:pPr>
        <w:spacing w:line="240" w:lineRule="auto"/>
        <w:jc w:val="both"/>
        <w:rPr>
          <w:rFonts w:ascii="Times New Roman" w:eastAsia="Times New Roman" w:hAnsi="Times New Roman" w:cs="Times New Roman"/>
          <w:sz w:val="24"/>
          <w:szCs w:val="24"/>
        </w:rPr>
      </w:pPr>
    </w:p>
    <w:p w14:paraId="00000012" w14:textId="648BCC31" w:rsidR="002D1F78" w:rsidRDefault="00EE58C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Furthermore, the Courts are often quite conservative. It is not uncommon for judges to demonstrate prejudice against women in court.</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This kind of </w:t>
      </w:r>
      <w:r w:rsidR="0039144A">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is a clear breach of article </w:t>
      </w:r>
      <w:r>
        <w:rPr>
          <w:rFonts w:ascii="Times New Roman" w:eastAsia="Times New Roman" w:hAnsi="Times New Roman" w:cs="Times New Roman"/>
          <w:i/>
          <w:sz w:val="24"/>
          <w:szCs w:val="24"/>
        </w:rPr>
        <w:t>2 (c) of CEDAW</w:t>
      </w:r>
      <w:r>
        <w:rPr>
          <w:rFonts w:ascii="Times New Roman" w:eastAsia="Times New Roman" w:hAnsi="Times New Roman" w:cs="Times New Roman"/>
          <w:sz w:val="24"/>
          <w:szCs w:val="24"/>
        </w:rPr>
        <w:t xml:space="preserve"> which requires the establishment of legal protection of women’ rights through competent national tribunals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Bahrain has clearly violated </w:t>
      </w:r>
      <w:r>
        <w:rPr>
          <w:rFonts w:ascii="Times New Roman" w:eastAsia="Times New Roman" w:hAnsi="Times New Roman" w:cs="Times New Roman"/>
          <w:i/>
          <w:sz w:val="24"/>
          <w:szCs w:val="24"/>
        </w:rPr>
        <w:t>article 2 of CEDAW</w:t>
      </w:r>
      <w:r>
        <w:rPr>
          <w:rFonts w:ascii="Times New Roman" w:eastAsia="Times New Roman" w:hAnsi="Times New Roman" w:cs="Times New Roman"/>
          <w:sz w:val="24"/>
          <w:szCs w:val="24"/>
        </w:rPr>
        <w:t>, as often Bahraini women face nu</w:t>
      </w:r>
      <w:r w:rsidR="0039144A">
        <w:rPr>
          <w:rFonts w:ascii="Times New Roman" w:eastAsia="Times New Roman" w:hAnsi="Times New Roman" w:cs="Times New Roman"/>
          <w:sz w:val="24"/>
          <w:szCs w:val="24"/>
        </w:rPr>
        <w:t>merous obstacles during local</w:t>
      </w:r>
      <w:r>
        <w:rPr>
          <w:rFonts w:ascii="Times New Roman" w:eastAsia="Times New Roman" w:hAnsi="Times New Roman" w:cs="Times New Roman"/>
          <w:sz w:val="24"/>
          <w:szCs w:val="24"/>
        </w:rPr>
        <w:t xml:space="preserve"> Court proceedings, which are male-dominated and they are a demonstration of the failure of the separation of power, as religious representatives are able to decide judiciary matters, which are not within their powers. As recommended by the Committee, Bahrain ought to strengthen the education and training of judges and lawyers concerning the Convention’s applicability within the national courts - particularly in respect to the different forms and scope of discrimination held which it stipulates.</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14:paraId="00000013" w14:textId="77777777" w:rsidR="002D1F78" w:rsidRDefault="002D1F78">
      <w:pPr>
        <w:spacing w:line="240" w:lineRule="auto"/>
        <w:jc w:val="both"/>
        <w:rPr>
          <w:rFonts w:ascii="Times New Roman" w:eastAsia="Times New Roman" w:hAnsi="Times New Roman" w:cs="Times New Roman"/>
          <w:sz w:val="24"/>
          <w:szCs w:val="24"/>
        </w:rPr>
      </w:pPr>
    </w:p>
    <w:p w14:paraId="00000014" w14:textId="605039E3" w:rsidR="002D1F78" w:rsidRDefault="00EE58CF" w:rsidP="00A8339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explicit example of the Bahraini government failure to protect women’s rights is the impossibility of Bahraini women to pass their citizenship to their non-Bahraini spouses and to their children, which is a breach of </w:t>
      </w:r>
      <w:r>
        <w:rPr>
          <w:rFonts w:ascii="Times New Roman" w:eastAsia="Times New Roman" w:hAnsi="Times New Roman" w:cs="Times New Roman"/>
          <w:i/>
          <w:sz w:val="24"/>
          <w:szCs w:val="24"/>
        </w:rPr>
        <w:t>article 9 of CEDAW</w:t>
      </w:r>
      <w:r>
        <w:rPr>
          <w:rFonts w:ascii="Times New Roman" w:eastAsia="Times New Roman" w:hAnsi="Times New Roman" w:cs="Times New Roman"/>
          <w:sz w:val="24"/>
          <w:szCs w:val="24"/>
        </w:rPr>
        <w:t>, stating that Bahrain should grant women equal rights with men with respect to the nationality of their children.</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During the Congressional briefing held by Americans for Democracy &amp; Human Rights in Bahrain (ADHRB) in October 2019, several cases of discrimination and violation of women’s rights were brought up, and it was mainly highlighted the high numbers of abuses in prisons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w:t>
      </w:r>
      <w:r w:rsidR="00A83390">
        <w:rPr>
          <w:rFonts w:ascii="Times New Roman" w:eastAsia="Times New Roman" w:hAnsi="Times New Roman" w:cs="Times New Roman"/>
          <w:b/>
          <w:bCs/>
          <w:sz w:val="24"/>
          <w:szCs w:val="24"/>
        </w:rPr>
        <w:t>Female Victim</w:t>
      </w:r>
      <w:r>
        <w:rPr>
          <w:rFonts w:ascii="Times New Roman" w:eastAsia="Times New Roman" w:hAnsi="Times New Roman" w:cs="Times New Roman"/>
          <w:sz w:val="24"/>
          <w:szCs w:val="24"/>
        </w:rPr>
        <w:t xml:space="preserve">, a famous </w:t>
      </w:r>
      <w:r w:rsidR="0039144A">
        <w:rPr>
          <w:rFonts w:ascii="Times New Roman" w:eastAsia="Times New Roman" w:hAnsi="Times New Roman" w:cs="Times New Roman"/>
          <w:sz w:val="24"/>
          <w:szCs w:val="24"/>
        </w:rPr>
        <w:t xml:space="preserve">woman </w:t>
      </w:r>
      <w:r>
        <w:rPr>
          <w:rFonts w:ascii="Times New Roman" w:eastAsia="Times New Roman" w:hAnsi="Times New Roman" w:cs="Times New Roman"/>
          <w:sz w:val="24"/>
          <w:szCs w:val="24"/>
        </w:rPr>
        <w:t>human rights defender, was arrested, later beaten and sexually assaulted by Bahraini authorities. According to Amnesty International information, she was deported to the Isa Town detention center for women and later she was transferred to an undisclosed place.</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14:paraId="00000015" w14:textId="77777777" w:rsidR="002D1F78" w:rsidRDefault="002D1F78">
      <w:pPr>
        <w:spacing w:line="240" w:lineRule="auto"/>
        <w:jc w:val="both"/>
        <w:rPr>
          <w:rFonts w:ascii="Times New Roman" w:eastAsia="Times New Roman" w:hAnsi="Times New Roman" w:cs="Times New Roman"/>
          <w:sz w:val="24"/>
          <w:szCs w:val="24"/>
        </w:rPr>
      </w:pPr>
    </w:p>
    <w:p w14:paraId="00000016" w14:textId="77777777" w:rsidR="002D1F78" w:rsidRDefault="00EE58C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Bahraini Government’s reservations in regards to the implementation of CEDAW’s provisions clearly demonstrates the authorities’ failure to maintain a separation of powers which undermine gender equality and completely nullify the fundamental aims of the Convention. The Bahraini authorities have made no effort to review and amend the existing national laws and policies to bring them into conformity with CEDAW standards. </w:t>
      </w:r>
    </w:p>
    <w:p w14:paraId="00000017" w14:textId="77777777" w:rsidR="002D1F78" w:rsidRDefault="002D1F78">
      <w:pPr>
        <w:spacing w:line="240" w:lineRule="auto"/>
        <w:ind w:hanging="720"/>
        <w:jc w:val="both"/>
        <w:rPr>
          <w:rFonts w:ascii="Times New Roman" w:eastAsia="Times New Roman" w:hAnsi="Times New Roman" w:cs="Times New Roman"/>
          <w:b/>
          <w:sz w:val="24"/>
          <w:szCs w:val="24"/>
        </w:rPr>
      </w:pPr>
    </w:p>
    <w:p w14:paraId="00000018" w14:textId="77777777" w:rsidR="002D1F78" w:rsidRDefault="002D1F78">
      <w:pPr>
        <w:spacing w:line="240" w:lineRule="auto"/>
        <w:ind w:hanging="720"/>
        <w:jc w:val="both"/>
        <w:rPr>
          <w:rFonts w:ascii="Times New Roman" w:eastAsia="Times New Roman" w:hAnsi="Times New Roman" w:cs="Times New Roman"/>
          <w:b/>
          <w:sz w:val="24"/>
          <w:szCs w:val="24"/>
        </w:rPr>
      </w:pPr>
    </w:p>
    <w:p w14:paraId="00000019" w14:textId="77777777" w:rsidR="002D1F78" w:rsidRDefault="00EE58CF">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National Institute for Human Rights </w:t>
      </w:r>
    </w:p>
    <w:p w14:paraId="0000001A" w14:textId="77777777" w:rsidR="002D1F78" w:rsidRDefault="002D1F78">
      <w:pPr>
        <w:spacing w:line="240" w:lineRule="auto"/>
        <w:jc w:val="both"/>
        <w:rPr>
          <w:rFonts w:ascii="Times New Roman" w:eastAsia="Times New Roman" w:hAnsi="Times New Roman" w:cs="Times New Roman"/>
          <w:b/>
          <w:sz w:val="24"/>
          <w:szCs w:val="24"/>
        </w:rPr>
      </w:pPr>
    </w:p>
    <w:p w14:paraId="0000001B" w14:textId="6E10FDA5" w:rsidR="002D1F78" w:rsidRDefault="00EE58C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The Committee</w:t>
      </w:r>
      <w:r>
        <w:rPr>
          <w:rFonts w:ascii="Times New Roman" w:eastAsia="Times New Roman" w:hAnsi="Times New Roman" w:cs="Times New Roman"/>
          <w:sz w:val="24"/>
          <w:szCs w:val="24"/>
        </w:rPr>
        <w:t xml:space="preserve"> has often encouraged the National Institute for Human Rights (NIHR) to strengthen its independence effectiveness and visibility for the promotion and protection of human rights.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Despite the numerous recommendations, the NIHR remains closely connected to the government </w:t>
      </w:r>
      <w:r>
        <w:rPr>
          <w:rFonts w:ascii="Times New Roman" w:eastAsia="Times New Roman" w:hAnsi="Times New Roman" w:cs="Times New Roman"/>
          <w:sz w:val="24"/>
          <w:szCs w:val="24"/>
        </w:rPr>
        <w:lastRenderedPageBreak/>
        <w:t>and it has failed to fully comply with the international standards. The NIHR has been often described as “an example of the institution’s misleading public comments regarding the country’s human rights record”.</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According to </w:t>
      </w:r>
      <w:r>
        <w:rPr>
          <w:rFonts w:ascii="Times New Roman" w:eastAsia="Times New Roman" w:hAnsi="Times New Roman" w:cs="Times New Roman"/>
          <w:i/>
          <w:sz w:val="24"/>
          <w:szCs w:val="24"/>
        </w:rPr>
        <w:t>The United Nations Committee Against Torture</w:t>
      </w:r>
      <w:r>
        <w:rPr>
          <w:rFonts w:ascii="Times New Roman" w:eastAsia="Times New Roman" w:hAnsi="Times New Roman" w:cs="Times New Roman"/>
          <w:sz w:val="24"/>
          <w:szCs w:val="24"/>
        </w:rPr>
        <w:t xml:space="preserve">, the NIHR is not independent and </w:t>
      </w:r>
      <w:r w:rsidR="0039144A">
        <w:rPr>
          <w:rFonts w:ascii="Times New Roman" w:eastAsia="Times New Roman" w:hAnsi="Times New Roman" w:cs="Times New Roman"/>
          <w:sz w:val="24"/>
          <w:szCs w:val="24"/>
        </w:rPr>
        <w:t>not effective as</w:t>
      </w:r>
      <w:r>
        <w:rPr>
          <w:rFonts w:ascii="Times New Roman" w:eastAsia="Times New Roman" w:hAnsi="Times New Roman" w:cs="Times New Roman"/>
          <w:sz w:val="24"/>
          <w:szCs w:val="24"/>
        </w:rPr>
        <w:t xml:space="preserve"> complaints pass through the Ministry of the interior.</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Ultimately, often organizations like the NIHR are meant to camouflage abuses by the state while providing their legitimacy.</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This has been confirmed by the concerns highlighted in </w:t>
      </w:r>
      <w:r>
        <w:rPr>
          <w:rFonts w:ascii="Times New Roman" w:eastAsia="Times New Roman" w:hAnsi="Times New Roman" w:cs="Times New Roman"/>
          <w:i/>
          <w:sz w:val="24"/>
          <w:szCs w:val="24"/>
        </w:rPr>
        <w:t>The Special Rapporteur</w:t>
      </w:r>
      <w:r>
        <w:rPr>
          <w:rFonts w:ascii="Times New Roman" w:eastAsia="Times New Roman" w:hAnsi="Times New Roman" w:cs="Times New Roman"/>
          <w:sz w:val="24"/>
          <w:szCs w:val="24"/>
        </w:rPr>
        <w:t>, where it is indicated that the NIHR has attempted to delegitimize the work of human rights organizations denouncing human rights abuses in Bahraini prisons.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Even though their fifth annual report includes a section entirely devoted on women’s rights in Bahrain, nowhere in the document the institution recognizes this core abuse, and its role in attendant human rights violations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Furthermore, the NIHR’s members are directly appointed by the King and they maintain a direct connection with the government, which makes their actions subordinated to the Bahrain authorities.</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This demonstrates that the Institute continues to lack the independence to objectively assess the state of human rights in Bahrain.</w:t>
      </w:r>
      <w:r>
        <w:rPr>
          <w:rFonts w:ascii="Times New Roman" w:eastAsia="Times New Roman" w:hAnsi="Times New Roman" w:cs="Times New Roman"/>
          <w:sz w:val="24"/>
          <w:szCs w:val="24"/>
          <w:vertAlign w:val="superscript"/>
        </w:rPr>
        <w:footnoteReference w:id="24"/>
      </w:r>
    </w:p>
    <w:p w14:paraId="0000001C" w14:textId="77777777" w:rsidR="002D1F78" w:rsidRDefault="002D1F78">
      <w:pPr>
        <w:spacing w:line="240" w:lineRule="auto"/>
        <w:jc w:val="both"/>
        <w:rPr>
          <w:rFonts w:ascii="Times New Roman" w:eastAsia="Times New Roman" w:hAnsi="Times New Roman" w:cs="Times New Roman"/>
          <w:sz w:val="24"/>
          <w:szCs w:val="24"/>
        </w:rPr>
      </w:pPr>
    </w:p>
    <w:p w14:paraId="0000001D" w14:textId="3A45F5D2" w:rsidR="002D1F78" w:rsidRDefault="00EE58CF" w:rsidP="00A8339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NIHR stated in their report to have taken up to 484 total complaints, ADHRB </w:t>
      </w:r>
      <w:r w:rsidR="0039144A">
        <w:rPr>
          <w:rFonts w:ascii="Times New Roman" w:eastAsia="Times New Roman" w:hAnsi="Times New Roman" w:cs="Times New Roman"/>
          <w:sz w:val="24"/>
          <w:szCs w:val="24"/>
        </w:rPr>
        <w:t xml:space="preserve">and other human rights groups </w:t>
      </w:r>
      <w:r>
        <w:rPr>
          <w:rFonts w:ascii="Times New Roman" w:eastAsia="Times New Roman" w:hAnsi="Times New Roman" w:cs="Times New Roman"/>
          <w:sz w:val="24"/>
          <w:szCs w:val="24"/>
        </w:rPr>
        <w:t>has received dozens of complaints related to discrimination and the right of citizenship, which demonstrates lack of confidence of the Bahraini population towards this institution.</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The NIHR‘s report stated that in the inspection to the Isa Town Women’s Prison only one case was concerned the human rights defender, previously referred to, </w:t>
      </w:r>
      <w:r w:rsidR="00A83390">
        <w:rPr>
          <w:rFonts w:ascii="Times New Roman" w:eastAsia="Times New Roman" w:hAnsi="Times New Roman" w:cs="Times New Roman"/>
          <w:b/>
          <w:bCs/>
          <w:sz w:val="24"/>
          <w:szCs w:val="24"/>
        </w:rPr>
        <w:t>Female Victim</w:t>
      </w:r>
      <w:r>
        <w:rPr>
          <w:rFonts w:ascii="Times New Roman" w:eastAsia="Times New Roman" w:hAnsi="Times New Roman" w:cs="Times New Roman"/>
          <w:sz w:val="24"/>
          <w:szCs w:val="24"/>
        </w:rPr>
        <w:t xml:space="preserve">, detained, tortured, sexually assaulted and transferred later to the prison. The Institution did not provide a complete answer to the activists and her family’s complaints. </w:t>
      </w:r>
      <w:r>
        <w:rPr>
          <w:rFonts w:ascii="Times New Roman" w:eastAsia="Times New Roman" w:hAnsi="Times New Roman" w:cs="Times New Roman"/>
          <w:i/>
          <w:sz w:val="24"/>
          <w:szCs w:val="24"/>
        </w:rPr>
        <w:t>The Special Rapporteur</w:t>
      </w:r>
      <w:r>
        <w:rPr>
          <w:rFonts w:ascii="Times New Roman" w:eastAsia="Times New Roman" w:hAnsi="Times New Roman" w:cs="Times New Roman"/>
          <w:sz w:val="24"/>
          <w:szCs w:val="24"/>
        </w:rPr>
        <w:t xml:space="preserve"> has expressed its concern for the lack of appropriate response by the NIHR to allegations of human rights abuses.</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Another example of the failure of protection of human rights by NIHR is the case of </w:t>
      </w:r>
      <w:r w:rsidR="00A83390">
        <w:rPr>
          <w:rFonts w:ascii="Times New Roman" w:eastAsia="Times New Roman" w:hAnsi="Times New Roman" w:cs="Times New Roman"/>
          <w:b/>
          <w:bCs/>
          <w:sz w:val="24"/>
          <w:szCs w:val="24"/>
        </w:rPr>
        <w:t>Female Victim</w:t>
      </w:r>
      <w:r>
        <w:rPr>
          <w:rFonts w:ascii="Times New Roman" w:eastAsia="Times New Roman" w:hAnsi="Times New Roman" w:cs="Times New Roman"/>
          <w:sz w:val="24"/>
          <w:szCs w:val="24"/>
        </w:rPr>
        <w:t>, who has been beaten and hospitalized in Isa Town.</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The NIHR has refused </w:t>
      </w:r>
      <w:r>
        <w:rPr>
          <w:rFonts w:ascii="Times New Roman" w:eastAsia="Times New Roman" w:hAnsi="Times New Roman" w:cs="Times New Roman"/>
          <w:sz w:val="24"/>
          <w:szCs w:val="24"/>
        </w:rPr>
        <w:lastRenderedPageBreak/>
        <w:t>the claims of inmates in the prison of Isa Town, which clearly describes a trend of denial and obfuscation of the Bahraini government's systematic torturing of dissidents. Furthermore, the NIHR’s report does not provide further insight on the government’s refusal to implement the Convention on the Elimination of All Forms of Discrimination (CEDAW) or steps to address abuses, like gender-based discrimination in national legislations.</w:t>
      </w:r>
    </w:p>
    <w:p w14:paraId="0000001E" w14:textId="77777777" w:rsidR="002D1F78" w:rsidRDefault="002D1F78">
      <w:pPr>
        <w:spacing w:line="240" w:lineRule="auto"/>
        <w:jc w:val="both"/>
        <w:rPr>
          <w:rFonts w:ascii="Times New Roman" w:eastAsia="Times New Roman" w:hAnsi="Times New Roman" w:cs="Times New Roman"/>
          <w:sz w:val="24"/>
          <w:szCs w:val="24"/>
        </w:rPr>
      </w:pPr>
    </w:p>
    <w:p w14:paraId="0000001F" w14:textId="18D31109" w:rsidR="002D1F78" w:rsidRDefault="00EE58C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NIHR does not fulfil its duty in protecting and promoting women’s rights, as Bahraini women still only account for approximately eight percent of the </w:t>
      </w:r>
      <w:r w:rsidR="008C7816">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force and many continue to face discriminations like un</w:t>
      </w:r>
      <w:r w:rsidR="008C7816">
        <w:rPr>
          <w:rFonts w:ascii="Times New Roman" w:eastAsia="Times New Roman" w:hAnsi="Times New Roman" w:cs="Times New Roman"/>
          <w:sz w:val="24"/>
          <w:szCs w:val="24"/>
        </w:rPr>
        <w:t>equal pay. The NIHR has not taken</w:t>
      </w:r>
      <w:r>
        <w:rPr>
          <w:rFonts w:ascii="Times New Roman" w:eastAsia="Times New Roman" w:hAnsi="Times New Roman" w:cs="Times New Roman"/>
          <w:sz w:val="24"/>
          <w:szCs w:val="24"/>
        </w:rPr>
        <w:t xml:space="preserve"> any action to refrain Bahrain’s refusal to explicitly criminalize spousal rape and effectively protect women in their household. Therefore, the maintenance of nationality laws that discriminate on the basis of gender are themselves in conflict with the object and purpose of CEDAW.</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Despite the continuous efforts to report these violations,  the NIHR makes no effort to  reconcile these concerns or recommend to the government to lift the reservations. </w:t>
      </w:r>
    </w:p>
    <w:p w14:paraId="00000020" w14:textId="77777777" w:rsidR="002D1F78" w:rsidRDefault="00EE58CF">
      <w:pPr>
        <w:spacing w:line="240" w:lineRule="auto"/>
        <w:ind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The NIHR is clearly unable or unwilling to objectively monitor Bahrain’s women rights and provide them with an effective mechanism to assist them in any violation inflicted. </w:t>
      </w:r>
    </w:p>
    <w:p w14:paraId="00000021" w14:textId="77777777" w:rsidR="002D1F78" w:rsidRDefault="002D1F78">
      <w:pPr>
        <w:widowControl w:val="0"/>
        <w:spacing w:after="160" w:line="240" w:lineRule="auto"/>
        <w:jc w:val="both"/>
        <w:rPr>
          <w:rFonts w:ascii="Times New Roman" w:eastAsia="Times New Roman" w:hAnsi="Times New Roman" w:cs="Times New Roman"/>
          <w:b/>
          <w:sz w:val="24"/>
          <w:szCs w:val="24"/>
        </w:rPr>
      </w:pPr>
    </w:p>
    <w:p w14:paraId="00000022" w14:textId="69552051" w:rsidR="002D1F78" w:rsidRDefault="00B00861">
      <w:pPr>
        <w:widowControl w:val="0"/>
        <w:spacing w:after="16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Women activists, journalists,</w:t>
      </w:r>
      <w:r w:rsidR="00EE58CF">
        <w:rPr>
          <w:rFonts w:ascii="Times New Roman" w:eastAsia="Times New Roman" w:hAnsi="Times New Roman" w:cs="Times New Roman"/>
          <w:b/>
          <w:sz w:val="24"/>
          <w:szCs w:val="24"/>
        </w:rPr>
        <w:t xml:space="preserve"> members of civil society organizations</w:t>
      </w:r>
      <w:r>
        <w:rPr>
          <w:rFonts w:ascii="Times New Roman" w:eastAsia="Times New Roman" w:hAnsi="Times New Roman" w:cs="Times New Roman"/>
          <w:b/>
          <w:sz w:val="24"/>
          <w:szCs w:val="24"/>
        </w:rPr>
        <w:t xml:space="preserve">, and political participation </w:t>
      </w:r>
    </w:p>
    <w:p w14:paraId="00000023" w14:textId="74413F49" w:rsidR="002D1F78" w:rsidRDefault="00EE58CF">
      <w:pPr>
        <w:widowControl w:val="0"/>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promulgation in 2006 of the </w:t>
      </w:r>
      <w:r>
        <w:rPr>
          <w:rFonts w:ascii="Times New Roman" w:eastAsia="Times New Roman" w:hAnsi="Times New Roman" w:cs="Times New Roman"/>
          <w:i/>
          <w:sz w:val="24"/>
          <w:szCs w:val="24"/>
        </w:rPr>
        <w:t>Law of Protecting Society from Terrorist Acts</w:t>
      </w:r>
      <w:r>
        <w:rPr>
          <w:rFonts w:ascii="Times New Roman" w:eastAsia="Times New Roman" w:hAnsi="Times New Roman" w:cs="Times New Roman"/>
          <w:sz w:val="24"/>
          <w:szCs w:val="24"/>
        </w:rPr>
        <w:t>, commonly known as anti</w:t>
      </w:r>
      <w:r w:rsidR="008C7816">
        <w:rPr>
          <w:rFonts w:ascii="Times New Roman" w:eastAsia="Times New Roman" w:hAnsi="Times New Roman" w:cs="Times New Roman"/>
          <w:sz w:val="24"/>
          <w:szCs w:val="24"/>
        </w:rPr>
        <w:t>-</w:t>
      </w:r>
      <w:r>
        <w:rPr>
          <w:rFonts w:ascii="Times New Roman" w:eastAsia="Times New Roman" w:hAnsi="Times New Roman" w:cs="Times New Roman"/>
          <w:sz w:val="24"/>
          <w:szCs w:val="24"/>
        </w:rPr>
        <w:t>terror law, along with its broad and vague definition of terrorism have contributed over the years to criminalize freedom of expression, assembly and association, as dangers for “public security and national unit”</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Despite the recommendation addressed to Bahrain by the Committee on the Elimination of Discrimination against Women (CEDAW) to ensure that women activists are able to exercise their rights to freedom of expression and association (CEDAW/C/BHR/CO/3, No. 30), amendments to the abovementioned law in 2013 and 2014 further enhanced the government’s zero-tolerance policy. Indeed, the definition of terrorism has been further expanded, criminalizing any speech or political expression critical to the government, enabling courts to revoke the citizenship of individuals prosecuted for terror crimes and increasing penalties</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Article 7 (c) of the </w:t>
      </w:r>
      <w:r>
        <w:rPr>
          <w:rFonts w:ascii="Times New Roman" w:eastAsia="Times New Roman" w:hAnsi="Times New Roman" w:cs="Times New Roman"/>
          <w:i/>
          <w:sz w:val="24"/>
          <w:szCs w:val="24"/>
        </w:rPr>
        <w:t xml:space="preserve">Convention on the Elimination of Discrimination against Women </w:t>
      </w:r>
      <w:r>
        <w:rPr>
          <w:rFonts w:ascii="Times New Roman" w:eastAsia="Times New Roman" w:hAnsi="Times New Roman" w:cs="Times New Roman"/>
          <w:sz w:val="24"/>
          <w:szCs w:val="24"/>
        </w:rPr>
        <w:t>(CEDAW), which the government ratified in 2002, asserts that “States Parties shall take all appropriate measures to eliminate discrimination against women in the political and public life of the country and, in particular, shall ensure to women the right [..] to participate in non-governmental organizations and associations concerned with the public and political life of the country.”</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However, over the years, women activists, journalists and members of civil organizations have been targeted and </w:t>
      </w:r>
      <w:r>
        <w:rPr>
          <w:rFonts w:ascii="Times New Roman" w:eastAsia="Times New Roman" w:hAnsi="Times New Roman" w:cs="Times New Roman"/>
          <w:sz w:val="24"/>
          <w:szCs w:val="24"/>
        </w:rPr>
        <w:lastRenderedPageBreak/>
        <w:t>persecuted by Bahraini authorities under the broad counter-terror law for their human rights work, activism, political views, or those of their relatives. In this regard, the Special Procedures mandate holders expressed in a recent communication (BHR 7/2018 sent on 17 January 2019) grave concern over the criminalization of freedom of expression and freedom of association through the use of the oppressive counter-terrorism legislation.</w:t>
      </w:r>
    </w:p>
    <w:p w14:paraId="00000024" w14:textId="70448351" w:rsidR="002D1F78" w:rsidRDefault="00EE58CF" w:rsidP="00347FC9">
      <w:pPr>
        <w:widowControl w:val="0"/>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September 2019, Americans for Democracy &amp; Human Rights in Bahrain (ADHRB) and the Bahrain Institute for Rights and Democracy (BIRD) reported the cases of nine women political prisoners in Bahrain arrested for charges related to their human rights work, in contravention of Article 7 (c) of the CEDAW</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The women reported having been arrested or summoned without a warrant and conducted at the Criminal Investigation Directorate (CID) or the National Security Agency (NSA). </w:t>
      </w:r>
      <w:r w:rsidR="00BA271C">
        <w:rPr>
          <w:rFonts w:ascii="Times New Roman" w:eastAsia="Times New Roman" w:hAnsi="Times New Roman" w:cs="Times New Roman"/>
          <w:b/>
          <w:bCs/>
          <w:sz w:val="24"/>
          <w:szCs w:val="24"/>
        </w:rPr>
        <w:t>Female Victim</w:t>
      </w:r>
      <w:r w:rsidR="00BA27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w:t>
      </w:r>
      <w:r w:rsidR="00BA271C">
        <w:rPr>
          <w:rFonts w:ascii="Times New Roman" w:eastAsia="Times New Roman" w:hAnsi="Times New Roman" w:cs="Times New Roman"/>
          <w:b/>
          <w:bCs/>
          <w:sz w:val="24"/>
          <w:szCs w:val="24"/>
        </w:rPr>
        <w:t>Female Victim</w:t>
      </w:r>
      <w:r w:rsidR="00BA27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were the only women interrogated by the NSA, which had previously been the subject of many controversial allegations regarding the use of physical and sexual abuse during interrogations, and reported being sexually assaulted, following their refusal to work as informants</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w:t>
      </w:r>
      <w:r w:rsidR="00347FC9">
        <w:rPr>
          <w:rFonts w:ascii="Times New Roman" w:eastAsia="Times New Roman" w:hAnsi="Times New Roman" w:cs="Times New Roman"/>
          <w:b/>
          <w:bCs/>
          <w:sz w:val="24"/>
          <w:szCs w:val="24"/>
        </w:rPr>
        <w:t>Female Victim</w:t>
      </w:r>
      <w:r w:rsidR="00347FC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has been the subject of four communications sent by Special Procedures (BHR 7/2018 sent on 17 July 2019, BHR 9/2017 sent on 13 July 2017, BHR 8/2017 sent on 4 July 2017, and BHR 4/2016 sent on 8 July 2016) where concern was expressed over “her alleged arbitrary arrest and incommunicado detention for her human rights activities, in an apparent reprisal for her cooperation with United Nations human rights mechanisms”</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Therefore, her arrest and detention constitute a violation of Article 8 of the CEDAW which claims that “</w:t>
      </w:r>
      <w:r>
        <w:rPr>
          <w:rFonts w:ascii="Times New Roman" w:eastAsia="Times New Roman" w:hAnsi="Times New Roman" w:cs="Times New Roman"/>
          <w:sz w:val="24"/>
          <w:szCs w:val="24"/>
          <w:highlight w:val="white"/>
        </w:rPr>
        <w:t>States Parties shall take all appropriate measures to ensure to women, on equal terms with men and without any discrimination, the opportunity to [...] participate in the work of international organizations”</w:t>
      </w:r>
      <w:r>
        <w:rPr>
          <w:rFonts w:ascii="Times New Roman" w:eastAsia="Times New Roman" w:hAnsi="Times New Roman" w:cs="Times New Roman"/>
          <w:sz w:val="24"/>
          <w:szCs w:val="24"/>
          <w:highlight w:val="white"/>
          <w:vertAlign w:val="superscript"/>
        </w:rPr>
        <w:footnoteReference w:id="35"/>
      </w:r>
      <w:r>
        <w:rPr>
          <w:rFonts w:ascii="Times New Roman" w:eastAsia="Times New Roman" w:hAnsi="Times New Roman" w:cs="Times New Roman"/>
          <w:sz w:val="24"/>
          <w:szCs w:val="24"/>
        </w:rPr>
        <w:t>.</w:t>
      </w:r>
    </w:p>
    <w:p w14:paraId="00000025" w14:textId="77777777" w:rsidR="002D1F78" w:rsidRDefault="00EE58CF">
      <w:pPr>
        <w:widowControl w:val="0"/>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all nine women were subjected to abuses and denial of legal representation during the interrogations. They reported being subjected to many kinds of ill-treatments, including sleep deprivation, being placed in cold and dark cells for several hours, or being blindfolded. Other practices included being forced to stand or remain in other painful positions for long periods, being prevented from performing prayers, being denied access to the toilet, and being forced to eat. The abuses, tortures and ill-treatments suffered from the victims led them to confess under coercion or signing prepared documents, containing false confessions</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w:t>
      </w:r>
    </w:p>
    <w:p w14:paraId="00000026" w14:textId="727F00BC" w:rsidR="002D1F78" w:rsidRDefault="00EE58CF" w:rsidP="00192277">
      <w:pPr>
        <w:widowControl w:val="0"/>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w:t>
      </w:r>
      <w:r>
        <w:rPr>
          <w:rFonts w:ascii="Times New Roman" w:eastAsia="Times New Roman" w:hAnsi="Times New Roman" w:cs="Times New Roman"/>
          <w:sz w:val="24"/>
          <w:szCs w:val="24"/>
          <w:highlight w:val="white"/>
        </w:rPr>
        <w:t xml:space="preserve">Isa Town Prison, </w:t>
      </w:r>
      <w:r>
        <w:rPr>
          <w:rFonts w:ascii="Times New Roman" w:eastAsia="Times New Roman" w:hAnsi="Times New Roman" w:cs="Times New Roman"/>
          <w:sz w:val="24"/>
          <w:szCs w:val="24"/>
        </w:rPr>
        <w:t>the only detention facility for women in Bahrain, t</w:t>
      </w:r>
      <w:r>
        <w:rPr>
          <w:rFonts w:ascii="Times New Roman" w:eastAsia="Times New Roman" w:hAnsi="Times New Roman" w:cs="Times New Roman"/>
          <w:sz w:val="24"/>
          <w:szCs w:val="24"/>
          <w:highlight w:val="white"/>
        </w:rPr>
        <w:t xml:space="preserve">hey </w:t>
      </w:r>
      <w:r>
        <w:rPr>
          <w:rFonts w:ascii="Times New Roman" w:eastAsia="Times New Roman" w:hAnsi="Times New Roman" w:cs="Times New Roman"/>
          <w:sz w:val="24"/>
          <w:szCs w:val="24"/>
        </w:rPr>
        <w:t>reported denial of religious rights, threats and “humiliating” searches and identified the head of the pri</w:t>
      </w:r>
      <w:r w:rsidR="00192277">
        <w:rPr>
          <w:rFonts w:ascii="Times New Roman" w:eastAsia="Times New Roman" w:hAnsi="Times New Roman" w:cs="Times New Roman"/>
          <w:sz w:val="24"/>
          <w:szCs w:val="24"/>
        </w:rPr>
        <w:t xml:space="preserve">son </w:t>
      </w:r>
      <w:bookmarkStart w:id="3" w:name="_GoBack"/>
      <w:bookmarkEnd w:id="3"/>
      <w:r>
        <w:rPr>
          <w:rFonts w:ascii="Times New Roman" w:eastAsia="Times New Roman" w:hAnsi="Times New Roman" w:cs="Times New Roman"/>
          <w:sz w:val="24"/>
          <w:szCs w:val="24"/>
        </w:rPr>
        <w:t>as one of the principal perpetrators of these arbitrary and abusive practices.</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Moreover, as a result of international advocacy efforts raised on their behalf, women activists and political prisoners, as </w:t>
      </w:r>
      <w:r w:rsidR="003E3FC4">
        <w:rPr>
          <w:rFonts w:ascii="Times New Roman" w:eastAsia="Times New Roman" w:hAnsi="Times New Roman" w:cs="Times New Roman"/>
          <w:b/>
          <w:bCs/>
          <w:sz w:val="24"/>
          <w:szCs w:val="24"/>
        </w:rPr>
        <w:lastRenderedPageBreak/>
        <w:t>Female Victim</w:t>
      </w:r>
      <w:r>
        <w:rPr>
          <w:rFonts w:ascii="Times New Roman" w:eastAsia="Times New Roman" w:hAnsi="Times New Roman" w:cs="Times New Roman"/>
          <w:sz w:val="24"/>
          <w:szCs w:val="24"/>
        </w:rPr>
        <w:t xml:space="preserve">, </w:t>
      </w:r>
      <w:r w:rsidR="003E3FC4">
        <w:rPr>
          <w:rFonts w:ascii="Times New Roman" w:eastAsia="Times New Roman" w:hAnsi="Times New Roman" w:cs="Times New Roman"/>
          <w:b/>
          <w:bCs/>
          <w:sz w:val="24"/>
          <w:szCs w:val="24"/>
        </w:rPr>
        <w:t>Female Victim</w:t>
      </w:r>
      <w:r>
        <w:rPr>
          <w:rFonts w:ascii="Times New Roman" w:eastAsia="Times New Roman" w:hAnsi="Times New Roman" w:cs="Times New Roman"/>
          <w:sz w:val="24"/>
          <w:szCs w:val="24"/>
        </w:rPr>
        <w:t xml:space="preserve">, and </w:t>
      </w:r>
      <w:r w:rsidR="003E3FC4">
        <w:rPr>
          <w:rFonts w:ascii="Times New Roman" w:eastAsia="Times New Roman" w:hAnsi="Times New Roman" w:cs="Times New Roman"/>
          <w:b/>
          <w:bCs/>
          <w:sz w:val="24"/>
          <w:szCs w:val="24"/>
        </w:rPr>
        <w:t>Female Victim</w:t>
      </w:r>
      <w:r>
        <w:rPr>
          <w:rFonts w:ascii="Times New Roman" w:eastAsia="Times New Roman" w:hAnsi="Times New Roman" w:cs="Times New Roman"/>
          <w:sz w:val="24"/>
          <w:szCs w:val="24"/>
        </w:rPr>
        <w:t>, faced many acts of reprisal by Bahraini officers, including intimidation, physical assault and restrictions on family visits and time out of the cells</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w:t>
      </w:r>
      <w:r w:rsidR="003E3FC4">
        <w:rPr>
          <w:rFonts w:ascii="Times New Roman" w:eastAsia="Times New Roman" w:hAnsi="Times New Roman" w:cs="Times New Roman"/>
          <w:b/>
          <w:bCs/>
          <w:sz w:val="24"/>
          <w:szCs w:val="24"/>
        </w:rPr>
        <w:t>Female Victim</w:t>
      </w:r>
      <w:r w:rsidR="003E3F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w:t>
      </w:r>
      <w:r w:rsidR="003E3FC4">
        <w:rPr>
          <w:rFonts w:ascii="Times New Roman" w:eastAsia="Times New Roman" w:hAnsi="Times New Roman" w:cs="Times New Roman"/>
          <w:b/>
          <w:bCs/>
          <w:sz w:val="24"/>
          <w:szCs w:val="24"/>
        </w:rPr>
        <w:t>Female Victim</w:t>
      </w:r>
      <w:r w:rsidR="003E3F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have also been the subjects of one communication sent by Special procedures mandate holders (BHR 3/2019 sent on 1 November 2019), where grave concern was expressed over their conviction and imprisonment, as well as over conditions of detention and “p</w:t>
      </w:r>
      <w:r>
        <w:rPr>
          <w:rFonts w:ascii="Times New Roman" w:eastAsia="Times New Roman" w:hAnsi="Times New Roman" w:cs="Times New Roman"/>
          <w:sz w:val="24"/>
          <w:szCs w:val="24"/>
          <w:highlight w:val="white"/>
        </w:rPr>
        <w:t>hysical abuse and threats used against women political prisoners by CID agents in order to obtain confessions during interrogations”.</w:t>
      </w:r>
      <w:r>
        <w:rPr>
          <w:rFonts w:ascii="Times New Roman" w:eastAsia="Times New Roman" w:hAnsi="Times New Roman" w:cs="Times New Roman"/>
          <w:sz w:val="24"/>
          <w:szCs w:val="24"/>
          <w:highlight w:val="white"/>
          <w:vertAlign w:val="superscript"/>
        </w:rPr>
        <w:footnoteReference w:id="39"/>
      </w:r>
      <w:r>
        <w:rPr>
          <w:rFonts w:ascii="Times New Roman" w:eastAsia="Times New Roman" w:hAnsi="Times New Roman" w:cs="Times New Roman"/>
          <w:sz w:val="24"/>
          <w:szCs w:val="24"/>
          <w:highlight w:val="white"/>
        </w:rPr>
        <w:t xml:space="preserve"> Additionally, the abovementioned communication highlighted the frequent denial or restrictions to medical care to which they were subjected, </w:t>
      </w:r>
      <w:r>
        <w:rPr>
          <w:rFonts w:ascii="Times New Roman" w:eastAsia="Times New Roman" w:hAnsi="Times New Roman" w:cs="Times New Roman"/>
          <w:sz w:val="24"/>
          <w:szCs w:val="24"/>
        </w:rPr>
        <w:t>in defiance of Article 12 of the Convention which claims that “</w:t>
      </w:r>
      <w:r>
        <w:rPr>
          <w:rFonts w:ascii="Times New Roman" w:eastAsia="Times New Roman" w:hAnsi="Times New Roman" w:cs="Times New Roman"/>
          <w:sz w:val="24"/>
          <w:szCs w:val="24"/>
          <w:highlight w:val="white"/>
        </w:rPr>
        <w:t>States Parties shall take all appropriate measures to eliminate discrimination against women in the field of health care in order to ensure access to health care services”.</w:t>
      </w:r>
      <w:r>
        <w:rPr>
          <w:rFonts w:ascii="Times New Roman" w:eastAsia="Times New Roman" w:hAnsi="Times New Roman" w:cs="Times New Roman"/>
          <w:sz w:val="24"/>
          <w:szCs w:val="24"/>
          <w:highlight w:val="white"/>
          <w:vertAlign w:val="superscript"/>
        </w:rPr>
        <w:footnoteReference w:id="40"/>
      </w:r>
      <w:r>
        <w:rPr>
          <w:rFonts w:ascii="Times New Roman" w:eastAsia="Times New Roman" w:hAnsi="Times New Roman" w:cs="Times New Roman"/>
          <w:sz w:val="24"/>
          <w:szCs w:val="24"/>
          <w:highlight w:val="white"/>
        </w:rPr>
        <w:t xml:space="preserve"> </w:t>
      </w:r>
    </w:p>
    <w:p w14:paraId="00000027" w14:textId="77777777" w:rsidR="002D1F78" w:rsidRDefault="00EE58CF">
      <w:pPr>
        <w:widowControl w:val="0"/>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w:t>
      </w:r>
      <w:r>
        <w:rPr>
          <w:rFonts w:ascii="Times New Roman" w:eastAsia="Times New Roman" w:hAnsi="Times New Roman" w:cs="Times New Roman"/>
          <w:sz w:val="24"/>
          <w:szCs w:val="24"/>
        </w:rPr>
        <w:t>he gendered elements of the threats and violence used against the women, from the moment of their arrest to the period of detention at Isa Town, are a form of gender-based discrimination. In its General recommendation No. 19, the Committee confirmed that gender-based violence is a form of discrimination against women, term defined in Article 1 of the Convention as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According to the Committee, gender-based violence includes any act that inflicts “physical, mental or sexual harm or suffering, threats of such acts, coercion and other deprivations” and it violates specific provisions of the Convention</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In particular, it represents a breach of Article 1 and Article 3, which affirm that States Parties shall take all the necessary measures to ensure that women enjoy on </w:t>
      </w:r>
      <w:proofErr w:type="spellStart"/>
      <w:r>
        <w:rPr>
          <w:rFonts w:ascii="Times New Roman" w:eastAsia="Times New Roman" w:hAnsi="Times New Roman" w:cs="Times New Roman"/>
          <w:sz w:val="24"/>
          <w:szCs w:val="24"/>
        </w:rPr>
        <w:t>a</w:t>
      </w:r>
      <w:proofErr w:type="spellEnd"/>
      <w:r>
        <w:rPr>
          <w:rFonts w:ascii="Times New Roman" w:eastAsia="Times New Roman" w:hAnsi="Times New Roman" w:cs="Times New Roman"/>
          <w:sz w:val="24"/>
          <w:szCs w:val="24"/>
        </w:rPr>
        <w:t xml:space="preserve"> equal basis with men human rights and fundamental freedoms</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Furthermore, it is in contravention of Article 2 which asserts that “</w:t>
      </w:r>
      <w:r>
        <w:rPr>
          <w:rFonts w:ascii="Times New Roman" w:eastAsia="Times New Roman" w:hAnsi="Times New Roman" w:cs="Times New Roman"/>
          <w:sz w:val="24"/>
          <w:szCs w:val="24"/>
          <w:highlight w:val="white"/>
        </w:rPr>
        <w:t>States Parties condemn discrimination against women in all its forms, agree to pursue by all appropriate means and without delay a policy of eliminating discrimination against women</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and on which the Government of Bahrain has made a reservation.</w:t>
      </w:r>
    </w:p>
    <w:p w14:paraId="00000028" w14:textId="49D26E7C" w:rsidR="002D1F78" w:rsidRDefault="00EE58CF" w:rsidP="004E6E5E">
      <w:pPr>
        <w:widowControl w:val="0"/>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Bahraini pro-democracy demonstrations in 2011 and the BICI recommendations, oversight bodies were established by a Royal Decree to prevent and punish abuses. Among them, there are the office of the Ministry of Interior Ombudsman (MOI Ombudsman), tasked with </w:t>
      </w:r>
      <w:r>
        <w:rPr>
          <w:rFonts w:ascii="Times New Roman" w:eastAsia="Times New Roman" w:hAnsi="Times New Roman" w:cs="Times New Roman"/>
          <w:sz w:val="24"/>
          <w:szCs w:val="24"/>
        </w:rPr>
        <w:lastRenderedPageBreak/>
        <w:t>receiving complaints against any security personnel of the Ministry of Interior</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and the National Institute for Human Rights (NIHR)</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in charge of promoting and ensuring the respect of human rights values and investigating complaints about violations of these rights. Six women - </w:t>
      </w:r>
      <w:r w:rsidR="008D3C38">
        <w:rPr>
          <w:rFonts w:ascii="Times New Roman" w:eastAsia="Times New Roman" w:hAnsi="Times New Roman" w:cs="Times New Roman"/>
          <w:b/>
          <w:bCs/>
          <w:sz w:val="24"/>
          <w:szCs w:val="24"/>
        </w:rPr>
        <w:t>Female Victim</w:t>
      </w:r>
      <w:r>
        <w:rPr>
          <w:rFonts w:ascii="Times New Roman" w:eastAsia="Times New Roman" w:hAnsi="Times New Roman" w:cs="Times New Roman"/>
          <w:sz w:val="24"/>
          <w:szCs w:val="24"/>
        </w:rPr>
        <w:t xml:space="preserve">, </w:t>
      </w:r>
      <w:r w:rsidR="008D3C38">
        <w:rPr>
          <w:rFonts w:ascii="Times New Roman" w:eastAsia="Times New Roman" w:hAnsi="Times New Roman" w:cs="Times New Roman"/>
          <w:b/>
          <w:bCs/>
          <w:sz w:val="24"/>
          <w:szCs w:val="24"/>
        </w:rPr>
        <w:t>Female Victim</w:t>
      </w:r>
      <w:r>
        <w:rPr>
          <w:rFonts w:ascii="Times New Roman" w:eastAsia="Times New Roman" w:hAnsi="Times New Roman" w:cs="Times New Roman"/>
          <w:sz w:val="24"/>
          <w:szCs w:val="24"/>
        </w:rPr>
        <w:t xml:space="preserve">, </w:t>
      </w:r>
      <w:r w:rsidR="008D3C38">
        <w:rPr>
          <w:rFonts w:ascii="Times New Roman" w:eastAsia="Times New Roman" w:hAnsi="Times New Roman" w:cs="Times New Roman"/>
          <w:b/>
          <w:bCs/>
          <w:sz w:val="24"/>
          <w:szCs w:val="24"/>
        </w:rPr>
        <w:t>Female Victim</w:t>
      </w:r>
      <w:r>
        <w:rPr>
          <w:rFonts w:ascii="Times New Roman" w:eastAsia="Times New Roman" w:hAnsi="Times New Roman" w:cs="Times New Roman"/>
          <w:sz w:val="24"/>
          <w:szCs w:val="24"/>
        </w:rPr>
        <w:t xml:space="preserve">, </w:t>
      </w:r>
      <w:r w:rsidR="008D3C38">
        <w:rPr>
          <w:rFonts w:ascii="Times New Roman" w:eastAsia="Times New Roman" w:hAnsi="Times New Roman" w:cs="Times New Roman"/>
          <w:b/>
          <w:bCs/>
          <w:sz w:val="24"/>
          <w:szCs w:val="24"/>
        </w:rPr>
        <w:t>Female Victim</w:t>
      </w:r>
      <w:r>
        <w:rPr>
          <w:rFonts w:ascii="Times New Roman" w:eastAsia="Times New Roman" w:hAnsi="Times New Roman" w:cs="Times New Roman"/>
          <w:sz w:val="24"/>
          <w:szCs w:val="24"/>
        </w:rPr>
        <w:t xml:space="preserve">, </w:t>
      </w:r>
      <w:r w:rsidR="008D3C38">
        <w:rPr>
          <w:rFonts w:ascii="Times New Roman" w:eastAsia="Times New Roman" w:hAnsi="Times New Roman" w:cs="Times New Roman"/>
          <w:b/>
          <w:bCs/>
          <w:sz w:val="24"/>
          <w:szCs w:val="24"/>
        </w:rPr>
        <w:t>Female Victim</w:t>
      </w:r>
      <w:r>
        <w:rPr>
          <w:rFonts w:ascii="Times New Roman" w:eastAsia="Times New Roman" w:hAnsi="Times New Roman" w:cs="Times New Roman"/>
          <w:sz w:val="24"/>
          <w:szCs w:val="24"/>
        </w:rPr>
        <w:t xml:space="preserve">, and </w:t>
      </w:r>
      <w:r w:rsidR="008D3C38">
        <w:rPr>
          <w:rFonts w:ascii="Times New Roman" w:eastAsia="Times New Roman" w:hAnsi="Times New Roman" w:cs="Times New Roman"/>
          <w:b/>
          <w:bCs/>
          <w:sz w:val="24"/>
          <w:szCs w:val="24"/>
        </w:rPr>
        <w:t>Female Victim</w:t>
      </w:r>
      <w:r w:rsidR="008D3C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frequently submitted complaints on arrests and interrogations to these institutions. Additionally, </w:t>
      </w:r>
      <w:r w:rsidR="004E6E5E">
        <w:rPr>
          <w:rFonts w:ascii="Times New Roman" w:eastAsia="Times New Roman" w:hAnsi="Times New Roman" w:cs="Times New Roman"/>
          <w:b/>
          <w:bCs/>
          <w:sz w:val="24"/>
          <w:szCs w:val="24"/>
        </w:rPr>
        <w:t>Female Victim</w:t>
      </w:r>
      <w:r>
        <w:rPr>
          <w:rFonts w:ascii="Times New Roman" w:eastAsia="Times New Roman" w:hAnsi="Times New Roman" w:cs="Times New Roman"/>
          <w:sz w:val="24"/>
          <w:szCs w:val="24"/>
        </w:rPr>
        <w:t xml:space="preserve">, </w:t>
      </w:r>
      <w:r w:rsidR="004E6E5E">
        <w:rPr>
          <w:rFonts w:ascii="Times New Roman" w:eastAsia="Times New Roman" w:hAnsi="Times New Roman" w:cs="Times New Roman"/>
          <w:b/>
          <w:bCs/>
          <w:sz w:val="24"/>
          <w:szCs w:val="24"/>
        </w:rPr>
        <w:t>Female Victim</w:t>
      </w:r>
      <w:r>
        <w:rPr>
          <w:rFonts w:ascii="Times New Roman" w:eastAsia="Times New Roman" w:hAnsi="Times New Roman" w:cs="Times New Roman"/>
          <w:sz w:val="24"/>
          <w:szCs w:val="24"/>
        </w:rPr>
        <w:t xml:space="preserve"> and </w:t>
      </w:r>
      <w:r w:rsidR="004E6E5E">
        <w:rPr>
          <w:rFonts w:ascii="Times New Roman" w:eastAsia="Times New Roman" w:hAnsi="Times New Roman" w:cs="Times New Roman"/>
          <w:b/>
          <w:bCs/>
          <w:sz w:val="24"/>
          <w:szCs w:val="24"/>
        </w:rPr>
        <w:t>Female Victim</w:t>
      </w:r>
      <w:r>
        <w:rPr>
          <w:rFonts w:ascii="Times New Roman" w:eastAsia="Times New Roman" w:hAnsi="Times New Roman" w:cs="Times New Roman"/>
          <w:sz w:val="24"/>
          <w:szCs w:val="24"/>
        </w:rPr>
        <w:t xml:space="preserve"> also submitted complaints on prison conditions. Nevertheless, due to lack of impartiality and independence from the government, the oversight bodies have failed to fulfil their mandates in each case. On many occasions, investigations of complaints have been delayed or the responsible institutions neglected to respond. Even confidential policy was violated by the MOI Ombudsman on two occasions, contributing to the spread of a culture of impunity among the highest ranks of the government</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In addition to this, the Government of Bahrain has not signed the Optional Protocol on CEDAW which allows women to submit complaints directly to the Committee</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and has made a reservation to Article 2 of the Convention, which provides that the State parties should “establish legal protection of the rights of women on an equal basis with men and to ensure through competent national tribunals and other public institutions the effective protection of women against any act of discrimination.”</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Due to this, many complaints and cases of abuses against women remain unprosecuted and uninvestigated. </w:t>
      </w:r>
    </w:p>
    <w:p w14:paraId="00000029" w14:textId="77777777" w:rsidR="002D1F78" w:rsidRDefault="00EE58CF">
      <w:pPr>
        <w:widowControl w:val="0"/>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Committee’s recommendations (CEDAW/C/BHR/CO/3, No. 30) to provide means of redress for women political prisoners subjected to abuses, including “dismissals, suspensions and downgrading of professional positions, detention and revocation of nationality”,</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mechanisms like the National Victims Compensation Fund, the Civil Settlement Initiative, and the specialized courts established by the Higher Judiciary Council have failed to fulfil their mandates. Indeed, the appeal procedure provides that a number of conditions must be accepted, such as agreeing not to seek additional lawsuits and signing documents preventing them from bringing up their cases in the future. Additionally, no documentation on the number of victims compensated is available.</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w:t>
      </w:r>
    </w:p>
    <w:p w14:paraId="0000002A" w14:textId="77777777" w:rsidR="002D1F78" w:rsidRDefault="002D1F78">
      <w:pPr>
        <w:widowControl w:val="0"/>
        <w:spacing w:after="160" w:line="240" w:lineRule="auto"/>
        <w:jc w:val="both"/>
        <w:rPr>
          <w:rFonts w:ascii="Times New Roman" w:eastAsia="Times New Roman" w:hAnsi="Times New Roman" w:cs="Times New Roman"/>
          <w:sz w:val="24"/>
          <w:szCs w:val="24"/>
        </w:rPr>
      </w:pPr>
    </w:p>
    <w:p w14:paraId="0000002B" w14:textId="77777777" w:rsidR="002D1F78" w:rsidRDefault="002D1F78">
      <w:pPr>
        <w:spacing w:line="240" w:lineRule="auto"/>
        <w:rPr>
          <w:rFonts w:ascii="Times New Roman" w:eastAsia="Times New Roman" w:hAnsi="Times New Roman" w:cs="Times New Roman"/>
          <w:b/>
          <w:sz w:val="24"/>
          <w:szCs w:val="24"/>
        </w:rPr>
      </w:pPr>
    </w:p>
    <w:p w14:paraId="0000003F" w14:textId="77777777" w:rsidR="002D1F78" w:rsidRDefault="00EE58CF">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Nationality: </w:t>
      </w:r>
    </w:p>
    <w:p w14:paraId="00000040" w14:textId="77777777" w:rsidR="002D1F78" w:rsidRDefault="002D1F78">
      <w:pPr>
        <w:spacing w:line="240" w:lineRule="auto"/>
        <w:rPr>
          <w:rFonts w:ascii="Times New Roman" w:eastAsia="Times New Roman" w:hAnsi="Times New Roman" w:cs="Times New Roman"/>
          <w:sz w:val="24"/>
          <w:szCs w:val="24"/>
        </w:rPr>
      </w:pPr>
    </w:p>
    <w:p w14:paraId="00000041" w14:textId="77777777" w:rsidR="002D1F78" w:rsidRDefault="00EE58C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Nationality Law is the “Bahraini Citizenship Act of 1963 and it discriminates Bahraini women in their ability to confer their citizenship to their offspring automatically</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as granted to Bahraini men. Over the years, previous CEDAW committee observations expressed concern about the issue, however, nothing has changed. Bahrain has not taken into consideration the recommendations issued in the previous years by the committee and, at the moment, it is still not complying with art. 9 of the convention as it has not withdrawn the reservations on art. 9 (2)</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w:t>
      </w:r>
    </w:p>
    <w:p w14:paraId="00000042" w14:textId="77777777" w:rsidR="002D1F78" w:rsidRDefault="002D1F78">
      <w:pPr>
        <w:spacing w:line="240" w:lineRule="auto"/>
        <w:jc w:val="both"/>
        <w:rPr>
          <w:rFonts w:ascii="Times New Roman" w:eastAsia="Times New Roman" w:hAnsi="Times New Roman" w:cs="Times New Roman"/>
          <w:sz w:val="24"/>
          <w:szCs w:val="24"/>
        </w:rPr>
      </w:pPr>
    </w:p>
    <w:p w14:paraId="00000043" w14:textId="77777777" w:rsidR="002D1F78" w:rsidRDefault="00EE58C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4 of the 1963</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Nationality Law stated under which circumstances a child could be regarded as Bahraini national by descent. The Nationality law clearly discriminated against women and in particular women married to foreigners and deprived them of their right to pass on their citizenship to their children. Over the years, the Nationality Law has been criticized by the international community because of the discriminations against women when it comes to pass citizenship to the children. For this reason, in 1981 Bahrain’s Decree Law No. 12</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was issued amending the Bahraini Citizenship Act of 1963 and in particular articles 4, 5 and 6/4. While the amendment of 1981 allows Bahraini women to pass their citizenship to their offspring, the conditions dictated by the amendment restrict this right exclusively to the children of unknown fathers or fathers who are not legally related to the child. This excludes all those children of Bahraini women married to foreigners. In account of these discriminations, on 11</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January 2014, the Council of Ministers issued a bill to amend several provisions of the Citizenship Act allowing the children of Bahraini women married to foreigners to acquire Bahraini citizenship, however, this amendment has not entered into force yet as it has been sent to the legislature. The Citizenship Act, therefore, continues to discriminate against women.</w:t>
      </w:r>
    </w:p>
    <w:p w14:paraId="00000044" w14:textId="77777777" w:rsidR="002D1F78" w:rsidRDefault="00EE58CF">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discriminatory provisions of Bahraini nationality law also put children at a heightened risk of statelessness, as they are excessively reliant on the nationality of their father who could not be able to confer the nationality or could be stateless.</w:t>
      </w:r>
      <w:r>
        <w:rPr>
          <w:rFonts w:ascii="Times New Roman" w:eastAsia="Times New Roman" w:hAnsi="Times New Roman" w:cs="Times New Roman"/>
          <w:sz w:val="24"/>
          <w:szCs w:val="24"/>
          <w:vertAlign w:val="superscript"/>
        </w:rPr>
        <w:footnoteReference w:id="56"/>
      </w:r>
      <w:r>
        <w:rPr>
          <w:rFonts w:ascii="Times New Roman" w:eastAsia="Times New Roman" w:hAnsi="Times New Roman" w:cs="Times New Roman"/>
          <w:sz w:val="24"/>
          <w:szCs w:val="24"/>
        </w:rPr>
        <w:t xml:space="preserve"> The children could be stateless even though the mother is Bahraini. </w:t>
      </w:r>
      <w:r>
        <w:rPr>
          <w:rFonts w:ascii="Times New Roman" w:eastAsia="Times New Roman" w:hAnsi="Times New Roman" w:cs="Times New Roman"/>
          <w:i/>
          <w:sz w:val="24"/>
          <w:szCs w:val="24"/>
        </w:rPr>
        <w:t>“Women have to actively demonstrate that the father is unknown or that fatherhood was not substantiated, which can be extremely difficult to achieve”</w:t>
      </w:r>
      <w:r>
        <w:rPr>
          <w:rFonts w:ascii="Times New Roman" w:eastAsia="Times New Roman" w:hAnsi="Times New Roman" w:cs="Times New Roman"/>
          <w:sz w:val="24"/>
          <w:szCs w:val="24"/>
          <w:vertAlign w:val="superscript"/>
        </w:rPr>
        <w:footnoteReference w:id="57"/>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“The king has intermittently granted nationality to children of foreign fathers via royal decree, but this process </w:t>
      </w:r>
      <w:r>
        <w:rPr>
          <w:rFonts w:ascii="Times New Roman" w:eastAsia="Times New Roman" w:hAnsi="Times New Roman" w:cs="Times New Roman"/>
          <w:i/>
          <w:sz w:val="24"/>
          <w:szCs w:val="24"/>
        </w:rPr>
        <w:lastRenderedPageBreak/>
        <w:t>remains piecemeal and arbitrary”.</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Notwithstanding the commitment and the steps taken to reform the discriminatory nationality law, the Bahraini government has not undertaken serious reforms yet and has not taken into consideration the CEDAW nor the previous recommendations as the extent 11 in section III of the CEDAW General Recommendation No. 32 of 2014 concerning the elimination of all form of discrimination against women and to processes relating to women acquiring, retaining or changing their nationality or conferring their nationality on their children and spouses</w:t>
      </w:r>
      <w:r>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 xml:space="preserve">. </w:t>
      </w:r>
    </w:p>
    <w:p w14:paraId="00000048" w14:textId="46BBB485" w:rsidR="002D1F78" w:rsidRDefault="00EE58CF" w:rsidP="008D464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date, despite the recommendations made by the CEDAW committee in 2014, Bahrain has not acceded to the 1954 </w:t>
      </w:r>
      <w:r>
        <w:rPr>
          <w:rFonts w:ascii="Times New Roman" w:eastAsia="Times New Roman" w:hAnsi="Times New Roman" w:cs="Times New Roman"/>
          <w:i/>
          <w:sz w:val="24"/>
          <w:szCs w:val="24"/>
        </w:rPr>
        <w:t xml:space="preserve">Convention relating to the Status of Stateless Persons </w:t>
      </w:r>
      <w:r>
        <w:rPr>
          <w:rFonts w:ascii="Times New Roman" w:eastAsia="Times New Roman" w:hAnsi="Times New Roman" w:cs="Times New Roman"/>
          <w:sz w:val="24"/>
          <w:szCs w:val="24"/>
        </w:rPr>
        <w:t xml:space="preserve">which would establish a framework to protect such individuals, moreover, Bahrain has not acceded to the international framework to ensure the right of every person to have a nationality by preventing statelessness established by the </w:t>
      </w:r>
      <w:r>
        <w:rPr>
          <w:rFonts w:ascii="Times New Roman" w:eastAsia="Times New Roman" w:hAnsi="Times New Roman" w:cs="Times New Roman"/>
          <w:i/>
          <w:sz w:val="24"/>
          <w:szCs w:val="24"/>
        </w:rPr>
        <w:t>1961 Convention on the Reduction of Statelessness.</w:t>
      </w:r>
    </w:p>
    <w:p w14:paraId="00000049" w14:textId="77777777" w:rsidR="002D1F78" w:rsidRDefault="002D1F78">
      <w:pPr>
        <w:spacing w:line="240" w:lineRule="auto"/>
        <w:jc w:val="both"/>
        <w:rPr>
          <w:rFonts w:ascii="Times New Roman" w:eastAsia="Times New Roman" w:hAnsi="Times New Roman" w:cs="Times New Roman"/>
          <w:sz w:val="24"/>
          <w:szCs w:val="24"/>
        </w:rPr>
      </w:pPr>
    </w:p>
    <w:p w14:paraId="0000004A" w14:textId="77777777" w:rsidR="002D1F78" w:rsidRDefault="002D1F78">
      <w:pPr>
        <w:spacing w:line="240" w:lineRule="auto"/>
        <w:jc w:val="both"/>
        <w:rPr>
          <w:rFonts w:ascii="Times New Roman" w:eastAsia="Times New Roman" w:hAnsi="Times New Roman" w:cs="Times New Roman"/>
          <w:sz w:val="24"/>
          <w:szCs w:val="24"/>
        </w:rPr>
      </w:pPr>
    </w:p>
    <w:p w14:paraId="0000004B" w14:textId="77777777" w:rsidR="002D1F78" w:rsidRDefault="002D1F78">
      <w:pPr>
        <w:spacing w:line="240" w:lineRule="auto"/>
        <w:jc w:val="both"/>
        <w:rPr>
          <w:rFonts w:ascii="Times New Roman" w:eastAsia="Times New Roman" w:hAnsi="Times New Roman" w:cs="Times New Roman"/>
          <w:sz w:val="24"/>
          <w:szCs w:val="24"/>
        </w:rPr>
      </w:pPr>
    </w:p>
    <w:p w14:paraId="00000063" w14:textId="2A0929E9" w:rsidR="002D1F78" w:rsidRDefault="002D1F78">
      <w:pPr>
        <w:shd w:val="clear" w:color="auto" w:fill="FFFFFF"/>
        <w:spacing w:line="240" w:lineRule="auto"/>
        <w:jc w:val="both"/>
        <w:rPr>
          <w:rFonts w:ascii="Times New Roman" w:eastAsia="Times New Roman" w:hAnsi="Times New Roman" w:cs="Times New Roman"/>
          <w:sz w:val="24"/>
          <w:szCs w:val="24"/>
        </w:rPr>
      </w:pPr>
    </w:p>
    <w:sectPr w:rsidR="002D1F78">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6FD84" w14:textId="77777777" w:rsidR="00E74993" w:rsidRDefault="00E74993">
      <w:pPr>
        <w:spacing w:line="240" w:lineRule="auto"/>
      </w:pPr>
      <w:r>
        <w:separator/>
      </w:r>
    </w:p>
  </w:endnote>
  <w:endnote w:type="continuationSeparator" w:id="0">
    <w:p w14:paraId="1733212D" w14:textId="77777777" w:rsidR="00E74993" w:rsidRDefault="00E749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9" w14:textId="77777777" w:rsidR="002D1F78" w:rsidRDefault="002D1F78">
    <w:pPr>
      <w:jc w:val="right"/>
      <w:rPr>
        <w:rFonts w:ascii="Times New Roman" w:eastAsia="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51F811" w14:textId="77777777" w:rsidR="00E74993" w:rsidRDefault="00E74993">
      <w:pPr>
        <w:spacing w:line="240" w:lineRule="auto"/>
      </w:pPr>
      <w:r>
        <w:separator/>
      </w:r>
    </w:p>
  </w:footnote>
  <w:footnote w:type="continuationSeparator" w:id="0">
    <w:p w14:paraId="79E3E99F" w14:textId="77777777" w:rsidR="00E74993" w:rsidRDefault="00E74993">
      <w:pPr>
        <w:spacing w:line="240" w:lineRule="auto"/>
      </w:pPr>
      <w:r>
        <w:continuationSeparator/>
      </w:r>
    </w:p>
  </w:footnote>
  <w:footnote w:id="1">
    <w:p w14:paraId="00000064" w14:textId="77777777" w:rsidR="002D1F78" w:rsidRDefault="00EE58CF">
      <w:pPr>
        <w:widowControl w:val="0"/>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Constitution,”  </w:t>
      </w:r>
      <w:hyperlink r:id="rId1">
        <w:r>
          <w:rPr>
            <w:rFonts w:ascii="Times New Roman" w:eastAsia="Times New Roman" w:hAnsi="Times New Roman" w:cs="Times New Roman"/>
            <w:color w:val="0000FF"/>
            <w:sz w:val="20"/>
            <w:szCs w:val="20"/>
            <w:u w:val="single"/>
          </w:rPr>
          <w:t>https://u.ae/en/about-the-uae/the-constitution-of-the-uae.</w:t>
        </w:r>
      </w:hyperlink>
    </w:p>
  </w:footnote>
  <w:footnote w:id="2">
    <w:p w14:paraId="00000065"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 Concluding observations on the third periodic report of Bahrain file:///C:/Users/cartotecnica%20TiCi/Downloads/N1400679.pdf</w:t>
      </w:r>
    </w:p>
  </w:footnote>
  <w:footnote w:id="3">
    <w:p w14:paraId="00000066" w14:textId="77777777" w:rsidR="002D1F78" w:rsidRDefault="00EE58CF">
      <w:pPr>
        <w:widowControl w:val="0"/>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“Women’s Rights in the Middle East and North Africa,” Freedom House</w:t>
      </w:r>
    </w:p>
  </w:footnote>
  <w:footnote w:id="4">
    <w:p w14:paraId="00000067"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observations on the third periodic report of Bahrain, CEDAW 57th session, 2014, https://tbinternet.ohchr.org/_layouts/15/treatybodyexternal/Download.aspx?symbolno=CEDAW%2fC%2fBHR%2fCO%2f2&amp;Lang=en</w:t>
      </w:r>
    </w:p>
  </w:footnote>
  <w:footnote w:id="5">
    <w:p w14:paraId="00000068" w14:textId="77777777" w:rsidR="002D1F78" w:rsidRDefault="00EE58CF">
      <w:pPr>
        <w:widowControl w:val="0"/>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“Women’s Rights in the Middle East and North Africa,” Freedom House </w:t>
      </w:r>
    </w:p>
  </w:footnote>
  <w:footnote w:id="6">
    <w:p w14:paraId="00000069" w14:textId="77777777" w:rsidR="002D1F78" w:rsidRDefault="00EE58CF">
      <w:pPr>
        <w:widowControl w:val="0"/>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UNICEF (2010) </w:t>
      </w:r>
      <w:r>
        <w:rPr>
          <w:rFonts w:ascii="Times New Roman" w:eastAsia="Times New Roman" w:hAnsi="Times New Roman" w:cs="Times New Roman"/>
          <w:i/>
          <w:sz w:val="20"/>
          <w:szCs w:val="20"/>
        </w:rPr>
        <w:t>Mena, Gender Equality Profile, Status of Girls and Women in the Middle East and North Africa</w:t>
      </w:r>
    </w:p>
  </w:footnote>
  <w:footnote w:id="7">
    <w:p w14:paraId="0000006A" w14:textId="77777777" w:rsidR="002D1F78" w:rsidRDefault="00EE58CF">
      <w:pPr>
        <w:widowControl w:val="0"/>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UNICEF (2010) </w:t>
      </w:r>
      <w:r>
        <w:rPr>
          <w:rFonts w:ascii="Times New Roman" w:eastAsia="Times New Roman" w:hAnsi="Times New Roman" w:cs="Times New Roman"/>
          <w:i/>
          <w:sz w:val="20"/>
          <w:szCs w:val="20"/>
        </w:rPr>
        <w:t>Mena, Gender Equality Profile, Status of Girls and Women in the Middle East and North Africa</w:t>
      </w:r>
      <w:r>
        <w:rPr>
          <w:rFonts w:ascii="Times New Roman" w:eastAsia="Times New Roman" w:hAnsi="Times New Roman" w:cs="Times New Roman"/>
          <w:sz w:val="20"/>
          <w:szCs w:val="20"/>
        </w:rPr>
        <w:t xml:space="preserve"> </w:t>
      </w:r>
    </w:p>
  </w:footnote>
  <w:footnote w:id="8">
    <w:p w14:paraId="0000006B"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observations on the third periodic report of Bahrain, CEDAW 57th session, 2014, https://tbinternet.ohchr.org/_layouts/15/treatybodyexternal/Download.aspx?symbolno=CEDAW%2fC%2fBHR%2fCO%2f2&amp;Lang=en</w:t>
      </w:r>
    </w:p>
  </w:footnote>
  <w:footnote w:id="9">
    <w:p w14:paraId="0000006C" w14:textId="77777777" w:rsidR="002D1F78" w:rsidRDefault="00EE58CF">
      <w:pPr>
        <w:widowControl w:val="0"/>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Bahrain Center of Human Rights (2017) </w:t>
      </w:r>
      <w:r>
        <w:rPr>
          <w:rFonts w:ascii="Times New Roman" w:eastAsia="Times New Roman" w:hAnsi="Times New Roman" w:cs="Times New Roman"/>
          <w:i/>
          <w:sz w:val="20"/>
          <w:szCs w:val="20"/>
        </w:rPr>
        <w:t>The Legal Status of Women in Bahrain</w:t>
      </w:r>
    </w:p>
  </w:footnote>
  <w:footnote w:id="10">
    <w:p w14:paraId="0000006D"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observations on the third periodic report of Bahrain, CEDAW 57th session, 2014, https://tbinternet.ohchr.org/_layouts/15/treatybodyexternal/Download.aspx?symbolno=CEDAW%2fC%2fBHR%2fCO%2f2&amp;Lang=en</w:t>
      </w:r>
    </w:p>
  </w:footnote>
  <w:footnote w:id="11">
    <w:p w14:paraId="0000006E" w14:textId="77777777" w:rsidR="002D1F78" w:rsidRDefault="00EE58CF">
      <w:pPr>
        <w:widowControl w:val="0"/>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Bahrain Center </w:t>
      </w:r>
      <w:proofErr w:type="gramStart"/>
      <w:r>
        <w:rPr>
          <w:rFonts w:ascii="Times New Roman" w:eastAsia="Times New Roman" w:hAnsi="Times New Roman" w:cs="Times New Roman"/>
          <w:sz w:val="20"/>
          <w:szCs w:val="20"/>
        </w:rPr>
        <w:t>For</w:t>
      </w:r>
      <w:proofErr w:type="gramEnd"/>
      <w:r>
        <w:rPr>
          <w:rFonts w:ascii="Times New Roman" w:eastAsia="Times New Roman" w:hAnsi="Times New Roman" w:cs="Times New Roman"/>
          <w:sz w:val="20"/>
          <w:szCs w:val="20"/>
        </w:rPr>
        <w:t xml:space="preserve"> Human Rights (2010) “Discrimination Against Women in Bahrain Society and Legislation,” </w:t>
      </w:r>
    </w:p>
  </w:footnote>
  <w:footnote w:id="12">
    <w:p w14:paraId="0000006F"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Convention on the Elimination of All Forms of Discrimination against Women 1979, article 2 </w:t>
      </w:r>
    </w:p>
  </w:footnote>
  <w:footnote w:id="13">
    <w:p w14:paraId="00000070"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observations on the third periodic report of Bahrain, CEDAW 57th session, 2014, https://tbinternet.ohchr.org/_layouts/15/treatybodyexternal/Download.aspx?symbolno=CEDAW%2fC%2fBHR%2fCO%2f2&amp;Lang=en</w:t>
      </w:r>
    </w:p>
  </w:footnote>
  <w:footnote w:id="14">
    <w:p w14:paraId="00000071" w14:textId="77777777" w:rsidR="002D1F78" w:rsidRDefault="00EE58CF">
      <w:pPr>
        <w:widowControl w:val="0"/>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Convention on the Elimination of All Forms of Discrimination against Women </w:t>
      </w:r>
      <w:proofErr w:type="gramStart"/>
      <w:r>
        <w:rPr>
          <w:rFonts w:ascii="Times New Roman" w:eastAsia="Times New Roman" w:hAnsi="Times New Roman" w:cs="Times New Roman"/>
          <w:sz w:val="18"/>
          <w:szCs w:val="18"/>
        </w:rPr>
        <w:t>1979 ,</w:t>
      </w:r>
      <w:proofErr w:type="gramEnd"/>
      <w:r>
        <w:rPr>
          <w:rFonts w:ascii="Times New Roman" w:eastAsia="Times New Roman" w:hAnsi="Times New Roman" w:cs="Times New Roman"/>
          <w:sz w:val="18"/>
          <w:szCs w:val="18"/>
        </w:rPr>
        <w:t xml:space="preserve"> article 9 </w:t>
      </w:r>
    </w:p>
  </w:footnote>
  <w:footnote w:id="15">
    <w:p w14:paraId="00000072"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Americans for Democracy and Human Rights in Bahrain (2019) </w:t>
      </w:r>
      <w:r>
        <w:rPr>
          <w:rFonts w:ascii="Times New Roman" w:eastAsia="Times New Roman" w:hAnsi="Times New Roman" w:cs="Times New Roman"/>
          <w:i/>
          <w:sz w:val="20"/>
          <w:szCs w:val="20"/>
        </w:rPr>
        <w:t xml:space="preserve">ADHRB Congressional Event on Women Political Prisoners in Bahrain </w:t>
      </w:r>
    </w:p>
  </w:footnote>
  <w:footnote w:id="16">
    <w:p w14:paraId="00000073"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(2017) </w:t>
      </w:r>
      <w:r>
        <w:rPr>
          <w:rFonts w:ascii="Times New Roman" w:eastAsia="Times New Roman" w:hAnsi="Times New Roman" w:cs="Times New Roman"/>
          <w:i/>
          <w:sz w:val="20"/>
          <w:szCs w:val="20"/>
        </w:rPr>
        <w:t>Bahrain: Women human rights defender at high risk of torture, including sexual assault</w:t>
      </w:r>
      <w:r>
        <w:rPr>
          <w:rFonts w:ascii="Times New Roman" w:eastAsia="Times New Roman" w:hAnsi="Times New Roman" w:cs="Times New Roman"/>
          <w:sz w:val="20"/>
          <w:szCs w:val="20"/>
        </w:rPr>
        <w:t xml:space="preserve"> </w:t>
      </w:r>
    </w:p>
  </w:footnote>
  <w:footnote w:id="17">
    <w:p w14:paraId="00000074"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observations on the third periodic report of Bahrain, CEDAW 57th session, 2014, https://tbinternet.ohchr.org/_layouts/15/treatybodyexternal/Download.aspx?symbolno=CEDAW%2fC%2fBHR%2fCO%2f2&amp;Lang=en</w:t>
      </w:r>
    </w:p>
  </w:footnote>
  <w:footnote w:id="18">
    <w:p w14:paraId="00000075" w14:textId="77777777" w:rsidR="002D1F78" w:rsidRDefault="00EE58CF">
      <w:pPr>
        <w:widowControl w:val="0"/>
        <w:spacing w:line="240" w:lineRule="auto"/>
        <w:rPr>
          <w:rFonts w:ascii="Times New Roman" w:eastAsia="Times New Roman" w:hAnsi="Times New Roman" w:cs="Times New Roman"/>
          <w:sz w:val="20"/>
          <w:szCs w:val="20"/>
          <w:vertAlign w:val="superscript"/>
        </w:rPr>
      </w:pPr>
      <w:r>
        <w:rPr>
          <w:vertAlign w:val="superscript"/>
        </w:rPr>
        <w:footnoteRef/>
      </w:r>
      <w:r>
        <w:rPr>
          <w:rFonts w:ascii="Times New Roman" w:eastAsia="Times New Roman" w:hAnsi="Times New Roman" w:cs="Times New Roman"/>
          <w:sz w:val="20"/>
          <w:szCs w:val="20"/>
        </w:rPr>
        <w:t xml:space="preserve">” Bahrain Center for Human Rights (2015) </w:t>
      </w:r>
      <w:r>
        <w:rPr>
          <w:rFonts w:ascii="Times New Roman" w:eastAsia="Times New Roman" w:hAnsi="Times New Roman" w:cs="Times New Roman"/>
          <w:i/>
          <w:sz w:val="20"/>
          <w:szCs w:val="20"/>
        </w:rPr>
        <w:t>NIHR Report Fails to Address Root Causes of Human Rights</w:t>
      </w:r>
      <w:r>
        <w:rPr>
          <w:rFonts w:ascii="Times New Roman" w:eastAsia="Times New Roman" w:hAnsi="Times New Roman" w:cs="Times New Roman"/>
          <w:sz w:val="20"/>
          <w:szCs w:val="20"/>
        </w:rPr>
        <w:t xml:space="preserve"> Violation [online] </w:t>
      </w:r>
      <w:hyperlink r:id="rId2">
        <w:r>
          <w:rPr>
            <w:rFonts w:ascii="Times New Roman" w:eastAsia="Times New Roman" w:hAnsi="Times New Roman" w:cs="Times New Roman"/>
            <w:color w:val="0000FF"/>
            <w:sz w:val="20"/>
            <w:szCs w:val="20"/>
            <w:u w:val="single"/>
          </w:rPr>
          <w:t>http://bahrainrights.net/?p=7287</w:t>
        </w:r>
      </w:hyperlink>
      <w:r>
        <w:rPr>
          <w:rFonts w:ascii="Times New Roman" w:eastAsia="Times New Roman" w:hAnsi="Times New Roman" w:cs="Times New Roman"/>
          <w:sz w:val="20"/>
          <w:szCs w:val="20"/>
        </w:rPr>
        <w:t xml:space="preserve"> </w:t>
      </w:r>
    </w:p>
  </w:footnote>
  <w:footnote w:id="19">
    <w:p w14:paraId="00000076"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Americans for Democracy and Human Rights in Bahrain (2018). </w:t>
      </w:r>
      <w:r>
        <w:rPr>
          <w:rFonts w:ascii="Times New Roman" w:eastAsia="Times New Roman" w:hAnsi="Times New Roman" w:cs="Times New Roman"/>
          <w:i/>
          <w:sz w:val="20"/>
          <w:szCs w:val="20"/>
        </w:rPr>
        <w:t>Bahrain using Whitewashing Organization for Human Rights Abuses</w:t>
      </w:r>
      <w:r>
        <w:rPr>
          <w:rFonts w:ascii="Times New Roman" w:eastAsia="Times New Roman" w:hAnsi="Times New Roman" w:cs="Times New Roman"/>
          <w:sz w:val="20"/>
          <w:szCs w:val="20"/>
        </w:rPr>
        <w:t xml:space="preserve"> [online] </w:t>
      </w:r>
      <w:hyperlink r:id="rId3">
        <w:r>
          <w:rPr>
            <w:rFonts w:ascii="Times New Roman" w:eastAsia="Times New Roman" w:hAnsi="Times New Roman" w:cs="Times New Roman"/>
            <w:color w:val="1155CC"/>
            <w:sz w:val="20"/>
            <w:szCs w:val="20"/>
            <w:u w:val="single"/>
          </w:rPr>
          <w:t>https://www.adhrb.org/2018/10/bahrain-using-white-washing-organizations-for-human-rights-abuses/</w:t>
        </w:r>
      </w:hyperlink>
    </w:p>
  </w:footnote>
  <w:footnote w:id="20">
    <w:p w14:paraId="00000077"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Americans for Democracy and Human Rights in Bahrain (2018). </w:t>
      </w:r>
      <w:r>
        <w:rPr>
          <w:rFonts w:ascii="Times New Roman" w:eastAsia="Times New Roman" w:hAnsi="Times New Roman" w:cs="Times New Roman"/>
          <w:i/>
          <w:sz w:val="20"/>
          <w:szCs w:val="20"/>
        </w:rPr>
        <w:t>Bahrain using Whitewashing Organization for Human Rights Abuses</w:t>
      </w:r>
      <w:r>
        <w:rPr>
          <w:rFonts w:ascii="Times New Roman" w:eastAsia="Times New Roman" w:hAnsi="Times New Roman" w:cs="Times New Roman"/>
          <w:sz w:val="20"/>
          <w:szCs w:val="20"/>
        </w:rPr>
        <w:t xml:space="preserve"> [online] </w:t>
      </w:r>
      <w:hyperlink r:id="rId4">
        <w:r>
          <w:rPr>
            <w:rFonts w:ascii="Times New Roman" w:eastAsia="Times New Roman" w:hAnsi="Times New Roman" w:cs="Times New Roman"/>
            <w:color w:val="1155CC"/>
            <w:sz w:val="20"/>
            <w:szCs w:val="20"/>
            <w:u w:val="single"/>
          </w:rPr>
          <w:t>https://www.adhrb.org/2018/10/bahrain-using-white-washing-organizations-for-human-rights-abuses/</w:t>
        </w:r>
      </w:hyperlink>
    </w:p>
  </w:footnote>
  <w:footnote w:id="21">
    <w:p w14:paraId="00000078"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5">
        <w:r>
          <w:rPr>
            <w:rFonts w:ascii="Times New Roman" w:eastAsia="Times New Roman" w:hAnsi="Times New Roman" w:cs="Times New Roman"/>
            <w:color w:val="1155CC"/>
            <w:sz w:val="20"/>
            <w:szCs w:val="20"/>
            <w:u w:val="single"/>
          </w:rPr>
          <w:t>https://spcommreports.ohchr.org/TMResultsBase/DownLoadPublicCommunicationFile?gId=24917</w:t>
        </w:r>
      </w:hyperlink>
    </w:p>
  </w:footnote>
  <w:footnote w:id="22">
    <w:p w14:paraId="00000079"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Americans for Democracy and Human Rights in Bahrain (2017). </w:t>
      </w:r>
      <w:r>
        <w:rPr>
          <w:rFonts w:ascii="Times New Roman" w:eastAsia="Times New Roman" w:hAnsi="Times New Roman" w:cs="Times New Roman"/>
          <w:i/>
          <w:sz w:val="20"/>
          <w:szCs w:val="20"/>
        </w:rPr>
        <w:t xml:space="preserve">Bahrain’s NIHR Ignores Government Violation Endorse Abuses in 2017 Report </w:t>
      </w:r>
      <w:r>
        <w:rPr>
          <w:rFonts w:ascii="Times New Roman" w:eastAsia="Times New Roman" w:hAnsi="Times New Roman" w:cs="Times New Roman"/>
          <w:sz w:val="20"/>
          <w:szCs w:val="20"/>
        </w:rPr>
        <w:t xml:space="preserve">[online] </w:t>
      </w:r>
      <w:hyperlink r:id="rId6">
        <w:r>
          <w:rPr>
            <w:rFonts w:ascii="Times New Roman" w:eastAsia="Times New Roman" w:hAnsi="Times New Roman" w:cs="Times New Roman"/>
            <w:color w:val="1155CC"/>
            <w:sz w:val="20"/>
            <w:szCs w:val="20"/>
            <w:u w:val="single"/>
          </w:rPr>
          <w:t>https://www.adhrb.org/2018/04/bahrains-nihr-ignores-government-violations-endorses-abuses-in-2017-report-2/</w:t>
        </w:r>
      </w:hyperlink>
    </w:p>
  </w:footnote>
  <w:footnote w:id="23">
    <w:p w14:paraId="0000007A"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 Bahrain Center for Human Rights (2015) </w:t>
      </w:r>
      <w:r>
        <w:rPr>
          <w:rFonts w:ascii="Times New Roman" w:eastAsia="Times New Roman" w:hAnsi="Times New Roman" w:cs="Times New Roman"/>
          <w:i/>
          <w:sz w:val="20"/>
          <w:szCs w:val="20"/>
        </w:rPr>
        <w:t>NIHR Report Fails to Address Root Causes of Human Rights</w:t>
      </w:r>
      <w:r>
        <w:rPr>
          <w:rFonts w:ascii="Times New Roman" w:eastAsia="Times New Roman" w:hAnsi="Times New Roman" w:cs="Times New Roman"/>
          <w:sz w:val="20"/>
          <w:szCs w:val="20"/>
        </w:rPr>
        <w:t xml:space="preserve"> Violation [online] </w:t>
      </w:r>
      <w:hyperlink r:id="rId7">
        <w:r>
          <w:rPr>
            <w:rFonts w:ascii="Times New Roman" w:eastAsia="Times New Roman" w:hAnsi="Times New Roman" w:cs="Times New Roman"/>
            <w:color w:val="0000FF"/>
            <w:sz w:val="20"/>
            <w:szCs w:val="20"/>
            <w:u w:val="single"/>
          </w:rPr>
          <w:t>http://bahrainrights.net/?p=7287</w:t>
        </w:r>
      </w:hyperlink>
    </w:p>
  </w:footnote>
  <w:footnote w:id="24">
    <w:p w14:paraId="0000007B"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Americans for Democracy and Human Rights in Bahrain (2017). </w:t>
      </w:r>
      <w:r>
        <w:rPr>
          <w:rFonts w:ascii="Times New Roman" w:eastAsia="Times New Roman" w:hAnsi="Times New Roman" w:cs="Times New Roman"/>
          <w:i/>
          <w:sz w:val="20"/>
          <w:szCs w:val="20"/>
        </w:rPr>
        <w:t xml:space="preserve">Bahrain’s NIHR Ignores Government Violation Endorse Abuses in 2017 Report </w:t>
      </w:r>
      <w:r>
        <w:rPr>
          <w:rFonts w:ascii="Times New Roman" w:eastAsia="Times New Roman" w:hAnsi="Times New Roman" w:cs="Times New Roman"/>
          <w:sz w:val="20"/>
          <w:szCs w:val="20"/>
        </w:rPr>
        <w:t xml:space="preserve">[online] </w:t>
      </w:r>
      <w:hyperlink r:id="rId8">
        <w:r>
          <w:rPr>
            <w:rFonts w:ascii="Times New Roman" w:eastAsia="Times New Roman" w:hAnsi="Times New Roman" w:cs="Times New Roman"/>
            <w:color w:val="1155CC"/>
            <w:sz w:val="20"/>
            <w:szCs w:val="20"/>
            <w:u w:val="single"/>
          </w:rPr>
          <w:t>https://www.adhrb.org/2018/04/bahrains-nihr-ignores-government-violations-endorses-abuses-in-2017-report-2/</w:t>
        </w:r>
      </w:hyperlink>
    </w:p>
  </w:footnote>
  <w:footnote w:id="25">
    <w:p w14:paraId="0000007C"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Americans for Democracy and Human Rights in Bahrain (2017). </w:t>
      </w:r>
      <w:r>
        <w:rPr>
          <w:rFonts w:ascii="Times New Roman" w:eastAsia="Times New Roman" w:hAnsi="Times New Roman" w:cs="Times New Roman"/>
          <w:i/>
          <w:sz w:val="20"/>
          <w:szCs w:val="20"/>
        </w:rPr>
        <w:t xml:space="preserve">Bahrain’s NIHR Ignores Government Violation Endorse Abuses in 2017 Report </w:t>
      </w:r>
      <w:r>
        <w:rPr>
          <w:rFonts w:ascii="Times New Roman" w:eastAsia="Times New Roman" w:hAnsi="Times New Roman" w:cs="Times New Roman"/>
          <w:sz w:val="20"/>
          <w:szCs w:val="20"/>
        </w:rPr>
        <w:t xml:space="preserve">[online] </w:t>
      </w:r>
      <w:hyperlink r:id="rId9">
        <w:r>
          <w:rPr>
            <w:rFonts w:ascii="Times New Roman" w:eastAsia="Times New Roman" w:hAnsi="Times New Roman" w:cs="Times New Roman"/>
            <w:color w:val="1155CC"/>
            <w:sz w:val="20"/>
            <w:szCs w:val="20"/>
            <w:u w:val="single"/>
          </w:rPr>
          <w:t>https://www.adhrb.org/2018/04/bahrains-nihr-ignores-government-violations-endorses-abuses-in-2017-report-2/</w:t>
        </w:r>
      </w:hyperlink>
    </w:p>
  </w:footnote>
  <w:footnote w:id="26">
    <w:p w14:paraId="0000007D"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0">
        <w:r>
          <w:rPr>
            <w:rFonts w:ascii="Times New Roman" w:eastAsia="Times New Roman" w:hAnsi="Times New Roman" w:cs="Times New Roman"/>
            <w:color w:val="1155CC"/>
            <w:sz w:val="20"/>
            <w:szCs w:val="20"/>
            <w:u w:val="single"/>
          </w:rPr>
          <w:t>https://spcommreports.ohchr.org/TMResultsBase/DownLoadPublicCommunicationFile?gId=24917</w:t>
        </w:r>
      </w:hyperlink>
    </w:p>
  </w:footnote>
  <w:footnote w:id="27">
    <w:p w14:paraId="0000007E"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Americans for Democracy and Human Rights in Bahrain (2018). </w:t>
      </w:r>
      <w:r>
        <w:rPr>
          <w:rFonts w:ascii="Times New Roman" w:eastAsia="Times New Roman" w:hAnsi="Times New Roman" w:cs="Times New Roman"/>
          <w:i/>
          <w:sz w:val="20"/>
          <w:szCs w:val="20"/>
        </w:rPr>
        <w:t>Bahrain using Whitewashing Organization for Human Rights Abuses</w:t>
      </w:r>
      <w:r>
        <w:rPr>
          <w:rFonts w:ascii="Times New Roman" w:eastAsia="Times New Roman" w:hAnsi="Times New Roman" w:cs="Times New Roman"/>
          <w:sz w:val="20"/>
          <w:szCs w:val="20"/>
        </w:rPr>
        <w:t xml:space="preserve"> [online] </w:t>
      </w:r>
      <w:hyperlink r:id="rId11">
        <w:r>
          <w:rPr>
            <w:rFonts w:ascii="Times New Roman" w:eastAsia="Times New Roman" w:hAnsi="Times New Roman" w:cs="Times New Roman"/>
            <w:color w:val="1155CC"/>
            <w:sz w:val="20"/>
            <w:szCs w:val="20"/>
            <w:u w:val="single"/>
          </w:rPr>
          <w:t>https://www.adhrb.org/2018/10/bahrain-using-white-washing-organizations-for-human-rights-abuses/</w:t>
        </w:r>
      </w:hyperlink>
    </w:p>
  </w:footnote>
  <w:footnote w:id="28">
    <w:p w14:paraId="0000007F"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Americans for Democracy and Human Rights in Bahrain (2017). </w:t>
      </w:r>
      <w:r>
        <w:rPr>
          <w:rFonts w:ascii="Times New Roman" w:eastAsia="Times New Roman" w:hAnsi="Times New Roman" w:cs="Times New Roman"/>
          <w:i/>
          <w:sz w:val="20"/>
          <w:szCs w:val="20"/>
        </w:rPr>
        <w:t xml:space="preserve">Bahrain’s NIHR Ignores Government Violation Endorse Abuses in 2017 Report </w:t>
      </w:r>
      <w:r>
        <w:rPr>
          <w:rFonts w:ascii="Times New Roman" w:eastAsia="Times New Roman" w:hAnsi="Times New Roman" w:cs="Times New Roman"/>
          <w:sz w:val="20"/>
          <w:szCs w:val="20"/>
        </w:rPr>
        <w:t xml:space="preserve">[online] </w:t>
      </w:r>
      <w:hyperlink r:id="rId12">
        <w:r>
          <w:rPr>
            <w:rFonts w:ascii="Times New Roman" w:eastAsia="Times New Roman" w:hAnsi="Times New Roman" w:cs="Times New Roman"/>
            <w:color w:val="1155CC"/>
            <w:sz w:val="20"/>
            <w:szCs w:val="20"/>
            <w:u w:val="single"/>
          </w:rPr>
          <w:t>https://www.adhrb.org/2018/04/bahrains-nihr-ignores-government-violations-endorses-abuses-in-2017-report-2/</w:t>
        </w:r>
      </w:hyperlink>
    </w:p>
  </w:footnote>
  <w:footnote w:id="29">
    <w:p w14:paraId="00000080" w14:textId="77777777" w:rsidR="002D1F78" w:rsidRDefault="00EE58CF">
      <w:pPr>
        <w:widowControl w:val="0"/>
        <w:spacing w:line="240" w:lineRule="auto"/>
        <w:rPr>
          <w:rFonts w:ascii="Times New Roman" w:eastAsia="Times New Roman" w:hAnsi="Times New Roman" w:cs="Times New Roman"/>
          <w:sz w:val="20"/>
          <w:szCs w:val="20"/>
        </w:rPr>
      </w:pPr>
      <w:bookmarkStart w:id="2" w:name="_heading=h.30j0zll" w:colFirst="0" w:colLast="0"/>
      <w:bookmarkEnd w:id="2"/>
      <w:r>
        <w:rPr>
          <w:vertAlign w:val="superscript"/>
        </w:rPr>
        <w:footnoteRef/>
      </w:r>
      <w:r>
        <w:rPr>
          <w:rFonts w:ascii="Times New Roman" w:eastAsia="Times New Roman" w:hAnsi="Times New Roman" w:cs="Times New Roman"/>
          <w:sz w:val="20"/>
          <w:szCs w:val="20"/>
        </w:rPr>
        <w:t xml:space="preserve"> Written statement submitted by the Americans for Democracy &amp; Human Rights in Bahrain to the HRC, 18 August 2017, Available at: </w:t>
      </w:r>
      <w:hyperlink r:id="rId13">
        <w:r>
          <w:rPr>
            <w:rFonts w:ascii="Times New Roman" w:eastAsia="Times New Roman" w:hAnsi="Times New Roman" w:cs="Times New Roman"/>
            <w:color w:val="0000FF"/>
            <w:sz w:val="20"/>
            <w:szCs w:val="20"/>
            <w:u w:val="single"/>
          </w:rPr>
          <w:t>http://www.adhrb.org/wp-content/uploads/2017/10/HRC-36-ADHRB-Written-Statement_Bahrain-NSA.pdf</w:t>
        </w:r>
      </w:hyperlink>
      <w:r>
        <w:rPr>
          <w:rFonts w:ascii="Times New Roman" w:eastAsia="Times New Roman" w:hAnsi="Times New Roman" w:cs="Times New Roman"/>
          <w:sz w:val="20"/>
          <w:szCs w:val="20"/>
        </w:rPr>
        <w:t xml:space="preserve"> (Accessed on 2 April 2020).</w:t>
      </w:r>
    </w:p>
  </w:footnote>
  <w:footnote w:id="30">
    <w:p w14:paraId="00000081"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Human Rights Watch, (2013). </w:t>
      </w:r>
      <w:r>
        <w:rPr>
          <w:rFonts w:ascii="Times New Roman" w:eastAsia="Times New Roman" w:hAnsi="Times New Roman" w:cs="Times New Roman"/>
          <w:i/>
          <w:sz w:val="20"/>
          <w:szCs w:val="20"/>
          <w:highlight w:val="white"/>
        </w:rPr>
        <w:t xml:space="preserve">Interfere, Restrict, Control | Restraints On Freedom Of Association In Bahrain, </w:t>
      </w:r>
      <w:r>
        <w:rPr>
          <w:rFonts w:ascii="Times New Roman" w:eastAsia="Times New Roman" w:hAnsi="Times New Roman" w:cs="Times New Roman"/>
          <w:sz w:val="20"/>
          <w:szCs w:val="20"/>
          <w:highlight w:val="white"/>
        </w:rPr>
        <w:t xml:space="preserve">Available at: </w:t>
      </w:r>
      <w:hyperlink r:id="rId14">
        <w:r>
          <w:rPr>
            <w:rFonts w:ascii="Times New Roman" w:eastAsia="Times New Roman" w:hAnsi="Times New Roman" w:cs="Times New Roman"/>
            <w:color w:val="0000FF"/>
            <w:sz w:val="20"/>
            <w:szCs w:val="20"/>
            <w:highlight w:val="white"/>
            <w:u w:val="single"/>
          </w:rPr>
          <w:t>https://www.hrw.org/report/2013/06/20/interfere-restrict-control/restraints-freedom-association-bahrain</w:t>
        </w:r>
      </w:hyperlink>
      <w:r>
        <w:rPr>
          <w:rFonts w:ascii="Times New Roman" w:eastAsia="Times New Roman" w:hAnsi="Times New Roman" w:cs="Times New Roman"/>
          <w:sz w:val="20"/>
          <w:szCs w:val="20"/>
          <w:highlight w:val="white"/>
        </w:rPr>
        <w:t xml:space="preserve"> (Accessed on April 23, 2020)</w:t>
      </w:r>
    </w:p>
  </w:footnote>
  <w:footnote w:id="31">
    <w:p w14:paraId="00000082"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w:t>
      </w:r>
      <w:r>
        <w:rPr>
          <w:rFonts w:ascii="Times New Roman" w:eastAsia="Times New Roman" w:hAnsi="Times New Roman" w:cs="Times New Roman"/>
          <w:sz w:val="20"/>
          <w:szCs w:val="20"/>
          <w:highlight w:val="white"/>
        </w:rPr>
        <w:t xml:space="preserve">OHCHR | Convention On </w:t>
      </w:r>
      <w:proofErr w:type="gramStart"/>
      <w:r>
        <w:rPr>
          <w:rFonts w:ascii="Times New Roman" w:eastAsia="Times New Roman" w:hAnsi="Times New Roman" w:cs="Times New Roman"/>
          <w:sz w:val="20"/>
          <w:szCs w:val="20"/>
          <w:highlight w:val="white"/>
        </w:rPr>
        <w:t>The</w:t>
      </w:r>
      <w:proofErr w:type="gramEnd"/>
      <w:r>
        <w:rPr>
          <w:rFonts w:ascii="Times New Roman" w:eastAsia="Times New Roman" w:hAnsi="Times New Roman" w:cs="Times New Roman"/>
          <w:sz w:val="20"/>
          <w:szCs w:val="20"/>
          <w:highlight w:val="white"/>
        </w:rPr>
        <w:t xml:space="preserve"> Elimination Of All Forms Of Discrimination Against Women 2020. Available at: </w:t>
      </w:r>
      <w:hyperlink r:id="rId15">
        <w:r>
          <w:rPr>
            <w:rFonts w:ascii="Times New Roman" w:eastAsia="Times New Roman" w:hAnsi="Times New Roman" w:cs="Times New Roman"/>
            <w:color w:val="0000FF"/>
            <w:sz w:val="20"/>
            <w:szCs w:val="20"/>
            <w:highlight w:val="white"/>
            <w:u w:val="single"/>
          </w:rPr>
          <w:t>https://www.ohchr.org/EN/ProfessionalInterest/Pages/CEDAW.aspx</w:t>
        </w:r>
      </w:hyperlink>
      <w:r>
        <w:rPr>
          <w:rFonts w:ascii="Times New Roman" w:eastAsia="Times New Roman" w:hAnsi="Times New Roman" w:cs="Times New Roman"/>
          <w:sz w:val="20"/>
          <w:szCs w:val="20"/>
          <w:highlight w:val="white"/>
        </w:rPr>
        <w:t xml:space="preserve"> (Accessed April 27, 2020)</w:t>
      </w:r>
    </w:p>
  </w:footnote>
  <w:footnote w:id="32">
    <w:p w14:paraId="00000083"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33">
    <w:p w14:paraId="00000084"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UK Parliament, </w:t>
      </w:r>
      <w:r>
        <w:rPr>
          <w:rFonts w:ascii="Times New Roman" w:eastAsia="Times New Roman" w:hAnsi="Times New Roman" w:cs="Times New Roman"/>
          <w:i/>
          <w:sz w:val="20"/>
          <w:szCs w:val="20"/>
        </w:rPr>
        <w:t xml:space="preserve">Bahrain: </w:t>
      </w:r>
      <w:proofErr w:type="spellStart"/>
      <w:proofErr w:type="gramStart"/>
      <w:r>
        <w:rPr>
          <w:rFonts w:ascii="Times New Roman" w:eastAsia="Times New Roman" w:hAnsi="Times New Roman" w:cs="Times New Roman"/>
          <w:i/>
          <w:sz w:val="20"/>
          <w:szCs w:val="20"/>
        </w:rPr>
        <w:t>Detainees:Written</w:t>
      </w:r>
      <w:proofErr w:type="spellEnd"/>
      <w:proofErr w:type="gramEnd"/>
      <w:r>
        <w:rPr>
          <w:rFonts w:ascii="Times New Roman" w:eastAsia="Times New Roman" w:hAnsi="Times New Roman" w:cs="Times New Roman"/>
          <w:i/>
          <w:sz w:val="20"/>
          <w:szCs w:val="20"/>
        </w:rPr>
        <w:t xml:space="preserve"> Question - HL1536,</w:t>
      </w:r>
      <w:r>
        <w:rPr>
          <w:rFonts w:ascii="Times New Roman" w:eastAsia="Times New Roman" w:hAnsi="Times New Roman" w:cs="Times New Roman"/>
          <w:sz w:val="20"/>
          <w:szCs w:val="20"/>
        </w:rPr>
        <w:t xml:space="preserve"> 2020, Available at: https://www.parliament.uk/business/publications/written-questions-answers-statements/written-question/Lords/2020-02-11/HL1536/</w:t>
      </w:r>
    </w:p>
  </w:footnote>
  <w:footnote w:id="34">
    <w:p w14:paraId="00000085"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Special procedures communication sent on 13 July 2017, UA BHR 9/2017. Available at: </w:t>
      </w:r>
      <w:hyperlink r:id="rId16">
        <w:r>
          <w:rPr>
            <w:rFonts w:ascii="Times New Roman" w:eastAsia="Times New Roman" w:hAnsi="Times New Roman" w:cs="Times New Roman"/>
            <w:color w:val="0000FF"/>
            <w:sz w:val="20"/>
            <w:szCs w:val="20"/>
            <w:u w:val="single"/>
          </w:rPr>
          <w:t>https://spcommreports.ohchr.org/TMResultsBase/DownLoadPublicCommunicationFile?gId=23218</w:t>
        </w:r>
      </w:hyperlink>
    </w:p>
  </w:footnote>
  <w:footnote w:id="35">
    <w:p w14:paraId="00000086"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w:t>
      </w:r>
      <w:r>
        <w:rPr>
          <w:rFonts w:ascii="Times New Roman" w:eastAsia="Times New Roman" w:hAnsi="Times New Roman" w:cs="Times New Roman"/>
          <w:sz w:val="20"/>
          <w:szCs w:val="20"/>
          <w:highlight w:val="white"/>
        </w:rPr>
        <w:t xml:space="preserve">OHCHR | Convention on the Elimination of all forms of Discrimination Against Women 2020. Available at: </w:t>
      </w:r>
      <w:hyperlink r:id="rId17">
        <w:r>
          <w:rPr>
            <w:rFonts w:ascii="Times New Roman" w:eastAsia="Times New Roman" w:hAnsi="Times New Roman" w:cs="Times New Roman"/>
            <w:color w:val="0000FF"/>
            <w:sz w:val="20"/>
            <w:szCs w:val="20"/>
            <w:highlight w:val="white"/>
            <w:u w:val="single"/>
          </w:rPr>
          <w:t>https://www.ohchr.org/EN/ProfessionalInterest/Pages/CEDAW.aspx</w:t>
        </w:r>
      </w:hyperlink>
      <w:r>
        <w:rPr>
          <w:rFonts w:ascii="Times New Roman" w:eastAsia="Times New Roman" w:hAnsi="Times New Roman" w:cs="Times New Roman"/>
          <w:sz w:val="20"/>
          <w:szCs w:val="20"/>
          <w:highlight w:val="white"/>
        </w:rPr>
        <w:t xml:space="preserve"> (Accessed May 5, 2020)</w:t>
      </w:r>
    </w:p>
  </w:footnote>
  <w:footnote w:id="36">
    <w:p w14:paraId="00000087"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Americans for Democracy &amp; Human Rights in Bahrain and the Bahrain Institute for Rights and Democracy, (2019). </w:t>
      </w:r>
      <w:r>
        <w:rPr>
          <w:rFonts w:ascii="Times New Roman" w:eastAsia="Times New Roman" w:hAnsi="Times New Roman" w:cs="Times New Roman"/>
          <w:i/>
          <w:sz w:val="20"/>
          <w:szCs w:val="20"/>
        </w:rPr>
        <w:t>Breaking the Silence: Bahraini Women Political Prisoners Expose Systemic Abuses</w:t>
      </w:r>
      <w:r>
        <w:rPr>
          <w:rFonts w:ascii="Times New Roman" w:eastAsia="Times New Roman" w:hAnsi="Times New Roman" w:cs="Times New Roman"/>
          <w:sz w:val="20"/>
          <w:szCs w:val="20"/>
        </w:rPr>
        <w:t xml:space="preserve"> [online], Available at: https://www.adhrb.org/wp-content/uploads/2019/09/ADHRB_BreakingTheSilence_Web.pdf</w:t>
      </w:r>
    </w:p>
  </w:footnote>
  <w:footnote w:id="37">
    <w:p w14:paraId="00000088"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38">
    <w:p w14:paraId="00000089"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Bahrain Institute for Rights and Democracy, (2018). </w:t>
      </w:r>
      <w:r>
        <w:rPr>
          <w:rFonts w:ascii="Times New Roman" w:eastAsia="Times New Roman" w:hAnsi="Times New Roman" w:cs="Times New Roman"/>
          <w:i/>
          <w:sz w:val="20"/>
          <w:szCs w:val="20"/>
        </w:rPr>
        <w:t>BAHRAIN: Further Retaliation Against Female Political Prisoner Following UN Secretary General’s Report</w:t>
      </w:r>
      <w:r>
        <w:rPr>
          <w:rFonts w:ascii="Times New Roman" w:eastAsia="Times New Roman" w:hAnsi="Times New Roman" w:cs="Times New Roman"/>
          <w:sz w:val="20"/>
          <w:szCs w:val="20"/>
        </w:rPr>
        <w:t xml:space="preserve">, Available at: </w:t>
      </w:r>
      <w:hyperlink r:id="rId18">
        <w:r>
          <w:rPr>
            <w:rFonts w:ascii="Times New Roman" w:eastAsia="Times New Roman" w:hAnsi="Times New Roman" w:cs="Times New Roman"/>
            <w:color w:val="0000FF"/>
            <w:sz w:val="20"/>
            <w:szCs w:val="20"/>
            <w:u w:val="single"/>
          </w:rPr>
          <w:t>http://birdbh.org/2018/09/bahrain-further-retaliation-against-female-political-prisoner-following-un-secretary-generals-report/</w:t>
        </w:r>
      </w:hyperlink>
      <w:r>
        <w:rPr>
          <w:rFonts w:ascii="Times New Roman" w:eastAsia="Times New Roman" w:hAnsi="Times New Roman" w:cs="Times New Roman"/>
          <w:sz w:val="20"/>
          <w:szCs w:val="20"/>
        </w:rPr>
        <w:t xml:space="preserve"> </w:t>
      </w:r>
    </w:p>
  </w:footnote>
  <w:footnote w:id="39">
    <w:p w14:paraId="0000008A"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Special procedures communication sent on 1 November 2019, AL BHR 3/2019. Available at: </w:t>
      </w:r>
      <w:hyperlink r:id="rId19">
        <w:r>
          <w:rPr>
            <w:rFonts w:ascii="Times New Roman" w:eastAsia="Times New Roman" w:hAnsi="Times New Roman" w:cs="Times New Roman"/>
            <w:color w:val="0000FF"/>
            <w:sz w:val="20"/>
            <w:szCs w:val="20"/>
            <w:u w:val="single"/>
          </w:rPr>
          <w:t>https://spcommreports.ohchr.org/TMResultsBase/DownLoadPublicCommunicationFile?gId=24917</w:t>
        </w:r>
      </w:hyperlink>
    </w:p>
  </w:footnote>
  <w:footnote w:id="40">
    <w:p w14:paraId="0000008B" w14:textId="77777777" w:rsidR="002D1F78" w:rsidRDefault="00EE58CF">
      <w:pPr>
        <w:widowControl w:val="0"/>
        <w:spacing w:line="240" w:lineRule="auto"/>
        <w:rPr>
          <w:rFonts w:ascii="Times New Roman" w:eastAsia="Times New Roman" w:hAnsi="Times New Roman" w:cs="Times New Roman"/>
          <w:sz w:val="20"/>
          <w:szCs w:val="20"/>
        </w:rPr>
      </w:pPr>
      <w:bookmarkStart w:id="4" w:name="_heading=h.1fob9te" w:colFirst="0" w:colLast="0"/>
      <w:bookmarkEnd w:id="4"/>
      <w:r>
        <w:rPr>
          <w:vertAlign w:val="superscript"/>
        </w:rPr>
        <w:footnoteRef/>
      </w:r>
      <w:r>
        <w:rPr>
          <w:rFonts w:ascii="Times New Roman" w:eastAsia="Times New Roman" w:hAnsi="Times New Roman" w:cs="Times New Roman"/>
          <w:sz w:val="20"/>
          <w:szCs w:val="20"/>
        </w:rPr>
        <w:t xml:space="preserve"> See </w:t>
      </w:r>
      <w:r>
        <w:rPr>
          <w:rFonts w:ascii="Times New Roman" w:eastAsia="Times New Roman" w:hAnsi="Times New Roman" w:cs="Times New Roman"/>
          <w:sz w:val="20"/>
          <w:szCs w:val="20"/>
          <w:highlight w:val="white"/>
        </w:rPr>
        <w:t xml:space="preserve">OHCHR | Convention On </w:t>
      </w:r>
      <w:proofErr w:type="gramStart"/>
      <w:r>
        <w:rPr>
          <w:rFonts w:ascii="Times New Roman" w:eastAsia="Times New Roman" w:hAnsi="Times New Roman" w:cs="Times New Roman"/>
          <w:sz w:val="20"/>
          <w:szCs w:val="20"/>
          <w:highlight w:val="white"/>
        </w:rPr>
        <w:t>The</w:t>
      </w:r>
      <w:proofErr w:type="gramEnd"/>
      <w:r>
        <w:rPr>
          <w:rFonts w:ascii="Times New Roman" w:eastAsia="Times New Roman" w:hAnsi="Times New Roman" w:cs="Times New Roman"/>
          <w:sz w:val="20"/>
          <w:szCs w:val="20"/>
          <w:highlight w:val="white"/>
        </w:rPr>
        <w:t xml:space="preserve"> Elimination Of All Forms Of Discrimination Against Women 2020. Available at: </w:t>
      </w:r>
      <w:hyperlink r:id="rId20">
        <w:r>
          <w:rPr>
            <w:rFonts w:ascii="Times New Roman" w:eastAsia="Times New Roman" w:hAnsi="Times New Roman" w:cs="Times New Roman"/>
            <w:color w:val="0000FF"/>
            <w:sz w:val="20"/>
            <w:szCs w:val="20"/>
            <w:highlight w:val="white"/>
            <w:u w:val="single"/>
          </w:rPr>
          <w:t>https://www.ohchr.org/EN/ProfessionalInterest/Pages/CEDAW.aspx</w:t>
        </w:r>
      </w:hyperlink>
      <w:r>
        <w:rPr>
          <w:rFonts w:ascii="Times New Roman" w:eastAsia="Times New Roman" w:hAnsi="Times New Roman" w:cs="Times New Roman"/>
          <w:sz w:val="20"/>
          <w:szCs w:val="20"/>
          <w:highlight w:val="white"/>
        </w:rPr>
        <w:t xml:space="preserve"> (Accessed April 23, 2020)</w:t>
      </w:r>
    </w:p>
  </w:footnote>
  <w:footnote w:id="41">
    <w:p w14:paraId="0000008C"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2">
    <w:p w14:paraId="0000008D" w14:textId="77777777" w:rsidR="002D1F78" w:rsidRDefault="00EE58CF">
      <w:pPr>
        <w:widowControl w:val="0"/>
        <w:spacing w:line="240" w:lineRule="auto"/>
        <w:rPr>
          <w:rFonts w:ascii="Times New Roman" w:eastAsia="Times New Roman" w:hAnsi="Times New Roman" w:cs="Times New Roman"/>
          <w:sz w:val="20"/>
          <w:szCs w:val="20"/>
        </w:rPr>
      </w:pPr>
      <w:bookmarkStart w:id="5" w:name="_heading=h.3znysh7" w:colFirst="0" w:colLast="0"/>
      <w:bookmarkEnd w:id="5"/>
      <w:r>
        <w:rPr>
          <w:vertAlign w:val="superscript"/>
        </w:rPr>
        <w:footnoteRef/>
      </w:r>
      <w:r>
        <w:rPr>
          <w:rFonts w:ascii="Times New Roman" w:eastAsia="Times New Roman" w:hAnsi="Times New Roman" w:cs="Times New Roman"/>
          <w:sz w:val="20"/>
          <w:szCs w:val="20"/>
        </w:rPr>
        <w:t xml:space="preserve"> See United Nations Committee on the Elimination of All Forms of Discrimination against Women, General recommendation No. 19: Violence against women (1992), Available in PDF at: </w:t>
      </w:r>
      <w:hyperlink r:id="rId21">
        <w:r>
          <w:rPr>
            <w:rFonts w:ascii="Times New Roman" w:eastAsia="Times New Roman" w:hAnsi="Times New Roman" w:cs="Times New Roman"/>
            <w:color w:val="0000FF"/>
            <w:sz w:val="20"/>
            <w:szCs w:val="20"/>
            <w:u w:val="single"/>
          </w:rPr>
          <w:t>https://tbinternet.ohchr.org/Treaties/CEDAW/Shared%20Docutments/1_Global/INT_CEDAW_GEC_3731_E.pdf</w:t>
        </w:r>
      </w:hyperlink>
      <w:r>
        <w:rPr>
          <w:rFonts w:ascii="Times New Roman" w:eastAsia="Times New Roman" w:hAnsi="Times New Roman" w:cs="Times New Roman"/>
          <w:sz w:val="20"/>
          <w:szCs w:val="20"/>
        </w:rPr>
        <w:t xml:space="preserve"> </w:t>
      </w:r>
    </w:p>
  </w:footnote>
  <w:footnote w:id="43">
    <w:p w14:paraId="0000008E"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w:t>
      </w:r>
      <w:r>
        <w:rPr>
          <w:rFonts w:ascii="Times New Roman" w:eastAsia="Times New Roman" w:hAnsi="Times New Roman" w:cs="Times New Roman"/>
          <w:sz w:val="20"/>
          <w:szCs w:val="20"/>
          <w:highlight w:val="white"/>
        </w:rPr>
        <w:t xml:space="preserve">OHCHR | Convention On </w:t>
      </w:r>
      <w:proofErr w:type="gramStart"/>
      <w:r>
        <w:rPr>
          <w:rFonts w:ascii="Times New Roman" w:eastAsia="Times New Roman" w:hAnsi="Times New Roman" w:cs="Times New Roman"/>
          <w:sz w:val="20"/>
          <w:szCs w:val="20"/>
          <w:highlight w:val="white"/>
        </w:rPr>
        <w:t>The</w:t>
      </w:r>
      <w:proofErr w:type="gramEnd"/>
      <w:r>
        <w:rPr>
          <w:rFonts w:ascii="Times New Roman" w:eastAsia="Times New Roman" w:hAnsi="Times New Roman" w:cs="Times New Roman"/>
          <w:sz w:val="20"/>
          <w:szCs w:val="20"/>
          <w:highlight w:val="white"/>
        </w:rPr>
        <w:t xml:space="preserve"> Elimination Of All Forms Of Discrimination Against Women 2020. Available at: </w:t>
      </w:r>
      <w:hyperlink r:id="rId22">
        <w:r>
          <w:rPr>
            <w:rFonts w:ascii="Times New Roman" w:eastAsia="Times New Roman" w:hAnsi="Times New Roman" w:cs="Times New Roman"/>
            <w:color w:val="0000FF"/>
            <w:sz w:val="20"/>
            <w:szCs w:val="20"/>
            <w:highlight w:val="white"/>
            <w:u w:val="single"/>
          </w:rPr>
          <w:t>https://www.ohchr.org/EN/ProfessionalInterest/Pages/CEDAW.aspx</w:t>
        </w:r>
      </w:hyperlink>
      <w:r>
        <w:rPr>
          <w:rFonts w:ascii="Times New Roman" w:eastAsia="Times New Roman" w:hAnsi="Times New Roman" w:cs="Times New Roman"/>
          <w:sz w:val="20"/>
          <w:szCs w:val="20"/>
          <w:highlight w:val="white"/>
        </w:rPr>
        <w:t xml:space="preserve"> (Accessed April 27, 2020)</w:t>
      </w:r>
    </w:p>
  </w:footnote>
  <w:footnote w:id="44">
    <w:p w14:paraId="0000008F"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5">
    <w:p w14:paraId="00000090"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 more information about the MOI Ombudsman see: “About the General Secretariat of the complaints,” Ministry of Interior Ombudsman (website), Available at: https://www. ombudsman.bh/</w:t>
      </w:r>
      <w:proofErr w:type="spellStart"/>
      <w:r>
        <w:rPr>
          <w:rFonts w:ascii="Times New Roman" w:eastAsia="Times New Roman" w:hAnsi="Times New Roman" w:cs="Times New Roman"/>
          <w:sz w:val="20"/>
          <w:szCs w:val="20"/>
        </w:rPr>
        <w:t>en</w:t>
      </w:r>
      <w:proofErr w:type="spellEnd"/>
      <w:r>
        <w:rPr>
          <w:rFonts w:ascii="Times New Roman" w:eastAsia="Times New Roman" w:hAnsi="Times New Roman" w:cs="Times New Roman"/>
          <w:sz w:val="20"/>
          <w:szCs w:val="20"/>
        </w:rPr>
        <w:t xml:space="preserve">/about/. (Accessed on 1 April 2020) </w:t>
      </w:r>
    </w:p>
  </w:footnote>
  <w:footnote w:id="46">
    <w:p w14:paraId="00000091" w14:textId="77777777" w:rsidR="002D1F78" w:rsidRDefault="00EE58CF">
      <w:pPr>
        <w:widowControl w:val="0"/>
        <w:spacing w:line="240" w:lineRule="auto"/>
        <w:ind w:right="-113"/>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Law No. 26 of 2014 Establishing the National Institute for Human Rights, Kingdom of Bahrain, 24 July 2014. </w:t>
      </w:r>
    </w:p>
    <w:p w14:paraId="00000092" w14:textId="77777777" w:rsidR="002D1F78" w:rsidRDefault="00EE58CF">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Available at: http://www.nihr.org.bh/en/MediaHandler/GenericHandler/documents/download/Royal%20Decree%20Law_No_26_of_2014.pdf.</w:t>
      </w:r>
    </w:p>
  </w:footnote>
  <w:footnote w:id="47">
    <w:p w14:paraId="00000093"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Americans for Democracy &amp; Human Rights in Bahrain and the Bahrain Institute for Rights and Democracy, (2019). </w:t>
      </w:r>
      <w:r>
        <w:rPr>
          <w:rFonts w:ascii="Times New Roman" w:eastAsia="Times New Roman" w:hAnsi="Times New Roman" w:cs="Times New Roman"/>
          <w:i/>
          <w:sz w:val="20"/>
          <w:szCs w:val="20"/>
        </w:rPr>
        <w:t>Breaking the Silence: Bahraini Women Political Prisoners Expose Systemic Abuses</w:t>
      </w:r>
      <w:r>
        <w:rPr>
          <w:rFonts w:ascii="Times New Roman" w:eastAsia="Times New Roman" w:hAnsi="Times New Roman" w:cs="Times New Roman"/>
          <w:sz w:val="20"/>
          <w:szCs w:val="20"/>
        </w:rPr>
        <w:t xml:space="preserve"> [online], Available at: https://www.adhrb.org/wp-content/uploads/2019/09/ADHRB_BreakingTheSilence_Web.pdf</w:t>
      </w:r>
    </w:p>
  </w:footnote>
  <w:footnote w:id="48">
    <w:p w14:paraId="00000094"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w:t>
      </w:r>
      <w:r>
        <w:rPr>
          <w:rFonts w:ascii="Times New Roman" w:eastAsia="Times New Roman" w:hAnsi="Times New Roman" w:cs="Times New Roman"/>
          <w:sz w:val="20"/>
          <w:szCs w:val="20"/>
          <w:highlight w:val="white"/>
        </w:rPr>
        <w:t xml:space="preserve">OHCHR Dashboard, Available at:  </w:t>
      </w:r>
      <w:hyperlink r:id="rId23">
        <w:r>
          <w:rPr>
            <w:rFonts w:ascii="Times New Roman" w:eastAsia="Times New Roman" w:hAnsi="Times New Roman" w:cs="Times New Roman"/>
            <w:color w:val="0000FF"/>
            <w:sz w:val="20"/>
            <w:szCs w:val="20"/>
            <w:highlight w:val="white"/>
            <w:u w:val="single"/>
          </w:rPr>
          <w:t>https://indicators.ohchr.org/</w:t>
        </w:r>
      </w:hyperlink>
      <w:r>
        <w:rPr>
          <w:rFonts w:ascii="Times New Roman" w:eastAsia="Times New Roman" w:hAnsi="Times New Roman" w:cs="Times New Roman"/>
          <w:sz w:val="20"/>
          <w:szCs w:val="20"/>
          <w:highlight w:val="white"/>
        </w:rPr>
        <w:t xml:space="preserve"> (Accessed on April 24,2020)</w:t>
      </w:r>
    </w:p>
  </w:footnote>
  <w:footnote w:id="49">
    <w:p w14:paraId="00000095" w14:textId="77777777" w:rsidR="002D1F78" w:rsidRDefault="00EE58CF">
      <w:pPr>
        <w:widowControl w:v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United Nations Convention on the Elimination of All Forms of Discrimination against Women New York, 18 December 1979 Available at: </w:t>
      </w:r>
      <w:hyperlink r:id="rId24">
        <w:r>
          <w:rPr>
            <w:rFonts w:ascii="Times New Roman" w:eastAsia="Times New Roman" w:hAnsi="Times New Roman" w:cs="Times New Roman"/>
            <w:color w:val="0000FF"/>
            <w:sz w:val="20"/>
            <w:szCs w:val="20"/>
            <w:u w:val="single"/>
          </w:rPr>
          <w:t>https://www.ohchr.org/EN/ProfessionalInterest/Pages/CEDAW.aspx</w:t>
        </w:r>
      </w:hyperlink>
      <w:r>
        <w:rPr>
          <w:rFonts w:ascii="Times New Roman" w:eastAsia="Times New Roman" w:hAnsi="Times New Roman" w:cs="Times New Roman"/>
          <w:sz w:val="20"/>
          <w:szCs w:val="20"/>
        </w:rPr>
        <w:t xml:space="preserve"> (Accessed on April 24, 2020)</w:t>
      </w:r>
    </w:p>
  </w:footnote>
  <w:footnote w:id="50">
    <w:p w14:paraId="00000096" w14:textId="77777777" w:rsidR="002D1F78" w:rsidRDefault="00EE58CF">
      <w:pPr>
        <w:widowControl w:val="0"/>
        <w:spacing w:line="240" w:lineRule="auto"/>
        <w:rPr>
          <w:rFonts w:ascii="Times New Roman" w:eastAsia="Times New Roman" w:hAnsi="Times New Roman" w:cs="Times New Roman"/>
          <w:sz w:val="20"/>
          <w:szCs w:val="20"/>
        </w:rPr>
      </w:pPr>
      <w:bookmarkStart w:id="6" w:name="_heading=h.2et92p0" w:colFirst="0" w:colLast="0"/>
      <w:bookmarkEnd w:id="6"/>
      <w:r>
        <w:rPr>
          <w:vertAlign w:val="superscript"/>
        </w:rPr>
        <w:footnoteRef/>
      </w:r>
      <w:r>
        <w:rPr>
          <w:rFonts w:ascii="Times New Roman" w:eastAsia="Times New Roman" w:hAnsi="Times New Roman" w:cs="Times New Roman"/>
          <w:sz w:val="20"/>
          <w:szCs w:val="20"/>
        </w:rPr>
        <w:t xml:space="preserve"> See United Nations Committee on the Elimination of All Forms of Discrimination against Women, </w:t>
      </w:r>
      <w:r>
        <w:rPr>
          <w:rFonts w:ascii="Times New Roman" w:eastAsia="Times New Roman" w:hAnsi="Times New Roman" w:cs="Times New Roman"/>
          <w:i/>
          <w:sz w:val="20"/>
          <w:szCs w:val="20"/>
        </w:rPr>
        <w:t xml:space="preserve">Concluding observations on the third periodic report of Bahrain </w:t>
      </w:r>
      <w:r>
        <w:rPr>
          <w:rFonts w:ascii="Times New Roman" w:eastAsia="Times New Roman" w:hAnsi="Times New Roman" w:cs="Times New Roman"/>
          <w:sz w:val="20"/>
          <w:szCs w:val="20"/>
        </w:rPr>
        <w:t xml:space="preserve">No. 30 (b), 2014, Available at: </w:t>
      </w:r>
      <w:hyperlink r:id="rId25">
        <w:r>
          <w:rPr>
            <w:rFonts w:ascii="Times New Roman" w:eastAsia="Times New Roman" w:hAnsi="Times New Roman" w:cs="Times New Roman"/>
            <w:color w:val="0000FF"/>
            <w:sz w:val="20"/>
            <w:szCs w:val="20"/>
            <w:u w:val="single"/>
          </w:rPr>
          <w:t>https://undocs.org/CEDAW/C/BHR/CO/3</w:t>
        </w:r>
      </w:hyperlink>
      <w:r>
        <w:rPr>
          <w:rFonts w:ascii="Times New Roman" w:eastAsia="Times New Roman" w:hAnsi="Times New Roman" w:cs="Times New Roman"/>
          <w:sz w:val="20"/>
          <w:szCs w:val="20"/>
        </w:rPr>
        <w:t xml:space="preserve"> (Accessed on April 22 2020)</w:t>
      </w:r>
    </w:p>
  </w:footnote>
  <w:footnote w:id="51">
    <w:p w14:paraId="00000097" w14:textId="77777777" w:rsidR="002D1F78" w:rsidRDefault="00EE58CF">
      <w:pPr>
        <w:widowControl w:val="0"/>
        <w:spacing w:line="240" w:lineRule="auto"/>
        <w:ind w:right="-113"/>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Americans for Democracy &amp; Human Rights in Bahrain, Bahrain Centre for Human Rights, and Bahrain Institute for Rights and Democracy (2017). </w:t>
      </w:r>
      <w:r>
        <w:rPr>
          <w:rFonts w:ascii="Times New Roman" w:eastAsia="Times New Roman" w:hAnsi="Times New Roman" w:cs="Times New Roman"/>
          <w:i/>
          <w:sz w:val="20"/>
          <w:szCs w:val="20"/>
        </w:rPr>
        <w:t>Bahrain’ Third Cycle UPR: A Record of Repression</w:t>
      </w:r>
      <w:r>
        <w:rPr>
          <w:rFonts w:ascii="Times New Roman" w:eastAsia="Times New Roman" w:hAnsi="Times New Roman" w:cs="Times New Roman"/>
          <w:sz w:val="20"/>
          <w:szCs w:val="20"/>
        </w:rPr>
        <w:t xml:space="preserve"> [online] Available at: https://www.adhrb.org/wp-content/uploads/2017/03/2017.2.28_Web-Version_ADHRB_BCHR_BIRD_Bahrain-3rdCycle-UPR-Assessment.pdf</w:t>
      </w:r>
    </w:p>
  </w:footnote>
  <w:footnote w:id="52">
    <w:p w14:paraId="000000A3" w14:textId="77777777" w:rsidR="002D1F78" w:rsidRDefault="00EE58C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Bahrain third cycle UPR assessment, ADHRB et al., 2017 https://www.adhrb.org/wp-content/uploads/2017/03/2017.2.28_Web-Version_ADHRB_BCHR_BIRD_Bahrain-3rd-Cycle-UPR-Assessment.pdf</w:t>
      </w:r>
    </w:p>
  </w:footnote>
  <w:footnote w:id="53">
    <w:p w14:paraId="000000A4" w14:textId="77777777" w:rsidR="002D1F78" w:rsidRDefault="00EE58C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observations on the third periodic report of Bahrain, CEDAW 57th session, 2014, https://tbinternet.ohchr.org/_layouts/15/treatybodyexternal/Download.aspx?symbolno=CEDAW%2fC%2fBHR%2fCO%2f2&amp;Lang=en</w:t>
      </w:r>
    </w:p>
  </w:footnote>
  <w:footnote w:id="54">
    <w:p w14:paraId="000000A5" w14:textId="77777777" w:rsidR="002D1F78" w:rsidRDefault="00EE58C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Bahraini Citizenship Act, 1963 https://www.refworld.org/pdfid/3fb9f34f4.pdf</w:t>
      </w:r>
    </w:p>
  </w:footnote>
  <w:footnote w:id="55">
    <w:p w14:paraId="000000A6" w14:textId="77777777" w:rsidR="002D1F78" w:rsidRDefault="00EE58C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Bahrain’s Decree Law No. 12 (1981), Amendment to the Citizenship Act of 1963 https://www.refworld.org/pdfid/3fb9f34f4.pdf</w:t>
      </w:r>
    </w:p>
  </w:footnote>
  <w:footnote w:id="56">
    <w:p w14:paraId="000000A7" w14:textId="77777777" w:rsidR="002D1F78" w:rsidRDefault="00EE58C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Bahrain third cycle UPR assessment, ADHRB et al., 2017 https://www.adhrb.org/wp-content/uploads/2017/03/2017.2.28_Web-Version_ADHRB_BCHR_BIRD_Bahrain-3rd-Cycle-UPR-Assessment.pdf</w:t>
      </w:r>
    </w:p>
  </w:footnote>
  <w:footnote w:id="57">
    <w:p w14:paraId="000000A8" w14:textId="77777777" w:rsidR="002D1F78" w:rsidRDefault="00EE58C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58">
    <w:p w14:paraId="000000A9" w14:textId="77777777" w:rsidR="002D1F78" w:rsidRDefault="00EE58C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Habib </w:t>
      </w:r>
      <w:proofErr w:type="spellStart"/>
      <w:r>
        <w:rPr>
          <w:rFonts w:ascii="Times New Roman" w:eastAsia="Times New Roman" w:hAnsi="Times New Roman" w:cs="Times New Roman"/>
          <w:sz w:val="20"/>
          <w:szCs w:val="20"/>
        </w:rPr>
        <w:t>Toumi</w:t>
      </w:r>
      <w:proofErr w:type="spellEnd"/>
      <w:r>
        <w:rPr>
          <w:rFonts w:ascii="Times New Roman" w:eastAsia="Times New Roman" w:hAnsi="Times New Roman" w:cs="Times New Roman"/>
          <w:sz w:val="20"/>
          <w:szCs w:val="20"/>
        </w:rPr>
        <w:t>, “Bahrain grants citizenship to 335 children.” Gulf News. 7 December 2011. http://gulfnews.com/news/gulf/bahrain/bahrain-grants-citizenship-to-335-children-1.946284. in Bahrain third cycle UPR assessment, ADHRB et al., 2017</w:t>
      </w:r>
    </w:p>
  </w:footnote>
  <w:footnote w:id="59">
    <w:p w14:paraId="000000AA" w14:textId="77777777" w:rsidR="002D1F78" w:rsidRDefault="00EE58CF">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recommendation No. 32 on the gender-related dimensions of refugee status, asylum, nationality and statelessness of women, 2014, https://documents-dds-ny.un.org/doc/UNDOC/GEN/N14/627/90/PDF/N1462790.pdf?OpenElement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F78"/>
    <w:rsid w:val="001201CF"/>
    <w:rsid w:val="00192277"/>
    <w:rsid w:val="002D1F78"/>
    <w:rsid w:val="0034449A"/>
    <w:rsid w:val="00347FC9"/>
    <w:rsid w:val="0039144A"/>
    <w:rsid w:val="003E3FC4"/>
    <w:rsid w:val="004E6E5E"/>
    <w:rsid w:val="005412A3"/>
    <w:rsid w:val="005C4415"/>
    <w:rsid w:val="00720BF9"/>
    <w:rsid w:val="00754055"/>
    <w:rsid w:val="007946DA"/>
    <w:rsid w:val="008C7816"/>
    <w:rsid w:val="008D3C38"/>
    <w:rsid w:val="008D4645"/>
    <w:rsid w:val="009D1013"/>
    <w:rsid w:val="009D2199"/>
    <w:rsid w:val="00A83390"/>
    <w:rsid w:val="00AC0F53"/>
    <w:rsid w:val="00B00861"/>
    <w:rsid w:val="00B01256"/>
    <w:rsid w:val="00B55A8A"/>
    <w:rsid w:val="00BA271C"/>
    <w:rsid w:val="00BC4E23"/>
    <w:rsid w:val="00BD0BE3"/>
    <w:rsid w:val="00D61956"/>
    <w:rsid w:val="00D7589B"/>
    <w:rsid w:val="00E3325A"/>
    <w:rsid w:val="00E7120A"/>
    <w:rsid w:val="00E74993"/>
    <w:rsid w:val="00E96BB5"/>
    <w:rsid w:val="00EE58CF"/>
    <w:rsid w:val="00F32894"/>
    <w:rsid w:val="00FD2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0D8FD"/>
  <w15:docId w15:val="{B1F33477-E683-43B4-9365-286EE2F8A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semiHidden/>
    <w:unhideWhenUsed/>
    <w:rsid w:val="00AC0F53"/>
    <w:rPr>
      <w:color w:val="0000FF"/>
      <w:u w:val="single"/>
    </w:rPr>
  </w:style>
  <w:style w:type="paragraph" w:styleId="BalloonText">
    <w:name w:val="Balloon Text"/>
    <w:basedOn w:val="Normal"/>
    <w:link w:val="BalloonTextChar"/>
    <w:uiPriority w:val="99"/>
    <w:semiHidden/>
    <w:unhideWhenUsed/>
    <w:rsid w:val="00B0125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2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hyperlink" Target="about:blank" TargetMode="Externa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M0IAKXH2qKWnuLG7uEhctPahRPA==">AMUW2mVFS+uPRxbqrgZoCb1ymeNSUDySAQlprVY23JmM34rNmnnkbCeUSU2dFrjNoLZwDQXpruILPDB5fKQqPAGLfWIknsIpmk7Aakv7swZTvAYlQmfNmrdQPlV/p9BQU4RnjyG8IASbhCrtyDbSQCP0s5KL6mBV43RWI1yJND3DOe+1ksl2IR6/6QshDziHgpYm2roxKnE8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09D949F-7DDA-4D18-B5C5-46C18758E183}">
  <ds:schemaRefs>
    <ds:schemaRef ds:uri="http://schemas.openxmlformats.org/officeDocument/2006/bibliography"/>
  </ds:schemaRefs>
</ds:datastoreItem>
</file>

<file path=customXml/itemProps3.xml><?xml version="1.0" encoding="utf-8"?>
<ds:datastoreItem xmlns:ds="http://schemas.openxmlformats.org/officeDocument/2006/customXml" ds:itemID="{1CEE36C3-AA2B-43FE-960C-57DD296B5909}"/>
</file>

<file path=customXml/itemProps4.xml><?xml version="1.0" encoding="utf-8"?>
<ds:datastoreItem xmlns:ds="http://schemas.openxmlformats.org/officeDocument/2006/customXml" ds:itemID="{CBB18D94-C89C-40F9-84C0-7DF02335D1CD}"/>
</file>

<file path=customXml/itemProps5.xml><?xml version="1.0" encoding="utf-8"?>
<ds:datastoreItem xmlns:ds="http://schemas.openxmlformats.org/officeDocument/2006/customXml" ds:itemID="{6B59FD11-D62D-41E7-948D-121F8A33170A}"/>
</file>

<file path=docProps/app.xml><?xml version="1.0" encoding="utf-8"?>
<Properties xmlns="http://schemas.openxmlformats.org/officeDocument/2006/extended-properties" xmlns:vt="http://schemas.openxmlformats.org/officeDocument/2006/docPropsVTypes">
  <Template>Normal</Template>
  <TotalTime>2</TotalTime>
  <Pages>11</Pages>
  <Words>3797</Words>
  <Characters>21646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Mohajer12</dc:creator>
  <cp:lastModifiedBy>Mohajer12</cp:lastModifiedBy>
  <cp:revision>3</cp:revision>
  <cp:lastPrinted>2020-05-17T23:11:00Z</cp:lastPrinted>
  <dcterms:created xsi:type="dcterms:W3CDTF">2021-10-10T19:18:00Z</dcterms:created>
  <dcterms:modified xsi:type="dcterms:W3CDTF">2021-10-10T20:37:00Z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