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BC51BE6" w14:textId="2AA8A933" w:rsidR="00060D04" w:rsidRPr="00313ADB" w:rsidRDefault="00000000">
      <w:pPr>
        <w:spacing w:line="276" w:lineRule="auto"/>
        <w:jc w:val="center"/>
        <w:rPr>
          <w:sz w:val="28"/>
          <w:szCs w:val="28"/>
        </w:rPr>
      </w:pPr>
      <w:r w:rsidRPr="00313ADB">
        <w:rPr>
          <w:b/>
          <w:bCs/>
          <w:sz w:val="28"/>
          <w:szCs w:val="28"/>
        </w:rPr>
        <w:t xml:space="preserve">Alternative Report to </w:t>
      </w:r>
      <w:r w:rsidR="00C9628A">
        <w:rPr>
          <w:b/>
          <w:bCs/>
          <w:sz w:val="28"/>
          <w:szCs w:val="28"/>
        </w:rPr>
        <w:t xml:space="preserve">the Committee on the Elimination of Racial Discrimination: </w:t>
      </w:r>
      <w:r w:rsidRPr="00313ADB">
        <w:rPr>
          <w:b/>
          <w:bCs/>
          <w:sz w:val="28"/>
          <w:szCs w:val="28"/>
        </w:rPr>
        <w:t>India</w:t>
      </w:r>
    </w:p>
    <w:p w14:paraId="544C6924" w14:textId="7CB8E207" w:rsidR="00C9628A" w:rsidRPr="00496B3B" w:rsidRDefault="00C9628A" w:rsidP="003D59C7">
      <w:pPr>
        <w:spacing w:line="276" w:lineRule="auto"/>
        <w:jc w:val="center"/>
        <w:rPr>
          <w:sz w:val="20"/>
          <w:szCs w:val="20"/>
        </w:rPr>
      </w:pPr>
      <w:r>
        <w:rPr>
          <w:sz w:val="20"/>
          <w:szCs w:val="20"/>
        </w:rPr>
        <w:t xml:space="preserve">118th Session (10-25 </w:t>
      </w:r>
      <w:proofErr w:type="gramStart"/>
      <w:r>
        <w:rPr>
          <w:sz w:val="20"/>
          <w:szCs w:val="20"/>
        </w:rPr>
        <w:t>August,</w:t>
      </w:r>
      <w:proofErr w:type="gramEnd"/>
      <w:r>
        <w:rPr>
          <w:sz w:val="20"/>
          <w:szCs w:val="20"/>
        </w:rPr>
        <w:t xml:space="preserve"> 2026)</w:t>
      </w:r>
    </w:p>
    <w:p w14:paraId="04C50C17" w14:textId="2AE02ABA" w:rsidR="00AB1A94" w:rsidRPr="00313ADB" w:rsidRDefault="003D59C7" w:rsidP="00496B3B">
      <w:pPr>
        <w:spacing w:line="276" w:lineRule="auto"/>
        <w:jc w:val="center"/>
        <w:rPr>
          <w:color w:val="FF0000"/>
          <w:sz w:val="24"/>
          <w:szCs w:val="24"/>
        </w:rPr>
      </w:pPr>
      <w:r w:rsidRPr="00313ADB">
        <w:rPr>
          <w:i/>
          <w:iCs/>
          <w:sz w:val="20"/>
          <w:szCs w:val="20"/>
        </w:rPr>
        <w:t xml:space="preserve">Documenting India's </w:t>
      </w:r>
      <w:r w:rsidR="00000000" w:rsidRPr="00313ADB">
        <w:rPr>
          <w:i/>
          <w:iCs/>
          <w:sz w:val="20"/>
          <w:szCs w:val="20"/>
        </w:rPr>
        <w:t>anti-Sikh discrimination under Articles 1, 2, 4, 5 and 6</w:t>
      </w:r>
    </w:p>
    <w:p w14:paraId="6BC51BE9" w14:textId="55EF7DD5" w:rsidR="00060D04" w:rsidRPr="00313ADB" w:rsidRDefault="00000000" w:rsidP="003D59C7">
      <w:pPr>
        <w:spacing w:after="160" w:line="276" w:lineRule="auto"/>
        <w:ind w:firstLine="720"/>
        <w:jc w:val="both"/>
        <w:rPr>
          <w:sz w:val="24"/>
          <w:szCs w:val="24"/>
        </w:rPr>
      </w:pPr>
      <w:r w:rsidRPr="00313ADB">
        <w:rPr>
          <w:sz w:val="24"/>
          <w:szCs w:val="24"/>
        </w:rPr>
        <w:t xml:space="preserve">Sikh Federation International is a global </w:t>
      </w:r>
      <w:proofErr w:type="spellStart"/>
      <w:r w:rsidRPr="00313ADB">
        <w:rPr>
          <w:sz w:val="24"/>
          <w:szCs w:val="24"/>
        </w:rPr>
        <w:t>organisation</w:t>
      </w:r>
      <w:proofErr w:type="spellEnd"/>
      <w:r w:rsidRPr="00313ADB">
        <w:rPr>
          <w:sz w:val="24"/>
          <w:szCs w:val="24"/>
        </w:rPr>
        <w:t xml:space="preserve"> representing the aspirations of the Sikh people and is comprised of exiled Sikh leadership based in the UK, Europe, Canada, USA, and Australia, and other diaspora communities. The Federation aims to strengthen Sikh self-governance institutions and establish effective mechanisms of global advocacy by engaging with international institutions and mechanisms. Alongside developing solidarity and cooperation with other movements and oppressed peoples, Sikh Federation International actively documents India's ongoing human rights violations and advocates for justice and accountability through global institutions like the UN Human Rights Council.</w:t>
      </w:r>
    </w:p>
    <w:p w14:paraId="6BC51BEA" w14:textId="77777777" w:rsidR="00060D04" w:rsidRPr="00496B3B" w:rsidRDefault="00000000">
      <w:pPr>
        <w:pStyle w:val="Heading1"/>
        <w:spacing w:line="276" w:lineRule="auto"/>
        <w:jc w:val="both"/>
        <w:rPr>
          <w:rFonts w:eastAsia="Calibri"/>
        </w:rPr>
      </w:pPr>
      <w:r w:rsidRPr="00496B3B">
        <w:rPr>
          <w:rFonts w:eastAsia="Calibri"/>
        </w:rPr>
        <w:t xml:space="preserve">Article 1 - Sikh identity and </w:t>
      </w:r>
      <w:proofErr w:type="spellStart"/>
      <w:r w:rsidRPr="00496B3B">
        <w:rPr>
          <w:rFonts w:eastAsia="Calibri"/>
        </w:rPr>
        <w:t>racialised</w:t>
      </w:r>
      <w:proofErr w:type="spellEnd"/>
      <w:r w:rsidRPr="00496B3B">
        <w:rPr>
          <w:rFonts w:eastAsia="Calibri"/>
        </w:rPr>
        <w:t xml:space="preserve"> ethno-religious discrimination</w:t>
      </w:r>
    </w:p>
    <w:p w14:paraId="6BC51BEB" w14:textId="7783FCAA" w:rsidR="00060D04" w:rsidRPr="00313ADB" w:rsidRDefault="00000000">
      <w:pPr>
        <w:spacing w:before="240" w:after="240" w:line="276" w:lineRule="auto"/>
        <w:jc w:val="both"/>
        <w:rPr>
          <w:sz w:val="24"/>
          <w:szCs w:val="24"/>
        </w:rPr>
      </w:pPr>
      <w:r w:rsidRPr="00313ADB">
        <w:rPr>
          <w:sz w:val="24"/>
          <w:szCs w:val="24"/>
        </w:rPr>
        <w:t xml:space="preserve">The Convention prohibits discrimination on grounds of race, </w:t>
      </w:r>
      <w:proofErr w:type="spellStart"/>
      <w:r w:rsidRPr="00313ADB">
        <w:rPr>
          <w:sz w:val="24"/>
          <w:szCs w:val="24"/>
        </w:rPr>
        <w:t>colour</w:t>
      </w:r>
      <w:proofErr w:type="spellEnd"/>
      <w:r w:rsidRPr="00313ADB">
        <w:rPr>
          <w:sz w:val="24"/>
          <w:szCs w:val="24"/>
        </w:rPr>
        <w:t>, descent and national or ethnic origin, and protects the equal enjoyment of rights in public life. Anti-Sikh discrimination may engage the Convention where religious identity is targeted together with descent-linked community identity, ethnic or cultural association, visible identity and perceived political o</w:t>
      </w:r>
      <w:r w:rsidR="00515552" w:rsidRPr="00313ADB">
        <w:rPr>
          <w:sz w:val="24"/>
          <w:szCs w:val="24"/>
        </w:rPr>
        <w:t>pinion</w:t>
      </w:r>
      <w:r w:rsidRPr="00313ADB">
        <w:rPr>
          <w:sz w:val="24"/>
          <w:szCs w:val="24"/>
        </w:rPr>
        <w:t xml:space="preserve">. The discrimination described below is directed at Sikhs through a combination of these features: inherited community belonging, Punjabi and Sikh cultural association, visible markers such as the </w:t>
      </w:r>
      <w:proofErr w:type="spellStart"/>
      <w:r w:rsidR="003D59C7" w:rsidRPr="00313ADB">
        <w:rPr>
          <w:i/>
          <w:iCs/>
          <w:sz w:val="24"/>
          <w:szCs w:val="24"/>
        </w:rPr>
        <w:t>dastar</w:t>
      </w:r>
      <w:proofErr w:type="spellEnd"/>
      <w:r w:rsidR="003D59C7" w:rsidRPr="00313ADB">
        <w:rPr>
          <w:i/>
          <w:iCs/>
          <w:sz w:val="24"/>
          <w:szCs w:val="24"/>
        </w:rPr>
        <w:t xml:space="preserve"> </w:t>
      </w:r>
      <w:r w:rsidR="003D59C7" w:rsidRPr="00313ADB">
        <w:rPr>
          <w:sz w:val="24"/>
          <w:szCs w:val="24"/>
        </w:rPr>
        <w:t>(</w:t>
      </w:r>
      <w:r w:rsidRPr="00313ADB">
        <w:rPr>
          <w:sz w:val="24"/>
          <w:szCs w:val="24"/>
        </w:rPr>
        <w:t>turban</w:t>
      </w:r>
      <w:r w:rsidR="003D59C7" w:rsidRPr="00313ADB">
        <w:rPr>
          <w:sz w:val="24"/>
          <w:szCs w:val="24"/>
        </w:rPr>
        <w:t>)</w:t>
      </w:r>
      <w:r w:rsidRPr="00313ADB">
        <w:rPr>
          <w:sz w:val="24"/>
          <w:szCs w:val="24"/>
        </w:rPr>
        <w:t xml:space="preserve">, </w:t>
      </w:r>
      <w:proofErr w:type="spellStart"/>
      <w:r w:rsidR="003D59C7" w:rsidRPr="00313ADB">
        <w:rPr>
          <w:i/>
          <w:iCs/>
          <w:sz w:val="24"/>
          <w:szCs w:val="24"/>
        </w:rPr>
        <w:t>kes</w:t>
      </w:r>
      <w:proofErr w:type="spellEnd"/>
      <w:r w:rsidR="003D59C7" w:rsidRPr="00313ADB">
        <w:rPr>
          <w:i/>
          <w:iCs/>
          <w:sz w:val="24"/>
          <w:szCs w:val="24"/>
        </w:rPr>
        <w:t xml:space="preserve"> </w:t>
      </w:r>
      <w:r w:rsidR="003D59C7" w:rsidRPr="00313ADB">
        <w:rPr>
          <w:sz w:val="24"/>
          <w:szCs w:val="24"/>
        </w:rPr>
        <w:t>(</w:t>
      </w:r>
      <w:r w:rsidRPr="00313ADB">
        <w:rPr>
          <w:sz w:val="24"/>
          <w:szCs w:val="24"/>
        </w:rPr>
        <w:t>unshorn hair and beard</w:t>
      </w:r>
      <w:r w:rsidR="003D59C7" w:rsidRPr="00313ADB">
        <w:rPr>
          <w:sz w:val="24"/>
          <w:szCs w:val="24"/>
        </w:rPr>
        <w:t>)</w:t>
      </w:r>
      <w:r w:rsidRPr="00313ADB">
        <w:rPr>
          <w:sz w:val="24"/>
          <w:szCs w:val="24"/>
        </w:rPr>
        <w:t>, and political meaning attributed to those markers.</w:t>
      </w:r>
    </w:p>
    <w:p w14:paraId="6BC51BEC" w14:textId="6E5516A1" w:rsidR="00060D04" w:rsidRPr="00313ADB" w:rsidRDefault="00000000">
      <w:pPr>
        <w:spacing w:before="240" w:after="240" w:line="276" w:lineRule="auto"/>
        <w:jc w:val="both"/>
        <w:rPr>
          <w:sz w:val="24"/>
          <w:szCs w:val="24"/>
        </w:rPr>
      </w:pPr>
      <w:r w:rsidRPr="00313ADB">
        <w:rPr>
          <w:sz w:val="24"/>
          <w:szCs w:val="24"/>
        </w:rPr>
        <w:t xml:space="preserve">This approach is consistent with the Committee’s understanding of intersectional discrimination. </w:t>
      </w:r>
      <w:r w:rsidRPr="00313ADB">
        <w:rPr>
          <w:i/>
          <w:iCs/>
          <w:sz w:val="24"/>
          <w:szCs w:val="24"/>
        </w:rPr>
        <w:t>General Recommendation No 32</w:t>
      </w:r>
      <w:r w:rsidRPr="00313ADB">
        <w:rPr>
          <w:sz w:val="24"/>
          <w:szCs w:val="24"/>
        </w:rPr>
        <w:t xml:space="preserve"> confirms that the Convention covers forms of harm in which religion intersects with at least one protected ground, and that unequal treatment may arise in purpose or in effect. </w:t>
      </w:r>
      <w:r w:rsidR="003E3AF7" w:rsidRPr="00313ADB">
        <w:rPr>
          <w:sz w:val="24"/>
          <w:szCs w:val="24"/>
        </w:rPr>
        <w:t>This approach</w:t>
      </w:r>
      <w:r w:rsidRPr="00313ADB">
        <w:rPr>
          <w:sz w:val="24"/>
          <w:szCs w:val="24"/>
        </w:rPr>
        <w:t xml:space="preserve"> is also necessary </w:t>
      </w:r>
      <w:r w:rsidR="003E3AF7" w:rsidRPr="00313ADB">
        <w:rPr>
          <w:sz w:val="24"/>
          <w:szCs w:val="24"/>
        </w:rPr>
        <w:t>as</w:t>
      </w:r>
      <w:r w:rsidRPr="00313ADB">
        <w:rPr>
          <w:sz w:val="24"/>
          <w:szCs w:val="24"/>
        </w:rPr>
        <w:t xml:space="preserve"> India has repeatedly sought to narrow the Convention’s protection where targeted minority communities are concerned, including through a restrictive view of descent and ethnic origin. </w:t>
      </w:r>
      <w:r w:rsidR="00223650" w:rsidRPr="00313ADB">
        <w:rPr>
          <w:sz w:val="24"/>
          <w:szCs w:val="24"/>
        </w:rPr>
        <w:t>A</w:t>
      </w:r>
      <w:r w:rsidRPr="00313ADB">
        <w:rPr>
          <w:sz w:val="24"/>
          <w:szCs w:val="24"/>
        </w:rPr>
        <w:t>ssess</w:t>
      </w:r>
      <w:r w:rsidR="00223650" w:rsidRPr="00313ADB">
        <w:rPr>
          <w:sz w:val="24"/>
          <w:szCs w:val="24"/>
        </w:rPr>
        <w:t>ment of</w:t>
      </w:r>
      <w:r w:rsidRPr="00313ADB">
        <w:rPr>
          <w:sz w:val="24"/>
          <w:szCs w:val="24"/>
        </w:rPr>
        <w:t xml:space="preserve"> </w:t>
      </w:r>
      <w:r w:rsidR="006A0316" w:rsidRPr="00313ADB">
        <w:rPr>
          <w:sz w:val="24"/>
          <w:szCs w:val="24"/>
        </w:rPr>
        <w:t xml:space="preserve">how </w:t>
      </w:r>
      <w:r w:rsidRPr="00313ADB">
        <w:rPr>
          <w:sz w:val="24"/>
          <w:szCs w:val="24"/>
        </w:rPr>
        <w:t xml:space="preserve">anti-Sikh discrimination </w:t>
      </w:r>
      <w:r w:rsidR="00BA4EE1" w:rsidRPr="00313ADB">
        <w:rPr>
          <w:sz w:val="24"/>
          <w:szCs w:val="24"/>
        </w:rPr>
        <w:t>manifests</w:t>
      </w:r>
      <w:r w:rsidRPr="00313ADB">
        <w:rPr>
          <w:sz w:val="24"/>
          <w:szCs w:val="24"/>
        </w:rPr>
        <w:t xml:space="preserve"> in practice</w:t>
      </w:r>
      <w:r w:rsidR="00223650" w:rsidRPr="00313ADB">
        <w:rPr>
          <w:sz w:val="24"/>
          <w:szCs w:val="24"/>
        </w:rPr>
        <w:t xml:space="preserve"> is therefore required</w:t>
      </w:r>
      <w:r w:rsidRPr="00313ADB">
        <w:rPr>
          <w:sz w:val="24"/>
          <w:szCs w:val="24"/>
        </w:rPr>
        <w:t xml:space="preserve">. The evidence below concerns targeting that combines religious identity with inherited community belonging, visible markers, cultural association and </w:t>
      </w:r>
      <w:r w:rsidR="000050C1">
        <w:rPr>
          <w:sz w:val="24"/>
          <w:szCs w:val="24"/>
        </w:rPr>
        <w:t>actual or imputed</w:t>
      </w:r>
      <w:r w:rsidR="000050C1" w:rsidRPr="00313ADB">
        <w:rPr>
          <w:sz w:val="24"/>
          <w:szCs w:val="24"/>
        </w:rPr>
        <w:t xml:space="preserve"> </w:t>
      </w:r>
      <w:r w:rsidRPr="00313ADB">
        <w:rPr>
          <w:sz w:val="24"/>
          <w:szCs w:val="24"/>
        </w:rPr>
        <w:t xml:space="preserve">political </w:t>
      </w:r>
      <w:r w:rsidR="000050C1">
        <w:rPr>
          <w:sz w:val="24"/>
          <w:szCs w:val="24"/>
        </w:rPr>
        <w:t>opinion</w:t>
      </w:r>
      <w:r w:rsidRPr="00313ADB">
        <w:rPr>
          <w:sz w:val="24"/>
          <w:szCs w:val="24"/>
        </w:rPr>
        <w:t>.</w:t>
      </w:r>
    </w:p>
    <w:p w14:paraId="6BC51BED" w14:textId="3DAF8036" w:rsidR="00060D04" w:rsidRPr="00313ADB" w:rsidRDefault="00000000">
      <w:pPr>
        <w:spacing w:before="240" w:after="240" w:line="276" w:lineRule="auto"/>
        <w:jc w:val="both"/>
        <w:rPr>
          <w:sz w:val="24"/>
          <w:szCs w:val="24"/>
        </w:rPr>
      </w:pPr>
      <w:r w:rsidRPr="00313ADB">
        <w:rPr>
          <w:sz w:val="24"/>
          <w:szCs w:val="24"/>
        </w:rPr>
        <w:t xml:space="preserve">This submission draws on United Nations materials, official and judicial records, civil society documentation, academic sources and public reporting, distinguishing where relevant between judicial findings, official statements and reported allegations. Academic work on anti-Sikh </w:t>
      </w:r>
      <w:proofErr w:type="spellStart"/>
      <w:r w:rsidRPr="00313ADB">
        <w:rPr>
          <w:sz w:val="24"/>
          <w:szCs w:val="24"/>
        </w:rPr>
        <w:t>racialisation</w:t>
      </w:r>
      <w:proofErr w:type="spellEnd"/>
      <w:r w:rsidRPr="00313ADB">
        <w:rPr>
          <w:sz w:val="24"/>
          <w:szCs w:val="24"/>
        </w:rPr>
        <w:t xml:space="preserve"> supports this approach in conceptual terms.</w:t>
      </w:r>
      <w:r w:rsidRPr="00313ADB">
        <w:rPr>
          <w:sz w:val="24"/>
          <w:szCs w:val="24"/>
          <w:vertAlign w:val="superscript"/>
        </w:rPr>
        <w:footnoteReference w:id="1"/>
      </w:r>
      <w:r w:rsidRPr="00313ADB">
        <w:rPr>
          <w:sz w:val="24"/>
          <w:szCs w:val="24"/>
        </w:rPr>
        <w:t xml:space="preserve"> It records how Sikh identity, particularly the </w:t>
      </w:r>
      <w:proofErr w:type="spellStart"/>
      <w:r w:rsidR="003D59C7" w:rsidRPr="00313ADB">
        <w:rPr>
          <w:i/>
          <w:iCs/>
          <w:sz w:val="24"/>
          <w:szCs w:val="24"/>
        </w:rPr>
        <w:t>dastar</w:t>
      </w:r>
      <w:proofErr w:type="spellEnd"/>
      <w:r w:rsidR="003D59C7" w:rsidRPr="00313ADB">
        <w:rPr>
          <w:i/>
          <w:iCs/>
          <w:sz w:val="24"/>
          <w:szCs w:val="24"/>
        </w:rPr>
        <w:t xml:space="preserve"> </w:t>
      </w:r>
      <w:r w:rsidR="003D59C7" w:rsidRPr="00313ADB">
        <w:rPr>
          <w:sz w:val="24"/>
          <w:szCs w:val="24"/>
        </w:rPr>
        <w:t>(</w:t>
      </w:r>
      <w:r w:rsidRPr="00313ADB">
        <w:rPr>
          <w:sz w:val="24"/>
          <w:szCs w:val="24"/>
        </w:rPr>
        <w:t>turban</w:t>
      </w:r>
      <w:r w:rsidR="003D59C7" w:rsidRPr="00313ADB">
        <w:rPr>
          <w:sz w:val="24"/>
          <w:szCs w:val="24"/>
        </w:rPr>
        <w:t>)</w:t>
      </w:r>
      <w:r w:rsidRPr="00313ADB">
        <w:rPr>
          <w:sz w:val="24"/>
          <w:szCs w:val="24"/>
        </w:rPr>
        <w:t xml:space="preserve"> and beard of observant Sikh men, can become a visible sign through which hostility, suspicion and security profiling are imposed on Sikhs as a group. In India, the evidence below shows a related but distinct form of targeting: Sikh identity and advocacy are treated as politically suspect through narratives of </w:t>
      </w:r>
      <w:r w:rsidRPr="00313ADB">
        <w:rPr>
          <w:sz w:val="24"/>
          <w:szCs w:val="24"/>
        </w:rPr>
        <w:lastRenderedPageBreak/>
        <w:t xml:space="preserve">separatism, </w:t>
      </w:r>
      <w:r w:rsidR="00B07E96">
        <w:rPr>
          <w:sz w:val="24"/>
          <w:szCs w:val="24"/>
        </w:rPr>
        <w:t>political violence</w:t>
      </w:r>
      <w:r w:rsidR="00B07E96" w:rsidRPr="00313ADB">
        <w:rPr>
          <w:sz w:val="24"/>
          <w:szCs w:val="24"/>
        </w:rPr>
        <w:t xml:space="preserve"> </w:t>
      </w:r>
      <w:r w:rsidRPr="00313ADB">
        <w:rPr>
          <w:sz w:val="24"/>
          <w:szCs w:val="24"/>
        </w:rPr>
        <w:t>and security threat. That is the discriminatory logic that brings the violations addressed in the following sections within the Convention’s protection.</w:t>
      </w:r>
    </w:p>
    <w:p w14:paraId="6BC51BEE" w14:textId="77777777" w:rsidR="00060D04" w:rsidRPr="00313ADB" w:rsidRDefault="00000000">
      <w:pPr>
        <w:pStyle w:val="Heading1"/>
        <w:spacing w:line="276" w:lineRule="auto"/>
        <w:jc w:val="both"/>
        <w:rPr>
          <w:sz w:val="24"/>
          <w:szCs w:val="24"/>
        </w:rPr>
      </w:pPr>
      <w:r w:rsidRPr="00496B3B">
        <w:rPr>
          <w:rFonts w:eastAsia="Calibri"/>
        </w:rPr>
        <w:t xml:space="preserve">Article 2 - </w:t>
      </w:r>
      <w:proofErr w:type="spellStart"/>
      <w:r w:rsidRPr="00496B3B">
        <w:rPr>
          <w:rFonts w:eastAsia="Calibri"/>
        </w:rPr>
        <w:t>Racialised</w:t>
      </w:r>
      <w:proofErr w:type="spellEnd"/>
      <w:r w:rsidRPr="00496B3B">
        <w:rPr>
          <w:rFonts w:eastAsia="Calibri"/>
        </w:rPr>
        <w:t xml:space="preserve"> </w:t>
      </w:r>
      <w:proofErr w:type="spellStart"/>
      <w:r w:rsidRPr="00496B3B">
        <w:rPr>
          <w:rFonts w:eastAsia="Calibri"/>
        </w:rPr>
        <w:t>securitisation</w:t>
      </w:r>
      <w:proofErr w:type="spellEnd"/>
      <w:r w:rsidRPr="00496B3B">
        <w:rPr>
          <w:rFonts w:eastAsia="Calibri"/>
        </w:rPr>
        <w:t xml:space="preserve"> of Sikh dissent as a discriminatory State practice</w:t>
      </w:r>
    </w:p>
    <w:p w14:paraId="6BC51BEF" w14:textId="1C1CF457" w:rsidR="00060D04" w:rsidRDefault="00000000">
      <w:pPr>
        <w:spacing w:before="240" w:after="240" w:line="276" w:lineRule="auto"/>
        <w:jc w:val="both"/>
        <w:rPr>
          <w:sz w:val="24"/>
          <w:szCs w:val="24"/>
        </w:rPr>
      </w:pPr>
      <w:r w:rsidRPr="00313ADB">
        <w:rPr>
          <w:sz w:val="24"/>
          <w:szCs w:val="24"/>
        </w:rPr>
        <w:t>Article 2 requires States Parties to pursue, by all appropriate means, a policy of eliminating racial discrimination and to ensure that no public authority engages in it. The central pattern addressed in this report is the treatment of Sikh identity and Sikh dissent as indicators of extremism or terrorism. Through the recurring use of “</w:t>
      </w:r>
      <w:r w:rsidR="003D59C7" w:rsidRPr="00313ADB">
        <w:rPr>
          <w:sz w:val="24"/>
          <w:szCs w:val="24"/>
        </w:rPr>
        <w:t>extremist</w:t>
      </w:r>
      <w:r w:rsidRPr="00313ADB">
        <w:rPr>
          <w:sz w:val="24"/>
          <w:szCs w:val="24"/>
        </w:rPr>
        <w:t>” and “terrorist” language</w:t>
      </w:r>
      <w:r w:rsidR="003D59C7" w:rsidRPr="00313ADB">
        <w:rPr>
          <w:sz w:val="24"/>
          <w:szCs w:val="24"/>
        </w:rPr>
        <w:t xml:space="preserve"> or </w:t>
      </w:r>
      <w:r w:rsidR="00B07E96">
        <w:rPr>
          <w:sz w:val="24"/>
          <w:szCs w:val="24"/>
        </w:rPr>
        <w:t xml:space="preserve">disingenuously </w:t>
      </w:r>
      <w:r w:rsidR="003D59C7" w:rsidRPr="00313ADB">
        <w:rPr>
          <w:sz w:val="24"/>
          <w:szCs w:val="24"/>
        </w:rPr>
        <w:t>using the term "Khalistani" as a synonym for these terms,</w:t>
      </w:r>
      <w:r w:rsidRPr="00313ADB">
        <w:rPr>
          <w:sz w:val="24"/>
          <w:szCs w:val="24"/>
        </w:rPr>
        <w:t xml:space="preserve"> Sikh political expression, advocacy for </w:t>
      </w:r>
      <w:r w:rsidR="003D59C7" w:rsidRPr="00313ADB">
        <w:rPr>
          <w:sz w:val="24"/>
          <w:szCs w:val="24"/>
        </w:rPr>
        <w:t xml:space="preserve">human rights and </w:t>
      </w:r>
      <w:r w:rsidRPr="00313ADB">
        <w:rPr>
          <w:sz w:val="24"/>
          <w:szCs w:val="24"/>
        </w:rPr>
        <w:t xml:space="preserve">accountability, diaspora </w:t>
      </w:r>
      <w:proofErr w:type="spellStart"/>
      <w:r w:rsidRPr="00313ADB">
        <w:rPr>
          <w:sz w:val="24"/>
          <w:szCs w:val="24"/>
        </w:rPr>
        <w:t>mobilisation</w:t>
      </w:r>
      <w:proofErr w:type="spellEnd"/>
      <w:r w:rsidRPr="00313ADB">
        <w:rPr>
          <w:sz w:val="24"/>
          <w:szCs w:val="24"/>
        </w:rPr>
        <w:t xml:space="preserve"> and visible identity traits are cast as signs of security risk. This narrative supplies the common thread through which the later violations </w:t>
      </w:r>
      <w:proofErr w:type="gramStart"/>
      <w:r w:rsidRPr="00313ADB">
        <w:rPr>
          <w:sz w:val="24"/>
          <w:szCs w:val="24"/>
        </w:rPr>
        <w:t>occur:</w:t>
      </w:r>
      <w:proofErr w:type="gramEnd"/>
      <w:r w:rsidRPr="00313ADB">
        <w:rPr>
          <w:sz w:val="24"/>
          <w:szCs w:val="24"/>
        </w:rPr>
        <w:t xml:space="preserve"> public vilification, counter-terror detention, custodial violence, digital restriction, transnational repression and denial of remedies.</w:t>
      </w:r>
    </w:p>
    <w:p w14:paraId="1E91083B" w14:textId="003CCF7E" w:rsidR="000050C1" w:rsidRPr="000050C1" w:rsidRDefault="000050C1">
      <w:pPr>
        <w:spacing w:before="240" w:after="240" w:line="276" w:lineRule="auto"/>
        <w:jc w:val="both"/>
        <w:rPr>
          <w:sz w:val="24"/>
          <w:szCs w:val="24"/>
        </w:rPr>
      </w:pPr>
      <w:r>
        <w:rPr>
          <w:sz w:val="24"/>
          <w:szCs w:val="24"/>
        </w:rPr>
        <w:t xml:space="preserve">This pattern engages the test that the Committee applies to composite and intersectional forms of discrimination. </w:t>
      </w:r>
      <w:r>
        <w:rPr>
          <w:i/>
          <w:iCs/>
          <w:sz w:val="24"/>
          <w:szCs w:val="24"/>
        </w:rPr>
        <w:t xml:space="preserve">General Recommendation No 29 </w:t>
      </w:r>
      <w:r>
        <w:rPr>
          <w:sz w:val="24"/>
          <w:szCs w:val="24"/>
        </w:rPr>
        <w:t xml:space="preserve">confirms that descent-based discrimination is prohibited </w:t>
      </w:r>
      <w:proofErr w:type="gramStart"/>
      <w:r>
        <w:rPr>
          <w:sz w:val="24"/>
          <w:szCs w:val="24"/>
        </w:rPr>
        <w:t>whether or not</w:t>
      </w:r>
      <w:proofErr w:type="gramEnd"/>
      <w:r>
        <w:rPr>
          <w:sz w:val="24"/>
          <w:szCs w:val="24"/>
        </w:rPr>
        <w:t xml:space="preserve"> the community concerned is formally </w:t>
      </w:r>
      <w:proofErr w:type="spellStart"/>
      <w:r>
        <w:rPr>
          <w:sz w:val="24"/>
          <w:szCs w:val="24"/>
        </w:rPr>
        <w:t>recognised</w:t>
      </w:r>
      <w:proofErr w:type="spellEnd"/>
      <w:r>
        <w:rPr>
          <w:sz w:val="24"/>
          <w:szCs w:val="24"/>
        </w:rPr>
        <w:t xml:space="preserve"> as a caste, tribe or analogous group, provided that inherited status and community membership underpin the differential treatment. Read together with </w:t>
      </w:r>
      <w:r>
        <w:rPr>
          <w:i/>
          <w:iCs/>
          <w:sz w:val="24"/>
          <w:szCs w:val="24"/>
        </w:rPr>
        <w:t xml:space="preserve">General Recommendation No 32, </w:t>
      </w:r>
      <w:r>
        <w:rPr>
          <w:sz w:val="24"/>
          <w:szCs w:val="24"/>
        </w:rPr>
        <w:t xml:space="preserve">the relevant question under Article 2 is not whether any single measure targeting Sikhs was adopted with an announced discriminatory purpose, but whether the cumulative effect of State practice and across policing and prosecution (addressed under Article 5(a)), custodial treatment </w:t>
      </w:r>
      <w:r w:rsidR="00B07E96">
        <w:rPr>
          <w:sz w:val="24"/>
          <w:szCs w:val="24"/>
        </w:rPr>
        <w:t>(</w:t>
      </w:r>
      <w:r>
        <w:rPr>
          <w:sz w:val="24"/>
          <w:szCs w:val="24"/>
        </w:rPr>
        <w:t>Arti</w:t>
      </w:r>
      <w:r w:rsidR="00B07E96">
        <w:rPr>
          <w:sz w:val="24"/>
          <w:szCs w:val="24"/>
        </w:rPr>
        <w:t>c</w:t>
      </w:r>
      <w:r>
        <w:rPr>
          <w:sz w:val="24"/>
          <w:szCs w:val="24"/>
        </w:rPr>
        <w:t xml:space="preserve">le 5(b)), and restrictions on expression and association (Article 5(d)) operates to impair the equal enjoyment of rights by Sikhs as an identifiable community. Article 2 therefore functions as the hub through which the more specific violations documented in this report should be read: each is a site at which the same </w:t>
      </w:r>
      <w:proofErr w:type="spellStart"/>
      <w:r>
        <w:rPr>
          <w:sz w:val="24"/>
          <w:szCs w:val="24"/>
        </w:rPr>
        <w:t>securitised</w:t>
      </w:r>
      <w:proofErr w:type="spellEnd"/>
      <w:r>
        <w:rPr>
          <w:sz w:val="24"/>
          <w:szCs w:val="24"/>
        </w:rPr>
        <w:t xml:space="preserve"> narrative of Sikh identity produces a discriminatory outcome, and the recurrence of that outcome across sites is itself evidence of a </w:t>
      </w:r>
      <w:proofErr w:type="gramStart"/>
      <w:r>
        <w:rPr>
          <w:sz w:val="24"/>
          <w:szCs w:val="24"/>
        </w:rPr>
        <w:t>State</w:t>
      </w:r>
      <w:proofErr w:type="gramEnd"/>
      <w:r>
        <w:rPr>
          <w:sz w:val="24"/>
          <w:szCs w:val="24"/>
        </w:rPr>
        <w:t xml:space="preserve"> practice within the meaning of Article 2. </w:t>
      </w:r>
    </w:p>
    <w:p w14:paraId="6BC51BF0" w14:textId="77777777" w:rsidR="00060D04" w:rsidRPr="00313ADB" w:rsidRDefault="00000000">
      <w:pPr>
        <w:spacing w:before="240" w:after="240" w:line="276" w:lineRule="auto"/>
        <w:jc w:val="both"/>
        <w:rPr>
          <w:color w:val="FF0000"/>
          <w:sz w:val="24"/>
          <w:szCs w:val="24"/>
        </w:rPr>
      </w:pPr>
      <w:r w:rsidRPr="00313ADB">
        <w:rPr>
          <w:sz w:val="24"/>
          <w:szCs w:val="24"/>
        </w:rPr>
        <w:t xml:space="preserve">This pattern sits within a broader anti-minority environment in India. Independent monitors recorded a sharp increase in hate-speech events targeting religious minorities in 2024, while </w:t>
      </w:r>
      <w:r w:rsidRPr="00313ADB">
        <w:rPr>
          <w:i/>
          <w:iCs/>
          <w:sz w:val="24"/>
          <w:szCs w:val="24"/>
        </w:rPr>
        <w:t xml:space="preserve">Human Rights Watch </w:t>
      </w:r>
      <w:r w:rsidRPr="00313ADB">
        <w:rPr>
          <w:sz w:val="24"/>
          <w:szCs w:val="24"/>
        </w:rPr>
        <w:t>found that senior political rhetoric during the 2024 election campaign incited discrimination and hostility against Muslims and other minorities in India.</w:t>
      </w:r>
      <w:r w:rsidRPr="00313ADB">
        <w:rPr>
          <w:sz w:val="24"/>
          <w:szCs w:val="24"/>
          <w:vertAlign w:val="superscript"/>
        </w:rPr>
        <w:footnoteReference w:id="2"/>
      </w:r>
      <w:r w:rsidRPr="00313ADB">
        <w:rPr>
          <w:sz w:val="24"/>
          <w:szCs w:val="24"/>
        </w:rPr>
        <w:t>,</w:t>
      </w:r>
      <w:r w:rsidRPr="00313ADB">
        <w:rPr>
          <w:sz w:val="24"/>
          <w:szCs w:val="24"/>
          <w:vertAlign w:val="superscript"/>
        </w:rPr>
        <w:footnoteReference w:id="3"/>
      </w:r>
    </w:p>
    <w:p w14:paraId="6BC51BF1" w14:textId="6B55EDB6" w:rsidR="00060D04" w:rsidRPr="00313ADB" w:rsidRDefault="00000000">
      <w:pPr>
        <w:spacing w:before="240" w:after="240" w:line="276" w:lineRule="auto"/>
        <w:jc w:val="both"/>
        <w:rPr>
          <w:sz w:val="24"/>
          <w:szCs w:val="24"/>
        </w:rPr>
      </w:pPr>
      <w:r w:rsidRPr="00313ADB">
        <w:rPr>
          <w:sz w:val="24"/>
          <w:szCs w:val="24"/>
        </w:rPr>
        <w:t>U</w:t>
      </w:r>
      <w:r w:rsidR="009907C1" w:rsidRPr="00313ADB">
        <w:rPr>
          <w:sz w:val="24"/>
          <w:szCs w:val="24"/>
        </w:rPr>
        <w:t>N</w:t>
      </w:r>
      <w:r w:rsidRPr="00313ADB">
        <w:rPr>
          <w:sz w:val="24"/>
          <w:szCs w:val="24"/>
        </w:rPr>
        <w:t xml:space="preserve"> and civil society sources support the same concern. The former United Nations Special Rapporteur on Minority Issues warned that India risks becoming one of the world’s “main generators” of instability and atrocities because of the scale and gravity of violations targeting minorities, including Sikhs, describing the pattern as systematic and as “a reflection of religious nationalism”.</w:t>
      </w:r>
      <w:r w:rsidRPr="00313ADB">
        <w:rPr>
          <w:sz w:val="24"/>
          <w:szCs w:val="24"/>
          <w:vertAlign w:val="superscript"/>
        </w:rPr>
        <w:footnoteReference w:id="4"/>
      </w:r>
      <w:r w:rsidRPr="00313ADB">
        <w:rPr>
          <w:sz w:val="24"/>
          <w:szCs w:val="24"/>
        </w:rPr>
        <w:t xml:space="preserve"> REDRESS similarly records that religious minorities in India, including Sikhs, face heightened risks of torture and </w:t>
      </w:r>
      <w:r w:rsidRPr="00313ADB">
        <w:rPr>
          <w:sz w:val="24"/>
          <w:szCs w:val="24"/>
        </w:rPr>
        <w:lastRenderedPageBreak/>
        <w:t>extrajudicial killing, and that discriminatory and nationalist rhetoric has helped make violence against minority communities increasingly acceptable.</w:t>
      </w:r>
      <w:r w:rsidRPr="00313ADB">
        <w:rPr>
          <w:sz w:val="24"/>
          <w:szCs w:val="24"/>
          <w:vertAlign w:val="superscript"/>
        </w:rPr>
        <w:footnoteReference w:id="5"/>
      </w:r>
    </w:p>
    <w:p w14:paraId="6BC51BF2" w14:textId="0889EC69" w:rsidR="00060D04" w:rsidRPr="00313ADB" w:rsidRDefault="00000000">
      <w:pPr>
        <w:spacing w:before="240" w:after="240" w:line="276" w:lineRule="auto"/>
        <w:jc w:val="both"/>
        <w:rPr>
          <w:sz w:val="24"/>
          <w:szCs w:val="24"/>
        </w:rPr>
      </w:pPr>
      <w:r w:rsidRPr="00313ADB">
        <w:rPr>
          <w:sz w:val="24"/>
          <w:szCs w:val="24"/>
        </w:rPr>
        <w:t xml:space="preserve">The Sikh-specific claim concerns the repeated use of security language to convert Sikh protest, advocacy and visible identity into suspicion. </w:t>
      </w:r>
      <w:proofErr w:type="gramStart"/>
      <w:r w:rsidR="00BC00B5" w:rsidRPr="00313ADB">
        <w:rPr>
          <w:sz w:val="24"/>
          <w:szCs w:val="24"/>
        </w:rPr>
        <w:t>On the basis of</w:t>
      </w:r>
      <w:proofErr w:type="gramEnd"/>
      <w:r w:rsidR="00BC00B5" w:rsidRPr="00313ADB">
        <w:rPr>
          <w:sz w:val="24"/>
          <w:szCs w:val="24"/>
        </w:rPr>
        <w:t xml:space="preserve"> that </w:t>
      </w:r>
      <w:r w:rsidR="004B26F2" w:rsidRPr="00313ADB">
        <w:rPr>
          <w:sz w:val="24"/>
          <w:szCs w:val="24"/>
        </w:rPr>
        <w:t xml:space="preserve">manufactured </w:t>
      </w:r>
      <w:r w:rsidR="002C613A" w:rsidRPr="00313ADB">
        <w:rPr>
          <w:sz w:val="24"/>
          <w:szCs w:val="24"/>
        </w:rPr>
        <w:t>suspicion</w:t>
      </w:r>
      <w:r w:rsidRPr="00313ADB">
        <w:rPr>
          <w:sz w:val="24"/>
          <w:szCs w:val="24"/>
        </w:rPr>
        <w:t xml:space="preserve">, </w:t>
      </w:r>
      <w:r w:rsidR="00774312" w:rsidRPr="00313ADB">
        <w:rPr>
          <w:sz w:val="24"/>
          <w:szCs w:val="24"/>
        </w:rPr>
        <w:t xml:space="preserve">subsequent </w:t>
      </w:r>
      <w:r w:rsidRPr="00313ADB">
        <w:rPr>
          <w:sz w:val="24"/>
          <w:szCs w:val="24"/>
        </w:rPr>
        <w:t xml:space="preserve">action by public authorities acquires a discriminatory character: </w:t>
      </w:r>
      <w:r w:rsidR="006F77A7" w:rsidRPr="00313ADB">
        <w:rPr>
          <w:sz w:val="24"/>
          <w:szCs w:val="24"/>
        </w:rPr>
        <w:t xml:space="preserve">over </w:t>
      </w:r>
      <w:r w:rsidRPr="00313ADB">
        <w:rPr>
          <w:sz w:val="24"/>
          <w:szCs w:val="24"/>
        </w:rPr>
        <w:t xml:space="preserve">policing and prosecution under the </w:t>
      </w:r>
      <w:r w:rsidR="008A205F" w:rsidRPr="00496B3B">
        <w:rPr>
          <w:i/>
          <w:iCs/>
          <w:sz w:val="24"/>
          <w:szCs w:val="24"/>
        </w:rPr>
        <w:t>Unlawful Activities Prevention Act (</w:t>
      </w:r>
      <w:r w:rsidRPr="00496B3B">
        <w:rPr>
          <w:i/>
          <w:iCs/>
          <w:sz w:val="24"/>
          <w:szCs w:val="24"/>
        </w:rPr>
        <w:t>UAPA</w:t>
      </w:r>
      <w:r w:rsidR="008A205F" w:rsidRPr="00496B3B">
        <w:rPr>
          <w:i/>
          <w:iCs/>
          <w:sz w:val="24"/>
          <w:szCs w:val="24"/>
        </w:rPr>
        <w:t>)</w:t>
      </w:r>
      <w:r w:rsidRPr="00313ADB">
        <w:rPr>
          <w:sz w:val="24"/>
          <w:szCs w:val="24"/>
        </w:rPr>
        <w:t xml:space="preserve"> appear more readily justified, </w:t>
      </w:r>
      <w:r w:rsidR="007B2436" w:rsidRPr="00313ADB">
        <w:rPr>
          <w:sz w:val="24"/>
          <w:szCs w:val="24"/>
        </w:rPr>
        <w:t xml:space="preserve">arbitrary </w:t>
      </w:r>
      <w:r w:rsidRPr="00313ADB">
        <w:rPr>
          <w:sz w:val="24"/>
          <w:szCs w:val="24"/>
        </w:rPr>
        <w:t>detention and custodial abuse are treated as counter-terror necessities, expression and association become vulnerable to restriction, and remedies are weakened by the same security rationale.</w:t>
      </w:r>
    </w:p>
    <w:p w14:paraId="6BC51BF3" w14:textId="46965A29" w:rsidR="00060D04" w:rsidRPr="00313ADB" w:rsidRDefault="00000000">
      <w:pPr>
        <w:spacing w:before="240" w:after="240" w:line="276" w:lineRule="auto"/>
        <w:jc w:val="both"/>
        <w:rPr>
          <w:sz w:val="24"/>
          <w:szCs w:val="24"/>
        </w:rPr>
      </w:pPr>
      <w:r w:rsidRPr="00313ADB">
        <w:rPr>
          <w:sz w:val="24"/>
          <w:szCs w:val="24"/>
        </w:rPr>
        <w:t xml:space="preserve">India therefore appears to be failing </w:t>
      </w:r>
      <w:r w:rsidR="00D6066A" w:rsidRPr="00313ADB">
        <w:rPr>
          <w:sz w:val="24"/>
          <w:szCs w:val="24"/>
        </w:rPr>
        <w:t xml:space="preserve">in its obligation </w:t>
      </w:r>
      <w:r w:rsidRPr="00313ADB">
        <w:rPr>
          <w:sz w:val="24"/>
          <w:szCs w:val="24"/>
        </w:rPr>
        <w:t>to eliminate discriminatory State practice by public authorities. The evidence also suggests a more active form of State responsibility: public rhetoric marks Sikh dissent as suspect, counter-terror law</w:t>
      </w:r>
      <w:r w:rsidR="00746797" w:rsidRPr="00313ADB">
        <w:rPr>
          <w:sz w:val="24"/>
          <w:szCs w:val="24"/>
        </w:rPr>
        <w:t>s</w:t>
      </w:r>
      <w:r w:rsidRPr="00313ADB">
        <w:rPr>
          <w:sz w:val="24"/>
          <w:szCs w:val="24"/>
        </w:rPr>
        <w:t xml:space="preserve"> give that suspicion coercive force, and weak remedies protect officials who act upon it. Article 2 is engaged because the practice is </w:t>
      </w:r>
      <w:proofErr w:type="gramStart"/>
      <w:r w:rsidRPr="00313ADB">
        <w:rPr>
          <w:sz w:val="24"/>
          <w:szCs w:val="24"/>
        </w:rPr>
        <w:t>State-linked</w:t>
      </w:r>
      <w:proofErr w:type="gramEnd"/>
      <w:r w:rsidRPr="00313ADB">
        <w:rPr>
          <w:sz w:val="24"/>
          <w:szCs w:val="24"/>
        </w:rPr>
        <w:t xml:space="preserve"> at each stage, from public labelling to policing, detention, censorship and remedy failure.</w:t>
      </w:r>
    </w:p>
    <w:p w14:paraId="6BC51BF4" w14:textId="77777777" w:rsidR="00060D04" w:rsidRPr="00313ADB" w:rsidRDefault="00000000">
      <w:pPr>
        <w:pStyle w:val="Heading1"/>
        <w:spacing w:line="276" w:lineRule="auto"/>
        <w:jc w:val="both"/>
        <w:rPr>
          <w:sz w:val="24"/>
          <w:szCs w:val="24"/>
        </w:rPr>
      </w:pPr>
      <w:r w:rsidRPr="00496B3B">
        <w:rPr>
          <w:rFonts w:eastAsia="Calibri"/>
        </w:rPr>
        <w:t>Article 4 - Incitement, public vilification and racist propaganda</w:t>
      </w:r>
    </w:p>
    <w:p w14:paraId="6BC51BF5" w14:textId="7456417F" w:rsidR="00060D04" w:rsidRPr="00313ADB" w:rsidRDefault="00000000">
      <w:pPr>
        <w:spacing w:before="240" w:after="240" w:line="276" w:lineRule="auto"/>
        <w:ind w:firstLine="720"/>
        <w:jc w:val="both"/>
        <w:rPr>
          <w:sz w:val="24"/>
          <w:szCs w:val="24"/>
        </w:rPr>
      </w:pPr>
      <w:r w:rsidRPr="00313ADB">
        <w:rPr>
          <w:sz w:val="24"/>
          <w:szCs w:val="24"/>
        </w:rPr>
        <w:t xml:space="preserve">Article 4 requires States Parties to condemn propaganda based on ideas of racial superiority or hatred and to take measures against incitement to racial discrimination and racially motivated violence. </w:t>
      </w:r>
      <w:r w:rsidRPr="00313ADB">
        <w:rPr>
          <w:i/>
          <w:iCs/>
          <w:sz w:val="24"/>
          <w:szCs w:val="24"/>
        </w:rPr>
        <w:t>General Recommendation No. 35</w:t>
      </w:r>
      <w:r w:rsidRPr="00313ADB">
        <w:rPr>
          <w:sz w:val="24"/>
          <w:szCs w:val="24"/>
        </w:rPr>
        <w:t xml:space="preserve"> confirms that States must also address racist hate speech by public officials and influential public figures, particularly where such speech </w:t>
      </w:r>
      <w:proofErr w:type="spellStart"/>
      <w:r w:rsidRPr="00313ADB">
        <w:rPr>
          <w:sz w:val="24"/>
          <w:szCs w:val="24"/>
        </w:rPr>
        <w:t>stigmatises</w:t>
      </w:r>
      <w:proofErr w:type="spellEnd"/>
      <w:r w:rsidRPr="00313ADB">
        <w:rPr>
          <w:sz w:val="24"/>
          <w:szCs w:val="24"/>
        </w:rPr>
        <w:t xml:space="preserve"> protected groups or creates a climate conducive to discrimination.</w:t>
      </w:r>
      <w:r w:rsidRPr="00313ADB">
        <w:rPr>
          <w:sz w:val="24"/>
          <w:szCs w:val="24"/>
          <w:vertAlign w:val="superscript"/>
        </w:rPr>
        <w:footnoteReference w:id="6"/>
      </w:r>
      <w:r w:rsidRPr="00313ADB">
        <w:rPr>
          <w:sz w:val="24"/>
          <w:szCs w:val="24"/>
        </w:rPr>
        <w:t xml:space="preserve"> The Sikh-specific concern arises where the narrative of </w:t>
      </w:r>
      <w:r w:rsidR="00FE7609">
        <w:rPr>
          <w:sz w:val="24"/>
          <w:szCs w:val="24"/>
        </w:rPr>
        <w:t xml:space="preserve">"extremism" and </w:t>
      </w:r>
      <w:r w:rsidR="007F2A39" w:rsidRPr="00313ADB">
        <w:rPr>
          <w:sz w:val="24"/>
          <w:szCs w:val="24"/>
        </w:rPr>
        <w:t>“</w:t>
      </w:r>
      <w:r w:rsidRPr="00313ADB">
        <w:rPr>
          <w:sz w:val="24"/>
          <w:szCs w:val="24"/>
        </w:rPr>
        <w:t>separatist threat</w:t>
      </w:r>
      <w:r w:rsidR="007F2A39" w:rsidRPr="00313ADB">
        <w:rPr>
          <w:sz w:val="24"/>
          <w:szCs w:val="24"/>
        </w:rPr>
        <w:t>”</w:t>
      </w:r>
      <w:r w:rsidRPr="00313ADB">
        <w:rPr>
          <w:sz w:val="24"/>
          <w:szCs w:val="24"/>
        </w:rPr>
        <w:t xml:space="preserve"> is used to </w:t>
      </w:r>
      <w:proofErr w:type="spellStart"/>
      <w:r w:rsidRPr="00313ADB">
        <w:rPr>
          <w:sz w:val="24"/>
          <w:szCs w:val="24"/>
        </w:rPr>
        <w:t>stigmatise</w:t>
      </w:r>
      <w:proofErr w:type="spellEnd"/>
      <w:r w:rsidRPr="00313ADB">
        <w:rPr>
          <w:sz w:val="24"/>
          <w:szCs w:val="24"/>
        </w:rPr>
        <w:t xml:space="preserve"> legitimate protest and advocacy</w:t>
      </w:r>
      <w:r w:rsidR="00FE7609">
        <w:rPr>
          <w:sz w:val="24"/>
          <w:szCs w:val="24"/>
        </w:rPr>
        <w:t xml:space="preserve"> on a range of issues, including</w:t>
      </w:r>
      <w:r w:rsidR="003D59C7" w:rsidRPr="00313ADB">
        <w:rPr>
          <w:sz w:val="24"/>
          <w:szCs w:val="24"/>
        </w:rPr>
        <w:t xml:space="preserve"> for Sikh self-determination in the form of an independent Sikh homeland, Khalistan</w:t>
      </w:r>
      <w:r w:rsidRPr="00313ADB">
        <w:rPr>
          <w:sz w:val="24"/>
          <w:szCs w:val="24"/>
        </w:rPr>
        <w:t xml:space="preserve">. That narrative has legal force in India through the treatment of Khalistan </w:t>
      </w:r>
      <w:r w:rsidR="003D46EE" w:rsidRPr="00313ADB">
        <w:rPr>
          <w:sz w:val="24"/>
          <w:szCs w:val="24"/>
        </w:rPr>
        <w:t xml:space="preserve">independence </w:t>
      </w:r>
      <w:r w:rsidR="00B204F0" w:rsidRPr="00313ADB">
        <w:rPr>
          <w:sz w:val="24"/>
          <w:szCs w:val="24"/>
        </w:rPr>
        <w:t>movements</w:t>
      </w:r>
      <w:r w:rsidRPr="00313ADB">
        <w:rPr>
          <w:sz w:val="24"/>
          <w:szCs w:val="24"/>
        </w:rPr>
        <w:t xml:space="preserve"> as a national security and counter-terrorism issue under </w:t>
      </w:r>
      <w:r w:rsidRPr="00496B3B">
        <w:rPr>
          <w:i/>
          <w:iCs/>
          <w:sz w:val="24"/>
          <w:szCs w:val="24"/>
        </w:rPr>
        <w:t>UAPA</w:t>
      </w:r>
      <w:r w:rsidRPr="00313ADB">
        <w:rPr>
          <w:sz w:val="24"/>
          <w:szCs w:val="24"/>
        </w:rPr>
        <w:t>.</w:t>
      </w:r>
      <w:r w:rsidRPr="00313ADB">
        <w:rPr>
          <w:sz w:val="24"/>
          <w:szCs w:val="24"/>
          <w:vertAlign w:val="superscript"/>
        </w:rPr>
        <w:footnoteReference w:id="7"/>
      </w:r>
      <w:r w:rsidRPr="00313ADB">
        <w:rPr>
          <w:sz w:val="24"/>
          <w:szCs w:val="24"/>
        </w:rPr>
        <w:t xml:space="preserve"> Article 4 </w:t>
      </w:r>
      <w:r w:rsidR="00C763D6" w:rsidRPr="00313ADB">
        <w:rPr>
          <w:sz w:val="24"/>
          <w:szCs w:val="24"/>
        </w:rPr>
        <w:t>applies to</w:t>
      </w:r>
      <w:r w:rsidRPr="00313ADB">
        <w:rPr>
          <w:sz w:val="24"/>
          <w:szCs w:val="24"/>
        </w:rPr>
        <w:t xml:space="preserve"> the</w:t>
      </w:r>
      <w:r w:rsidR="006F7EB0" w:rsidRPr="00313ADB">
        <w:rPr>
          <w:sz w:val="24"/>
          <w:szCs w:val="24"/>
        </w:rPr>
        <w:t xml:space="preserve"> </w:t>
      </w:r>
      <w:r w:rsidR="007276F6" w:rsidRPr="00313ADB">
        <w:rPr>
          <w:sz w:val="24"/>
          <w:szCs w:val="24"/>
        </w:rPr>
        <w:t xml:space="preserve">stereotyping and </w:t>
      </w:r>
      <w:r w:rsidR="006F7EB0" w:rsidRPr="00313ADB">
        <w:rPr>
          <w:sz w:val="24"/>
          <w:szCs w:val="24"/>
        </w:rPr>
        <w:t>framing of</w:t>
      </w:r>
      <w:r w:rsidRPr="00313ADB">
        <w:rPr>
          <w:sz w:val="24"/>
          <w:szCs w:val="24"/>
        </w:rPr>
        <w:t xml:space="preserve"> specific </w:t>
      </w:r>
      <w:r w:rsidR="00A1064E" w:rsidRPr="00313ADB">
        <w:rPr>
          <w:sz w:val="24"/>
          <w:szCs w:val="24"/>
        </w:rPr>
        <w:t>incidents</w:t>
      </w:r>
      <w:r w:rsidRPr="00313ADB">
        <w:rPr>
          <w:sz w:val="24"/>
          <w:szCs w:val="24"/>
        </w:rPr>
        <w:t xml:space="preserve"> in public discourse, where Sikh protest, identity and advocacy may be associated with extremism </w:t>
      </w:r>
      <w:r w:rsidR="00B039AE" w:rsidRPr="00313ADB">
        <w:rPr>
          <w:sz w:val="24"/>
          <w:szCs w:val="24"/>
        </w:rPr>
        <w:t xml:space="preserve">and criminalized </w:t>
      </w:r>
      <w:r w:rsidRPr="00313ADB">
        <w:rPr>
          <w:sz w:val="24"/>
          <w:szCs w:val="24"/>
        </w:rPr>
        <w:t>without evidence.</w:t>
      </w:r>
    </w:p>
    <w:p w14:paraId="6BC51BF6" w14:textId="0BEF4C96" w:rsidR="00060D04" w:rsidRDefault="00000000">
      <w:pPr>
        <w:spacing w:before="240" w:after="240" w:line="276" w:lineRule="auto"/>
        <w:jc w:val="both"/>
        <w:rPr>
          <w:sz w:val="24"/>
          <w:szCs w:val="24"/>
        </w:rPr>
      </w:pPr>
      <w:r w:rsidRPr="00313ADB">
        <w:rPr>
          <w:sz w:val="24"/>
          <w:szCs w:val="24"/>
        </w:rPr>
        <w:t xml:space="preserve">This was visible during the farmers’ protests in and around Delhi in 2020 and 2021, when a largely Punjab-based </w:t>
      </w:r>
      <w:proofErr w:type="spellStart"/>
      <w:r w:rsidRPr="00313ADB">
        <w:rPr>
          <w:sz w:val="24"/>
          <w:szCs w:val="24"/>
        </w:rPr>
        <w:t>mobilisation</w:t>
      </w:r>
      <w:proofErr w:type="spellEnd"/>
      <w:r w:rsidRPr="00313ADB">
        <w:rPr>
          <w:sz w:val="24"/>
          <w:szCs w:val="24"/>
        </w:rPr>
        <w:t xml:space="preserve"> against agricultural reform laws was publicly described by senior political voices as carrying a “Khalistani agenda”.</w:t>
      </w:r>
      <w:r w:rsidRPr="00313ADB">
        <w:rPr>
          <w:sz w:val="24"/>
          <w:szCs w:val="24"/>
          <w:vertAlign w:val="superscript"/>
        </w:rPr>
        <w:footnoteReference w:id="8"/>
      </w:r>
      <w:r w:rsidRPr="00313ADB">
        <w:rPr>
          <w:sz w:val="24"/>
          <w:szCs w:val="24"/>
        </w:rPr>
        <w:t xml:space="preserve"> The </w:t>
      </w:r>
      <w:r w:rsidRPr="00313ADB">
        <w:rPr>
          <w:i/>
          <w:iCs/>
          <w:sz w:val="24"/>
          <w:szCs w:val="24"/>
        </w:rPr>
        <w:t>Editors Guild of India</w:t>
      </w:r>
      <w:r w:rsidRPr="00313ADB">
        <w:rPr>
          <w:sz w:val="24"/>
          <w:szCs w:val="24"/>
        </w:rPr>
        <w:t xml:space="preserve">, a professional body of senior editors, warned media </w:t>
      </w:r>
      <w:proofErr w:type="spellStart"/>
      <w:r w:rsidRPr="00313ADB">
        <w:rPr>
          <w:sz w:val="24"/>
          <w:szCs w:val="24"/>
        </w:rPr>
        <w:t>organisations</w:t>
      </w:r>
      <w:proofErr w:type="spellEnd"/>
      <w:r w:rsidRPr="00313ADB">
        <w:rPr>
          <w:sz w:val="24"/>
          <w:szCs w:val="24"/>
        </w:rPr>
        <w:t xml:space="preserve"> against labelling protesting farmers as “Khalistani” or “anti-nationals”, and specifically cautioned against stereotyping protesters by “attire and ethnicity”.</w:t>
      </w:r>
      <w:r w:rsidRPr="00313ADB">
        <w:rPr>
          <w:sz w:val="24"/>
          <w:szCs w:val="24"/>
          <w:vertAlign w:val="superscript"/>
        </w:rPr>
        <w:footnoteReference w:id="9"/>
      </w:r>
      <w:r w:rsidRPr="00313ADB">
        <w:rPr>
          <w:sz w:val="24"/>
          <w:szCs w:val="24"/>
        </w:rPr>
        <w:t xml:space="preserve"> The </w:t>
      </w:r>
      <w:r w:rsidRPr="00313ADB">
        <w:rPr>
          <w:sz w:val="24"/>
          <w:szCs w:val="24"/>
        </w:rPr>
        <w:lastRenderedPageBreak/>
        <w:t xml:space="preserve">warning is significant because it identifies the discriminatory mechanism from within India itself: suspicion attached to Sikh and Punjabi identity markers is used to </w:t>
      </w:r>
      <w:proofErr w:type="spellStart"/>
      <w:r w:rsidRPr="00313ADB">
        <w:rPr>
          <w:sz w:val="24"/>
          <w:szCs w:val="24"/>
        </w:rPr>
        <w:t>delegitimise</w:t>
      </w:r>
      <w:proofErr w:type="spellEnd"/>
      <w:r w:rsidRPr="00313ADB">
        <w:rPr>
          <w:sz w:val="24"/>
          <w:szCs w:val="24"/>
        </w:rPr>
        <w:t xml:space="preserve"> collective protest</w:t>
      </w:r>
      <w:r w:rsidR="00B039AE" w:rsidRPr="00313ADB">
        <w:rPr>
          <w:sz w:val="24"/>
          <w:szCs w:val="24"/>
        </w:rPr>
        <w:t xml:space="preserve"> by criminalizing pro-Khalistan advocacy</w:t>
      </w:r>
      <w:r w:rsidRPr="00313ADB">
        <w:rPr>
          <w:sz w:val="24"/>
          <w:szCs w:val="24"/>
        </w:rPr>
        <w:t>.</w:t>
      </w:r>
    </w:p>
    <w:p w14:paraId="0A09DBD6" w14:textId="77777777" w:rsidR="00D32961" w:rsidRPr="00496B3B" w:rsidRDefault="00D32961" w:rsidP="00D32961">
      <w:pPr>
        <w:spacing w:before="240" w:after="240" w:line="276" w:lineRule="auto"/>
        <w:jc w:val="both"/>
        <w:rPr>
          <w:sz w:val="24"/>
          <w:szCs w:val="24"/>
        </w:rPr>
      </w:pPr>
      <w:r w:rsidRPr="00496B3B">
        <w:rPr>
          <w:sz w:val="24"/>
          <w:szCs w:val="24"/>
        </w:rPr>
        <w:t xml:space="preserve">Article 4(c) requires States Parties to ensure that public authorities and public institutions do not themselves promote or incite racial discrimination. This obligation is engaged where an elected official repeats the narrative addressed above. Kangana Ranaut, elected to the Lok Sabha in 2024 as a </w:t>
      </w:r>
      <w:proofErr w:type="spellStart"/>
      <w:r w:rsidRPr="00496B3B">
        <w:rPr>
          <w:sz w:val="24"/>
          <w:szCs w:val="24"/>
        </w:rPr>
        <w:t>Bharatiya</w:t>
      </w:r>
      <w:proofErr w:type="spellEnd"/>
      <w:r w:rsidRPr="00496B3B">
        <w:rPr>
          <w:sz w:val="24"/>
          <w:szCs w:val="24"/>
        </w:rPr>
        <w:t xml:space="preserve"> Janata Party Member of Parliament, has on multiple occasions called on Sikhs collectively to disassociate themselves from “</w:t>
      </w:r>
      <w:proofErr w:type="spellStart"/>
      <w:r w:rsidRPr="00496B3B">
        <w:rPr>
          <w:sz w:val="24"/>
          <w:szCs w:val="24"/>
        </w:rPr>
        <w:t>Khalistanis</w:t>
      </w:r>
      <w:proofErr w:type="spellEnd"/>
      <w:r w:rsidRPr="00496B3B">
        <w:rPr>
          <w:sz w:val="24"/>
          <w:szCs w:val="24"/>
        </w:rPr>
        <w:t xml:space="preserve">” and to demonstrate support for “Akhand Bharat”, stating that “the Sikh community must disassociate themselves from </w:t>
      </w:r>
      <w:proofErr w:type="spellStart"/>
      <w:r w:rsidRPr="00496B3B">
        <w:rPr>
          <w:sz w:val="24"/>
          <w:szCs w:val="24"/>
        </w:rPr>
        <w:t>khalistanis</w:t>
      </w:r>
      <w:proofErr w:type="spellEnd"/>
      <w:r w:rsidRPr="00496B3B">
        <w:rPr>
          <w:sz w:val="24"/>
          <w:szCs w:val="24"/>
        </w:rPr>
        <w:t>” and that “</w:t>
      </w:r>
      <w:proofErr w:type="spellStart"/>
      <w:r w:rsidRPr="00496B3B">
        <w:rPr>
          <w:sz w:val="24"/>
          <w:szCs w:val="24"/>
        </w:rPr>
        <w:t>khalistani</w:t>
      </w:r>
      <w:proofErr w:type="spellEnd"/>
      <w:r w:rsidRPr="00496B3B">
        <w:rPr>
          <w:sz w:val="24"/>
          <w:szCs w:val="24"/>
        </w:rPr>
        <w:t xml:space="preserve"> terrorism makes them look bad”, and separately asserting that “99% of Punjab” regard a Sikh religious figure as a terrorist.</w:t>
      </w:r>
      <w:r w:rsidRPr="00496B3B">
        <w:rPr>
          <w:sz w:val="24"/>
          <w:szCs w:val="24"/>
          <w:vertAlign w:val="superscript"/>
        </w:rPr>
        <w:footnoteReference w:id="10"/>
      </w:r>
      <w:r w:rsidRPr="00496B3B">
        <w:rPr>
          <w:sz w:val="24"/>
          <w:szCs w:val="24"/>
        </w:rPr>
        <w:t xml:space="preserve"> These statements should be treated as reported public and social-media remarks rather than judicial findings. Read in context, they move from criticism of a specific banned movement to an appeal directed at Sikhs as a community to prove their loyalty, with the implicit corollary that the community </w:t>
      </w:r>
      <w:proofErr w:type="gramStart"/>
      <w:r w:rsidRPr="00496B3B">
        <w:rPr>
          <w:sz w:val="24"/>
          <w:szCs w:val="24"/>
        </w:rPr>
        <w:t>as a whole bears</w:t>
      </w:r>
      <w:proofErr w:type="gramEnd"/>
      <w:r w:rsidRPr="00496B3B">
        <w:rPr>
          <w:sz w:val="24"/>
          <w:szCs w:val="24"/>
        </w:rPr>
        <w:t xml:space="preserve"> responsibility for extremism unless it does so. Because these statements are made by a person holding public office, they raise a concern under Article 4(c), in addition to the general Article 4(a) concern with </w:t>
      </w:r>
      <w:proofErr w:type="spellStart"/>
      <w:r w:rsidRPr="00496B3B">
        <w:rPr>
          <w:sz w:val="24"/>
          <w:szCs w:val="24"/>
        </w:rPr>
        <w:t>stigmatising</w:t>
      </w:r>
      <w:proofErr w:type="spellEnd"/>
      <w:r w:rsidRPr="00496B3B">
        <w:rPr>
          <w:sz w:val="24"/>
          <w:szCs w:val="24"/>
        </w:rPr>
        <w:t xml:space="preserve"> public discourse addressed above.</w:t>
      </w:r>
    </w:p>
    <w:p w14:paraId="07FEFB1C" w14:textId="374355F1" w:rsidR="00D32961" w:rsidRPr="00313ADB" w:rsidRDefault="00D32961" w:rsidP="00D32961">
      <w:pPr>
        <w:spacing w:before="240" w:after="240" w:line="276" w:lineRule="auto"/>
        <w:jc w:val="both"/>
        <w:rPr>
          <w:sz w:val="24"/>
          <w:szCs w:val="24"/>
        </w:rPr>
      </w:pPr>
      <w:r w:rsidRPr="00496B3B">
        <w:rPr>
          <w:sz w:val="24"/>
          <w:szCs w:val="24"/>
        </w:rPr>
        <w:t xml:space="preserve">The discriminatory character of these remarks is compounded by Ms. Ranaut's dual public standing as a sitting Member of Parliament and a nationally prominent actor and social media personality, commanding an audience of approximately 2.9 million followers on X and 9.8 million followers on Instagram. Her parliamentary office confers a degree of public authority upon her statements, while her celebrity status and consequent digital reach ensure their dissemination well beyond her electoral constituency. By imposing a collective obligation upon Sikhs to disavow extremism and affirmatively demonstrate national loyalty, the statements in question are apt to entrench a </w:t>
      </w:r>
      <w:proofErr w:type="spellStart"/>
      <w:r w:rsidRPr="00496B3B">
        <w:rPr>
          <w:sz w:val="24"/>
          <w:szCs w:val="24"/>
        </w:rPr>
        <w:t>racialised</w:t>
      </w:r>
      <w:proofErr w:type="spellEnd"/>
      <w:r w:rsidRPr="00496B3B">
        <w:rPr>
          <w:sz w:val="24"/>
          <w:szCs w:val="24"/>
        </w:rPr>
        <w:t xml:space="preserve"> association between Sikh identity and security threat, to exacerbate societal divisions, and to contribute to a climate in which suspicion and discriminatory treatment of Sikhs are rendered socially acceptable. These considerations reinforce the concern arising under Article 4(c) and render the response of her political party, together with that of competent public institutions, material to any assessment of the State's compliance with its obligations</w:t>
      </w:r>
    </w:p>
    <w:p w14:paraId="6BC51BF7" w14:textId="0BCC0C00" w:rsidR="00060D04" w:rsidRPr="00313ADB" w:rsidRDefault="00000000">
      <w:pPr>
        <w:spacing w:before="240" w:after="240" w:line="276" w:lineRule="auto"/>
        <w:jc w:val="both"/>
        <w:rPr>
          <w:color w:val="FF0000"/>
          <w:sz w:val="24"/>
          <w:szCs w:val="24"/>
        </w:rPr>
      </w:pPr>
      <w:r w:rsidRPr="00313ADB">
        <w:rPr>
          <w:sz w:val="24"/>
          <w:szCs w:val="24"/>
        </w:rPr>
        <w:t>The Committee need not find that every use of the term “Khalistani”</w:t>
      </w:r>
      <w:r w:rsidR="00B039AE" w:rsidRPr="00313ADB">
        <w:rPr>
          <w:sz w:val="24"/>
          <w:szCs w:val="24"/>
        </w:rPr>
        <w:t xml:space="preserve"> or anti-national</w:t>
      </w:r>
      <w:r w:rsidRPr="00313ADB">
        <w:rPr>
          <w:sz w:val="24"/>
          <w:szCs w:val="24"/>
        </w:rPr>
        <w:t xml:space="preserve"> amounts to incitement. The Article 4 concern is narrower and more concrete: State-linked and influential public actors can use </w:t>
      </w:r>
      <w:r w:rsidR="00B039AE" w:rsidRPr="00313ADB">
        <w:rPr>
          <w:sz w:val="24"/>
          <w:szCs w:val="24"/>
        </w:rPr>
        <w:t xml:space="preserve">these </w:t>
      </w:r>
      <w:r w:rsidRPr="00313ADB">
        <w:rPr>
          <w:sz w:val="24"/>
          <w:szCs w:val="24"/>
        </w:rPr>
        <w:t>label</w:t>
      </w:r>
      <w:r w:rsidR="00B039AE" w:rsidRPr="00313ADB">
        <w:rPr>
          <w:sz w:val="24"/>
          <w:szCs w:val="24"/>
        </w:rPr>
        <w:t>s</w:t>
      </w:r>
      <w:r w:rsidRPr="00313ADB">
        <w:rPr>
          <w:sz w:val="24"/>
          <w:szCs w:val="24"/>
        </w:rPr>
        <w:t xml:space="preserve"> to </w:t>
      </w:r>
      <w:proofErr w:type="spellStart"/>
      <w:r w:rsidRPr="00313ADB">
        <w:rPr>
          <w:sz w:val="24"/>
          <w:szCs w:val="24"/>
        </w:rPr>
        <w:t>generalise</w:t>
      </w:r>
      <w:proofErr w:type="spellEnd"/>
      <w:r w:rsidRPr="00313ADB">
        <w:rPr>
          <w:sz w:val="24"/>
          <w:szCs w:val="24"/>
        </w:rPr>
        <w:t xml:space="preserve"> suspicion beyond specific individuals or </w:t>
      </w:r>
      <w:proofErr w:type="spellStart"/>
      <w:r w:rsidRPr="00313ADB">
        <w:rPr>
          <w:sz w:val="24"/>
          <w:szCs w:val="24"/>
        </w:rPr>
        <w:t>organisations</w:t>
      </w:r>
      <w:proofErr w:type="spellEnd"/>
      <w:r w:rsidRPr="00313ADB">
        <w:rPr>
          <w:sz w:val="24"/>
          <w:szCs w:val="24"/>
        </w:rPr>
        <w:t xml:space="preserve">, creating a climate in which Sikh dissent is more readily associated with terrorism and </w:t>
      </w:r>
      <w:r w:rsidR="00F45017" w:rsidRPr="00313ADB">
        <w:rPr>
          <w:sz w:val="24"/>
          <w:szCs w:val="24"/>
        </w:rPr>
        <w:t>subsequent</w:t>
      </w:r>
      <w:r w:rsidR="002A624D" w:rsidRPr="00313ADB">
        <w:rPr>
          <w:sz w:val="24"/>
          <w:szCs w:val="24"/>
        </w:rPr>
        <w:t>ly</w:t>
      </w:r>
      <w:r w:rsidRPr="00313ADB">
        <w:rPr>
          <w:sz w:val="24"/>
          <w:szCs w:val="24"/>
        </w:rPr>
        <w:t xml:space="preserve"> restrictions on speech, protest and association appear more acceptable.</w:t>
      </w:r>
      <w:r w:rsidR="00D32961">
        <w:rPr>
          <w:sz w:val="24"/>
          <w:szCs w:val="24"/>
        </w:rPr>
        <w:t xml:space="preserve"> The rhetorical power of the "Khalistan" label invokes a context in which Sikhs have been subjected to mass violence and State-linked reprisals</w:t>
      </w:r>
      <w:r w:rsidR="00031187">
        <w:rPr>
          <w:sz w:val="24"/>
          <w:szCs w:val="24"/>
        </w:rPr>
        <w:t xml:space="preserve"> during the insurgency between 1984-1995</w:t>
      </w:r>
      <w:r w:rsidR="00D32961">
        <w:rPr>
          <w:sz w:val="24"/>
          <w:szCs w:val="24"/>
        </w:rPr>
        <w:t xml:space="preserve">. Its causal use against </w:t>
      </w:r>
      <w:r w:rsidR="00031187">
        <w:rPr>
          <w:sz w:val="24"/>
          <w:szCs w:val="24"/>
        </w:rPr>
        <w:t xml:space="preserve">any </w:t>
      </w:r>
      <w:r w:rsidR="00D32961">
        <w:rPr>
          <w:sz w:val="24"/>
          <w:szCs w:val="24"/>
        </w:rPr>
        <w:t xml:space="preserve">contemporary protest, advocacy or religious expression carries a coercive charge beyond ordinary political criticism: it implicitly threatens </w:t>
      </w:r>
      <w:r w:rsidR="00D32961">
        <w:rPr>
          <w:sz w:val="24"/>
          <w:szCs w:val="24"/>
        </w:rPr>
        <w:lastRenderedPageBreak/>
        <w:t xml:space="preserve">the reprisals experienced by Sikhs when mobs </w:t>
      </w:r>
      <w:proofErr w:type="gramStart"/>
      <w:r w:rsidR="00D32961">
        <w:rPr>
          <w:sz w:val="24"/>
          <w:szCs w:val="24"/>
        </w:rPr>
        <w:t>kills</w:t>
      </w:r>
      <w:proofErr w:type="gramEnd"/>
      <w:r w:rsidR="00D32961">
        <w:rPr>
          <w:sz w:val="24"/>
          <w:szCs w:val="24"/>
        </w:rPr>
        <w:t xml:space="preserve"> thousands of Sikhs across India in organized, systematic massacres in November 1984</w:t>
      </w:r>
      <w:r w:rsidR="00031187">
        <w:rPr>
          <w:sz w:val="24"/>
          <w:szCs w:val="24"/>
        </w:rPr>
        <w:t xml:space="preserve"> and security forces engaged in documented excesses</w:t>
      </w:r>
      <w:r w:rsidR="00D32961">
        <w:rPr>
          <w:sz w:val="24"/>
          <w:szCs w:val="24"/>
        </w:rPr>
        <w:t xml:space="preserve">.  </w:t>
      </w:r>
    </w:p>
    <w:p w14:paraId="6BC51BF8" w14:textId="77777777" w:rsidR="00060D04" w:rsidRPr="00313ADB" w:rsidRDefault="00000000">
      <w:pPr>
        <w:pStyle w:val="Heading1"/>
        <w:spacing w:line="276" w:lineRule="auto"/>
        <w:jc w:val="both"/>
      </w:pPr>
      <w:r w:rsidRPr="00496B3B">
        <w:rPr>
          <w:rFonts w:eastAsia="Calibri"/>
        </w:rPr>
        <w:t>Article 5(a) - Equality before tribunals and organs administering justice</w:t>
      </w:r>
    </w:p>
    <w:p w14:paraId="6BC51BF9" w14:textId="77777777" w:rsidR="00060D04" w:rsidRPr="00313ADB" w:rsidRDefault="00000000">
      <w:pPr>
        <w:spacing w:before="240" w:after="240" w:line="276" w:lineRule="auto"/>
        <w:ind w:firstLine="720"/>
        <w:jc w:val="both"/>
        <w:rPr>
          <w:sz w:val="24"/>
          <w:szCs w:val="24"/>
        </w:rPr>
      </w:pPr>
      <w:r w:rsidRPr="00313ADB">
        <w:rPr>
          <w:sz w:val="24"/>
          <w:szCs w:val="24"/>
        </w:rPr>
        <w:t xml:space="preserve">Article 5(a) guarantees equality before the law in the enjoyment of the right to equal treatment before the courts and all other organs administering justice. The </w:t>
      </w:r>
      <w:r w:rsidRPr="00496B3B">
        <w:rPr>
          <w:i/>
          <w:iCs/>
          <w:sz w:val="24"/>
          <w:szCs w:val="24"/>
        </w:rPr>
        <w:t>UAPA</w:t>
      </w:r>
      <w:r w:rsidRPr="00313ADB">
        <w:rPr>
          <w:sz w:val="24"/>
          <w:szCs w:val="24"/>
        </w:rPr>
        <w:t xml:space="preserve"> can deny that guarantee in its operation when applied to Sikh dissidents. The Act permits extended police remand for interrogation, the stage at which torture is most frequently inflicted to extract confessions, and imposes a bail regime under Section 43D(5) that bars release where the prosecution’s allegations appear </w:t>
      </w:r>
      <w:r w:rsidRPr="00496B3B">
        <w:rPr>
          <w:i/>
          <w:iCs/>
          <w:sz w:val="24"/>
          <w:szCs w:val="24"/>
        </w:rPr>
        <w:t>prima facie</w:t>
      </w:r>
      <w:r w:rsidRPr="00313ADB">
        <w:rPr>
          <w:sz w:val="24"/>
          <w:szCs w:val="24"/>
        </w:rPr>
        <w:t xml:space="preserve"> true on the case diary and chargesheet alone.</w:t>
      </w:r>
      <w:r w:rsidRPr="00313ADB">
        <w:rPr>
          <w:sz w:val="24"/>
          <w:szCs w:val="24"/>
          <w:vertAlign w:val="superscript"/>
        </w:rPr>
        <w:footnoteReference w:id="11"/>
      </w:r>
      <w:r w:rsidRPr="00313ADB">
        <w:rPr>
          <w:sz w:val="24"/>
          <w:szCs w:val="24"/>
        </w:rPr>
        <w:t xml:space="preserve"> The Supreme Court has held that this </w:t>
      </w:r>
      <w:r w:rsidRPr="00496B3B">
        <w:rPr>
          <w:i/>
          <w:iCs/>
          <w:sz w:val="24"/>
          <w:szCs w:val="24"/>
        </w:rPr>
        <w:t>prima facie</w:t>
      </w:r>
      <w:r w:rsidRPr="00313ADB">
        <w:rPr>
          <w:sz w:val="24"/>
          <w:szCs w:val="24"/>
        </w:rPr>
        <w:t xml:space="preserve"> threshold is deliberately lighter than the standard applied in ordinary criminal bail, and that courts may not weigh the </w:t>
      </w:r>
      <w:proofErr w:type="spellStart"/>
      <w:r w:rsidRPr="00313ADB">
        <w:rPr>
          <w:sz w:val="24"/>
          <w:szCs w:val="24"/>
        </w:rPr>
        <w:t>defence’s</w:t>
      </w:r>
      <w:proofErr w:type="spellEnd"/>
      <w:r w:rsidRPr="00313ADB">
        <w:rPr>
          <w:sz w:val="24"/>
          <w:szCs w:val="24"/>
        </w:rPr>
        <w:t xml:space="preserve"> evidence or conduct any detailed examination of the prosecution’s case at the bail stage.</w:t>
      </w:r>
      <w:r w:rsidRPr="00313ADB">
        <w:rPr>
          <w:sz w:val="24"/>
          <w:szCs w:val="24"/>
          <w:vertAlign w:val="superscript"/>
        </w:rPr>
        <w:footnoteReference w:id="12"/>
      </w:r>
      <w:r w:rsidRPr="00313ADB">
        <w:rPr>
          <w:sz w:val="24"/>
          <w:szCs w:val="24"/>
        </w:rPr>
        <w:t xml:space="preserve"> The practical effect is to invert the ordinary presumption that bail is the rule and jail the exception, shifting the burden onto the accused to disprove the State’s case before trial has begun.</w:t>
      </w:r>
    </w:p>
    <w:p w14:paraId="6BC51BFA" w14:textId="0CD60F0B" w:rsidR="00060D04" w:rsidRPr="00313ADB" w:rsidRDefault="00000000">
      <w:pPr>
        <w:spacing w:before="240" w:after="240" w:line="276" w:lineRule="auto"/>
        <w:jc w:val="both"/>
        <w:rPr>
          <w:sz w:val="24"/>
          <w:szCs w:val="24"/>
        </w:rPr>
      </w:pPr>
      <w:r w:rsidRPr="00313ADB">
        <w:rPr>
          <w:sz w:val="24"/>
          <w:szCs w:val="24"/>
        </w:rPr>
        <w:t>That bail architecture operates against a background in which India has formally treated Khalistan-linked separatism as a national-security and counter-terror concern. The Indian Ministry of Home Affairs has designated</w:t>
      </w:r>
      <w:r w:rsidR="00313ADB">
        <w:rPr>
          <w:sz w:val="24"/>
          <w:szCs w:val="24"/>
        </w:rPr>
        <w:t xml:space="preserve"> </w:t>
      </w:r>
      <w:proofErr w:type="gramStart"/>
      <w:r w:rsidR="00313ADB">
        <w:rPr>
          <w:sz w:val="24"/>
          <w:szCs w:val="24"/>
        </w:rPr>
        <w:t>a number of</w:t>
      </w:r>
      <w:proofErr w:type="gramEnd"/>
      <w:r w:rsidR="00313ADB">
        <w:rPr>
          <w:sz w:val="24"/>
          <w:szCs w:val="24"/>
        </w:rPr>
        <w:t xml:space="preserve"> pro-Khalistan </w:t>
      </w:r>
      <w:proofErr w:type="spellStart"/>
      <w:r w:rsidR="00031187">
        <w:rPr>
          <w:sz w:val="24"/>
          <w:szCs w:val="24"/>
        </w:rPr>
        <w:t>organisations</w:t>
      </w:r>
      <w:proofErr w:type="spellEnd"/>
      <w:r w:rsidRPr="00313ADB">
        <w:rPr>
          <w:sz w:val="24"/>
          <w:szCs w:val="24"/>
        </w:rPr>
        <w:t xml:space="preserve"> as terrorist </w:t>
      </w:r>
      <w:proofErr w:type="spellStart"/>
      <w:r w:rsidRPr="00313ADB">
        <w:rPr>
          <w:sz w:val="24"/>
          <w:szCs w:val="24"/>
        </w:rPr>
        <w:t>organisation</w:t>
      </w:r>
      <w:r w:rsidR="00313ADB">
        <w:rPr>
          <w:sz w:val="24"/>
          <w:szCs w:val="24"/>
        </w:rPr>
        <w:t>s</w:t>
      </w:r>
      <w:proofErr w:type="spellEnd"/>
      <w:r w:rsidRPr="00313ADB">
        <w:rPr>
          <w:sz w:val="24"/>
          <w:szCs w:val="24"/>
        </w:rPr>
        <w:t xml:space="preserve"> under the </w:t>
      </w:r>
      <w:r w:rsidRPr="00496B3B">
        <w:rPr>
          <w:i/>
          <w:iCs/>
          <w:sz w:val="24"/>
          <w:szCs w:val="24"/>
        </w:rPr>
        <w:t>UAPA</w:t>
      </w:r>
      <w:r w:rsidR="00313ADB">
        <w:rPr>
          <w:i/>
          <w:iCs/>
          <w:sz w:val="24"/>
          <w:szCs w:val="24"/>
        </w:rPr>
        <w:t>.</w:t>
      </w:r>
      <w:r w:rsidRPr="00313ADB">
        <w:rPr>
          <w:sz w:val="24"/>
          <w:szCs w:val="24"/>
          <w:vertAlign w:val="superscript"/>
        </w:rPr>
        <w:footnoteReference w:id="13"/>
      </w:r>
      <w:r w:rsidRPr="00313ADB">
        <w:rPr>
          <w:sz w:val="24"/>
          <w:szCs w:val="24"/>
        </w:rPr>
        <w:t xml:space="preserve"> The Article 5(a) concern arises where </w:t>
      </w:r>
      <w:r w:rsidR="00313ADB">
        <w:rPr>
          <w:sz w:val="24"/>
          <w:szCs w:val="24"/>
        </w:rPr>
        <w:t>this legal</w:t>
      </w:r>
      <w:r w:rsidR="00313ADB" w:rsidRPr="00313ADB">
        <w:rPr>
          <w:sz w:val="24"/>
          <w:szCs w:val="24"/>
        </w:rPr>
        <w:t xml:space="preserve"> </w:t>
      </w:r>
      <w:r w:rsidRPr="00313ADB">
        <w:rPr>
          <w:sz w:val="24"/>
          <w:szCs w:val="24"/>
        </w:rPr>
        <w:t xml:space="preserve">framework is carried into individual proceedings through weak associative evidence, religious expression or </w:t>
      </w:r>
      <w:proofErr w:type="spellStart"/>
      <w:r w:rsidRPr="00313ADB">
        <w:rPr>
          <w:sz w:val="24"/>
          <w:szCs w:val="24"/>
        </w:rPr>
        <w:t>generalised</w:t>
      </w:r>
      <w:proofErr w:type="spellEnd"/>
      <w:r w:rsidRPr="00313ADB">
        <w:rPr>
          <w:sz w:val="24"/>
          <w:szCs w:val="24"/>
        </w:rPr>
        <w:t xml:space="preserve"> findings of </w:t>
      </w:r>
      <w:r w:rsidR="00516F57" w:rsidRPr="00313ADB">
        <w:rPr>
          <w:sz w:val="24"/>
          <w:szCs w:val="24"/>
        </w:rPr>
        <w:t xml:space="preserve">perceived </w:t>
      </w:r>
      <w:proofErr w:type="spellStart"/>
      <w:r w:rsidRPr="00313ADB">
        <w:rPr>
          <w:sz w:val="24"/>
          <w:szCs w:val="24"/>
        </w:rPr>
        <w:t>radicalisation</w:t>
      </w:r>
      <w:proofErr w:type="spellEnd"/>
      <w:r w:rsidRPr="00313ADB">
        <w:rPr>
          <w:sz w:val="24"/>
          <w:szCs w:val="24"/>
        </w:rPr>
        <w:t xml:space="preserve">, making Sikh identity and advocacy appear probative of </w:t>
      </w:r>
      <w:r w:rsidR="00313ADB">
        <w:rPr>
          <w:sz w:val="24"/>
          <w:szCs w:val="24"/>
        </w:rPr>
        <w:t>political violence</w:t>
      </w:r>
      <w:r w:rsidR="00313ADB" w:rsidRPr="00313ADB">
        <w:rPr>
          <w:sz w:val="24"/>
          <w:szCs w:val="24"/>
        </w:rPr>
        <w:t xml:space="preserve"> </w:t>
      </w:r>
      <w:r w:rsidRPr="00313ADB">
        <w:rPr>
          <w:sz w:val="24"/>
          <w:szCs w:val="24"/>
        </w:rPr>
        <w:t>before guilt has been established.</w:t>
      </w:r>
    </w:p>
    <w:p w14:paraId="6BC51BFB" w14:textId="0F9D8566" w:rsidR="00060D04" w:rsidRPr="00313ADB" w:rsidRDefault="00000000">
      <w:pPr>
        <w:spacing w:before="240" w:after="240" w:line="276" w:lineRule="auto"/>
        <w:jc w:val="both"/>
        <w:rPr>
          <w:sz w:val="24"/>
          <w:szCs w:val="24"/>
        </w:rPr>
      </w:pPr>
      <w:r w:rsidRPr="00313ADB">
        <w:rPr>
          <w:sz w:val="24"/>
          <w:szCs w:val="24"/>
        </w:rPr>
        <w:t xml:space="preserve">The prosecution of Mandeep Singh Dhaliwal illustrates how that suspicion can attach to Sikh religious and political identity once invoked. Dhaliwal, a Punjab-born plumber settled in Canada, was charged under </w:t>
      </w:r>
      <w:r w:rsidRPr="00496B3B">
        <w:rPr>
          <w:i/>
          <w:iCs/>
          <w:sz w:val="24"/>
          <w:szCs w:val="24"/>
        </w:rPr>
        <w:t>UAPA</w:t>
      </w:r>
      <w:r w:rsidRPr="00313ADB">
        <w:rPr>
          <w:sz w:val="24"/>
          <w:szCs w:val="24"/>
        </w:rPr>
        <w:t xml:space="preserve"> in 2016 after returning to Punjab to marry. The First Information Report (FIR), filed on the basis of an informer’s tip, alleged that he was an “anti-national” funded by terrorists who possessed ammunition and had planned attacks across Punjab.</w:t>
      </w:r>
      <w:r w:rsidRPr="00313ADB">
        <w:rPr>
          <w:sz w:val="24"/>
          <w:szCs w:val="24"/>
          <w:vertAlign w:val="superscript"/>
        </w:rPr>
        <w:footnoteReference w:id="14"/>
      </w:r>
      <w:r w:rsidRPr="00313ADB">
        <w:rPr>
          <w:sz w:val="24"/>
          <w:szCs w:val="24"/>
        </w:rPr>
        <w:t xml:space="preserve"> The evidence cited by police included names on his Facebook friends list and an innocuous Sikh greeting he had written under a post, which investigators treated as a link to Pakistan</w:t>
      </w:r>
      <w:r w:rsidR="00313ADB">
        <w:rPr>
          <w:sz w:val="24"/>
          <w:szCs w:val="24"/>
        </w:rPr>
        <w:t>i intelligence</w:t>
      </w:r>
      <w:r w:rsidRPr="00313ADB">
        <w:rPr>
          <w:sz w:val="24"/>
          <w:szCs w:val="24"/>
        </w:rPr>
        <w:t>. Police were unable to establish any connection between Dhaliwal and any arms or ammunition, and in January 2017 the Punjab and Haryana High Court granted him bail, finding “no semblance of evidence” to sustain the charges.</w:t>
      </w:r>
      <w:r w:rsidRPr="00313ADB">
        <w:rPr>
          <w:sz w:val="24"/>
          <w:szCs w:val="24"/>
          <w:vertAlign w:val="superscript"/>
        </w:rPr>
        <w:footnoteReference w:id="15"/>
      </w:r>
      <w:r w:rsidRPr="00313ADB">
        <w:rPr>
          <w:sz w:val="24"/>
          <w:szCs w:val="24"/>
        </w:rPr>
        <w:t xml:space="preserve"> However, Dhaliwal alleges that </w:t>
      </w:r>
      <w:r w:rsidRPr="00313ADB">
        <w:rPr>
          <w:sz w:val="24"/>
          <w:szCs w:val="24"/>
        </w:rPr>
        <w:lastRenderedPageBreak/>
        <w:t>he was tortured in custody, resulting in lasting physical harm, and reports that he has remained unable to return to Canada notwithstanding the weakness of the case against him.</w:t>
      </w:r>
    </w:p>
    <w:p w14:paraId="6BC51BFC" w14:textId="1A49A264" w:rsidR="00060D04" w:rsidRPr="00313ADB" w:rsidRDefault="00000000">
      <w:pPr>
        <w:spacing w:before="240" w:after="240" w:line="276" w:lineRule="auto"/>
        <w:jc w:val="both"/>
        <w:rPr>
          <w:sz w:val="24"/>
          <w:szCs w:val="24"/>
        </w:rPr>
      </w:pPr>
      <w:r w:rsidRPr="00313ADB">
        <w:rPr>
          <w:sz w:val="24"/>
          <w:szCs w:val="24"/>
        </w:rPr>
        <w:t xml:space="preserve">The case of Malkit Singh Shera shows the same bail architecture operating against a Sikh detainee in acute medical distress. Shera was investigated by the </w:t>
      </w:r>
      <w:r w:rsidRPr="00313ADB">
        <w:rPr>
          <w:i/>
          <w:iCs/>
          <w:sz w:val="24"/>
          <w:szCs w:val="24"/>
        </w:rPr>
        <w:t>National Investigation Agency</w:t>
      </w:r>
      <w:r w:rsidRPr="00313ADB">
        <w:rPr>
          <w:sz w:val="24"/>
          <w:szCs w:val="24"/>
        </w:rPr>
        <w:t xml:space="preserve"> (NIA) in connection with a September 2019 explosion in Tarn Taran district, Punjab. He sought bail on health grounds, arguing that he had been falsely implicated and suffered from diabetes.</w:t>
      </w:r>
      <w:r w:rsidRPr="00313ADB">
        <w:rPr>
          <w:sz w:val="24"/>
          <w:szCs w:val="24"/>
          <w:vertAlign w:val="superscript"/>
        </w:rPr>
        <w:footnoteReference w:id="16"/>
      </w:r>
      <w:r w:rsidRPr="00313ADB">
        <w:rPr>
          <w:sz w:val="24"/>
          <w:szCs w:val="24"/>
        </w:rPr>
        <w:t xml:space="preserve"> The prosecution submitted that he was highly </w:t>
      </w:r>
      <w:proofErr w:type="spellStart"/>
      <w:r w:rsidRPr="00313ADB">
        <w:rPr>
          <w:sz w:val="24"/>
          <w:szCs w:val="24"/>
        </w:rPr>
        <w:t>radicalised</w:t>
      </w:r>
      <w:proofErr w:type="spellEnd"/>
      <w:r w:rsidRPr="00313ADB">
        <w:rPr>
          <w:sz w:val="24"/>
          <w:szCs w:val="24"/>
        </w:rPr>
        <w:t xml:space="preserve"> towards the Khalistan movement and part of a gang that had planned terrorist activities. The NIA court treated that </w:t>
      </w:r>
      <w:proofErr w:type="spellStart"/>
      <w:r w:rsidRPr="00313ADB">
        <w:rPr>
          <w:sz w:val="24"/>
          <w:szCs w:val="24"/>
        </w:rPr>
        <w:t>characterisation</w:t>
      </w:r>
      <w:proofErr w:type="spellEnd"/>
      <w:r w:rsidRPr="00313ADB">
        <w:rPr>
          <w:sz w:val="24"/>
          <w:szCs w:val="24"/>
        </w:rPr>
        <w:t xml:space="preserve"> as sufficient to conclude that the accusation was </w:t>
      </w:r>
      <w:r w:rsidRPr="00496B3B">
        <w:rPr>
          <w:i/>
          <w:iCs/>
          <w:sz w:val="24"/>
          <w:szCs w:val="24"/>
        </w:rPr>
        <w:t>prima facie</w:t>
      </w:r>
      <w:r w:rsidRPr="00313ADB">
        <w:rPr>
          <w:sz w:val="24"/>
          <w:szCs w:val="24"/>
        </w:rPr>
        <w:t xml:space="preserve"> true, and his bail applications were also dismissed by the Punjab and Haryana High Court and the Supreme Court.</w:t>
      </w:r>
      <w:r w:rsidRPr="00313ADB">
        <w:rPr>
          <w:sz w:val="24"/>
          <w:szCs w:val="24"/>
          <w:vertAlign w:val="superscript"/>
        </w:rPr>
        <w:footnoteReference w:id="17"/>
      </w:r>
      <w:r w:rsidRPr="00313ADB">
        <w:rPr>
          <w:sz w:val="24"/>
          <w:szCs w:val="24"/>
        </w:rPr>
        <w:t xml:space="preserve"> Shera, who was subsequently confirmed to have diabetes and heart disease, died in judicial custody in October 2021; his family alleged that he died because of a lack of proper medical care, while jail authorities denied the allegation. This case is addressed further under Article 5(b) in relation to denial of medical treatment. For Article 5(a), the relevant point is that a broad finding of </w:t>
      </w:r>
      <w:r w:rsidR="00857A2A">
        <w:rPr>
          <w:sz w:val="24"/>
          <w:szCs w:val="24"/>
        </w:rPr>
        <w:t xml:space="preserve">alleged </w:t>
      </w:r>
      <w:proofErr w:type="spellStart"/>
      <w:r w:rsidRPr="00313ADB">
        <w:rPr>
          <w:sz w:val="24"/>
          <w:szCs w:val="24"/>
        </w:rPr>
        <w:t>radicalisation</w:t>
      </w:r>
      <w:proofErr w:type="spellEnd"/>
      <w:r w:rsidRPr="00313ADB">
        <w:rPr>
          <w:sz w:val="24"/>
          <w:szCs w:val="24"/>
        </w:rPr>
        <w:t xml:space="preserve"> </w:t>
      </w:r>
      <w:r w:rsidR="00857A2A">
        <w:rPr>
          <w:sz w:val="24"/>
          <w:szCs w:val="24"/>
        </w:rPr>
        <w:t>or support for an independent</w:t>
      </w:r>
      <w:r w:rsidR="00857A2A" w:rsidRPr="00313ADB">
        <w:rPr>
          <w:sz w:val="24"/>
          <w:szCs w:val="24"/>
        </w:rPr>
        <w:t xml:space="preserve"> </w:t>
      </w:r>
      <w:r w:rsidRPr="00313ADB">
        <w:rPr>
          <w:sz w:val="24"/>
          <w:szCs w:val="24"/>
        </w:rPr>
        <w:t>Khalistan was allowed to foreclose meaningful scrutiny at the bail stage, even where the accused’s serious medical vulnerability called for closer judicial protection.</w:t>
      </w:r>
    </w:p>
    <w:p w14:paraId="6BC51BFD" w14:textId="79B703B8" w:rsidR="00060D04" w:rsidRPr="00313ADB" w:rsidRDefault="00000000">
      <w:pPr>
        <w:spacing w:before="240" w:after="240" w:line="276" w:lineRule="auto"/>
        <w:jc w:val="both"/>
        <w:rPr>
          <w:sz w:val="24"/>
          <w:szCs w:val="24"/>
        </w:rPr>
      </w:pPr>
      <w:r w:rsidRPr="00313ADB">
        <w:rPr>
          <w:sz w:val="24"/>
          <w:szCs w:val="24"/>
        </w:rPr>
        <w:t xml:space="preserve">These cases illustrate a pattern broader than the outright denial of bail. Under </w:t>
      </w:r>
      <w:r w:rsidRPr="00496B3B">
        <w:rPr>
          <w:i/>
          <w:iCs/>
          <w:sz w:val="24"/>
          <w:szCs w:val="24"/>
        </w:rPr>
        <w:t>UAPA’s</w:t>
      </w:r>
      <w:r w:rsidRPr="00313ADB">
        <w:rPr>
          <w:sz w:val="24"/>
          <w:szCs w:val="24"/>
        </w:rPr>
        <w:t xml:space="preserve"> reversed evidentiary structure, detention may persist for years on findings that </w:t>
      </w:r>
      <w:proofErr w:type="spellStart"/>
      <w:r w:rsidRPr="00313ADB">
        <w:rPr>
          <w:sz w:val="24"/>
          <w:szCs w:val="24"/>
        </w:rPr>
        <w:t>characterise</w:t>
      </w:r>
      <w:proofErr w:type="spellEnd"/>
      <w:r w:rsidRPr="00313ADB">
        <w:rPr>
          <w:sz w:val="24"/>
          <w:szCs w:val="24"/>
        </w:rPr>
        <w:t xml:space="preserve"> the accused’s identity, associations or political expression as inherently suspect, rather than on evidence of a specific criminal act tested at trial. In the Sikh context, the Article 5(a) violation lies in the readiness with which social media association, religious expression or alleged sympathy for Sikh political causes can be accepted by investigating authorities and courts as corroborating </w:t>
      </w:r>
      <w:proofErr w:type="spellStart"/>
      <w:r w:rsidRPr="00313ADB">
        <w:rPr>
          <w:sz w:val="24"/>
          <w:szCs w:val="24"/>
        </w:rPr>
        <w:t>radicalisation</w:t>
      </w:r>
      <w:proofErr w:type="spellEnd"/>
      <w:r w:rsidRPr="00313ADB">
        <w:rPr>
          <w:sz w:val="24"/>
          <w:szCs w:val="24"/>
        </w:rPr>
        <w:t xml:space="preserve"> or militant association, within a bail framework that gives the accused no effective means of contesting that </w:t>
      </w:r>
      <w:proofErr w:type="spellStart"/>
      <w:r w:rsidRPr="00313ADB">
        <w:rPr>
          <w:sz w:val="24"/>
          <w:szCs w:val="24"/>
        </w:rPr>
        <w:t>characterisation</w:t>
      </w:r>
      <w:proofErr w:type="spellEnd"/>
      <w:r w:rsidRPr="00313ADB">
        <w:rPr>
          <w:sz w:val="24"/>
          <w:szCs w:val="24"/>
        </w:rPr>
        <w:t xml:space="preserve"> before trial.</w:t>
      </w:r>
    </w:p>
    <w:p w14:paraId="6BC51BFE" w14:textId="77777777" w:rsidR="00060D04" w:rsidRPr="00313ADB" w:rsidRDefault="00000000">
      <w:pPr>
        <w:pStyle w:val="Heading1"/>
        <w:spacing w:line="276" w:lineRule="auto"/>
        <w:jc w:val="both"/>
        <w:rPr>
          <w:sz w:val="24"/>
          <w:szCs w:val="24"/>
        </w:rPr>
      </w:pPr>
      <w:r w:rsidRPr="00496B3B">
        <w:rPr>
          <w:rFonts w:eastAsia="Calibri"/>
        </w:rPr>
        <w:t>Article 5(b) - Security of person and protection against violence</w:t>
      </w:r>
    </w:p>
    <w:p w14:paraId="086B68B4" w14:textId="60DE7AA5" w:rsidR="001F1245" w:rsidRPr="00313ADB" w:rsidRDefault="00000000">
      <w:pPr>
        <w:spacing w:before="240" w:after="240" w:line="276" w:lineRule="auto"/>
        <w:ind w:firstLine="720"/>
        <w:jc w:val="both"/>
        <w:rPr>
          <w:sz w:val="24"/>
          <w:szCs w:val="24"/>
        </w:rPr>
      </w:pPr>
      <w:r w:rsidRPr="00313ADB">
        <w:rPr>
          <w:sz w:val="24"/>
          <w:szCs w:val="24"/>
        </w:rPr>
        <w:t>Article 5(b) guarantees equality before the law in the enjoyment of the right to security of person and to protection by the State against violence, whether inflicted by officials or by others. In Punjab, the evidence shows both a general environment of custodial violence and a Sikh-specific pattern in which detainees accused of terrorism or separatism are exposed to abuse shaped by their identity, advocacy and visible ethno-religious markers.</w:t>
      </w:r>
    </w:p>
    <w:p w14:paraId="3A983E8B" w14:textId="56F94642" w:rsidR="001F1245" w:rsidRPr="001F1245" w:rsidRDefault="001F1245">
      <w:pPr>
        <w:spacing w:before="240" w:after="240" w:line="276" w:lineRule="auto"/>
        <w:jc w:val="both"/>
        <w:rPr>
          <w:sz w:val="24"/>
          <w:szCs w:val="24"/>
        </w:rPr>
      </w:pPr>
      <w:r>
        <w:rPr>
          <w:sz w:val="24"/>
          <w:szCs w:val="24"/>
        </w:rPr>
        <w:t xml:space="preserve">The non-discrimination dimension of this pattern is reinforced by the position taken by the Committee Against Torture. </w:t>
      </w:r>
      <w:r>
        <w:rPr>
          <w:i/>
          <w:iCs/>
          <w:sz w:val="24"/>
          <w:szCs w:val="24"/>
        </w:rPr>
        <w:t xml:space="preserve">General Comment No 2 </w:t>
      </w:r>
      <w:r>
        <w:rPr>
          <w:sz w:val="24"/>
          <w:szCs w:val="24"/>
        </w:rPr>
        <w:t xml:space="preserve">confirms that the obligation to prevent torture and ill-treatment must be implemented without discrimination of any kind, and that protection must be extended in practice to groups made vulnerable by discrimination, including on grounds such as race, </w:t>
      </w:r>
      <w:proofErr w:type="spellStart"/>
      <w:r>
        <w:rPr>
          <w:sz w:val="24"/>
          <w:szCs w:val="24"/>
        </w:rPr>
        <w:t>colour</w:t>
      </w:r>
      <w:proofErr w:type="spellEnd"/>
      <w:r>
        <w:rPr>
          <w:sz w:val="24"/>
          <w:szCs w:val="24"/>
        </w:rPr>
        <w:t xml:space="preserve">, ethnic </w:t>
      </w:r>
      <w:r>
        <w:rPr>
          <w:sz w:val="24"/>
          <w:szCs w:val="24"/>
        </w:rPr>
        <w:lastRenderedPageBreak/>
        <w:t>origins, and analogous status.</w:t>
      </w:r>
      <w:r>
        <w:rPr>
          <w:rStyle w:val="FootnoteReference"/>
          <w:sz w:val="24"/>
          <w:szCs w:val="24"/>
        </w:rPr>
        <w:footnoteReference w:id="18"/>
      </w:r>
      <w:r>
        <w:rPr>
          <w:sz w:val="24"/>
          <w:szCs w:val="24"/>
        </w:rPr>
        <w:t xml:space="preserve"> Where, as here, torture is inflicted in a manner that specifically targets markers of Sikh identity, or where the perceived Sikh identity and political sympathies of a detainee shape the severity or duration of abuse, the discriminatory </w:t>
      </w:r>
      <w:proofErr w:type="spellStart"/>
      <w:r>
        <w:rPr>
          <w:sz w:val="24"/>
          <w:szCs w:val="24"/>
        </w:rPr>
        <w:t>charcter</w:t>
      </w:r>
      <w:proofErr w:type="spellEnd"/>
      <w:r>
        <w:rPr>
          <w:sz w:val="24"/>
          <w:szCs w:val="24"/>
        </w:rPr>
        <w:t xml:space="preserve"> of the ill-treatment is engaged in its own right, in addition to the underlying </w:t>
      </w:r>
      <w:proofErr w:type="spellStart"/>
      <w:r>
        <w:rPr>
          <w:sz w:val="24"/>
          <w:szCs w:val="24"/>
        </w:rPr>
        <w:t>prohibtion</w:t>
      </w:r>
      <w:proofErr w:type="spellEnd"/>
      <w:r>
        <w:rPr>
          <w:sz w:val="24"/>
          <w:szCs w:val="24"/>
        </w:rPr>
        <w:t xml:space="preserve"> on torture itself. </w:t>
      </w:r>
    </w:p>
    <w:p w14:paraId="6BC51C00" w14:textId="5F285520" w:rsidR="00060D04" w:rsidRPr="00313ADB" w:rsidRDefault="00000000">
      <w:pPr>
        <w:spacing w:before="240" w:after="240" w:line="276" w:lineRule="auto"/>
        <w:jc w:val="both"/>
        <w:rPr>
          <w:sz w:val="24"/>
          <w:szCs w:val="24"/>
        </w:rPr>
      </w:pPr>
      <w:r w:rsidRPr="00313ADB">
        <w:rPr>
          <w:sz w:val="24"/>
          <w:szCs w:val="24"/>
        </w:rPr>
        <w:t xml:space="preserve">As to prevalence, a 2018-2019 study by the </w:t>
      </w:r>
      <w:r w:rsidRPr="00313ADB">
        <w:rPr>
          <w:i/>
          <w:iCs/>
          <w:sz w:val="24"/>
          <w:szCs w:val="24"/>
        </w:rPr>
        <w:t>Commonwealth Human Rights Initiative</w:t>
      </w:r>
      <w:r w:rsidRPr="00313ADB">
        <w:rPr>
          <w:sz w:val="24"/>
          <w:szCs w:val="24"/>
        </w:rPr>
        <w:t xml:space="preserve"> interviewed 660 inmates across 24 functioning prisons in Punjab and found that 357 of them, or 54 per cent, alleged torture in police custody</w:t>
      </w:r>
      <w:r w:rsidR="00D203E9">
        <w:rPr>
          <w:sz w:val="24"/>
          <w:szCs w:val="24"/>
        </w:rPr>
        <w:t xml:space="preserve"> </w:t>
      </w:r>
      <w:r w:rsidRPr="00313ADB">
        <w:rPr>
          <w:sz w:val="24"/>
          <w:szCs w:val="24"/>
        </w:rPr>
        <w:t>while a further 80, or 12 per cent, reported torture in judicial custody.</w:t>
      </w:r>
      <w:r w:rsidRPr="00313ADB">
        <w:rPr>
          <w:sz w:val="24"/>
          <w:szCs w:val="24"/>
          <w:vertAlign w:val="superscript"/>
        </w:rPr>
        <w:footnoteReference w:id="19"/>
      </w:r>
      <w:r w:rsidRPr="00313ADB">
        <w:rPr>
          <w:sz w:val="24"/>
          <w:szCs w:val="24"/>
        </w:rPr>
        <w:t xml:space="preserve"> While this study establishes the scale of general custodial violence in Punjab, the Sikh-specific character of the Article 5(b) violation emerges from the cases and methods documented below.</w:t>
      </w:r>
    </w:p>
    <w:p w14:paraId="6BC51C01" w14:textId="6E9BADCC" w:rsidR="00060D04" w:rsidRPr="00313ADB" w:rsidRDefault="00000000">
      <w:pPr>
        <w:spacing w:before="240" w:after="240" w:line="276" w:lineRule="auto"/>
        <w:jc w:val="both"/>
        <w:rPr>
          <w:sz w:val="24"/>
          <w:szCs w:val="24"/>
        </w:rPr>
      </w:pPr>
      <w:r w:rsidRPr="00313ADB">
        <w:rPr>
          <w:sz w:val="24"/>
          <w:szCs w:val="24"/>
        </w:rPr>
        <w:t>Reported forms of abuse include electric shocks to the ears and genitals, suspension in stress positions, waterboarding, sexual violence and prolonged beatings.</w:t>
      </w:r>
      <w:r w:rsidRPr="00313ADB">
        <w:rPr>
          <w:sz w:val="24"/>
          <w:szCs w:val="24"/>
          <w:vertAlign w:val="superscript"/>
        </w:rPr>
        <w:footnoteReference w:id="20"/>
      </w:r>
      <w:r w:rsidRPr="00313ADB">
        <w:rPr>
          <w:sz w:val="24"/>
          <w:szCs w:val="24"/>
        </w:rPr>
        <w:t xml:space="preserve"> They also include the deliberate desecration of Sikh religious markers, including the pulling of the </w:t>
      </w:r>
      <w:proofErr w:type="spellStart"/>
      <w:r w:rsidR="00D203E9">
        <w:rPr>
          <w:i/>
          <w:iCs/>
          <w:sz w:val="24"/>
          <w:szCs w:val="24"/>
        </w:rPr>
        <w:t>kes</w:t>
      </w:r>
      <w:proofErr w:type="spellEnd"/>
      <w:r w:rsidR="00D203E9">
        <w:rPr>
          <w:i/>
          <w:iCs/>
          <w:sz w:val="24"/>
          <w:szCs w:val="24"/>
        </w:rPr>
        <w:t xml:space="preserve"> </w:t>
      </w:r>
      <w:r w:rsidR="00D203E9">
        <w:rPr>
          <w:sz w:val="24"/>
          <w:szCs w:val="24"/>
        </w:rPr>
        <w:t xml:space="preserve">(unshorn </w:t>
      </w:r>
      <w:r w:rsidRPr="00313ADB">
        <w:rPr>
          <w:sz w:val="24"/>
          <w:szCs w:val="24"/>
        </w:rPr>
        <w:t>hair and beard</w:t>
      </w:r>
      <w:r w:rsidR="00D203E9">
        <w:rPr>
          <w:sz w:val="24"/>
          <w:szCs w:val="24"/>
        </w:rPr>
        <w:t>)</w:t>
      </w:r>
      <w:r w:rsidRPr="00313ADB">
        <w:rPr>
          <w:sz w:val="24"/>
          <w:szCs w:val="24"/>
        </w:rPr>
        <w:t xml:space="preserve"> of detainees.</w:t>
      </w:r>
      <w:r w:rsidRPr="00313ADB">
        <w:rPr>
          <w:sz w:val="24"/>
          <w:szCs w:val="24"/>
          <w:vertAlign w:val="superscript"/>
        </w:rPr>
        <w:footnoteReference w:id="21"/>
      </w:r>
      <w:r w:rsidRPr="00313ADB">
        <w:rPr>
          <w:sz w:val="24"/>
          <w:szCs w:val="24"/>
        </w:rPr>
        <w:t xml:space="preserve"> The unshorn hair and beard bear no relation to any alleged offence and serve no investigative purpose. Their desecration can only be intended to humiliate the detainee as a Sikh. Torture that fastens on identity is discriminatory in its form, even where it occurs within a broader environment of custodial violence.</w:t>
      </w:r>
    </w:p>
    <w:p w14:paraId="6BC51C02" w14:textId="0913337F" w:rsidR="00060D04" w:rsidRPr="00313ADB" w:rsidRDefault="00000000">
      <w:pPr>
        <w:spacing w:before="240" w:after="240" w:line="276" w:lineRule="auto"/>
        <w:jc w:val="both"/>
        <w:rPr>
          <w:sz w:val="24"/>
          <w:szCs w:val="24"/>
        </w:rPr>
      </w:pPr>
      <w:r w:rsidRPr="00313ADB">
        <w:rPr>
          <w:sz w:val="24"/>
          <w:szCs w:val="24"/>
        </w:rPr>
        <w:t xml:space="preserve">Recent reporting </w:t>
      </w:r>
      <w:r w:rsidR="00333484" w:rsidRPr="00313ADB">
        <w:rPr>
          <w:sz w:val="24"/>
          <w:szCs w:val="24"/>
        </w:rPr>
        <w:t>indicates</w:t>
      </w:r>
      <w:r w:rsidRPr="00313ADB">
        <w:rPr>
          <w:sz w:val="24"/>
          <w:szCs w:val="24"/>
        </w:rPr>
        <w:t xml:space="preserve"> that </w:t>
      </w:r>
      <w:r w:rsidR="006B65FB" w:rsidRPr="00313ADB">
        <w:rPr>
          <w:sz w:val="24"/>
          <w:szCs w:val="24"/>
        </w:rPr>
        <w:t xml:space="preserve">discriminatory </w:t>
      </w:r>
      <w:proofErr w:type="gramStart"/>
      <w:r w:rsidR="006B65FB" w:rsidRPr="00313ADB">
        <w:rPr>
          <w:sz w:val="24"/>
          <w:szCs w:val="24"/>
        </w:rPr>
        <w:t xml:space="preserve">treatment </w:t>
      </w:r>
      <w:r w:rsidRPr="00313ADB">
        <w:rPr>
          <w:sz w:val="24"/>
          <w:szCs w:val="24"/>
        </w:rPr>
        <w:t xml:space="preserve"> of</w:t>
      </w:r>
      <w:proofErr w:type="gramEnd"/>
      <w:r w:rsidRPr="00313ADB">
        <w:rPr>
          <w:sz w:val="24"/>
          <w:szCs w:val="24"/>
        </w:rPr>
        <w:t xml:space="preserve"> this kind </w:t>
      </w:r>
      <w:r w:rsidR="006B65FB" w:rsidRPr="00313ADB">
        <w:rPr>
          <w:sz w:val="24"/>
          <w:szCs w:val="24"/>
        </w:rPr>
        <w:t>is</w:t>
      </w:r>
      <w:r w:rsidRPr="00313ADB">
        <w:rPr>
          <w:sz w:val="24"/>
          <w:szCs w:val="24"/>
        </w:rPr>
        <w:t xml:space="preserve"> </w:t>
      </w:r>
      <w:r w:rsidR="00333484" w:rsidRPr="00313ADB">
        <w:rPr>
          <w:sz w:val="24"/>
          <w:szCs w:val="24"/>
        </w:rPr>
        <w:t>ongoing in</w:t>
      </w:r>
      <w:r w:rsidRPr="00313ADB">
        <w:rPr>
          <w:sz w:val="24"/>
          <w:szCs w:val="24"/>
        </w:rPr>
        <w:t xml:space="preserve"> Punjab. In June 2026, </w:t>
      </w:r>
      <w:r w:rsidRPr="00313ADB">
        <w:rPr>
          <w:i/>
          <w:iCs/>
          <w:sz w:val="24"/>
          <w:szCs w:val="24"/>
        </w:rPr>
        <w:t>Times of India</w:t>
      </w:r>
      <w:r w:rsidRPr="00313ADB">
        <w:rPr>
          <w:sz w:val="24"/>
          <w:szCs w:val="24"/>
        </w:rPr>
        <w:t xml:space="preserve"> reported allegations by Sikh religious leaders and the </w:t>
      </w:r>
      <w:r w:rsidRPr="00313ADB">
        <w:rPr>
          <w:i/>
          <w:iCs/>
          <w:sz w:val="24"/>
          <w:szCs w:val="24"/>
        </w:rPr>
        <w:t>Haryana Sikh Gurdwara Management Committee</w:t>
      </w:r>
      <w:r w:rsidRPr="00313ADB">
        <w:rPr>
          <w:sz w:val="24"/>
          <w:szCs w:val="24"/>
        </w:rPr>
        <w:t xml:space="preserve"> that Sikh pilgrims detained after a clash in Uttarakhand had been subjected to “third-degree” torture and had their </w:t>
      </w:r>
      <w:proofErr w:type="spellStart"/>
      <w:r w:rsidR="00D203E9">
        <w:rPr>
          <w:i/>
          <w:iCs/>
          <w:sz w:val="24"/>
          <w:szCs w:val="24"/>
        </w:rPr>
        <w:t>dastars</w:t>
      </w:r>
      <w:proofErr w:type="spellEnd"/>
      <w:r w:rsidR="00D203E9">
        <w:rPr>
          <w:i/>
          <w:iCs/>
          <w:sz w:val="24"/>
          <w:szCs w:val="24"/>
        </w:rPr>
        <w:t xml:space="preserve"> </w:t>
      </w:r>
      <w:r w:rsidR="00D203E9">
        <w:rPr>
          <w:sz w:val="24"/>
          <w:szCs w:val="24"/>
        </w:rPr>
        <w:t>(</w:t>
      </w:r>
      <w:r w:rsidRPr="00313ADB">
        <w:rPr>
          <w:sz w:val="24"/>
          <w:szCs w:val="24"/>
        </w:rPr>
        <w:t>turbans</w:t>
      </w:r>
      <w:r w:rsidR="00D203E9">
        <w:rPr>
          <w:sz w:val="24"/>
          <w:szCs w:val="24"/>
        </w:rPr>
        <w:t>)</w:t>
      </w:r>
      <w:r w:rsidRPr="00313ADB">
        <w:rPr>
          <w:sz w:val="24"/>
          <w:szCs w:val="24"/>
        </w:rPr>
        <w:t xml:space="preserve"> forcibly removed.</w:t>
      </w:r>
      <w:r w:rsidRPr="00313ADB">
        <w:rPr>
          <w:sz w:val="24"/>
          <w:szCs w:val="24"/>
          <w:vertAlign w:val="superscript"/>
        </w:rPr>
        <w:footnoteReference w:id="22"/>
      </w:r>
      <w:r w:rsidRPr="00313ADB">
        <w:rPr>
          <w:sz w:val="24"/>
          <w:szCs w:val="24"/>
        </w:rPr>
        <w:t xml:space="preserve"> The report should be treated as an allegation rather than a judicial finding. Its relevance here is that the alleged abuse targeted a visible sign of Sikh community identity: the </w:t>
      </w:r>
      <w:proofErr w:type="spellStart"/>
      <w:r w:rsidR="00D203E9">
        <w:rPr>
          <w:i/>
          <w:iCs/>
          <w:sz w:val="24"/>
          <w:szCs w:val="24"/>
        </w:rPr>
        <w:t>dastar</w:t>
      </w:r>
      <w:proofErr w:type="spellEnd"/>
      <w:r w:rsidR="00D203E9" w:rsidRPr="00313ADB">
        <w:rPr>
          <w:sz w:val="24"/>
          <w:szCs w:val="24"/>
        </w:rPr>
        <w:t xml:space="preserve"> </w:t>
      </w:r>
      <w:r w:rsidRPr="00313ADB">
        <w:rPr>
          <w:sz w:val="24"/>
          <w:szCs w:val="24"/>
        </w:rPr>
        <w:t xml:space="preserve">is not only an article of faith, but also a public marker through which Sikhs are identified as a group. Removing a </w:t>
      </w:r>
      <w:proofErr w:type="spellStart"/>
      <w:r w:rsidR="00D203E9">
        <w:rPr>
          <w:i/>
          <w:iCs/>
          <w:sz w:val="24"/>
          <w:szCs w:val="24"/>
        </w:rPr>
        <w:t>dastar</w:t>
      </w:r>
      <w:proofErr w:type="spellEnd"/>
      <w:r w:rsidR="00D203E9" w:rsidRPr="00313ADB">
        <w:rPr>
          <w:sz w:val="24"/>
          <w:szCs w:val="24"/>
        </w:rPr>
        <w:t xml:space="preserve"> </w:t>
      </w:r>
      <w:r w:rsidRPr="00313ADB">
        <w:rPr>
          <w:sz w:val="24"/>
          <w:szCs w:val="24"/>
        </w:rPr>
        <w:t>in custody is therefore not a neutral act: it humiliates the detainee as a Sikh and targets a visible sign of community belonging.</w:t>
      </w:r>
    </w:p>
    <w:p w14:paraId="6BC51C03" w14:textId="41D3D088" w:rsidR="00060D04" w:rsidRPr="00313ADB" w:rsidRDefault="00000000">
      <w:pPr>
        <w:spacing w:before="240" w:after="240" w:line="276" w:lineRule="auto"/>
        <w:jc w:val="both"/>
        <w:rPr>
          <w:sz w:val="24"/>
          <w:szCs w:val="24"/>
        </w:rPr>
      </w:pPr>
      <w:r w:rsidRPr="00313ADB">
        <w:rPr>
          <w:sz w:val="24"/>
          <w:szCs w:val="24"/>
        </w:rPr>
        <w:t>The targeting of Sikh activists with torture is established at the highest evidentiary level by the case of Jagtar Singh Johal, a British national of Sikh origin who was arrested by plain-clothes officers in Punjab in November 2017. He was hooded, forced into an unmarked vehicle and held without access to family, lawyers, British consular staff or an independent doctor.</w:t>
      </w:r>
      <w:r w:rsidRPr="00313ADB">
        <w:rPr>
          <w:sz w:val="24"/>
          <w:szCs w:val="24"/>
          <w:vertAlign w:val="superscript"/>
        </w:rPr>
        <w:footnoteReference w:id="23"/>
      </w:r>
      <w:r w:rsidRPr="00313ADB">
        <w:rPr>
          <w:sz w:val="24"/>
          <w:szCs w:val="24"/>
        </w:rPr>
        <w:t xml:space="preserve"> United Nations Special Procedures recorded allegations that, while in police custody, he was subjected to electric shocks to his ears, nipples and penis, prolonged stress positions and sleep deprivation, and that he was forced to sign blank sheets of paper used to forge confessions.</w:t>
      </w:r>
      <w:r w:rsidRPr="00313ADB">
        <w:rPr>
          <w:sz w:val="24"/>
          <w:szCs w:val="24"/>
          <w:vertAlign w:val="superscript"/>
        </w:rPr>
        <w:footnoteReference w:id="24"/>
      </w:r>
      <w:r w:rsidRPr="00313ADB">
        <w:rPr>
          <w:sz w:val="24"/>
          <w:szCs w:val="24"/>
        </w:rPr>
        <w:t xml:space="preserve"> The United Nations Working Group on Arbitrary Detention later found that he had been deprived of liberty on discriminatory grounds, owing to his status as a human </w:t>
      </w:r>
      <w:r w:rsidRPr="00313ADB">
        <w:rPr>
          <w:sz w:val="24"/>
          <w:szCs w:val="24"/>
        </w:rPr>
        <w:lastRenderedPageBreak/>
        <w:t>rights defender and based on his political activism, religious faith and opinions as a member of the Sikh community.</w:t>
      </w:r>
      <w:r w:rsidRPr="00313ADB">
        <w:rPr>
          <w:sz w:val="24"/>
          <w:szCs w:val="24"/>
          <w:vertAlign w:val="superscript"/>
        </w:rPr>
        <w:footnoteReference w:id="25"/>
      </w:r>
    </w:p>
    <w:p w14:paraId="6BC51C04" w14:textId="77777777" w:rsidR="00060D04" w:rsidRDefault="00000000">
      <w:pPr>
        <w:spacing w:before="240" w:after="240" w:line="276" w:lineRule="auto"/>
        <w:jc w:val="both"/>
        <w:rPr>
          <w:sz w:val="24"/>
          <w:szCs w:val="24"/>
        </w:rPr>
      </w:pPr>
      <w:r w:rsidRPr="00313ADB">
        <w:rPr>
          <w:sz w:val="24"/>
          <w:szCs w:val="24"/>
        </w:rPr>
        <w:t xml:space="preserve">For the purposes of the Convention, the significance of that finding lies in the way those grounds intersect. </w:t>
      </w:r>
      <w:proofErr w:type="spellStart"/>
      <w:r w:rsidRPr="00313ADB">
        <w:rPr>
          <w:sz w:val="24"/>
          <w:szCs w:val="24"/>
        </w:rPr>
        <w:t>Mr</w:t>
      </w:r>
      <w:proofErr w:type="spellEnd"/>
      <w:r w:rsidRPr="00313ADB">
        <w:rPr>
          <w:sz w:val="24"/>
          <w:szCs w:val="24"/>
        </w:rPr>
        <w:t xml:space="preserve"> Johal’s case is relevant because his work documenting abuses against Sikhs was treated as evidence of security risk, linking the alleged violence against him to his Sikh identity and advocacy. Even where a State alleges security offences, those allegations cannot justify torture or remove a Sikh detainee from equal protection against violence. </w:t>
      </w:r>
    </w:p>
    <w:p w14:paraId="594F7D84" w14:textId="2D144F41" w:rsidR="001F1245" w:rsidRPr="001F1245" w:rsidRDefault="001F1245">
      <w:pPr>
        <w:spacing w:before="240" w:after="240" w:line="276" w:lineRule="auto"/>
        <w:jc w:val="both"/>
        <w:rPr>
          <w:sz w:val="24"/>
          <w:szCs w:val="24"/>
        </w:rPr>
      </w:pPr>
      <w:r>
        <w:rPr>
          <w:sz w:val="24"/>
          <w:szCs w:val="24"/>
        </w:rPr>
        <w:t xml:space="preserve">Applying </w:t>
      </w:r>
      <w:r>
        <w:rPr>
          <w:i/>
          <w:iCs/>
          <w:sz w:val="24"/>
          <w:szCs w:val="24"/>
        </w:rPr>
        <w:t xml:space="preserve">General </w:t>
      </w:r>
      <w:proofErr w:type="gramStart"/>
      <w:r>
        <w:rPr>
          <w:i/>
          <w:iCs/>
          <w:sz w:val="24"/>
          <w:szCs w:val="24"/>
        </w:rPr>
        <w:t>Recommendation</w:t>
      </w:r>
      <w:proofErr w:type="gramEnd"/>
      <w:r>
        <w:rPr>
          <w:i/>
          <w:iCs/>
          <w:sz w:val="24"/>
          <w:szCs w:val="24"/>
        </w:rPr>
        <w:t xml:space="preserve"> No 32</w:t>
      </w:r>
      <w:r>
        <w:rPr>
          <w:sz w:val="24"/>
          <w:szCs w:val="24"/>
        </w:rPr>
        <w:t xml:space="preserve">'s purpose or effect test to the evidence above, the desecration of Sikh religious markers during interrogation cannot be explained by any investigative rationale; its function is to attack the detainee's Sikh identity directly, engaging both the prohibition on torture and the non-discrimination guarantee under Article 5(b) simultaneously. The same reasoning applies with </w:t>
      </w:r>
      <w:proofErr w:type="gramStart"/>
      <w:r>
        <w:rPr>
          <w:sz w:val="24"/>
          <w:szCs w:val="24"/>
        </w:rPr>
        <w:t>particular force</w:t>
      </w:r>
      <w:proofErr w:type="gramEnd"/>
      <w:r>
        <w:rPr>
          <w:sz w:val="24"/>
          <w:szCs w:val="24"/>
        </w:rPr>
        <w:t xml:space="preserve"> to Jagtar Singh Johal's case, where United National Special Procedures and the Working Group on Arbitrary Detention have already made an </w:t>
      </w:r>
      <w:proofErr w:type="gramStart"/>
      <w:r>
        <w:rPr>
          <w:sz w:val="24"/>
          <w:szCs w:val="24"/>
        </w:rPr>
        <w:t>explicit discriminatory grounds</w:t>
      </w:r>
      <w:proofErr w:type="gramEnd"/>
      <w:r>
        <w:rPr>
          <w:sz w:val="24"/>
          <w:szCs w:val="24"/>
        </w:rPr>
        <w:t xml:space="preserve"> finding. Read against the wider pattern documented in this report, his case should not be understood as an isolated finding: it reflects the operation of the same discriminatory logic that produces the general prevalence of custodial violence recorded above. </w:t>
      </w:r>
    </w:p>
    <w:p w14:paraId="6BC51C05" w14:textId="5A1BCF20" w:rsidR="00060D04" w:rsidRPr="00313ADB" w:rsidRDefault="00000000">
      <w:pPr>
        <w:spacing w:before="240" w:after="240" w:line="276" w:lineRule="auto"/>
        <w:jc w:val="both"/>
        <w:rPr>
          <w:sz w:val="24"/>
          <w:szCs w:val="24"/>
        </w:rPr>
      </w:pPr>
      <w:r w:rsidRPr="00313ADB">
        <w:rPr>
          <w:sz w:val="24"/>
          <w:szCs w:val="24"/>
        </w:rPr>
        <w:t xml:space="preserve">This pattern is reinforced by older but still relevant documentation of police torture in Punjab. A 2002 medical survey published in </w:t>
      </w:r>
      <w:r w:rsidRPr="00313ADB">
        <w:rPr>
          <w:i/>
          <w:iCs/>
          <w:sz w:val="24"/>
          <w:szCs w:val="24"/>
        </w:rPr>
        <w:t>Health and Human Rights</w:t>
      </w:r>
      <w:r w:rsidRPr="00313ADB">
        <w:rPr>
          <w:sz w:val="24"/>
          <w:szCs w:val="24"/>
        </w:rPr>
        <w:t xml:space="preserve"> documented police torture in Punjab in the 1980s and 1990s, when police arrested, detained without charge, tortured and killed Sikhs perceived to be sympathetic to </w:t>
      </w:r>
      <w:r w:rsidR="00D203E9">
        <w:rPr>
          <w:sz w:val="24"/>
          <w:szCs w:val="24"/>
        </w:rPr>
        <w:t>the insurgency</w:t>
      </w:r>
      <w:r w:rsidRPr="00313ADB">
        <w:rPr>
          <w:sz w:val="24"/>
          <w:szCs w:val="24"/>
        </w:rPr>
        <w:t>.</w:t>
      </w:r>
      <w:r w:rsidRPr="00313ADB">
        <w:rPr>
          <w:sz w:val="24"/>
          <w:szCs w:val="24"/>
          <w:vertAlign w:val="superscript"/>
        </w:rPr>
        <w:footnoteReference w:id="26"/>
      </w:r>
      <w:r w:rsidRPr="00313ADB">
        <w:rPr>
          <w:sz w:val="24"/>
          <w:szCs w:val="24"/>
        </w:rPr>
        <w:t xml:space="preserve"> The case of Kulbir Singh Barapind further illustrates the continued risk. He was extradited from the United States in 2006 on India’s diplomatic assurances against torture and acquitted by an Indian court in 2008, only to be re-arrested and subjected to beatings, electric shocks and other prolonged torture upon his return.</w:t>
      </w:r>
      <w:r w:rsidRPr="00313ADB">
        <w:rPr>
          <w:sz w:val="24"/>
          <w:szCs w:val="24"/>
          <w:vertAlign w:val="superscript"/>
        </w:rPr>
        <w:footnoteReference w:id="27"/>
      </w:r>
      <w:r w:rsidRPr="00313ADB">
        <w:rPr>
          <w:sz w:val="24"/>
          <w:szCs w:val="24"/>
        </w:rPr>
        <w:t xml:space="preserve"> </w:t>
      </w:r>
      <w:r w:rsidRPr="00313ADB">
        <w:rPr>
          <w:i/>
          <w:iCs/>
          <w:sz w:val="24"/>
          <w:szCs w:val="24"/>
        </w:rPr>
        <w:t>Human Rights Watch</w:t>
      </w:r>
      <w:r w:rsidRPr="00313ADB">
        <w:rPr>
          <w:sz w:val="24"/>
          <w:szCs w:val="24"/>
        </w:rPr>
        <w:t xml:space="preserve"> later relied on his case in warning governments against extraditing individuals to India, showing that the risk of torture of Sikh detainees has been </w:t>
      </w:r>
      <w:proofErr w:type="spellStart"/>
      <w:r w:rsidRPr="00313ADB">
        <w:rPr>
          <w:sz w:val="24"/>
          <w:szCs w:val="24"/>
        </w:rPr>
        <w:t>recognised</w:t>
      </w:r>
      <w:proofErr w:type="spellEnd"/>
      <w:r w:rsidRPr="00313ADB">
        <w:rPr>
          <w:sz w:val="24"/>
          <w:szCs w:val="24"/>
        </w:rPr>
        <w:t xml:space="preserve"> beyond domestic advocacy sources.</w:t>
      </w:r>
      <w:r w:rsidRPr="00313ADB">
        <w:rPr>
          <w:sz w:val="24"/>
          <w:szCs w:val="24"/>
          <w:vertAlign w:val="superscript"/>
        </w:rPr>
        <w:footnoteReference w:id="28"/>
      </w:r>
    </w:p>
    <w:p w14:paraId="6BC51C06" w14:textId="77777777" w:rsidR="00060D04" w:rsidRPr="00313ADB" w:rsidRDefault="00000000">
      <w:pPr>
        <w:spacing w:before="240" w:after="240" w:line="276" w:lineRule="auto"/>
        <w:jc w:val="both"/>
        <w:rPr>
          <w:sz w:val="24"/>
          <w:szCs w:val="24"/>
        </w:rPr>
      </w:pPr>
      <w:r w:rsidRPr="00313ADB">
        <w:rPr>
          <w:sz w:val="24"/>
          <w:szCs w:val="24"/>
        </w:rPr>
        <w:t xml:space="preserve">Custodial violence also takes the form of denial of medical care. Malkit Singh Shera, a Sikh </w:t>
      </w:r>
      <w:r w:rsidRPr="00496B3B">
        <w:rPr>
          <w:i/>
          <w:iCs/>
          <w:sz w:val="24"/>
          <w:szCs w:val="24"/>
        </w:rPr>
        <w:t>UAPA</w:t>
      </w:r>
      <w:r w:rsidRPr="00313ADB">
        <w:rPr>
          <w:sz w:val="24"/>
          <w:szCs w:val="24"/>
        </w:rPr>
        <w:t xml:space="preserve"> detainee, suffered from heart disease and diabetes. Courts reportedly ordered treatment, including a December 2020 direction that he be assessed by a specialist medical board, but his family alleged that he did not receive proper medical care and he died in custody in October 2021.</w:t>
      </w:r>
      <w:r w:rsidRPr="00313ADB">
        <w:rPr>
          <w:sz w:val="24"/>
          <w:szCs w:val="24"/>
          <w:vertAlign w:val="superscript"/>
        </w:rPr>
        <w:footnoteReference w:id="29"/>
      </w:r>
      <w:r w:rsidRPr="00313ADB">
        <w:rPr>
          <w:sz w:val="24"/>
          <w:szCs w:val="24"/>
        </w:rPr>
        <w:t xml:space="preserve"> The Article 5(b) concern is that a Sikh detainee </w:t>
      </w:r>
      <w:proofErr w:type="spellStart"/>
      <w:r w:rsidRPr="00313ADB">
        <w:rPr>
          <w:sz w:val="24"/>
          <w:szCs w:val="24"/>
        </w:rPr>
        <w:t>characterised</w:t>
      </w:r>
      <w:proofErr w:type="spellEnd"/>
      <w:r w:rsidRPr="00313ADB">
        <w:rPr>
          <w:sz w:val="24"/>
          <w:szCs w:val="24"/>
        </w:rPr>
        <w:t xml:space="preserve"> through the Khalistan security narrative died in custody despite </w:t>
      </w:r>
      <w:r w:rsidRPr="00313ADB">
        <w:rPr>
          <w:sz w:val="24"/>
          <w:szCs w:val="24"/>
        </w:rPr>
        <w:lastRenderedPageBreak/>
        <w:t>repeated judicial directions for his treatment, exposing the gap between formal judicial protection and its enforcement on the ground.</w:t>
      </w:r>
    </w:p>
    <w:p w14:paraId="6BC51C07" w14:textId="28E90E9A" w:rsidR="00060D04" w:rsidRPr="00313ADB" w:rsidRDefault="00000000">
      <w:pPr>
        <w:spacing w:before="240" w:after="240" w:line="276" w:lineRule="auto"/>
        <w:jc w:val="both"/>
        <w:rPr>
          <w:color w:val="FF0000"/>
          <w:sz w:val="24"/>
          <w:szCs w:val="24"/>
        </w:rPr>
      </w:pPr>
      <w:r w:rsidRPr="00313ADB">
        <w:rPr>
          <w:sz w:val="24"/>
          <w:szCs w:val="24"/>
        </w:rPr>
        <w:t xml:space="preserve">Across these cases, the discrimination operates at more than one point. The deliberate targeting of Sikh religious markers, such as </w:t>
      </w:r>
      <w:proofErr w:type="spellStart"/>
      <w:r w:rsidR="00D203E9">
        <w:rPr>
          <w:i/>
          <w:iCs/>
          <w:sz w:val="24"/>
          <w:szCs w:val="24"/>
        </w:rPr>
        <w:t>kes</w:t>
      </w:r>
      <w:proofErr w:type="spellEnd"/>
      <w:r w:rsidR="00D203E9">
        <w:rPr>
          <w:i/>
          <w:iCs/>
          <w:sz w:val="24"/>
          <w:szCs w:val="24"/>
        </w:rPr>
        <w:t xml:space="preserve"> </w:t>
      </w:r>
      <w:r w:rsidR="00D203E9">
        <w:rPr>
          <w:sz w:val="24"/>
          <w:szCs w:val="24"/>
        </w:rPr>
        <w:t xml:space="preserve">(unshorn </w:t>
      </w:r>
      <w:r w:rsidRPr="00313ADB">
        <w:rPr>
          <w:sz w:val="24"/>
          <w:szCs w:val="24"/>
        </w:rPr>
        <w:t>hair and beard</w:t>
      </w:r>
      <w:r w:rsidR="00D203E9">
        <w:rPr>
          <w:sz w:val="24"/>
          <w:szCs w:val="24"/>
        </w:rPr>
        <w:t>)</w:t>
      </w:r>
      <w:r w:rsidRPr="00313ADB">
        <w:rPr>
          <w:sz w:val="24"/>
          <w:szCs w:val="24"/>
        </w:rPr>
        <w:t xml:space="preserve">, in custodial torture shows discrimination in the method of violence itself. </w:t>
      </w:r>
      <w:r w:rsidR="00594BA1">
        <w:rPr>
          <w:sz w:val="24"/>
          <w:szCs w:val="24"/>
        </w:rPr>
        <w:t xml:space="preserve">Jagtar Singh </w:t>
      </w:r>
      <w:r w:rsidRPr="00313ADB">
        <w:rPr>
          <w:sz w:val="24"/>
          <w:szCs w:val="24"/>
        </w:rPr>
        <w:t xml:space="preserve">Johal's case shows discrimination in the official justification for violence, where Sikh identity, advocacy and faith were treated as evidence of security risk. </w:t>
      </w:r>
      <w:r w:rsidR="00594BA1">
        <w:rPr>
          <w:sz w:val="24"/>
          <w:szCs w:val="24"/>
        </w:rPr>
        <w:t>Malkit Singh</w:t>
      </w:r>
      <w:r w:rsidR="00594BA1" w:rsidRPr="00313ADB">
        <w:rPr>
          <w:sz w:val="24"/>
          <w:szCs w:val="24"/>
        </w:rPr>
        <w:t xml:space="preserve"> </w:t>
      </w:r>
      <w:r w:rsidRPr="00313ADB">
        <w:rPr>
          <w:sz w:val="24"/>
          <w:szCs w:val="24"/>
        </w:rPr>
        <w:t>Shera's case shows discrimination in the State's response once risk to life was apparent, where judicial directions for medical protection went unenforced. This is precisely the type of discriminatory denial of protection against violence that Article 5(b) is designed to prevent.</w:t>
      </w:r>
    </w:p>
    <w:p w14:paraId="6BC51C08" w14:textId="77777777" w:rsidR="00060D04" w:rsidRPr="00496B3B" w:rsidRDefault="00000000">
      <w:pPr>
        <w:pStyle w:val="Heading2"/>
        <w:spacing w:line="276" w:lineRule="auto"/>
        <w:jc w:val="both"/>
        <w:rPr>
          <w:rFonts w:eastAsia="Calibri"/>
          <w:sz w:val="28"/>
          <w:szCs w:val="28"/>
        </w:rPr>
      </w:pPr>
      <w:r w:rsidRPr="00496B3B">
        <w:rPr>
          <w:rFonts w:eastAsia="Calibri"/>
          <w:sz w:val="28"/>
          <w:szCs w:val="28"/>
        </w:rPr>
        <w:t>Transnational extension under Article 5(b)</w:t>
      </w:r>
    </w:p>
    <w:p w14:paraId="6BC51C09" w14:textId="77777777" w:rsidR="00060D04" w:rsidRPr="00313ADB" w:rsidRDefault="00000000">
      <w:pPr>
        <w:spacing w:line="276" w:lineRule="auto"/>
        <w:ind w:firstLine="720"/>
        <w:jc w:val="both"/>
        <w:rPr>
          <w:sz w:val="24"/>
          <w:szCs w:val="24"/>
        </w:rPr>
      </w:pPr>
      <w:r w:rsidRPr="00313ADB">
        <w:rPr>
          <w:sz w:val="24"/>
          <w:szCs w:val="24"/>
        </w:rPr>
        <w:t>The same narrative of Sikh separatist threat also appears beyond India’s territory. Official sources and investigations link threats, intimidation and alleged violence against Sikh activists abroad to agents of India, making the issue relevant to Article 5(b).</w:t>
      </w:r>
    </w:p>
    <w:p w14:paraId="6BC51C0A" w14:textId="25A07583" w:rsidR="00060D04" w:rsidRPr="00313ADB" w:rsidRDefault="00000000">
      <w:pPr>
        <w:spacing w:line="276" w:lineRule="auto"/>
        <w:ind w:firstLine="720"/>
        <w:jc w:val="both"/>
        <w:rPr>
          <w:sz w:val="24"/>
          <w:szCs w:val="24"/>
        </w:rPr>
      </w:pPr>
      <w:r w:rsidRPr="00313ADB">
        <w:rPr>
          <w:sz w:val="24"/>
          <w:szCs w:val="24"/>
        </w:rPr>
        <w:t xml:space="preserve"> United Nations Special Procedures expressed grave concern in relation to the killing of </w:t>
      </w:r>
      <w:r w:rsidR="00594BA1">
        <w:rPr>
          <w:sz w:val="24"/>
          <w:szCs w:val="24"/>
        </w:rPr>
        <w:t xml:space="preserve">Bhai </w:t>
      </w:r>
      <w:r w:rsidRPr="00313ADB">
        <w:rPr>
          <w:sz w:val="24"/>
          <w:szCs w:val="24"/>
        </w:rPr>
        <w:t>Hardeep Singh Nijjar in British Columbia on 18 June 2023, and continuing threats against Sikh activists in countries with significant Sikh diaspora communities, including Canada itself, the United States and the United Kingdom. The communication referred to harassment, intimidation, threats of violence and death, and the planning of physical attacks against individuals associated with Sikh activism.</w:t>
      </w:r>
      <w:r w:rsidRPr="00313ADB">
        <w:rPr>
          <w:sz w:val="24"/>
          <w:szCs w:val="24"/>
          <w:vertAlign w:val="superscript"/>
        </w:rPr>
        <w:footnoteReference w:id="30"/>
      </w:r>
      <w:r w:rsidRPr="00313ADB">
        <w:rPr>
          <w:sz w:val="24"/>
          <w:szCs w:val="24"/>
        </w:rPr>
        <w:t xml:space="preserve"> </w:t>
      </w:r>
    </w:p>
    <w:p w14:paraId="6BC51C0B" w14:textId="2D3E22A8" w:rsidR="00060D04" w:rsidRPr="00313ADB" w:rsidRDefault="00000000">
      <w:pPr>
        <w:spacing w:line="276" w:lineRule="auto"/>
        <w:jc w:val="both"/>
        <w:rPr>
          <w:sz w:val="24"/>
          <w:szCs w:val="24"/>
        </w:rPr>
      </w:pPr>
      <w:r w:rsidRPr="00313ADB">
        <w:rPr>
          <w:sz w:val="24"/>
          <w:szCs w:val="24"/>
        </w:rPr>
        <w:t>In the United States, prosecutors charged Vikash Yadav in October 2024, described by the Department of Justice as an Indian government employee at the relevant time, with directing a foiled plot to assassinate a prominent United States-based Sikh activist in New York.</w:t>
      </w:r>
      <w:r w:rsidRPr="00313ADB">
        <w:rPr>
          <w:sz w:val="24"/>
          <w:szCs w:val="24"/>
          <w:vertAlign w:val="superscript"/>
        </w:rPr>
        <w:footnoteReference w:id="31"/>
      </w:r>
      <w:r w:rsidRPr="00313ADB">
        <w:rPr>
          <w:sz w:val="24"/>
          <w:szCs w:val="24"/>
        </w:rPr>
        <w:t xml:space="preserve"> Nikhil Gupta, an Indian national accused of helping arrange the same plot, later pleaded guilty; prosecutors stated that he acted with others, including Yadav.</w:t>
      </w:r>
      <w:r w:rsidRPr="00313ADB">
        <w:rPr>
          <w:sz w:val="24"/>
          <w:szCs w:val="24"/>
          <w:vertAlign w:val="superscript"/>
        </w:rPr>
        <w:footnoteReference w:id="32"/>
      </w:r>
      <w:r w:rsidRPr="00313ADB">
        <w:rPr>
          <w:sz w:val="24"/>
          <w:szCs w:val="24"/>
        </w:rPr>
        <w:t xml:space="preserve"> The United States Attorney’s Office described </w:t>
      </w:r>
      <w:proofErr w:type="spellStart"/>
      <w:r w:rsidR="00594BA1">
        <w:rPr>
          <w:sz w:val="24"/>
          <w:szCs w:val="24"/>
        </w:rPr>
        <w:t>Gurpatwant</w:t>
      </w:r>
      <w:proofErr w:type="spellEnd"/>
      <w:r w:rsidR="00594BA1">
        <w:rPr>
          <w:sz w:val="24"/>
          <w:szCs w:val="24"/>
        </w:rPr>
        <w:t xml:space="preserve"> Singh </w:t>
      </w:r>
      <w:proofErr w:type="spellStart"/>
      <w:r w:rsidR="00594BA1">
        <w:rPr>
          <w:sz w:val="24"/>
          <w:szCs w:val="24"/>
        </w:rPr>
        <w:t>Pannun</w:t>
      </w:r>
      <w:proofErr w:type="spellEnd"/>
      <w:r w:rsidR="00594BA1">
        <w:rPr>
          <w:sz w:val="24"/>
          <w:szCs w:val="24"/>
        </w:rPr>
        <w:t xml:space="preserve">, </w:t>
      </w:r>
      <w:r w:rsidRPr="00313ADB">
        <w:rPr>
          <w:sz w:val="24"/>
          <w:szCs w:val="24"/>
        </w:rPr>
        <w:t>the intended victim</w:t>
      </w:r>
      <w:r w:rsidR="00594BA1">
        <w:rPr>
          <w:sz w:val="24"/>
          <w:szCs w:val="24"/>
        </w:rPr>
        <w:t>,</w:t>
      </w:r>
      <w:r w:rsidRPr="00313ADB">
        <w:rPr>
          <w:sz w:val="24"/>
          <w:szCs w:val="24"/>
        </w:rPr>
        <w:t xml:space="preserve"> as a United States citizen, attorney and prominent </w:t>
      </w:r>
      <w:r w:rsidR="00594BA1">
        <w:rPr>
          <w:sz w:val="24"/>
          <w:szCs w:val="24"/>
        </w:rPr>
        <w:t xml:space="preserve">Sikh </w:t>
      </w:r>
      <w:r w:rsidRPr="00313ADB">
        <w:rPr>
          <w:sz w:val="24"/>
          <w:szCs w:val="24"/>
        </w:rPr>
        <w:t xml:space="preserve">political activist who was a vocal critic of the Indian government and led an </w:t>
      </w:r>
      <w:proofErr w:type="spellStart"/>
      <w:r w:rsidRPr="00313ADB">
        <w:rPr>
          <w:sz w:val="24"/>
          <w:szCs w:val="24"/>
        </w:rPr>
        <w:t>organisation</w:t>
      </w:r>
      <w:proofErr w:type="spellEnd"/>
      <w:r w:rsidRPr="00313ADB">
        <w:rPr>
          <w:sz w:val="24"/>
          <w:szCs w:val="24"/>
        </w:rPr>
        <w:t xml:space="preserve"> advocating for the secession of Punjab.</w:t>
      </w:r>
    </w:p>
    <w:p w14:paraId="6BC51C0C" w14:textId="5AC88CB7" w:rsidR="00060D04" w:rsidRPr="00313ADB" w:rsidRDefault="00000000">
      <w:pPr>
        <w:spacing w:before="240" w:after="240" w:line="276" w:lineRule="auto"/>
        <w:jc w:val="both"/>
        <w:rPr>
          <w:sz w:val="24"/>
          <w:szCs w:val="24"/>
        </w:rPr>
      </w:pPr>
      <w:r w:rsidRPr="00313ADB">
        <w:rPr>
          <w:sz w:val="24"/>
          <w:szCs w:val="24"/>
        </w:rPr>
        <w:t xml:space="preserve">Canadian official sources point in the same direction. In October 2024, the Royal Canadian Mounted Police stated that it had obtained evidence linking agents of the Government of India to serious criminal activity in Canada, including homicides and violent acts, the use of </w:t>
      </w:r>
      <w:proofErr w:type="spellStart"/>
      <w:r w:rsidRPr="00313ADB">
        <w:rPr>
          <w:sz w:val="24"/>
          <w:szCs w:val="24"/>
        </w:rPr>
        <w:t>organised</w:t>
      </w:r>
      <w:proofErr w:type="spellEnd"/>
      <w:r w:rsidRPr="00313ADB">
        <w:rPr>
          <w:sz w:val="24"/>
          <w:szCs w:val="24"/>
        </w:rPr>
        <w:t xml:space="preserve"> crime, and interference in democratic processes.</w:t>
      </w:r>
      <w:r w:rsidRPr="00313ADB">
        <w:rPr>
          <w:sz w:val="24"/>
          <w:szCs w:val="24"/>
          <w:vertAlign w:val="superscript"/>
        </w:rPr>
        <w:footnoteReference w:id="33"/>
      </w:r>
      <w:r w:rsidRPr="00313ADB">
        <w:rPr>
          <w:sz w:val="24"/>
          <w:szCs w:val="24"/>
        </w:rPr>
        <w:t xml:space="preserve"> The Hogue Commission’s 2025 final report found that India’s foreign interference activities in Canada primarily target members of the Sikh diaspora and seek to promote a </w:t>
      </w:r>
      <w:r w:rsidRPr="00313ADB">
        <w:rPr>
          <w:sz w:val="24"/>
          <w:szCs w:val="24"/>
        </w:rPr>
        <w:lastRenderedPageBreak/>
        <w:t>pro-India and anti-Khalistan narrative; it also recorded that the chain of criminal activity with ties to India primarily targeted the Sikh community.</w:t>
      </w:r>
      <w:r w:rsidRPr="00313ADB">
        <w:rPr>
          <w:sz w:val="24"/>
          <w:szCs w:val="24"/>
          <w:vertAlign w:val="superscript"/>
        </w:rPr>
        <w:footnoteReference w:id="34"/>
      </w:r>
    </w:p>
    <w:p w14:paraId="6BC51C0D" w14:textId="247D497C" w:rsidR="00060D04" w:rsidRPr="00313ADB" w:rsidRDefault="00000000">
      <w:pPr>
        <w:spacing w:line="276" w:lineRule="auto"/>
        <w:jc w:val="both"/>
        <w:rPr>
          <w:color w:val="FF0000"/>
          <w:sz w:val="24"/>
          <w:szCs w:val="24"/>
        </w:rPr>
      </w:pPr>
      <w:r w:rsidRPr="00313ADB">
        <w:rPr>
          <w:sz w:val="24"/>
          <w:szCs w:val="24"/>
        </w:rPr>
        <w:t xml:space="preserve">For the purposes of Article 5(b), advocacy </w:t>
      </w:r>
      <w:r w:rsidR="00882462" w:rsidRPr="00313ADB">
        <w:rPr>
          <w:sz w:val="24"/>
          <w:szCs w:val="24"/>
        </w:rPr>
        <w:t xml:space="preserve">for </w:t>
      </w:r>
      <w:r w:rsidR="006C14F1" w:rsidRPr="00313ADB">
        <w:rPr>
          <w:sz w:val="24"/>
          <w:szCs w:val="24"/>
        </w:rPr>
        <w:t xml:space="preserve">Sikh </w:t>
      </w:r>
      <w:r w:rsidR="00A23DA5" w:rsidRPr="00313ADB">
        <w:rPr>
          <w:sz w:val="24"/>
          <w:szCs w:val="24"/>
        </w:rPr>
        <w:t xml:space="preserve">independence </w:t>
      </w:r>
      <w:r w:rsidRPr="00313ADB">
        <w:rPr>
          <w:sz w:val="24"/>
          <w:szCs w:val="24"/>
        </w:rPr>
        <w:t xml:space="preserve">cannot be </w:t>
      </w:r>
      <w:r w:rsidR="00A23DA5" w:rsidRPr="00313ADB">
        <w:rPr>
          <w:sz w:val="24"/>
          <w:szCs w:val="24"/>
        </w:rPr>
        <w:t>used as justification</w:t>
      </w:r>
      <w:r w:rsidRPr="00313ADB">
        <w:rPr>
          <w:sz w:val="24"/>
          <w:szCs w:val="24"/>
        </w:rPr>
        <w:t xml:space="preserve"> </w:t>
      </w:r>
      <w:r w:rsidR="00A23DA5" w:rsidRPr="00313ADB">
        <w:rPr>
          <w:sz w:val="24"/>
          <w:szCs w:val="24"/>
        </w:rPr>
        <w:t>for</w:t>
      </w:r>
      <w:r w:rsidRPr="00313ADB">
        <w:rPr>
          <w:sz w:val="24"/>
          <w:szCs w:val="24"/>
        </w:rPr>
        <w:t xml:space="preserve"> removing Sikh activists from the protection of the law. Even where the State regards such advocacy as a security concern, its response must remain proportionate and subject to due process. The official material above indicates that Sikh activists abroad have faced serious risks to life and security linked to the same counter-terror narrative that operates domestically against Sikh dissent</w:t>
      </w:r>
      <w:r w:rsidR="00E03540" w:rsidRPr="00313ADB">
        <w:rPr>
          <w:sz w:val="24"/>
          <w:szCs w:val="24"/>
        </w:rPr>
        <w:t xml:space="preserve"> in India</w:t>
      </w:r>
      <w:r w:rsidRPr="00313ADB">
        <w:rPr>
          <w:sz w:val="24"/>
          <w:szCs w:val="24"/>
        </w:rPr>
        <w:t>.</w:t>
      </w:r>
    </w:p>
    <w:p w14:paraId="6BC51C0E" w14:textId="77777777" w:rsidR="00060D04" w:rsidRPr="00313ADB" w:rsidRDefault="00000000">
      <w:pPr>
        <w:pStyle w:val="Heading1"/>
        <w:spacing w:line="276" w:lineRule="auto"/>
        <w:jc w:val="both"/>
        <w:rPr>
          <w:sz w:val="24"/>
          <w:szCs w:val="24"/>
        </w:rPr>
      </w:pPr>
      <w:r w:rsidRPr="00496B3B">
        <w:rPr>
          <w:rFonts w:eastAsia="Calibri"/>
        </w:rPr>
        <w:t>Article 5(d)(viii) and (ix) - Expression, assembly and association</w:t>
      </w:r>
    </w:p>
    <w:p w14:paraId="6BC51C0F" w14:textId="77777777" w:rsidR="00060D04" w:rsidRPr="00313ADB" w:rsidRDefault="00000000">
      <w:pPr>
        <w:spacing w:line="276" w:lineRule="auto"/>
        <w:ind w:firstLine="720"/>
        <w:jc w:val="both"/>
        <w:rPr>
          <w:sz w:val="24"/>
          <w:szCs w:val="24"/>
        </w:rPr>
      </w:pPr>
      <w:r w:rsidRPr="00313ADB">
        <w:rPr>
          <w:sz w:val="24"/>
          <w:szCs w:val="24"/>
        </w:rPr>
        <w:t xml:space="preserve">Article 5(d)(viii) and (ix) protect equality in the enjoyment of freedom of opinion and expression, peaceful assembly and association. These rights are engaged where Sikh expression, protest </w:t>
      </w:r>
      <w:proofErr w:type="spellStart"/>
      <w:r w:rsidRPr="00313ADB">
        <w:rPr>
          <w:sz w:val="24"/>
          <w:szCs w:val="24"/>
        </w:rPr>
        <w:t>mobilisation</w:t>
      </w:r>
      <w:proofErr w:type="spellEnd"/>
      <w:r w:rsidRPr="00313ADB">
        <w:rPr>
          <w:sz w:val="24"/>
          <w:szCs w:val="24"/>
        </w:rPr>
        <w:t xml:space="preserve"> or online association is restricted because it is treated as separatist or extremist activity.</w:t>
      </w:r>
    </w:p>
    <w:p w14:paraId="6BC51C10" w14:textId="4DB1818C" w:rsidR="00060D04" w:rsidRPr="00313ADB" w:rsidRDefault="00000000">
      <w:pPr>
        <w:spacing w:before="240" w:after="240" w:line="276" w:lineRule="auto"/>
        <w:jc w:val="both"/>
        <w:rPr>
          <w:sz w:val="24"/>
          <w:szCs w:val="24"/>
        </w:rPr>
      </w:pPr>
      <w:r w:rsidRPr="00313ADB">
        <w:rPr>
          <w:sz w:val="24"/>
          <w:szCs w:val="24"/>
        </w:rPr>
        <w:t>The pattern appears in both content restriction and the use of online activity in counter-terror proceedings. In 2022, Twitter withheld Ravi Singh’s account from users in India.</w:t>
      </w:r>
      <w:r w:rsidRPr="00313ADB">
        <w:rPr>
          <w:sz w:val="24"/>
          <w:szCs w:val="24"/>
          <w:vertAlign w:val="superscript"/>
        </w:rPr>
        <w:footnoteReference w:id="35"/>
      </w:r>
      <w:r w:rsidRPr="00313ADB">
        <w:rPr>
          <w:sz w:val="24"/>
          <w:szCs w:val="24"/>
        </w:rPr>
        <w:t xml:space="preserve"> Singh is the founder of Khalsa Aid, a Sikh humanitarian </w:t>
      </w:r>
      <w:proofErr w:type="spellStart"/>
      <w:r w:rsidRPr="00313ADB">
        <w:rPr>
          <w:sz w:val="24"/>
          <w:szCs w:val="24"/>
        </w:rPr>
        <w:t>organisation</w:t>
      </w:r>
      <w:proofErr w:type="spellEnd"/>
      <w:r w:rsidRPr="00313ADB">
        <w:rPr>
          <w:sz w:val="24"/>
          <w:szCs w:val="24"/>
        </w:rPr>
        <w:t xml:space="preserve"> that had played a visible role during the farmers’ protests</w:t>
      </w:r>
      <w:r w:rsidR="00FC3C8E">
        <w:rPr>
          <w:sz w:val="24"/>
          <w:szCs w:val="24"/>
        </w:rPr>
        <w:t xml:space="preserve"> and other humanitarian efforts around the world</w:t>
      </w:r>
      <w:r w:rsidRPr="00313ADB">
        <w:rPr>
          <w:sz w:val="24"/>
          <w:szCs w:val="24"/>
        </w:rPr>
        <w:t>. Public reporting stated that the account was withheld in response to a legal demand.</w:t>
      </w:r>
      <w:r w:rsidRPr="00313ADB">
        <w:rPr>
          <w:sz w:val="24"/>
          <w:szCs w:val="24"/>
          <w:vertAlign w:val="superscript"/>
        </w:rPr>
        <w:footnoteReference w:id="36"/>
      </w:r>
    </w:p>
    <w:p w14:paraId="6BC51C11" w14:textId="77777777" w:rsidR="00060D04" w:rsidRPr="00313ADB" w:rsidRDefault="00000000">
      <w:pPr>
        <w:spacing w:before="240" w:after="240" w:line="276" w:lineRule="auto"/>
        <w:jc w:val="both"/>
        <w:rPr>
          <w:sz w:val="24"/>
          <w:szCs w:val="24"/>
        </w:rPr>
      </w:pPr>
      <w:r w:rsidRPr="00313ADB">
        <w:rPr>
          <w:sz w:val="24"/>
          <w:szCs w:val="24"/>
        </w:rPr>
        <w:t>Written evidence submitted to the United States Congress by the Sikh American Legal Defense and Education Fund recorded concerns that online information was being used by Indian authorities to target, arrest and prosecute Sikh activists and journalists.</w:t>
      </w:r>
      <w:r w:rsidRPr="00313ADB">
        <w:rPr>
          <w:sz w:val="24"/>
          <w:szCs w:val="24"/>
          <w:vertAlign w:val="superscript"/>
        </w:rPr>
        <w:footnoteReference w:id="37"/>
      </w:r>
      <w:r w:rsidRPr="00313ADB">
        <w:rPr>
          <w:sz w:val="24"/>
          <w:szCs w:val="24"/>
        </w:rPr>
        <w:t xml:space="preserve"> The statement referred to Indian authorities using social-media activity in terrorism-related cases, including cases concerning alleged Khalistan links. This supports the Article 5(d) concern that Sikh expression and association may be restricted through content removal and through the later treatment of online activity as evidence in counter-terror proceedings.</w:t>
      </w:r>
    </w:p>
    <w:p w14:paraId="19D5079D" w14:textId="5EFCE253" w:rsidR="00D32961" w:rsidRDefault="00000000">
      <w:pPr>
        <w:spacing w:before="240" w:after="240" w:line="276" w:lineRule="auto"/>
        <w:jc w:val="both"/>
        <w:rPr>
          <w:sz w:val="24"/>
          <w:szCs w:val="24"/>
        </w:rPr>
      </w:pPr>
      <w:r w:rsidRPr="00313ADB">
        <w:rPr>
          <w:sz w:val="24"/>
          <w:szCs w:val="24"/>
        </w:rPr>
        <w:t xml:space="preserve">A separate example shows how Sikh identity itself can be affected by platform-level censorship. In 2020, Facebook and Instagram blocked the hashtag “Sikh” for several months before </w:t>
      </w:r>
      <w:proofErr w:type="spellStart"/>
      <w:r w:rsidRPr="00313ADB">
        <w:rPr>
          <w:sz w:val="24"/>
          <w:szCs w:val="24"/>
        </w:rPr>
        <w:t>apologising</w:t>
      </w:r>
      <w:proofErr w:type="spellEnd"/>
      <w:r w:rsidRPr="00313ADB">
        <w:rPr>
          <w:sz w:val="24"/>
          <w:szCs w:val="24"/>
        </w:rPr>
        <w:t xml:space="preserve"> and restoring it.</w:t>
      </w:r>
      <w:r w:rsidRPr="00313ADB">
        <w:rPr>
          <w:sz w:val="24"/>
          <w:szCs w:val="24"/>
          <w:vertAlign w:val="superscript"/>
        </w:rPr>
        <w:footnoteReference w:id="38"/>
      </w:r>
      <w:r w:rsidRPr="00313ADB">
        <w:rPr>
          <w:sz w:val="24"/>
          <w:szCs w:val="24"/>
        </w:rPr>
        <w:t xml:space="preserve"> The block occurred during a period of Sikh commemoration linked to the 1984 </w:t>
      </w:r>
      <w:r w:rsidR="00FC3C8E">
        <w:rPr>
          <w:sz w:val="24"/>
          <w:szCs w:val="24"/>
        </w:rPr>
        <w:t xml:space="preserve">invasion of Sri Darbar Sahib and </w:t>
      </w:r>
      <w:r w:rsidRPr="00313ADB">
        <w:rPr>
          <w:sz w:val="24"/>
          <w:szCs w:val="24"/>
        </w:rPr>
        <w:t>attacks on the Sikh community. Although the platforms described the block as a mistake, the episode illustrates how digital moderation can suppress Sikh identity, remembrance and collective expression.</w:t>
      </w:r>
    </w:p>
    <w:p w14:paraId="48B7985F" w14:textId="16BADDA0" w:rsidR="00D32961" w:rsidRPr="00D32961" w:rsidRDefault="00D32961">
      <w:pPr>
        <w:spacing w:before="240" w:after="240" w:line="276" w:lineRule="auto"/>
        <w:jc w:val="both"/>
        <w:rPr>
          <w:sz w:val="24"/>
          <w:szCs w:val="24"/>
        </w:rPr>
      </w:pPr>
      <w:r w:rsidRPr="00496B3B">
        <w:rPr>
          <w:sz w:val="24"/>
          <w:szCs w:val="24"/>
        </w:rPr>
        <w:t xml:space="preserve">According to credible reports, the Government of India demanded the removal of 1,178 Twitter accounts which it alleged were backed by Pakistan or operated by </w:t>
      </w:r>
      <w:proofErr w:type="spellStart"/>
      <w:r w:rsidRPr="00496B3B">
        <w:rPr>
          <w:sz w:val="24"/>
          <w:szCs w:val="24"/>
        </w:rPr>
        <w:t>sympathisers</w:t>
      </w:r>
      <w:proofErr w:type="spellEnd"/>
      <w:r w:rsidRPr="00496B3B">
        <w:rPr>
          <w:sz w:val="24"/>
          <w:szCs w:val="24"/>
        </w:rPr>
        <w:t xml:space="preserve"> of the Sikh separatist movement </w:t>
      </w:r>
      <w:r w:rsidRPr="00496B3B">
        <w:rPr>
          <w:sz w:val="24"/>
          <w:szCs w:val="24"/>
        </w:rPr>
        <w:lastRenderedPageBreak/>
        <w:t>during the 2021 farmers' protests.</w:t>
      </w:r>
      <w:r w:rsidRPr="00496B3B">
        <w:rPr>
          <w:rStyle w:val="FootnoteReference"/>
          <w:sz w:val="24"/>
          <w:szCs w:val="24"/>
        </w:rPr>
        <w:footnoteReference w:id="39"/>
      </w:r>
      <w:r w:rsidRPr="00496B3B">
        <w:rPr>
          <w:sz w:val="24"/>
          <w:szCs w:val="24"/>
        </w:rPr>
        <w:t xml:space="preserve"> The order was not public, the affected accounts were not identified, and Twitter did not confirm whether it had complied. A comparable pattern recurred in 2024, when X's Global Government Affairs account disclosed that the platform had withheld specified accounts and posts in India pursuant to executive orders issued by the Indian Government.</w:t>
      </w:r>
      <w:r w:rsidRPr="00496B3B">
        <w:rPr>
          <w:rStyle w:val="FootnoteReference"/>
          <w:sz w:val="24"/>
          <w:szCs w:val="24"/>
        </w:rPr>
        <w:footnoteReference w:id="40"/>
      </w:r>
      <w:r w:rsidRPr="00496B3B">
        <w:rPr>
          <w:sz w:val="24"/>
          <w:szCs w:val="24"/>
        </w:rPr>
        <w:t>X did not identify the affected accounts but publicly disagreed with the orders, stating that freedom of expression should extend to the withheld material.</w:t>
      </w:r>
    </w:p>
    <w:p w14:paraId="6BC51C13" w14:textId="77777777" w:rsidR="00060D04" w:rsidRPr="00313ADB" w:rsidRDefault="00000000">
      <w:pPr>
        <w:spacing w:before="240" w:after="240" w:line="276" w:lineRule="auto"/>
        <w:jc w:val="both"/>
        <w:rPr>
          <w:sz w:val="24"/>
          <w:szCs w:val="24"/>
        </w:rPr>
      </w:pPr>
      <w:r w:rsidRPr="00313ADB">
        <w:rPr>
          <w:sz w:val="24"/>
          <w:szCs w:val="24"/>
        </w:rPr>
        <w:t xml:space="preserve">The transnational material is also relevant under Article 5(d), but for a different reason than under Article 5(b). Here, the concern is the chilling effect on expression, assembly and association. The Hogue Commission </w:t>
      </w:r>
      <w:proofErr w:type="spellStart"/>
      <w:r w:rsidRPr="00313ADB">
        <w:rPr>
          <w:sz w:val="24"/>
          <w:szCs w:val="24"/>
        </w:rPr>
        <w:t>recognised</w:t>
      </w:r>
      <w:proofErr w:type="spellEnd"/>
      <w:r w:rsidRPr="00313ADB">
        <w:rPr>
          <w:sz w:val="24"/>
          <w:szCs w:val="24"/>
        </w:rPr>
        <w:t xml:space="preserve"> that transnational repression </w:t>
      </w:r>
      <w:proofErr w:type="gramStart"/>
      <w:r w:rsidRPr="00313ADB">
        <w:rPr>
          <w:sz w:val="24"/>
          <w:szCs w:val="24"/>
        </w:rPr>
        <w:t>can</w:t>
      </w:r>
      <w:proofErr w:type="gramEnd"/>
      <w:r w:rsidRPr="00313ADB">
        <w:rPr>
          <w:sz w:val="24"/>
          <w:szCs w:val="24"/>
        </w:rPr>
        <w:t xml:space="preserve"> undermine individuals’ freedom to engage in democratic practices.</w:t>
      </w:r>
      <w:r w:rsidRPr="00313ADB">
        <w:rPr>
          <w:sz w:val="24"/>
          <w:szCs w:val="24"/>
          <w:vertAlign w:val="superscript"/>
        </w:rPr>
        <w:footnoteReference w:id="41"/>
      </w:r>
      <w:r w:rsidRPr="00313ADB">
        <w:rPr>
          <w:sz w:val="24"/>
          <w:szCs w:val="24"/>
        </w:rPr>
        <w:t xml:space="preserve"> In the Sikh context, that risk affects the ability of diaspora communities to speak, </w:t>
      </w:r>
      <w:proofErr w:type="spellStart"/>
      <w:r w:rsidRPr="00313ADB">
        <w:rPr>
          <w:sz w:val="24"/>
          <w:szCs w:val="24"/>
        </w:rPr>
        <w:t>organise</w:t>
      </w:r>
      <w:proofErr w:type="spellEnd"/>
      <w:r w:rsidRPr="00313ADB">
        <w:rPr>
          <w:sz w:val="24"/>
          <w:szCs w:val="24"/>
        </w:rPr>
        <w:t xml:space="preserve"> and associate around Sikh rights without fear of surveillance, reputational attack or reprisal.</w:t>
      </w:r>
    </w:p>
    <w:p w14:paraId="6BC51C14" w14:textId="77777777" w:rsidR="00060D04" w:rsidRPr="00313ADB" w:rsidRDefault="00000000">
      <w:pPr>
        <w:spacing w:before="240" w:after="240" w:line="276" w:lineRule="auto"/>
        <w:jc w:val="both"/>
        <w:rPr>
          <w:sz w:val="24"/>
          <w:szCs w:val="24"/>
        </w:rPr>
      </w:pPr>
      <w:r w:rsidRPr="00313ADB">
        <w:rPr>
          <w:sz w:val="24"/>
          <w:szCs w:val="24"/>
        </w:rPr>
        <w:t xml:space="preserve">The State party should explain the legal basis for blocking Sikh advocacy accounts. It should also clarify whether affected users receive notice and a right of appeal. Finally, it should explain how it prevents Sikh rights content, Punjabi identity expression, farmers’ protest </w:t>
      </w:r>
      <w:proofErr w:type="spellStart"/>
      <w:r w:rsidRPr="00313ADB">
        <w:rPr>
          <w:sz w:val="24"/>
          <w:szCs w:val="24"/>
        </w:rPr>
        <w:t>mobilisation</w:t>
      </w:r>
      <w:proofErr w:type="spellEnd"/>
      <w:r w:rsidRPr="00313ADB">
        <w:rPr>
          <w:sz w:val="24"/>
          <w:szCs w:val="24"/>
        </w:rPr>
        <w:t xml:space="preserve"> and diaspora advocacy from being restricted through counter-terror </w:t>
      </w:r>
      <w:proofErr w:type="spellStart"/>
      <w:r w:rsidRPr="00313ADB">
        <w:rPr>
          <w:sz w:val="24"/>
          <w:szCs w:val="24"/>
        </w:rPr>
        <w:t>characterisation</w:t>
      </w:r>
      <w:proofErr w:type="spellEnd"/>
      <w:r w:rsidRPr="00313ADB">
        <w:rPr>
          <w:sz w:val="24"/>
          <w:szCs w:val="24"/>
        </w:rPr>
        <w:t>.</w:t>
      </w:r>
    </w:p>
    <w:p w14:paraId="6BC51C15" w14:textId="77777777" w:rsidR="00060D04" w:rsidRPr="00496B3B" w:rsidRDefault="00000000">
      <w:pPr>
        <w:pStyle w:val="Heading1"/>
        <w:spacing w:line="276" w:lineRule="auto"/>
        <w:jc w:val="both"/>
        <w:rPr>
          <w:rFonts w:eastAsia="Calibri"/>
        </w:rPr>
      </w:pPr>
      <w:bookmarkStart w:id="0" w:name="_71bzsbokvi01" w:colFirst="0" w:colLast="0"/>
      <w:bookmarkEnd w:id="0"/>
      <w:r w:rsidRPr="00496B3B">
        <w:rPr>
          <w:rFonts w:eastAsia="Calibri"/>
        </w:rPr>
        <w:t>Article 6 - Effective protection and remedies</w:t>
      </w:r>
    </w:p>
    <w:p w14:paraId="6BC51C16" w14:textId="199384AC" w:rsidR="00060D04" w:rsidRPr="00313ADB" w:rsidRDefault="00000000">
      <w:pPr>
        <w:spacing w:before="240" w:after="240" w:line="276" w:lineRule="auto"/>
        <w:ind w:firstLine="720"/>
        <w:jc w:val="both"/>
        <w:rPr>
          <w:sz w:val="24"/>
          <w:szCs w:val="24"/>
        </w:rPr>
      </w:pPr>
      <w:r w:rsidRPr="00313ADB">
        <w:rPr>
          <w:sz w:val="24"/>
          <w:szCs w:val="24"/>
        </w:rPr>
        <w:t>Article 6 requires States Parties to assure effective protection and remedies against acts of racial discrimination, including through competent national tribunals and other State institutions. The violations under Articles 2 and 5 are compounded by persistent impunity. Where abuses against Sikhs are framed as counter-terror measures, the remedial problem is not only the absence of accountability, but the way</w:t>
      </w:r>
      <w:r w:rsidR="00B311F3" w:rsidRPr="00313ADB">
        <w:rPr>
          <w:sz w:val="24"/>
          <w:szCs w:val="24"/>
        </w:rPr>
        <w:t xml:space="preserve"> in which</w:t>
      </w:r>
      <w:r w:rsidRPr="00313ADB">
        <w:rPr>
          <w:sz w:val="24"/>
          <w:szCs w:val="24"/>
        </w:rPr>
        <w:t xml:space="preserve"> security justifications can prevent the discriminatory character of the abuse from being examined at all.</w:t>
      </w:r>
    </w:p>
    <w:p w14:paraId="6BC51C17" w14:textId="746B62FA" w:rsidR="00060D04" w:rsidRPr="00313ADB" w:rsidRDefault="00000000">
      <w:pPr>
        <w:spacing w:before="240" w:after="240" w:line="276" w:lineRule="auto"/>
        <w:jc w:val="both"/>
        <w:rPr>
          <w:sz w:val="24"/>
          <w:szCs w:val="24"/>
        </w:rPr>
      </w:pPr>
      <w:r w:rsidRPr="00313ADB">
        <w:rPr>
          <w:sz w:val="24"/>
          <w:szCs w:val="24"/>
        </w:rPr>
        <w:t xml:space="preserve">The case </w:t>
      </w:r>
      <w:r w:rsidR="00FC3C8E">
        <w:rPr>
          <w:sz w:val="24"/>
          <w:szCs w:val="24"/>
        </w:rPr>
        <w:t xml:space="preserve">of Bhai Jaswant Singh </w:t>
      </w:r>
      <w:proofErr w:type="spellStart"/>
      <w:r w:rsidR="00FC3C8E">
        <w:rPr>
          <w:sz w:val="24"/>
          <w:szCs w:val="24"/>
        </w:rPr>
        <w:t>Khal</w:t>
      </w:r>
      <w:r w:rsidR="00496B3B">
        <w:rPr>
          <w:sz w:val="24"/>
          <w:szCs w:val="24"/>
        </w:rPr>
        <w:t>r</w:t>
      </w:r>
      <w:r w:rsidR="00FC3C8E">
        <w:rPr>
          <w:sz w:val="24"/>
          <w:szCs w:val="24"/>
        </w:rPr>
        <w:t>a</w:t>
      </w:r>
      <w:proofErr w:type="spellEnd"/>
      <w:r w:rsidR="00FC3C8E">
        <w:rPr>
          <w:sz w:val="24"/>
          <w:szCs w:val="24"/>
        </w:rPr>
        <w:t xml:space="preserve"> </w:t>
      </w:r>
      <w:r w:rsidRPr="00313ADB">
        <w:rPr>
          <w:sz w:val="24"/>
          <w:szCs w:val="24"/>
        </w:rPr>
        <w:t xml:space="preserve">is useful for Article 6 because it shows that serious police abuses in Punjab have, in some instances, been judicially </w:t>
      </w:r>
      <w:proofErr w:type="spellStart"/>
      <w:r w:rsidRPr="00313ADB">
        <w:rPr>
          <w:sz w:val="24"/>
          <w:szCs w:val="24"/>
        </w:rPr>
        <w:t>recognised</w:t>
      </w:r>
      <w:proofErr w:type="spellEnd"/>
      <w:r w:rsidRPr="00313ADB">
        <w:rPr>
          <w:sz w:val="24"/>
          <w:szCs w:val="24"/>
        </w:rPr>
        <w:t xml:space="preserve">. </w:t>
      </w:r>
      <w:r w:rsidR="00FC3C8E">
        <w:rPr>
          <w:sz w:val="24"/>
          <w:szCs w:val="24"/>
        </w:rPr>
        <w:t>Bhai</w:t>
      </w:r>
      <w:r w:rsidR="00FC3C8E" w:rsidRPr="00313ADB">
        <w:rPr>
          <w:sz w:val="24"/>
          <w:szCs w:val="24"/>
        </w:rPr>
        <w:t xml:space="preserve"> </w:t>
      </w:r>
      <w:proofErr w:type="spellStart"/>
      <w:r w:rsidRPr="00313ADB">
        <w:rPr>
          <w:sz w:val="24"/>
          <w:szCs w:val="24"/>
        </w:rPr>
        <w:t>Khalra</w:t>
      </w:r>
      <w:proofErr w:type="spellEnd"/>
      <w:r w:rsidRPr="00313ADB">
        <w:rPr>
          <w:sz w:val="24"/>
          <w:szCs w:val="24"/>
        </w:rPr>
        <w:t xml:space="preserve"> had documented mass disappearances and illegal cremations in Punjab before he was abducted and murdered by police officers. Several officers were convicted, and the Supreme Court upheld the convictions in 2011. The case therefore provides an important point of contrast with the record of impunity documented below.</w:t>
      </w:r>
    </w:p>
    <w:p w14:paraId="6BC51C18" w14:textId="77777777" w:rsidR="00060D04" w:rsidRPr="00313ADB" w:rsidRDefault="00000000">
      <w:pPr>
        <w:spacing w:before="240" w:after="240" w:line="276" w:lineRule="auto"/>
        <w:jc w:val="both"/>
        <w:rPr>
          <w:sz w:val="24"/>
          <w:szCs w:val="24"/>
        </w:rPr>
      </w:pPr>
      <w:r w:rsidRPr="00313ADB">
        <w:rPr>
          <w:sz w:val="24"/>
          <w:szCs w:val="24"/>
        </w:rPr>
        <w:t xml:space="preserve">The broader historical record points in the opposite direction. </w:t>
      </w:r>
      <w:proofErr w:type="spellStart"/>
      <w:r w:rsidRPr="00313ADB">
        <w:rPr>
          <w:sz w:val="24"/>
          <w:szCs w:val="24"/>
        </w:rPr>
        <w:t>Ensaaf</w:t>
      </w:r>
      <w:proofErr w:type="spellEnd"/>
      <w:r w:rsidRPr="00313ADB">
        <w:rPr>
          <w:sz w:val="24"/>
          <w:szCs w:val="24"/>
        </w:rPr>
        <w:t xml:space="preserve"> and Human Rights Watch have documented a policy of impunity in Punjab, including institutional protection, rewards and promotions for police officials implicated in illegal detention, torture, enforced disappearance and extrajudicial killing.</w:t>
      </w:r>
      <w:r w:rsidRPr="00313ADB">
        <w:rPr>
          <w:sz w:val="24"/>
          <w:szCs w:val="24"/>
          <w:vertAlign w:val="superscript"/>
        </w:rPr>
        <w:footnoteReference w:id="42"/>
      </w:r>
      <w:r w:rsidRPr="00313ADB">
        <w:rPr>
          <w:sz w:val="24"/>
          <w:szCs w:val="24"/>
        </w:rPr>
        <w:t xml:space="preserve"> </w:t>
      </w:r>
      <w:proofErr w:type="spellStart"/>
      <w:r w:rsidRPr="00313ADB">
        <w:rPr>
          <w:sz w:val="24"/>
          <w:szCs w:val="24"/>
        </w:rPr>
        <w:t>Ensaaf’s</w:t>
      </w:r>
      <w:proofErr w:type="spellEnd"/>
      <w:r w:rsidRPr="00313ADB">
        <w:rPr>
          <w:sz w:val="24"/>
          <w:szCs w:val="24"/>
        </w:rPr>
        <w:t xml:space="preserve"> dossier on Sumedh Singh Saini, a former Punjab Police officer who rose to become </w:t>
      </w:r>
      <w:r w:rsidRPr="00313ADB">
        <w:rPr>
          <w:sz w:val="24"/>
          <w:szCs w:val="24"/>
        </w:rPr>
        <w:lastRenderedPageBreak/>
        <w:t xml:space="preserve">Director General of Police, records allegations of command responsibility for enforced disappearances and extrajudicial executions, alongside his promotion through the force and receipt of official </w:t>
      </w:r>
      <w:proofErr w:type="spellStart"/>
      <w:r w:rsidRPr="00313ADB">
        <w:rPr>
          <w:sz w:val="24"/>
          <w:szCs w:val="24"/>
        </w:rPr>
        <w:t>honours</w:t>
      </w:r>
      <w:proofErr w:type="spellEnd"/>
      <w:r w:rsidRPr="00313ADB">
        <w:rPr>
          <w:sz w:val="24"/>
          <w:szCs w:val="24"/>
        </w:rPr>
        <w:t>.</w:t>
      </w:r>
      <w:r w:rsidRPr="00313ADB">
        <w:rPr>
          <w:sz w:val="24"/>
          <w:szCs w:val="24"/>
          <w:vertAlign w:val="superscript"/>
        </w:rPr>
        <w:footnoteReference w:id="43"/>
      </w:r>
      <w:r w:rsidRPr="00313ADB">
        <w:rPr>
          <w:sz w:val="24"/>
          <w:szCs w:val="24"/>
        </w:rPr>
        <w:t xml:space="preserve"> Its dossier on Ajit Singh Sandhu, a former senior superintendent of police in Tarn Taran district, Punjab, similarly records allegations of command responsibility for abductions, enforced disappearances and extrajudicial executions during his tenure.</w:t>
      </w:r>
      <w:r w:rsidRPr="00313ADB">
        <w:rPr>
          <w:sz w:val="24"/>
          <w:szCs w:val="24"/>
          <w:vertAlign w:val="superscript"/>
        </w:rPr>
        <w:footnoteReference w:id="44"/>
      </w:r>
      <w:r w:rsidRPr="00313ADB">
        <w:rPr>
          <w:sz w:val="24"/>
          <w:szCs w:val="24"/>
        </w:rPr>
        <w:t xml:space="preserve"> These examples matter under Article 6 because they show that impunity was not passive. Officers implicated in serious abuses could remain protected, rewarded or promoted within the institutions that should have investigated them.</w:t>
      </w:r>
    </w:p>
    <w:p w14:paraId="6BC51C19" w14:textId="77777777" w:rsidR="00060D04" w:rsidRPr="00313ADB" w:rsidRDefault="00000000">
      <w:pPr>
        <w:spacing w:before="240" w:after="240" w:line="276" w:lineRule="auto"/>
        <w:jc w:val="both"/>
        <w:rPr>
          <w:sz w:val="24"/>
          <w:szCs w:val="24"/>
        </w:rPr>
      </w:pPr>
      <w:r w:rsidRPr="00313ADB">
        <w:rPr>
          <w:sz w:val="24"/>
          <w:szCs w:val="24"/>
        </w:rPr>
        <w:t xml:space="preserve">Structural barriers continue to entrench impunity. India has not </w:t>
      </w:r>
      <w:proofErr w:type="spellStart"/>
      <w:r w:rsidRPr="00313ADB">
        <w:rPr>
          <w:sz w:val="24"/>
          <w:szCs w:val="24"/>
        </w:rPr>
        <w:t>criminalised</w:t>
      </w:r>
      <w:proofErr w:type="spellEnd"/>
      <w:r w:rsidRPr="00313ADB">
        <w:rPr>
          <w:sz w:val="24"/>
          <w:szCs w:val="24"/>
        </w:rPr>
        <w:t xml:space="preserve"> torture as a distinct offence and has not ratified the Convention against Torture.</w:t>
      </w:r>
      <w:r w:rsidRPr="00313ADB">
        <w:rPr>
          <w:sz w:val="24"/>
          <w:szCs w:val="24"/>
          <w:vertAlign w:val="superscript"/>
        </w:rPr>
        <w:footnoteReference w:id="45"/>
      </w:r>
      <w:r w:rsidRPr="00313ADB">
        <w:rPr>
          <w:sz w:val="24"/>
          <w:szCs w:val="24"/>
        </w:rPr>
        <w:t xml:space="preserve"> Its new criminal procedure code, the </w:t>
      </w:r>
      <w:r w:rsidRPr="00313ADB">
        <w:rPr>
          <w:i/>
          <w:iCs/>
          <w:sz w:val="24"/>
          <w:szCs w:val="24"/>
        </w:rPr>
        <w:t>Bharatiya Nagarik Suraksha Sanhita</w:t>
      </w:r>
      <w:r w:rsidRPr="00313ADB">
        <w:rPr>
          <w:sz w:val="24"/>
          <w:szCs w:val="24"/>
        </w:rPr>
        <w:t xml:space="preserve">, retains a prior-sanction requirement before courts may take </w:t>
      </w:r>
      <w:proofErr w:type="spellStart"/>
      <w:r w:rsidRPr="00313ADB">
        <w:rPr>
          <w:sz w:val="24"/>
          <w:szCs w:val="24"/>
        </w:rPr>
        <w:t>cognisance</w:t>
      </w:r>
      <w:proofErr w:type="spellEnd"/>
      <w:r w:rsidRPr="00313ADB">
        <w:rPr>
          <w:sz w:val="24"/>
          <w:szCs w:val="24"/>
        </w:rPr>
        <w:t xml:space="preserve"> of offences allegedly committed by public servants, including police officers, while acting or purporting to act in the discharge of official duties.</w:t>
      </w:r>
      <w:r w:rsidRPr="00313ADB">
        <w:rPr>
          <w:sz w:val="24"/>
          <w:szCs w:val="24"/>
          <w:vertAlign w:val="superscript"/>
        </w:rPr>
        <w:footnoteReference w:id="46"/>
      </w:r>
      <w:r w:rsidRPr="00313ADB">
        <w:rPr>
          <w:sz w:val="24"/>
          <w:szCs w:val="24"/>
        </w:rPr>
        <w:t xml:space="preserve"> In practice, such requirements can obstruct accountability in cases of custodial abuse, particularly where complainants and families fear reprisals or depend on the same institutions for protection.</w:t>
      </w:r>
    </w:p>
    <w:p w14:paraId="6BC51C1A" w14:textId="77777777" w:rsidR="00060D04" w:rsidRPr="00313ADB" w:rsidRDefault="00000000">
      <w:pPr>
        <w:spacing w:before="240" w:after="240" w:line="276" w:lineRule="auto"/>
        <w:jc w:val="both"/>
        <w:rPr>
          <w:sz w:val="24"/>
          <w:szCs w:val="24"/>
        </w:rPr>
      </w:pPr>
      <w:r w:rsidRPr="00313ADB">
        <w:rPr>
          <w:sz w:val="24"/>
          <w:szCs w:val="24"/>
        </w:rPr>
        <w:t xml:space="preserve">Effective remedies are also lacking in the digital and transnational contexts. Where Sikh advocacy accounts are blocked or withheld, affected users may receive no clear notice, reasoned decision or effective appeal. Where Sikh activists abroad face threats, surveillance or intimidation allegedly linked to foreign State agents, domestic remedies are often unable to address the source of the harm. Article 6 is therefore engaged across the report: detention, torture, digital restriction and transnational repression become patterns of discriminatory violations where the State fails to investigate them, </w:t>
      </w:r>
      <w:proofErr w:type="spellStart"/>
      <w:r w:rsidRPr="00313ADB">
        <w:rPr>
          <w:sz w:val="24"/>
          <w:szCs w:val="24"/>
        </w:rPr>
        <w:t>recognise</w:t>
      </w:r>
      <w:proofErr w:type="spellEnd"/>
      <w:r w:rsidRPr="00313ADB">
        <w:rPr>
          <w:sz w:val="24"/>
          <w:szCs w:val="24"/>
        </w:rPr>
        <w:t xml:space="preserve"> their discriminatory character, hold perpetrators accountable and provide effective remedies to victims.</w:t>
      </w:r>
    </w:p>
    <w:p w14:paraId="6BC51C23" w14:textId="77777777" w:rsidR="00060D04" w:rsidRPr="00313ADB" w:rsidRDefault="00000000">
      <w:pPr>
        <w:pStyle w:val="Heading1"/>
        <w:spacing w:line="276" w:lineRule="auto"/>
        <w:jc w:val="both"/>
      </w:pPr>
      <w:r w:rsidRPr="00496B3B">
        <w:rPr>
          <w:rFonts w:eastAsia="Calibri"/>
        </w:rPr>
        <w:t>Suggested questions for the State party</w:t>
      </w:r>
    </w:p>
    <w:p w14:paraId="6BC51C24" w14:textId="4B87FF41" w:rsidR="00060D04" w:rsidRPr="00313ADB" w:rsidRDefault="00000000">
      <w:pPr>
        <w:numPr>
          <w:ilvl w:val="0"/>
          <w:numId w:val="1"/>
        </w:numPr>
        <w:pBdr>
          <w:top w:val="nil"/>
          <w:left w:val="nil"/>
          <w:bottom w:val="nil"/>
          <w:right w:val="nil"/>
          <w:between w:val="nil"/>
        </w:pBdr>
        <w:spacing w:after="0" w:line="276" w:lineRule="auto"/>
        <w:jc w:val="both"/>
        <w:rPr>
          <w:sz w:val="24"/>
          <w:szCs w:val="24"/>
        </w:rPr>
      </w:pPr>
      <w:r w:rsidRPr="00313ADB">
        <w:rPr>
          <w:color w:val="000000"/>
          <w:sz w:val="24"/>
          <w:szCs w:val="24"/>
        </w:rPr>
        <w:t xml:space="preserve">What measures has the State party taken to ensure that public authorities, political officials and State-linked actors do not </w:t>
      </w:r>
      <w:r w:rsidR="007377BF" w:rsidRPr="00313ADB">
        <w:rPr>
          <w:color w:val="000000"/>
          <w:sz w:val="24"/>
          <w:szCs w:val="24"/>
        </w:rPr>
        <w:t xml:space="preserve">falsely </w:t>
      </w:r>
      <w:r w:rsidRPr="00313ADB">
        <w:rPr>
          <w:color w:val="000000"/>
          <w:sz w:val="24"/>
          <w:szCs w:val="24"/>
        </w:rPr>
        <w:t>equate Sikh identity, Sikh advocacy or Sikh participation in protest with terrorism or violence?</w:t>
      </w:r>
    </w:p>
    <w:p w14:paraId="6BC51C25" w14:textId="77777777" w:rsidR="00060D04" w:rsidRPr="00313ADB" w:rsidRDefault="00000000">
      <w:pPr>
        <w:numPr>
          <w:ilvl w:val="0"/>
          <w:numId w:val="1"/>
        </w:numPr>
        <w:pBdr>
          <w:top w:val="nil"/>
          <w:left w:val="nil"/>
          <w:bottom w:val="nil"/>
          <w:right w:val="nil"/>
          <w:between w:val="nil"/>
        </w:pBdr>
        <w:spacing w:after="0" w:line="276" w:lineRule="auto"/>
        <w:jc w:val="both"/>
        <w:rPr>
          <w:sz w:val="24"/>
          <w:szCs w:val="24"/>
        </w:rPr>
      </w:pPr>
      <w:r w:rsidRPr="00313ADB">
        <w:rPr>
          <w:color w:val="000000"/>
          <w:sz w:val="24"/>
          <w:szCs w:val="24"/>
        </w:rPr>
        <w:t xml:space="preserve">What steps has the State party taken to prevent the use of the “Khalistani”, “terrorist” or “anti-national” label to </w:t>
      </w:r>
      <w:proofErr w:type="spellStart"/>
      <w:r w:rsidRPr="00313ADB">
        <w:rPr>
          <w:color w:val="000000"/>
          <w:sz w:val="24"/>
          <w:szCs w:val="24"/>
        </w:rPr>
        <w:t>stigmatise</w:t>
      </w:r>
      <w:proofErr w:type="spellEnd"/>
      <w:r w:rsidRPr="00313ADB">
        <w:rPr>
          <w:color w:val="000000"/>
          <w:sz w:val="24"/>
          <w:szCs w:val="24"/>
        </w:rPr>
        <w:t xml:space="preserve"> Sikhs or Sikh-majority protest movements </w:t>
      </w:r>
      <w:proofErr w:type="gramStart"/>
      <w:r w:rsidRPr="00313ADB">
        <w:rPr>
          <w:color w:val="000000"/>
          <w:sz w:val="24"/>
          <w:szCs w:val="24"/>
        </w:rPr>
        <w:t>on the basis of</w:t>
      </w:r>
      <w:proofErr w:type="gramEnd"/>
      <w:r w:rsidRPr="00313ADB">
        <w:rPr>
          <w:color w:val="000000"/>
          <w:sz w:val="24"/>
          <w:szCs w:val="24"/>
        </w:rPr>
        <w:t xml:space="preserve"> attire, ethnicity, religion, origin or political expression?</w:t>
      </w:r>
    </w:p>
    <w:p w14:paraId="6BC51C26" w14:textId="3B5845C4" w:rsidR="00060D04" w:rsidRPr="00313ADB" w:rsidRDefault="00000000">
      <w:pPr>
        <w:numPr>
          <w:ilvl w:val="0"/>
          <w:numId w:val="1"/>
        </w:numPr>
        <w:pBdr>
          <w:top w:val="nil"/>
          <w:left w:val="nil"/>
          <w:bottom w:val="nil"/>
          <w:right w:val="nil"/>
          <w:between w:val="nil"/>
        </w:pBdr>
        <w:spacing w:after="0" w:line="276" w:lineRule="auto"/>
        <w:jc w:val="both"/>
        <w:rPr>
          <w:sz w:val="24"/>
          <w:szCs w:val="24"/>
        </w:rPr>
      </w:pPr>
      <w:r w:rsidRPr="00313ADB">
        <w:rPr>
          <w:color w:val="000000"/>
          <w:sz w:val="24"/>
          <w:szCs w:val="24"/>
        </w:rPr>
        <w:t>How many persons have been charged, detained, released on bail, acquitted or convicted under UAPA in Punjab since 2009, and what compensation or remedy is available to persons detained for prolonged periods and later acquitted or discharged?</w:t>
      </w:r>
    </w:p>
    <w:p w14:paraId="6BC51C27" w14:textId="2D16BAE4" w:rsidR="00060D04" w:rsidRPr="00313ADB" w:rsidRDefault="00000000">
      <w:pPr>
        <w:numPr>
          <w:ilvl w:val="0"/>
          <w:numId w:val="1"/>
        </w:numPr>
        <w:pBdr>
          <w:top w:val="nil"/>
          <w:left w:val="nil"/>
          <w:bottom w:val="nil"/>
          <w:right w:val="nil"/>
          <w:between w:val="nil"/>
        </w:pBdr>
        <w:spacing w:after="0" w:line="276" w:lineRule="auto"/>
        <w:jc w:val="both"/>
        <w:rPr>
          <w:sz w:val="24"/>
          <w:szCs w:val="24"/>
        </w:rPr>
      </w:pPr>
      <w:r w:rsidRPr="00313ADB">
        <w:rPr>
          <w:color w:val="000000"/>
          <w:sz w:val="24"/>
          <w:szCs w:val="24"/>
        </w:rPr>
        <w:t xml:space="preserve">What measures has the State party taken to ensure that UAPA is not applied </w:t>
      </w:r>
      <w:proofErr w:type="gramStart"/>
      <w:r w:rsidR="00FC3C8E">
        <w:rPr>
          <w:color w:val="000000"/>
          <w:sz w:val="24"/>
          <w:szCs w:val="24"/>
        </w:rPr>
        <w:t xml:space="preserve">in order </w:t>
      </w:r>
      <w:r w:rsidRPr="00313ADB">
        <w:rPr>
          <w:color w:val="000000"/>
          <w:sz w:val="24"/>
          <w:szCs w:val="24"/>
        </w:rPr>
        <w:t>to</w:t>
      </w:r>
      <w:proofErr w:type="gramEnd"/>
      <w:r w:rsidRPr="00313ADB">
        <w:rPr>
          <w:color w:val="000000"/>
          <w:sz w:val="24"/>
          <w:szCs w:val="24"/>
        </w:rPr>
        <w:t xml:space="preserve"> subject Sikhs to arbitrary detention, prolonged pre-trial detention or torture?</w:t>
      </w:r>
    </w:p>
    <w:p w14:paraId="6BC51C28" w14:textId="77777777" w:rsidR="00060D04" w:rsidRPr="00313ADB" w:rsidRDefault="00000000">
      <w:pPr>
        <w:numPr>
          <w:ilvl w:val="0"/>
          <w:numId w:val="1"/>
        </w:numPr>
        <w:pBdr>
          <w:top w:val="nil"/>
          <w:left w:val="nil"/>
          <w:bottom w:val="nil"/>
          <w:right w:val="nil"/>
          <w:between w:val="nil"/>
        </w:pBdr>
        <w:spacing w:after="0" w:line="276" w:lineRule="auto"/>
        <w:jc w:val="both"/>
        <w:rPr>
          <w:sz w:val="24"/>
          <w:szCs w:val="24"/>
        </w:rPr>
      </w:pPr>
      <w:r w:rsidRPr="00313ADB">
        <w:rPr>
          <w:color w:val="000000"/>
          <w:sz w:val="24"/>
          <w:szCs w:val="24"/>
        </w:rPr>
        <w:lastRenderedPageBreak/>
        <w:t>What independent investigations have been conducted into the detention and treatment of Jagtar Singh Johal, the death in custody of Malkit Singh Shera, and allegations of torture or medical neglect involving Sikh detainees?</w:t>
      </w:r>
    </w:p>
    <w:p w14:paraId="6BC51C29" w14:textId="77777777" w:rsidR="00060D04" w:rsidRPr="00313ADB" w:rsidRDefault="00000000">
      <w:pPr>
        <w:numPr>
          <w:ilvl w:val="0"/>
          <w:numId w:val="1"/>
        </w:numPr>
        <w:pBdr>
          <w:top w:val="nil"/>
          <w:left w:val="nil"/>
          <w:bottom w:val="nil"/>
          <w:right w:val="nil"/>
          <w:between w:val="nil"/>
        </w:pBdr>
        <w:spacing w:after="0" w:line="276" w:lineRule="auto"/>
        <w:jc w:val="both"/>
        <w:rPr>
          <w:sz w:val="24"/>
          <w:szCs w:val="24"/>
        </w:rPr>
      </w:pPr>
      <w:r w:rsidRPr="00313ADB">
        <w:rPr>
          <w:color w:val="000000"/>
          <w:sz w:val="24"/>
          <w:szCs w:val="24"/>
        </w:rPr>
        <w:t>Will the State party ratify the Convention against Torture and its Optional Protocol, enact a standalone offence of torture, and remove prior-sanction barriers to the prosecution of police and prison officials?</w:t>
      </w:r>
    </w:p>
    <w:p w14:paraId="6BC51C2A" w14:textId="77777777" w:rsidR="00060D04" w:rsidRPr="00313ADB" w:rsidRDefault="00000000">
      <w:pPr>
        <w:numPr>
          <w:ilvl w:val="0"/>
          <w:numId w:val="1"/>
        </w:numPr>
        <w:pBdr>
          <w:top w:val="nil"/>
          <w:left w:val="nil"/>
          <w:bottom w:val="nil"/>
          <w:right w:val="nil"/>
          <w:between w:val="nil"/>
        </w:pBdr>
        <w:spacing w:after="0" w:line="276" w:lineRule="auto"/>
        <w:jc w:val="both"/>
        <w:rPr>
          <w:sz w:val="24"/>
          <w:szCs w:val="24"/>
        </w:rPr>
      </w:pPr>
      <w:r w:rsidRPr="00313ADB">
        <w:rPr>
          <w:color w:val="000000"/>
          <w:sz w:val="24"/>
          <w:szCs w:val="24"/>
        </w:rPr>
        <w:t>What legal basis, notice procedure and appeal mechanism apply to the blocking or withholding of Sikh advocacy accounts, Sikh-related hashtags, farmers’ protest content or content concerning Sikh remembrance and political expression?</w:t>
      </w:r>
    </w:p>
    <w:p w14:paraId="6BC51C2B" w14:textId="2A08C6BB" w:rsidR="00060D04" w:rsidRPr="00313ADB" w:rsidRDefault="00000000">
      <w:pPr>
        <w:numPr>
          <w:ilvl w:val="0"/>
          <w:numId w:val="1"/>
        </w:numPr>
        <w:pBdr>
          <w:top w:val="nil"/>
          <w:left w:val="nil"/>
          <w:bottom w:val="nil"/>
          <w:right w:val="nil"/>
          <w:between w:val="nil"/>
        </w:pBdr>
        <w:spacing w:after="0" w:line="276" w:lineRule="auto"/>
        <w:jc w:val="both"/>
        <w:rPr>
          <w:sz w:val="24"/>
          <w:szCs w:val="24"/>
        </w:rPr>
      </w:pPr>
      <w:r w:rsidRPr="00313ADB">
        <w:rPr>
          <w:color w:val="000000"/>
          <w:sz w:val="24"/>
          <w:szCs w:val="24"/>
        </w:rPr>
        <w:t>What measures has the State party taken to investigate and prevent alleged transnational repression of Sikh activists abroad, including threats, surveillance, intimidation, disinformation, and alleged links between Indian State agents and acts of violence in Canada</w:t>
      </w:r>
      <w:r w:rsidR="00C946F7" w:rsidRPr="00313ADB">
        <w:rPr>
          <w:color w:val="000000"/>
          <w:sz w:val="24"/>
          <w:szCs w:val="24"/>
        </w:rPr>
        <w:t>, the United Kingdom</w:t>
      </w:r>
      <w:r w:rsidRPr="00313ADB">
        <w:rPr>
          <w:color w:val="000000"/>
          <w:sz w:val="24"/>
          <w:szCs w:val="24"/>
        </w:rPr>
        <w:t xml:space="preserve"> and the United States?</w:t>
      </w:r>
    </w:p>
    <w:p w14:paraId="6BC51C2C" w14:textId="77777777" w:rsidR="00060D04" w:rsidRPr="00313ADB" w:rsidRDefault="00000000">
      <w:pPr>
        <w:numPr>
          <w:ilvl w:val="0"/>
          <w:numId w:val="1"/>
        </w:numPr>
        <w:pBdr>
          <w:top w:val="nil"/>
          <w:left w:val="nil"/>
          <w:bottom w:val="nil"/>
          <w:right w:val="nil"/>
          <w:between w:val="nil"/>
        </w:pBdr>
        <w:spacing w:after="40" w:line="276" w:lineRule="auto"/>
        <w:jc w:val="both"/>
        <w:rPr>
          <w:sz w:val="24"/>
          <w:szCs w:val="24"/>
        </w:rPr>
      </w:pPr>
      <w:r w:rsidRPr="00313ADB">
        <w:rPr>
          <w:color w:val="000000"/>
          <w:sz w:val="24"/>
          <w:szCs w:val="24"/>
        </w:rPr>
        <w:t>What remedies are available to Sikh victims of discriminatory detention, torture, censorship or transnational repression, and what steps has the State party taken to ensure that officers implicated in abuse are sanctioned rather than rewarded or promoted?</w:t>
      </w:r>
    </w:p>
    <w:p w14:paraId="6BC51C2F" w14:textId="77777777" w:rsidR="00060D04" w:rsidRPr="00313ADB" w:rsidRDefault="00060D04">
      <w:pPr>
        <w:spacing w:line="276" w:lineRule="auto"/>
        <w:jc w:val="both"/>
        <w:rPr>
          <w:color w:val="FF0000"/>
          <w:sz w:val="24"/>
          <w:szCs w:val="24"/>
        </w:rPr>
      </w:pPr>
    </w:p>
    <w:sectPr w:rsidR="00060D04" w:rsidRPr="00313ADB">
      <w:footerReference w:type="default" r:id="rId7"/>
      <w:pgSz w:w="12240" w:h="15840"/>
      <w:pgMar w:top="1080" w:right="1152" w:bottom="1080" w:left="1152"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2C35944" w14:textId="77777777" w:rsidR="00B90271" w:rsidRDefault="00B90271">
      <w:pPr>
        <w:spacing w:after="0" w:line="240" w:lineRule="auto"/>
      </w:pPr>
      <w:r>
        <w:separator/>
      </w:r>
    </w:p>
  </w:endnote>
  <w:endnote w:type="continuationSeparator" w:id="0">
    <w:p w14:paraId="09966339" w14:textId="77777777" w:rsidR="00B90271" w:rsidRDefault="00B9027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Noto Sans Symbols">
    <w:altName w:val="Calibri"/>
    <w:panose1 w:val="020B0604020202020204"/>
    <w:charset w:val="00"/>
    <w:family w:val="auto"/>
    <w:pitch w:val="default"/>
  </w:font>
  <w:font w:name="Times New Roman">
    <w:panose1 w:val="02020603050405020304"/>
    <w:charset w:val="00"/>
    <w:family w:val="roman"/>
    <w:pitch w:val="variable"/>
    <w:sig w:usb0="E0002EFF" w:usb1="C000785B" w:usb2="00000009" w:usb3="00000000" w:csb0="000001FF" w:csb1="00000000"/>
    <w:embedRegular r:id="rId2" w:fontKey="{2905115A-2C33-FA4B-926E-71B8E5B3D900}"/>
    <w:embedBold r:id="rId3" w:fontKey="{09B343E8-D9A7-C540-8D7A-C72328DE72AD}"/>
    <w:embedItalic r:id="rId4" w:fontKey="{C6070CCD-8D71-CD48-87DF-C32B8AAB91E9}"/>
  </w:font>
  <w:font w:name="Courier New">
    <w:panose1 w:val="02070309020205020404"/>
    <w:charset w:val="00"/>
    <w:family w:val="modern"/>
    <w:pitch w:val="fixed"/>
    <w:sig w:usb0="E0002AFF" w:usb1="C0007843" w:usb2="00000009" w:usb3="00000000" w:csb0="000001FF" w:csb1="00000000"/>
    <w:embedRegular r:id="rId5" w:fontKey="{B0D0248F-A200-FA46-9A7E-2441B1EB1978}"/>
  </w:font>
  <w:font w:name="Wingdings">
    <w:panose1 w:val="05000000000000000000"/>
    <w:charset w:val="4D"/>
    <w:family w:val="decorative"/>
    <w:pitch w:val="variable"/>
    <w:sig w:usb0="00000003" w:usb1="00000000" w:usb2="00000000" w:usb3="00000000" w:csb0="80000001" w:csb1="00000000"/>
    <w:embedRegular r:id="rId6" w:fontKey="{BB903E04-83A1-D34D-B8D7-3C9AC802512E}"/>
  </w:font>
  <w:font w:name="Symbol">
    <w:panose1 w:val="05050102010706020507"/>
    <w:charset w:val="02"/>
    <w:family w:val="decorative"/>
    <w:pitch w:val="variable"/>
    <w:sig w:usb0="00000000" w:usb1="10000000" w:usb2="00000000" w:usb3="00000000" w:csb0="80000000" w:csb1="00000000"/>
    <w:embedRegular r:id="rId7" w:fontKey="{B143C129-74C0-084D-AC62-4DDD3755AC4E}"/>
  </w:font>
  <w:font w:name="Calibri">
    <w:panose1 w:val="020F0502020204030204"/>
    <w:charset w:val="00"/>
    <w:family w:val="swiss"/>
    <w:pitch w:val="variable"/>
    <w:sig w:usb0="E4002EFF" w:usb1="C200247B" w:usb2="00000009" w:usb3="00000000" w:csb0="000001FF" w:csb1="00000000"/>
    <w:embedRegular r:id="rId8" w:fontKey="{350217F0-5708-CD4B-9BA9-4D8B12612D82}"/>
    <w:embedBold r:id="rId9" w:fontKey="{EC51C480-3960-5C49-8CC9-2EB3AF85116D}"/>
    <w:embedItalic r:id="rId10" w:fontKey="{353750DB-7ECF-CD43-B5B7-9F6D4CFCA63E}"/>
    <w:embedBoldItalic r:id="rId11" w:fontKey="{D093DD7F-CF59-B446-9CC1-CA8E06C2C573}"/>
  </w:font>
  <w:font w:name="Raavi">
    <w:panose1 w:val="020B0502040204020203"/>
    <w:charset w:val="00"/>
    <w:family w:val="swiss"/>
    <w:pitch w:val="variable"/>
    <w:sig w:usb0="00020003" w:usb1="00000000" w:usb2="00000000" w:usb3="00000000" w:csb0="00000001" w:csb1="00000000"/>
    <w:embedRegular r:id="rId12" w:fontKey="{8116E4ED-C991-0445-BD30-17F6E6AAB1FE}"/>
  </w:font>
  <w:font w:name="Cambria">
    <w:panose1 w:val="02040503050406030204"/>
    <w:charset w:val="00"/>
    <w:family w:val="roman"/>
    <w:pitch w:val="variable"/>
    <w:sig w:usb0="E00006FF" w:usb1="420024FF" w:usb2="02000000" w:usb3="00000000" w:csb0="0000019F" w:csb1="00000000"/>
    <w:embedRegular r:id="rId13" w:fontKey="{9DE8EDE2-3709-304B-AA39-0DABB38E8498}"/>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C51C30" w14:textId="5958E0DC" w:rsidR="00060D04" w:rsidRDefault="00000000">
    <w:pPr>
      <w:jc w:val="right"/>
    </w:pPr>
    <w:r>
      <w:fldChar w:fldCharType="begin"/>
    </w:r>
    <w:r>
      <w:instrText>PAGE</w:instrText>
    </w:r>
    <w:r>
      <w:fldChar w:fldCharType="separate"/>
    </w:r>
    <w:r w:rsidR="00AB1A94">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6F4F74C" w14:textId="77777777" w:rsidR="00B90271" w:rsidRDefault="00B90271">
      <w:pPr>
        <w:spacing w:after="0" w:line="240" w:lineRule="auto"/>
      </w:pPr>
      <w:r>
        <w:separator/>
      </w:r>
    </w:p>
  </w:footnote>
  <w:footnote w:type="continuationSeparator" w:id="0">
    <w:p w14:paraId="659CDD19" w14:textId="77777777" w:rsidR="00B90271" w:rsidRDefault="00B90271">
      <w:pPr>
        <w:spacing w:after="0" w:line="240" w:lineRule="auto"/>
      </w:pPr>
      <w:r>
        <w:continuationSeparator/>
      </w:r>
    </w:p>
  </w:footnote>
  <w:footnote w:id="1">
    <w:p w14:paraId="6BC51C31" w14:textId="77777777" w:rsidR="00060D04" w:rsidRDefault="00000000">
      <w:pPr>
        <w:spacing w:after="0" w:line="240" w:lineRule="auto"/>
        <w:rPr>
          <w:sz w:val="18"/>
          <w:szCs w:val="18"/>
        </w:rPr>
      </w:pPr>
      <w:r>
        <w:rPr>
          <w:vertAlign w:val="superscript"/>
        </w:rPr>
        <w:footnoteRef/>
      </w:r>
      <w:r>
        <w:rPr>
          <w:sz w:val="20"/>
          <w:szCs w:val="20"/>
        </w:rPr>
        <w:t xml:space="preserve"> </w:t>
      </w:r>
      <w:r>
        <w:rPr>
          <w:sz w:val="20"/>
          <w:szCs w:val="20"/>
        </w:rPr>
        <w:tab/>
      </w:r>
      <w:r>
        <w:rPr>
          <w:sz w:val="18"/>
          <w:szCs w:val="18"/>
        </w:rPr>
        <w:t xml:space="preserve">Neha Singh Gohil &amp; </w:t>
      </w:r>
      <w:proofErr w:type="spellStart"/>
      <w:r>
        <w:rPr>
          <w:sz w:val="18"/>
          <w:szCs w:val="18"/>
        </w:rPr>
        <w:t>Dawinder</w:t>
      </w:r>
      <w:proofErr w:type="spellEnd"/>
      <w:r>
        <w:rPr>
          <w:sz w:val="18"/>
          <w:szCs w:val="18"/>
        </w:rPr>
        <w:t xml:space="preserve"> S Sidhu, “The Sikh Turban: Post-9/11 Challenges to this Article of Faith” (2008) 9:2 </w:t>
      </w:r>
      <w:r>
        <w:rPr>
          <w:i/>
          <w:iCs/>
          <w:sz w:val="18"/>
          <w:szCs w:val="18"/>
        </w:rPr>
        <w:t>Rutgers Journal of Law and Religion</w:t>
      </w:r>
      <w:r>
        <w:rPr>
          <w:sz w:val="18"/>
          <w:szCs w:val="18"/>
        </w:rPr>
        <w:t xml:space="preserve"> 1.</w:t>
      </w:r>
    </w:p>
  </w:footnote>
  <w:footnote w:id="2">
    <w:p w14:paraId="6BC51C32" w14:textId="77777777" w:rsidR="00060D04" w:rsidRDefault="00000000">
      <w:pPr>
        <w:spacing w:after="0" w:line="240" w:lineRule="auto"/>
        <w:rPr>
          <w:sz w:val="18"/>
          <w:szCs w:val="18"/>
        </w:rPr>
      </w:pPr>
      <w:r>
        <w:rPr>
          <w:vertAlign w:val="superscript"/>
        </w:rPr>
        <w:footnoteRef/>
      </w:r>
      <w:r>
        <w:rPr>
          <w:sz w:val="20"/>
          <w:szCs w:val="20"/>
        </w:rPr>
        <w:t xml:space="preserve"> </w:t>
      </w:r>
      <w:r>
        <w:rPr>
          <w:sz w:val="20"/>
          <w:szCs w:val="20"/>
        </w:rPr>
        <w:tab/>
      </w:r>
      <w:r>
        <w:rPr>
          <w:sz w:val="18"/>
          <w:szCs w:val="18"/>
        </w:rPr>
        <w:t xml:space="preserve">India Hate Lab, </w:t>
      </w:r>
      <w:r>
        <w:rPr>
          <w:i/>
          <w:iCs/>
          <w:sz w:val="18"/>
          <w:szCs w:val="18"/>
        </w:rPr>
        <w:t>Hate Speech Events in India: 2024 Report</w:t>
      </w:r>
      <w:r>
        <w:rPr>
          <w:sz w:val="18"/>
          <w:szCs w:val="18"/>
        </w:rPr>
        <w:t xml:space="preserve"> (2025).</w:t>
      </w:r>
    </w:p>
  </w:footnote>
  <w:footnote w:id="3">
    <w:p w14:paraId="6BC51C33" w14:textId="77777777" w:rsidR="00060D04" w:rsidRDefault="00000000">
      <w:pPr>
        <w:spacing w:after="0" w:line="240" w:lineRule="auto"/>
        <w:rPr>
          <w:sz w:val="18"/>
          <w:szCs w:val="18"/>
        </w:rPr>
      </w:pPr>
      <w:r>
        <w:rPr>
          <w:vertAlign w:val="superscript"/>
        </w:rPr>
        <w:footnoteRef/>
      </w:r>
      <w:r>
        <w:rPr>
          <w:sz w:val="20"/>
          <w:szCs w:val="20"/>
        </w:rPr>
        <w:t xml:space="preserve"> </w:t>
      </w:r>
      <w:r>
        <w:rPr>
          <w:sz w:val="20"/>
          <w:szCs w:val="20"/>
        </w:rPr>
        <w:tab/>
      </w:r>
      <w:r>
        <w:rPr>
          <w:sz w:val="18"/>
          <w:szCs w:val="18"/>
        </w:rPr>
        <w:t>Human Rights Watch, “India: Modi’s Election Campaign Rhetoric Threatens Minorities” (14 August 2024), online: Human Rights Watch.</w:t>
      </w:r>
    </w:p>
  </w:footnote>
  <w:footnote w:id="4">
    <w:p w14:paraId="6BC51C34" w14:textId="77777777" w:rsidR="00060D04" w:rsidRDefault="00000000">
      <w:pPr>
        <w:spacing w:after="0" w:line="240" w:lineRule="auto"/>
        <w:rPr>
          <w:sz w:val="18"/>
          <w:szCs w:val="18"/>
        </w:rPr>
      </w:pPr>
      <w:r>
        <w:rPr>
          <w:vertAlign w:val="superscript"/>
        </w:rPr>
        <w:footnoteRef/>
      </w:r>
      <w:r>
        <w:rPr>
          <w:sz w:val="20"/>
          <w:szCs w:val="20"/>
        </w:rPr>
        <w:t xml:space="preserve"> </w:t>
      </w:r>
      <w:r>
        <w:rPr>
          <w:sz w:val="20"/>
          <w:szCs w:val="20"/>
        </w:rPr>
        <w:tab/>
      </w:r>
      <w:r>
        <w:rPr>
          <w:sz w:val="18"/>
          <w:szCs w:val="18"/>
        </w:rPr>
        <w:t xml:space="preserve">Fernand de Varennes, United Nations Special Rapporteur on Minority Issues, “Written Testimony” in United States Commission on International Religious Freedom, </w:t>
      </w:r>
      <w:r>
        <w:rPr>
          <w:i/>
          <w:iCs/>
          <w:sz w:val="18"/>
          <w:szCs w:val="18"/>
        </w:rPr>
        <w:t>Hearing: Advancing Religious Freedom within the U.S.-India Bilateral Relationship</w:t>
      </w:r>
      <w:r>
        <w:rPr>
          <w:sz w:val="18"/>
          <w:szCs w:val="18"/>
        </w:rPr>
        <w:t>, 216 Hart Senate Office Building, Washington, DC, 20 September 2023, online: USCIRF.</w:t>
      </w:r>
    </w:p>
  </w:footnote>
  <w:footnote w:id="5">
    <w:p w14:paraId="6BC51C35" w14:textId="77777777" w:rsidR="00060D04" w:rsidRDefault="00000000">
      <w:pPr>
        <w:spacing w:after="0" w:line="240" w:lineRule="auto"/>
        <w:rPr>
          <w:sz w:val="18"/>
          <w:szCs w:val="18"/>
        </w:rPr>
      </w:pPr>
      <w:r>
        <w:rPr>
          <w:vertAlign w:val="superscript"/>
        </w:rPr>
        <w:footnoteRef/>
      </w:r>
      <w:r>
        <w:rPr>
          <w:sz w:val="20"/>
          <w:szCs w:val="20"/>
        </w:rPr>
        <w:t xml:space="preserve"> </w:t>
      </w:r>
      <w:r>
        <w:rPr>
          <w:sz w:val="20"/>
          <w:szCs w:val="20"/>
        </w:rPr>
        <w:tab/>
      </w:r>
      <w:r>
        <w:rPr>
          <w:sz w:val="18"/>
          <w:szCs w:val="18"/>
        </w:rPr>
        <w:t xml:space="preserve">REDRESS, </w:t>
      </w:r>
      <w:r>
        <w:rPr>
          <w:i/>
          <w:iCs/>
          <w:sz w:val="18"/>
          <w:szCs w:val="18"/>
        </w:rPr>
        <w:t xml:space="preserve">Torture </w:t>
      </w:r>
      <w:proofErr w:type="spellStart"/>
      <w:r>
        <w:rPr>
          <w:i/>
          <w:iCs/>
          <w:sz w:val="18"/>
          <w:szCs w:val="18"/>
        </w:rPr>
        <w:t>Normalised</w:t>
      </w:r>
      <w:proofErr w:type="spellEnd"/>
      <w:r>
        <w:rPr>
          <w:i/>
          <w:iCs/>
          <w:sz w:val="18"/>
          <w:szCs w:val="18"/>
        </w:rPr>
        <w:t>: State Violence in India</w:t>
      </w:r>
      <w:r>
        <w:rPr>
          <w:sz w:val="18"/>
          <w:szCs w:val="18"/>
        </w:rPr>
        <w:t xml:space="preserve"> (London: REDRESS, June 2025) at 7.</w:t>
      </w:r>
    </w:p>
  </w:footnote>
  <w:footnote w:id="6">
    <w:p w14:paraId="6BC51C36" w14:textId="77777777" w:rsidR="00060D04" w:rsidRDefault="00000000">
      <w:pPr>
        <w:spacing w:after="0" w:line="240" w:lineRule="auto"/>
        <w:rPr>
          <w:sz w:val="18"/>
          <w:szCs w:val="18"/>
        </w:rPr>
      </w:pPr>
      <w:r>
        <w:rPr>
          <w:vertAlign w:val="superscript"/>
        </w:rPr>
        <w:footnoteRef/>
      </w:r>
      <w:r>
        <w:rPr>
          <w:sz w:val="20"/>
          <w:szCs w:val="20"/>
        </w:rPr>
        <w:t xml:space="preserve"> </w:t>
      </w:r>
      <w:r>
        <w:rPr>
          <w:sz w:val="20"/>
          <w:szCs w:val="20"/>
        </w:rPr>
        <w:tab/>
      </w:r>
      <w:r>
        <w:rPr>
          <w:sz w:val="18"/>
          <w:szCs w:val="18"/>
        </w:rPr>
        <w:t xml:space="preserve">CERD, </w:t>
      </w:r>
      <w:r>
        <w:rPr>
          <w:i/>
          <w:iCs/>
          <w:sz w:val="18"/>
          <w:szCs w:val="18"/>
        </w:rPr>
        <w:t>General Recommendation No 35: Combating racist hate speech</w:t>
      </w:r>
      <w:r>
        <w:rPr>
          <w:sz w:val="18"/>
          <w:szCs w:val="18"/>
        </w:rPr>
        <w:t>, UN Doc CERD/C/GC/35 (26 September 2013) at paras 7, 15.</w:t>
      </w:r>
    </w:p>
  </w:footnote>
  <w:footnote w:id="7">
    <w:p w14:paraId="6BC51C37" w14:textId="77777777" w:rsidR="00060D04" w:rsidRDefault="00000000">
      <w:pPr>
        <w:spacing w:after="0" w:line="240" w:lineRule="auto"/>
        <w:rPr>
          <w:sz w:val="18"/>
          <w:szCs w:val="18"/>
        </w:rPr>
      </w:pPr>
      <w:r>
        <w:rPr>
          <w:vertAlign w:val="superscript"/>
        </w:rPr>
        <w:footnoteRef/>
      </w:r>
      <w:r>
        <w:rPr>
          <w:sz w:val="20"/>
          <w:szCs w:val="20"/>
        </w:rPr>
        <w:t xml:space="preserve"> </w:t>
      </w:r>
      <w:r>
        <w:rPr>
          <w:sz w:val="20"/>
          <w:szCs w:val="20"/>
        </w:rPr>
        <w:tab/>
      </w:r>
      <w:r>
        <w:rPr>
          <w:sz w:val="18"/>
          <w:szCs w:val="18"/>
        </w:rPr>
        <w:t xml:space="preserve">Ministry of Home Affairs, Government of India, “List of </w:t>
      </w:r>
      <w:proofErr w:type="spellStart"/>
      <w:r>
        <w:rPr>
          <w:sz w:val="18"/>
          <w:szCs w:val="18"/>
        </w:rPr>
        <w:t>Organisations</w:t>
      </w:r>
      <w:proofErr w:type="spellEnd"/>
      <w:r>
        <w:rPr>
          <w:sz w:val="18"/>
          <w:szCs w:val="18"/>
        </w:rPr>
        <w:t xml:space="preserve"> Designated as ‘Terrorist Organizations’ under Section 35 of the Unlawful Activities (Prevention) Act, 1967”, online: Ministry of Home Affairs; Ministry of Home Affairs, Government of India, “Unlawful Associations under Section 3 of Unlawful Activities (Prevention) Act, 1967”, online: Ministry of Home Affairs.</w:t>
      </w:r>
    </w:p>
  </w:footnote>
  <w:footnote w:id="8">
    <w:p w14:paraId="6BC51C38" w14:textId="77777777" w:rsidR="00060D04" w:rsidRDefault="00000000">
      <w:pPr>
        <w:spacing w:after="0" w:line="240" w:lineRule="auto"/>
        <w:rPr>
          <w:sz w:val="18"/>
          <w:szCs w:val="18"/>
        </w:rPr>
      </w:pPr>
      <w:r>
        <w:rPr>
          <w:vertAlign w:val="superscript"/>
        </w:rPr>
        <w:footnoteRef/>
      </w:r>
      <w:r>
        <w:rPr>
          <w:sz w:val="20"/>
          <w:szCs w:val="20"/>
        </w:rPr>
        <w:t xml:space="preserve"> </w:t>
      </w:r>
      <w:r>
        <w:rPr>
          <w:sz w:val="20"/>
          <w:szCs w:val="20"/>
        </w:rPr>
        <w:tab/>
      </w:r>
      <w:r>
        <w:rPr>
          <w:sz w:val="18"/>
          <w:szCs w:val="18"/>
        </w:rPr>
        <w:t xml:space="preserve">Neelam Pandey, “BJP alleges Khalistani agenda behind farmer protests, says Congress playing with fire”, </w:t>
      </w:r>
      <w:proofErr w:type="spellStart"/>
      <w:r>
        <w:rPr>
          <w:i/>
          <w:iCs/>
          <w:sz w:val="18"/>
          <w:szCs w:val="18"/>
        </w:rPr>
        <w:t>ThePrint</w:t>
      </w:r>
      <w:proofErr w:type="spellEnd"/>
      <w:r>
        <w:rPr>
          <w:sz w:val="18"/>
          <w:szCs w:val="18"/>
        </w:rPr>
        <w:t xml:space="preserve"> (27 November 2020), online: </w:t>
      </w:r>
      <w:proofErr w:type="spellStart"/>
      <w:r>
        <w:rPr>
          <w:i/>
          <w:iCs/>
          <w:sz w:val="18"/>
          <w:szCs w:val="18"/>
        </w:rPr>
        <w:t>ThePrint</w:t>
      </w:r>
      <w:proofErr w:type="spellEnd"/>
      <w:r>
        <w:rPr>
          <w:sz w:val="18"/>
          <w:szCs w:val="18"/>
        </w:rPr>
        <w:t>.</w:t>
      </w:r>
    </w:p>
  </w:footnote>
  <w:footnote w:id="9">
    <w:p w14:paraId="6BC51C39" w14:textId="77777777" w:rsidR="00060D04" w:rsidRDefault="00000000">
      <w:pPr>
        <w:spacing w:after="0" w:line="240" w:lineRule="auto"/>
        <w:rPr>
          <w:sz w:val="18"/>
          <w:szCs w:val="18"/>
        </w:rPr>
      </w:pPr>
      <w:r>
        <w:rPr>
          <w:vertAlign w:val="superscript"/>
        </w:rPr>
        <w:footnoteRef/>
      </w:r>
      <w:r>
        <w:rPr>
          <w:sz w:val="20"/>
          <w:szCs w:val="20"/>
        </w:rPr>
        <w:t xml:space="preserve"> </w:t>
      </w:r>
      <w:r>
        <w:rPr>
          <w:sz w:val="20"/>
          <w:szCs w:val="20"/>
        </w:rPr>
        <w:tab/>
      </w:r>
      <w:r>
        <w:rPr>
          <w:sz w:val="18"/>
          <w:szCs w:val="18"/>
        </w:rPr>
        <w:t xml:space="preserve">“Editors Guild tells media houses not to label protesting farmers </w:t>
      </w:r>
      <w:proofErr w:type="spellStart"/>
      <w:r>
        <w:rPr>
          <w:sz w:val="18"/>
          <w:szCs w:val="18"/>
        </w:rPr>
        <w:t>Khalistanis</w:t>
      </w:r>
      <w:proofErr w:type="spellEnd"/>
      <w:r>
        <w:rPr>
          <w:sz w:val="18"/>
          <w:szCs w:val="18"/>
        </w:rPr>
        <w:t xml:space="preserve">, anti-nationals”, </w:t>
      </w:r>
      <w:r>
        <w:rPr>
          <w:i/>
          <w:iCs/>
          <w:sz w:val="18"/>
          <w:szCs w:val="18"/>
        </w:rPr>
        <w:t>Indian Express</w:t>
      </w:r>
      <w:r>
        <w:rPr>
          <w:sz w:val="18"/>
          <w:szCs w:val="18"/>
        </w:rPr>
        <w:t xml:space="preserve"> (4 December 2020), online: </w:t>
      </w:r>
      <w:r>
        <w:rPr>
          <w:i/>
          <w:iCs/>
          <w:sz w:val="18"/>
          <w:szCs w:val="18"/>
        </w:rPr>
        <w:t>Indian Express</w:t>
      </w:r>
      <w:r>
        <w:rPr>
          <w:sz w:val="18"/>
          <w:szCs w:val="18"/>
        </w:rPr>
        <w:t>.</w:t>
      </w:r>
    </w:p>
  </w:footnote>
  <w:footnote w:id="10">
    <w:p w14:paraId="2D44D70B" w14:textId="02A83F96" w:rsidR="00D32961" w:rsidRDefault="00D32961" w:rsidP="00D32961">
      <w:pPr>
        <w:spacing w:after="0" w:line="240" w:lineRule="auto"/>
        <w:rPr>
          <w:sz w:val="18"/>
          <w:szCs w:val="18"/>
        </w:rPr>
      </w:pPr>
      <w:r>
        <w:rPr>
          <w:vertAlign w:val="superscript"/>
        </w:rPr>
        <w:footnoteRef/>
      </w:r>
      <w:r>
        <w:rPr>
          <w:sz w:val="20"/>
          <w:szCs w:val="20"/>
        </w:rPr>
        <w:t xml:space="preserve"> </w:t>
      </w:r>
      <w:r>
        <w:rPr>
          <w:sz w:val="20"/>
          <w:szCs w:val="20"/>
        </w:rPr>
        <w:tab/>
      </w:r>
      <w:r>
        <w:rPr>
          <w:sz w:val="18"/>
          <w:szCs w:val="18"/>
        </w:rPr>
        <w:t xml:space="preserve"> </w:t>
      </w:r>
      <w:r w:rsidRPr="00496B3B">
        <w:rPr>
          <w:sz w:val="18"/>
          <w:szCs w:val="18"/>
        </w:rPr>
        <w:t>“</w:t>
      </w:r>
      <w:proofErr w:type="gramStart"/>
      <w:r w:rsidRPr="00496B3B">
        <w:rPr>
          <w:sz w:val="18"/>
          <w:szCs w:val="18"/>
        </w:rPr>
        <w:t>Kangana Ranaut slams Khalistan,</w:t>
      </w:r>
      <w:proofErr w:type="gramEnd"/>
      <w:r w:rsidRPr="00496B3B">
        <w:rPr>
          <w:sz w:val="18"/>
          <w:szCs w:val="18"/>
        </w:rPr>
        <w:t xml:space="preserve"> urges Sikh community to come out in support of Akhand Bharat”, Times of India (</w:t>
      </w:r>
      <w:r w:rsidR="00FE7609" w:rsidRPr="00496B3B">
        <w:rPr>
          <w:sz w:val="18"/>
          <w:szCs w:val="18"/>
        </w:rPr>
        <w:t>22 September 2023</w:t>
      </w:r>
      <w:r w:rsidRPr="00496B3B">
        <w:rPr>
          <w:sz w:val="18"/>
          <w:szCs w:val="18"/>
        </w:rPr>
        <w:t>)</w:t>
      </w:r>
      <w:r w:rsidR="00FE7609" w:rsidRPr="00FE7609">
        <w:rPr>
          <w:sz w:val="18"/>
          <w:szCs w:val="18"/>
        </w:rPr>
        <w:t>,</w:t>
      </w:r>
      <w:r w:rsidR="00FE7609">
        <w:rPr>
          <w:sz w:val="18"/>
          <w:szCs w:val="18"/>
        </w:rPr>
        <w:t xml:space="preserve"> online: </w:t>
      </w:r>
      <w:r w:rsidR="00FE7609" w:rsidRPr="00FE7609">
        <w:rPr>
          <w:sz w:val="18"/>
          <w:szCs w:val="18"/>
        </w:rPr>
        <w:t>https://timesofindia.indiatimes.com/entertainment/hindi/bollywood/news/kangana-ranaut-slams-khalistan-urges-sikh-community-to-come-out-in-support-of-akhand-bharat/articleshow/103867457.cms</w:t>
      </w:r>
      <w:r w:rsidR="00FE7609">
        <w:rPr>
          <w:sz w:val="18"/>
          <w:szCs w:val="18"/>
        </w:rPr>
        <w:t>.</w:t>
      </w:r>
    </w:p>
  </w:footnote>
  <w:footnote w:id="11">
    <w:p w14:paraId="6BC51C3A" w14:textId="77777777" w:rsidR="00060D04" w:rsidRDefault="00000000">
      <w:pPr>
        <w:spacing w:after="0" w:line="240" w:lineRule="auto"/>
        <w:rPr>
          <w:sz w:val="20"/>
          <w:szCs w:val="20"/>
        </w:rPr>
      </w:pPr>
      <w:r>
        <w:rPr>
          <w:vertAlign w:val="superscript"/>
        </w:rPr>
        <w:footnoteRef/>
      </w:r>
      <w:r>
        <w:rPr>
          <w:sz w:val="20"/>
          <w:szCs w:val="20"/>
        </w:rPr>
        <w:t xml:space="preserve"> </w:t>
      </w:r>
      <w:r>
        <w:rPr>
          <w:sz w:val="20"/>
          <w:szCs w:val="20"/>
        </w:rPr>
        <w:tab/>
      </w:r>
      <w:r>
        <w:rPr>
          <w:sz w:val="18"/>
          <w:szCs w:val="18"/>
        </w:rPr>
        <w:t xml:space="preserve">Unlawful Activities (Prevention) Act 1967, as inserted by the Unlawful Activities (Prevention) Amendment Act 2008; </w:t>
      </w:r>
      <w:r>
        <w:rPr>
          <w:i/>
          <w:iCs/>
          <w:sz w:val="18"/>
          <w:szCs w:val="18"/>
        </w:rPr>
        <w:t>National Investigation Agency v Zahoor Ahmad Shah Watali</w:t>
      </w:r>
      <w:r>
        <w:rPr>
          <w:sz w:val="18"/>
          <w:szCs w:val="18"/>
        </w:rPr>
        <w:t xml:space="preserve"> (2019) 5 SCC 1, para 17 (reproducing the text of s 43</w:t>
      </w:r>
      <w:proofErr w:type="gramStart"/>
      <w:r>
        <w:rPr>
          <w:sz w:val="18"/>
          <w:szCs w:val="18"/>
        </w:rPr>
        <w:t>D(</w:t>
      </w:r>
      <w:proofErr w:type="gramEnd"/>
      <w:r>
        <w:rPr>
          <w:sz w:val="18"/>
          <w:szCs w:val="18"/>
        </w:rPr>
        <w:t>5))</w:t>
      </w:r>
    </w:p>
  </w:footnote>
  <w:footnote w:id="12">
    <w:p w14:paraId="6BC51C3B" w14:textId="77777777" w:rsidR="00060D04" w:rsidRDefault="00000000">
      <w:pPr>
        <w:spacing w:after="0" w:line="240" w:lineRule="auto"/>
        <w:rPr>
          <w:sz w:val="18"/>
          <w:szCs w:val="18"/>
        </w:rPr>
      </w:pPr>
      <w:r>
        <w:rPr>
          <w:vertAlign w:val="superscript"/>
        </w:rPr>
        <w:footnoteRef/>
      </w:r>
      <w:r>
        <w:rPr>
          <w:sz w:val="18"/>
          <w:szCs w:val="18"/>
        </w:rPr>
        <w:t xml:space="preserve"> </w:t>
      </w:r>
      <w:r>
        <w:rPr>
          <w:sz w:val="18"/>
          <w:szCs w:val="18"/>
        </w:rPr>
        <w:tab/>
      </w:r>
      <w:r>
        <w:rPr>
          <w:i/>
          <w:iCs/>
          <w:sz w:val="18"/>
          <w:szCs w:val="18"/>
        </w:rPr>
        <w:t>National Investigation Agency v Zahoor Ahmad Shah Watali</w:t>
      </w:r>
      <w:r>
        <w:rPr>
          <w:sz w:val="18"/>
          <w:szCs w:val="18"/>
        </w:rPr>
        <w:t xml:space="preserve"> (2019) 5 SCC 1, paras 23–24 (Supreme Court of India)</w:t>
      </w:r>
    </w:p>
  </w:footnote>
  <w:footnote w:id="13">
    <w:p w14:paraId="6BC51C3C" w14:textId="77777777" w:rsidR="00060D04" w:rsidRDefault="00000000">
      <w:pPr>
        <w:spacing w:after="0" w:line="240" w:lineRule="auto"/>
        <w:rPr>
          <w:sz w:val="18"/>
          <w:szCs w:val="18"/>
        </w:rPr>
      </w:pPr>
      <w:r>
        <w:rPr>
          <w:vertAlign w:val="superscript"/>
        </w:rPr>
        <w:footnoteRef/>
      </w:r>
      <w:r>
        <w:rPr>
          <w:sz w:val="20"/>
          <w:szCs w:val="20"/>
        </w:rPr>
        <w:t xml:space="preserve"> </w:t>
      </w:r>
      <w:r>
        <w:rPr>
          <w:sz w:val="20"/>
          <w:szCs w:val="20"/>
        </w:rPr>
        <w:tab/>
      </w:r>
      <w:r>
        <w:rPr>
          <w:sz w:val="18"/>
          <w:szCs w:val="18"/>
        </w:rPr>
        <w:t xml:space="preserve">Press Information Bureau, Government of India, Ministry of Home Affairs, “Designation of </w:t>
      </w:r>
      <w:proofErr w:type="spellStart"/>
      <w:r>
        <w:rPr>
          <w:sz w:val="18"/>
          <w:szCs w:val="18"/>
        </w:rPr>
        <w:t>Organisations</w:t>
      </w:r>
      <w:proofErr w:type="spellEnd"/>
      <w:r>
        <w:rPr>
          <w:sz w:val="18"/>
          <w:szCs w:val="18"/>
        </w:rPr>
        <w:t xml:space="preserve">/individuals as ‘Terrorist Organization’/‘Terrorist’ under the Unlawful Activities (Prevention) Act, 1967 (UAPA)” (17 February 2023), online: Press Information Bureau; Ministry of Home Affairs, Government of India, “List of </w:t>
      </w:r>
      <w:proofErr w:type="spellStart"/>
      <w:r>
        <w:rPr>
          <w:sz w:val="18"/>
          <w:szCs w:val="18"/>
        </w:rPr>
        <w:t>Organisations</w:t>
      </w:r>
      <w:proofErr w:type="spellEnd"/>
      <w:r>
        <w:rPr>
          <w:sz w:val="18"/>
          <w:szCs w:val="18"/>
        </w:rPr>
        <w:t xml:space="preserve"> Designated as ‘Terrorist Organizations’ under Section 35 of the Unlawful Activities (Prevention) Act, 1967”, online: Ministry of Home Affairs.</w:t>
      </w:r>
    </w:p>
  </w:footnote>
  <w:footnote w:id="14">
    <w:p w14:paraId="6BC51C3D" w14:textId="77777777" w:rsidR="00060D04" w:rsidRDefault="00000000">
      <w:pPr>
        <w:spacing w:after="0" w:line="240" w:lineRule="auto"/>
        <w:rPr>
          <w:sz w:val="18"/>
          <w:szCs w:val="18"/>
        </w:rPr>
      </w:pPr>
      <w:r>
        <w:rPr>
          <w:vertAlign w:val="superscript"/>
        </w:rPr>
        <w:footnoteRef/>
      </w:r>
      <w:r>
        <w:rPr>
          <w:sz w:val="18"/>
          <w:szCs w:val="18"/>
        </w:rPr>
        <w:t xml:space="preserve"> </w:t>
      </w:r>
      <w:r>
        <w:rPr>
          <w:sz w:val="18"/>
          <w:szCs w:val="18"/>
        </w:rPr>
        <w:tab/>
        <w:t xml:space="preserve">Srishti Jaswal et al, “Punjab Police Is Citing Social Media Activity as Evidence of Charges under UAPA”, </w:t>
      </w:r>
      <w:proofErr w:type="spellStart"/>
      <w:r>
        <w:rPr>
          <w:i/>
          <w:iCs/>
          <w:sz w:val="18"/>
          <w:szCs w:val="18"/>
        </w:rPr>
        <w:t>Newslaundry</w:t>
      </w:r>
      <w:proofErr w:type="spellEnd"/>
      <w:r>
        <w:rPr>
          <w:sz w:val="18"/>
          <w:szCs w:val="18"/>
        </w:rPr>
        <w:t xml:space="preserve"> (16 February 2022), online: </w:t>
      </w:r>
      <w:proofErr w:type="spellStart"/>
      <w:r>
        <w:rPr>
          <w:i/>
          <w:iCs/>
          <w:sz w:val="18"/>
          <w:szCs w:val="18"/>
        </w:rPr>
        <w:t>Newslaundry</w:t>
      </w:r>
      <w:proofErr w:type="spellEnd"/>
      <w:r>
        <w:rPr>
          <w:sz w:val="18"/>
          <w:szCs w:val="18"/>
        </w:rPr>
        <w:t>.</w:t>
      </w:r>
    </w:p>
  </w:footnote>
  <w:footnote w:id="15">
    <w:p w14:paraId="6BC51C3E" w14:textId="77777777" w:rsidR="00060D04" w:rsidRDefault="00000000">
      <w:pPr>
        <w:spacing w:after="0" w:line="240" w:lineRule="auto"/>
        <w:rPr>
          <w:sz w:val="18"/>
          <w:szCs w:val="18"/>
        </w:rPr>
      </w:pPr>
      <w:r>
        <w:rPr>
          <w:vertAlign w:val="superscript"/>
        </w:rPr>
        <w:footnoteRef/>
      </w:r>
      <w:r>
        <w:rPr>
          <w:sz w:val="20"/>
          <w:szCs w:val="20"/>
        </w:rPr>
        <w:t xml:space="preserve"> </w:t>
      </w:r>
      <w:r>
        <w:rPr>
          <w:sz w:val="20"/>
          <w:szCs w:val="20"/>
        </w:rPr>
        <w:tab/>
      </w:r>
      <w:r>
        <w:rPr>
          <w:sz w:val="18"/>
          <w:szCs w:val="18"/>
        </w:rPr>
        <w:t>Ibid.</w:t>
      </w:r>
    </w:p>
  </w:footnote>
  <w:footnote w:id="16">
    <w:p w14:paraId="6BC51C3F" w14:textId="77777777" w:rsidR="00060D04" w:rsidRDefault="00000000">
      <w:pPr>
        <w:spacing w:after="0" w:line="240" w:lineRule="auto"/>
        <w:rPr>
          <w:sz w:val="18"/>
          <w:szCs w:val="18"/>
        </w:rPr>
      </w:pPr>
      <w:r>
        <w:rPr>
          <w:vertAlign w:val="superscript"/>
        </w:rPr>
        <w:footnoteRef/>
      </w:r>
      <w:r>
        <w:rPr>
          <w:sz w:val="20"/>
          <w:szCs w:val="20"/>
        </w:rPr>
        <w:t xml:space="preserve"> </w:t>
      </w:r>
      <w:r>
        <w:rPr>
          <w:sz w:val="20"/>
          <w:szCs w:val="20"/>
        </w:rPr>
        <w:tab/>
      </w:r>
      <w:r>
        <w:rPr>
          <w:sz w:val="18"/>
          <w:szCs w:val="18"/>
        </w:rPr>
        <w:t xml:space="preserve">“SC dismisses bail plea of Tarn Taran blast case accused”, </w:t>
      </w:r>
      <w:r>
        <w:rPr>
          <w:i/>
          <w:iCs/>
          <w:sz w:val="18"/>
          <w:szCs w:val="18"/>
        </w:rPr>
        <w:t>Times of India</w:t>
      </w:r>
      <w:r>
        <w:rPr>
          <w:sz w:val="18"/>
          <w:szCs w:val="18"/>
        </w:rPr>
        <w:t xml:space="preserve"> (21 August 2020), online: </w:t>
      </w:r>
      <w:r>
        <w:rPr>
          <w:i/>
          <w:iCs/>
          <w:sz w:val="18"/>
          <w:szCs w:val="18"/>
        </w:rPr>
        <w:t>Times of India</w:t>
      </w:r>
      <w:r>
        <w:rPr>
          <w:sz w:val="18"/>
          <w:szCs w:val="18"/>
        </w:rPr>
        <w:t xml:space="preserve">; “Supreme Court dismisses bail plea of Tarn Taran blast case accused”, </w:t>
      </w:r>
      <w:r>
        <w:rPr>
          <w:i/>
          <w:iCs/>
          <w:sz w:val="18"/>
          <w:szCs w:val="18"/>
        </w:rPr>
        <w:t>New Indian Express</w:t>
      </w:r>
      <w:r>
        <w:rPr>
          <w:sz w:val="18"/>
          <w:szCs w:val="18"/>
        </w:rPr>
        <w:t xml:space="preserve"> (21 August 2020), online: </w:t>
      </w:r>
      <w:r>
        <w:rPr>
          <w:i/>
          <w:iCs/>
          <w:sz w:val="18"/>
          <w:szCs w:val="18"/>
        </w:rPr>
        <w:t>New Indian Express</w:t>
      </w:r>
      <w:r>
        <w:rPr>
          <w:sz w:val="18"/>
          <w:szCs w:val="18"/>
        </w:rPr>
        <w:t>.</w:t>
      </w:r>
    </w:p>
  </w:footnote>
  <w:footnote w:id="17">
    <w:p w14:paraId="6BC51C40" w14:textId="77777777" w:rsidR="00060D04" w:rsidRDefault="00000000">
      <w:pPr>
        <w:spacing w:after="0" w:line="240" w:lineRule="auto"/>
        <w:rPr>
          <w:sz w:val="18"/>
          <w:szCs w:val="18"/>
        </w:rPr>
      </w:pPr>
      <w:r>
        <w:rPr>
          <w:vertAlign w:val="superscript"/>
        </w:rPr>
        <w:footnoteRef/>
      </w:r>
      <w:r>
        <w:rPr>
          <w:sz w:val="20"/>
          <w:szCs w:val="20"/>
        </w:rPr>
        <w:t xml:space="preserve"> </w:t>
      </w:r>
      <w:r>
        <w:rPr>
          <w:sz w:val="20"/>
          <w:szCs w:val="20"/>
        </w:rPr>
        <w:tab/>
      </w:r>
      <w:r>
        <w:rPr>
          <w:sz w:val="18"/>
          <w:szCs w:val="18"/>
        </w:rPr>
        <w:t>Ibid.</w:t>
      </w:r>
    </w:p>
  </w:footnote>
  <w:footnote w:id="18">
    <w:p w14:paraId="1B513357" w14:textId="1D181C66" w:rsidR="001F1245" w:rsidRPr="00496B3B" w:rsidRDefault="001F1245">
      <w:pPr>
        <w:pStyle w:val="FootnoteText"/>
        <w:rPr>
          <w:lang w:val="en-CA"/>
        </w:rPr>
      </w:pPr>
      <w:r>
        <w:rPr>
          <w:rStyle w:val="FootnoteReference"/>
        </w:rPr>
        <w:footnoteRef/>
      </w:r>
      <w:r>
        <w:t xml:space="preserve"> </w:t>
      </w:r>
      <w:r>
        <w:rPr>
          <w:lang w:val="en-CA"/>
        </w:rPr>
        <w:tab/>
        <w:t xml:space="preserve">Committee Against Torture, General Comment No 2: Implementation of Article 2 by State Parties, UN Doc CAT/C/GC/2 (24 January 2008). </w:t>
      </w:r>
    </w:p>
  </w:footnote>
  <w:footnote w:id="19">
    <w:p w14:paraId="6BC51C41" w14:textId="77777777" w:rsidR="00060D04" w:rsidRDefault="00000000">
      <w:pPr>
        <w:spacing w:after="0" w:line="240" w:lineRule="auto"/>
        <w:rPr>
          <w:sz w:val="18"/>
          <w:szCs w:val="18"/>
        </w:rPr>
      </w:pPr>
      <w:r>
        <w:rPr>
          <w:vertAlign w:val="superscript"/>
        </w:rPr>
        <w:footnoteRef/>
      </w:r>
      <w:r>
        <w:rPr>
          <w:sz w:val="20"/>
          <w:szCs w:val="20"/>
        </w:rPr>
        <w:t xml:space="preserve"> </w:t>
      </w:r>
      <w:r>
        <w:rPr>
          <w:sz w:val="20"/>
          <w:szCs w:val="20"/>
        </w:rPr>
        <w:tab/>
      </w:r>
      <w:r>
        <w:rPr>
          <w:sz w:val="18"/>
          <w:szCs w:val="18"/>
        </w:rPr>
        <w:t xml:space="preserve">Commonwealth Human Rights Initiative, </w:t>
      </w:r>
      <w:r>
        <w:rPr>
          <w:i/>
          <w:iCs/>
          <w:sz w:val="18"/>
          <w:szCs w:val="18"/>
        </w:rPr>
        <w:t>Inside Punjab Prisons: A Study on Prison Conditions</w:t>
      </w:r>
      <w:r>
        <w:rPr>
          <w:sz w:val="18"/>
          <w:szCs w:val="18"/>
        </w:rPr>
        <w:t xml:space="preserve"> (New Delhi: CHRI, 2022).</w:t>
      </w:r>
    </w:p>
  </w:footnote>
  <w:footnote w:id="20">
    <w:p w14:paraId="6BC51C42" w14:textId="77777777" w:rsidR="00060D04" w:rsidRDefault="00000000">
      <w:pPr>
        <w:spacing w:after="0" w:line="240" w:lineRule="auto"/>
        <w:rPr>
          <w:sz w:val="18"/>
          <w:szCs w:val="18"/>
        </w:rPr>
      </w:pPr>
      <w:r>
        <w:rPr>
          <w:vertAlign w:val="superscript"/>
        </w:rPr>
        <w:footnoteRef/>
      </w:r>
      <w:r>
        <w:rPr>
          <w:sz w:val="20"/>
          <w:szCs w:val="20"/>
        </w:rPr>
        <w:t xml:space="preserve"> </w:t>
      </w:r>
      <w:r>
        <w:rPr>
          <w:sz w:val="20"/>
          <w:szCs w:val="20"/>
        </w:rPr>
        <w:tab/>
      </w:r>
      <w:r>
        <w:rPr>
          <w:sz w:val="18"/>
          <w:szCs w:val="18"/>
        </w:rPr>
        <w:t xml:space="preserve">Jaskaran Kaur, </w:t>
      </w:r>
      <w:r>
        <w:rPr>
          <w:i/>
          <w:iCs/>
          <w:sz w:val="18"/>
          <w:szCs w:val="18"/>
        </w:rPr>
        <w:t>Punjab Police: Fabricating Terrorism through Illegal Detention and Torture</w:t>
      </w:r>
      <w:r>
        <w:rPr>
          <w:sz w:val="18"/>
          <w:szCs w:val="18"/>
        </w:rPr>
        <w:t xml:space="preserve"> (Santa Clara: </w:t>
      </w:r>
      <w:proofErr w:type="spellStart"/>
      <w:r>
        <w:rPr>
          <w:sz w:val="18"/>
          <w:szCs w:val="18"/>
        </w:rPr>
        <w:t>Ensaaf</w:t>
      </w:r>
      <w:proofErr w:type="spellEnd"/>
      <w:r>
        <w:rPr>
          <w:sz w:val="18"/>
          <w:szCs w:val="18"/>
        </w:rPr>
        <w:t>, 2005) at 4.</w:t>
      </w:r>
    </w:p>
  </w:footnote>
  <w:footnote w:id="21">
    <w:p w14:paraId="6BC51C43" w14:textId="5FE9984D" w:rsidR="00060D04" w:rsidRDefault="00000000">
      <w:pPr>
        <w:spacing w:after="0" w:line="240" w:lineRule="auto"/>
        <w:rPr>
          <w:sz w:val="18"/>
          <w:szCs w:val="18"/>
        </w:rPr>
      </w:pPr>
      <w:r>
        <w:rPr>
          <w:vertAlign w:val="superscript"/>
        </w:rPr>
        <w:footnoteRef/>
      </w:r>
      <w:r>
        <w:rPr>
          <w:sz w:val="18"/>
          <w:szCs w:val="18"/>
        </w:rPr>
        <w:t xml:space="preserve"> </w:t>
      </w:r>
      <w:r>
        <w:rPr>
          <w:sz w:val="18"/>
          <w:szCs w:val="18"/>
        </w:rPr>
        <w:tab/>
      </w:r>
      <w:proofErr w:type="gramStart"/>
      <w:r>
        <w:rPr>
          <w:sz w:val="18"/>
          <w:szCs w:val="18"/>
        </w:rPr>
        <w:t>Ibid;</w:t>
      </w:r>
      <w:proofErr w:type="gramEnd"/>
      <w:r>
        <w:rPr>
          <w:sz w:val="18"/>
          <w:szCs w:val="18"/>
        </w:rPr>
        <w:t xml:space="preserve"> Commonwealth Human Rights Initiative, supra note 1</w:t>
      </w:r>
      <w:r w:rsidR="001F1245">
        <w:rPr>
          <w:sz w:val="18"/>
          <w:szCs w:val="18"/>
        </w:rPr>
        <w:t>8</w:t>
      </w:r>
      <w:r>
        <w:rPr>
          <w:sz w:val="18"/>
          <w:szCs w:val="18"/>
        </w:rPr>
        <w:t>.</w:t>
      </w:r>
    </w:p>
  </w:footnote>
  <w:footnote w:id="22">
    <w:p w14:paraId="6BC51C44" w14:textId="77777777" w:rsidR="00060D04" w:rsidRDefault="00000000">
      <w:pPr>
        <w:spacing w:after="0" w:line="240" w:lineRule="auto"/>
        <w:rPr>
          <w:sz w:val="18"/>
          <w:szCs w:val="18"/>
        </w:rPr>
      </w:pPr>
      <w:r>
        <w:rPr>
          <w:vertAlign w:val="superscript"/>
        </w:rPr>
        <w:footnoteRef/>
      </w:r>
      <w:r>
        <w:rPr>
          <w:sz w:val="20"/>
          <w:szCs w:val="20"/>
        </w:rPr>
        <w:t xml:space="preserve"> </w:t>
      </w:r>
      <w:r>
        <w:rPr>
          <w:sz w:val="20"/>
          <w:szCs w:val="20"/>
        </w:rPr>
        <w:tab/>
      </w:r>
      <w:r>
        <w:rPr>
          <w:sz w:val="18"/>
          <w:szCs w:val="18"/>
        </w:rPr>
        <w:t xml:space="preserve">‘Legs broken, turbans removed’: Sikh leaders allege third degree torture of pilgrims in Uttarakhand; demand immediate release”, </w:t>
      </w:r>
      <w:r>
        <w:rPr>
          <w:i/>
          <w:iCs/>
          <w:sz w:val="18"/>
          <w:szCs w:val="18"/>
        </w:rPr>
        <w:t>Times of India</w:t>
      </w:r>
      <w:r>
        <w:rPr>
          <w:sz w:val="18"/>
          <w:szCs w:val="18"/>
        </w:rPr>
        <w:t xml:space="preserve"> (27 June 2026), online: </w:t>
      </w:r>
      <w:r>
        <w:rPr>
          <w:i/>
          <w:iCs/>
          <w:sz w:val="18"/>
          <w:szCs w:val="18"/>
        </w:rPr>
        <w:t>Times of India</w:t>
      </w:r>
      <w:r>
        <w:rPr>
          <w:sz w:val="18"/>
          <w:szCs w:val="18"/>
        </w:rPr>
        <w:t>.</w:t>
      </w:r>
    </w:p>
  </w:footnote>
  <w:footnote w:id="23">
    <w:p w14:paraId="6BC51C45" w14:textId="77777777" w:rsidR="00060D04" w:rsidRDefault="00000000">
      <w:pPr>
        <w:spacing w:after="0" w:line="240" w:lineRule="auto"/>
        <w:rPr>
          <w:sz w:val="18"/>
          <w:szCs w:val="18"/>
        </w:rPr>
      </w:pPr>
      <w:r>
        <w:rPr>
          <w:vertAlign w:val="superscript"/>
        </w:rPr>
        <w:footnoteRef/>
      </w:r>
      <w:r>
        <w:rPr>
          <w:sz w:val="20"/>
          <w:szCs w:val="20"/>
        </w:rPr>
        <w:t xml:space="preserve"> </w:t>
      </w:r>
      <w:r>
        <w:rPr>
          <w:sz w:val="20"/>
          <w:szCs w:val="20"/>
        </w:rPr>
        <w:tab/>
      </w:r>
      <w:r>
        <w:rPr>
          <w:sz w:val="18"/>
          <w:szCs w:val="18"/>
        </w:rPr>
        <w:t>UN Special Procedures, Communication to India, Mandates of the Special Rapporteur on torture and other cruel, inhuman or degrading treatment or punishment et al, UA IND 3/2018 (29 January 2018).</w:t>
      </w:r>
    </w:p>
  </w:footnote>
  <w:footnote w:id="24">
    <w:p w14:paraId="6BC51C46" w14:textId="77777777" w:rsidR="00060D04" w:rsidRDefault="00000000">
      <w:pPr>
        <w:spacing w:after="0" w:line="240" w:lineRule="auto"/>
        <w:rPr>
          <w:sz w:val="20"/>
          <w:szCs w:val="20"/>
        </w:rPr>
      </w:pPr>
      <w:r>
        <w:rPr>
          <w:vertAlign w:val="superscript"/>
        </w:rPr>
        <w:footnoteRef/>
      </w:r>
      <w:r>
        <w:rPr>
          <w:sz w:val="20"/>
          <w:szCs w:val="20"/>
        </w:rPr>
        <w:t xml:space="preserve"> </w:t>
      </w:r>
      <w:r>
        <w:rPr>
          <w:sz w:val="20"/>
          <w:szCs w:val="20"/>
        </w:rPr>
        <w:tab/>
        <w:t>Ibid.</w:t>
      </w:r>
    </w:p>
  </w:footnote>
  <w:footnote w:id="25">
    <w:p w14:paraId="6BC51C47" w14:textId="77777777" w:rsidR="00060D04" w:rsidRDefault="00000000">
      <w:pPr>
        <w:spacing w:after="0" w:line="240" w:lineRule="auto"/>
        <w:rPr>
          <w:sz w:val="18"/>
          <w:szCs w:val="18"/>
        </w:rPr>
      </w:pPr>
      <w:r>
        <w:rPr>
          <w:vertAlign w:val="superscript"/>
        </w:rPr>
        <w:footnoteRef/>
      </w:r>
      <w:r>
        <w:rPr>
          <w:sz w:val="20"/>
          <w:szCs w:val="20"/>
        </w:rPr>
        <w:t xml:space="preserve"> </w:t>
      </w:r>
      <w:r>
        <w:rPr>
          <w:sz w:val="20"/>
          <w:szCs w:val="20"/>
        </w:rPr>
        <w:tab/>
      </w:r>
      <w:r>
        <w:rPr>
          <w:sz w:val="18"/>
          <w:szCs w:val="18"/>
        </w:rPr>
        <w:t xml:space="preserve">UN Human Rights Council, Working Group on Arbitrary Detention, </w:t>
      </w:r>
      <w:r>
        <w:rPr>
          <w:i/>
          <w:iCs/>
          <w:sz w:val="18"/>
          <w:szCs w:val="18"/>
        </w:rPr>
        <w:t>Opinion No 80/2021 concerning Jagtar Singh Johal (India)</w:t>
      </w:r>
      <w:r>
        <w:rPr>
          <w:sz w:val="18"/>
          <w:szCs w:val="18"/>
        </w:rPr>
        <w:t>, UN Doc A/HRC/WGAD/2021/80 (4 May 2022).</w:t>
      </w:r>
    </w:p>
  </w:footnote>
  <w:footnote w:id="26">
    <w:p w14:paraId="6BC51C48" w14:textId="77777777" w:rsidR="00060D04" w:rsidRDefault="00000000">
      <w:pPr>
        <w:spacing w:after="0" w:line="240" w:lineRule="auto"/>
        <w:rPr>
          <w:sz w:val="18"/>
          <w:szCs w:val="18"/>
        </w:rPr>
      </w:pPr>
      <w:r>
        <w:rPr>
          <w:vertAlign w:val="superscript"/>
        </w:rPr>
        <w:footnoteRef/>
      </w:r>
      <w:r>
        <w:rPr>
          <w:sz w:val="20"/>
          <w:szCs w:val="20"/>
        </w:rPr>
        <w:t xml:space="preserve"> </w:t>
      </w:r>
      <w:r>
        <w:rPr>
          <w:sz w:val="20"/>
          <w:szCs w:val="20"/>
        </w:rPr>
        <w:tab/>
      </w:r>
      <w:r>
        <w:rPr>
          <w:sz w:val="18"/>
          <w:szCs w:val="18"/>
        </w:rPr>
        <w:t xml:space="preserve">Ami Laws &amp; Vincent Iacopino, “Police Torture in Punjab, India: An Extended Survey” (2002) 6:1 </w:t>
      </w:r>
      <w:r>
        <w:rPr>
          <w:i/>
          <w:iCs/>
          <w:sz w:val="18"/>
          <w:szCs w:val="18"/>
        </w:rPr>
        <w:t>Health and Human Rights</w:t>
      </w:r>
      <w:r>
        <w:rPr>
          <w:sz w:val="18"/>
          <w:szCs w:val="18"/>
        </w:rPr>
        <w:t xml:space="preserve"> 195.</w:t>
      </w:r>
    </w:p>
  </w:footnote>
  <w:footnote w:id="27">
    <w:p w14:paraId="6BC51C49" w14:textId="77777777" w:rsidR="00060D04" w:rsidRDefault="00000000">
      <w:pPr>
        <w:spacing w:after="0" w:line="240" w:lineRule="auto"/>
        <w:rPr>
          <w:sz w:val="18"/>
          <w:szCs w:val="18"/>
        </w:rPr>
      </w:pPr>
      <w:r>
        <w:rPr>
          <w:vertAlign w:val="superscript"/>
        </w:rPr>
        <w:footnoteRef/>
      </w:r>
      <w:r>
        <w:rPr>
          <w:sz w:val="20"/>
          <w:szCs w:val="20"/>
        </w:rPr>
        <w:t xml:space="preserve"> </w:t>
      </w:r>
      <w:r>
        <w:rPr>
          <w:sz w:val="20"/>
          <w:szCs w:val="20"/>
        </w:rPr>
        <w:tab/>
      </w:r>
      <w:r>
        <w:rPr>
          <w:sz w:val="18"/>
          <w:szCs w:val="18"/>
        </w:rPr>
        <w:t xml:space="preserve">Nitisha </w:t>
      </w:r>
      <w:proofErr w:type="spellStart"/>
      <w:r>
        <w:rPr>
          <w:sz w:val="18"/>
          <w:szCs w:val="18"/>
        </w:rPr>
        <w:t>Baronia</w:t>
      </w:r>
      <w:proofErr w:type="spellEnd"/>
      <w:r>
        <w:rPr>
          <w:sz w:val="18"/>
          <w:szCs w:val="18"/>
        </w:rPr>
        <w:t xml:space="preserve">, “Reviewing Extraditions to Torture” (2021) 73:5 </w:t>
      </w:r>
      <w:r>
        <w:rPr>
          <w:i/>
          <w:iCs/>
          <w:sz w:val="18"/>
          <w:szCs w:val="18"/>
        </w:rPr>
        <w:t>Stanford Law Review</w:t>
      </w:r>
      <w:r>
        <w:rPr>
          <w:sz w:val="18"/>
          <w:szCs w:val="18"/>
        </w:rPr>
        <w:t xml:space="preserve"> 1221 at 1225.</w:t>
      </w:r>
    </w:p>
  </w:footnote>
  <w:footnote w:id="28">
    <w:p w14:paraId="6BC51C4A" w14:textId="77777777" w:rsidR="00060D04" w:rsidRDefault="00000000">
      <w:pPr>
        <w:spacing w:after="0" w:line="240" w:lineRule="auto"/>
        <w:rPr>
          <w:sz w:val="18"/>
          <w:szCs w:val="18"/>
        </w:rPr>
      </w:pPr>
      <w:r>
        <w:rPr>
          <w:vertAlign w:val="superscript"/>
        </w:rPr>
        <w:footnoteRef/>
      </w:r>
      <w:r>
        <w:rPr>
          <w:sz w:val="20"/>
          <w:szCs w:val="20"/>
        </w:rPr>
        <w:t xml:space="preserve"> </w:t>
      </w:r>
      <w:r>
        <w:rPr>
          <w:sz w:val="20"/>
          <w:szCs w:val="20"/>
        </w:rPr>
        <w:tab/>
      </w:r>
      <w:r>
        <w:rPr>
          <w:sz w:val="18"/>
          <w:szCs w:val="18"/>
        </w:rPr>
        <w:t>Human Rights Watch, “India: Punjab Case Shows Need for Anti-Torture Law” (New Delhi, 2012), online: Human Rights Watch.</w:t>
      </w:r>
    </w:p>
  </w:footnote>
  <w:footnote w:id="29">
    <w:p w14:paraId="6BC51C4B" w14:textId="77777777" w:rsidR="00060D04" w:rsidRDefault="00000000">
      <w:pPr>
        <w:spacing w:after="0" w:line="240" w:lineRule="auto"/>
        <w:rPr>
          <w:sz w:val="18"/>
          <w:szCs w:val="18"/>
        </w:rPr>
      </w:pPr>
      <w:r>
        <w:rPr>
          <w:vertAlign w:val="superscript"/>
        </w:rPr>
        <w:footnoteRef/>
      </w:r>
      <w:r>
        <w:rPr>
          <w:sz w:val="20"/>
          <w:szCs w:val="20"/>
        </w:rPr>
        <w:t xml:space="preserve"> </w:t>
      </w:r>
      <w:r>
        <w:rPr>
          <w:sz w:val="20"/>
          <w:szCs w:val="20"/>
        </w:rPr>
        <w:tab/>
      </w:r>
      <w:r>
        <w:rPr>
          <w:sz w:val="18"/>
          <w:szCs w:val="18"/>
        </w:rPr>
        <w:t xml:space="preserve">“Tarn Taran blast accused dies in judicial custody, family alleges lack of medical care”, </w:t>
      </w:r>
      <w:r>
        <w:rPr>
          <w:i/>
          <w:iCs/>
          <w:sz w:val="18"/>
          <w:szCs w:val="18"/>
        </w:rPr>
        <w:t>Indian Express</w:t>
      </w:r>
      <w:r>
        <w:rPr>
          <w:sz w:val="18"/>
          <w:szCs w:val="18"/>
        </w:rPr>
        <w:t xml:space="preserve"> (6 October 2021), online: </w:t>
      </w:r>
      <w:r>
        <w:rPr>
          <w:i/>
          <w:iCs/>
          <w:sz w:val="18"/>
          <w:szCs w:val="18"/>
        </w:rPr>
        <w:t>Indian Express</w:t>
      </w:r>
      <w:r>
        <w:rPr>
          <w:sz w:val="18"/>
          <w:szCs w:val="18"/>
        </w:rPr>
        <w:t xml:space="preserve">; “Key accused in Tarn Taran blast case dies”, </w:t>
      </w:r>
      <w:r>
        <w:rPr>
          <w:i/>
          <w:iCs/>
          <w:sz w:val="18"/>
          <w:szCs w:val="18"/>
        </w:rPr>
        <w:t>Hindustan Times</w:t>
      </w:r>
      <w:r>
        <w:rPr>
          <w:sz w:val="18"/>
          <w:szCs w:val="18"/>
        </w:rPr>
        <w:t xml:space="preserve"> (6 October 2021), online: </w:t>
      </w:r>
      <w:r>
        <w:rPr>
          <w:i/>
          <w:iCs/>
          <w:sz w:val="18"/>
          <w:szCs w:val="18"/>
        </w:rPr>
        <w:t>Hindustan Times</w:t>
      </w:r>
      <w:r>
        <w:rPr>
          <w:sz w:val="18"/>
          <w:szCs w:val="18"/>
        </w:rPr>
        <w:t>.</w:t>
      </w:r>
    </w:p>
  </w:footnote>
  <w:footnote w:id="30">
    <w:p w14:paraId="6BC51C4C" w14:textId="77777777" w:rsidR="00060D04" w:rsidRDefault="00000000">
      <w:pPr>
        <w:spacing w:after="0" w:line="220" w:lineRule="auto"/>
      </w:pPr>
      <w:r>
        <w:rPr>
          <w:vertAlign w:val="superscript"/>
        </w:rPr>
        <w:footnoteRef/>
      </w:r>
      <w:r>
        <w:rPr>
          <w:sz w:val="18"/>
          <w:szCs w:val="18"/>
        </w:rPr>
        <w:tab/>
        <w:t xml:space="preserve"> UN Special Procedures, Communication to India, Mandates of the Special Rapporteur on the promotion and protection of human rights and fundamental freedoms while countering terrorism et al, AL IND 10/2024 (19 November 2024) at 1-4.</w:t>
      </w:r>
    </w:p>
  </w:footnote>
  <w:footnote w:id="31">
    <w:p w14:paraId="6BC51C4D" w14:textId="77777777" w:rsidR="00060D04" w:rsidRDefault="00000000">
      <w:pPr>
        <w:spacing w:after="0" w:line="220" w:lineRule="auto"/>
      </w:pPr>
      <w:r>
        <w:rPr>
          <w:vertAlign w:val="superscript"/>
        </w:rPr>
        <w:footnoteRef/>
      </w:r>
      <w:r>
        <w:rPr>
          <w:sz w:val="18"/>
          <w:szCs w:val="18"/>
        </w:rPr>
        <w:tab/>
        <w:t xml:space="preserve"> United States Department of Justice, “Justice Department Announces Charges Against Indian Government Employee in Connection with Foiled Plot to Assassinate U.S. Citizen in New York City” (17 October 2024), online: justice.gov.</w:t>
      </w:r>
    </w:p>
  </w:footnote>
  <w:footnote w:id="32">
    <w:p w14:paraId="6BC51C4E" w14:textId="77777777" w:rsidR="00060D04" w:rsidRDefault="00000000">
      <w:pPr>
        <w:spacing w:after="0" w:line="220" w:lineRule="auto"/>
      </w:pPr>
      <w:r>
        <w:rPr>
          <w:vertAlign w:val="superscript"/>
        </w:rPr>
        <w:footnoteRef/>
      </w:r>
      <w:r>
        <w:rPr>
          <w:sz w:val="18"/>
          <w:szCs w:val="18"/>
        </w:rPr>
        <w:tab/>
        <w:t xml:space="preserve"> United States Attorney’s Office, Southern District of New York, “Indian National Pleads Guilty </w:t>
      </w:r>
      <w:proofErr w:type="gramStart"/>
      <w:r>
        <w:rPr>
          <w:sz w:val="18"/>
          <w:szCs w:val="18"/>
        </w:rPr>
        <w:t>To</w:t>
      </w:r>
      <w:proofErr w:type="gramEnd"/>
      <w:r>
        <w:rPr>
          <w:sz w:val="18"/>
          <w:szCs w:val="18"/>
        </w:rPr>
        <w:t xml:space="preserve"> Plotting </w:t>
      </w:r>
      <w:proofErr w:type="gramStart"/>
      <w:r>
        <w:rPr>
          <w:sz w:val="18"/>
          <w:szCs w:val="18"/>
        </w:rPr>
        <w:t>To</w:t>
      </w:r>
      <w:proofErr w:type="gramEnd"/>
      <w:r>
        <w:rPr>
          <w:sz w:val="18"/>
          <w:szCs w:val="18"/>
        </w:rPr>
        <w:t xml:space="preserve"> Assassinate U.S. Citizen In New York City” (13 February 2026), online: justice.gov.</w:t>
      </w:r>
    </w:p>
  </w:footnote>
  <w:footnote w:id="33">
    <w:p w14:paraId="6BC51C4F" w14:textId="77777777" w:rsidR="00060D04" w:rsidRDefault="00000000">
      <w:pPr>
        <w:spacing w:after="0" w:line="220" w:lineRule="auto"/>
      </w:pPr>
      <w:r>
        <w:rPr>
          <w:vertAlign w:val="superscript"/>
        </w:rPr>
        <w:footnoteRef/>
      </w:r>
      <w:r>
        <w:rPr>
          <w:sz w:val="18"/>
          <w:szCs w:val="18"/>
        </w:rPr>
        <w:tab/>
        <w:t xml:space="preserve"> Royal Canadian Mounted Police, “RCMP statement on violent criminal activity occurring in Canada with connections to agents of the Government of India” (14 October 2024), online: rcmp.ca.</w:t>
      </w:r>
    </w:p>
  </w:footnote>
  <w:footnote w:id="34">
    <w:p w14:paraId="6BC51C50" w14:textId="77777777" w:rsidR="00060D04" w:rsidRDefault="00000000">
      <w:pPr>
        <w:spacing w:after="0" w:line="220" w:lineRule="auto"/>
      </w:pPr>
      <w:r>
        <w:rPr>
          <w:vertAlign w:val="superscript"/>
        </w:rPr>
        <w:footnoteRef/>
      </w:r>
      <w:r>
        <w:rPr>
          <w:sz w:val="18"/>
          <w:szCs w:val="18"/>
        </w:rPr>
        <w:tab/>
        <w:t xml:space="preserve"> Public Inquiry into Foreign Interference in Federal Electoral Processes and Democratic Institutions, Final Report, vol 1 (Ottawa: Government of Canada, 28 January 2025) at 40, 98 and 101.</w:t>
      </w:r>
    </w:p>
  </w:footnote>
  <w:footnote w:id="35">
    <w:p w14:paraId="6BC51C51" w14:textId="77777777" w:rsidR="00060D04" w:rsidRDefault="00000000">
      <w:pPr>
        <w:spacing w:after="0" w:line="240" w:lineRule="auto"/>
        <w:rPr>
          <w:sz w:val="18"/>
          <w:szCs w:val="18"/>
        </w:rPr>
      </w:pPr>
      <w:r>
        <w:rPr>
          <w:vertAlign w:val="superscript"/>
        </w:rPr>
        <w:footnoteRef/>
      </w:r>
      <w:r>
        <w:rPr>
          <w:sz w:val="18"/>
          <w:szCs w:val="18"/>
        </w:rPr>
        <w:t xml:space="preserve"> </w:t>
      </w:r>
      <w:r>
        <w:rPr>
          <w:sz w:val="18"/>
          <w:szCs w:val="18"/>
        </w:rPr>
        <w:tab/>
        <w:t xml:space="preserve">“Twitter account of Khalsa Aid founder Ravi Singh withheld in India”, </w:t>
      </w:r>
      <w:r>
        <w:rPr>
          <w:i/>
          <w:iCs/>
          <w:sz w:val="18"/>
          <w:szCs w:val="18"/>
        </w:rPr>
        <w:t>The Wire</w:t>
      </w:r>
      <w:r>
        <w:rPr>
          <w:sz w:val="18"/>
          <w:szCs w:val="18"/>
        </w:rPr>
        <w:t xml:space="preserve"> (2 July 2022), online: </w:t>
      </w:r>
      <w:r>
        <w:rPr>
          <w:i/>
          <w:iCs/>
          <w:sz w:val="18"/>
          <w:szCs w:val="18"/>
        </w:rPr>
        <w:t>The Wire</w:t>
      </w:r>
      <w:r>
        <w:rPr>
          <w:sz w:val="18"/>
          <w:szCs w:val="18"/>
        </w:rPr>
        <w:t>.</w:t>
      </w:r>
    </w:p>
  </w:footnote>
  <w:footnote w:id="36">
    <w:p w14:paraId="6BC51C52" w14:textId="77777777" w:rsidR="00060D04" w:rsidRDefault="00000000">
      <w:pPr>
        <w:spacing w:after="0" w:line="240" w:lineRule="auto"/>
        <w:rPr>
          <w:sz w:val="18"/>
          <w:szCs w:val="18"/>
        </w:rPr>
      </w:pPr>
      <w:r>
        <w:rPr>
          <w:vertAlign w:val="superscript"/>
        </w:rPr>
        <w:footnoteRef/>
      </w:r>
      <w:r>
        <w:rPr>
          <w:sz w:val="20"/>
          <w:szCs w:val="20"/>
        </w:rPr>
        <w:t xml:space="preserve"> </w:t>
      </w:r>
      <w:r>
        <w:rPr>
          <w:sz w:val="20"/>
          <w:szCs w:val="20"/>
        </w:rPr>
        <w:tab/>
      </w:r>
      <w:r>
        <w:rPr>
          <w:sz w:val="18"/>
          <w:szCs w:val="18"/>
        </w:rPr>
        <w:t>Ibid.</w:t>
      </w:r>
    </w:p>
  </w:footnote>
  <w:footnote w:id="37">
    <w:p w14:paraId="6BC51C53" w14:textId="77777777" w:rsidR="00060D04" w:rsidRDefault="00000000">
      <w:pPr>
        <w:spacing w:after="0" w:line="240" w:lineRule="auto"/>
        <w:rPr>
          <w:sz w:val="18"/>
          <w:szCs w:val="18"/>
        </w:rPr>
      </w:pPr>
      <w:r>
        <w:rPr>
          <w:vertAlign w:val="superscript"/>
        </w:rPr>
        <w:footnoteRef/>
      </w:r>
      <w:r>
        <w:rPr>
          <w:sz w:val="20"/>
          <w:szCs w:val="20"/>
        </w:rPr>
        <w:t xml:space="preserve"> </w:t>
      </w:r>
      <w:r>
        <w:rPr>
          <w:sz w:val="20"/>
          <w:szCs w:val="20"/>
        </w:rPr>
        <w:tab/>
      </w:r>
      <w:r>
        <w:rPr>
          <w:sz w:val="18"/>
          <w:szCs w:val="18"/>
        </w:rPr>
        <w:t>Sikh American Legal Defense and Education Fund, Written Statement before the United States House of Representatives, Committee on Energy and Commerce, Subcommittee on Communications and Technology, “Disinformation Nation: Social Media’s Role in Promoting Extremism and Misinformation” (25 March 2021).</w:t>
      </w:r>
    </w:p>
  </w:footnote>
  <w:footnote w:id="38">
    <w:p w14:paraId="6BC51C54" w14:textId="77777777" w:rsidR="00060D04" w:rsidRDefault="00000000">
      <w:pPr>
        <w:spacing w:after="0" w:line="240" w:lineRule="auto"/>
        <w:rPr>
          <w:sz w:val="18"/>
          <w:szCs w:val="18"/>
        </w:rPr>
      </w:pPr>
      <w:r>
        <w:rPr>
          <w:vertAlign w:val="superscript"/>
        </w:rPr>
        <w:footnoteRef/>
      </w:r>
      <w:r>
        <w:rPr>
          <w:sz w:val="20"/>
          <w:szCs w:val="20"/>
        </w:rPr>
        <w:t xml:space="preserve"> </w:t>
      </w:r>
      <w:r>
        <w:rPr>
          <w:sz w:val="20"/>
          <w:szCs w:val="20"/>
        </w:rPr>
        <w:tab/>
      </w:r>
      <w:r>
        <w:rPr>
          <w:sz w:val="18"/>
          <w:szCs w:val="18"/>
        </w:rPr>
        <w:t xml:space="preserve">Jaspreet Singh, “Instagram </w:t>
      </w:r>
      <w:proofErr w:type="spellStart"/>
      <w:r>
        <w:rPr>
          <w:sz w:val="18"/>
          <w:szCs w:val="18"/>
        </w:rPr>
        <w:t>apologises</w:t>
      </w:r>
      <w:proofErr w:type="spellEnd"/>
      <w:r>
        <w:rPr>
          <w:sz w:val="18"/>
          <w:szCs w:val="18"/>
        </w:rPr>
        <w:t xml:space="preserve"> for blocking #Sikh hashtag”, </w:t>
      </w:r>
      <w:r>
        <w:rPr>
          <w:i/>
          <w:iCs/>
          <w:sz w:val="18"/>
          <w:szCs w:val="18"/>
        </w:rPr>
        <w:t>BBC News</w:t>
      </w:r>
      <w:r>
        <w:rPr>
          <w:sz w:val="18"/>
          <w:szCs w:val="18"/>
        </w:rPr>
        <w:t xml:space="preserve"> (4 June 2020), online: </w:t>
      </w:r>
      <w:r>
        <w:rPr>
          <w:i/>
          <w:iCs/>
          <w:sz w:val="18"/>
          <w:szCs w:val="18"/>
        </w:rPr>
        <w:t>BBC News</w:t>
      </w:r>
      <w:r>
        <w:rPr>
          <w:sz w:val="18"/>
          <w:szCs w:val="18"/>
        </w:rPr>
        <w:t>.</w:t>
      </w:r>
    </w:p>
  </w:footnote>
  <w:footnote w:id="39">
    <w:p w14:paraId="1A427055" w14:textId="5057445E" w:rsidR="00D32961" w:rsidRPr="00496B3B" w:rsidRDefault="00D32961" w:rsidP="00D32961">
      <w:pPr>
        <w:pStyle w:val="FootnoteText"/>
        <w:rPr>
          <w:lang w:val="nl-NL"/>
        </w:rPr>
      </w:pPr>
      <w:r w:rsidRPr="00496B3B">
        <w:rPr>
          <w:rStyle w:val="FootnoteReference"/>
        </w:rPr>
        <w:footnoteRef/>
      </w:r>
      <w:r w:rsidRPr="00496B3B">
        <w:t xml:space="preserve"> </w:t>
      </w:r>
      <w:r w:rsidR="00031187">
        <w:tab/>
      </w:r>
      <w:r w:rsidRPr="00496B3B">
        <w:t xml:space="preserve">Sankalp </w:t>
      </w:r>
      <w:proofErr w:type="spellStart"/>
      <w:r w:rsidRPr="00496B3B">
        <w:t>Phartiyal</w:t>
      </w:r>
      <w:proofErr w:type="spellEnd"/>
      <w:r w:rsidRPr="00496B3B">
        <w:t xml:space="preserve">, ‘India asks Twitter to remove 1,178 accounts—government sources’, </w:t>
      </w:r>
      <w:r w:rsidRPr="00496B3B">
        <w:rPr>
          <w:rStyle w:val="Emphasis"/>
        </w:rPr>
        <w:t>Reuters</w:t>
      </w:r>
      <w:r w:rsidRPr="00496B3B">
        <w:t xml:space="preserve">, 8 February 2021, </w:t>
      </w:r>
      <w:hyperlink r:id="rId1" w:tgtFrame="_new" w:history="1">
        <w:r w:rsidRPr="00496B3B">
          <w:rPr>
            <w:rStyle w:val="Hyperlink"/>
          </w:rPr>
          <w:t>https://www.reuters.com/world/india/india-asks-twitter-remove-1178-accounts-govt-sources-2021-02-08/</w:t>
        </w:r>
      </w:hyperlink>
    </w:p>
  </w:footnote>
  <w:footnote w:id="40">
    <w:p w14:paraId="01DC3976" w14:textId="5CBDF1D8" w:rsidR="00D32961" w:rsidRPr="0062025A" w:rsidRDefault="00D32961" w:rsidP="00D32961">
      <w:pPr>
        <w:pStyle w:val="FootnoteText"/>
        <w:rPr>
          <w:lang w:val="nl-NL"/>
        </w:rPr>
      </w:pPr>
      <w:r w:rsidRPr="00496B3B">
        <w:rPr>
          <w:rStyle w:val="FootnoteReference"/>
        </w:rPr>
        <w:footnoteRef/>
      </w:r>
      <w:r w:rsidRPr="00496B3B">
        <w:t xml:space="preserve"> </w:t>
      </w:r>
      <w:r w:rsidR="00031187">
        <w:tab/>
      </w:r>
      <w:r w:rsidRPr="00496B3B">
        <w:t xml:space="preserve">Shivam Patel, ‘X takes down accounts that media say are linked to India farmers protests’, </w:t>
      </w:r>
      <w:r w:rsidRPr="00496B3B">
        <w:rPr>
          <w:rStyle w:val="Emphasis"/>
        </w:rPr>
        <w:t>Reuters</w:t>
      </w:r>
      <w:r w:rsidRPr="00496B3B">
        <w:t xml:space="preserve">, 22 February 2024, </w:t>
      </w:r>
      <w:hyperlink r:id="rId2" w:tgtFrame="_new" w:history="1">
        <w:r w:rsidRPr="00496B3B">
          <w:rPr>
            <w:rStyle w:val="Hyperlink"/>
          </w:rPr>
          <w:t>https://www.reuters.com/world/india/x-says-indias-demand-block-accounts-curtails-freedom-expression-2024-02-22/</w:t>
        </w:r>
      </w:hyperlink>
    </w:p>
  </w:footnote>
  <w:footnote w:id="41">
    <w:p w14:paraId="6BC51C55" w14:textId="77777777" w:rsidR="00060D04" w:rsidRDefault="00000000">
      <w:pPr>
        <w:spacing w:after="0" w:line="240" w:lineRule="auto"/>
        <w:rPr>
          <w:sz w:val="18"/>
          <w:szCs w:val="18"/>
        </w:rPr>
      </w:pPr>
      <w:r>
        <w:rPr>
          <w:vertAlign w:val="superscript"/>
        </w:rPr>
        <w:footnoteRef/>
      </w:r>
      <w:r>
        <w:rPr>
          <w:sz w:val="20"/>
          <w:szCs w:val="20"/>
        </w:rPr>
        <w:t xml:space="preserve"> </w:t>
      </w:r>
      <w:r>
        <w:rPr>
          <w:sz w:val="20"/>
          <w:szCs w:val="20"/>
        </w:rPr>
        <w:tab/>
      </w:r>
      <w:r>
        <w:rPr>
          <w:sz w:val="18"/>
          <w:szCs w:val="18"/>
        </w:rPr>
        <w:t xml:space="preserve">Public Inquiry into Foreign Interference in Federal Electoral Processes and Democratic Institutions, </w:t>
      </w:r>
      <w:r>
        <w:rPr>
          <w:i/>
          <w:iCs/>
          <w:sz w:val="18"/>
          <w:szCs w:val="18"/>
        </w:rPr>
        <w:t>supra note 30</w:t>
      </w:r>
    </w:p>
  </w:footnote>
  <w:footnote w:id="42">
    <w:p w14:paraId="6BC51C56" w14:textId="77777777" w:rsidR="00060D04" w:rsidRDefault="00000000">
      <w:pPr>
        <w:spacing w:after="0" w:line="240" w:lineRule="auto"/>
        <w:rPr>
          <w:sz w:val="18"/>
          <w:szCs w:val="18"/>
        </w:rPr>
      </w:pPr>
      <w:r>
        <w:rPr>
          <w:vertAlign w:val="superscript"/>
        </w:rPr>
        <w:footnoteRef/>
      </w:r>
      <w:r>
        <w:rPr>
          <w:sz w:val="20"/>
          <w:szCs w:val="20"/>
        </w:rPr>
        <w:t xml:space="preserve"> </w:t>
      </w:r>
      <w:r>
        <w:rPr>
          <w:sz w:val="20"/>
          <w:szCs w:val="20"/>
        </w:rPr>
        <w:tab/>
      </w:r>
      <w:proofErr w:type="spellStart"/>
      <w:r>
        <w:rPr>
          <w:sz w:val="18"/>
          <w:szCs w:val="18"/>
        </w:rPr>
        <w:t>Ensaaf</w:t>
      </w:r>
      <w:proofErr w:type="spellEnd"/>
      <w:r>
        <w:rPr>
          <w:sz w:val="18"/>
          <w:szCs w:val="18"/>
        </w:rPr>
        <w:t xml:space="preserve"> &amp; Human Rights Watch, </w:t>
      </w:r>
      <w:r>
        <w:rPr>
          <w:i/>
          <w:iCs/>
          <w:sz w:val="18"/>
          <w:szCs w:val="18"/>
        </w:rPr>
        <w:t>Protecting the Killers: A Policy of Impunity in Punjab, India</w:t>
      </w:r>
      <w:r>
        <w:rPr>
          <w:sz w:val="18"/>
          <w:szCs w:val="18"/>
        </w:rPr>
        <w:t xml:space="preserve"> (New York: Human Rights Watch, 2007).</w:t>
      </w:r>
    </w:p>
  </w:footnote>
  <w:footnote w:id="43">
    <w:p w14:paraId="6BC51C57" w14:textId="77777777" w:rsidR="00060D04" w:rsidRDefault="00000000">
      <w:pPr>
        <w:spacing w:after="0" w:line="240" w:lineRule="auto"/>
        <w:rPr>
          <w:sz w:val="18"/>
          <w:szCs w:val="18"/>
        </w:rPr>
      </w:pPr>
      <w:r>
        <w:rPr>
          <w:vertAlign w:val="superscript"/>
        </w:rPr>
        <w:footnoteRef/>
      </w:r>
      <w:r>
        <w:rPr>
          <w:sz w:val="20"/>
          <w:szCs w:val="20"/>
        </w:rPr>
        <w:t xml:space="preserve"> </w:t>
      </w:r>
      <w:r>
        <w:rPr>
          <w:sz w:val="20"/>
          <w:szCs w:val="20"/>
        </w:rPr>
        <w:tab/>
      </w:r>
      <w:proofErr w:type="spellStart"/>
      <w:r>
        <w:rPr>
          <w:sz w:val="18"/>
          <w:szCs w:val="18"/>
        </w:rPr>
        <w:t>Ensaaf</w:t>
      </w:r>
      <w:proofErr w:type="spellEnd"/>
      <w:r>
        <w:rPr>
          <w:sz w:val="18"/>
          <w:szCs w:val="18"/>
        </w:rPr>
        <w:t xml:space="preserve">, “Sumedh Singh Saini”, online: </w:t>
      </w:r>
      <w:proofErr w:type="spellStart"/>
      <w:r>
        <w:rPr>
          <w:sz w:val="18"/>
          <w:szCs w:val="18"/>
        </w:rPr>
        <w:t>Ensaaf</w:t>
      </w:r>
      <w:proofErr w:type="spellEnd"/>
      <w:r>
        <w:rPr>
          <w:sz w:val="18"/>
          <w:szCs w:val="18"/>
        </w:rPr>
        <w:t xml:space="preserve"> Data.</w:t>
      </w:r>
    </w:p>
  </w:footnote>
  <w:footnote w:id="44">
    <w:p w14:paraId="6BC51C58" w14:textId="77777777" w:rsidR="00060D04" w:rsidRDefault="00000000">
      <w:pPr>
        <w:spacing w:after="0" w:line="240" w:lineRule="auto"/>
        <w:rPr>
          <w:sz w:val="18"/>
          <w:szCs w:val="18"/>
        </w:rPr>
      </w:pPr>
      <w:r>
        <w:rPr>
          <w:vertAlign w:val="superscript"/>
        </w:rPr>
        <w:footnoteRef/>
      </w:r>
      <w:r>
        <w:rPr>
          <w:sz w:val="20"/>
          <w:szCs w:val="20"/>
        </w:rPr>
        <w:t xml:space="preserve"> </w:t>
      </w:r>
      <w:r>
        <w:rPr>
          <w:sz w:val="20"/>
          <w:szCs w:val="20"/>
        </w:rPr>
        <w:tab/>
      </w:r>
      <w:proofErr w:type="spellStart"/>
      <w:r>
        <w:rPr>
          <w:sz w:val="18"/>
          <w:szCs w:val="18"/>
        </w:rPr>
        <w:t>Ensaaf</w:t>
      </w:r>
      <w:proofErr w:type="spellEnd"/>
      <w:r>
        <w:rPr>
          <w:sz w:val="18"/>
          <w:szCs w:val="18"/>
        </w:rPr>
        <w:t xml:space="preserve">, “Ajit Singh Sandhu”, online: </w:t>
      </w:r>
      <w:proofErr w:type="spellStart"/>
      <w:r>
        <w:rPr>
          <w:sz w:val="18"/>
          <w:szCs w:val="18"/>
        </w:rPr>
        <w:t>Ensaaf</w:t>
      </w:r>
      <w:proofErr w:type="spellEnd"/>
      <w:r>
        <w:rPr>
          <w:sz w:val="18"/>
          <w:szCs w:val="18"/>
        </w:rPr>
        <w:t xml:space="preserve"> Data.</w:t>
      </w:r>
    </w:p>
  </w:footnote>
  <w:footnote w:id="45">
    <w:p w14:paraId="6BC51C59" w14:textId="77777777" w:rsidR="00060D04" w:rsidRDefault="00000000">
      <w:pPr>
        <w:spacing w:after="0" w:line="240" w:lineRule="auto"/>
        <w:rPr>
          <w:sz w:val="18"/>
          <w:szCs w:val="18"/>
        </w:rPr>
      </w:pPr>
      <w:r>
        <w:rPr>
          <w:vertAlign w:val="superscript"/>
        </w:rPr>
        <w:footnoteRef/>
      </w:r>
      <w:r>
        <w:rPr>
          <w:sz w:val="20"/>
          <w:szCs w:val="20"/>
        </w:rPr>
        <w:t xml:space="preserve"> </w:t>
      </w:r>
      <w:r>
        <w:rPr>
          <w:sz w:val="20"/>
          <w:szCs w:val="20"/>
        </w:rPr>
        <w:tab/>
      </w:r>
      <w:r>
        <w:rPr>
          <w:sz w:val="18"/>
          <w:szCs w:val="18"/>
        </w:rPr>
        <w:t xml:space="preserve">REDRESS, </w:t>
      </w:r>
      <w:r>
        <w:rPr>
          <w:i/>
          <w:iCs/>
          <w:sz w:val="18"/>
          <w:szCs w:val="18"/>
        </w:rPr>
        <w:t>supra note 5</w:t>
      </w:r>
    </w:p>
  </w:footnote>
  <w:footnote w:id="46">
    <w:p w14:paraId="6BC51C5A" w14:textId="77777777" w:rsidR="00060D04" w:rsidRDefault="00000000">
      <w:pPr>
        <w:spacing w:after="0" w:line="240" w:lineRule="auto"/>
        <w:rPr>
          <w:sz w:val="18"/>
          <w:szCs w:val="18"/>
        </w:rPr>
      </w:pPr>
      <w:r>
        <w:rPr>
          <w:vertAlign w:val="superscript"/>
        </w:rPr>
        <w:footnoteRef/>
      </w:r>
      <w:r>
        <w:rPr>
          <w:sz w:val="20"/>
          <w:szCs w:val="20"/>
        </w:rPr>
        <w:t xml:space="preserve"> </w:t>
      </w:r>
      <w:r>
        <w:rPr>
          <w:sz w:val="20"/>
          <w:szCs w:val="20"/>
        </w:rPr>
        <w:tab/>
      </w:r>
      <w:r>
        <w:rPr>
          <w:sz w:val="18"/>
          <w:szCs w:val="18"/>
        </w:rPr>
        <w:t>Bharatiya Nagarik Suraksha Sanhita, 2023, s 218.</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CC4A67"/>
    <w:multiLevelType w:val="multilevel"/>
    <w:tmpl w:val="26FAB1E8"/>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1" w15:restartNumberingAfterBreak="0">
    <w:nsid w:val="4B54226B"/>
    <w:multiLevelType w:val="hybridMultilevel"/>
    <w:tmpl w:val="E36074F8"/>
    <w:lvl w:ilvl="0" w:tplc="59243C98">
      <w:start w:val="3"/>
      <w:numFmt w:val="bullet"/>
      <w:lvlText w:val="-"/>
      <w:lvlJc w:val="left"/>
      <w:pPr>
        <w:ind w:left="1080" w:hanging="360"/>
      </w:pPr>
      <w:rPr>
        <w:rFonts w:ascii="Times New Roman" w:eastAsia="Times New Roman" w:hAnsi="Times New Roman" w:cs="Times New Roman"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16cid:durableId="469786073">
    <w:abstractNumId w:val="0"/>
  </w:num>
  <w:num w:numId="2" w16cid:durableId="66389806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embedTrueTypeFonts/>
  <w:proofState w:spelling="clean" w:grammar="clean"/>
  <w:trackRevision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60D04"/>
    <w:rsid w:val="000050C1"/>
    <w:rsid w:val="00031187"/>
    <w:rsid w:val="00060D04"/>
    <w:rsid w:val="000B6D15"/>
    <w:rsid w:val="000C20D6"/>
    <w:rsid w:val="001261F5"/>
    <w:rsid w:val="001326BC"/>
    <w:rsid w:val="00136853"/>
    <w:rsid w:val="001F1245"/>
    <w:rsid w:val="00223650"/>
    <w:rsid w:val="002425AC"/>
    <w:rsid w:val="002A624D"/>
    <w:rsid w:val="002C613A"/>
    <w:rsid w:val="00311A78"/>
    <w:rsid w:val="00313ADB"/>
    <w:rsid w:val="00333484"/>
    <w:rsid w:val="0037284B"/>
    <w:rsid w:val="003D46EE"/>
    <w:rsid w:val="003D59C7"/>
    <w:rsid w:val="003E3AF7"/>
    <w:rsid w:val="0040768B"/>
    <w:rsid w:val="004156B5"/>
    <w:rsid w:val="00423171"/>
    <w:rsid w:val="0044090E"/>
    <w:rsid w:val="00483D55"/>
    <w:rsid w:val="00496B3B"/>
    <w:rsid w:val="004B26F2"/>
    <w:rsid w:val="004C487F"/>
    <w:rsid w:val="00515552"/>
    <w:rsid w:val="00516F57"/>
    <w:rsid w:val="005323BE"/>
    <w:rsid w:val="00560032"/>
    <w:rsid w:val="00565873"/>
    <w:rsid w:val="0058315E"/>
    <w:rsid w:val="00593B55"/>
    <w:rsid w:val="00594BA1"/>
    <w:rsid w:val="005A541C"/>
    <w:rsid w:val="005F29C4"/>
    <w:rsid w:val="006A0316"/>
    <w:rsid w:val="006B65FB"/>
    <w:rsid w:val="006C14F1"/>
    <w:rsid w:val="006F77A7"/>
    <w:rsid w:val="006F7EB0"/>
    <w:rsid w:val="00726781"/>
    <w:rsid w:val="007276F6"/>
    <w:rsid w:val="007377BF"/>
    <w:rsid w:val="00746797"/>
    <w:rsid w:val="00763793"/>
    <w:rsid w:val="00774312"/>
    <w:rsid w:val="007B2436"/>
    <w:rsid w:val="007F2A39"/>
    <w:rsid w:val="00827939"/>
    <w:rsid w:val="00857A2A"/>
    <w:rsid w:val="00882462"/>
    <w:rsid w:val="008A205F"/>
    <w:rsid w:val="009907C1"/>
    <w:rsid w:val="009C43AD"/>
    <w:rsid w:val="009E4B8C"/>
    <w:rsid w:val="00A1064E"/>
    <w:rsid w:val="00A23DA5"/>
    <w:rsid w:val="00A52C49"/>
    <w:rsid w:val="00A73894"/>
    <w:rsid w:val="00AB1A94"/>
    <w:rsid w:val="00AD19B9"/>
    <w:rsid w:val="00AD1D38"/>
    <w:rsid w:val="00AF2A07"/>
    <w:rsid w:val="00B039AE"/>
    <w:rsid w:val="00B07E96"/>
    <w:rsid w:val="00B204F0"/>
    <w:rsid w:val="00B311F3"/>
    <w:rsid w:val="00B8376A"/>
    <w:rsid w:val="00B90271"/>
    <w:rsid w:val="00BA4EE1"/>
    <w:rsid w:val="00BC00B5"/>
    <w:rsid w:val="00C161F2"/>
    <w:rsid w:val="00C53F04"/>
    <w:rsid w:val="00C54773"/>
    <w:rsid w:val="00C73E22"/>
    <w:rsid w:val="00C763D6"/>
    <w:rsid w:val="00C946F7"/>
    <w:rsid w:val="00C9628A"/>
    <w:rsid w:val="00CA78AA"/>
    <w:rsid w:val="00CD089B"/>
    <w:rsid w:val="00CD2627"/>
    <w:rsid w:val="00D203E9"/>
    <w:rsid w:val="00D32961"/>
    <w:rsid w:val="00D6066A"/>
    <w:rsid w:val="00DD6E1C"/>
    <w:rsid w:val="00E03540"/>
    <w:rsid w:val="00E11DC3"/>
    <w:rsid w:val="00F45017"/>
    <w:rsid w:val="00F66CFE"/>
    <w:rsid w:val="00F93890"/>
    <w:rsid w:val="00FC3C8E"/>
    <w:rsid w:val="00FE7609"/>
  </w:rsids>
  <m:mathPr>
    <m:mathFont m:val="Cambria Math"/>
    <m:brkBin m:val="before"/>
    <m:brkBinSub m:val="--"/>
    <m:smallFrac m:val="0"/>
    <m:dispDef/>
    <m:lMargin m:val="0"/>
    <m:rMargin m:val="0"/>
    <m:defJc m:val="centerGroup"/>
    <m:wrapIndent m:val="1440"/>
    <m:intLim m:val="subSup"/>
    <m:naryLim m:val="undOvr"/>
  </m:mathPr>
  <w:themeFontLang w:val="en-GB" w:bidi="pa-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C51BE6"/>
  <w15:docId w15:val="{C715616A-AF61-4FB5-9108-7C00A3E9DE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2"/>
        <w:szCs w:val="22"/>
        <w:lang w:val="en" w:eastAsia="en-GB" w:bidi="ar-SA"/>
      </w:rPr>
    </w:rPrDefault>
    <w:pPrDefault>
      <w:pPr>
        <w:spacing w:after="12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0"/>
      <w:outlineLvl w:val="0"/>
    </w:pPr>
    <w:rPr>
      <w:b/>
      <w:bCs/>
      <w:color w:val="366091"/>
      <w:sz w:val="28"/>
      <w:szCs w:val="28"/>
    </w:rPr>
  </w:style>
  <w:style w:type="paragraph" w:styleId="Heading2">
    <w:name w:val="heading 2"/>
    <w:basedOn w:val="Normal"/>
    <w:next w:val="Normal"/>
    <w:uiPriority w:val="9"/>
    <w:unhideWhenUsed/>
    <w:qFormat/>
    <w:pPr>
      <w:keepNext/>
      <w:keepLines/>
      <w:spacing w:before="200" w:after="0"/>
      <w:outlineLvl w:val="1"/>
    </w:pPr>
    <w:rPr>
      <w:b/>
      <w:bCs/>
      <w:color w:val="4F81BD"/>
      <w:sz w:val="24"/>
      <w:szCs w:val="24"/>
    </w:rPr>
  </w:style>
  <w:style w:type="paragraph" w:styleId="Heading3">
    <w:name w:val="heading 3"/>
    <w:basedOn w:val="Normal"/>
    <w:next w:val="Normal"/>
    <w:uiPriority w:val="9"/>
    <w:semiHidden/>
    <w:unhideWhenUsed/>
    <w:qFormat/>
    <w:pPr>
      <w:keepNext/>
      <w:keepLines/>
      <w:spacing w:before="200" w:after="0"/>
      <w:outlineLvl w:val="2"/>
    </w:pPr>
    <w:rPr>
      <w:b/>
      <w:bCs/>
      <w:color w:val="4F81BD"/>
    </w:rPr>
  </w:style>
  <w:style w:type="paragraph" w:styleId="Heading4">
    <w:name w:val="heading 4"/>
    <w:basedOn w:val="Normal"/>
    <w:next w:val="Normal"/>
    <w:uiPriority w:val="9"/>
    <w:semiHidden/>
    <w:unhideWhenUsed/>
    <w:qFormat/>
    <w:pPr>
      <w:keepNext/>
      <w:keepLines/>
      <w:spacing w:before="200" w:after="0"/>
      <w:outlineLvl w:val="3"/>
    </w:pPr>
    <w:rPr>
      <w:rFonts w:ascii="Calibri" w:eastAsia="Calibri" w:hAnsi="Calibri" w:cs="Calibri"/>
      <w:b/>
      <w:bCs/>
      <w:i/>
      <w:iCs/>
      <w:color w:val="4F81BD"/>
    </w:rPr>
  </w:style>
  <w:style w:type="paragraph" w:styleId="Heading5">
    <w:name w:val="heading 5"/>
    <w:basedOn w:val="Normal"/>
    <w:next w:val="Normal"/>
    <w:uiPriority w:val="9"/>
    <w:semiHidden/>
    <w:unhideWhenUsed/>
    <w:qFormat/>
    <w:pPr>
      <w:keepNext/>
      <w:keepLines/>
      <w:spacing w:before="200" w:after="0"/>
      <w:outlineLvl w:val="4"/>
    </w:pPr>
    <w:rPr>
      <w:rFonts w:ascii="Calibri" w:eastAsia="Calibri" w:hAnsi="Calibri" w:cs="Calibri"/>
      <w:color w:val="243F61"/>
    </w:rPr>
  </w:style>
  <w:style w:type="paragraph" w:styleId="Heading6">
    <w:name w:val="heading 6"/>
    <w:basedOn w:val="Normal"/>
    <w:next w:val="Normal"/>
    <w:uiPriority w:val="9"/>
    <w:semiHidden/>
    <w:unhideWhenUsed/>
    <w:qFormat/>
    <w:pPr>
      <w:keepNext/>
      <w:keepLines/>
      <w:spacing w:before="200" w:after="0"/>
      <w:outlineLvl w:val="5"/>
    </w:pPr>
    <w:rPr>
      <w:rFonts w:ascii="Calibri" w:eastAsia="Calibri" w:hAnsi="Calibri" w:cs="Calibri"/>
      <w:i/>
      <w:iCs/>
      <w:color w:val="243F6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pBdr>
        <w:bottom w:val="single" w:sz="8" w:space="4" w:color="4F81BD"/>
      </w:pBdr>
      <w:spacing w:after="300" w:line="240" w:lineRule="auto"/>
    </w:pPr>
    <w:rPr>
      <w:color w:val="17365D"/>
      <w:sz w:val="52"/>
      <w:szCs w:val="52"/>
    </w:rPr>
  </w:style>
  <w:style w:type="paragraph" w:styleId="Subtitle">
    <w:name w:val="Subtitle"/>
    <w:basedOn w:val="Normal"/>
    <w:next w:val="Normal"/>
    <w:uiPriority w:val="11"/>
    <w:qFormat/>
    <w:rPr>
      <w:rFonts w:ascii="Calibri" w:eastAsia="Calibri" w:hAnsi="Calibri" w:cs="Calibri"/>
      <w:i/>
      <w:iCs/>
      <w:color w:val="4F81BD"/>
      <w:sz w:val="24"/>
      <w:szCs w:val="24"/>
    </w:rPr>
  </w:style>
  <w:style w:type="paragraph" w:styleId="ListParagraph">
    <w:name w:val="List Paragraph"/>
    <w:basedOn w:val="Normal"/>
    <w:uiPriority w:val="34"/>
    <w:qFormat/>
    <w:rsid w:val="00C54773"/>
    <w:pPr>
      <w:ind w:left="720"/>
      <w:contextualSpacing/>
    </w:pPr>
  </w:style>
  <w:style w:type="paragraph" w:styleId="Revision">
    <w:name w:val="Revision"/>
    <w:hidden/>
    <w:uiPriority w:val="99"/>
    <w:semiHidden/>
    <w:rsid w:val="00515552"/>
    <w:pPr>
      <w:spacing w:after="0" w:line="240" w:lineRule="auto"/>
    </w:pPr>
  </w:style>
  <w:style w:type="character" w:styleId="CommentReference">
    <w:name w:val="annotation reference"/>
    <w:basedOn w:val="DefaultParagraphFont"/>
    <w:uiPriority w:val="99"/>
    <w:semiHidden/>
    <w:unhideWhenUsed/>
    <w:rsid w:val="001326BC"/>
    <w:rPr>
      <w:sz w:val="16"/>
      <w:szCs w:val="16"/>
    </w:rPr>
  </w:style>
  <w:style w:type="paragraph" w:styleId="CommentText">
    <w:name w:val="annotation text"/>
    <w:basedOn w:val="Normal"/>
    <w:link w:val="CommentTextChar"/>
    <w:uiPriority w:val="99"/>
    <w:unhideWhenUsed/>
    <w:rsid w:val="001326BC"/>
    <w:pPr>
      <w:spacing w:line="240" w:lineRule="auto"/>
    </w:pPr>
    <w:rPr>
      <w:sz w:val="20"/>
      <w:szCs w:val="20"/>
    </w:rPr>
  </w:style>
  <w:style w:type="character" w:customStyle="1" w:styleId="CommentTextChar">
    <w:name w:val="Comment Text Char"/>
    <w:basedOn w:val="DefaultParagraphFont"/>
    <w:link w:val="CommentText"/>
    <w:uiPriority w:val="99"/>
    <w:rsid w:val="001326BC"/>
    <w:rPr>
      <w:sz w:val="20"/>
      <w:szCs w:val="20"/>
    </w:rPr>
  </w:style>
  <w:style w:type="paragraph" w:styleId="CommentSubject">
    <w:name w:val="annotation subject"/>
    <w:basedOn w:val="CommentText"/>
    <w:next w:val="CommentText"/>
    <w:link w:val="CommentSubjectChar"/>
    <w:uiPriority w:val="99"/>
    <w:semiHidden/>
    <w:unhideWhenUsed/>
    <w:rsid w:val="001326BC"/>
    <w:rPr>
      <w:b/>
      <w:bCs/>
    </w:rPr>
  </w:style>
  <w:style w:type="character" w:customStyle="1" w:styleId="CommentSubjectChar">
    <w:name w:val="Comment Subject Char"/>
    <w:basedOn w:val="CommentTextChar"/>
    <w:link w:val="CommentSubject"/>
    <w:uiPriority w:val="99"/>
    <w:semiHidden/>
    <w:rsid w:val="001326BC"/>
    <w:rPr>
      <w:b/>
      <w:bCs/>
      <w:sz w:val="20"/>
      <w:szCs w:val="20"/>
    </w:rPr>
  </w:style>
  <w:style w:type="paragraph" w:styleId="FootnoteText">
    <w:name w:val="footnote text"/>
    <w:basedOn w:val="Normal"/>
    <w:link w:val="FootnoteTextChar"/>
    <w:uiPriority w:val="99"/>
    <w:semiHidden/>
    <w:unhideWhenUsed/>
    <w:rsid w:val="001F1245"/>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1F1245"/>
    <w:rPr>
      <w:sz w:val="20"/>
      <w:szCs w:val="20"/>
    </w:rPr>
  </w:style>
  <w:style w:type="character" w:styleId="FootnoteReference">
    <w:name w:val="footnote reference"/>
    <w:basedOn w:val="DefaultParagraphFont"/>
    <w:uiPriority w:val="99"/>
    <w:semiHidden/>
    <w:unhideWhenUsed/>
    <w:rsid w:val="001F1245"/>
    <w:rPr>
      <w:vertAlign w:val="superscript"/>
    </w:rPr>
  </w:style>
  <w:style w:type="character" w:styleId="Emphasis">
    <w:name w:val="Emphasis"/>
    <w:basedOn w:val="DefaultParagraphFont"/>
    <w:uiPriority w:val="20"/>
    <w:qFormat/>
    <w:rsid w:val="00D32961"/>
    <w:rPr>
      <w:i/>
      <w:iCs/>
    </w:rPr>
  </w:style>
  <w:style w:type="character" w:styleId="Hyperlink">
    <w:name w:val="Hyperlink"/>
    <w:basedOn w:val="DefaultParagraphFont"/>
    <w:uiPriority w:val="99"/>
    <w:semiHidden/>
    <w:unhideWhenUsed/>
    <w:rsid w:val="00D32961"/>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13" Type="http://schemas.openxmlformats.org/officeDocument/2006/relationships/font" Target="fonts/font13.odttf"/><Relationship Id="rId3" Type="http://schemas.openxmlformats.org/officeDocument/2006/relationships/font" Target="fonts/font3.odttf"/><Relationship Id="rId7" Type="http://schemas.openxmlformats.org/officeDocument/2006/relationships/font" Target="fonts/font7.odttf"/><Relationship Id="rId12" Type="http://schemas.openxmlformats.org/officeDocument/2006/relationships/font" Target="fonts/font12.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s>
</file>

<file path=word/_rels/footnotes.xml.rels><?xml version="1.0" encoding="UTF-8" standalone="yes"?>
<Relationships xmlns="http://schemas.openxmlformats.org/package/2006/relationships"><Relationship Id="rId2" Type="http://schemas.openxmlformats.org/officeDocument/2006/relationships/hyperlink" Target="https://www.reuters.com/world/india/x-says-indias-demand-block-accounts-curtails-freedom-expression-2024-02-22/?utm_source=chatgpt.com" TargetMode="External"/><Relationship Id="rId1" Type="http://schemas.openxmlformats.org/officeDocument/2006/relationships/hyperlink" Target="https://www.reuters.com/world/india/india-asks-twitter-remove-1178-accounts-govt-sources-2021-02-08/?utm_source=chatg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TotalTime>
  <Pages>13</Pages>
  <Words>5483</Words>
  <Characters>32026</Characters>
  <Application>Microsoft Office Word</Application>
  <DocSecurity>0</DocSecurity>
  <Lines>400</Lines>
  <Paragraphs>80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37429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Prabjot Singh</cp:lastModifiedBy>
  <cp:revision>2</cp:revision>
  <dcterms:created xsi:type="dcterms:W3CDTF">2026-07-20T00:51:00Z</dcterms:created>
  <dcterms:modified xsi:type="dcterms:W3CDTF">2026-07-20T00:51:00Z</dcterms:modified>
</cp:coreProperties>
</file>