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pBdr>
          <w:top w:color="auto" w:space="0" w:sz="0" w:val="none"/>
          <w:left w:color="auto" w:space="0" w:sz="0" w:val="none"/>
          <w:bottom w:color="auto" w:space="6" w:sz="0" w:val="none"/>
          <w:right w:color="auto" w:space="0" w:sz="0" w:val="none"/>
        </w:pBdr>
        <w:shd w:fill="ffffff" w:val="clear"/>
        <w:spacing w:after="0" w:line="331.2" w:lineRule="auto"/>
        <w:jc w:val="both"/>
        <w:rPr/>
      </w:pPr>
      <w:bookmarkStart w:colFirst="0" w:colLast="0" w:name="_1j99gbck9rh" w:id="0"/>
      <w:bookmarkEnd w:id="0"/>
      <w:r w:rsidDel="00000000" w:rsidR="00000000" w:rsidRPr="00000000">
        <w:rPr>
          <w:rtl w:val="0"/>
        </w:rPr>
      </w:r>
    </w:p>
    <w:p w:rsidR="00000000" w:rsidDel="00000000" w:rsidP="00000000" w:rsidRDefault="00000000" w:rsidRPr="00000000" w14:paraId="00000002">
      <w:pPr>
        <w:pStyle w:val="Heading2"/>
        <w:keepNext w:val="0"/>
        <w:keepLines w:val="0"/>
        <w:pBdr>
          <w:top w:color="auto" w:space="0" w:sz="0" w:val="none"/>
          <w:left w:color="auto" w:space="0" w:sz="0" w:val="none"/>
          <w:bottom w:color="auto" w:space="6" w:sz="0" w:val="none"/>
          <w:right w:color="auto" w:space="0" w:sz="0" w:val="none"/>
        </w:pBdr>
        <w:shd w:fill="ffffff" w:val="clear"/>
        <w:spacing w:after="0" w:line="331.2" w:lineRule="auto"/>
        <w:jc w:val="both"/>
        <w:rPr/>
      </w:pPr>
      <w:bookmarkStart w:colFirst="0" w:colLast="0" w:name="_5pw23bg4mw1x" w:id="1"/>
      <w:bookmarkEnd w:id="1"/>
      <w:r w:rsidDel="00000000" w:rsidR="00000000" w:rsidRPr="00000000">
        <w:rPr>
          <w:rtl w:val="0"/>
        </w:rPr>
        <w:t xml:space="preserve">Chilling Public Dissent of Black, Indigenous, and Latinx Protestors | Arts. 2, 3, &amp; 5(d) </w:t>
      </w:r>
    </w:p>
    <w:p w:rsidR="00000000" w:rsidDel="00000000" w:rsidP="00000000" w:rsidRDefault="00000000" w:rsidRPr="00000000" w14:paraId="00000003">
      <w:pPr>
        <w:jc w:val="both"/>
        <w:rPr/>
      </w:pPr>
      <w:r w:rsidDel="00000000" w:rsidR="00000000" w:rsidRPr="00000000">
        <w:rPr>
          <w:rtl w:val="0"/>
        </w:rPr>
        <w:t xml:space="preserve">A history of slavery, segregation and race-based violence forms the basis on which racial minorities in Florida within and across racial groups have expressed political dissent through public demonstrations and organizing for </w:t>
      </w:r>
      <w:r w:rsidDel="00000000" w:rsidR="00000000" w:rsidRPr="00000000">
        <w:rPr>
          <w:rtl w:val="0"/>
        </w:rPr>
        <w:t xml:space="preserve">over 170 years</w:t>
      </w:r>
      <w:r w:rsidDel="00000000" w:rsidR="00000000" w:rsidRPr="00000000">
        <w:rPr>
          <w:rtl w:val="0"/>
        </w:rPr>
        <w:t xml:space="preserve">. However, the state has enacted legislation that disproportionately impacts the rights of people who have been among the most vocal in standing up against systemic racial discrimination. </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In 2021, Florida Governor Ron DeSantis signed the Combating Public Disorder Act (HB1) into law.</w:t>
      </w:r>
      <w:r w:rsidDel="00000000" w:rsidR="00000000" w:rsidRPr="00000000">
        <w:rPr>
          <w:vertAlign w:val="superscript"/>
        </w:rPr>
        <w:footnoteReference w:customMarkFollows="0" w:id="0"/>
      </w:r>
      <w:r w:rsidDel="00000000" w:rsidR="00000000" w:rsidRPr="00000000">
        <w:rPr>
          <w:rtl w:val="0"/>
        </w:rPr>
        <w:t xml:space="preserve"> Immediately upon its signing, it had the </w:t>
      </w:r>
      <w:r w:rsidDel="00000000" w:rsidR="00000000" w:rsidRPr="00000000">
        <w:rPr>
          <w:rtl w:val="0"/>
        </w:rPr>
        <w:t xml:space="preserve">express</w:t>
      </w:r>
      <w:r w:rsidDel="00000000" w:rsidR="00000000" w:rsidRPr="00000000">
        <w:rPr>
          <w:rtl w:val="0"/>
        </w:rPr>
        <w:t xml:space="preserve"> impact of limiting the right to non-violent protest, authorizing private use of force against protestors, and criminalizing constitutionally protected conduct. In 2021, The Black Collective and Dream Defenders, Black-led groups organizing for social justice, led a coalition of groups who filed a lawsuit against Florida Governor Ron DeSantis, Florida Attorney General Ashley Moody, and multiple Florida sheriffs in an effort to fight for their constitutionally protected right to protest and assembly.</w:t>
      </w:r>
      <w:r w:rsidDel="00000000" w:rsidR="00000000" w:rsidRPr="00000000">
        <w:rPr>
          <w:vertAlign w:val="superscript"/>
        </w:rPr>
        <w:footnoteReference w:customMarkFollows="0" w:id="1"/>
      </w:r>
      <w:r w:rsidDel="00000000" w:rsidR="00000000" w:rsidRPr="00000000">
        <w:rPr>
          <w:rtl w:val="0"/>
        </w:rPr>
        <w:t xml:space="preserve"> This law, like other such laws suppressing different forms of assembly and association across the country, directly contravenes provisions of the International Convention on the Elimination of Racial Discrimination, namely  Article 2’s prohibition on racial discrimination, Article 5’s “guarantee [of] the right of everyone, without distinction as to race, colour, or national or ethnic origin, to equality before the law, notably in the enjoyment of … (d)(ix) [t]he right to freedom of peaceful assembly and association,” and Article 3’s admonition to “undertake to prevent, prohibit and eradicate all practices of this nature in territories under their jurisdiction.”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In a context of growing scrutiny of law enforcement’s record of violence and disproportionate force against Black and Brown populations, this legislation has the compound impact of chilling efforts to plan and organize public demonstrations before they occur. This chilling effect comes out of fear of both the consequences of being charged with a crime, and the consequences of having a criminal record in Florida. In the state of Florida, having a criminal record makes it harder to find employment, renders a person potentially ineligible for certain public benefits like public housing, and strips an individual of their ability to participate in the political process through voting. This reality places a burden on entities like The Black Collective and </w:t>
      </w:r>
      <w:r w:rsidDel="00000000" w:rsidR="00000000" w:rsidRPr="00000000">
        <w:rPr>
          <w:rtl w:val="0"/>
        </w:rPr>
        <w:t xml:space="preserve">Dream D</w:t>
      </w:r>
      <w:r w:rsidDel="00000000" w:rsidR="00000000" w:rsidRPr="00000000">
        <w:rPr>
          <w:rtl w:val="0"/>
        </w:rPr>
        <w:t xml:space="preserve">efenders, who have had to balance  representing the interests of their members against protecting them from potential criminal consequences. </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The organizing by The Black Collective and Dream Defenders follows a centuries’ long tradition in the United States of racial minority groups utilizing public demonstrations to express political views. In response, the state and local municipalities have been intentional in empowering law enforcement to target racial groups. Law enforcement’s empowerment is a direct consequence of the legislation passed in the Florida legislature, which dramatically expanded the powers of law enforcement through vague and overly broad language. This problem is not unique to Florida. Since 2017, there have been thirty-eight bills passed in states across the country designed to chill public protest and silence dissent.</w:t>
      </w:r>
      <w:r w:rsidDel="00000000" w:rsidR="00000000" w:rsidRPr="00000000">
        <w:rPr>
          <w:vertAlign w:val="superscript"/>
        </w:rPr>
        <w:footnoteReference w:customMarkFollows="0" w:id="2"/>
      </w:r>
      <w:r w:rsidDel="00000000" w:rsidR="00000000" w:rsidRPr="00000000">
        <w:rPr>
          <w:rtl w:val="0"/>
        </w:rPr>
        <w:t xml:space="preserve"> Many of these bills have had a disproportionate impact on racial minorities. CERD advocates for full political participation, with a focus on protecting the political rights of racial minorities. As a party to the convention, the U.S. should unequivocally look to spare no resource in ensuring that these rights are protected. </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Questions: </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numPr>
          <w:ilvl w:val="0"/>
          <w:numId w:val="1"/>
        </w:numPr>
        <w:ind w:left="720" w:hanging="360"/>
        <w:jc w:val="both"/>
        <w:rPr>
          <w:u w:val="none"/>
        </w:rPr>
      </w:pPr>
      <w:r w:rsidDel="00000000" w:rsidR="00000000" w:rsidRPr="00000000">
        <w:rPr>
          <w:rtl w:val="0"/>
        </w:rPr>
        <w:t xml:space="preserve">Will the U.S. Federal government–in accordance with its own Constitutional protections and its obligations under CERD–issue a clear denunciation of anti-protest legislation in Florida and across the country?</w:t>
      </w:r>
    </w:p>
    <w:p w:rsidR="00000000" w:rsidDel="00000000" w:rsidP="00000000" w:rsidRDefault="00000000" w:rsidRPr="00000000" w14:paraId="0000000E">
      <w:pPr>
        <w:numPr>
          <w:ilvl w:val="0"/>
          <w:numId w:val="1"/>
        </w:numPr>
        <w:ind w:left="720" w:hanging="360"/>
        <w:jc w:val="both"/>
        <w:rPr>
          <w:u w:val="none"/>
        </w:rPr>
      </w:pPr>
      <w:r w:rsidDel="00000000" w:rsidR="00000000" w:rsidRPr="00000000">
        <w:rPr>
          <w:rtl w:val="0"/>
        </w:rPr>
        <w:t xml:space="preserve">How does the U.S. federal government intend to preempt states looking to silence dissent, by either expanding civil liberties protected by statute, or more vigorously file suits against states who narrowly interpret the scope of federal constitutional civil liberties?</w:t>
      </w:r>
    </w:p>
    <w:p w:rsidR="00000000" w:rsidDel="00000000" w:rsidP="00000000" w:rsidRDefault="00000000" w:rsidRPr="00000000" w14:paraId="0000000F">
      <w:pPr>
        <w:ind w:left="0" w:firstLine="0"/>
        <w:jc w:val="both"/>
        <w:rPr/>
      </w:pPr>
      <w:r w:rsidDel="00000000" w:rsidR="00000000" w:rsidRPr="00000000">
        <w:rPr>
          <w:rtl w:val="0"/>
        </w:rPr>
      </w:r>
    </w:p>
    <w:sectPr>
      <w:headerReference r:id="rId7" w:type="default"/>
      <w:headerReference r:id="rId8" w:type="even"/>
      <w:footerReference r:id="rId9"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5">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Florida, News Service of. “DeSantis Signs Hb 1 Protest Bill as Controversy Continues.” WUFT News, 19 Apr. 2021, https://www.wuft.org/news/2021/04/19/protest-bill/#:~:text=TALLAHASSEE%20%E2%80%94%20Flanked%20by%20uniformed%20law,year%20after%20George%20Floyd's%20death.</w:t>
      </w:r>
    </w:p>
  </w:footnote>
  <w:footnote w:id="1">
    <w:p w:rsidR="00000000" w:rsidDel="00000000" w:rsidP="00000000" w:rsidRDefault="00000000" w:rsidRPr="00000000" w14:paraId="0000001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Kennedy, John. “'Anti-Riot' Law Backed by Florida Gov. Desantis Blocked by Federal Judge.” </w:t>
      </w:r>
      <w:r w:rsidDel="00000000" w:rsidR="00000000" w:rsidRPr="00000000">
        <w:rPr>
          <w:i w:val="1"/>
          <w:sz w:val="20"/>
          <w:szCs w:val="20"/>
          <w:rtl w:val="0"/>
        </w:rPr>
        <w:t xml:space="preserve">Tribune</w:t>
      </w:r>
      <w:r w:rsidDel="00000000" w:rsidR="00000000" w:rsidRPr="00000000">
        <w:rPr>
          <w:sz w:val="20"/>
          <w:szCs w:val="20"/>
          <w:rtl w:val="0"/>
        </w:rPr>
        <w:t xml:space="preserve">, Sarasota Herald-Tribune, 9 Sept. 2021, https://www.heraldtribune.com/story/news/politics/state/2021/09/09/desantis-another-court-loss-time-anti-riot-law/8261112002/. </w:t>
      </w:r>
    </w:p>
  </w:footnote>
  <w:footnote w:id="2">
    <w:p w:rsidR="00000000" w:rsidDel="00000000" w:rsidP="00000000" w:rsidRDefault="00000000" w:rsidRPr="00000000" w14:paraId="0000001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“US Protest Law Tracker.” ICNL, https://www.icnl.org/usprotestlawtracker/?location=&amp;amp;status=enacted&amp;amp;issue=&amp;amp;date=&amp;amp;type=legislative#.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jc w:val="center"/>
      <w:rPr/>
    </w:pPr>
    <w:r w:rsidDel="00000000" w:rsidR="00000000" w:rsidRPr="00000000">
      <w:rPr/>
      <w:drawing>
        <wp:anchor allowOverlap="1" behindDoc="0" distB="114300" distT="114300" distL="114300" distR="114300" hidden="0" layoutInCell="1" locked="0" relativeHeight="0" simplePos="0">
          <wp:simplePos x="0" y="0"/>
          <wp:positionH relativeFrom="margin">
            <wp:posOffset>0</wp:posOffset>
          </wp:positionH>
          <wp:positionV relativeFrom="margin">
            <wp:posOffset>-290512</wp:posOffset>
          </wp:positionV>
          <wp:extent cx="981075" cy="923925"/>
          <wp:effectExtent b="0" l="0" r="0" t="0"/>
          <wp:wrapNone/>
          <wp:docPr id="3" name="image2.png"/>
          <a:graphic>
            <a:graphicData uri="http://schemas.openxmlformats.org/drawingml/2006/picture">
              <pic:pic>
                <pic:nvPicPr>
                  <pic:cNvPr id="0" name="image2.png"/>
                  <pic:cNvPicPr preferRelativeResize="0"/>
                </pic:nvPicPr>
                <pic:blipFill>
                  <a:blip r:embed="rId1"/>
                  <a:srcRect b="22400" l="18562" r="19760" t="0"/>
                  <a:stretch>
                    <a:fillRect/>
                  </a:stretch>
                </pic:blipFill>
                <pic:spPr>
                  <a:xfrm>
                    <a:off x="0" y="0"/>
                    <a:ext cx="981075" cy="923925"/>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margin">
            <wp:posOffset>4829175</wp:posOffset>
          </wp:positionH>
          <wp:positionV relativeFrom="margin">
            <wp:posOffset>-457199</wp:posOffset>
          </wp:positionV>
          <wp:extent cx="1111008" cy="1166813"/>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111008" cy="1166813"/>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margin">
            <wp:posOffset>2343150</wp:posOffset>
          </wp:positionH>
          <wp:positionV relativeFrom="margin">
            <wp:posOffset>-457199</wp:posOffset>
          </wp:positionV>
          <wp:extent cx="1253581" cy="1253581"/>
          <wp:effectExtent b="0" l="0" r="0" t="0"/>
          <wp:wrapNone/>
          <wp:docPr id="1"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1253581" cy="1253581"/>
                  </a:xfrm>
                  <a:prstGeom prst="rect"/>
                  <a:ln/>
                </pic:spPr>
              </pic:pic>
            </a:graphicData>
          </a:graphic>
        </wp:anchor>
      </w:drawing>
    </w:r>
    <w:r w:rsidDel="00000000" w:rsidR="00000000" w:rsidRPr="00000000">
      <w:rPr>
        <w:rtl w:val="0"/>
      </w:rPr>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F22664-089D-4CDC-BA04-427677ECE98A}"/>
</file>

<file path=customXml/itemProps2.xml><?xml version="1.0" encoding="utf-8"?>
<ds:datastoreItem xmlns:ds="http://schemas.openxmlformats.org/officeDocument/2006/customXml" ds:itemID="{62F4E0C9-F842-4FC1-B659-269FE1B16EB8}"/>
</file>

<file path=customXml/itemProps3.xml><?xml version="1.0" encoding="utf-8"?>
<ds:datastoreItem xmlns:ds="http://schemas.openxmlformats.org/officeDocument/2006/customXml" ds:itemID="{8404F973-125F-4AA2-8B4D-D0FAA428E284}"/>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