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D8DC3E" w14:textId="77777777" w:rsidR="003B73F7" w:rsidRDefault="003B73F7" w:rsidP="00A31340">
      <w:pPr>
        <w:pStyle w:val="Default"/>
        <w:contextualSpacing/>
        <w:jc w:val="center"/>
        <w:rPr>
          <w:rFonts w:ascii="Arial" w:hAnsi="Arial" w:cs="Arial"/>
          <w:b/>
          <w:bCs/>
          <w:sz w:val="22"/>
          <w:szCs w:val="22"/>
        </w:rPr>
      </w:pPr>
      <w:bookmarkStart w:id="0" w:name="_Hlk57985068"/>
      <w:bookmarkEnd w:id="0"/>
    </w:p>
    <w:p w14:paraId="743962F9" w14:textId="75F49C79" w:rsidR="003B73F7" w:rsidRDefault="003B73F7" w:rsidP="003B73F7">
      <w:pPr>
        <w:pStyle w:val="Default"/>
        <w:contextualSpacing/>
        <w:jc w:val="right"/>
        <w:rPr>
          <w:rFonts w:ascii="Arial" w:hAnsi="Arial" w:cs="Arial"/>
          <w:b/>
          <w:bCs/>
          <w:sz w:val="22"/>
          <w:szCs w:val="22"/>
        </w:rPr>
      </w:pPr>
    </w:p>
    <w:p w14:paraId="1F3E3E15" w14:textId="77777777" w:rsidR="003B73F7" w:rsidRDefault="003B73F7" w:rsidP="00A31340">
      <w:pPr>
        <w:pStyle w:val="Default"/>
        <w:contextualSpacing/>
        <w:jc w:val="center"/>
        <w:rPr>
          <w:rFonts w:ascii="Arial" w:hAnsi="Arial" w:cs="Arial"/>
          <w:b/>
          <w:bCs/>
          <w:sz w:val="22"/>
          <w:szCs w:val="22"/>
        </w:rPr>
      </w:pPr>
    </w:p>
    <w:p w14:paraId="1EBA36A4" w14:textId="518D7B0B" w:rsidR="003B73F7" w:rsidRDefault="003B73F7" w:rsidP="003B73F7">
      <w:pPr>
        <w:pStyle w:val="Default"/>
        <w:contextualSpacing/>
        <w:jc w:val="center"/>
        <w:rPr>
          <w:rFonts w:ascii="Arial" w:hAnsi="Arial" w:cs="Arial"/>
          <w:b/>
          <w:bCs/>
          <w:sz w:val="30"/>
          <w:szCs w:val="30"/>
        </w:rPr>
      </w:pPr>
      <w:r>
        <w:rPr>
          <w:noProof/>
        </w:rPr>
        <w:t xml:space="preserve"> </w:t>
      </w:r>
    </w:p>
    <w:p w14:paraId="2304146E" w14:textId="015115B3" w:rsidR="003B73F7" w:rsidRPr="003B73F7" w:rsidRDefault="00B81D3F" w:rsidP="003B73F7">
      <w:pPr>
        <w:pStyle w:val="Default"/>
        <w:contextualSpacing/>
        <w:jc w:val="center"/>
        <w:rPr>
          <w:rFonts w:ascii="Arial" w:hAnsi="Arial" w:cs="Arial"/>
          <w:b/>
          <w:bCs/>
          <w:sz w:val="30"/>
          <w:szCs w:val="30"/>
        </w:rPr>
      </w:pPr>
      <w:r w:rsidRPr="003B73F7">
        <w:rPr>
          <w:rFonts w:ascii="Arial" w:hAnsi="Arial" w:cs="Arial"/>
          <w:b/>
          <w:bCs/>
          <w:sz w:val="30"/>
          <w:szCs w:val="30"/>
        </w:rPr>
        <w:t xml:space="preserve">Follow-Up </w:t>
      </w:r>
      <w:r w:rsidR="003B73F7" w:rsidRPr="003B73F7">
        <w:rPr>
          <w:rFonts w:ascii="Arial" w:hAnsi="Arial" w:cs="Arial"/>
          <w:b/>
          <w:bCs/>
          <w:sz w:val="30"/>
          <w:szCs w:val="30"/>
        </w:rPr>
        <w:t xml:space="preserve">NGO report </w:t>
      </w:r>
      <w:r w:rsidR="00407DD4" w:rsidRPr="003B73F7">
        <w:rPr>
          <w:rFonts w:ascii="Arial" w:hAnsi="Arial" w:cs="Arial"/>
          <w:b/>
          <w:bCs/>
          <w:sz w:val="30"/>
          <w:szCs w:val="30"/>
        </w:rPr>
        <w:t>re</w:t>
      </w:r>
      <w:r w:rsidR="003B73F7" w:rsidRPr="003B73F7">
        <w:rPr>
          <w:rFonts w:ascii="Arial" w:hAnsi="Arial" w:cs="Arial"/>
          <w:b/>
          <w:bCs/>
          <w:sz w:val="30"/>
          <w:szCs w:val="30"/>
        </w:rPr>
        <w:t>garding</w:t>
      </w:r>
      <w:r w:rsidR="00407DD4" w:rsidRPr="003B73F7">
        <w:rPr>
          <w:rFonts w:ascii="Arial" w:hAnsi="Arial" w:cs="Arial"/>
          <w:b/>
          <w:bCs/>
          <w:sz w:val="30"/>
          <w:szCs w:val="30"/>
        </w:rPr>
        <w:t xml:space="preserve"> </w:t>
      </w:r>
    </w:p>
    <w:p w14:paraId="599FFD3D" w14:textId="77777777" w:rsidR="003B73F7" w:rsidRPr="003B73F7" w:rsidRDefault="003B73F7" w:rsidP="003B73F7">
      <w:pPr>
        <w:pStyle w:val="Default"/>
        <w:contextualSpacing/>
        <w:jc w:val="center"/>
        <w:rPr>
          <w:rFonts w:ascii="Arial" w:hAnsi="Arial" w:cs="Arial"/>
          <w:b/>
          <w:bCs/>
          <w:sz w:val="30"/>
          <w:szCs w:val="30"/>
        </w:rPr>
      </w:pPr>
      <w:r w:rsidRPr="003B73F7">
        <w:rPr>
          <w:rFonts w:ascii="Arial" w:hAnsi="Arial" w:cs="Arial"/>
          <w:b/>
          <w:bCs/>
          <w:sz w:val="30"/>
          <w:szCs w:val="30"/>
        </w:rPr>
        <w:t>r</w:t>
      </w:r>
      <w:r w:rsidR="00407DD4" w:rsidRPr="003B73F7">
        <w:rPr>
          <w:rFonts w:ascii="Arial" w:hAnsi="Arial" w:cs="Arial"/>
          <w:b/>
          <w:bCs/>
          <w:sz w:val="30"/>
          <w:szCs w:val="30"/>
        </w:rPr>
        <w:t xml:space="preserve">ecommendations made to Australia </w:t>
      </w:r>
    </w:p>
    <w:p w14:paraId="71C5B1E9" w14:textId="68CEF769" w:rsidR="00B81D3F" w:rsidRDefault="003B73F7" w:rsidP="003B73F7">
      <w:pPr>
        <w:pStyle w:val="Default"/>
        <w:contextualSpacing/>
        <w:jc w:val="center"/>
        <w:rPr>
          <w:rFonts w:ascii="Arial" w:hAnsi="Arial" w:cs="Arial"/>
          <w:b/>
          <w:bCs/>
          <w:sz w:val="30"/>
          <w:szCs w:val="30"/>
        </w:rPr>
      </w:pPr>
      <w:r w:rsidRPr="003B73F7">
        <w:rPr>
          <w:rFonts w:ascii="Arial" w:hAnsi="Arial" w:cs="Arial"/>
          <w:b/>
          <w:bCs/>
          <w:sz w:val="30"/>
          <w:szCs w:val="30"/>
        </w:rPr>
        <w:t xml:space="preserve">by the CEDAW Committee </w:t>
      </w:r>
      <w:r w:rsidR="00407DD4" w:rsidRPr="003B73F7">
        <w:rPr>
          <w:rFonts w:ascii="Arial" w:hAnsi="Arial" w:cs="Arial"/>
          <w:b/>
          <w:bCs/>
          <w:sz w:val="30"/>
          <w:szCs w:val="30"/>
        </w:rPr>
        <w:t>in July 2018</w:t>
      </w:r>
    </w:p>
    <w:p w14:paraId="66F66793" w14:textId="77777777" w:rsidR="003B73F7" w:rsidRPr="003B73F7" w:rsidRDefault="003B73F7" w:rsidP="003B73F7">
      <w:pPr>
        <w:pStyle w:val="Default"/>
        <w:contextualSpacing/>
        <w:jc w:val="center"/>
        <w:rPr>
          <w:rFonts w:ascii="Arial" w:hAnsi="Arial" w:cs="Arial"/>
          <w:b/>
          <w:bCs/>
          <w:sz w:val="30"/>
          <w:szCs w:val="30"/>
        </w:rPr>
      </w:pPr>
    </w:p>
    <w:p w14:paraId="6272DF12" w14:textId="77777777" w:rsidR="00407DD4" w:rsidRPr="00345289" w:rsidRDefault="00407DD4" w:rsidP="00A31340">
      <w:pPr>
        <w:pStyle w:val="Default"/>
        <w:contextualSpacing/>
        <w:rPr>
          <w:rFonts w:ascii="Arial" w:hAnsi="Arial" w:cs="Arial"/>
          <w:sz w:val="22"/>
          <w:szCs w:val="22"/>
        </w:rPr>
      </w:pPr>
    </w:p>
    <w:p w14:paraId="6054EC5E" w14:textId="21CCA365" w:rsidR="00407DD4" w:rsidRPr="00345289" w:rsidRDefault="00407DD4" w:rsidP="00A31340">
      <w:pPr>
        <w:pStyle w:val="Default"/>
        <w:contextualSpacing/>
        <w:rPr>
          <w:rFonts w:ascii="Arial" w:hAnsi="Arial" w:cs="Arial"/>
          <w:sz w:val="22"/>
          <w:szCs w:val="22"/>
        </w:rPr>
      </w:pPr>
      <w:r w:rsidRPr="00345289">
        <w:rPr>
          <w:rFonts w:ascii="Arial" w:hAnsi="Arial" w:cs="Arial"/>
          <w:sz w:val="22"/>
          <w:szCs w:val="22"/>
        </w:rPr>
        <w:t xml:space="preserve">This NGO follow-up report has been coordinated by the </w:t>
      </w:r>
      <w:bookmarkStart w:id="1" w:name="_GoBack"/>
      <w:r w:rsidR="00204A4A">
        <w:fldChar w:fldCharType="begin"/>
      </w:r>
      <w:r w:rsidR="00204A4A">
        <w:instrText xml:space="preserve"> HYPERLINK "http://www.equalityrightsalliance.org.au/" </w:instrText>
      </w:r>
      <w:r w:rsidR="00204A4A">
        <w:fldChar w:fldCharType="separate"/>
      </w:r>
      <w:r w:rsidRPr="00345289">
        <w:rPr>
          <w:rStyle w:val="Hyperlink"/>
          <w:rFonts w:ascii="Arial" w:hAnsi="Arial" w:cs="Arial"/>
          <w:sz w:val="22"/>
          <w:szCs w:val="22"/>
        </w:rPr>
        <w:t>Equality Rights Alliance</w:t>
      </w:r>
      <w:r w:rsidR="00204A4A">
        <w:rPr>
          <w:rStyle w:val="Hyperlink"/>
          <w:rFonts w:ascii="Arial" w:hAnsi="Arial" w:cs="Arial"/>
          <w:sz w:val="22"/>
          <w:szCs w:val="22"/>
        </w:rPr>
        <w:fldChar w:fldCharType="end"/>
      </w:r>
      <w:r w:rsidRPr="00345289">
        <w:rPr>
          <w:rFonts w:ascii="Arial" w:hAnsi="Arial" w:cs="Arial"/>
          <w:sz w:val="22"/>
          <w:szCs w:val="22"/>
        </w:rPr>
        <w:t xml:space="preserve"> (ERA), the </w:t>
      </w:r>
      <w:hyperlink r:id="rId8" w:history="1">
        <w:r w:rsidRPr="00345289">
          <w:rPr>
            <w:rStyle w:val="Hyperlink"/>
            <w:rFonts w:ascii="Arial" w:hAnsi="Arial" w:cs="Arial"/>
            <w:sz w:val="22"/>
            <w:szCs w:val="22"/>
          </w:rPr>
          <w:t>Harmony Alliance</w:t>
        </w:r>
      </w:hyperlink>
      <w:r w:rsidRPr="00345289">
        <w:rPr>
          <w:rFonts w:ascii="Arial" w:hAnsi="Arial" w:cs="Arial"/>
          <w:sz w:val="22"/>
          <w:szCs w:val="22"/>
        </w:rPr>
        <w:t xml:space="preserve"> (Harmony) and the </w:t>
      </w:r>
      <w:hyperlink r:id="rId9" w:history="1">
        <w:r w:rsidRPr="00345289">
          <w:rPr>
            <w:rStyle w:val="Hyperlink"/>
            <w:rFonts w:ascii="Arial" w:hAnsi="Arial" w:cs="Arial"/>
            <w:sz w:val="22"/>
            <w:szCs w:val="22"/>
          </w:rPr>
          <w:t>National Aboriginal and Torres Strait Islander Women’s Alliance</w:t>
        </w:r>
      </w:hyperlink>
      <w:r w:rsidRPr="00345289">
        <w:rPr>
          <w:rFonts w:ascii="Arial" w:hAnsi="Arial" w:cs="Arial"/>
          <w:sz w:val="22"/>
          <w:szCs w:val="22"/>
        </w:rPr>
        <w:t xml:space="preserve"> (NATSIWA)</w:t>
      </w:r>
      <w:bookmarkEnd w:id="1"/>
      <w:r w:rsidRPr="00345289">
        <w:rPr>
          <w:rFonts w:ascii="Arial" w:hAnsi="Arial" w:cs="Arial"/>
          <w:sz w:val="22"/>
          <w:szCs w:val="22"/>
        </w:rPr>
        <w:t xml:space="preserve">. It is endorsed in whole or in part by the </w:t>
      </w:r>
      <w:r w:rsidR="007236E1">
        <w:rPr>
          <w:rFonts w:ascii="Arial" w:hAnsi="Arial" w:cs="Arial"/>
          <w:sz w:val="22"/>
          <w:szCs w:val="22"/>
        </w:rPr>
        <w:t xml:space="preserve">28 </w:t>
      </w:r>
      <w:r w:rsidRPr="00345289">
        <w:rPr>
          <w:rFonts w:ascii="Arial" w:hAnsi="Arial" w:cs="Arial"/>
          <w:sz w:val="22"/>
          <w:szCs w:val="22"/>
        </w:rPr>
        <w:t>organisations listed in annexure A.</w:t>
      </w:r>
    </w:p>
    <w:p w14:paraId="1BFC1F9F" w14:textId="77777777" w:rsidR="00407DD4" w:rsidRPr="00345289" w:rsidRDefault="00407DD4" w:rsidP="00A31340">
      <w:pPr>
        <w:pStyle w:val="Default"/>
        <w:contextualSpacing/>
        <w:rPr>
          <w:rFonts w:ascii="Arial" w:hAnsi="Arial" w:cs="Arial"/>
          <w:sz w:val="22"/>
          <w:szCs w:val="22"/>
        </w:rPr>
      </w:pPr>
    </w:p>
    <w:p w14:paraId="6AF4E284" w14:textId="793E8190" w:rsidR="00681D99" w:rsidRPr="00345289" w:rsidRDefault="00407DD4" w:rsidP="005B1DAE">
      <w:pPr>
        <w:pStyle w:val="Default"/>
        <w:contextualSpacing/>
        <w:rPr>
          <w:rFonts w:ascii="Arial" w:hAnsi="Arial" w:cs="Arial"/>
          <w:bCs/>
          <w:sz w:val="22"/>
          <w:szCs w:val="22"/>
        </w:rPr>
      </w:pPr>
      <w:r w:rsidRPr="00345289">
        <w:rPr>
          <w:rFonts w:ascii="Arial" w:hAnsi="Arial" w:cs="Arial"/>
          <w:bCs/>
          <w:sz w:val="22"/>
          <w:szCs w:val="22"/>
        </w:rPr>
        <w:t>ERA, Harmony and NATSIWA appreciate the opportunity to provide this update on Australia’s progress in implementing the recommendations made by t</w:t>
      </w:r>
      <w:r w:rsidR="00F64D75" w:rsidRPr="00345289">
        <w:rPr>
          <w:rFonts w:ascii="Arial" w:hAnsi="Arial" w:cs="Arial"/>
          <w:bCs/>
          <w:sz w:val="22"/>
          <w:szCs w:val="22"/>
        </w:rPr>
        <w:t xml:space="preserve">he CEDAW Committee </w:t>
      </w:r>
      <w:r w:rsidRPr="00345289">
        <w:rPr>
          <w:rFonts w:ascii="Arial" w:hAnsi="Arial" w:cs="Arial"/>
          <w:bCs/>
          <w:sz w:val="22"/>
          <w:szCs w:val="22"/>
        </w:rPr>
        <w:t xml:space="preserve">in </w:t>
      </w:r>
      <w:r w:rsidR="00681D99" w:rsidRPr="00345289">
        <w:rPr>
          <w:rFonts w:ascii="Arial" w:hAnsi="Arial" w:cs="Arial"/>
          <w:bCs/>
          <w:sz w:val="22"/>
          <w:szCs w:val="22"/>
        </w:rPr>
        <w:t>its</w:t>
      </w:r>
      <w:r w:rsidR="00F64D75" w:rsidRPr="00345289">
        <w:rPr>
          <w:rFonts w:ascii="Arial" w:hAnsi="Arial" w:cs="Arial"/>
          <w:bCs/>
          <w:sz w:val="22"/>
          <w:szCs w:val="22"/>
        </w:rPr>
        <w:t xml:space="preserve"> </w:t>
      </w:r>
      <w:r w:rsidR="00681D99" w:rsidRPr="00345289">
        <w:rPr>
          <w:rFonts w:ascii="Arial" w:hAnsi="Arial" w:cs="Arial"/>
          <w:bCs/>
          <w:sz w:val="22"/>
          <w:szCs w:val="22"/>
        </w:rPr>
        <w:t>2018</w:t>
      </w:r>
      <w:r w:rsidR="00F64D75" w:rsidRPr="00345289">
        <w:rPr>
          <w:rFonts w:ascii="Arial" w:hAnsi="Arial" w:cs="Arial"/>
          <w:bCs/>
          <w:sz w:val="22"/>
          <w:szCs w:val="22"/>
        </w:rPr>
        <w:t xml:space="preserve"> report on Australia</w:t>
      </w:r>
      <w:r w:rsidR="00345289">
        <w:rPr>
          <w:rFonts w:ascii="Arial" w:hAnsi="Arial" w:cs="Arial"/>
          <w:bCs/>
          <w:sz w:val="22"/>
          <w:szCs w:val="22"/>
        </w:rPr>
        <w:t xml:space="preserve">’s progress on implementing the </w:t>
      </w:r>
      <w:r w:rsidR="00345289" w:rsidRPr="00345289">
        <w:rPr>
          <w:rFonts w:ascii="Arial" w:hAnsi="Arial" w:cs="Arial"/>
          <w:bCs/>
          <w:i/>
          <w:iCs/>
          <w:sz w:val="22"/>
          <w:szCs w:val="22"/>
        </w:rPr>
        <w:t>Convention on the Elimination of Discrimination Against Women</w:t>
      </w:r>
      <w:r w:rsidR="00681D99" w:rsidRPr="00345289">
        <w:rPr>
          <w:rFonts w:ascii="Arial" w:hAnsi="Arial" w:cs="Arial"/>
          <w:bCs/>
          <w:sz w:val="22"/>
          <w:szCs w:val="22"/>
        </w:rPr>
        <w:t xml:space="preserve">. </w:t>
      </w:r>
    </w:p>
    <w:p w14:paraId="21650CDA" w14:textId="39532759" w:rsidR="00407DD4" w:rsidRDefault="00407DD4" w:rsidP="005B1DAE">
      <w:pPr>
        <w:pStyle w:val="Default"/>
        <w:contextualSpacing/>
        <w:rPr>
          <w:rFonts w:ascii="Arial" w:hAnsi="Arial" w:cs="Arial"/>
          <w:bCs/>
          <w:sz w:val="22"/>
          <w:szCs w:val="22"/>
        </w:rPr>
      </w:pPr>
    </w:p>
    <w:p w14:paraId="46195926" w14:textId="62BAE7EA" w:rsidR="004E32E2" w:rsidRDefault="004E32E2" w:rsidP="005B1DAE">
      <w:pPr>
        <w:pStyle w:val="Default"/>
        <w:contextualSpacing/>
        <w:rPr>
          <w:rFonts w:ascii="Arial" w:hAnsi="Arial" w:cs="Arial"/>
          <w:sz w:val="22"/>
          <w:szCs w:val="22"/>
        </w:rPr>
      </w:pPr>
      <w:r w:rsidRPr="004E32E2">
        <w:rPr>
          <w:rFonts w:ascii="Arial" w:hAnsi="Arial" w:cs="Arial"/>
          <w:sz w:val="22"/>
          <w:szCs w:val="22"/>
        </w:rPr>
        <w:t>ERA, Harmony Alliance and NATSIWA would like to thank Jesuit Refugee Service</w:t>
      </w:r>
      <w:r w:rsidR="002511D0">
        <w:rPr>
          <w:rFonts w:ascii="Arial" w:hAnsi="Arial" w:cs="Arial"/>
          <w:sz w:val="22"/>
          <w:szCs w:val="22"/>
        </w:rPr>
        <w:t xml:space="preserve"> Australia</w:t>
      </w:r>
      <w:r w:rsidRPr="004E32E2">
        <w:rPr>
          <w:rFonts w:ascii="Arial" w:hAnsi="Arial" w:cs="Arial"/>
          <w:sz w:val="22"/>
          <w:szCs w:val="22"/>
        </w:rPr>
        <w:t>, Children by Choice, Women’s Legal Services Australia, A</w:t>
      </w:r>
      <w:r>
        <w:rPr>
          <w:rFonts w:ascii="Arial" w:hAnsi="Arial" w:cs="Arial"/>
          <w:sz w:val="22"/>
          <w:szCs w:val="22"/>
        </w:rPr>
        <w:t>ustralian Women Against Violence Alliance</w:t>
      </w:r>
      <w:r w:rsidRPr="004E32E2">
        <w:rPr>
          <w:rFonts w:ascii="Arial" w:hAnsi="Arial" w:cs="Arial"/>
          <w:sz w:val="22"/>
          <w:szCs w:val="22"/>
        </w:rPr>
        <w:t>, National Rural Women’s Coalition, Marie Stopes Australia, National Foundation for Australian Women, International Women’s Development Agency, Zonta District 22</w:t>
      </w:r>
      <w:r w:rsidR="00891AE5">
        <w:rPr>
          <w:rFonts w:ascii="Arial" w:hAnsi="Arial" w:cs="Arial"/>
          <w:sz w:val="22"/>
          <w:szCs w:val="22"/>
        </w:rPr>
        <w:t xml:space="preserve"> and</w:t>
      </w:r>
      <w:r w:rsidRPr="004E32E2">
        <w:rPr>
          <w:rFonts w:ascii="Arial" w:hAnsi="Arial" w:cs="Arial"/>
          <w:sz w:val="22"/>
          <w:szCs w:val="22"/>
        </w:rPr>
        <w:t xml:space="preserve"> Jessie Street Library for contributing text and editorial suggestions.</w:t>
      </w:r>
    </w:p>
    <w:p w14:paraId="7C2EEB50" w14:textId="77777777" w:rsidR="004E32E2" w:rsidRPr="004E32E2" w:rsidRDefault="004E32E2" w:rsidP="005B1DAE">
      <w:pPr>
        <w:pStyle w:val="Default"/>
        <w:contextualSpacing/>
        <w:rPr>
          <w:rFonts w:ascii="Arial" w:hAnsi="Arial" w:cs="Arial"/>
          <w:bCs/>
          <w:sz w:val="22"/>
          <w:szCs w:val="22"/>
        </w:rPr>
      </w:pPr>
    </w:p>
    <w:p w14:paraId="015FD544" w14:textId="145006B6" w:rsidR="00407DD4" w:rsidRPr="00345289" w:rsidRDefault="00407DD4" w:rsidP="005B1DAE">
      <w:pPr>
        <w:pStyle w:val="Default"/>
        <w:contextualSpacing/>
        <w:rPr>
          <w:rFonts w:ascii="Arial" w:hAnsi="Arial" w:cs="Arial"/>
          <w:bCs/>
          <w:sz w:val="22"/>
          <w:szCs w:val="22"/>
        </w:rPr>
      </w:pPr>
      <w:bookmarkStart w:id="2" w:name="_Hlk56095406"/>
      <w:r w:rsidRPr="00345289">
        <w:rPr>
          <w:rFonts w:ascii="Arial" w:hAnsi="Arial" w:cs="Arial"/>
          <w:b/>
          <w:sz w:val="22"/>
          <w:szCs w:val="22"/>
        </w:rPr>
        <w:t xml:space="preserve">Recommendation </w:t>
      </w:r>
      <w:r w:rsidR="00642F10" w:rsidRPr="00345289">
        <w:rPr>
          <w:rFonts w:ascii="Arial" w:hAnsi="Arial" w:cs="Arial"/>
          <w:b/>
          <w:sz w:val="22"/>
          <w:szCs w:val="22"/>
        </w:rPr>
        <w:t>12(b)</w:t>
      </w:r>
    </w:p>
    <w:p w14:paraId="4FA2D6B1" w14:textId="77777777" w:rsidR="00681D99" w:rsidRPr="00345289" w:rsidRDefault="00681D99" w:rsidP="005B1DAE">
      <w:pPr>
        <w:pStyle w:val="Default"/>
        <w:contextualSpacing/>
        <w:rPr>
          <w:rFonts w:ascii="Arial" w:hAnsi="Arial" w:cs="Arial"/>
          <w:bCs/>
          <w:i/>
          <w:sz w:val="22"/>
          <w:szCs w:val="22"/>
        </w:rPr>
      </w:pPr>
    </w:p>
    <w:p w14:paraId="08AE6B53" w14:textId="2DEBD32E" w:rsidR="00CB032B" w:rsidRPr="00CB032B" w:rsidRDefault="00CB032B" w:rsidP="005B1DAE">
      <w:pPr>
        <w:pStyle w:val="SingleTxt"/>
        <w:ind w:left="0" w:right="-46"/>
        <w:contextualSpacing/>
        <w:jc w:val="left"/>
        <w:rPr>
          <w:rFonts w:ascii="Arial" w:hAnsi="Arial" w:cs="Arial"/>
          <w:sz w:val="22"/>
          <w:szCs w:val="22"/>
        </w:rPr>
      </w:pPr>
      <w:r w:rsidRPr="00CB032B">
        <w:rPr>
          <w:rFonts w:ascii="Arial" w:hAnsi="Arial" w:cs="Arial"/>
          <w:sz w:val="22"/>
          <w:szCs w:val="22"/>
        </w:rPr>
        <w:t>This recommendation has not been implemented.</w:t>
      </w:r>
    </w:p>
    <w:p w14:paraId="18727749" w14:textId="77777777" w:rsidR="00CB032B" w:rsidRPr="00CB032B" w:rsidRDefault="00CB032B" w:rsidP="005B1DAE">
      <w:pPr>
        <w:pStyle w:val="SingleTxt"/>
        <w:ind w:left="0" w:right="-46"/>
        <w:contextualSpacing/>
        <w:jc w:val="left"/>
        <w:rPr>
          <w:rFonts w:ascii="Arial" w:hAnsi="Arial" w:cs="Arial"/>
          <w:sz w:val="22"/>
          <w:szCs w:val="22"/>
        </w:rPr>
      </w:pPr>
    </w:p>
    <w:p w14:paraId="74B9C29B" w14:textId="5D2F958B" w:rsidR="004F369B" w:rsidRDefault="00CB032B" w:rsidP="005B1DAE">
      <w:pPr>
        <w:pStyle w:val="SingleTxt"/>
        <w:ind w:left="0" w:right="-46"/>
        <w:contextualSpacing/>
        <w:jc w:val="left"/>
        <w:rPr>
          <w:rFonts w:ascii="Arial" w:hAnsi="Arial" w:cs="Arial"/>
          <w:sz w:val="22"/>
          <w:szCs w:val="22"/>
        </w:rPr>
      </w:pPr>
      <w:r w:rsidRPr="00CB032B">
        <w:rPr>
          <w:rFonts w:ascii="Arial" w:hAnsi="Arial" w:cs="Arial"/>
          <w:sz w:val="22"/>
          <w:szCs w:val="22"/>
        </w:rPr>
        <w:t>The Australian Constitution fail</w:t>
      </w:r>
      <w:r w:rsidR="002E5CAA">
        <w:rPr>
          <w:rFonts w:ascii="Arial" w:hAnsi="Arial" w:cs="Arial"/>
          <w:sz w:val="22"/>
          <w:szCs w:val="22"/>
        </w:rPr>
        <w:t>s</w:t>
      </w:r>
      <w:r w:rsidRPr="00CB032B">
        <w:rPr>
          <w:rFonts w:ascii="Arial" w:hAnsi="Arial" w:cs="Arial"/>
          <w:sz w:val="22"/>
          <w:szCs w:val="22"/>
        </w:rPr>
        <w:t xml:space="preserve"> to </w:t>
      </w:r>
      <w:r w:rsidR="002E5CAA">
        <w:rPr>
          <w:rFonts w:ascii="Arial" w:hAnsi="Arial" w:cs="Arial"/>
          <w:sz w:val="22"/>
          <w:szCs w:val="22"/>
        </w:rPr>
        <w:t xml:space="preserve">recognise and </w:t>
      </w:r>
      <w:r w:rsidRPr="00CB032B">
        <w:rPr>
          <w:rFonts w:ascii="Arial" w:hAnsi="Arial" w:cs="Arial"/>
          <w:sz w:val="22"/>
          <w:szCs w:val="22"/>
        </w:rPr>
        <w:t>protect Aboriginal and Torres Strait Islander rights as the first people of the country.</w:t>
      </w:r>
      <w:bookmarkEnd w:id="2"/>
      <w:r w:rsidR="004F369B" w:rsidRPr="00CB032B">
        <w:rPr>
          <w:rStyle w:val="EndnoteReference"/>
          <w:rFonts w:ascii="Arial" w:hAnsi="Arial" w:cs="Arial"/>
          <w:sz w:val="22"/>
          <w:szCs w:val="22"/>
        </w:rPr>
        <w:endnoteReference w:id="1"/>
      </w:r>
      <w:r w:rsidR="004F369B" w:rsidRPr="00CB032B">
        <w:rPr>
          <w:rFonts w:ascii="Arial" w:hAnsi="Arial" w:cs="Arial"/>
          <w:sz w:val="22"/>
          <w:szCs w:val="22"/>
        </w:rPr>
        <w:t xml:space="preserve"> </w:t>
      </w:r>
      <w:r w:rsidR="00FC0FAC">
        <w:rPr>
          <w:rFonts w:ascii="Arial" w:hAnsi="Arial" w:cs="Arial"/>
          <w:sz w:val="22"/>
          <w:szCs w:val="22"/>
        </w:rPr>
        <w:t>As the Australian Human Rights Commission has noted,</w:t>
      </w:r>
      <w:r w:rsidR="004F369B" w:rsidRPr="00CB032B">
        <w:rPr>
          <w:rFonts w:ascii="Arial" w:hAnsi="Arial" w:cs="Arial"/>
          <w:sz w:val="22"/>
          <w:szCs w:val="22"/>
        </w:rPr>
        <w:t xml:space="preserve"> the </w:t>
      </w:r>
      <w:r w:rsidR="004F369B" w:rsidRPr="00CB032B">
        <w:rPr>
          <w:rFonts w:ascii="Arial" w:hAnsi="Arial" w:cs="Arial"/>
          <w:i/>
          <w:iCs/>
          <w:sz w:val="22"/>
          <w:szCs w:val="22"/>
        </w:rPr>
        <w:t>Racial Discrimination Act</w:t>
      </w:r>
      <w:r w:rsidR="004F369B" w:rsidRPr="00CB032B">
        <w:rPr>
          <w:rFonts w:ascii="Arial" w:hAnsi="Arial" w:cs="Arial"/>
          <w:sz w:val="22"/>
          <w:szCs w:val="22"/>
        </w:rPr>
        <w:t xml:space="preserve"> 1975</w:t>
      </w:r>
      <w:r w:rsidR="004F369B">
        <w:rPr>
          <w:rFonts w:ascii="Arial" w:hAnsi="Arial" w:cs="Arial"/>
          <w:sz w:val="22"/>
          <w:szCs w:val="22"/>
        </w:rPr>
        <w:t xml:space="preserve"> </w:t>
      </w:r>
      <w:r w:rsidR="004F369B" w:rsidRPr="00CB032B">
        <w:rPr>
          <w:rFonts w:ascii="Arial" w:hAnsi="Arial" w:cs="Arial"/>
          <w:sz w:val="22"/>
          <w:szCs w:val="22"/>
        </w:rPr>
        <w:t>(Cth)</w:t>
      </w:r>
      <w:r w:rsidR="004F369B">
        <w:rPr>
          <w:rFonts w:ascii="Arial" w:hAnsi="Arial" w:cs="Arial"/>
          <w:sz w:val="22"/>
          <w:szCs w:val="22"/>
        </w:rPr>
        <w:t xml:space="preserve"> </w:t>
      </w:r>
      <w:r w:rsidR="004F369B" w:rsidRPr="00CB032B">
        <w:rPr>
          <w:rFonts w:ascii="Arial" w:hAnsi="Arial" w:cs="Arial"/>
          <w:sz w:val="22"/>
          <w:szCs w:val="22"/>
        </w:rPr>
        <w:t xml:space="preserve">(RDA) has been compromised on three occasions: each time it has involved Aboriginal and Torres Strait issues. </w:t>
      </w:r>
      <w:r w:rsidR="004F369B">
        <w:rPr>
          <w:rFonts w:ascii="Arial" w:hAnsi="Arial" w:cs="Arial"/>
          <w:sz w:val="22"/>
          <w:szCs w:val="22"/>
        </w:rPr>
        <w:t xml:space="preserve">For example, the Constitution did not prevent the suspension of the RDA during the </w:t>
      </w:r>
      <w:hyperlink r:id="rId10" w:history="1">
        <w:r w:rsidR="004F369B" w:rsidRPr="00CB032B">
          <w:rPr>
            <w:rStyle w:val="Hyperlink"/>
            <w:rFonts w:ascii="Arial" w:hAnsi="Arial" w:cs="Arial"/>
            <w:sz w:val="22"/>
            <w:szCs w:val="22"/>
          </w:rPr>
          <w:t>Northern Territory Emergency Response</w:t>
        </w:r>
      </w:hyperlink>
      <w:r w:rsidR="004F369B">
        <w:rPr>
          <w:rFonts w:ascii="Arial" w:hAnsi="Arial" w:cs="Arial"/>
          <w:sz w:val="22"/>
          <w:szCs w:val="22"/>
        </w:rPr>
        <w:t>. Therefore, it was ineffective in protecting Aboriginal and Torres Strait Islander women and men from the most fundamental of all freedoms, the freedom from discrimination.</w:t>
      </w:r>
      <w:r w:rsidR="004F369B">
        <w:rPr>
          <w:rStyle w:val="EndnoteReference"/>
          <w:rFonts w:ascii="Arial" w:hAnsi="Arial" w:cs="Arial"/>
          <w:sz w:val="22"/>
          <w:szCs w:val="22"/>
        </w:rPr>
        <w:endnoteReference w:id="2"/>
      </w:r>
    </w:p>
    <w:p w14:paraId="156BA454" w14:textId="77777777" w:rsidR="004F369B" w:rsidRDefault="004F369B" w:rsidP="005B1DAE">
      <w:pPr>
        <w:pStyle w:val="SingleTxt"/>
        <w:ind w:left="0" w:right="-46"/>
        <w:contextualSpacing/>
        <w:jc w:val="left"/>
        <w:rPr>
          <w:rFonts w:ascii="Arial" w:hAnsi="Arial" w:cs="Arial"/>
          <w:sz w:val="22"/>
          <w:szCs w:val="22"/>
        </w:rPr>
      </w:pPr>
    </w:p>
    <w:p w14:paraId="5D8BF345" w14:textId="690E81CD" w:rsidR="004F369B" w:rsidRPr="00C4721A" w:rsidRDefault="004F369B" w:rsidP="005B1DAE">
      <w:pPr>
        <w:pStyle w:val="SingleTxt"/>
        <w:ind w:left="0" w:right="-46"/>
        <w:contextualSpacing/>
        <w:jc w:val="left"/>
        <w:rPr>
          <w:rFonts w:ascii="Arial" w:hAnsi="Arial" w:cs="Arial"/>
          <w:sz w:val="22"/>
          <w:szCs w:val="22"/>
        </w:rPr>
      </w:pPr>
      <w:r>
        <w:rPr>
          <w:rFonts w:ascii="Arial" w:hAnsi="Arial" w:cs="Arial"/>
          <w:sz w:val="22"/>
          <w:szCs w:val="22"/>
        </w:rPr>
        <w:t xml:space="preserve">The Australian Constitution does not make adequate provision for Aboriginal and Torres Strait Islander women and men. </w:t>
      </w:r>
      <w:r w:rsidRPr="00C4721A">
        <w:rPr>
          <w:rFonts w:ascii="Arial" w:hAnsi="Arial" w:cs="Arial"/>
          <w:sz w:val="22"/>
          <w:szCs w:val="22"/>
        </w:rPr>
        <w:t xml:space="preserve">The </w:t>
      </w:r>
      <w:hyperlink r:id="rId11" w:history="1">
        <w:r w:rsidRPr="00C4721A">
          <w:rPr>
            <w:rStyle w:val="Hyperlink"/>
            <w:rFonts w:ascii="Arial" w:hAnsi="Arial" w:cs="Arial"/>
            <w:sz w:val="22"/>
            <w:szCs w:val="22"/>
          </w:rPr>
          <w:t>2017 Uluru Statement</w:t>
        </w:r>
      </w:hyperlink>
      <w:r>
        <w:rPr>
          <w:rStyle w:val="EndnoteReference"/>
          <w:rFonts w:ascii="Arial" w:hAnsi="Arial" w:cs="Arial"/>
          <w:color w:val="0563C1" w:themeColor="hyperlink"/>
          <w:sz w:val="22"/>
          <w:szCs w:val="22"/>
          <w:u w:val="single"/>
        </w:rPr>
        <w:endnoteReference w:id="3"/>
      </w:r>
      <w:r w:rsidRPr="00C4721A">
        <w:rPr>
          <w:rFonts w:ascii="Arial" w:hAnsi="Arial" w:cs="Arial"/>
          <w:sz w:val="22"/>
          <w:szCs w:val="22"/>
        </w:rPr>
        <w:t xml:space="preserve"> called for </w:t>
      </w:r>
      <w:r>
        <w:rPr>
          <w:rFonts w:ascii="Arial" w:hAnsi="Arial" w:cs="Arial"/>
          <w:sz w:val="22"/>
          <w:szCs w:val="22"/>
        </w:rPr>
        <w:t xml:space="preserve">constitutional recognition and </w:t>
      </w:r>
      <w:r w:rsidRPr="00C4721A">
        <w:rPr>
          <w:rFonts w:ascii="Arial" w:hAnsi="Arial" w:cs="Arial"/>
          <w:sz w:val="22"/>
          <w:szCs w:val="22"/>
        </w:rPr>
        <w:t xml:space="preserve">a Makarrata Commission or </w:t>
      </w:r>
      <w:r>
        <w:rPr>
          <w:rFonts w:ascii="Arial" w:hAnsi="Arial" w:cs="Arial"/>
          <w:sz w:val="22"/>
          <w:szCs w:val="22"/>
        </w:rPr>
        <w:t xml:space="preserve">a </w:t>
      </w:r>
      <w:r w:rsidRPr="00C4721A">
        <w:rPr>
          <w:rFonts w:ascii="Arial" w:hAnsi="Arial" w:cs="Arial"/>
          <w:sz w:val="22"/>
          <w:szCs w:val="22"/>
        </w:rPr>
        <w:t xml:space="preserve">Treaty, Truth and Justice Commission. Australia </w:t>
      </w:r>
      <w:r>
        <w:rPr>
          <w:rFonts w:ascii="Arial" w:hAnsi="Arial" w:cs="Arial"/>
          <w:sz w:val="22"/>
          <w:szCs w:val="22"/>
        </w:rPr>
        <w:t>is</w:t>
      </w:r>
      <w:r w:rsidRPr="00C4721A">
        <w:rPr>
          <w:rFonts w:ascii="Arial" w:hAnsi="Arial" w:cs="Arial"/>
          <w:sz w:val="22"/>
          <w:szCs w:val="22"/>
        </w:rPr>
        <w:t xml:space="preserve"> the only former British colony without a treaty</w:t>
      </w:r>
      <w:r>
        <w:rPr>
          <w:rFonts w:ascii="Arial" w:hAnsi="Arial" w:cs="Arial"/>
          <w:sz w:val="22"/>
          <w:szCs w:val="22"/>
        </w:rPr>
        <w:t xml:space="preserve"> with its Indigenous people</w:t>
      </w:r>
      <w:r w:rsidRPr="00C4721A">
        <w:rPr>
          <w:rFonts w:ascii="Arial" w:hAnsi="Arial" w:cs="Arial"/>
          <w:sz w:val="22"/>
          <w:szCs w:val="22"/>
        </w:rPr>
        <w:t>.</w:t>
      </w:r>
      <w:r>
        <w:rPr>
          <w:rFonts w:ascii="Arial" w:hAnsi="Arial" w:cs="Arial"/>
          <w:sz w:val="22"/>
          <w:szCs w:val="22"/>
        </w:rPr>
        <w:t xml:space="preserve"> The inclusion of Aboriginal and Torres Strait Islander peoples in the Australian Constitution would in turn highlight the Australian Government’s obligation to achieve national reconciliation and to ensure the well-being of Aboriginal and Torres Strait Islander peoples and especially for the women. A constitutional recognition would </w:t>
      </w:r>
      <w:r>
        <w:rPr>
          <w:rFonts w:ascii="Arial" w:hAnsi="Arial" w:cs="Arial"/>
          <w:sz w:val="22"/>
          <w:szCs w:val="22"/>
        </w:rPr>
        <w:lastRenderedPageBreak/>
        <w:t xml:space="preserve">bring Australia </w:t>
      </w:r>
      <w:r w:rsidRPr="00C4721A">
        <w:rPr>
          <w:rFonts w:ascii="Arial" w:hAnsi="Arial" w:cs="Arial"/>
          <w:sz w:val="22"/>
          <w:szCs w:val="22"/>
        </w:rPr>
        <w:t>in</w:t>
      </w:r>
      <w:r>
        <w:rPr>
          <w:rFonts w:ascii="Arial" w:hAnsi="Arial" w:cs="Arial"/>
          <w:sz w:val="22"/>
          <w:szCs w:val="22"/>
        </w:rPr>
        <w:t>to</w:t>
      </w:r>
      <w:r w:rsidRPr="00C4721A">
        <w:rPr>
          <w:rFonts w:ascii="Arial" w:hAnsi="Arial" w:cs="Arial"/>
          <w:sz w:val="22"/>
          <w:szCs w:val="22"/>
        </w:rPr>
        <w:t xml:space="preserve"> line with the UN</w:t>
      </w:r>
      <w:r>
        <w:rPr>
          <w:rFonts w:ascii="Arial" w:hAnsi="Arial" w:cs="Arial"/>
          <w:sz w:val="22"/>
          <w:szCs w:val="22"/>
        </w:rPr>
        <w:t xml:space="preserve"> </w:t>
      </w:r>
      <w:r w:rsidRPr="00C4721A">
        <w:rPr>
          <w:rFonts w:ascii="Arial" w:hAnsi="Arial" w:cs="Arial"/>
          <w:sz w:val="22"/>
          <w:szCs w:val="22"/>
        </w:rPr>
        <w:t>D</w:t>
      </w:r>
      <w:r>
        <w:rPr>
          <w:rFonts w:ascii="Arial" w:hAnsi="Arial" w:cs="Arial"/>
          <w:sz w:val="22"/>
          <w:szCs w:val="22"/>
        </w:rPr>
        <w:t>eclaration on the Rights of Indigenous Peoples and see it move closer to the position in other former British colonies, including Canada and New Zealand, where States enter into treaties with Indigenous peoples with the purpose of conferring a wider margin of autonomy on them.</w:t>
      </w:r>
      <w:r w:rsidRPr="00C4721A">
        <w:rPr>
          <w:rStyle w:val="EndnoteReference"/>
          <w:rFonts w:ascii="Arial" w:hAnsi="Arial" w:cs="Arial"/>
          <w:sz w:val="22"/>
          <w:szCs w:val="22"/>
        </w:rPr>
        <w:endnoteReference w:id="4"/>
      </w:r>
      <w:r w:rsidRPr="00C4721A">
        <w:rPr>
          <w:rFonts w:ascii="Arial" w:hAnsi="Arial" w:cs="Arial"/>
          <w:sz w:val="22"/>
          <w:szCs w:val="22"/>
        </w:rPr>
        <w:t xml:space="preserve"> </w:t>
      </w:r>
    </w:p>
    <w:p w14:paraId="6B0F6ACD" w14:textId="49811A02" w:rsidR="004F369B" w:rsidRPr="00292858" w:rsidRDefault="004F369B" w:rsidP="005B1DAE">
      <w:pPr>
        <w:pStyle w:val="SingleTxt"/>
        <w:ind w:left="0" w:right="-46"/>
        <w:contextualSpacing/>
        <w:jc w:val="left"/>
        <w:rPr>
          <w:rFonts w:ascii="Arial" w:hAnsi="Arial" w:cs="Arial"/>
          <w:b/>
          <w:bCs/>
          <w:iCs/>
          <w:sz w:val="22"/>
          <w:szCs w:val="22"/>
        </w:rPr>
      </w:pPr>
    </w:p>
    <w:p w14:paraId="78CF88FA" w14:textId="2E4A541C" w:rsidR="004F369B" w:rsidRPr="00292858" w:rsidRDefault="004F369B" w:rsidP="00292858">
      <w:pPr>
        <w:pStyle w:val="Default"/>
        <w:contextualSpacing/>
        <w:rPr>
          <w:rFonts w:ascii="Arial" w:hAnsi="Arial" w:cs="Arial"/>
          <w:bCs/>
          <w:sz w:val="22"/>
          <w:szCs w:val="22"/>
        </w:rPr>
      </w:pPr>
      <w:r w:rsidRPr="00345289">
        <w:rPr>
          <w:rFonts w:ascii="Arial" w:hAnsi="Arial" w:cs="Arial"/>
          <w:b/>
          <w:sz w:val="22"/>
          <w:szCs w:val="22"/>
        </w:rPr>
        <w:t>Recommendation 46(b)</w:t>
      </w:r>
    </w:p>
    <w:p w14:paraId="3CF89EA1" w14:textId="77777777" w:rsidR="004F369B" w:rsidRPr="00345289" w:rsidRDefault="004F369B" w:rsidP="005B1DAE">
      <w:pPr>
        <w:pStyle w:val="SingleTxt"/>
        <w:ind w:left="0" w:right="95"/>
        <w:contextualSpacing/>
        <w:jc w:val="left"/>
        <w:rPr>
          <w:rFonts w:ascii="Arial" w:hAnsi="Arial" w:cs="Arial"/>
          <w:sz w:val="22"/>
          <w:szCs w:val="22"/>
        </w:rPr>
      </w:pPr>
    </w:p>
    <w:p w14:paraId="1C584E2B" w14:textId="185C76E8" w:rsidR="004F369B" w:rsidRDefault="00292858" w:rsidP="005B1DAE">
      <w:pPr>
        <w:spacing w:line="240" w:lineRule="auto"/>
        <w:contextualSpacing/>
        <w:jc w:val="both"/>
        <w:rPr>
          <w:rFonts w:ascii="Arial" w:hAnsi="Arial" w:cs="Arial"/>
        </w:rPr>
      </w:pPr>
      <w:r>
        <w:rPr>
          <w:rFonts w:ascii="Arial" w:hAnsi="Arial" w:cs="Arial"/>
        </w:rPr>
        <w:t>T</w:t>
      </w:r>
      <w:r w:rsidR="004F369B" w:rsidRPr="00345289">
        <w:rPr>
          <w:rFonts w:ascii="Arial" w:hAnsi="Arial" w:cs="Arial"/>
        </w:rPr>
        <w:t>his recommendation has not yet been implemented.</w:t>
      </w:r>
    </w:p>
    <w:p w14:paraId="6F260BF7" w14:textId="77777777" w:rsidR="004F369B" w:rsidRPr="00345289" w:rsidRDefault="004F369B" w:rsidP="005B1DAE">
      <w:pPr>
        <w:spacing w:line="240" w:lineRule="auto"/>
        <w:contextualSpacing/>
        <w:jc w:val="both"/>
        <w:rPr>
          <w:rFonts w:ascii="Arial" w:hAnsi="Arial" w:cs="Arial"/>
        </w:rPr>
      </w:pPr>
    </w:p>
    <w:p w14:paraId="1A8F9008" w14:textId="77777777" w:rsidR="004F369B" w:rsidRDefault="004F369B" w:rsidP="005B1DAE">
      <w:pPr>
        <w:spacing w:line="240" w:lineRule="auto"/>
        <w:contextualSpacing/>
        <w:jc w:val="both"/>
        <w:rPr>
          <w:rFonts w:ascii="Arial" w:hAnsi="Arial" w:cs="Arial"/>
        </w:rPr>
      </w:pPr>
      <w:r w:rsidRPr="00345289">
        <w:rPr>
          <w:rFonts w:ascii="Arial" w:hAnsi="Arial" w:cs="Arial"/>
        </w:rPr>
        <w:t xml:space="preserve">Between the 2018 CEDAW committee recommendations and the current period, the operating environment for and the demands on the Federal Government have shifted significantly. The </w:t>
      </w:r>
      <w:r>
        <w:rPr>
          <w:rFonts w:ascii="Arial" w:hAnsi="Arial" w:cs="Arial"/>
        </w:rPr>
        <w:t xml:space="preserve">2017-2020 drought, the </w:t>
      </w:r>
      <w:r w:rsidRPr="00345289">
        <w:rPr>
          <w:rFonts w:ascii="Arial" w:hAnsi="Arial" w:cs="Arial"/>
        </w:rPr>
        <w:t xml:space="preserve">2019-20 bushfires and the COVID-19 pandemic have focussed critical attention on the health and resilience of Australia’s social and economic systems. </w:t>
      </w:r>
    </w:p>
    <w:p w14:paraId="4922EA74" w14:textId="77777777" w:rsidR="004F369B" w:rsidRPr="00B72CE5" w:rsidRDefault="004F369B" w:rsidP="005B1DAE">
      <w:pPr>
        <w:spacing w:line="240" w:lineRule="auto"/>
        <w:contextualSpacing/>
        <w:jc w:val="both"/>
        <w:rPr>
          <w:rFonts w:ascii="Arial" w:hAnsi="Arial" w:cs="Arial"/>
        </w:rPr>
      </w:pPr>
    </w:p>
    <w:p w14:paraId="3F60CB89" w14:textId="6269B462" w:rsidR="004F369B" w:rsidRPr="00345289" w:rsidRDefault="004F369B" w:rsidP="005B1DAE">
      <w:pPr>
        <w:spacing w:line="240" w:lineRule="auto"/>
        <w:contextualSpacing/>
        <w:jc w:val="both"/>
        <w:rPr>
          <w:rFonts w:ascii="Arial" w:hAnsi="Arial" w:cs="Arial"/>
        </w:rPr>
      </w:pPr>
      <w:r w:rsidRPr="00345289">
        <w:rPr>
          <w:rFonts w:ascii="Arial" w:hAnsi="Arial" w:cs="Arial"/>
        </w:rPr>
        <w:t>However, despite clear evidence about the different impacts of</w:t>
      </w:r>
      <w:r>
        <w:rPr>
          <w:rFonts w:ascii="Arial" w:hAnsi="Arial" w:cs="Arial"/>
        </w:rPr>
        <w:t xml:space="preserve"> natural disasters and</w:t>
      </w:r>
      <w:r w:rsidRPr="00345289">
        <w:rPr>
          <w:rFonts w:ascii="Arial" w:hAnsi="Arial" w:cs="Arial"/>
        </w:rPr>
        <w:t xml:space="preserve"> COVID-19 on men and women in Australia and the Government’s clear acceptance that the </w:t>
      </w:r>
      <w:r>
        <w:rPr>
          <w:rFonts w:ascii="Arial" w:hAnsi="Arial" w:cs="Arial"/>
        </w:rPr>
        <w:t xml:space="preserve">long-term </w:t>
      </w:r>
      <w:r w:rsidRPr="00345289">
        <w:rPr>
          <w:rFonts w:ascii="Arial" w:hAnsi="Arial" w:cs="Arial"/>
        </w:rPr>
        <w:t xml:space="preserve">economic and social effects of COVID-19 </w:t>
      </w:r>
      <w:r>
        <w:rPr>
          <w:rFonts w:ascii="Arial" w:hAnsi="Arial" w:cs="Arial"/>
        </w:rPr>
        <w:t xml:space="preserve">will fall </w:t>
      </w:r>
      <w:r w:rsidRPr="00345289">
        <w:rPr>
          <w:rFonts w:ascii="Arial" w:hAnsi="Arial" w:cs="Arial"/>
        </w:rPr>
        <w:t>hardest on women, the federal infrastructure for directing and allocating grant funding still lacks a commitment to encouraging the funding of specialist women’s services or feminist organisations</w:t>
      </w:r>
      <w:r>
        <w:rPr>
          <w:rFonts w:ascii="Arial" w:hAnsi="Arial" w:cs="Arial"/>
        </w:rPr>
        <w:t xml:space="preserve">, with no indication from the </w:t>
      </w:r>
      <w:r w:rsidRPr="00345289">
        <w:rPr>
          <w:rFonts w:ascii="Arial" w:hAnsi="Arial" w:cs="Arial"/>
        </w:rPr>
        <w:t xml:space="preserve">2020 budget that additional spending on programs aimed at alleviating gender inequality will be allocated with </w:t>
      </w:r>
      <w:r>
        <w:rPr>
          <w:rFonts w:ascii="Arial" w:hAnsi="Arial" w:cs="Arial"/>
        </w:rPr>
        <w:t>a</w:t>
      </w:r>
      <w:r w:rsidRPr="00345289">
        <w:rPr>
          <w:rFonts w:ascii="Arial" w:hAnsi="Arial" w:cs="Arial"/>
        </w:rPr>
        <w:t xml:space="preserve"> focus on increasing the proportion of funding allocated to specialist women’s organisations or organisations focussed on the rights of Aboriginal and Torres Strait Islander women. </w:t>
      </w:r>
    </w:p>
    <w:p w14:paraId="44469138" w14:textId="77777777" w:rsidR="004F369B" w:rsidRDefault="004F369B" w:rsidP="005B1DAE">
      <w:pPr>
        <w:spacing w:before="120" w:after="120" w:line="240" w:lineRule="auto"/>
        <w:contextualSpacing/>
        <w:jc w:val="both"/>
        <w:textAlignment w:val="baseline"/>
        <w:rPr>
          <w:rFonts w:ascii="Arial" w:hAnsi="Arial" w:cs="Arial"/>
        </w:rPr>
      </w:pPr>
    </w:p>
    <w:p w14:paraId="0F1BF292" w14:textId="04E69E7E" w:rsidR="004F369B" w:rsidRDefault="004F369B" w:rsidP="0056583A">
      <w:pPr>
        <w:spacing w:before="120" w:after="120" w:line="240" w:lineRule="auto"/>
        <w:contextualSpacing/>
        <w:jc w:val="both"/>
        <w:textAlignment w:val="baseline"/>
        <w:rPr>
          <w:rFonts w:ascii="Arial" w:hAnsi="Arial" w:cs="Arial"/>
        </w:rPr>
      </w:pPr>
      <w:r w:rsidRPr="00C4145F">
        <w:rPr>
          <w:rFonts w:ascii="Arial" w:hAnsi="Arial" w:cs="Arial"/>
        </w:rPr>
        <w:t>One notable example of this trend occurred in May 2020, when the federal government announced an additional $63.3 million in funding for front line legal assistance services, including $49.8 million to provide services during and in response to COVID-19.</w:t>
      </w:r>
      <w:r w:rsidRPr="00C4145F">
        <w:rPr>
          <w:rStyle w:val="EndnoteReference"/>
          <w:rFonts w:ascii="Arial" w:hAnsi="Arial" w:cs="Arial"/>
        </w:rPr>
        <w:endnoteReference w:id="5"/>
      </w:r>
      <w:r w:rsidRPr="00C4145F">
        <w:rPr>
          <w:rFonts w:ascii="Arial" w:hAnsi="Arial" w:cs="Arial"/>
        </w:rPr>
        <w:t xml:space="preserve"> This funding was warmly welcomed, particularly as 40% of the funding ($19.9 million) was quarantined to be allocated to services addressing domestic violence. Identifying and allocating funding to key areas of gender inequality in this manner is strongly supported. However, $3.4 million </w:t>
      </w:r>
      <w:r w:rsidR="00E8694A">
        <w:rPr>
          <w:rFonts w:ascii="Arial" w:hAnsi="Arial" w:cs="Arial"/>
        </w:rPr>
        <w:t xml:space="preserve">of the $48.8 million </w:t>
      </w:r>
      <w:r w:rsidRPr="00C4145F">
        <w:rPr>
          <w:rFonts w:ascii="Arial" w:hAnsi="Arial" w:cs="Arial"/>
        </w:rPr>
        <w:t>(7%) was allocated to women’s legal services and $7.9 million (16%) was granted to National Aboriginal and Torres Strait Islander Legal Services, while $18.2 million (37%) of the funding was granted to Legal Aid Commissions, which have no specific focus on the rights of women.</w:t>
      </w:r>
      <w:r w:rsidRPr="00851104">
        <w:rPr>
          <w:rStyle w:val="EndnoteReference"/>
          <w:rFonts w:ascii="Arial" w:hAnsi="Arial" w:cs="Arial"/>
        </w:rPr>
        <w:endnoteReference w:id="6"/>
      </w:r>
      <w:r w:rsidRPr="00851104">
        <w:rPr>
          <w:rFonts w:ascii="Arial" w:hAnsi="Arial" w:cs="Arial"/>
        </w:rPr>
        <w:t xml:space="preserve"> </w:t>
      </w:r>
      <w:r w:rsidRPr="00851104">
        <w:rPr>
          <w:rFonts w:ascii="Arial" w:eastAsia="Times New Roman" w:hAnsi="Arial" w:cs="Arial"/>
          <w:color w:val="000000"/>
          <w:lang w:eastAsia="en-GB"/>
        </w:rPr>
        <w:t xml:space="preserve">In Tasmania only one third of the funding allocated to community legal services was allocated to women’s legal services, while </w:t>
      </w:r>
      <w:r>
        <w:rPr>
          <w:rFonts w:ascii="Arial" w:eastAsia="Times New Roman" w:hAnsi="Arial" w:cs="Arial"/>
          <w:color w:val="000000"/>
          <w:lang w:eastAsia="en-GB"/>
        </w:rPr>
        <w:t>two thirds was</w:t>
      </w:r>
      <w:r w:rsidRPr="00851104">
        <w:rPr>
          <w:rFonts w:ascii="Arial" w:eastAsia="Times New Roman" w:hAnsi="Arial" w:cs="Arial"/>
          <w:color w:val="000000"/>
          <w:lang w:eastAsia="en-GB"/>
        </w:rPr>
        <w:t xml:space="preserve"> allocated to other community legal services without the same gender expertise. Only small amounts </w:t>
      </w:r>
      <w:r>
        <w:rPr>
          <w:rFonts w:ascii="Arial" w:eastAsia="Times New Roman" w:hAnsi="Arial" w:cs="Arial"/>
          <w:color w:val="000000"/>
          <w:lang w:eastAsia="en-GB"/>
        </w:rPr>
        <w:t>were</w:t>
      </w:r>
      <w:r w:rsidRPr="00851104">
        <w:rPr>
          <w:rFonts w:ascii="Arial" w:eastAsia="Times New Roman" w:hAnsi="Arial" w:cs="Arial"/>
          <w:color w:val="000000"/>
          <w:lang w:eastAsia="en-GB"/>
        </w:rPr>
        <w:t xml:space="preserve"> allocated to community-controlled services working with particularly marginalised groups. In NSW some community-controlled organisations received as little as $3000 in additional funding.</w:t>
      </w:r>
      <w:r>
        <w:rPr>
          <w:rStyle w:val="EndnoteReference"/>
          <w:rFonts w:ascii="Arial" w:eastAsia="Times New Roman" w:hAnsi="Arial" w:cs="Arial"/>
          <w:color w:val="000000"/>
          <w:lang w:eastAsia="en-GB"/>
        </w:rPr>
        <w:endnoteReference w:id="7"/>
      </w:r>
      <w:r w:rsidR="0056583A">
        <w:rPr>
          <w:rFonts w:ascii="Arial" w:eastAsia="Times New Roman" w:hAnsi="Arial" w:cs="Arial"/>
          <w:color w:val="000000"/>
          <w:lang w:eastAsia="en-GB"/>
        </w:rPr>
        <w:t xml:space="preserve"> </w:t>
      </w:r>
      <w:r w:rsidRPr="00C4145F">
        <w:rPr>
          <w:rFonts w:ascii="Arial" w:hAnsi="Arial" w:cs="Arial"/>
        </w:rPr>
        <w:t xml:space="preserve">Further, national costings indicate an additional $25 million per year is needed </w:t>
      </w:r>
      <w:r>
        <w:rPr>
          <w:rFonts w:ascii="Arial" w:hAnsi="Arial" w:cs="Arial"/>
        </w:rPr>
        <w:t xml:space="preserve">simply </w:t>
      </w:r>
      <w:r w:rsidRPr="00C4145F">
        <w:rPr>
          <w:rFonts w:ascii="Arial" w:hAnsi="Arial" w:cs="Arial"/>
        </w:rPr>
        <w:t xml:space="preserve">to </w:t>
      </w:r>
      <w:r>
        <w:rPr>
          <w:rFonts w:ascii="Arial" w:hAnsi="Arial" w:cs="Arial"/>
        </w:rPr>
        <w:t xml:space="preserve">address the pre-COVID </w:t>
      </w:r>
      <w:r w:rsidRPr="00C4145F">
        <w:rPr>
          <w:rFonts w:ascii="Arial" w:hAnsi="Arial" w:cs="Arial"/>
        </w:rPr>
        <w:t xml:space="preserve">volume of requests </w:t>
      </w:r>
      <w:r>
        <w:rPr>
          <w:rFonts w:ascii="Arial" w:hAnsi="Arial" w:cs="Arial"/>
        </w:rPr>
        <w:t xml:space="preserve">for assistance </w:t>
      </w:r>
      <w:r w:rsidRPr="00C4145F">
        <w:rPr>
          <w:rFonts w:ascii="Arial" w:hAnsi="Arial" w:cs="Arial"/>
        </w:rPr>
        <w:t>received by specialist women’s legal services.</w:t>
      </w:r>
      <w:r w:rsidRPr="00C4145F">
        <w:rPr>
          <w:rStyle w:val="EndnoteReference"/>
          <w:rFonts w:ascii="Arial" w:hAnsi="Arial" w:cs="Arial"/>
        </w:rPr>
        <w:endnoteReference w:id="8"/>
      </w:r>
      <w:r w:rsidRPr="00C4145F">
        <w:rPr>
          <w:rFonts w:ascii="Arial" w:hAnsi="Arial" w:cs="Arial"/>
        </w:rPr>
        <w:t xml:space="preserve"> </w:t>
      </w:r>
    </w:p>
    <w:p w14:paraId="0273FA40" w14:textId="77777777" w:rsidR="0056583A" w:rsidRPr="0056583A" w:rsidRDefault="0056583A" w:rsidP="0056583A">
      <w:pPr>
        <w:spacing w:before="120" w:after="120" w:line="240" w:lineRule="auto"/>
        <w:contextualSpacing/>
        <w:jc w:val="both"/>
        <w:textAlignment w:val="baseline"/>
        <w:rPr>
          <w:rFonts w:asciiTheme="majorHAnsi" w:eastAsia="Times New Roman" w:hAnsiTheme="majorHAnsi" w:cstheme="majorHAnsi"/>
          <w:color w:val="000000"/>
          <w:lang w:eastAsia="en-GB"/>
        </w:rPr>
      </w:pPr>
    </w:p>
    <w:p w14:paraId="4B3F70E5" w14:textId="5215D1CE" w:rsidR="004F369B" w:rsidRDefault="004F369B" w:rsidP="005B1DAE">
      <w:pPr>
        <w:spacing w:line="240" w:lineRule="auto"/>
        <w:contextualSpacing/>
        <w:rPr>
          <w:rFonts w:ascii="Arial" w:hAnsi="Arial" w:cs="Arial"/>
        </w:rPr>
      </w:pPr>
      <w:r w:rsidRPr="00345289">
        <w:rPr>
          <w:rFonts w:ascii="Arial" w:hAnsi="Arial" w:cs="Arial"/>
        </w:rPr>
        <w:t xml:space="preserve">The </w:t>
      </w:r>
      <w:hyperlink r:id="rId12" w:history="1">
        <w:r w:rsidRPr="006A5AF5">
          <w:rPr>
            <w:rStyle w:val="Hyperlink"/>
            <w:rFonts w:ascii="Arial" w:hAnsi="Arial" w:cs="Arial"/>
            <w:i/>
            <w:iCs/>
          </w:rPr>
          <w:t>2020 Women’s Economic Security Statement</w:t>
        </w:r>
      </w:hyperlink>
      <w:r>
        <w:rPr>
          <w:rStyle w:val="Hyperlink"/>
          <w:rFonts w:ascii="Arial" w:hAnsi="Arial" w:cs="Arial"/>
          <w:i/>
          <w:iCs/>
        </w:rPr>
        <w:t xml:space="preserve"> (WESS20)</w:t>
      </w:r>
      <w:r>
        <w:rPr>
          <w:rFonts w:ascii="Arial" w:hAnsi="Arial" w:cs="Arial"/>
        </w:rPr>
        <w:t xml:space="preserve"> </w:t>
      </w:r>
      <w:r w:rsidRPr="00345289">
        <w:rPr>
          <w:rFonts w:ascii="Arial" w:hAnsi="Arial" w:cs="Arial"/>
        </w:rPr>
        <w:t xml:space="preserve">(which accompanied the 2020 </w:t>
      </w:r>
      <w:r w:rsidR="0056583A">
        <w:rPr>
          <w:rFonts w:ascii="Arial" w:hAnsi="Arial" w:cs="Arial"/>
        </w:rPr>
        <w:t>f</w:t>
      </w:r>
      <w:r w:rsidRPr="00345289">
        <w:rPr>
          <w:rFonts w:ascii="Arial" w:hAnsi="Arial" w:cs="Arial"/>
        </w:rPr>
        <w:t>ederal budget in October) announced a welcome $240.4 million in funding for a range of initiatives, primarily targeted at women’s employment.</w:t>
      </w:r>
      <w:r>
        <w:rPr>
          <w:rFonts w:ascii="Arial" w:hAnsi="Arial" w:cs="Arial"/>
        </w:rPr>
        <w:t xml:space="preserve"> This is an increase in spending from the </w:t>
      </w:r>
      <w:hyperlink r:id="rId13" w:history="1">
        <w:r w:rsidRPr="006A5AF5">
          <w:rPr>
            <w:rStyle w:val="Hyperlink"/>
            <w:rFonts w:ascii="Arial" w:hAnsi="Arial" w:cs="Arial"/>
            <w:i/>
            <w:iCs/>
          </w:rPr>
          <w:t>2018 Women’s Economic Security Statement</w:t>
        </w:r>
      </w:hyperlink>
      <w:r>
        <w:rPr>
          <w:rStyle w:val="Hyperlink"/>
          <w:rFonts w:ascii="Arial" w:hAnsi="Arial" w:cs="Arial"/>
          <w:i/>
          <w:iCs/>
        </w:rPr>
        <w:t xml:space="preserve"> (WESS18)</w:t>
      </w:r>
      <w:r>
        <w:rPr>
          <w:rFonts w:ascii="Arial" w:hAnsi="Arial" w:cs="Arial"/>
        </w:rPr>
        <w:t>, which contained spending of $109 million over four years.</w:t>
      </w:r>
      <w:r>
        <w:rPr>
          <w:rStyle w:val="EndnoteReference"/>
          <w:rFonts w:ascii="Arial" w:hAnsi="Arial" w:cs="Arial"/>
        </w:rPr>
        <w:endnoteReference w:id="9"/>
      </w:r>
      <w:r w:rsidRPr="00345289">
        <w:rPr>
          <w:rFonts w:ascii="Arial" w:hAnsi="Arial" w:cs="Arial"/>
        </w:rPr>
        <w:t xml:space="preserve"> However, it is yet to be seen</w:t>
      </w:r>
      <w:r>
        <w:rPr>
          <w:rFonts w:ascii="Arial" w:hAnsi="Arial" w:cs="Arial"/>
        </w:rPr>
        <w:t xml:space="preserve"> </w:t>
      </w:r>
      <w:r w:rsidRPr="00345289">
        <w:rPr>
          <w:rFonts w:ascii="Arial" w:hAnsi="Arial" w:cs="Arial"/>
        </w:rPr>
        <w:t xml:space="preserve">whether the initiatives included in the </w:t>
      </w:r>
      <w:r>
        <w:rPr>
          <w:rFonts w:ascii="Arial" w:hAnsi="Arial" w:cs="Arial"/>
        </w:rPr>
        <w:t xml:space="preserve">2020 </w:t>
      </w:r>
      <w:r w:rsidRPr="00345289">
        <w:rPr>
          <w:rFonts w:ascii="Arial" w:hAnsi="Arial" w:cs="Arial"/>
        </w:rPr>
        <w:t xml:space="preserve">Statement will provide </w:t>
      </w:r>
      <w:r w:rsidR="005B1DAE">
        <w:rPr>
          <w:rFonts w:ascii="Arial" w:hAnsi="Arial" w:cs="Arial"/>
        </w:rPr>
        <w:t xml:space="preserve">any </w:t>
      </w:r>
      <w:r w:rsidRPr="00345289">
        <w:rPr>
          <w:rFonts w:ascii="Arial" w:hAnsi="Arial" w:cs="Arial"/>
        </w:rPr>
        <w:t>funding to specialist women’s services or feminist organisations.</w:t>
      </w:r>
    </w:p>
    <w:p w14:paraId="2906F26C" w14:textId="56AD1CAF" w:rsidR="00AC451F" w:rsidRDefault="00AC451F" w:rsidP="005B1DAE">
      <w:pPr>
        <w:pStyle w:val="NormalWeb"/>
        <w:contextualSpacing/>
        <w:rPr>
          <w:rFonts w:ascii="Arial" w:hAnsi="Arial" w:cs="Arial"/>
          <w:sz w:val="22"/>
          <w:szCs w:val="22"/>
        </w:rPr>
      </w:pPr>
      <w:r w:rsidRPr="00631E33">
        <w:rPr>
          <w:rFonts w:ascii="Arial" w:hAnsi="Arial" w:cs="Arial"/>
          <w:sz w:val="22"/>
          <w:szCs w:val="22"/>
        </w:rPr>
        <w:t xml:space="preserve">The federal budget for 2020 saw the first increase to Australia’s Official Development Assistance (ODA) budget in 7 years, with the allocation of $304.7 million in new grant-based funding to projects </w:t>
      </w:r>
      <w:r>
        <w:rPr>
          <w:rFonts w:ascii="Arial" w:hAnsi="Arial" w:cs="Arial"/>
          <w:sz w:val="22"/>
          <w:szCs w:val="22"/>
        </w:rPr>
        <w:t xml:space="preserve">supporting COVID-19 response and recovery </w:t>
      </w:r>
      <w:r w:rsidRPr="00631E33">
        <w:rPr>
          <w:rFonts w:ascii="Arial" w:hAnsi="Arial" w:cs="Arial"/>
          <w:sz w:val="22"/>
          <w:szCs w:val="22"/>
        </w:rPr>
        <w:t xml:space="preserve">in the Pacific and Timor Leste. DFAT’s standing gender equality fund also received a welcome increase of $10 million. </w:t>
      </w:r>
      <w:r w:rsidRPr="00041E37">
        <w:rPr>
          <w:rFonts w:ascii="Arial" w:hAnsi="Arial" w:cs="Arial"/>
          <w:sz w:val="22"/>
          <w:szCs w:val="22"/>
        </w:rPr>
        <w:t xml:space="preserve">However, </w:t>
      </w:r>
      <w:r>
        <w:rPr>
          <w:rFonts w:ascii="Arial" w:hAnsi="Arial" w:cs="Arial"/>
          <w:sz w:val="22"/>
          <w:szCs w:val="22"/>
        </w:rPr>
        <w:t xml:space="preserve">just 5% of Australia’s ODA is dedicated to programs where gender equality is the principle objective, and </w:t>
      </w:r>
      <w:r w:rsidRPr="00DB1B06">
        <w:rPr>
          <w:rFonts w:ascii="Arial" w:hAnsi="Arial" w:cs="Arial"/>
          <w:sz w:val="22"/>
          <w:szCs w:val="22"/>
        </w:rPr>
        <w:t>less than 1% of Australia’s ODA reaches women’s equality organisations and institutions (as defined by the OECD’s Development Assistance Committee).</w:t>
      </w:r>
      <w:r w:rsidRPr="00041E37">
        <w:rPr>
          <w:rStyle w:val="EndnoteReference"/>
          <w:rFonts w:ascii="Arial" w:hAnsi="Arial" w:cs="Arial"/>
          <w:sz w:val="22"/>
          <w:szCs w:val="22"/>
        </w:rPr>
        <w:endnoteReference w:id="10"/>
      </w:r>
      <w:r w:rsidRPr="00041E37">
        <w:rPr>
          <w:rFonts w:ascii="Arial" w:hAnsi="Arial" w:cs="Arial"/>
          <w:sz w:val="22"/>
          <w:szCs w:val="22"/>
        </w:rPr>
        <w:t xml:space="preserve"> </w:t>
      </w:r>
      <w:r w:rsidRPr="00E32E77">
        <w:rPr>
          <w:rFonts w:ascii="Arial" w:hAnsi="Arial" w:cs="Arial"/>
          <w:sz w:val="22"/>
          <w:szCs w:val="22"/>
        </w:rPr>
        <w:t xml:space="preserve">It will be critical for DFAT to consult with local women’s rights groups to </w:t>
      </w:r>
      <w:r w:rsidR="005B1DAE">
        <w:rPr>
          <w:rFonts w:ascii="Arial" w:hAnsi="Arial" w:cs="Arial"/>
          <w:sz w:val="22"/>
          <w:szCs w:val="22"/>
        </w:rPr>
        <w:t xml:space="preserve">ensure </w:t>
      </w:r>
      <w:r w:rsidRPr="00E32E77">
        <w:rPr>
          <w:rFonts w:ascii="Arial" w:hAnsi="Arial" w:cs="Arial"/>
          <w:sz w:val="22"/>
          <w:szCs w:val="22"/>
        </w:rPr>
        <w:t>that the new funding will be accessible to local women’s rights organisations.</w:t>
      </w:r>
      <w:r w:rsidRPr="00E32E77">
        <w:rPr>
          <w:rStyle w:val="EndnoteReference"/>
          <w:rFonts w:ascii="Arial" w:hAnsi="Arial" w:cs="Arial"/>
          <w:sz w:val="22"/>
          <w:szCs w:val="22"/>
        </w:rPr>
        <w:endnoteReference w:id="11"/>
      </w:r>
      <w:r w:rsidRPr="00345289">
        <w:rPr>
          <w:rFonts w:ascii="Arial" w:hAnsi="Arial" w:cs="Arial"/>
          <w:sz w:val="22"/>
          <w:szCs w:val="22"/>
        </w:rPr>
        <w:t xml:space="preserve"> </w:t>
      </w:r>
    </w:p>
    <w:p w14:paraId="794071BC" w14:textId="77777777" w:rsidR="004F369B" w:rsidRPr="00191F3D" w:rsidRDefault="004F369B" w:rsidP="005B1DAE">
      <w:pPr>
        <w:pStyle w:val="NormalWeb"/>
        <w:contextualSpacing/>
        <w:rPr>
          <w:rFonts w:ascii="Arial" w:hAnsi="Arial" w:cs="Arial"/>
          <w:sz w:val="22"/>
          <w:szCs w:val="22"/>
        </w:rPr>
      </w:pPr>
    </w:p>
    <w:p w14:paraId="6AE2B076" w14:textId="1CBF55C9" w:rsidR="004F369B" w:rsidRDefault="004F369B" w:rsidP="005B1DAE">
      <w:pPr>
        <w:pStyle w:val="NormalWeb"/>
        <w:contextualSpacing/>
        <w:rPr>
          <w:rFonts w:ascii="Arial" w:hAnsi="Arial" w:cs="Arial"/>
          <w:sz w:val="22"/>
          <w:szCs w:val="22"/>
        </w:rPr>
      </w:pPr>
      <w:r w:rsidRPr="00345289">
        <w:rPr>
          <w:rFonts w:ascii="Arial" w:hAnsi="Arial" w:cs="Arial"/>
          <w:sz w:val="22"/>
          <w:szCs w:val="22"/>
        </w:rPr>
        <w:t>Other</w:t>
      </w:r>
      <w:r>
        <w:rPr>
          <w:rFonts w:ascii="Arial" w:hAnsi="Arial" w:cs="Arial"/>
          <w:sz w:val="22"/>
          <w:szCs w:val="22"/>
        </w:rPr>
        <w:t xml:space="preserve"> problematic</w:t>
      </w:r>
      <w:r w:rsidRPr="00345289">
        <w:rPr>
          <w:rFonts w:ascii="Arial" w:hAnsi="Arial" w:cs="Arial"/>
          <w:sz w:val="22"/>
          <w:szCs w:val="22"/>
        </w:rPr>
        <w:t xml:space="preserve"> issues relating to funding for women’s specialist services have continued. In </w:t>
      </w:r>
      <w:r>
        <w:rPr>
          <w:rFonts w:ascii="Arial" w:hAnsi="Arial" w:cs="Arial"/>
          <w:sz w:val="22"/>
          <w:szCs w:val="22"/>
        </w:rPr>
        <w:t>some</w:t>
      </w:r>
      <w:r w:rsidRPr="00345289">
        <w:rPr>
          <w:rFonts w:ascii="Arial" w:hAnsi="Arial" w:cs="Arial"/>
          <w:sz w:val="22"/>
          <w:szCs w:val="22"/>
        </w:rPr>
        <w:t xml:space="preserve"> cases, existing funding to specialist women’s organisations has decreased in real terms, as funding has not been adjusted for inflation or indexed to the Consumer Price Index (CPI). For example, the six National Women’s Alliances did not receive any CPI increase to their funding between 2016 and 202</w:t>
      </w:r>
      <w:r w:rsidR="005B1DAE">
        <w:rPr>
          <w:rFonts w:ascii="Arial" w:hAnsi="Arial" w:cs="Arial"/>
          <w:sz w:val="22"/>
          <w:szCs w:val="22"/>
        </w:rPr>
        <w:t>0</w:t>
      </w:r>
      <w:r w:rsidRPr="00345289">
        <w:rPr>
          <w:rFonts w:ascii="Arial" w:hAnsi="Arial" w:cs="Arial"/>
          <w:sz w:val="22"/>
          <w:szCs w:val="22"/>
        </w:rPr>
        <w:t xml:space="preserve">. In 2020, an additional $4,500 was provided to each of the six Alliances, but the renewed contract was only for </w:t>
      </w:r>
      <w:r>
        <w:rPr>
          <w:rFonts w:ascii="Arial" w:hAnsi="Arial" w:cs="Arial"/>
          <w:sz w:val="22"/>
          <w:szCs w:val="22"/>
        </w:rPr>
        <w:t xml:space="preserve">a term of </w:t>
      </w:r>
      <w:r w:rsidRPr="00345289">
        <w:rPr>
          <w:rFonts w:ascii="Arial" w:hAnsi="Arial" w:cs="Arial"/>
          <w:sz w:val="22"/>
          <w:szCs w:val="22"/>
        </w:rPr>
        <w:t>10 months and will expire on 31 March 2021.</w:t>
      </w:r>
      <w:r>
        <w:rPr>
          <w:rFonts w:ascii="Arial" w:hAnsi="Arial" w:cs="Arial"/>
          <w:sz w:val="22"/>
          <w:szCs w:val="22"/>
        </w:rPr>
        <w:t xml:space="preserve"> </w:t>
      </w:r>
    </w:p>
    <w:p w14:paraId="7AC2044D" w14:textId="77777777" w:rsidR="004F369B" w:rsidRDefault="004F369B" w:rsidP="005B1DAE">
      <w:pPr>
        <w:pStyle w:val="NormalWeb"/>
        <w:contextualSpacing/>
        <w:rPr>
          <w:rFonts w:ascii="Arial" w:hAnsi="Arial" w:cs="Arial"/>
          <w:sz w:val="22"/>
          <w:szCs w:val="22"/>
        </w:rPr>
      </w:pPr>
    </w:p>
    <w:p w14:paraId="3AF311DD" w14:textId="4C18FFF3" w:rsidR="005B1DAE" w:rsidRPr="005B1DAE" w:rsidRDefault="004F369B" w:rsidP="005B1DAE">
      <w:pPr>
        <w:pStyle w:val="NormalWeb"/>
        <w:contextualSpacing/>
        <w:rPr>
          <w:rFonts w:ascii="Arial" w:hAnsi="Arial" w:cs="Arial"/>
          <w:sz w:val="22"/>
          <w:szCs w:val="22"/>
        </w:rPr>
      </w:pPr>
      <w:r>
        <w:rPr>
          <w:rFonts w:ascii="Arial" w:hAnsi="Arial" w:cs="Arial"/>
          <w:sz w:val="22"/>
          <w:szCs w:val="22"/>
        </w:rPr>
        <w:t xml:space="preserve">Another recurring issue arises from the practice of allocating funding to women’s specialist services on short term contracts, which creates uncertainty and limits the ability of services to engage in long term change work or build deep relationships in communities. </w:t>
      </w:r>
      <w:r w:rsidR="005B1DAE">
        <w:rPr>
          <w:rFonts w:ascii="Arial" w:hAnsi="Arial" w:cs="Arial"/>
          <w:sz w:val="22"/>
          <w:szCs w:val="22"/>
        </w:rPr>
        <w:t>For</w:t>
      </w:r>
      <w:r>
        <w:rPr>
          <w:rFonts w:ascii="Arial" w:hAnsi="Arial" w:cs="Arial"/>
          <w:sz w:val="22"/>
          <w:szCs w:val="22"/>
        </w:rPr>
        <w:t xml:space="preserve"> example, the National Women’s Alliances model has been in operation since 2008 and has a mandate to build robust community networks and engage in consultation and long-term change advocacy but are consistently funded on three-year contracts. The inadequacy of these contract </w:t>
      </w:r>
      <w:r w:rsidR="005B1DAE">
        <w:rPr>
          <w:rFonts w:ascii="Arial" w:hAnsi="Arial" w:cs="Arial"/>
          <w:sz w:val="22"/>
          <w:szCs w:val="22"/>
        </w:rPr>
        <w:t xml:space="preserve">terms </w:t>
      </w:r>
      <w:r>
        <w:rPr>
          <w:rFonts w:ascii="Arial" w:hAnsi="Arial" w:cs="Arial"/>
          <w:sz w:val="22"/>
          <w:szCs w:val="22"/>
        </w:rPr>
        <w:t xml:space="preserve">is demonstrated by the fact that the last three contracts (2010-2012, 2013-16 and 2017-2020) have all been extended by variation in the last year of the contract at the </w:t>
      </w:r>
      <w:r w:rsidR="005B1DAE">
        <w:rPr>
          <w:rFonts w:ascii="Arial" w:hAnsi="Arial" w:cs="Arial"/>
          <w:sz w:val="22"/>
          <w:szCs w:val="22"/>
        </w:rPr>
        <w:t>Federal</w:t>
      </w:r>
      <w:r>
        <w:rPr>
          <w:rFonts w:ascii="Arial" w:hAnsi="Arial" w:cs="Arial"/>
          <w:sz w:val="22"/>
          <w:szCs w:val="22"/>
        </w:rPr>
        <w:t xml:space="preserve"> </w:t>
      </w:r>
      <w:r w:rsidR="005B1DAE">
        <w:rPr>
          <w:rFonts w:ascii="Arial" w:hAnsi="Arial" w:cs="Arial"/>
          <w:sz w:val="22"/>
          <w:szCs w:val="22"/>
        </w:rPr>
        <w:t>G</w:t>
      </w:r>
      <w:r>
        <w:rPr>
          <w:rFonts w:ascii="Arial" w:hAnsi="Arial" w:cs="Arial"/>
          <w:sz w:val="22"/>
          <w:szCs w:val="22"/>
        </w:rPr>
        <w:t>overnment’s request.</w:t>
      </w:r>
    </w:p>
    <w:p w14:paraId="5264BB40" w14:textId="208C6D73" w:rsidR="004F369B" w:rsidRDefault="004F369B" w:rsidP="005B1DAE">
      <w:pPr>
        <w:contextualSpacing/>
        <w:rPr>
          <w:rFonts w:ascii="Arial" w:eastAsia="Times New Roman" w:hAnsi="Arial" w:cs="Arial"/>
          <w:lang w:eastAsia="en-AU"/>
        </w:rPr>
      </w:pPr>
      <w:r w:rsidRPr="00EE5835">
        <w:rPr>
          <w:rFonts w:ascii="Arial" w:eastAsia="Times New Roman" w:hAnsi="Arial" w:cs="Arial"/>
          <w:lang w:eastAsia="en-AU"/>
        </w:rPr>
        <w:t>We draw the Committee’s attention to the lack of progress against Recommendation 16 in the 2018 Concluding Observations</w:t>
      </w:r>
      <w:r w:rsidR="005B1DAE">
        <w:rPr>
          <w:rFonts w:ascii="Arial" w:eastAsia="Times New Roman" w:hAnsi="Arial" w:cs="Arial"/>
          <w:lang w:eastAsia="en-AU"/>
        </w:rPr>
        <w:t>.</w:t>
      </w:r>
      <w:r w:rsidR="005B1DAE">
        <w:rPr>
          <w:rStyle w:val="EndnoteReference"/>
          <w:rFonts w:ascii="Arial" w:eastAsia="Times New Roman" w:hAnsi="Arial" w:cs="Arial"/>
          <w:lang w:eastAsia="en-AU"/>
        </w:rPr>
        <w:endnoteReference w:id="12"/>
      </w:r>
      <w:r w:rsidR="005B1DAE">
        <w:rPr>
          <w:rFonts w:ascii="Arial" w:eastAsia="Times New Roman" w:hAnsi="Arial" w:cs="Arial"/>
          <w:lang w:eastAsia="en-AU"/>
        </w:rPr>
        <w:t xml:space="preserve"> </w:t>
      </w:r>
      <w:r>
        <w:rPr>
          <w:rFonts w:ascii="Arial" w:eastAsia="Times New Roman" w:hAnsi="Arial" w:cs="Arial"/>
          <w:lang w:eastAsia="en-AU"/>
        </w:rPr>
        <w:t>There is no comprehensive national gender equality policy in Australia. T</w:t>
      </w:r>
      <w:r w:rsidRPr="00EE5835">
        <w:rPr>
          <w:rFonts w:ascii="Arial" w:eastAsia="Times New Roman" w:hAnsi="Arial" w:cs="Arial"/>
          <w:lang w:eastAsia="en-AU"/>
        </w:rPr>
        <w:t xml:space="preserve">he Australian Government </w:t>
      </w:r>
      <w:r>
        <w:rPr>
          <w:rFonts w:ascii="Arial" w:eastAsia="Times New Roman" w:hAnsi="Arial" w:cs="Arial"/>
          <w:lang w:eastAsia="en-AU"/>
        </w:rPr>
        <w:t>does</w:t>
      </w:r>
      <w:r w:rsidRPr="00EE5835">
        <w:rPr>
          <w:rFonts w:ascii="Arial" w:eastAsia="Times New Roman" w:hAnsi="Arial" w:cs="Arial"/>
          <w:lang w:eastAsia="en-AU"/>
        </w:rPr>
        <w:t xml:space="preserve"> not adequately apply a gender analysis to policy and spending proposals and </w:t>
      </w:r>
      <w:r>
        <w:rPr>
          <w:rFonts w:ascii="Arial" w:eastAsia="Times New Roman" w:hAnsi="Arial" w:cs="Arial"/>
          <w:lang w:eastAsia="en-AU"/>
        </w:rPr>
        <w:t xml:space="preserve">does </w:t>
      </w:r>
      <w:r w:rsidRPr="00EE5835">
        <w:rPr>
          <w:rFonts w:ascii="Arial" w:eastAsia="Times New Roman" w:hAnsi="Arial" w:cs="Arial"/>
          <w:lang w:eastAsia="en-AU"/>
        </w:rPr>
        <w:t xml:space="preserve">not </w:t>
      </w:r>
      <w:r>
        <w:rPr>
          <w:rFonts w:ascii="Arial" w:eastAsia="Times New Roman" w:hAnsi="Arial" w:cs="Arial"/>
          <w:lang w:eastAsia="en-AU"/>
        </w:rPr>
        <w:t xml:space="preserve">engage in </w:t>
      </w:r>
      <w:r w:rsidRPr="00EE5835">
        <w:rPr>
          <w:rFonts w:ascii="Arial" w:eastAsia="Times New Roman" w:hAnsi="Arial" w:cs="Arial"/>
          <w:lang w:eastAsia="en-AU"/>
        </w:rPr>
        <w:t xml:space="preserve">gender responsive budgeting. </w:t>
      </w:r>
    </w:p>
    <w:p w14:paraId="5BC0ED26" w14:textId="77777777" w:rsidR="005B1DAE" w:rsidRPr="00EE5835" w:rsidRDefault="005B1DAE" w:rsidP="005B1DAE">
      <w:pPr>
        <w:contextualSpacing/>
        <w:rPr>
          <w:rFonts w:ascii="Arial" w:eastAsia="Times New Roman" w:hAnsi="Arial" w:cs="Arial"/>
          <w:lang w:eastAsia="en-AU"/>
        </w:rPr>
      </w:pPr>
    </w:p>
    <w:p w14:paraId="13C8A48C" w14:textId="6B22803E" w:rsidR="004F369B" w:rsidRPr="00EE5835" w:rsidRDefault="004F369B" w:rsidP="005B1DAE">
      <w:pPr>
        <w:contextualSpacing/>
        <w:rPr>
          <w:rFonts w:ascii="Arial" w:eastAsia="Times New Roman" w:hAnsi="Arial" w:cs="Arial"/>
          <w:lang w:eastAsia="en-AU"/>
        </w:rPr>
      </w:pPr>
      <w:r>
        <w:rPr>
          <w:rFonts w:ascii="Arial" w:eastAsia="Times New Roman" w:hAnsi="Arial" w:cs="Arial"/>
          <w:lang w:eastAsia="en-AU"/>
        </w:rPr>
        <w:t xml:space="preserve">In our view, improvement will be seen in achieving Recommendation 46(b) once Recommendation 16 has been implemented.  </w:t>
      </w:r>
      <w:r w:rsidRPr="00EE5835">
        <w:rPr>
          <w:rFonts w:ascii="Arial" w:eastAsia="Times New Roman" w:hAnsi="Arial" w:cs="Arial"/>
          <w:lang w:eastAsia="en-AU"/>
        </w:rPr>
        <w:t xml:space="preserve">We </w:t>
      </w:r>
      <w:r>
        <w:rPr>
          <w:rFonts w:ascii="Arial" w:eastAsia="Times New Roman" w:hAnsi="Arial" w:cs="Arial"/>
          <w:lang w:eastAsia="en-AU"/>
        </w:rPr>
        <w:t>note</w:t>
      </w:r>
      <w:r w:rsidRPr="00EE5835">
        <w:rPr>
          <w:rFonts w:ascii="Arial" w:eastAsia="Times New Roman" w:hAnsi="Arial" w:cs="Arial"/>
          <w:lang w:eastAsia="en-AU"/>
        </w:rPr>
        <w:t xml:space="preserve"> </w:t>
      </w:r>
      <w:r>
        <w:rPr>
          <w:rFonts w:ascii="Arial" w:eastAsia="Times New Roman" w:hAnsi="Arial" w:cs="Arial"/>
          <w:lang w:eastAsia="en-AU"/>
        </w:rPr>
        <w:t xml:space="preserve">the </w:t>
      </w:r>
      <w:r w:rsidRPr="00EE5835">
        <w:rPr>
          <w:rFonts w:ascii="Arial" w:eastAsia="Times New Roman" w:hAnsi="Arial" w:cs="Arial"/>
          <w:lang w:eastAsia="en-AU"/>
        </w:rPr>
        <w:t xml:space="preserve">positive example </w:t>
      </w:r>
      <w:r>
        <w:rPr>
          <w:rFonts w:ascii="Arial" w:eastAsia="Times New Roman" w:hAnsi="Arial" w:cs="Arial"/>
          <w:lang w:eastAsia="en-AU"/>
        </w:rPr>
        <w:t xml:space="preserve">set by the Victorian </w:t>
      </w:r>
      <w:r w:rsidRPr="00BB7AD5">
        <w:rPr>
          <w:rFonts w:ascii="Arial" w:eastAsia="Times New Roman" w:hAnsi="Arial" w:cs="Arial"/>
          <w:i/>
          <w:iCs/>
          <w:lang w:eastAsia="en-AU"/>
        </w:rPr>
        <w:t>Gender Equality Act</w:t>
      </w:r>
      <w:r w:rsidRPr="00EE5835">
        <w:rPr>
          <w:rFonts w:ascii="Arial" w:eastAsia="Times New Roman" w:hAnsi="Arial" w:cs="Arial"/>
          <w:lang w:eastAsia="en-AU"/>
        </w:rPr>
        <w:t xml:space="preserve"> </w:t>
      </w:r>
      <w:r w:rsidRPr="00BB7AD5">
        <w:rPr>
          <w:rFonts w:ascii="Arial" w:eastAsia="Times New Roman" w:hAnsi="Arial" w:cs="Arial"/>
          <w:i/>
          <w:iCs/>
          <w:lang w:eastAsia="en-AU"/>
        </w:rPr>
        <w:t>2020</w:t>
      </w:r>
      <w:r>
        <w:rPr>
          <w:rStyle w:val="EndnoteReference"/>
          <w:rFonts w:ascii="Arial" w:eastAsia="Times New Roman" w:hAnsi="Arial" w:cs="Arial"/>
          <w:i/>
          <w:iCs/>
          <w:lang w:eastAsia="en-AU"/>
        </w:rPr>
        <w:endnoteReference w:id="13"/>
      </w:r>
      <w:r>
        <w:rPr>
          <w:rFonts w:ascii="Arial" w:eastAsia="Times New Roman" w:hAnsi="Arial" w:cs="Arial"/>
          <w:lang w:eastAsia="en-AU"/>
        </w:rPr>
        <w:t xml:space="preserve"> </w:t>
      </w:r>
      <w:r w:rsidRPr="00EE5835">
        <w:rPr>
          <w:rFonts w:ascii="Arial" w:eastAsia="Times New Roman" w:hAnsi="Arial" w:cs="Arial"/>
          <w:lang w:eastAsia="en-AU"/>
        </w:rPr>
        <w:t>and propose that all Australian Governments introduce legislation</w:t>
      </w:r>
      <w:r>
        <w:rPr>
          <w:rFonts w:ascii="Arial" w:eastAsia="Times New Roman" w:hAnsi="Arial" w:cs="Arial"/>
          <w:lang w:eastAsia="en-AU"/>
        </w:rPr>
        <w:t xml:space="preserve"> which </w:t>
      </w:r>
      <w:r w:rsidRPr="00EE5835">
        <w:rPr>
          <w:rFonts w:ascii="Arial" w:eastAsia="Times New Roman" w:hAnsi="Arial" w:cs="Arial"/>
          <w:lang w:eastAsia="en-AU"/>
        </w:rPr>
        <w:t>include</w:t>
      </w:r>
      <w:r>
        <w:rPr>
          <w:rFonts w:ascii="Arial" w:eastAsia="Times New Roman" w:hAnsi="Arial" w:cs="Arial"/>
          <w:lang w:eastAsia="en-AU"/>
        </w:rPr>
        <w:t>s</w:t>
      </w:r>
      <w:r w:rsidRPr="00EE5835">
        <w:rPr>
          <w:rFonts w:ascii="Arial" w:eastAsia="Times New Roman" w:hAnsi="Arial" w:cs="Arial"/>
          <w:lang w:eastAsia="en-AU"/>
        </w:rPr>
        <w:t xml:space="preserve"> specific expenditure targets for gender equality and national women’s machineries, and commitments to gender responsive </w:t>
      </w:r>
      <w:r w:rsidR="005B1DAE">
        <w:rPr>
          <w:rFonts w:ascii="Arial" w:eastAsia="Times New Roman" w:hAnsi="Arial" w:cs="Arial"/>
          <w:lang w:eastAsia="en-AU"/>
        </w:rPr>
        <w:t xml:space="preserve">budgeting and </w:t>
      </w:r>
      <w:r w:rsidRPr="00EE5835">
        <w:rPr>
          <w:rFonts w:ascii="Arial" w:eastAsia="Times New Roman" w:hAnsi="Arial" w:cs="Arial"/>
          <w:lang w:eastAsia="en-AU"/>
        </w:rPr>
        <w:t xml:space="preserve">policy </w:t>
      </w:r>
      <w:r>
        <w:rPr>
          <w:rFonts w:ascii="Arial" w:eastAsia="Times New Roman" w:hAnsi="Arial" w:cs="Arial"/>
          <w:lang w:eastAsia="en-AU"/>
        </w:rPr>
        <w:t>development</w:t>
      </w:r>
      <w:r w:rsidRPr="00EE5835">
        <w:rPr>
          <w:rFonts w:ascii="Arial" w:eastAsia="Times New Roman" w:hAnsi="Arial" w:cs="Arial"/>
          <w:lang w:eastAsia="en-AU"/>
        </w:rPr>
        <w:t xml:space="preserve">. </w:t>
      </w:r>
    </w:p>
    <w:p w14:paraId="6FC32291" w14:textId="42985A73" w:rsidR="004F369B" w:rsidRPr="00345289" w:rsidRDefault="004F369B" w:rsidP="005B1DAE">
      <w:pPr>
        <w:pStyle w:val="SingleTxt"/>
        <w:ind w:left="0" w:right="95"/>
        <w:contextualSpacing/>
        <w:jc w:val="left"/>
        <w:rPr>
          <w:rFonts w:ascii="Arial" w:hAnsi="Arial" w:cs="Arial"/>
          <w:b/>
          <w:iCs/>
          <w:sz w:val="22"/>
          <w:szCs w:val="22"/>
        </w:rPr>
      </w:pPr>
      <w:r w:rsidRPr="00345289">
        <w:rPr>
          <w:rFonts w:ascii="Arial" w:hAnsi="Arial" w:cs="Arial"/>
          <w:b/>
          <w:iCs/>
          <w:sz w:val="22"/>
          <w:szCs w:val="22"/>
        </w:rPr>
        <w:t>Recommendation 50(a)</w:t>
      </w:r>
    </w:p>
    <w:p w14:paraId="4BF76497" w14:textId="77777777" w:rsidR="004F369B" w:rsidRPr="00345289" w:rsidRDefault="004F369B" w:rsidP="005B1DAE">
      <w:pPr>
        <w:pStyle w:val="SingleTxt"/>
        <w:ind w:left="0" w:right="95"/>
        <w:contextualSpacing/>
        <w:jc w:val="left"/>
        <w:rPr>
          <w:rFonts w:ascii="Arial" w:hAnsi="Arial" w:cs="Arial"/>
          <w:b/>
          <w:bCs/>
          <w:i/>
          <w:sz w:val="22"/>
          <w:szCs w:val="22"/>
        </w:rPr>
      </w:pPr>
    </w:p>
    <w:p w14:paraId="7C566872" w14:textId="2C1E2E46" w:rsidR="004F369B" w:rsidRPr="00816BDB" w:rsidRDefault="005B1DAE" w:rsidP="005B1DAE">
      <w:pPr>
        <w:pStyle w:val="SingleTxt"/>
        <w:ind w:left="0" w:right="95"/>
        <w:contextualSpacing/>
        <w:jc w:val="left"/>
        <w:rPr>
          <w:rFonts w:ascii="Arial" w:hAnsi="Arial" w:cs="Arial"/>
          <w:iCs/>
          <w:sz w:val="22"/>
          <w:szCs w:val="22"/>
        </w:rPr>
      </w:pPr>
      <w:r>
        <w:rPr>
          <w:rFonts w:ascii="Arial" w:hAnsi="Arial" w:cs="Arial"/>
          <w:iCs/>
          <w:sz w:val="22"/>
          <w:szCs w:val="22"/>
        </w:rPr>
        <w:t>This</w:t>
      </w:r>
      <w:r w:rsidR="004F369B" w:rsidRPr="00345289">
        <w:rPr>
          <w:rFonts w:ascii="Arial" w:hAnsi="Arial" w:cs="Arial"/>
          <w:iCs/>
          <w:sz w:val="22"/>
          <w:szCs w:val="22"/>
        </w:rPr>
        <w:t xml:space="preserve"> recommendation has been partially implemented.</w:t>
      </w:r>
    </w:p>
    <w:p w14:paraId="775DC72D" w14:textId="7BBC0A44" w:rsidR="004F369B" w:rsidRPr="00345289" w:rsidRDefault="004F369B" w:rsidP="005B1DAE">
      <w:pPr>
        <w:contextualSpacing/>
        <w:jc w:val="both"/>
        <w:rPr>
          <w:rFonts w:ascii="Arial" w:hAnsi="Arial" w:cs="Arial"/>
        </w:rPr>
      </w:pPr>
      <w:r w:rsidRPr="00345289">
        <w:rPr>
          <w:rFonts w:ascii="Arial" w:hAnsi="Arial" w:cs="Arial"/>
        </w:rPr>
        <w:t>Since the Committee’s recommendations were published in 2018, abortion has been decriminalised in New South Wales</w:t>
      </w:r>
      <w:r w:rsidR="00CF57A7">
        <w:rPr>
          <w:rFonts w:ascii="Arial" w:hAnsi="Arial" w:cs="Arial"/>
        </w:rPr>
        <w:t xml:space="preserve"> and </w:t>
      </w:r>
      <w:r w:rsidRPr="00345289">
        <w:rPr>
          <w:rFonts w:ascii="Arial" w:hAnsi="Arial" w:cs="Arial"/>
        </w:rPr>
        <w:t xml:space="preserve">Queensland. This means both medication and surgical abortion have been decriminalised in all jurisdictions in Australia with the exception of South Australia, where abortion is not lawful after 28 weeks gestation. </w:t>
      </w:r>
      <w:hyperlink r:id="rId14" w:history="1">
        <w:r w:rsidR="00CF57A7" w:rsidRPr="00CF57A7">
          <w:rPr>
            <w:rStyle w:val="Hyperlink"/>
            <w:rFonts w:ascii="Arial" w:hAnsi="Arial" w:cs="Arial"/>
          </w:rPr>
          <w:t>A Bill</w:t>
        </w:r>
      </w:hyperlink>
      <w:r w:rsidR="00CF57A7">
        <w:rPr>
          <w:rFonts w:ascii="Arial" w:hAnsi="Arial" w:cs="Arial"/>
        </w:rPr>
        <w:t xml:space="preserve"> to decriminalise abortion</w:t>
      </w:r>
      <w:r w:rsidRPr="00345289">
        <w:rPr>
          <w:rFonts w:ascii="Arial" w:hAnsi="Arial" w:cs="Arial"/>
        </w:rPr>
        <w:t xml:space="preserve"> is currently before the South Australian Parliament and is expected to be debated in November 2020. </w:t>
      </w:r>
    </w:p>
    <w:p w14:paraId="7AC47219" w14:textId="77777777" w:rsidR="004F369B" w:rsidRPr="00345289" w:rsidRDefault="004F369B" w:rsidP="005B1DAE">
      <w:pPr>
        <w:contextualSpacing/>
        <w:jc w:val="both"/>
        <w:rPr>
          <w:rFonts w:ascii="Arial" w:hAnsi="Arial" w:cs="Arial"/>
          <w:highlight w:val="yellow"/>
        </w:rPr>
      </w:pPr>
    </w:p>
    <w:p w14:paraId="05410153" w14:textId="19CEF335" w:rsidR="004F369B" w:rsidRDefault="004F369B" w:rsidP="005B1DAE">
      <w:pPr>
        <w:spacing w:after="0" w:line="240" w:lineRule="auto"/>
        <w:contextualSpacing/>
        <w:rPr>
          <w:rFonts w:ascii="Times New Roman" w:hAnsi="Times New Roman" w:cs="Times New Roman"/>
          <w:sz w:val="24"/>
          <w:szCs w:val="24"/>
          <w:lang w:eastAsia="en-AU"/>
        </w:rPr>
      </w:pPr>
      <w:r>
        <w:rPr>
          <w:rFonts w:ascii="Arial" w:hAnsi="Arial" w:cs="Arial"/>
        </w:rPr>
        <w:t>Despite progress on the decriminalisation of abortion, a</w:t>
      </w:r>
      <w:r w:rsidRPr="00345289">
        <w:rPr>
          <w:rFonts w:ascii="Arial" w:hAnsi="Arial" w:cs="Arial"/>
        </w:rPr>
        <w:t>ccess to abortion services varies significantly across the country, with rural and remote communities generally having no locally available services</w:t>
      </w:r>
      <w:r>
        <w:rPr>
          <w:rFonts w:ascii="Arial" w:hAnsi="Arial" w:cs="Arial"/>
        </w:rPr>
        <w:t xml:space="preserve">. </w:t>
      </w:r>
      <w:r w:rsidRPr="00345289">
        <w:rPr>
          <w:rFonts w:ascii="Arial" w:hAnsi="Arial" w:cs="Arial"/>
        </w:rPr>
        <w:t>Most publicly funded services are located in capital cities</w:t>
      </w:r>
      <w:r>
        <w:rPr>
          <w:rFonts w:ascii="Arial" w:hAnsi="Arial" w:cs="Arial"/>
        </w:rPr>
        <w:t xml:space="preserve"> and although Australia’s public health service (Medicare) covers some of the costs, all surgical procedures result in at least some out of pocket expenses for women. Even in capital cities, many public hospitals do not provide abortion services.</w:t>
      </w:r>
      <w:r>
        <w:rPr>
          <w:rStyle w:val="EndnoteReference"/>
          <w:rFonts w:ascii="Arial" w:hAnsi="Arial" w:cs="Arial"/>
        </w:rPr>
        <w:endnoteReference w:id="14"/>
      </w:r>
      <w:r>
        <w:rPr>
          <w:rFonts w:ascii="Arial" w:hAnsi="Arial" w:cs="Arial"/>
        </w:rPr>
        <w:t xml:space="preserve"> In South Australia, 95% of abortion services are provided at no cost through the public hospital system</w:t>
      </w:r>
      <w:r>
        <w:rPr>
          <w:rStyle w:val="EndnoteReference"/>
          <w:rFonts w:ascii="Arial" w:hAnsi="Arial" w:cs="Arial"/>
        </w:rPr>
        <w:endnoteReference w:id="15"/>
      </w:r>
      <w:r>
        <w:rPr>
          <w:rFonts w:ascii="Arial" w:hAnsi="Arial" w:cs="Arial"/>
        </w:rPr>
        <w:t xml:space="preserve"> </w:t>
      </w:r>
      <w:r w:rsidR="00CF57A7">
        <w:rPr>
          <w:rFonts w:ascii="Arial" w:hAnsi="Arial" w:cs="Arial"/>
        </w:rPr>
        <w:t>but</w:t>
      </w:r>
      <w:r>
        <w:rPr>
          <w:rFonts w:ascii="Arial" w:hAnsi="Arial" w:cs="Arial"/>
        </w:rPr>
        <w:t xml:space="preserve"> other jurisdictions have severely restricted public access. In jurisdictions where public access is generally available</w:t>
      </w:r>
      <w:r w:rsidR="00CF57A7">
        <w:rPr>
          <w:rFonts w:ascii="Arial" w:hAnsi="Arial" w:cs="Arial"/>
        </w:rPr>
        <w:t>,</w:t>
      </w:r>
      <w:r>
        <w:rPr>
          <w:rFonts w:ascii="Arial" w:hAnsi="Arial" w:cs="Arial"/>
        </w:rPr>
        <w:t xml:space="preserve"> access is not equitable for people ineligible for Medicare, for example due to visa status.  </w:t>
      </w:r>
    </w:p>
    <w:p w14:paraId="5181F25B" w14:textId="77777777" w:rsidR="004F369B" w:rsidRPr="00345289" w:rsidRDefault="004F369B" w:rsidP="005B1DAE">
      <w:pPr>
        <w:contextualSpacing/>
        <w:jc w:val="both"/>
        <w:rPr>
          <w:rFonts w:ascii="Arial" w:hAnsi="Arial" w:cs="Arial"/>
        </w:rPr>
      </w:pPr>
    </w:p>
    <w:p w14:paraId="654A4682" w14:textId="7F760788" w:rsidR="004F369B" w:rsidRDefault="004F369B" w:rsidP="005B1DAE">
      <w:pPr>
        <w:contextualSpacing/>
        <w:jc w:val="both"/>
        <w:rPr>
          <w:rFonts w:ascii="Arial" w:hAnsi="Arial" w:cs="Arial"/>
        </w:rPr>
      </w:pPr>
      <w:r>
        <w:rPr>
          <w:rFonts w:ascii="Arial" w:hAnsi="Arial" w:cs="Arial"/>
        </w:rPr>
        <w:t>L</w:t>
      </w:r>
      <w:r w:rsidRPr="005526DA">
        <w:rPr>
          <w:rFonts w:ascii="Arial" w:hAnsi="Arial" w:cs="Arial"/>
        </w:rPr>
        <w:t xml:space="preserve">egislation to create safe access zones </w:t>
      </w:r>
      <w:r>
        <w:rPr>
          <w:rFonts w:ascii="Arial" w:hAnsi="Arial" w:cs="Arial"/>
        </w:rPr>
        <w:t xml:space="preserve">around health facilities providing abortion services </w:t>
      </w:r>
      <w:r w:rsidRPr="005526DA">
        <w:rPr>
          <w:rFonts w:ascii="Arial" w:hAnsi="Arial" w:cs="Arial"/>
        </w:rPr>
        <w:t>has been implemented in every Australian jurisdiction with the exception of Western Australia. There is significant variation in each safe zone framework.</w:t>
      </w:r>
      <w:r>
        <w:rPr>
          <w:rStyle w:val="EndnoteReference"/>
          <w:rFonts w:ascii="Arial" w:hAnsi="Arial" w:cs="Arial"/>
        </w:rPr>
        <w:endnoteReference w:id="16"/>
      </w:r>
      <w:r w:rsidRPr="005526DA">
        <w:rPr>
          <w:rFonts w:ascii="Arial" w:eastAsiaTheme="majorEastAsia" w:hAnsi="Arial" w:cs="Arial"/>
          <w:i/>
          <w:iCs/>
        </w:rPr>
        <w:t xml:space="preserve"> </w:t>
      </w:r>
      <w:hyperlink r:id="rId15" w:history="1">
        <w:r w:rsidR="00CF57A7" w:rsidRPr="00CF57A7">
          <w:rPr>
            <w:rStyle w:val="Hyperlink"/>
            <w:rFonts w:ascii="Arial" w:hAnsi="Arial" w:cs="Arial"/>
          </w:rPr>
          <w:t>A Bill</w:t>
        </w:r>
      </w:hyperlink>
      <w:r w:rsidR="00CF57A7">
        <w:rPr>
          <w:rFonts w:ascii="Arial" w:hAnsi="Arial" w:cs="Arial"/>
        </w:rPr>
        <w:t xml:space="preserve"> to </w:t>
      </w:r>
      <w:r w:rsidR="00CF57A7" w:rsidRPr="005526DA">
        <w:rPr>
          <w:rFonts w:ascii="Arial" w:hAnsi="Arial" w:cs="Arial"/>
        </w:rPr>
        <w:t xml:space="preserve">implement safe zones </w:t>
      </w:r>
      <w:r w:rsidR="00CF57A7">
        <w:rPr>
          <w:rFonts w:ascii="Arial" w:hAnsi="Arial" w:cs="Arial"/>
        </w:rPr>
        <w:t>in Western Australia</w:t>
      </w:r>
      <w:r w:rsidRPr="005526DA">
        <w:rPr>
          <w:rStyle w:val="Emphasis"/>
          <w:rFonts w:ascii="Arial" w:hAnsi="Arial" w:cs="Arial"/>
          <w:shd w:val="clear" w:color="auto" w:fill="F9F9F9"/>
        </w:rPr>
        <w:t xml:space="preserve"> </w:t>
      </w:r>
      <w:r w:rsidR="00CF57A7" w:rsidRPr="00CF57A7">
        <w:rPr>
          <w:rStyle w:val="Emphasis"/>
          <w:rFonts w:ascii="Arial" w:hAnsi="Arial" w:cs="Arial"/>
          <w:i w:val="0"/>
          <w:iCs w:val="0"/>
          <w:shd w:val="clear" w:color="auto" w:fill="F9F9F9"/>
        </w:rPr>
        <w:t>is</w:t>
      </w:r>
      <w:r w:rsidR="00CF57A7">
        <w:rPr>
          <w:rStyle w:val="Emphasis"/>
          <w:rFonts w:ascii="Arial" w:hAnsi="Arial" w:cs="Arial"/>
          <w:shd w:val="clear" w:color="auto" w:fill="F9F9F9"/>
        </w:rPr>
        <w:t xml:space="preserve"> </w:t>
      </w:r>
      <w:r w:rsidRPr="005526DA">
        <w:rPr>
          <w:rStyle w:val="Emphasis"/>
          <w:rFonts w:ascii="Arial" w:hAnsi="Arial" w:cs="Arial"/>
          <w:i w:val="0"/>
          <w:iCs w:val="0"/>
          <w:shd w:val="clear" w:color="auto" w:fill="F9F9F9"/>
        </w:rPr>
        <w:t xml:space="preserve">currently before the Western Australian </w:t>
      </w:r>
      <w:r>
        <w:rPr>
          <w:rStyle w:val="Emphasis"/>
          <w:rFonts w:ascii="Arial" w:hAnsi="Arial" w:cs="Arial"/>
          <w:i w:val="0"/>
          <w:iCs w:val="0"/>
          <w:shd w:val="clear" w:color="auto" w:fill="F9F9F9"/>
        </w:rPr>
        <w:t>P</w:t>
      </w:r>
      <w:r w:rsidRPr="005526DA">
        <w:rPr>
          <w:rStyle w:val="Emphasis"/>
          <w:rFonts w:ascii="Arial" w:hAnsi="Arial" w:cs="Arial"/>
          <w:i w:val="0"/>
          <w:iCs w:val="0"/>
          <w:shd w:val="clear" w:color="auto" w:fill="F9F9F9"/>
        </w:rPr>
        <w:t>arliament</w:t>
      </w:r>
      <w:r w:rsidRPr="00345289">
        <w:rPr>
          <w:rFonts w:ascii="Arial" w:hAnsi="Arial" w:cs="Arial"/>
        </w:rPr>
        <w:t xml:space="preserve">. </w:t>
      </w:r>
    </w:p>
    <w:p w14:paraId="066A6865" w14:textId="77777777" w:rsidR="005B1DAE" w:rsidRDefault="005B1DAE" w:rsidP="005B1DAE">
      <w:pPr>
        <w:contextualSpacing/>
        <w:rPr>
          <w:rFonts w:ascii="Arial" w:hAnsi="Arial" w:cs="Arial"/>
        </w:rPr>
      </w:pPr>
    </w:p>
    <w:p w14:paraId="163F6AB1" w14:textId="7848A768" w:rsidR="004F369B" w:rsidRDefault="004F369B" w:rsidP="005B1DAE">
      <w:pPr>
        <w:contextualSpacing/>
        <w:rPr>
          <w:rFonts w:ascii="Arial" w:hAnsi="Arial" w:cs="Arial"/>
        </w:rPr>
      </w:pPr>
      <w:r w:rsidRPr="00816BDB">
        <w:rPr>
          <w:rFonts w:ascii="Arial" w:hAnsi="Arial" w:cs="Arial"/>
        </w:rPr>
        <w:t xml:space="preserve">During the COVID-19 outbreak in Australia, access to Medicare-subsidised telehealth was increased significantly. This was highly beneficial to women in remote and rural Australia, facilitating access to medical support which would otherwise have been unavailable. The success of the scheme led to the </w:t>
      </w:r>
      <w:r w:rsidR="00CF57A7">
        <w:rPr>
          <w:rFonts w:ascii="Arial" w:hAnsi="Arial" w:cs="Arial"/>
        </w:rPr>
        <w:t>F</w:t>
      </w:r>
      <w:r w:rsidRPr="00816BDB">
        <w:rPr>
          <w:rFonts w:ascii="Arial" w:hAnsi="Arial" w:cs="Arial"/>
        </w:rPr>
        <w:t xml:space="preserve">ederal </w:t>
      </w:r>
      <w:r w:rsidR="00CF57A7">
        <w:rPr>
          <w:rFonts w:ascii="Arial" w:hAnsi="Arial" w:cs="Arial"/>
        </w:rPr>
        <w:t>G</w:t>
      </w:r>
      <w:r w:rsidRPr="00816BDB">
        <w:rPr>
          <w:rFonts w:ascii="Arial" w:hAnsi="Arial" w:cs="Arial"/>
        </w:rPr>
        <w:t>overnment extending</w:t>
      </w:r>
      <w:r>
        <w:rPr>
          <w:rFonts w:ascii="Arial" w:hAnsi="Arial" w:cs="Arial"/>
        </w:rPr>
        <w:t xml:space="preserve"> elements of the </w:t>
      </w:r>
      <w:r w:rsidRPr="00816BDB">
        <w:rPr>
          <w:rFonts w:ascii="Arial" w:hAnsi="Arial" w:cs="Arial"/>
        </w:rPr>
        <w:t xml:space="preserve">subsidies for telehealth sessions to March 2021. However, the </w:t>
      </w:r>
      <w:r>
        <w:rPr>
          <w:rFonts w:ascii="Arial" w:hAnsi="Arial" w:cs="Arial"/>
        </w:rPr>
        <w:t xml:space="preserve">extended </w:t>
      </w:r>
      <w:r w:rsidRPr="00816BDB">
        <w:rPr>
          <w:rFonts w:ascii="Arial" w:hAnsi="Arial" w:cs="Arial"/>
        </w:rPr>
        <w:t>scheme</w:t>
      </w:r>
      <w:r>
        <w:rPr>
          <w:rFonts w:ascii="Arial" w:hAnsi="Arial" w:cs="Arial"/>
        </w:rPr>
        <w:t xml:space="preserve"> </w:t>
      </w:r>
      <w:r w:rsidRPr="00816BDB">
        <w:rPr>
          <w:rFonts w:ascii="Arial" w:hAnsi="Arial" w:cs="Arial"/>
        </w:rPr>
        <w:t>hinders sexual and reproductive healthcare access in Australia</w:t>
      </w:r>
      <w:r>
        <w:rPr>
          <w:rFonts w:ascii="Arial" w:hAnsi="Arial" w:cs="Arial"/>
        </w:rPr>
        <w:t xml:space="preserve"> by</w:t>
      </w:r>
      <w:r w:rsidRPr="00816BDB">
        <w:rPr>
          <w:rFonts w:ascii="Arial" w:hAnsi="Arial" w:cs="Arial"/>
        </w:rPr>
        <w:t xml:space="preserve"> requir</w:t>
      </w:r>
      <w:r>
        <w:rPr>
          <w:rFonts w:ascii="Arial" w:hAnsi="Arial" w:cs="Arial"/>
        </w:rPr>
        <w:t>ing</w:t>
      </w:r>
      <w:r w:rsidRPr="00816BDB">
        <w:rPr>
          <w:rFonts w:ascii="Arial" w:hAnsi="Arial" w:cs="Arial"/>
        </w:rPr>
        <w:t xml:space="preserve"> most patients to have had a consultation with the </w:t>
      </w:r>
      <w:r>
        <w:rPr>
          <w:rFonts w:ascii="Arial" w:hAnsi="Arial" w:cs="Arial"/>
        </w:rPr>
        <w:t xml:space="preserve">relevant </w:t>
      </w:r>
      <w:r w:rsidRPr="00816BDB">
        <w:rPr>
          <w:rFonts w:ascii="Arial" w:hAnsi="Arial" w:cs="Arial"/>
        </w:rPr>
        <w:t>G</w:t>
      </w:r>
      <w:r>
        <w:rPr>
          <w:rFonts w:ascii="Arial" w:hAnsi="Arial" w:cs="Arial"/>
        </w:rPr>
        <w:t>eneral Practitioner (GP)</w:t>
      </w:r>
      <w:r w:rsidRPr="00816BDB">
        <w:rPr>
          <w:rFonts w:ascii="Arial" w:hAnsi="Arial" w:cs="Arial"/>
        </w:rPr>
        <w:t xml:space="preserve"> or </w:t>
      </w:r>
      <w:r>
        <w:rPr>
          <w:rFonts w:ascii="Arial" w:hAnsi="Arial" w:cs="Arial"/>
        </w:rPr>
        <w:t xml:space="preserve">medical </w:t>
      </w:r>
      <w:r w:rsidRPr="00816BDB">
        <w:rPr>
          <w:rFonts w:ascii="Arial" w:hAnsi="Arial" w:cs="Arial"/>
        </w:rPr>
        <w:t xml:space="preserve">practice at least once in the past year. </w:t>
      </w:r>
      <w:r>
        <w:rPr>
          <w:rFonts w:ascii="Arial" w:hAnsi="Arial" w:cs="Arial"/>
        </w:rPr>
        <w:t>Many</w:t>
      </w:r>
      <w:r w:rsidRPr="00816BDB">
        <w:rPr>
          <w:rFonts w:ascii="Arial" w:hAnsi="Arial" w:cs="Arial"/>
        </w:rPr>
        <w:t xml:space="preserve"> </w:t>
      </w:r>
      <w:r>
        <w:rPr>
          <w:rFonts w:ascii="Arial" w:hAnsi="Arial" w:cs="Arial"/>
        </w:rPr>
        <w:t xml:space="preserve">GPs </w:t>
      </w:r>
      <w:r w:rsidRPr="00816BDB">
        <w:rPr>
          <w:rFonts w:ascii="Arial" w:hAnsi="Arial" w:cs="Arial"/>
        </w:rPr>
        <w:t>work in clinics that do not offer specialist sexual and reproductive health services, have not completed the additional training required to provide specific sexual and reproductive health services or conscientiously object to providing sexual and reproductive health services</w:t>
      </w:r>
      <w:r>
        <w:rPr>
          <w:rFonts w:ascii="Arial" w:hAnsi="Arial" w:cs="Arial"/>
        </w:rPr>
        <w:t>, requiring the patient to seek treatment from a specialist practice which they have not previously visited</w:t>
      </w:r>
      <w:r w:rsidRPr="00816BDB">
        <w:rPr>
          <w:rFonts w:ascii="Arial" w:hAnsi="Arial" w:cs="Arial"/>
        </w:rPr>
        <w:t>.</w:t>
      </w:r>
    </w:p>
    <w:p w14:paraId="0DD847C5" w14:textId="77777777" w:rsidR="005B1DAE" w:rsidRPr="00816BDB" w:rsidRDefault="005B1DAE" w:rsidP="005B1DAE">
      <w:pPr>
        <w:contextualSpacing/>
        <w:rPr>
          <w:rFonts w:ascii="Arial" w:hAnsi="Arial" w:cs="Arial"/>
        </w:rPr>
      </w:pPr>
    </w:p>
    <w:p w14:paraId="0413A1F9" w14:textId="5E716051" w:rsidR="004F369B" w:rsidRPr="00C4145F" w:rsidRDefault="004F369B" w:rsidP="005526DA">
      <w:pPr>
        <w:contextualSpacing/>
        <w:jc w:val="both"/>
        <w:rPr>
          <w:rFonts w:ascii="Arial" w:hAnsi="Arial" w:cs="Arial"/>
        </w:rPr>
      </w:pPr>
      <w:r>
        <w:rPr>
          <w:rFonts w:ascii="Arial" w:hAnsi="Arial" w:cs="Arial"/>
        </w:rPr>
        <w:t>Access to information about sexual and reproductive health rights in Australia is patchy. The Australian Curriculum provides broad guidance on the areas to be covered in schools regarding relationships and sexuality but does not use a human rights-based framework or language.</w:t>
      </w:r>
      <w:r>
        <w:rPr>
          <w:rStyle w:val="EndnoteReference"/>
          <w:rFonts w:ascii="Arial" w:hAnsi="Arial" w:cs="Arial"/>
        </w:rPr>
        <w:endnoteReference w:id="17"/>
      </w:r>
      <w:r>
        <w:rPr>
          <w:rFonts w:ascii="Arial" w:hAnsi="Arial" w:cs="Arial"/>
        </w:rPr>
        <w:t xml:space="preserve"> The Australian Curriculum does not specify any sexual and reproductive education beyond year 10 (16-17 years). States are free to interpret the broad headings in the Australian Curriculum, with the result that the information provided can vary significantly by geographic location. For example, in the Australian Capital Territory, all public (ACT government funded) schools follow a </w:t>
      </w:r>
      <w:r w:rsidR="00CF57A7">
        <w:rPr>
          <w:rFonts w:ascii="Arial" w:hAnsi="Arial" w:cs="Arial"/>
        </w:rPr>
        <w:t>single</w:t>
      </w:r>
      <w:r>
        <w:rPr>
          <w:rFonts w:ascii="Arial" w:hAnsi="Arial" w:cs="Arial"/>
        </w:rPr>
        <w:t xml:space="preserve"> curriculum based on the Australian Curriculum, in the Northern Territory, individual schools make decisions about what will be taught within the scope of the Australian Curriculum</w:t>
      </w:r>
      <w:r w:rsidR="00CF57A7">
        <w:rPr>
          <w:rFonts w:ascii="Arial" w:hAnsi="Arial" w:cs="Arial"/>
        </w:rPr>
        <w:t>. I</w:t>
      </w:r>
      <w:r>
        <w:rPr>
          <w:rFonts w:ascii="Arial" w:hAnsi="Arial" w:cs="Arial"/>
        </w:rPr>
        <w:t>n Queensland public schools sex education is not compulsory</w:t>
      </w:r>
      <w:r w:rsidR="00CF57A7">
        <w:rPr>
          <w:rFonts w:ascii="Arial" w:hAnsi="Arial" w:cs="Arial"/>
        </w:rPr>
        <w:t xml:space="preserve"> for students</w:t>
      </w:r>
      <w:r>
        <w:rPr>
          <w:rStyle w:val="EndnoteReference"/>
          <w:rFonts w:ascii="Arial" w:hAnsi="Arial" w:cs="Arial"/>
        </w:rPr>
        <w:endnoteReference w:id="18"/>
      </w:r>
      <w:r>
        <w:rPr>
          <w:rFonts w:ascii="Arial" w:hAnsi="Arial" w:cs="Arial"/>
        </w:rPr>
        <w:t xml:space="preserve"> </w:t>
      </w:r>
      <w:r w:rsidR="00CF57A7">
        <w:rPr>
          <w:rFonts w:ascii="Arial" w:hAnsi="Arial" w:cs="Arial"/>
        </w:rPr>
        <w:t>while i</w:t>
      </w:r>
      <w:r>
        <w:rPr>
          <w:rFonts w:ascii="Arial" w:hAnsi="Arial" w:cs="Arial"/>
        </w:rPr>
        <w:t xml:space="preserve">n </w:t>
      </w:r>
      <w:r w:rsidRPr="00C4145F">
        <w:rPr>
          <w:rFonts w:ascii="Arial" w:hAnsi="Arial" w:cs="Arial"/>
        </w:rPr>
        <w:t xml:space="preserve">Victoria respectful relationships education is compulsory. Similar programs are available in many other States and Territories but are not compulsory. </w:t>
      </w:r>
    </w:p>
    <w:p w14:paraId="0B1D127B" w14:textId="527AA4D5" w:rsidR="004F369B" w:rsidRPr="00C4145F" w:rsidRDefault="004F369B" w:rsidP="00A31340">
      <w:pPr>
        <w:pStyle w:val="SingleTxt"/>
        <w:ind w:left="0" w:right="95"/>
        <w:contextualSpacing/>
        <w:jc w:val="left"/>
        <w:rPr>
          <w:rFonts w:ascii="Arial" w:hAnsi="Arial" w:cs="Arial"/>
          <w:bCs/>
          <w:iCs/>
          <w:sz w:val="22"/>
          <w:szCs w:val="22"/>
        </w:rPr>
      </w:pPr>
      <w:r w:rsidRPr="00C4145F">
        <w:rPr>
          <w:rFonts w:ascii="Arial" w:hAnsi="Arial" w:cs="Arial"/>
          <w:b/>
          <w:bCs/>
          <w:iCs/>
          <w:sz w:val="22"/>
          <w:szCs w:val="22"/>
        </w:rPr>
        <w:t>Recommendation 54(b)</w:t>
      </w:r>
    </w:p>
    <w:p w14:paraId="522C4D30" w14:textId="77777777" w:rsidR="004F369B" w:rsidRPr="00C4145F" w:rsidRDefault="004F369B" w:rsidP="0083075C">
      <w:pPr>
        <w:contextualSpacing/>
        <w:jc w:val="both"/>
        <w:rPr>
          <w:rFonts w:ascii="Arial" w:hAnsi="Arial" w:cs="Arial"/>
        </w:rPr>
      </w:pPr>
      <w:r w:rsidRPr="00C4145F">
        <w:rPr>
          <w:rFonts w:ascii="Arial" w:hAnsi="Arial" w:cs="Arial"/>
        </w:rPr>
        <w:t xml:space="preserve">This recommendation has been partially implemented. </w:t>
      </w:r>
    </w:p>
    <w:p w14:paraId="0899FCA3" w14:textId="77777777" w:rsidR="004F369B" w:rsidRPr="00C4145F" w:rsidRDefault="004F369B" w:rsidP="0083075C">
      <w:pPr>
        <w:contextualSpacing/>
        <w:jc w:val="both"/>
        <w:rPr>
          <w:rFonts w:ascii="Arial" w:hAnsi="Arial" w:cs="Arial"/>
        </w:rPr>
      </w:pPr>
    </w:p>
    <w:p w14:paraId="167DB6A9" w14:textId="4209F202" w:rsidR="004F369B" w:rsidRPr="00C4145F" w:rsidRDefault="004F369B" w:rsidP="0083075C">
      <w:pPr>
        <w:contextualSpacing/>
        <w:jc w:val="both"/>
        <w:rPr>
          <w:rFonts w:ascii="Arial" w:hAnsi="Arial" w:cs="Arial"/>
        </w:rPr>
      </w:pPr>
      <w:r w:rsidRPr="00C4145F">
        <w:rPr>
          <w:rFonts w:ascii="Arial" w:hAnsi="Arial" w:cs="Arial"/>
        </w:rPr>
        <w:t xml:space="preserve">Since the CEDAW committee’s recommendation in 2018, Australia has removed most women and girls from offshore detention centres, however, </w:t>
      </w:r>
      <w:r w:rsidR="00F5443D">
        <w:rPr>
          <w:rFonts w:ascii="Arial" w:hAnsi="Arial" w:cs="Arial"/>
        </w:rPr>
        <w:t>two</w:t>
      </w:r>
      <w:r w:rsidRPr="00C4145F">
        <w:rPr>
          <w:rFonts w:ascii="Arial" w:hAnsi="Arial" w:cs="Arial"/>
        </w:rPr>
        <w:t xml:space="preserve"> women still remain in precarious situations offshore, including a Tamil woman held on Christmas Island along with her family. Despite the CEDAW committee’s recommendation to stop processing asylum claims at sea, Australia currently conducts screening at sea resulting in asylum seeking women and girls not being permitted access to onshore procedures. </w:t>
      </w:r>
    </w:p>
    <w:p w14:paraId="6FD522C5" w14:textId="77777777" w:rsidR="004F369B" w:rsidRPr="00C4145F" w:rsidRDefault="004F369B" w:rsidP="0083075C">
      <w:pPr>
        <w:contextualSpacing/>
        <w:jc w:val="both"/>
        <w:rPr>
          <w:rFonts w:ascii="Arial" w:hAnsi="Arial" w:cs="Arial"/>
        </w:rPr>
      </w:pPr>
    </w:p>
    <w:p w14:paraId="5EA3D44E" w14:textId="4C16AB36" w:rsidR="004F369B" w:rsidRPr="00C4145F" w:rsidRDefault="004F369B" w:rsidP="0083075C">
      <w:pPr>
        <w:contextualSpacing/>
        <w:jc w:val="both"/>
        <w:rPr>
          <w:rFonts w:ascii="Arial" w:hAnsi="Arial" w:cs="Arial"/>
        </w:rPr>
      </w:pPr>
      <w:r w:rsidRPr="00C4145F">
        <w:rPr>
          <w:rFonts w:ascii="Arial" w:hAnsi="Arial" w:cs="Arial"/>
        </w:rPr>
        <w:t>Many women and girls also remain in mandatory onshore detention and women and girls are subjected to inadequate refugee status determination procedures. On 31 August 2020, there were 55 women and 1,488 men in detention facilities in Australia</w:t>
      </w:r>
      <w:r w:rsidRPr="00C4145F">
        <w:rPr>
          <w:rFonts w:ascii="Arial" w:hAnsi="Arial" w:cs="Arial"/>
          <w:vertAlign w:val="superscript"/>
        </w:rPr>
        <w:endnoteReference w:id="19"/>
      </w:r>
      <w:r w:rsidRPr="00C4145F">
        <w:rPr>
          <w:rFonts w:ascii="Arial" w:hAnsi="Arial" w:cs="Arial"/>
        </w:rPr>
        <w:t>. There were also over 200 women in community detention in Australia</w:t>
      </w:r>
      <w:r w:rsidRPr="00C4145F">
        <w:rPr>
          <w:rFonts w:ascii="Arial" w:hAnsi="Arial" w:cs="Arial"/>
          <w:vertAlign w:val="superscript"/>
        </w:rPr>
        <w:endnoteReference w:id="20"/>
      </w:r>
      <w:r w:rsidRPr="00C4145F">
        <w:rPr>
          <w:rFonts w:ascii="Arial" w:hAnsi="Arial" w:cs="Arial"/>
        </w:rPr>
        <w:t xml:space="preserve">. However, this number has greatly reduced between Sept-Nov 2020 due to single women, single mothers with children, and women within family groups being forced on to final departure bridging visas and exited from community detention without housing or income support, putting women at greater risk. Refugee and asylum-seeking women—both in and out of detention—experience sexual and gender-based violence and challenges to accessing critical health and well-being services. </w:t>
      </w:r>
    </w:p>
    <w:p w14:paraId="4E148E2D" w14:textId="77777777" w:rsidR="004F369B" w:rsidRPr="00C4145F" w:rsidRDefault="004F369B" w:rsidP="0083075C">
      <w:pPr>
        <w:contextualSpacing/>
        <w:jc w:val="both"/>
        <w:rPr>
          <w:rFonts w:ascii="Arial" w:hAnsi="Arial" w:cs="Arial"/>
        </w:rPr>
      </w:pPr>
    </w:p>
    <w:p w14:paraId="059F2606" w14:textId="77777777" w:rsidR="004F369B" w:rsidRPr="00C4145F" w:rsidRDefault="004F369B" w:rsidP="0083075C">
      <w:pPr>
        <w:contextualSpacing/>
        <w:jc w:val="both"/>
        <w:rPr>
          <w:rFonts w:ascii="Arial" w:hAnsi="Arial" w:cs="Arial"/>
          <w:b/>
        </w:rPr>
      </w:pPr>
      <w:r w:rsidRPr="00C4145F">
        <w:rPr>
          <w:rFonts w:ascii="Arial" w:hAnsi="Arial" w:cs="Arial"/>
        </w:rPr>
        <w:t xml:space="preserve">Despite the CEDAW committee’s recommendation to “repeal provisions on the mandatory detention of asylum seekers and ensure, in the interim, that detention is used only as a last resort”, mandatory detention is used routinely in Australia, not only as a last resort. Women, girls, and LGBTIQ persons are routinely placed in detention despite clearly established risks to their safety and well-being. </w:t>
      </w:r>
    </w:p>
    <w:p w14:paraId="45826735" w14:textId="77777777" w:rsidR="004F369B" w:rsidRPr="00C4145F" w:rsidRDefault="004F369B" w:rsidP="0083075C">
      <w:pPr>
        <w:contextualSpacing/>
        <w:jc w:val="both"/>
        <w:rPr>
          <w:rFonts w:ascii="Arial" w:hAnsi="Arial" w:cs="Arial"/>
          <w:b/>
        </w:rPr>
      </w:pPr>
    </w:p>
    <w:p w14:paraId="36BE2A7B" w14:textId="77777777" w:rsidR="004F369B" w:rsidRPr="00C4145F" w:rsidRDefault="004F369B" w:rsidP="0083075C">
      <w:pPr>
        <w:contextualSpacing/>
        <w:jc w:val="both"/>
        <w:rPr>
          <w:rFonts w:ascii="Arial" w:hAnsi="Arial" w:cs="Arial"/>
        </w:rPr>
      </w:pPr>
      <w:r w:rsidRPr="00C4145F">
        <w:rPr>
          <w:rFonts w:ascii="Arial" w:hAnsi="Arial" w:cs="Arial"/>
        </w:rPr>
        <w:t>The CEDAW committee recommended to ensure that “all women and girls seeking asylum have access to gender-sensitive and fair refugee status determination processes within the territory and to legal representation and legal remedies”.  However, this is still not the case, as offshore processing, airport screening and interception at sea still prevent women and girls from accessing asylum procedures onshore. Detention for an indefinite period of time is legal in Australia. Long timeframes for refugee status determination are extremely cumbersome and deprive asylum seeking girls and women of their fundamental right to freedom and safety for extended periods</w:t>
      </w:r>
      <w:r w:rsidRPr="00C4145F">
        <w:rPr>
          <w:rFonts w:ascii="Arial" w:hAnsi="Arial" w:cs="Arial"/>
          <w:vertAlign w:val="superscript"/>
        </w:rPr>
        <w:endnoteReference w:id="21"/>
      </w:r>
      <w:r w:rsidRPr="00C4145F">
        <w:rPr>
          <w:rFonts w:ascii="Arial" w:hAnsi="Arial" w:cs="Arial"/>
        </w:rPr>
        <w:t xml:space="preserve">. Moreover, asylum seeking girls and women lack access to culturally responsive and age-appropriate legal representation and remedies. </w:t>
      </w:r>
    </w:p>
    <w:p w14:paraId="38707C70" w14:textId="77777777" w:rsidR="004F369B" w:rsidRPr="00C4145F" w:rsidRDefault="004F369B" w:rsidP="0083075C">
      <w:pPr>
        <w:contextualSpacing/>
        <w:jc w:val="both"/>
        <w:rPr>
          <w:rFonts w:ascii="Arial" w:hAnsi="Arial" w:cs="Arial"/>
        </w:rPr>
      </w:pPr>
    </w:p>
    <w:p w14:paraId="4E62A0AA" w14:textId="77777777" w:rsidR="0083075C" w:rsidRPr="00C4145F" w:rsidRDefault="004F369B" w:rsidP="0083075C">
      <w:pPr>
        <w:contextualSpacing/>
        <w:jc w:val="both"/>
        <w:rPr>
          <w:rFonts w:ascii="Arial" w:hAnsi="Arial" w:cs="Arial"/>
        </w:rPr>
      </w:pPr>
      <w:r w:rsidRPr="00C4145F">
        <w:rPr>
          <w:rFonts w:ascii="Arial" w:hAnsi="Arial" w:cs="Arial"/>
        </w:rPr>
        <w:t>Sexual and gender-based violence against asylum-seeking women and girls is a significant problem in Australia</w:t>
      </w:r>
      <w:r w:rsidRPr="00C4145F">
        <w:rPr>
          <w:rFonts w:ascii="Arial" w:hAnsi="Arial" w:cs="Arial"/>
          <w:vertAlign w:val="superscript"/>
        </w:rPr>
        <w:endnoteReference w:id="22"/>
      </w:r>
      <w:r w:rsidRPr="00C4145F">
        <w:rPr>
          <w:rFonts w:ascii="Arial" w:hAnsi="Arial" w:cs="Arial"/>
        </w:rPr>
        <w:t>.</w:t>
      </w:r>
      <w:r w:rsidR="0083075C" w:rsidRPr="00C4145F">
        <w:rPr>
          <w:rFonts w:ascii="Arial" w:hAnsi="Arial" w:cs="Arial"/>
        </w:rPr>
        <w:t xml:space="preserve"> This violence does not happen only in detention centres, but within community areas as well and it is often invisible and underreported. The CEDAW committee recommended to “ensure that all immigration facilities under the responsibility of the State party adhere to standards for the prevention of sexual and gender-based violence, instigate all complaints of sexual and physical violence against women and girls, including rape, bring perpetrators to justice and guarantee that they are punished, and provide redress and adequate compensation to victims”. Despite this, Australia’s prevention and response mechanisms for sexual and gender-based violence against refugees and asylum seekers remain insufficiently resourced and burdensome for the victims/survivors. There is currently no Government-led response or procedures for women and girls who have experienced SGBV in offshore detention, including access to justice. </w:t>
      </w:r>
    </w:p>
    <w:p w14:paraId="38BA7AA4" w14:textId="77777777" w:rsidR="0083075C" w:rsidRPr="00C4145F" w:rsidRDefault="0083075C" w:rsidP="0083075C">
      <w:pPr>
        <w:contextualSpacing/>
        <w:jc w:val="both"/>
        <w:rPr>
          <w:rFonts w:ascii="Arial" w:hAnsi="Arial" w:cs="Arial"/>
        </w:rPr>
      </w:pPr>
    </w:p>
    <w:p w14:paraId="419326BA" w14:textId="1DDD7550" w:rsidR="0083075C" w:rsidRPr="00C4145F" w:rsidRDefault="0083075C" w:rsidP="0083075C">
      <w:pPr>
        <w:contextualSpacing/>
        <w:jc w:val="both"/>
        <w:rPr>
          <w:rFonts w:ascii="Arial" w:hAnsi="Arial" w:cs="Arial"/>
        </w:rPr>
      </w:pPr>
      <w:r w:rsidRPr="00C4145F">
        <w:rPr>
          <w:rFonts w:ascii="Arial" w:hAnsi="Arial" w:cs="Arial"/>
        </w:rPr>
        <w:t xml:space="preserve">Reporting of sexual and gender-based violence by asylum-seeking women and girls is very low due to lack of appropriate information about their rights, fear of detention and removal and migration status dependent on perpetrators. Sexual and gender-based violence also includes emotional abuse and coercive control which is often neglected by the authorities. Women dependent on their male family members for their refugee status determination procedures are more vulnerable due to lack of independent visa pathways and are less likely to report violence. Women who have experienced domestic and family violence struggle to separate their protection visa applications from their partners and decision makers often do not recognise that women may be at greater risk of further violence if forced to return home after a negative refugee status decision. LGBTIQ asylum seekers are disproportionately affected by sexual and gender-based violence in detention centres as well as within the communities. Sexual and gender-based violence responders are often not trained in culturally appropriate responses and trauma informed approaches to provide safe services to asylum seeking women and girls. Due to lack of appropriate and accessible legal information and services, victims and survivors also find it hard to seek legal redress for sexual and gender-based violence against them and ultimately, to access justice. </w:t>
      </w:r>
    </w:p>
    <w:p w14:paraId="53EA4CD0" w14:textId="77777777" w:rsidR="0083075C" w:rsidRPr="00C4145F" w:rsidRDefault="0083075C" w:rsidP="0083075C">
      <w:pPr>
        <w:contextualSpacing/>
        <w:jc w:val="both"/>
        <w:rPr>
          <w:rFonts w:ascii="Arial" w:hAnsi="Arial" w:cs="Arial"/>
        </w:rPr>
      </w:pPr>
    </w:p>
    <w:p w14:paraId="7BBE524A" w14:textId="4CD18B65" w:rsidR="0083075C" w:rsidRPr="00C4145F" w:rsidRDefault="0083075C" w:rsidP="0083075C">
      <w:pPr>
        <w:contextualSpacing/>
        <w:jc w:val="both"/>
        <w:rPr>
          <w:rFonts w:ascii="Arial" w:hAnsi="Arial" w:cs="Arial"/>
        </w:rPr>
      </w:pPr>
      <w:r w:rsidRPr="00C4145F">
        <w:rPr>
          <w:rFonts w:ascii="Arial" w:hAnsi="Arial" w:cs="Arial"/>
        </w:rPr>
        <w:t>The CEDAW committee recommended to guarantee that “all refugee and asylum-seeking women and girls who are under the responsibility of the State party have access to comprehensive, adequate and accessible sexual and reproductive health services and information, including to emergency contraception and abortion services, on its territory”. The CEDAW committee also recommended that “refugee and asylum-seeking women and girls have unconditional access to gender, age, culture and language-appropriate social, education, mental and physical health services on the territory of the State party”. Australia is failing to provide adequate sexual and reproductive health, physical and mental health services to all asylum-seeking women and girls. Australia’s detention policies have been demonstrated to cause serious harm to the physical and mental health of women. Furthermore, women transferred from Nauru to Australia, some of them survivors of SGBV, remain without access to adequate gender responsive services or long-term solutions.</w:t>
      </w:r>
    </w:p>
    <w:p w14:paraId="1895FB2C" w14:textId="77777777" w:rsidR="0083075C" w:rsidRPr="00C4145F" w:rsidRDefault="0083075C" w:rsidP="0083075C">
      <w:pPr>
        <w:contextualSpacing/>
        <w:jc w:val="both"/>
        <w:rPr>
          <w:rFonts w:ascii="Arial" w:hAnsi="Arial" w:cs="Arial"/>
        </w:rPr>
      </w:pPr>
    </w:p>
    <w:p w14:paraId="5BB927DF" w14:textId="6DFBF88B" w:rsidR="00AD27F4" w:rsidRDefault="0083075C" w:rsidP="0083075C">
      <w:pPr>
        <w:contextualSpacing/>
        <w:jc w:val="both"/>
        <w:rPr>
          <w:rFonts w:ascii="Arial" w:hAnsi="Arial" w:cs="Arial"/>
        </w:rPr>
      </w:pPr>
      <w:r w:rsidRPr="00C4145F">
        <w:rPr>
          <w:rFonts w:ascii="Arial" w:hAnsi="Arial" w:cs="Arial"/>
        </w:rPr>
        <w:t xml:space="preserve">In particular, those who are placed on temporary or bridging visas while waiting for their refugee status determination cannot access appropriate healthcare services. Even when asylum seeking women and girls have access to public healthcare via Medicare, they are not provided age, culture and language appropriate information about their rights and availability of essential services. Transgender women are often left out in provision of essential sexual and reproductive health services. Asylum-seeking women’s and girls’ health and well-being is also undermined due to lack of childcare options available to them and associated economic costs of seeking appropriate healthcare.  </w:t>
      </w:r>
    </w:p>
    <w:p w14:paraId="767ADA0A" w14:textId="662C455B" w:rsidR="003F48EA" w:rsidRDefault="003F48EA" w:rsidP="0083075C">
      <w:pPr>
        <w:contextualSpacing/>
        <w:jc w:val="both"/>
        <w:rPr>
          <w:rFonts w:ascii="Arial" w:hAnsi="Arial" w:cs="Arial"/>
        </w:rPr>
      </w:pPr>
    </w:p>
    <w:p w14:paraId="4B6D9B3C" w14:textId="77777777" w:rsidR="00DE7A8C" w:rsidRDefault="00DE7A8C" w:rsidP="0083075C">
      <w:pPr>
        <w:contextualSpacing/>
        <w:jc w:val="both"/>
        <w:rPr>
          <w:rFonts w:ascii="Arial" w:hAnsi="Arial" w:cs="Arial"/>
        </w:rPr>
      </w:pPr>
    </w:p>
    <w:p w14:paraId="6851535E" w14:textId="3BEBF53F" w:rsidR="00504AA4" w:rsidRDefault="00504AA4" w:rsidP="00DE7A8C">
      <w:pPr>
        <w:contextualSpacing/>
        <w:jc w:val="center"/>
        <w:rPr>
          <w:rFonts w:ascii="Arial" w:hAnsi="Arial" w:cs="Arial"/>
          <w:b/>
          <w:bCs/>
        </w:rPr>
      </w:pPr>
      <w:r w:rsidRPr="00504AA4">
        <w:rPr>
          <w:rFonts w:ascii="Arial" w:hAnsi="Arial" w:cs="Arial"/>
          <w:b/>
          <w:bCs/>
        </w:rPr>
        <w:t>Annexure A</w:t>
      </w:r>
    </w:p>
    <w:p w14:paraId="64943F13" w14:textId="0E8ABEE9" w:rsidR="00504AA4" w:rsidRPr="00504AA4" w:rsidRDefault="003F48EA" w:rsidP="0083075C">
      <w:pPr>
        <w:contextualSpacing/>
        <w:jc w:val="both"/>
        <w:rPr>
          <w:rFonts w:ascii="Arial" w:hAnsi="Arial" w:cs="Arial"/>
          <w:b/>
          <w:bCs/>
        </w:rPr>
      </w:pPr>
      <w:r w:rsidRPr="00504AA4">
        <w:rPr>
          <w:rFonts w:ascii="Arial" w:hAnsi="Arial" w:cs="Arial"/>
          <w:b/>
          <w:bCs/>
        </w:rPr>
        <w:t>This report is endorsed by the following organisations in whole or in part:</w:t>
      </w:r>
    </w:p>
    <w:p w14:paraId="2EFC19D0" w14:textId="77777777" w:rsidR="003F48EA" w:rsidRDefault="003F48EA" w:rsidP="0083075C">
      <w:pPr>
        <w:contextualSpacing/>
        <w:jc w:val="both"/>
        <w:rPr>
          <w:rFonts w:ascii="Arial" w:hAnsi="Arial" w:cs="Arial"/>
        </w:rPr>
      </w:pPr>
    </w:p>
    <w:p w14:paraId="6B20C414" w14:textId="77777777" w:rsidR="007236E1" w:rsidRPr="007236E1" w:rsidRDefault="007236E1" w:rsidP="007236E1">
      <w:pPr>
        <w:spacing w:after="0" w:line="240" w:lineRule="auto"/>
        <w:rPr>
          <w:rFonts w:ascii="Arial" w:eastAsia="Times New Roman" w:hAnsi="Arial" w:cs="Arial"/>
          <w:color w:val="000000"/>
          <w:lang w:eastAsia="en-GB"/>
        </w:rPr>
      </w:pPr>
      <w:r w:rsidRPr="007236E1">
        <w:rPr>
          <w:rFonts w:ascii="Arial" w:eastAsia="Times New Roman" w:hAnsi="Arial" w:cs="Arial"/>
          <w:color w:val="000000"/>
          <w:lang w:eastAsia="en-GB"/>
        </w:rPr>
        <w:t>Women’s Safety Services SA (WSSSA)</w:t>
      </w:r>
    </w:p>
    <w:p w14:paraId="630F24B5" w14:textId="77777777" w:rsidR="007236E1" w:rsidRPr="007236E1" w:rsidRDefault="007236E1" w:rsidP="007236E1">
      <w:pPr>
        <w:spacing w:after="0" w:line="240" w:lineRule="auto"/>
        <w:rPr>
          <w:rFonts w:ascii="Arial" w:eastAsia="Times New Roman" w:hAnsi="Arial" w:cs="Arial"/>
          <w:color w:val="000000"/>
          <w:lang w:eastAsia="en-GB"/>
        </w:rPr>
      </w:pPr>
      <w:r w:rsidRPr="007236E1">
        <w:rPr>
          <w:rFonts w:ascii="Arial" w:eastAsia="Times New Roman" w:hAnsi="Arial" w:cs="Arial"/>
          <w:color w:val="000000"/>
          <w:lang w:eastAsia="en-GB"/>
        </w:rPr>
        <w:t>Embolden SA Inc.</w:t>
      </w:r>
    </w:p>
    <w:p w14:paraId="57000DE4" w14:textId="77777777" w:rsidR="007236E1" w:rsidRPr="007236E1" w:rsidRDefault="007236E1" w:rsidP="007236E1">
      <w:pPr>
        <w:spacing w:after="0" w:line="240" w:lineRule="auto"/>
        <w:rPr>
          <w:rFonts w:ascii="Arial" w:eastAsia="Times New Roman" w:hAnsi="Arial" w:cs="Arial"/>
          <w:color w:val="000000"/>
          <w:lang w:eastAsia="en-GB"/>
        </w:rPr>
      </w:pPr>
      <w:r w:rsidRPr="007236E1">
        <w:rPr>
          <w:rFonts w:ascii="Arial" w:eastAsia="Times New Roman" w:hAnsi="Arial" w:cs="Arial"/>
          <w:color w:val="000000"/>
          <w:lang w:eastAsia="en-GB"/>
        </w:rPr>
        <w:t>Refugee Council of Australia</w:t>
      </w:r>
    </w:p>
    <w:p w14:paraId="3821D160" w14:textId="77777777" w:rsidR="007236E1" w:rsidRPr="007236E1" w:rsidRDefault="007236E1" w:rsidP="007236E1">
      <w:pPr>
        <w:spacing w:after="0" w:line="240" w:lineRule="auto"/>
        <w:rPr>
          <w:rFonts w:ascii="Arial" w:eastAsia="Times New Roman" w:hAnsi="Arial" w:cs="Arial"/>
          <w:color w:val="000000"/>
          <w:lang w:eastAsia="en-GB"/>
        </w:rPr>
      </w:pPr>
      <w:r w:rsidRPr="007236E1">
        <w:rPr>
          <w:rFonts w:ascii="Arial" w:eastAsia="Times New Roman" w:hAnsi="Arial" w:cs="Arial"/>
          <w:color w:val="000000"/>
          <w:lang w:eastAsia="en-GB"/>
        </w:rPr>
        <w:t>Multicultural Youth Affairs Network NSW</w:t>
      </w:r>
    </w:p>
    <w:p w14:paraId="046A18C9" w14:textId="77777777" w:rsidR="007236E1" w:rsidRPr="007236E1" w:rsidRDefault="007236E1" w:rsidP="007236E1">
      <w:pPr>
        <w:spacing w:after="0" w:line="240" w:lineRule="auto"/>
        <w:rPr>
          <w:rFonts w:ascii="Arial" w:eastAsia="Times New Roman" w:hAnsi="Arial" w:cs="Arial"/>
          <w:color w:val="000000"/>
        </w:rPr>
      </w:pPr>
      <w:r w:rsidRPr="007236E1">
        <w:rPr>
          <w:rFonts w:ascii="Arial" w:eastAsia="Times New Roman" w:hAnsi="Arial" w:cs="Arial"/>
          <w:color w:val="000000"/>
        </w:rPr>
        <w:t>Australian Muslim Women’s Centre for Human Rights</w:t>
      </w:r>
    </w:p>
    <w:p w14:paraId="75458061" w14:textId="77777777" w:rsidR="007236E1" w:rsidRPr="007236E1" w:rsidRDefault="007236E1" w:rsidP="007236E1">
      <w:pPr>
        <w:spacing w:after="0" w:line="240" w:lineRule="auto"/>
        <w:rPr>
          <w:rFonts w:ascii="Arial" w:eastAsia="Times New Roman" w:hAnsi="Arial" w:cs="Arial"/>
          <w:color w:val="000000"/>
          <w:lang w:eastAsia="en-GB"/>
        </w:rPr>
      </w:pPr>
      <w:r w:rsidRPr="007236E1">
        <w:rPr>
          <w:rFonts w:ascii="Arial" w:eastAsia="Times New Roman" w:hAnsi="Arial" w:cs="Arial"/>
          <w:color w:val="000000"/>
          <w:lang w:eastAsia="en-GB"/>
        </w:rPr>
        <w:t>Asylum Seekers Centre</w:t>
      </w:r>
    </w:p>
    <w:p w14:paraId="065AED45" w14:textId="77777777" w:rsidR="007236E1" w:rsidRPr="007236E1" w:rsidRDefault="007236E1" w:rsidP="007236E1">
      <w:pPr>
        <w:spacing w:after="0" w:line="240" w:lineRule="auto"/>
        <w:rPr>
          <w:rFonts w:ascii="Arial" w:eastAsia="Times New Roman" w:hAnsi="Arial" w:cs="Arial"/>
          <w:color w:val="000000"/>
          <w:lang w:eastAsia="en-GB"/>
        </w:rPr>
      </w:pPr>
      <w:r w:rsidRPr="007236E1">
        <w:rPr>
          <w:rFonts w:ascii="Arial" w:eastAsia="Times New Roman" w:hAnsi="Arial" w:cs="Arial"/>
          <w:color w:val="000000"/>
          <w:lang w:eastAsia="en-GB"/>
        </w:rPr>
        <w:t>Association for Services to Torture and Trauma Survivors (ASeTTS)</w:t>
      </w:r>
    </w:p>
    <w:p w14:paraId="694D366C" w14:textId="77777777" w:rsidR="007236E1" w:rsidRPr="007236E1" w:rsidRDefault="007236E1" w:rsidP="007236E1">
      <w:pPr>
        <w:spacing w:after="0" w:line="240" w:lineRule="auto"/>
        <w:rPr>
          <w:rFonts w:ascii="Arial" w:eastAsia="Times New Roman" w:hAnsi="Arial" w:cs="Arial"/>
          <w:color w:val="000000"/>
          <w:lang w:eastAsia="en-GB"/>
        </w:rPr>
      </w:pPr>
      <w:r w:rsidRPr="007236E1">
        <w:rPr>
          <w:rFonts w:ascii="Arial" w:eastAsia="Times New Roman" w:hAnsi="Arial" w:cs="Arial"/>
          <w:color w:val="000000"/>
          <w:shd w:val="clear" w:color="auto" w:fill="FFFFFF"/>
          <w:lang w:eastAsia="en-GB"/>
        </w:rPr>
        <w:t>National Ethnic Disability Alliance (NEDA)</w:t>
      </w:r>
    </w:p>
    <w:p w14:paraId="522DBC94" w14:textId="77777777" w:rsidR="007236E1" w:rsidRPr="007236E1" w:rsidRDefault="007236E1" w:rsidP="007236E1">
      <w:pPr>
        <w:spacing w:after="0" w:line="240" w:lineRule="auto"/>
        <w:rPr>
          <w:rFonts w:ascii="Arial" w:eastAsia="Times New Roman" w:hAnsi="Arial" w:cs="Arial"/>
          <w:color w:val="000000"/>
        </w:rPr>
      </w:pPr>
      <w:r w:rsidRPr="007236E1">
        <w:rPr>
          <w:rFonts w:ascii="Arial" w:eastAsia="Times New Roman" w:hAnsi="Arial" w:cs="Arial"/>
          <w:color w:val="000000"/>
        </w:rPr>
        <w:t>Food For Thought Network</w:t>
      </w:r>
    </w:p>
    <w:p w14:paraId="3FA85075" w14:textId="77777777" w:rsidR="007236E1" w:rsidRPr="007236E1" w:rsidRDefault="007236E1" w:rsidP="007236E1">
      <w:pPr>
        <w:spacing w:after="0" w:line="240" w:lineRule="auto"/>
        <w:rPr>
          <w:rFonts w:ascii="Arial" w:eastAsia="Times New Roman" w:hAnsi="Arial" w:cs="Arial"/>
          <w:color w:val="000000"/>
          <w:lang w:eastAsia="en-GB"/>
        </w:rPr>
      </w:pPr>
      <w:r w:rsidRPr="007236E1">
        <w:rPr>
          <w:rFonts w:ascii="Arial" w:eastAsia="Times New Roman" w:hAnsi="Arial" w:cs="Arial"/>
          <w:color w:val="000000"/>
          <w:lang w:eastAsia="en-GB"/>
        </w:rPr>
        <w:t>Welcoming Australia</w:t>
      </w:r>
    </w:p>
    <w:p w14:paraId="3723786A" w14:textId="77777777" w:rsidR="007236E1" w:rsidRPr="007236E1" w:rsidRDefault="007236E1" w:rsidP="007236E1">
      <w:pPr>
        <w:spacing w:after="0" w:line="240" w:lineRule="auto"/>
        <w:rPr>
          <w:rFonts w:ascii="Arial" w:eastAsia="Times New Roman" w:hAnsi="Arial" w:cs="Arial"/>
          <w:color w:val="000000"/>
          <w:lang w:eastAsia="en-GB"/>
        </w:rPr>
      </w:pPr>
      <w:r w:rsidRPr="007236E1">
        <w:rPr>
          <w:rFonts w:ascii="Arial" w:eastAsia="Times New Roman" w:hAnsi="Arial" w:cs="Arial"/>
          <w:color w:val="000000"/>
          <w:lang w:eastAsia="en-GB"/>
        </w:rPr>
        <w:t>Sydney Multicultural Community Services Inc.</w:t>
      </w:r>
    </w:p>
    <w:p w14:paraId="66CF412A" w14:textId="77777777" w:rsidR="007236E1" w:rsidRPr="007236E1" w:rsidRDefault="007236E1" w:rsidP="007236E1">
      <w:pPr>
        <w:spacing w:after="0" w:line="240" w:lineRule="auto"/>
        <w:rPr>
          <w:rFonts w:ascii="Arial" w:eastAsia="Times New Roman" w:hAnsi="Arial" w:cs="Arial"/>
          <w:color w:val="000000"/>
          <w:lang w:eastAsia="en-GB"/>
        </w:rPr>
      </w:pPr>
      <w:r w:rsidRPr="007236E1">
        <w:rPr>
          <w:rFonts w:ascii="Arial" w:eastAsia="Times New Roman" w:hAnsi="Arial" w:cs="Arial"/>
          <w:color w:val="000000"/>
          <w:shd w:val="clear" w:color="auto" w:fill="FFFFFF"/>
          <w:lang w:eastAsia="en-GB"/>
        </w:rPr>
        <w:t>National Refugee-led Advisory and Advocacy Group (NRAAG)</w:t>
      </w:r>
    </w:p>
    <w:p w14:paraId="3803CD1D" w14:textId="77777777" w:rsidR="007236E1" w:rsidRPr="007236E1" w:rsidRDefault="007236E1" w:rsidP="007236E1">
      <w:pPr>
        <w:spacing w:after="0" w:line="240" w:lineRule="auto"/>
        <w:rPr>
          <w:rFonts w:ascii="Arial" w:eastAsia="Times New Roman" w:hAnsi="Arial" w:cs="Arial"/>
          <w:color w:val="000000"/>
          <w:lang w:eastAsia="en-GB"/>
        </w:rPr>
      </w:pPr>
      <w:r w:rsidRPr="007236E1">
        <w:rPr>
          <w:rFonts w:ascii="Arial" w:eastAsia="Times New Roman" w:hAnsi="Arial" w:cs="Arial"/>
          <w:color w:val="000000"/>
          <w:lang w:eastAsia="en-GB"/>
        </w:rPr>
        <w:t>Centre for Asylum Seekers, Refugees and Detainees (CARAD)</w:t>
      </w:r>
    </w:p>
    <w:p w14:paraId="04E097BF" w14:textId="10807B8F" w:rsidR="007236E1" w:rsidRDefault="007236E1" w:rsidP="007236E1">
      <w:pPr>
        <w:spacing w:after="0" w:line="240" w:lineRule="auto"/>
        <w:rPr>
          <w:rFonts w:ascii="Arial" w:eastAsia="Times New Roman" w:hAnsi="Arial" w:cs="Arial"/>
          <w:color w:val="000000"/>
        </w:rPr>
      </w:pPr>
      <w:r w:rsidRPr="007236E1">
        <w:rPr>
          <w:rFonts w:ascii="Arial" w:eastAsia="Times New Roman" w:hAnsi="Arial" w:cs="Arial"/>
          <w:color w:val="000000"/>
        </w:rPr>
        <w:t>Jesuit Refugee Service Australia</w:t>
      </w:r>
    </w:p>
    <w:p w14:paraId="2C10D4FF" w14:textId="1B62BC64" w:rsidR="00F60AF5" w:rsidRPr="00F60AF5" w:rsidRDefault="00F60AF5" w:rsidP="007236E1">
      <w:pPr>
        <w:spacing w:after="0" w:line="240" w:lineRule="auto"/>
        <w:rPr>
          <w:rFonts w:ascii="Arial" w:eastAsia="Times New Roman" w:hAnsi="Arial" w:cs="Arial"/>
          <w:color w:val="000000"/>
        </w:rPr>
      </w:pPr>
      <w:r w:rsidRPr="00F60AF5">
        <w:rPr>
          <w:rFonts w:ascii="Arial" w:hAnsi="Arial" w:cs="Arial"/>
        </w:rPr>
        <w:t>Circle Green Community Legal</w:t>
      </w:r>
    </w:p>
    <w:p w14:paraId="3859E130" w14:textId="77777777" w:rsidR="007236E1" w:rsidRDefault="007236E1" w:rsidP="00504AA4">
      <w:pPr>
        <w:contextualSpacing/>
        <w:jc w:val="center"/>
        <w:rPr>
          <w:rFonts w:ascii="Arial" w:hAnsi="Arial" w:cs="Arial"/>
        </w:rPr>
      </w:pPr>
    </w:p>
    <w:p w14:paraId="4CC83074" w14:textId="21F7BEA7" w:rsidR="003F48EA" w:rsidRDefault="003F48EA" w:rsidP="00504AA4">
      <w:pPr>
        <w:contextualSpacing/>
        <w:jc w:val="center"/>
        <w:rPr>
          <w:rFonts w:ascii="Arial" w:hAnsi="Arial" w:cs="Arial"/>
        </w:rPr>
      </w:pPr>
      <w:r>
        <w:rPr>
          <w:noProof/>
          <w:lang w:val="en-GB" w:eastAsia="en-GB"/>
        </w:rPr>
        <w:drawing>
          <wp:inline distT="0" distB="0" distL="0" distR="0" wp14:anchorId="3DEC4E7A" wp14:editId="7DB9DE3A">
            <wp:extent cx="2514600" cy="515401"/>
            <wp:effectExtent l="0" t="0" r="0" b="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RA.logo+tag.colour.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71740" cy="547609"/>
                    </a:xfrm>
                    <a:prstGeom prst="rect">
                      <a:avLst/>
                    </a:prstGeom>
                  </pic:spPr>
                </pic:pic>
              </a:graphicData>
            </a:graphic>
          </wp:inline>
        </w:drawing>
      </w:r>
      <w:r w:rsidR="00504AA4">
        <w:rPr>
          <w:rFonts w:ascii="Arial" w:hAnsi="Arial" w:cs="Arial"/>
        </w:rPr>
        <w:t xml:space="preserve">     </w:t>
      </w:r>
      <w:r w:rsidR="00504AA4">
        <w:rPr>
          <w:noProof/>
          <w:lang w:val="en-GB" w:eastAsia="en-GB"/>
        </w:rPr>
        <w:drawing>
          <wp:inline distT="0" distB="0" distL="0" distR="0" wp14:anchorId="1518B5BC" wp14:editId="7000B48D">
            <wp:extent cx="2714625" cy="402714"/>
            <wp:effectExtent l="0" t="0" r="0" b="0"/>
            <wp:docPr id="6" name="Picture 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_LOGO_1600.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94044" cy="444166"/>
                    </a:xfrm>
                    <a:prstGeom prst="rect">
                      <a:avLst/>
                    </a:prstGeom>
                  </pic:spPr>
                </pic:pic>
              </a:graphicData>
            </a:graphic>
          </wp:inline>
        </w:drawing>
      </w:r>
    </w:p>
    <w:p w14:paraId="6EE23293" w14:textId="663A0570" w:rsidR="00504AA4" w:rsidRDefault="00504AA4" w:rsidP="00504AA4">
      <w:pPr>
        <w:contextualSpacing/>
        <w:jc w:val="center"/>
        <w:rPr>
          <w:rFonts w:ascii="Arial" w:hAnsi="Arial" w:cs="Arial"/>
        </w:rPr>
      </w:pPr>
      <w:r>
        <w:rPr>
          <w:noProof/>
          <w:lang w:val="en-GB" w:eastAsia="en-GB"/>
        </w:rPr>
        <w:drawing>
          <wp:inline distT="0" distB="0" distL="0" distR="0" wp14:anchorId="614F4AFB" wp14:editId="0CF0F529">
            <wp:extent cx="2885784" cy="1190625"/>
            <wp:effectExtent l="0" t="0" r="0"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 large.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18654" cy="1204187"/>
                    </a:xfrm>
                    <a:prstGeom prst="rect">
                      <a:avLst/>
                    </a:prstGeom>
                  </pic:spPr>
                </pic:pic>
              </a:graphicData>
            </a:graphic>
          </wp:inline>
        </w:drawing>
      </w:r>
      <w:r>
        <w:rPr>
          <w:rFonts w:ascii="Arial" w:hAnsi="Arial" w:cs="Arial"/>
          <w:noProof/>
          <w:lang w:val="en-GB" w:eastAsia="en-GB"/>
        </w:rPr>
        <w:drawing>
          <wp:inline distT="0" distB="0" distL="0" distR="0" wp14:anchorId="5AEF7819" wp14:editId="163E59D7">
            <wp:extent cx="2362200" cy="963100"/>
            <wp:effectExtent l="0" t="0" r="0" b="8890"/>
            <wp:docPr id="12" name="Picture 1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WAVA logo CMYK.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482928" cy="1012322"/>
                    </a:xfrm>
                    <a:prstGeom prst="rect">
                      <a:avLst/>
                    </a:prstGeom>
                  </pic:spPr>
                </pic:pic>
              </a:graphicData>
            </a:graphic>
          </wp:inline>
        </w:drawing>
      </w:r>
    </w:p>
    <w:p w14:paraId="4ABE607F" w14:textId="0488B637" w:rsidR="00504AA4" w:rsidRDefault="00504AA4" w:rsidP="0083075C">
      <w:pPr>
        <w:contextualSpacing/>
        <w:jc w:val="both"/>
        <w:rPr>
          <w:rFonts w:ascii="Arial" w:hAnsi="Arial" w:cs="Arial"/>
          <w:noProof/>
        </w:rPr>
      </w:pPr>
    </w:p>
    <w:p w14:paraId="0BC319CD" w14:textId="6E297D51" w:rsidR="00504AA4" w:rsidRDefault="00504AA4" w:rsidP="00504AA4">
      <w:pPr>
        <w:contextualSpacing/>
        <w:jc w:val="center"/>
        <w:rPr>
          <w:rFonts w:ascii="Arial" w:hAnsi="Arial" w:cs="Arial"/>
          <w:noProof/>
        </w:rPr>
      </w:pPr>
    </w:p>
    <w:p w14:paraId="2B810A17" w14:textId="0C424398" w:rsidR="00504AA4" w:rsidRDefault="00504AA4" w:rsidP="00504AA4">
      <w:pPr>
        <w:contextualSpacing/>
        <w:jc w:val="center"/>
        <w:rPr>
          <w:rFonts w:ascii="Arial" w:hAnsi="Arial" w:cs="Arial"/>
          <w:noProof/>
        </w:rPr>
      </w:pPr>
      <w:r>
        <w:rPr>
          <w:rFonts w:ascii="Arial" w:hAnsi="Arial" w:cs="Arial"/>
          <w:noProof/>
          <w:lang w:val="en-GB" w:eastAsia="en-GB"/>
        </w:rPr>
        <w:drawing>
          <wp:inline distT="0" distB="0" distL="0" distR="0" wp14:anchorId="607D63B5" wp14:editId="747719B2">
            <wp:extent cx="1809750" cy="823374"/>
            <wp:effectExtent l="0" t="0" r="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4W_logos_colour.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63539" cy="847846"/>
                    </a:xfrm>
                    <a:prstGeom prst="rect">
                      <a:avLst/>
                    </a:prstGeom>
                  </pic:spPr>
                </pic:pic>
              </a:graphicData>
            </a:graphic>
          </wp:inline>
        </w:drawing>
      </w:r>
      <w:r>
        <w:rPr>
          <w:rFonts w:ascii="Arial" w:hAnsi="Arial" w:cs="Arial"/>
          <w:noProof/>
          <w:lang w:val="en-GB" w:eastAsia="en-GB"/>
        </w:rPr>
        <w:drawing>
          <wp:inline distT="0" distB="0" distL="0" distR="0" wp14:anchorId="2FA65B6E" wp14:editId="043B30BB">
            <wp:extent cx="1966963" cy="914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NRWCN_logo 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04488" cy="931845"/>
                    </a:xfrm>
                    <a:prstGeom prst="rect">
                      <a:avLst/>
                    </a:prstGeom>
                  </pic:spPr>
                </pic:pic>
              </a:graphicData>
            </a:graphic>
          </wp:inline>
        </w:drawing>
      </w:r>
      <w:r w:rsidR="00656F0F">
        <w:rPr>
          <w:rFonts w:ascii="Arial" w:hAnsi="Arial" w:cs="Arial"/>
          <w:noProof/>
          <w:lang w:val="en-GB" w:eastAsia="en-GB"/>
        </w:rPr>
        <w:drawing>
          <wp:inline distT="0" distB="0" distL="0" distR="0" wp14:anchorId="6527D703" wp14:editId="44708227">
            <wp:extent cx="1752600" cy="101156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92276" cy="1034468"/>
                    </a:xfrm>
                    <a:prstGeom prst="rect">
                      <a:avLst/>
                    </a:prstGeom>
                    <a:noFill/>
                    <a:ln>
                      <a:noFill/>
                    </a:ln>
                  </pic:spPr>
                </pic:pic>
              </a:graphicData>
            </a:graphic>
          </wp:inline>
        </w:drawing>
      </w:r>
    </w:p>
    <w:p w14:paraId="0AB159D4" w14:textId="5BA99104" w:rsidR="00656F0F" w:rsidRDefault="00656F0F" w:rsidP="00640223">
      <w:pPr>
        <w:contextualSpacing/>
        <w:rPr>
          <w:rFonts w:ascii="Arial" w:hAnsi="Arial" w:cs="Arial"/>
          <w:noProof/>
        </w:rPr>
      </w:pPr>
      <w:r>
        <w:rPr>
          <w:rFonts w:ascii="Arial" w:hAnsi="Arial" w:cs="Arial"/>
          <w:noProof/>
        </w:rPr>
        <w:t xml:space="preserve">  </w:t>
      </w:r>
      <w:r>
        <w:rPr>
          <w:rFonts w:ascii="Arial" w:hAnsi="Arial" w:cs="Arial"/>
          <w:noProof/>
          <w:lang w:val="en-GB" w:eastAsia="en-GB"/>
        </w:rPr>
        <w:drawing>
          <wp:inline distT="0" distB="0" distL="0" distR="0" wp14:anchorId="0DC75F63" wp14:editId="34A314D5">
            <wp:extent cx="1524000" cy="1023363"/>
            <wp:effectExtent l="0" t="0" r="0" b="5715"/>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DPN Logo (002).jpg"/>
                    <pic:cNvPicPr/>
                  </pic:nvPicPr>
                  <pic:blipFill rotWithShape="1">
                    <a:blip r:embed="rId23" cstate="print">
                      <a:extLst>
                        <a:ext uri="{28A0092B-C50C-407E-A947-70E740481C1C}">
                          <a14:useLocalDpi xmlns:a14="http://schemas.microsoft.com/office/drawing/2010/main" val="0"/>
                        </a:ext>
                      </a:extLst>
                    </a:blip>
                    <a:srcRect l="6038" t="8001" r="4686" b="12568"/>
                    <a:stretch/>
                  </pic:blipFill>
                  <pic:spPr bwMode="auto">
                    <a:xfrm>
                      <a:off x="0" y="0"/>
                      <a:ext cx="1547149" cy="1038908"/>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rPr>
        <w:t xml:space="preserve">    </w:t>
      </w:r>
      <w:r>
        <w:rPr>
          <w:noProof/>
          <w:lang w:val="en-GB" w:eastAsia="en-GB"/>
        </w:rPr>
        <w:drawing>
          <wp:inline distT="0" distB="0" distL="0" distR="0" wp14:anchorId="229E3B05" wp14:editId="2B4B0150">
            <wp:extent cx="2124075" cy="565478"/>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79178" cy="606770"/>
                    </a:xfrm>
                    <a:prstGeom prst="rect">
                      <a:avLst/>
                    </a:prstGeom>
                    <a:noFill/>
                    <a:ln>
                      <a:noFill/>
                    </a:ln>
                  </pic:spPr>
                </pic:pic>
              </a:graphicData>
            </a:graphic>
          </wp:inline>
        </w:drawing>
      </w:r>
      <w:r>
        <w:rPr>
          <w:rFonts w:ascii="Arial" w:hAnsi="Arial" w:cs="Arial"/>
          <w:noProof/>
        </w:rPr>
        <w:t xml:space="preserve">   </w:t>
      </w:r>
      <w:r>
        <w:rPr>
          <w:rFonts w:ascii="Arial" w:hAnsi="Arial" w:cs="Arial"/>
          <w:noProof/>
          <w:lang w:val="en-GB" w:eastAsia="en-GB"/>
        </w:rPr>
        <w:drawing>
          <wp:inline distT="0" distB="0" distL="0" distR="0" wp14:anchorId="3EABD88E" wp14:editId="619F8F75">
            <wp:extent cx="1612984" cy="1571625"/>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18642" cy="1577138"/>
                    </a:xfrm>
                    <a:prstGeom prst="rect">
                      <a:avLst/>
                    </a:prstGeom>
                    <a:noFill/>
                    <a:ln>
                      <a:noFill/>
                    </a:ln>
                  </pic:spPr>
                </pic:pic>
              </a:graphicData>
            </a:graphic>
          </wp:inline>
        </w:drawing>
      </w:r>
    </w:p>
    <w:p w14:paraId="479A0B92" w14:textId="63695AEC" w:rsidR="003F48EA" w:rsidRDefault="00656F0F" w:rsidP="00656F0F">
      <w:pPr>
        <w:contextualSpacing/>
        <w:rPr>
          <w:rFonts w:ascii="Arial" w:hAnsi="Arial" w:cs="Arial"/>
        </w:rPr>
      </w:pPr>
      <w:r>
        <w:rPr>
          <w:noProof/>
          <w:lang w:val="en-GB" w:eastAsia="en-GB"/>
        </w:rPr>
        <w:drawing>
          <wp:anchor distT="0" distB="0" distL="114300" distR="114300" simplePos="0" relativeHeight="251659264" behindDoc="0" locked="0" layoutInCell="1" allowOverlap="1" wp14:anchorId="6D56C88B" wp14:editId="6C52B40A">
            <wp:simplePos x="0" y="0"/>
            <wp:positionH relativeFrom="column">
              <wp:posOffset>2533650</wp:posOffset>
            </wp:positionH>
            <wp:positionV relativeFrom="paragraph">
              <wp:posOffset>875665</wp:posOffset>
            </wp:positionV>
            <wp:extent cx="2905125" cy="520700"/>
            <wp:effectExtent l="0" t="0" r="952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05125" cy="520700"/>
                    </a:xfrm>
                    <a:prstGeom prst="rect">
                      <a:avLst/>
                    </a:prstGeom>
                    <a:noFill/>
                    <a:ln>
                      <a:noFill/>
                    </a:ln>
                  </pic:spPr>
                </pic:pic>
              </a:graphicData>
            </a:graphic>
          </wp:anchor>
        </w:drawing>
      </w:r>
      <w:r>
        <w:rPr>
          <w:noProof/>
          <w:lang w:val="en-GB" w:eastAsia="en-GB"/>
        </w:rPr>
        <w:drawing>
          <wp:anchor distT="0" distB="0" distL="114300" distR="114300" simplePos="0" relativeHeight="251658240" behindDoc="0" locked="0" layoutInCell="1" allowOverlap="1" wp14:anchorId="011A2EF3" wp14:editId="3239725E">
            <wp:simplePos x="0" y="0"/>
            <wp:positionH relativeFrom="column">
              <wp:posOffset>2743200</wp:posOffset>
            </wp:positionH>
            <wp:positionV relativeFrom="paragraph">
              <wp:posOffset>176530</wp:posOffset>
            </wp:positionV>
            <wp:extent cx="2162175" cy="464185"/>
            <wp:effectExtent l="0" t="0" r="952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62175" cy="4641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rPr>
        <w:t xml:space="preserve"> </w:t>
      </w:r>
      <w:r>
        <w:rPr>
          <w:noProof/>
        </w:rPr>
        <w:t xml:space="preserve">    </w:t>
      </w:r>
      <w:r w:rsidR="00640223">
        <w:rPr>
          <w:rFonts w:ascii="Arial" w:hAnsi="Arial" w:cs="Arial"/>
          <w:noProof/>
        </w:rPr>
        <w:t xml:space="preserve">          </w:t>
      </w:r>
      <w:r w:rsidR="004D5FB8">
        <w:rPr>
          <w:rFonts w:ascii="Arial" w:hAnsi="Arial" w:cs="Arial"/>
        </w:rPr>
        <w:t xml:space="preserve"> </w:t>
      </w:r>
      <w:r w:rsidR="00640223">
        <w:rPr>
          <w:rFonts w:ascii="Arial" w:hAnsi="Arial" w:cs="Arial"/>
          <w:noProof/>
          <w:lang w:val="en-GB" w:eastAsia="en-GB"/>
        </w:rPr>
        <w:drawing>
          <wp:inline distT="0" distB="0" distL="0" distR="0" wp14:anchorId="3C1955A1" wp14:editId="32F6CBE5">
            <wp:extent cx="1381319" cy="14478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01470" cy="1468921"/>
                    </a:xfrm>
                    <a:prstGeom prst="rect">
                      <a:avLst/>
                    </a:prstGeom>
                    <a:noFill/>
                    <a:ln>
                      <a:noFill/>
                    </a:ln>
                  </pic:spPr>
                </pic:pic>
              </a:graphicData>
            </a:graphic>
          </wp:inline>
        </w:drawing>
      </w:r>
    </w:p>
    <w:p w14:paraId="748E9163" w14:textId="35D4C193" w:rsidR="00504AA4" w:rsidRDefault="00504AA4" w:rsidP="0083075C">
      <w:pPr>
        <w:contextualSpacing/>
        <w:jc w:val="both"/>
        <w:rPr>
          <w:rFonts w:ascii="Arial" w:hAnsi="Arial" w:cs="Arial"/>
        </w:rPr>
      </w:pPr>
    </w:p>
    <w:p w14:paraId="0A22DFF2" w14:textId="458A0734" w:rsidR="00504AA4" w:rsidRDefault="00504AA4" w:rsidP="00504AA4">
      <w:pPr>
        <w:contextualSpacing/>
        <w:jc w:val="center"/>
      </w:pPr>
      <w:r w:rsidRPr="00504AA4">
        <w:t xml:space="preserve"> </w:t>
      </w:r>
      <w:r>
        <w:t xml:space="preserve">   </w:t>
      </w:r>
    </w:p>
    <w:p w14:paraId="19A56504" w14:textId="2A8498F0" w:rsidR="004D5FB8" w:rsidRDefault="00DE7A8C" w:rsidP="00640223">
      <w:pPr>
        <w:contextualSpacing/>
      </w:pPr>
      <w:r>
        <w:rPr>
          <w:noProof/>
        </w:rPr>
        <w:t xml:space="preserve">              </w:t>
      </w:r>
      <w:r w:rsidR="00640223">
        <w:rPr>
          <w:noProof/>
          <w:lang w:val="en-GB" w:eastAsia="en-GB"/>
        </w:rPr>
        <w:drawing>
          <wp:inline distT="0" distB="0" distL="0" distR="0" wp14:anchorId="314CB3DC" wp14:editId="0498273E">
            <wp:extent cx="1200150" cy="1200150"/>
            <wp:effectExtent l="0" t="0" r="0" b="0"/>
            <wp:docPr id="21" name="Picture 2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a:ln>
                      <a:noFill/>
                    </a:ln>
                  </pic:spPr>
                </pic:pic>
              </a:graphicData>
            </a:graphic>
          </wp:inline>
        </w:drawing>
      </w:r>
      <w:r w:rsidR="00640223">
        <w:rPr>
          <w:noProof/>
        </w:rPr>
        <w:t xml:space="preserve"> </w:t>
      </w:r>
      <w:r w:rsidR="00640223">
        <w:rPr>
          <w:rFonts w:eastAsia="Times New Roman"/>
          <w:noProof/>
        </w:rPr>
        <w:t xml:space="preserve">   </w:t>
      </w:r>
      <w:r w:rsidR="00640223">
        <w:rPr>
          <w:rFonts w:eastAsia="Times New Roman"/>
          <w:noProof/>
          <w:lang w:val="en-GB" w:eastAsia="en-GB"/>
        </w:rPr>
        <w:drawing>
          <wp:inline distT="0" distB="0" distL="0" distR="0" wp14:anchorId="4E1B4B12" wp14:editId="44C1DC51">
            <wp:extent cx="2096689" cy="7251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82400" cy="754814"/>
                    </a:xfrm>
                    <a:prstGeom prst="rect">
                      <a:avLst/>
                    </a:prstGeom>
                    <a:noFill/>
                    <a:ln>
                      <a:noFill/>
                    </a:ln>
                  </pic:spPr>
                </pic:pic>
              </a:graphicData>
            </a:graphic>
          </wp:inline>
        </w:drawing>
      </w:r>
      <w:r w:rsidR="00640223">
        <w:rPr>
          <w:rFonts w:eastAsia="Times New Roman"/>
          <w:noProof/>
          <w:lang w:val="en-GB" w:eastAsia="en-GB"/>
        </w:rPr>
        <w:drawing>
          <wp:inline distT="0" distB="0" distL="0" distR="0" wp14:anchorId="479206B1" wp14:editId="73E458DA">
            <wp:extent cx="1352550" cy="1371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b="4622"/>
                    <a:stretch/>
                  </pic:blipFill>
                  <pic:spPr bwMode="auto">
                    <a:xfrm>
                      <a:off x="0" y="0"/>
                      <a:ext cx="1358237" cy="1377367"/>
                    </a:xfrm>
                    <a:prstGeom prst="rect">
                      <a:avLst/>
                    </a:prstGeom>
                    <a:noFill/>
                    <a:ln>
                      <a:noFill/>
                    </a:ln>
                    <a:extLst>
                      <a:ext uri="{53640926-AAD7-44D8-BBD7-CCE9431645EC}">
                        <a14:shadowObscured xmlns:a14="http://schemas.microsoft.com/office/drawing/2010/main"/>
                      </a:ext>
                    </a:extLst>
                  </pic:spPr>
                </pic:pic>
              </a:graphicData>
            </a:graphic>
          </wp:inline>
        </w:drawing>
      </w:r>
    </w:p>
    <w:p w14:paraId="4C82AF20" w14:textId="0892F0BF" w:rsidR="004D5FB8" w:rsidRDefault="004D5FB8" w:rsidP="00504AA4">
      <w:pPr>
        <w:contextualSpacing/>
        <w:jc w:val="center"/>
      </w:pPr>
    </w:p>
    <w:p w14:paraId="62242F3D" w14:textId="77777777" w:rsidR="007236E1" w:rsidRDefault="007236E1" w:rsidP="007236E1">
      <w:pPr>
        <w:spacing w:after="0" w:line="240" w:lineRule="auto"/>
        <w:rPr>
          <w:rFonts w:ascii="Arial" w:eastAsia="Times New Roman" w:hAnsi="Arial" w:cs="Arial"/>
          <w:color w:val="000000"/>
          <w:lang w:eastAsia="en-GB"/>
        </w:rPr>
        <w:sectPr w:rsidR="007236E1" w:rsidSect="003B73F7">
          <w:headerReference w:type="first" r:id="rId32"/>
          <w:type w:val="continuous"/>
          <w:pgSz w:w="11906" w:h="16838" w:code="9"/>
          <w:pgMar w:top="1440" w:right="1440" w:bottom="1440" w:left="1440" w:header="720" w:footer="720" w:gutter="0"/>
          <w:cols w:space="720"/>
          <w:noEndnote/>
          <w:titlePg/>
          <w:docGrid w:linePitch="299"/>
        </w:sectPr>
      </w:pPr>
    </w:p>
    <w:p w14:paraId="0C5E38BA" w14:textId="77777777" w:rsidR="007236E1" w:rsidRDefault="007236E1" w:rsidP="00504AA4">
      <w:pPr>
        <w:contextualSpacing/>
        <w:jc w:val="center"/>
        <w:rPr>
          <w:rFonts w:ascii="Arial" w:hAnsi="Arial" w:cs="Arial"/>
        </w:rPr>
        <w:sectPr w:rsidR="007236E1" w:rsidSect="007236E1">
          <w:type w:val="continuous"/>
          <w:pgSz w:w="11906" w:h="16838" w:code="9"/>
          <w:pgMar w:top="1440" w:right="1440" w:bottom="1440" w:left="1440" w:header="720" w:footer="720" w:gutter="0"/>
          <w:cols w:num="2" w:space="720"/>
          <w:noEndnote/>
          <w:titlePg/>
          <w:docGrid w:linePitch="299"/>
        </w:sectPr>
      </w:pPr>
    </w:p>
    <w:p w14:paraId="06AF3FE0" w14:textId="21351473" w:rsidR="00504AA4" w:rsidRPr="00C4145F" w:rsidRDefault="00504AA4" w:rsidP="00504AA4">
      <w:pPr>
        <w:contextualSpacing/>
        <w:jc w:val="center"/>
        <w:rPr>
          <w:rFonts w:ascii="Arial" w:hAnsi="Arial" w:cs="Arial"/>
        </w:rPr>
      </w:pPr>
    </w:p>
    <w:sectPr w:rsidR="00504AA4" w:rsidRPr="00C4145F" w:rsidSect="003B73F7">
      <w:type w:val="continuous"/>
      <w:pgSz w:w="11906" w:h="16838" w:code="9"/>
      <w:pgMar w:top="1440" w:right="1440" w:bottom="1440" w:left="144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E9AAED" w14:textId="77777777" w:rsidR="00B81D3F" w:rsidRDefault="00B81D3F" w:rsidP="00B81D3F">
      <w:pPr>
        <w:spacing w:after="0" w:line="240" w:lineRule="auto"/>
      </w:pPr>
      <w:r>
        <w:separator/>
      </w:r>
    </w:p>
  </w:endnote>
  <w:endnote w:type="continuationSeparator" w:id="0">
    <w:p w14:paraId="7ACAFD5F" w14:textId="77777777" w:rsidR="00B81D3F" w:rsidRDefault="00B81D3F" w:rsidP="00B81D3F">
      <w:pPr>
        <w:spacing w:after="0" w:line="240" w:lineRule="auto"/>
      </w:pPr>
      <w:r>
        <w:continuationSeparator/>
      </w:r>
    </w:p>
  </w:endnote>
  <w:endnote w:id="1">
    <w:p w14:paraId="5D008637" w14:textId="7BB00898" w:rsidR="004F369B" w:rsidRPr="00FC0FAC" w:rsidRDefault="004F369B" w:rsidP="00CB032B">
      <w:pPr>
        <w:pStyle w:val="EndnoteText"/>
        <w:rPr>
          <w:rFonts w:ascii="Arial" w:hAnsi="Arial" w:cs="Arial"/>
          <w:sz w:val="18"/>
          <w:szCs w:val="18"/>
        </w:rPr>
      </w:pPr>
      <w:r w:rsidRPr="004F369B">
        <w:rPr>
          <w:rStyle w:val="EndnoteReference"/>
          <w:rFonts w:ascii="Arial" w:hAnsi="Arial" w:cs="Arial"/>
          <w:sz w:val="18"/>
          <w:szCs w:val="18"/>
        </w:rPr>
        <w:endnoteRef/>
      </w:r>
      <w:r w:rsidRPr="004F369B">
        <w:rPr>
          <w:rFonts w:ascii="Arial" w:hAnsi="Arial" w:cs="Arial"/>
          <w:sz w:val="18"/>
          <w:szCs w:val="18"/>
        </w:rPr>
        <w:t xml:space="preserve"> Australian Human Rights Commission </w:t>
      </w:r>
      <w:r w:rsidRPr="004F369B">
        <w:rPr>
          <w:rFonts w:ascii="Arial" w:hAnsi="Arial" w:cs="Arial"/>
          <w:i/>
          <w:iCs/>
          <w:sz w:val="18"/>
          <w:szCs w:val="18"/>
        </w:rPr>
        <w:t>Constitutional reform: Fact Sheet – Recognising Aboriginal &amp; Torres Strait Islander people in the Constitution</w:t>
      </w:r>
      <w:r w:rsidR="00FC0FAC">
        <w:rPr>
          <w:rFonts w:ascii="Arial" w:hAnsi="Arial" w:cs="Arial"/>
          <w:sz w:val="18"/>
          <w:szCs w:val="18"/>
        </w:rPr>
        <w:t xml:space="preserve"> available at </w:t>
      </w:r>
      <w:hyperlink r:id="rId1" w:history="1">
        <w:r w:rsidR="00FC0FAC" w:rsidRPr="0073331A">
          <w:rPr>
            <w:rStyle w:val="Hyperlink"/>
            <w:rFonts w:ascii="Arial" w:hAnsi="Arial" w:cs="Arial"/>
            <w:sz w:val="18"/>
            <w:szCs w:val="18"/>
          </w:rPr>
          <w:t>https://humanrights.gov.au/our-work/constitutional-reform-fact-sheet-recognising-aboriginal-torres-strait-islander-people</w:t>
        </w:r>
      </w:hyperlink>
      <w:r w:rsidR="00FC0FAC">
        <w:rPr>
          <w:rFonts w:ascii="Arial" w:hAnsi="Arial" w:cs="Arial"/>
          <w:sz w:val="18"/>
          <w:szCs w:val="18"/>
        </w:rPr>
        <w:t xml:space="preserve"> </w:t>
      </w:r>
    </w:p>
    <w:p w14:paraId="416C054C" w14:textId="77777777" w:rsidR="004F369B" w:rsidRPr="004F369B" w:rsidRDefault="004F369B" w:rsidP="00CB032B">
      <w:pPr>
        <w:pStyle w:val="EndnoteText"/>
        <w:rPr>
          <w:rFonts w:ascii="Arial" w:hAnsi="Arial" w:cs="Arial"/>
          <w:sz w:val="18"/>
          <w:szCs w:val="18"/>
        </w:rPr>
      </w:pPr>
    </w:p>
  </w:endnote>
  <w:endnote w:id="2">
    <w:p w14:paraId="7829D840" w14:textId="4ECB4BA0" w:rsidR="004F369B" w:rsidRDefault="004F369B" w:rsidP="00CB032B">
      <w:pPr>
        <w:pStyle w:val="EndnoteText"/>
        <w:rPr>
          <w:rFonts w:ascii="Arial" w:hAnsi="Arial" w:cs="Arial"/>
          <w:sz w:val="18"/>
          <w:szCs w:val="18"/>
        </w:rPr>
      </w:pPr>
      <w:r w:rsidRPr="004F369B">
        <w:rPr>
          <w:rStyle w:val="EndnoteReference"/>
          <w:rFonts w:ascii="Arial" w:hAnsi="Arial" w:cs="Arial"/>
          <w:sz w:val="18"/>
          <w:szCs w:val="18"/>
        </w:rPr>
        <w:endnoteRef/>
      </w:r>
      <w:r w:rsidRPr="004F369B">
        <w:rPr>
          <w:rFonts w:ascii="Arial" w:hAnsi="Arial" w:cs="Arial"/>
          <w:sz w:val="18"/>
          <w:szCs w:val="18"/>
        </w:rPr>
        <w:t xml:space="preserve"> Ibid</w:t>
      </w:r>
    </w:p>
    <w:p w14:paraId="63952DCB" w14:textId="77777777" w:rsidR="004F369B" w:rsidRPr="004F369B" w:rsidRDefault="004F369B" w:rsidP="00CB032B">
      <w:pPr>
        <w:pStyle w:val="EndnoteText"/>
        <w:rPr>
          <w:rFonts w:ascii="Arial" w:hAnsi="Arial" w:cs="Arial"/>
          <w:sz w:val="18"/>
          <w:szCs w:val="18"/>
        </w:rPr>
      </w:pPr>
    </w:p>
  </w:endnote>
  <w:endnote w:id="3">
    <w:p w14:paraId="526B68BB" w14:textId="50C8D51E" w:rsidR="004F369B" w:rsidRDefault="004F369B">
      <w:pPr>
        <w:pStyle w:val="EndnoteText"/>
        <w:rPr>
          <w:rFonts w:ascii="Arial" w:hAnsi="Arial" w:cs="Arial"/>
          <w:sz w:val="18"/>
          <w:szCs w:val="18"/>
        </w:rPr>
      </w:pPr>
      <w:r w:rsidRPr="004F369B">
        <w:rPr>
          <w:rStyle w:val="EndnoteReference"/>
          <w:rFonts w:ascii="Arial" w:hAnsi="Arial" w:cs="Arial"/>
          <w:sz w:val="18"/>
          <w:szCs w:val="18"/>
        </w:rPr>
        <w:endnoteRef/>
      </w:r>
      <w:r w:rsidRPr="004F369B">
        <w:rPr>
          <w:rFonts w:ascii="Arial" w:hAnsi="Arial" w:cs="Arial"/>
          <w:sz w:val="18"/>
          <w:szCs w:val="18"/>
        </w:rPr>
        <w:t xml:space="preserve"> The Uluru Statement was agreed through a process designed and led by Aboriginal and Torres Strait Islander people which included Australia’s largest ever national consultation and negotiation with Aboriginal and Torres Strait Islander people. It calls on the Australian Government to reform the Australian Constitution to give Aboriginal and Torres Strait Islander people Voice, Treaty and Truth by enshrining a Voice to Parliament and establishing a Makarrata Commission.</w:t>
      </w:r>
    </w:p>
    <w:p w14:paraId="43A4CFFE" w14:textId="77777777" w:rsidR="004F369B" w:rsidRPr="004F369B" w:rsidRDefault="004F369B">
      <w:pPr>
        <w:pStyle w:val="EndnoteText"/>
        <w:rPr>
          <w:rFonts w:ascii="Arial" w:hAnsi="Arial" w:cs="Arial"/>
          <w:sz w:val="18"/>
          <w:szCs w:val="18"/>
        </w:rPr>
      </w:pPr>
    </w:p>
  </w:endnote>
  <w:endnote w:id="4">
    <w:p w14:paraId="7859FB25" w14:textId="24CC12ED" w:rsidR="004F369B" w:rsidRDefault="004F369B" w:rsidP="00CB032B">
      <w:pPr>
        <w:pStyle w:val="EndnoteText"/>
        <w:rPr>
          <w:rFonts w:ascii="Arial" w:hAnsi="Arial" w:cs="Arial"/>
          <w:sz w:val="18"/>
          <w:szCs w:val="18"/>
        </w:rPr>
      </w:pPr>
      <w:r w:rsidRPr="004F369B">
        <w:rPr>
          <w:rStyle w:val="EndnoteReference"/>
          <w:rFonts w:ascii="Arial" w:hAnsi="Arial" w:cs="Arial"/>
          <w:sz w:val="18"/>
          <w:szCs w:val="18"/>
        </w:rPr>
        <w:endnoteRef/>
      </w:r>
      <w:r w:rsidRPr="004F369B">
        <w:rPr>
          <w:rFonts w:ascii="Arial" w:hAnsi="Arial" w:cs="Arial"/>
          <w:sz w:val="18"/>
          <w:szCs w:val="18"/>
        </w:rPr>
        <w:t xml:space="preserve"> Siegfried Wiessner, ‘Rights and Status of Indigenous Peoples: A Global Comparative and International Legal Analysis’ (1999) 12 Harvard Human Rights Journal 57, 66–71.</w:t>
      </w:r>
    </w:p>
    <w:p w14:paraId="43FEC4CC" w14:textId="77777777" w:rsidR="004F369B" w:rsidRPr="004F369B" w:rsidRDefault="004F369B" w:rsidP="00CB032B">
      <w:pPr>
        <w:pStyle w:val="EndnoteText"/>
        <w:rPr>
          <w:rFonts w:ascii="Arial" w:hAnsi="Arial" w:cs="Arial"/>
          <w:sz w:val="18"/>
          <w:szCs w:val="18"/>
        </w:rPr>
      </w:pPr>
    </w:p>
  </w:endnote>
  <w:endnote w:id="5">
    <w:p w14:paraId="48270BF4" w14:textId="1FD09084" w:rsidR="004F369B" w:rsidRDefault="004F369B" w:rsidP="004F369B">
      <w:pPr>
        <w:pStyle w:val="EndnoteText"/>
        <w:contextualSpacing/>
        <w:rPr>
          <w:rFonts w:ascii="Arial" w:hAnsi="Arial" w:cs="Arial"/>
          <w:sz w:val="18"/>
          <w:szCs w:val="18"/>
        </w:rPr>
      </w:pPr>
      <w:r w:rsidRPr="004F369B">
        <w:rPr>
          <w:rStyle w:val="EndnoteReference"/>
          <w:rFonts w:ascii="Arial" w:hAnsi="Arial" w:cs="Arial"/>
          <w:sz w:val="18"/>
          <w:szCs w:val="18"/>
        </w:rPr>
        <w:endnoteRef/>
      </w:r>
      <w:r w:rsidRPr="004F369B">
        <w:rPr>
          <w:rFonts w:ascii="Arial" w:hAnsi="Arial" w:cs="Arial"/>
          <w:sz w:val="18"/>
          <w:szCs w:val="18"/>
        </w:rPr>
        <w:t xml:space="preserve"> See: </w:t>
      </w:r>
      <w:hyperlink r:id="rId2" w:history="1">
        <w:r w:rsidRPr="004F369B">
          <w:rPr>
            <w:rStyle w:val="Hyperlink"/>
            <w:rFonts w:ascii="Arial" w:hAnsi="Arial" w:cs="Arial"/>
            <w:sz w:val="18"/>
            <w:szCs w:val="18"/>
          </w:rPr>
          <w:t>http://www.wlsa.org.au/media_releases/dv_advocates_welcome_much_needed_funding_for_legal_assistance_services</w:t>
        </w:r>
      </w:hyperlink>
    </w:p>
    <w:p w14:paraId="1F44D998" w14:textId="77777777" w:rsidR="004F369B" w:rsidRPr="004F369B" w:rsidRDefault="004F369B" w:rsidP="004F369B">
      <w:pPr>
        <w:pStyle w:val="EndnoteText"/>
        <w:contextualSpacing/>
        <w:rPr>
          <w:rFonts w:ascii="Arial" w:hAnsi="Arial" w:cs="Arial"/>
          <w:sz w:val="18"/>
          <w:szCs w:val="18"/>
        </w:rPr>
      </w:pPr>
    </w:p>
  </w:endnote>
  <w:endnote w:id="6">
    <w:p w14:paraId="281C1710" w14:textId="35B36251" w:rsidR="004F369B" w:rsidRPr="004F369B" w:rsidRDefault="004F369B" w:rsidP="004F369B">
      <w:pPr>
        <w:pStyle w:val="mditem"/>
        <w:shd w:val="clear" w:color="auto" w:fill="FFFFFF"/>
        <w:spacing w:before="0" w:beforeAutospacing="0" w:after="180" w:afterAutospacing="0"/>
        <w:contextualSpacing/>
        <w:rPr>
          <w:rFonts w:ascii="Arial" w:hAnsi="Arial" w:cs="Arial"/>
          <w:i/>
          <w:iCs/>
          <w:color w:val="444444"/>
          <w:sz w:val="18"/>
          <w:szCs w:val="18"/>
        </w:rPr>
      </w:pPr>
      <w:r w:rsidRPr="004F369B">
        <w:rPr>
          <w:rStyle w:val="EndnoteReference"/>
          <w:rFonts w:ascii="Arial" w:hAnsi="Arial" w:cs="Arial"/>
          <w:sz w:val="18"/>
          <w:szCs w:val="18"/>
        </w:rPr>
        <w:endnoteRef/>
      </w:r>
      <w:r w:rsidRPr="004F369B">
        <w:rPr>
          <w:rFonts w:ascii="Arial" w:hAnsi="Arial" w:cs="Arial"/>
          <w:sz w:val="18"/>
          <w:szCs w:val="18"/>
        </w:rPr>
        <w:t xml:space="preserve"> </w:t>
      </w:r>
      <w:r w:rsidR="00E8694A">
        <w:rPr>
          <w:rFonts w:ascii="Arial" w:hAnsi="Arial" w:cs="Arial"/>
          <w:sz w:val="18"/>
          <w:szCs w:val="18"/>
        </w:rPr>
        <w:t xml:space="preserve">Legal and Constitutional Affairs Legislation Committee, Attorney General’s Portfolio, Senate Estimates, Hansard, 21 October 2020 accessed at: </w:t>
      </w:r>
      <w:hyperlink r:id="rId3" w:history="1">
        <w:r w:rsidR="00E8694A">
          <w:rPr>
            <w:rStyle w:val="Hyperlink"/>
            <w:rFonts w:ascii="Arial" w:hAnsi="Arial" w:cs="Arial"/>
            <w:sz w:val="18"/>
            <w:szCs w:val="18"/>
          </w:rPr>
          <w:t>https://parlinfo.aph.gov.au/parlInfo/search/display/display.w3p;db=COMMITTEES;id=committees%2Festimate%2Fa1ae9e40-73dd-4b84-8309-ee11c9cfbe09%2F0002;query=Id%3A%22committees%2Festimate%2Fa1ae9e40-73dd-4b84-8309-ee11c9cfbe09%2F0001%22</w:t>
        </w:r>
      </w:hyperlink>
    </w:p>
  </w:endnote>
  <w:endnote w:id="7">
    <w:p w14:paraId="123E5DBC" w14:textId="11E4FA12" w:rsidR="004F369B" w:rsidRPr="004F369B" w:rsidRDefault="004F369B" w:rsidP="00851104">
      <w:pPr>
        <w:spacing w:before="120" w:after="120"/>
        <w:rPr>
          <w:rFonts w:ascii="Arial" w:eastAsia="Times New Roman" w:hAnsi="Arial" w:cs="Arial"/>
          <w:color w:val="000000"/>
          <w:sz w:val="18"/>
          <w:szCs w:val="18"/>
          <w:lang w:eastAsia="en-GB"/>
        </w:rPr>
      </w:pPr>
      <w:r w:rsidRPr="004F369B">
        <w:rPr>
          <w:rStyle w:val="EndnoteReference"/>
          <w:rFonts w:ascii="Arial" w:hAnsi="Arial" w:cs="Arial"/>
          <w:sz w:val="18"/>
          <w:szCs w:val="18"/>
        </w:rPr>
        <w:endnoteRef/>
      </w:r>
      <w:r w:rsidRPr="004F369B">
        <w:rPr>
          <w:rFonts w:ascii="Arial" w:hAnsi="Arial" w:cs="Arial"/>
          <w:sz w:val="18"/>
          <w:szCs w:val="18"/>
        </w:rPr>
        <w:t xml:space="preserve"> AWAVA </w:t>
      </w:r>
      <w:r w:rsidRPr="004F369B">
        <w:rPr>
          <w:rFonts w:ascii="Arial" w:eastAsia="Times New Roman" w:hAnsi="Arial" w:cs="Arial"/>
          <w:i/>
          <w:iCs/>
          <w:color w:val="000000"/>
          <w:sz w:val="18"/>
          <w:szCs w:val="18"/>
          <w:lang w:eastAsia="en-GB"/>
        </w:rPr>
        <w:t>Brief on the funding needs for prevention and responses to all forms of violence against women and their children</w:t>
      </w:r>
    </w:p>
  </w:endnote>
  <w:endnote w:id="8">
    <w:p w14:paraId="529581F8" w14:textId="5E4E8E04" w:rsidR="004F369B" w:rsidRPr="004F369B" w:rsidRDefault="004F369B" w:rsidP="004F369B">
      <w:pPr>
        <w:pStyle w:val="EndnoteText"/>
        <w:contextualSpacing/>
        <w:rPr>
          <w:rFonts w:ascii="Arial" w:hAnsi="Arial" w:cs="Arial"/>
          <w:sz w:val="18"/>
          <w:szCs w:val="18"/>
        </w:rPr>
      </w:pPr>
      <w:r w:rsidRPr="004F369B">
        <w:rPr>
          <w:rStyle w:val="EndnoteReference"/>
          <w:rFonts w:ascii="Arial" w:hAnsi="Arial" w:cs="Arial"/>
          <w:sz w:val="18"/>
          <w:szCs w:val="18"/>
        </w:rPr>
        <w:endnoteRef/>
      </w:r>
      <w:r w:rsidRPr="004F369B">
        <w:rPr>
          <w:rFonts w:ascii="Arial" w:hAnsi="Arial" w:cs="Arial"/>
          <w:sz w:val="18"/>
          <w:szCs w:val="18"/>
        </w:rPr>
        <w:t xml:space="preserve"> Women’s Legal Services Australia, Evidence at Senate Select Committee on COVID-19 hearing, 22 September 2020 accessed at </w:t>
      </w:r>
      <w:hyperlink r:id="rId4" w:history="1">
        <w:r w:rsidRPr="004F369B">
          <w:rPr>
            <w:rStyle w:val="Hyperlink"/>
            <w:rFonts w:ascii="Arial" w:hAnsi="Arial" w:cs="Arial"/>
            <w:sz w:val="18"/>
            <w:szCs w:val="18"/>
          </w:rPr>
          <w:t>https://parlinfo.aph.gov.au/parlInfo/search/display/display.w3p;db=COMMITTEES;id=committees%2Fcommsen%2F2b3e9814-f02c-4753-87b5-d2351761bd4e%2F0001;query=Id%3A%22committees%2Fcommsen%2F2b3e9814-f02c-4753-87b5-d2351761bd4e%2F0000%22</w:t>
        </w:r>
      </w:hyperlink>
      <w:r w:rsidRPr="004F369B">
        <w:rPr>
          <w:rFonts w:ascii="Arial" w:hAnsi="Arial" w:cs="Arial"/>
          <w:sz w:val="18"/>
          <w:szCs w:val="18"/>
        </w:rPr>
        <w:t xml:space="preserve"> </w:t>
      </w:r>
    </w:p>
    <w:p w14:paraId="06AB1CDA" w14:textId="77777777" w:rsidR="004F369B" w:rsidRPr="004F369B" w:rsidRDefault="004F369B" w:rsidP="004F369B">
      <w:pPr>
        <w:pStyle w:val="EndnoteText"/>
        <w:contextualSpacing/>
        <w:rPr>
          <w:rFonts w:ascii="Arial" w:hAnsi="Arial" w:cs="Arial"/>
          <w:sz w:val="18"/>
          <w:szCs w:val="18"/>
        </w:rPr>
      </w:pPr>
    </w:p>
  </w:endnote>
  <w:endnote w:id="9">
    <w:p w14:paraId="38725EEA" w14:textId="597ADF8D" w:rsidR="004F369B" w:rsidRPr="00AC451F" w:rsidRDefault="004F369B" w:rsidP="00AC451F">
      <w:pPr>
        <w:spacing w:line="240" w:lineRule="auto"/>
        <w:rPr>
          <w:rFonts w:ascii="Arial" w:hAnsi="Arial" w:cs="Arial"/>
          <w:sz w:val="18"/>
          <w:szCs w:val="18"/>
        </w:rPr>
      </w:pPr>
      <w:r w:rsidRPr="004F369B">
        <w:rPr>
          <w:rStyle w:val="EndnoteReference"/>
          <w:rFonts w:ascii="Arial" w:hAnsi="Arial" w:cs="Arial"/>
          <w:sz w:val="18"/>
          <w:szCs w:val="18"/>
        </w:rPr>
        <w:endnoteRef/>
      </w:r>
      <w:r w:rsidRPr="004F369B">
        <w:rPr>
          <w:rFonts w:ascii="Arial" w:hAnsi="Arial" w:cs="Arial"/>
          <w:sz w:val="18"/>
          <w:szCs w:val="18"/>
        </w:rPr>
        <w:t xml:space="preserve"> </w:t>
      </w:r>
      <w:r w:rsidRPr="004F369B">
        <w:rPr>
          <w:rFonts w:ascii="Arial" w:hAnsi="Arial" w:cs="Arial"/>
          <w:iCs/>
          <w:sz w:val="18"/>
          <w:szCs w:val="18"/>
          <w:shd w:val="clear" w:color="auto" w:fill="FFFFFF"/>
        </w:rPr>
        <w:t xml:space="preserve">$3.3 million in new funding was allocated for the Australian Taxation Office to develop an electronic information-sharing system, as </w:t>
      </w:r>
      <w:r w:rsidRPr="004F369B">
        <w:rPr>
          <w:rFonts w:ascii="Arial" w:hAnsi="Arial" w:cs="Arial"/>
          <w:iCs/>
          <w:sz w:val="18"/>
          <w:szCs w:val="18"/>
        </w:rPr>
        <w:t>part of the WESS18. The implementation deadline was July 2020 but the scheme has not been designed or implemented to date.</w:t>
      </w:r>
      <w:r w:rsidRPr="004F369B">
        <w:rPr>
          <w:rFonts w:ascii="Arial" w:hAnsi="Arial" w:cs="Arial"/>
          <w:iCs/>
          <w:sz w:val="18"/>
          <w:szCs w:val="18"/>
          <w:lang w:val="en"/>
        </w:rPr>
        <w:t xml:space="preserve"> The scheme will ensure that the family law courts will be able to access superannuation information directly from the ATO, overcoming delays and problems with non-disclosure of superannuation information by perpetrators of family violence. If implemented women will be able to gain access </w:t>
      </w:r>
      <w:r w:rsidRPr="00AC451F">
        <w:rPr>
          <w:rFonts w:ascii="Arial" w:hAnsi="Arial" w:cs="Arial"/>
          <w:iCs/>
          <w:sz w:val="18"/>
          <w:szCs w:val="18"/>
          <w:lang w:val="en"/>
        </w:rPr>
        <w:t>to their fair share of superannuation entitlements after relationship breakdown leading to improved financial outcomes for women in Australia.</w:t>
      </w:r>
    </w:p>
  </w:endnote>
  <w:endnote w:id="10">
    <w:p w14:paraId="0A8EE7EA" w14:textId="1516E40A" w:rsidR="00AC451F" w:rsidRPr="00AC451F" w:rsidRDefault="00AC451F" w:rsidP="00AC451F">
      <w:pPr>
        <w:pStyle w:val="EndnoteText"/>
        <w:rPr>
          <w:rFonts w:ascii="Arial" w:hAnsi="Arial" w:cs="Arial"/>
          <w:sz w:val="18"/>
          <w:szCs w:val="18"/>
        </w:rPr>
      </w:pPr>
      <w:r w:rsidRPr="00AC451F">
        <w:rPr>
          <w:rStyle w:val="EndnoteReference"/>
          <w:rFonts w:ascii="Arial" w:hAnsi="Arial" w:cs="Arial"/>
          <w:sz w:val="18"/>
          <w:szCs w:val="18"/>
        </w:rPr>
        <w:endnoteRef/>
      </w:r>
      <w:r w:rsidRPr="00AC451F">
        <w:rPr>
          <w:rFonts w:ascii="Arial" w:hAnsi="Arial" w:cs="Arial"/>
          <w:sz w:val="18"/>
          <w:szCs w:val="18"/>
        </w:rPr>
        <w:t xml:space="preserve"> DFAT, 2020, Performance of Australian Aid 2018-19, </w:t>
      </w:r>
      <w:hyperlink r:id="rId5" w:history="1">
        <w:r w:rsidRPr="00AC451F">
          <w:rPr>
            <w:rStyle w:val="Hyperlink"/>
            <w:rFonts w:ascii="Arial" w:hAnsi="Arial" w:cs="Arial"/>
            <w:sz w:val="18"/>
            <w:szCs w:val="18"/>
          </w:rPr>
          <w:t>https://www.dfat.gov.au/sites/default/files/performance-of-australian-aid-2018-19.pdf</w:t>
        </w:r>
      </w:hyperlink>
      <w:r w:rsidRPr="00AC451F">
        <w:rPr>
          <w:rFonts w:ascii="Arial" w:hAnsi="Arial" w:cs="Arial"/>
          <w:sz w:val="18"/>
          <w:szCs w:val="18"/>
        </w:rPr>
        <w:t xml:space="preserve">; OECD DAC, 2020, Aid in Support of Gender Equality and Women’s Empowerment, </w:t>
      </w:r>
      <w:hyperlink r:id="rId6" w:history="1">
        <w:r w:rsidRPr="00AC451F">
          <w:rPr>
            <w:rStyle w:val="Hyperlink"/>
            <w:rFonts w:ascii="Arial" w:hAnsi="Arial" w:cs="Arial"/>
            <w:sz w:val="18"/>
            <w:szCs w:val="18"/>
          </w:rPr>
          <w:t>http://www.oecd.org/development/financing-sustainable-development/development-finance-topics/Aid-to-gender-equality-donor-charts-2020.pdf</w:t>
        </w:r>
      </w:hyperlink>
      <w:r w:rsidRPr="00AC451F">
        <w:rPr>
          <w:rFonts w:ascii="Arial" w:hAnsi="Arial" w:cs="Arial"/>
          <w:sz w:val="18"/>
          <w:szCs w:val="18"/>
        </w:rPr>
        <w:t xml:space="preserve"> </w:t>
      </w:r>
    </w:p>
    <w:p w14:paraId="2A370743" w14:textId="77777777" w:rsidR="00AC451F" w:rsidRPr="00AC451F" w:rsidRDefault="00AC451F" w:rsidP="00AC451F">
      <w:pPr>
        <w:pStyle w:val="EndnoteText"/>
        <w:rPr>
          <w:rFonts w:ascii="Arial" w:hAnsi="Arial" w:cs="Arial"/>
          <w:sz w:val="18"/>
          <w:szCs w:val="18"/>
        </w:rPr>
      </w:pPr>
    </w:p>
  </w:endnote>
  <w:endnote w:id="11">
    <w:p w14:paraId="2763A4D8" w14:textId="1C1E4E96" w:rsidR="00AC451F" w:rsidRPr="00AC451F" w:rsidRDefault="00AC451F" w:rsidP="00AC451F">
      <w:pPr>
        <w:pStyle w:val="EndnoteText"/>
        <w:rPr>
          <w:rFonts w:ascii="Arial" w:hAnsi="Arial" w:cs="Arial"/>
          <w:sz w:val="18"/>
          <w:szCs w:val="18"/>
        </w:rPr>
      </w:pPr>
      <w:r w:rsidRPr="00AC451F">
        <w:rPr>
          <w:rStyle w:val="EndnoteReference"/>
          <w:rFonts w:ascii="Arial" w:hAnsi="Arial" w:cs="Arial"/>
          <w:sz w:val="18"/>
          <w:szCs w:val="18"/>
        </w:rPr>
        <w:endnoteRef/>
      </w:r>
      <w:r w:rsidRPr="00AC451F">
        <w:rPr>
          <w:rFonts w:ascii="Arial" w:hAnsi="Arial" w:cs="Arial"/>
          <w:sz w:val="18"/>
          <w:szCs w:val="18"/>
        </w:rPr>
        <w:t xml:space="preserve"> National Foundation of Australian Women </w:t>
      </w:r>
      <w:r w:rsidRPr="00AC451F">
        <w:rPr>
          <w:rFonts w:ascii="Arial" w:hAnsi="Arial" w:cs="Arial"/>
          <w:i/>
          <w:iCs/>
          <w:sz w:val="18"/>
          <w:szCs w:val="18"/>
        </w:rPr>
        <w:t xml:space="preserve">Gender Lens on the Budget </w:t>
      </w:r>
      <w:r w:rsidRPr="00AC451F">
        <w:rPr>
          <w:rFonts w:ascii="Arial" w:hAnsi="Arial" w:cs="Arial"/>
          <w:sz w:val="18"/>
          <w:szCs w:val="18"/>
        </w:rPr>
        <w:t xml:space="preserve">18 October 2020 available at </w:t>
      </w:r>
      <w:hyperlink r:id="rId7" w:history="1">
        <w:r w:rsidRPr="00AC451F">
          <w:rPr>
            <w:rStyle w:val="Hyperlink"/>
            <w:rFonts w:ascii="Arial" w:hAnsi="Arial" w:cs="Arial"/>
            <w:sz w:val="18"/>
            <w:szCs w:val="18"/>
          </w:rPr>
          <w:t>https://nfaw.org/gender-lens-on-the-budget/gender-lens-on-the-budget-2020-2021/</w:t>
        </w:r>
      </w:hyperlink>
      <w:r w:rsidRPr="00AC451F">
        <w:rPr>
          <w:rFonts w:ascii="Arial" w:hAnsi="Arial" w:cs="Arial"/>
          <w:sz w:val="18"/>
          <w:szCs w:val="18"/>
        </w:rPr>
        <w:t xml:space="preserve"> </w:t>
      </w:r>
    </w:p>
    <w:p w14:paraId="51B9A1A4" w14:textId="77777777" w:rsidR="00AC451F" w:rsidRPr="00AC451F" w:rsidRDefault="00AC451F" w:rsidP="00AC451F">
      <w:pPr>
        <w:pStyle w:val="EndnoteText"/>
        <w:rPr>
          <w:rFonts w:ascii="Arial" w:hAnsi="Arial" w:cs="Arial"/>
          <w:i/>
          <w:iCs/>
          <w:sz w:val="18"/>
          <w:szCs w:val="18"/>
        </w:rPr>
      </w:pPr>
    </w:p>
  </w:endnote>
  <w:endnote w:id="12">
    <w:p w14:paraId="464FA9AC" w14:textId="6F36350E" w:rsidR="005B1DAE" w:rsidRDefault="005B1DAE">
      <w:pPr>
        <w:pStyle w:val="EndnoteText"/>
        <w:rPr>
          <w:rFonts w:ascii="Arial" w:eastAsia="Times New Roman" w:hAnsi="Arial" w:cs="Arial"/>
          <w:lang w:eastAsia="en-AU"/>
        </w:rPr>
      </w:pPr>
      <w:r>
        <w:rPr>
          <w:rStyle w:val="EndnoteReference"/>
        </w:rPr>
        <w:endnoteRef/>
      </w:r>
      <w:r>
        <w:t xml:space="preserve"> </w:t>
      </w:r>
      <w:r>
        <w:rPr>
          <w:rFonts w:ascii="Arial" w:eastAsia="Times New Roman" w:hAnsi="Arial" w:cs="Arial"/>
          <w:lang w:eastAsia="en-AU"/>
        </w:rPr>
        <w:t>I</w:t>
      </w:r>
      <w:r w:rsidRPr="00EE5835">
        <w:rPr>
          <w:rFonts w:ascii="Arial" w:eastAsia="Times New Roman" w:hAnsi="Arial" w:cs="Arial"/>
          <w:lang w:eastAsia="en-AU"/>
        </w:rPr>
        <w:t xml:space="preserve">n </w:t>
      </w:r>
      <w:r>
        <w:rPr>
          <w:rFonts w:ascii="Arial" w:eastAsia="Times New Roman" w:hAnsi="Arial" w:cs="Arial"/>
          <w:lang w:eastAsia="en-AU"/>
        </w:rPr>
        <w:t xml:space="preserve">Recommendation </w:t>
      </w:r>
      <w:r w:rsidRPr="00EE5835">
        <w:rPr>
          <w:rFonts w:ascii="Arial" w:eastAsia="Times New Roman" w:hAnsi="Arial" w:cs="Arial"/>
          <w:lang w:eastAsia="en-AU"/>
        </w:rPr>
        <w:t xml:space="preserve">the Committee recommended that the Australian Government </w:t>
      </w:r>
      <w:r w:rsidRPr="00EE5835">
        <w:rPr>
          <w:rFonts w:ascii="Arial" w:eastAsia="Times New Roman" w:hAnsi="Arial" w:cs="Arial"/>
          <w:i/>
          <w:iCs/>
          <w:lang w:eastAsia="en-AU"/>
        </w:rPr>
        <w:t>‘…</w:t>
      </w:r>
      <w:r w:rsidRPr="00EE5835">
        <w:rPr>
          <w:rFonts w:ascii="Arial" w:hAnsi="Arial" w:cs="Arial"/>
          <w:i/>
          <w:iCs/>
        </w:rPr>
        <w:t xml:space="preserve">adopt a comprehensive national gender equality policy with performance indicators to address the structural factors resulting in inequalities between men and women and </w:t>
      </w:r>
      <w:r w:rsidRPr="00EE5835">
        <w:rPr>
          <w:rFonts w:ascii="Arial" w:eastAsia="Times New Roman" w:hAnsi="Arial" w:cs="Arial"/>
          <w:i/>
          <w:iCs/>
          <w:lang w:eastAsia="en-AU"/>
        </w:rPr>
        <w:t>ensure that the Office for Women has a strong mandate and sufficient human and financial resources to coordinate and monitor the implementation of this policy throughout the territory of the State party’</w:t>
      </w:r>
      <w:r w:rsidRPr="00EE5835">
        <w:rPr>
          <w:rFonts w:ascii="Arial" w:eastAsia="Times New Roman" w:hAnsi="Arial" w:cs="Arial"/>
          <w:lang w:eastAsia="en-AU"/>
        </w:rPr>
        <w:t>.</w:t>
      </w:r>
    </w:p>
    <w:p w14:paraId="0AA9CF7F" w14:textId="77777777" w:rsidR="005B1DAE" w:rsidRDefault="005B1DAE">
      <w:pPr>
        <w:pStyle w:val="EndnoteText"/>
      </w:pPr>
    </w:p>
  </w:endnote>
  <w:endnote w:id="13">
    <w:p w14:paraId="7B6F9235" w14:textId="2D4FADCD" w:rsidR="004F369B" w:rsidRPr="00AC451F" w:rsidRDefault="004F369B">
      <w:pPr>
        <w:pStyle w:val="EndnoteText"/>
        <w:rPr>
          <w:rFonts w:ascii="Arial" w:hAnsi="Arial" w:cs="Arial"/>
          <w:sz w:val="18"/>
          <w:szCs w:val="18"/>
        </w:rPr>
      </w:pPr>
      <w:r w:rsidRPr="00AC451F">
        <w:rPr>
          <w:rStyle w:val="EndnoteReference"/>
          <w:rFonts w:ascii="Arial" w:hAnsi="Arial" w:cs="Arial"/>
          <w:sz w:val="18"/>
          <w:szCs w:val="18"/>
        </w:rPr>
        <w:endnoteRef/>
      </w:r>
      <w:r w:rsidRPr="00AC451F">
        <w:rPr>
          <w:rFonts w:ascii="Arial" w:hAnsi="Arial" w:cs="Arial"/>
          <w:sz w:val="18"/>
          <w:szCs w:val="18"/>
        </w:rPr>
        <w:t xml:space="preserve"> Available at </w:t>
      </w:r>
      <w:hyperlink r:id="rId8" w:history="1">
        <w:r w:rsidRPr="00AC451F">
          <w:rPr>
            <w:rStyle w:val="Hyperlink"/>
            <w:rFonts w:ascii="Arial" w:hAnsi="Arial" w:cs="Arial"/>
            <w:sz w:val="18"/>
            <w:szCs w:val="18"/>
          </w:rPr>
          <w:t>https://www.legislation.vic.gov.au/as-made/acts/gender-equality-act-2020</w:t>
        </w:r>
      </w:hyperlink>
      <w:r w:rsidRPr="00AC451F">
        <w:rPr>
          <w:rFonts w:ascii="Arial" w:hAnsi="Arial" w:cs="Arial"/>
          <w:sz w:val="18"/>
          <w:szCs w:val="18"/>
        </w:rPr>
        <w:t xml:space="preserve"> </w:t>
      </w:r>
    </w:p>
    <w:p w14:paraId="64CB695D" w14:textId="77777777" w:rsidR="004F369B" w:rsidRPr="004F369B" w:rsidRDefault="004F369B">
      <w:pPr>
        <w:pStyle w:val="EndnoteText"/>
        <w:rPr>
          <w:rFonts w:ascii="Arial" w:hAnsi="Arial" w:cs="Arial"/>
          <w:sz w:val="18"/>
          <w:szCs w:val="18"/>
        </w:rPr>
      </w:pPr>
    </w:p>
  </w:endnote>
  <w:endnote w:id="14">
    <w:p w14:paraId="581D8C9F" w14:textId="6A95F118" w:rsidR="004F369B" w:rsidRPr="004F369B" w:rsidRDefault="004F369B">
      <w:pPr>
        <w:pStyle w:val="EndnoteText"/>
        <w:rPr>
          <w:rStyle w:val="Hyperlink"/>
          <w:rFonts w:ascii="Arial" w:hAnsi="Arial" w:cs="Arial"/>
          <w:sz w:val="18"/>
          <w:szCs w:val="18"/>
        </w:rPr>
      </w:pPr>
      <w:r w:rsidRPr="004F369B">
        <w:rPr>
          <w:rStyle w:val="EndnoteReference"/>
          <w:rFonts w:ascii="Arial" w:hAnsi="Arial" w:cs="Arial"/>
          <w:sz w:val="18"/>
          <w:szCs w:val="18"/>
        </w:rPr>
        <w:endnoteRef/>
      </w:r>
      <w:r w:rsidRPr="004F369B">
        <w:rPr>
          <w:rFonts w:ascii="Arial" w:hAnsi="Arial" w:cs="Arial"/>
          <w:sz w:val="18"/>
          <w:szCs w:val="18"/>
        </w:rPr>
        <w:t xml:space="preserve"> For more information about barriers to access to abortion in Australia, see </w:t>
      </w:r>
      <w:hyperlink r:id="rId9" w:history="1">
        <w:r w:rsidRPr="004F369B">
          <w:rPr>
            <w:rStyle w:val="Hyperlink"/>
            <w:rFonts w:ascii="Arial" w:hAnsi="Arial" w:cs="Arial"/>
            <w:sz w:val="18"/>
            <w:szCs w:val="18"/>
          </w:rPr>
          <w:t>https://findanexpert.unimelb.edu.au/news/9075-early-medical-abortion-is-legal-across-australia-but-rural-women-often-don't-have-access-to-it</w:t>
        </w:r>
      </w:hyperlink>
      <w:r w:rsidRPr="004F369B">
        <w:rPr>
          <w:rStyle w:val="Hyperlink"/>
          <w:rFonts w:ascii="Arial" w:hAnsi="Arial" w:cs="Arial"/>
          <w:color w:val="auto"/>
          <w:sz w:val="18"/>
          <w:szCs w:val="18"/>
          <w:u w:val="none"/>
        </w:rPr>
        <w:t xml:space="preserve"> and </w:t>
      </w:r>
      <w:hyperlink r:id="rId10" w:history="1">
        <w:r w:rsidRPr="004F369B">
          <w:rPr>
            <w:rStyle w:val="Hyperlink"/>
            <w:rFonts w:ascii="Arial" w:hAnsi="Arial" w:cs="Arial"/>
            <w:sz w:val="18"/>
            <w:szCs w:val="18"/>
          </w:rPr>
          <w:t>https://findanexpert.unimelb.edu.au/news/9075-early-medical-abortion-is-legal-across-australia-but-rural-women-often-don't-have-access-to-it</w:t>
        </w:r>
      </w:hyperlink>
      <w:r w:rsidRPr="004F369B">
        <w:rPr>
          <w:rStyle w:val="Hyperlink"/>
          <w:rFonts w:ascii="Arial" w:hAnsi="Arial" w:cs="Arial"/>
          <w:color w:val="auto"/>
          <w:sz w:val="18"/>
          <w:szCs w:val="18"/>
          <w:u w:val="none"/>
        </w:rPr>
        <w:t xml:space="preserve"> and </w:t>
      </w:r>
      <w:r w:rsidRPr="004F369B">
        <w:rPr>
          <w:rStyle w:val="Hyperlink"/>
          <w:rFonts w:ascii="Arial" w:hAnsi="Arial" w:cs="Arial"/>
          <w:sz w:val="18"/>
          <w:szCs w:val="18"/>
        </w:rPr>
        <w:t xml:space="preserve"> </w:t>
      </w:r>
      <w:hyperlink r:id="rId11" w:history="1">
        <w:r w:rsidRPr="004F369B">
          <w:rPr>
            <w:rStyle w:val="Hyperlink"/>
            <w:rFonts w:ascii="Arial" w:hAnsi="Arial" w:cs="Arial"/>
            <w:sz w:val="18"/>
            <w:szCs w:val="18"/>
          </w:rPr>
          <w:t>https://www.abc.net.au/news/2019-05-03/abortion-access-depends-on-postcode-and-income/11073648</w:t>
        </w:r>
      </w:hyperlink>
    </w:p>
    <w:p w14:paraId="154F1D88" w14:textId="77777777" w:rsidR="004F369B" w:rsidRPr="004F369B" w:rsidRDefault="004F369B">
      <w:pPr>
        <w:pStyle w:val="EndnoteText"/>
        <w:rPr>
          <w:rFonts w:ascii="Arial" w:hAnsi="Arial" w:cs="Arial"/>
          <w:sz w:val="18"/>
          <w:szCs w:val="18"/>
        </w:rPr>
      </w:pPr>
    </w:p>
  </w:endnote>
  <w:endnote w:id="15">
    <w:p w14:paraId="3B0045E2" w14:textId="172CAEE5" w:rsidR="004F369B" w:rsidRPr="004F369B" w:rsidRDefault="004F369B" w:rsidP="004F369B">
      <w:pPr>
        <w:pStyle w:val="EndnoteText"/>
        <w:contextualSpacing/>
        <w:rPr>
          <w:rStyle w:val="Hyperlink"/>
          <w:rFonts w:ascii="Arial" w:hAnsi="Arial" w:cs="Arial"/>
          <w:sz w:val="18"/>
          <w:szCs w:val="18"/>
        </w:rPr>
      </w:pPr>
      <w:r w:rsidRPr="004F369B">
        <w:rPr>
          <w:rStyle w:val="EndnoteReference"/>
          <w:rFonts w:ascii="Arial" w:hAnsi="Arial" w:cs="Arial"/>
          <w:sz w:val="18"/>
          <w:szCs w:val="18"/>
        </w:rPr>
        <w:endnoteRef/>
      </w:r>
      <w:r w:rsidRPr="004F369B">
        <w:rPr>
          <w:rFonts w:ascii="Arial" w:hAnsi="Arial" w:cs="Arial"/>
          <w:sz w:val="18"/>
          <w:szCs w:val="18"/>
        </w:rPr>
        <w:t xml:space="preserve"> Pregnancy Outcome Unit, Wellbeing SA</w:t>
      </w:r>
      <w:r w:rsidRPr="004F369B">
        <w:rPr>
          <w:rFonts w:ascii="Arial" w:hAnsi="Arial" w:cs="Arial"/>
          <w:i/>
          <w:iCs/>
          <w:sz w:val="18"/>
          <w:szCs w:val="18"/>
        </w:rPr>
        <w:t xml:space="preserve"> Pregnancy Outcome in South Australia 2017</w:t>
      </w:r>
      <w:r w:rsidRPr="004F369B">
        <w:rPr>
          <w:rFonts w:ascii="Arial" w:hAnsi="Arial" w:cs="Arial"/>
          <w:sz w:val="18"/>
          <w:szCs w:val="18"/>
        </w:rPr>
        <w:t xml:space="preserve"> October 2019 pg. 2 Available at: </w:t>
      </w:r>
      <w:hyperlink r:id="rId12" w:history="1">
        <w:r w:rsidRPr="004F369B">
          <w:rPr>
            <w:rStyle w:val="Hyperlink"/>
            <w:rFonts w:ascii="Arial" w:hAnsi="Arial" w:cs="Arial"/>
            <w:sz w:val="18"/>
            <w:szCs w:val="18"/>
          </w:rPr>
          <w:t>https://www.sahealth.sa.gov.au/wps/wcm/connect/5a2705b2-1034-4c1b-8420-095d076a28bf/Pregnancy+Outcome+in+South+Australia+2017+V1+Feb.pdf?MOD=AJPERES&amp;amp;CACHEID=ROOTWORKSPACE-5a2705b2-1034-4c1b-8420-095d076a28bf-niRlNXa</w:t>
        </w:r>
      </w:hyperlink>
    </w:p>
    <w:p w14:paraId="283E3B6B" w14:textId="77777777" w:rsidR="004F369B" w:rsidRPr="004F369B" w:rsidRDefault="004F369B" w:rsidP="004F369B">
      <w:pPr>
        <w:pStyle w:val="EndnoteText"/>
        <w:contextualSpacing/>
        <w:rPr>
          <w:rFonts w:ascii="Arial" w:hAnsi="Arial" w:cs="Arial"/>
          <w:sz w:val="18"/>
          <w:szCs w:val="18"/>
        </w:rPr>
      </w:pPr>
    </w:p>
  </w:endnote>
  <w:endnote w:id="16">
    <w:p w14:paraId="05D11C06" w14:textId="396341F6" w:rsidR="004F369B" w:rsidRPr="004F369B" w:rsidRDefault="004F369B" w:rsidP="004F369B">
      <w:pPr>
        <w:pStyle w:val="EndnoteText"/>
        <w:contextualSpacing/>
        <w:rPr>
          <w:rFonts w:ascii="Arial" w:hAnsi="Arial" w:cs="Arial"/>
          <w:sz w:val="18"/>
          <w:szCs w:val="18"/>
        </w:rPr>
      </w:pPr>
      <w:r w:rsidRPr="004F369B">
        <w:rPr>
          <w:rStyle w:val="EndnoteReference"/>
          <w:rFonts w:ascii="Arial" w:hAnsi="Arial" w:cs="Arial"/>
          <w:sz w:val="18"/>
          <w:szCs w:val="18"/>
        </w:rPr>
        <w:endnoteRef/>
      </w:r>
      <w:r w:rsidRPr="004F369B">
        <w:rPr>
          <w:rFonts w:ascii="Arial" w:hAnsi="Arial" w:cs="Arial"/>
          <w:sz w:val="18"/>
          <w:szCs w:val="18"/>
        </w:rPr>
        <w:t xml:space="preserve"> See Caitlin Holmes and Elanor Taylor </w:t>
      </w:r>
      <w:r w:rsidRPr="004F369B">
        <w:rPr>
          <w:rFonts w:ascii="Arial" w:hAnsi="Arial" w:cs="Arial"/>
          <w:i/>
          <w:iCs/>
          <w:sz w:val="18"/>
          <w:szCs w:val="18"/>
        </w:rPr>
        <w:t>Safe Access Zones in Australia – Legislative Considerations</w:t>
      </w:r>
      <w:r w:rsidRPr="004F369B">
        <w:rPr>
          <w:rFonts w:ascii="Arial" w:hAnsi="Arial" w:cs="Arial"/>
          <w:sz w:val="18"/>
          <w:szCs w:val="18"/>
        </w:rPr>
        <w:t xml:space="preserve"> 2020 Marie Stopes Australia available at </w:t>
      </w:r>
      <w:hyperlink r:id="rId13" w:history="1">
        <w:r w:rsidRPr="004F369B">
          <w:rPr>
            <w:rStyle w:val="Hyperlink"/>
            <w:rFonts w:ascii="Arial" w:hAnsi="Arial" w:cs="Arial"/>
            <w:sz w:val="18"/>
            <w:szCs w:val="18"/>
          </w:rPr>
          <w:t>https://awava.org.au/wp-content/uploads/2020/10/Safe-Access-Zones-in-Australia.pdf</w:t>
        </w:r>
      </w:hyperlink>
    </w:p>
  </w:endnote>
  <w:endnote w:id="17">
    <w:p w14:paraId="54230696" w14:textId="7C9EB347" w:rsidR="004F369B" w:rsidRPr="004F369B" w:rsidRDefault="004F369B" w:rsidP="004F369B">
      <w:pPr>
        <w:spacing w:before="100" w:beforeAutospacing="1" w:after="100" w:afterAutospacing="1" w:line="240" w:lineRule="auto"/>
        <w:contextualSpacing/>
        <w:rPr>
          <w:rFonts w:ascii="Arial" w:hAnsi="Arial" w:cs="Arial"/>
          <w:color w:val="222222"/>
          <w:sz w:val="18"/>
          <w:szCs w:val="18"/>
        </w:rPr>
      </w:pPr>
      <w:r w:rsidRPr="004F369B">
        <w:rPr>
          <w:rStyle w:val="EndnoteReference"/>
          <w:rFonts w:ascii="Arial" w:hAnsi="Arial" w:cs="Arial"/>
          <w:sz w:val="18"/>
          <w:szCs w:val="18"/>
        </w:rPr>
        <w:endnoteRef/>
      </w:r>
      <w:r w:rsidRPr="004F369B">
        <w:rPr>
          <w:rFonts w:ascii="Arial" w:hAnsi="Arial" w:cs="Arial"/>
          <w:sz w:val="18"/>
          <w:szCs w:val="18"/>
        </w:rPr>
        <w:t xml:space="preserve"> The Australian Curriculum </w:t>
      </w:r>
      <w:r w:rsidRPr="004F369B">
        <w:rPr>
          <w:rFonts w:ascii="Arial" w:hAnsi="Arial" w:cs="Arial"/>
          <w:i/>
          <w:iCs/>
          <w:sz w:val="18"/>
          <w:szCs w:val="18"/>
        </w:rPr>
        <w:t>‘…</w:t>
      </w:r>
      <w:r w:rsidRPr="004F369B">
        <w:rPr>
          <w:rFonts w:ascii="Arial" w:hAnsi="Arial" w:cs="Arial"/>
          <w:i/>
          <w:iCs/>
          <w:color w:val="222222"/>
          <w:sz w:val="18"/>
          <w:szCs w:val="18"/>
        </w:rPr>
        <w:t xml:space="preserve">addresses physical, social and emotional changes that occur over time and the significant role relationships and sexuality play in these changes. The content supports students to develop knowledge, understanding and skills that will help them to establish and manage respectful relationships. It also supports them to develop positive practices in relation to their reproductive and sexual health and the development of their identities. In doing so, students will gain an understanding of the factors that influence gender and sexual identities.’ </w:t>
      </w:r>
      <w:r w:rsidRPr="004F369B">
        <w:rPr>
          <w:rFonts w:ascii="Arial" w:hAnsi="Arial" w:cs="Arial"/>
          <w:color w:val="222222"/>
          <w:sz w:val="18"/>
          <w:szCs w:val="18"/>
        </w:rPr>
        <w:t xml:space="preserve">See Relationships and Sexuality, </w:t>
      </w:r>
      <w:r w:rsidRPr="004F369B">
        <w:rPr>
          <w:rFonts w:ascii="Arial" w:hAnsi="Arial" w:cs="Arial"/>
          <w:i/>
          <w:iCs/>
          <w:color w:val="222222"/>
          <w:sz w:val="18"/>
          <w:szCs w:val="18"/>
        </w:rPr>
        <w:t>The Australian Curriculum</w:t>
      </w:r>
      <w:r w:rsidRPr="004F369B">
        <w:rPr>
          <w:rFonts w:ascii="Arial" w:hAnsi="Arial" w:cs="Arial"/>
          <w:color w:val="222222"/>
          <w:sz w:val="18"/>
          <w:szCs w:val="18"/>
        </w:rPr>
        <w:t xml:space="preserve">, available at </w:t>
      </w:r>
      <w:hyperlink r:id="rId14" w:history="1">
        <w:r w:rsidRPr="004F369B">
          <w:rPr>
            <w:rStyle w:val="Hyperlink"/>
            <w:rFonts w:ascii="Arial" w:hAnsi="Arial" w:cs="Arial"/>
            <w:sz w:val="18"/>
            <w:szCs w:val="18"/>
          </w:rPr>
          <w:t>https://www.australiancurriculum.edu.au/f-10-curriculum/health-and-physical-education/structure/</w:t>
        </w:r>
      </w:hyperlink>
      <w:r w:rsidRPr="004F369B">
        <w:rPr>
          <w:rFonts w:ascii="Arial" w:hAnsi="Arial" w:cs="Arial"/>
          <w:color w:val="222222"/>
          <w:sz w:val="18"/>
          <w:szCs w:val="18"/>
        </w:rPr>
        <w:t xml:space="preserve"> </w:t>
      </w:r>
    </w:p>
  </w:endnote>
  <w:endnote w:id="18">
    <w:p w14:paraId="5A34A7E7" w14:textId="734AC374" w:rsidR="004F369B" w:rsidRDefault="004F369B" w:rsidP="004F369B">
      <w:pPr>
        <w:pStyle w:val="EndnoteText"/>
        <w:contextualSpacing/>
        <w:rPr>
          <w:rFonts w:ascii="Arial" w:hAnsi="Arial" w:cs="Arial"/>
          <w:sz w:val="18"/>
          <w:szCs w:val="18"/>
        </w:rPr>
      </w:pPr>
      <w:r w:rsidRPr="004F369B">
        <w:rPr>
          <w:rStyle w:val="EndnoteReference"/>
          <w:rFonts w:ascii="Arial" w:hAnsi="Arial" w:cs="Arial"/>
          <w:sz w:val="18"/>
          <w:szCs w:val="18"/>
        </w:rPr>
        <w:endnoteRef/>
      </w:r>
      <w:r w:rsidRPr="004F369B">
        <w:rPr>
          <w:rFonts w:ascii="Arial" w:hAnsi="Arial" w:cs="Arial"/>
          <w:sz w:val="18"/>
          <w:szCs w:val="18"/>
        </w:rPr>
        <w:t xml:space="preserve"> For a breakdown of the curricula in each State, see Roberts, Lauren </w:t>
      </w:r>
      <w:r w:rsidRPr="004F369B">
        <w:rPr>
          <w:rFonts w:ascii="Arial" w:hAnsi="Arial" w:cs="Arial"/>
          <w:i/>
          <w:iCs/>
          <w:sz w:val="18"/>
          <w:szCs w:val="18"/>
        </w:rPr>
        <w:t>Push to Introduce Mandatory Unified Sexual Consent Lessons in Australian Schools</w:t>
      </w:r>
      <w:r w:rsidRPr="004F369B">
        <w:rPr>
          <w:rFonts w:ascii="Arial" w:hAnsi="Arial" w:cs="Arial"/>
          <w:sz w:val="18"/>
          <w:szCs w:val="18"/>
        </w:rPr>
        <w:t xml:space="preserve"> ABC News Online 29 February 2020 available at: </w:t>
      </w:r>
      <w:hyperlink r:id="rId15" w:history="1">
        <w:r w:rsidRPr="004F369B">
          <w:rPr>
            <w:rStyle w:val="Hyperlink"/>
            <w:rFonts w:ascii="Arial" w:hAnsi="Arial" w:cs="Arial"/>
            <w:sz w:val="18"/>
            <w:szCs w:val="18"/>
          </w:rPr>
          <w:t>https://www.abc.net.au/news/2020-02-29/australian-schools-on-how-they-teach-kids-consent/11969964</w:t>
        </w:r>
      </w:hyperlink>
      <w:r w:rsidRPr="004F369B">
        <w:rPr>
          <w:rFonts w:ascii="Arial" w:hAnsi="Arial" w:cs="Arial"/>
          <w:sz w:val="18"/>
          <w:szCs w:val="18"/>
        </w:rPr>
        <w:t xml:space="preserve"> </w:t>
      </w:r>
    </w:p>
    <w:p w14:paraId="163930C4" w14:textId="77777777" w:rsidR="005B1DAE" w:rsidRPr="004F369B" w:rsidRDefault="005B1DAE" w:rsidP="004F369B">
      <w:pPr>
        <w:pStyle w:val="EndnoteText"/>
        <w:contextualSpacing/>
        <w:rPr>
          <w:rFonts w:ascii="Arial" w:hAnsi="Arial" w:cs="Arial"/>
          <w:sz w:val="18"/>
          <w:szCs w:val="18"/>
        </w:rPr>
      </w:pPr>
    </w:p>
  </w:endnote>
  <w:endnote w:id="19">
    <w:p w14:paraId="601030B4" w14:textId="2B109590" w:rsidR="004F369B" w:rsidRDefault="004F369B" w:rsidP="00851104">
      <w:pPr>
        <w:spacing w:line="240" w:lineRule="auto"/>
        <w:contextualSpacing/>
        <w:rPr>
          <w:rFonts w:ascii="Arial" w:hAnsi="Arial" w:cs="Arial"/>
          <w:sz w:val="18"/>
          <w:szCs w:val="18"/>
        </w:rPr>
      </w:pPr>
      <w:r w:rsidRPr="004F369B">
        <w:rPr>
          <w:rFonts w:ascii="Arial" w:hAnsi="Arial" w:cs="Arial"/>
          <w:sz w:val="18"/>
          <w:szCs w:val="18"/>
          <w:vertAlign w:val="superscript"/>
        </w:rPr>
        <w:endnoteRef/>
      </w:r>
      <w:r w:rsidRPr="004F369B">
        <w:rPr>
          <w:rFonts w:ascii="Arial" w:hAnsi="Arial" w:cs="Arial"/>
          <w:sz w:val="18"/>
          <w:szCs w:val="18"/>
        </w:rPr>
        <w:t xml:space="preserve"> </w:t>
      </w:r>
      <w:hyperlink r:id="rId16" w:history="1">
        <w:r w:rsidRPr="004F369B">
          <w:rPr>
            <w:rStyle w:val="Hyperlink"/>
            <w:rFonts w:ascii="Arial" w:hAnsi="Arial" w:cs="Arial"/>
            <w:sz w:val="18"/>
            <w:szCs w:val="18"/>
          </w:rPr>
          <w:t>https://www.refugeecouncil.org.au/detention-australia-statistics/2/</w:t>
        </w:r>
      </w:hyperlink>
      <w:r w:rsidRPr="004F369B">
        <w:rPr>
          <w:rFonts w:ascii="Arial" w:hAnsi="Arial" w:cs="Arial"/>
          <w:sz w:val="18"/>
          <w:szCs w:val="18"/>
        </w:rPr>
        <w:t xml:space="preserve"> </w:t>
      </w:r>
    </w:p>
    <w:p w14:paraId="36467E4B" w14:textId="77777777" w:rsidR="005B1DAE" w:rsidRPr="004F369B" w:rsidRDefault="005B1DAE" w:rsidP="00851104">
      <w:pPr>
        <w:spacing w:line="240" w:lineRule="auto"/>
        <w:contextualSpacing/>
        <w:rPr>
          <w:rFonts w:ascii="Arial" w:hAnsi="Arial" w:cs="Arial"/>
          <w:sz w:val="18"/>
          <w:szCs w:val="18"/>
        </w:rPr>
      </w:pPr>
    </w:p>
  </w:endnote>
  <w:endnote w:id="20">
    <w:p w14:paraId="68295EBA" w14:textId="4967D9F0" w:rsidR="004F369B" w:rsidRDefault="004F369B" w:rsidP="00851104">
      <w:pPr>
        <w:spacing w:line="240" w:lineRule="auto"/>
        <w:contextualSpacing/>
        <w:rPr>
          <w:rFonts w:ascii="Arial" w:hAnsi="Arial" w:cs="Arial"/>
          <w:sz w:val="18"/>
          <w:szCs w:val="18"/>
        </w:rPr>
      </w:pPr>
      <w:r w:rsidRPr="004F369B">
        <w:rPr>
          <w:rFonts w:ascii="Arial" w:hAnsi="Arial" w:cs="Arial"/>
          <w:sz w:val="18"/>
          <w:szCs w:val="18"/>
          <w:vertAlign w:val="superscript"/>
        </w:rPr>
        <w:endnoteRef/>
      </w:r>
      <w:r w:rsidRPr="004F369B">
        <w:rPr>
          <w:rFonts w:ascii="Arial" w:hAnsi="Arial" w:cs="Arial"/>
          <w:sz w:val="18"/>
          <w:szCs w:val="18"/>
        </w:rPr>
        <w:t xml:space="preserve"> </w:t>
      </w:r>
      <w:hyperlink r:id="rId17" w:history="1">
        <w:r w:rsidRPr="004F369B">
          <w:rPr>
            <w:rStyle w:val="Hyperlink"/>
            <w:rFonts w:ascii="Arial" w:hAnsi="Arial" w:cs="Arial"/>
            <w:sz w:val="18"/>
            <w:szCs w:val="18"/>
          </w:rPr>
          <w:t>https://www.refugeecouncil.org.au/detention-australia-statistics/7/</w:t>
        </w:r>
      </w:hyperlink>
      <w:r w:rsidRPr="004F369B">
        <w:rPr>
          <w:rFonts w:ascii="Arial" w:hAnsi="Arial" w:cs="Arial"/>
          <w:sz w:val="18"/>
          <w:szCs w:val="18"/>
        </w:rPr>
        <w:t xml:space="preserve"> </w:t>
      </w:r>
    </w:p>
    <w:p w14:paraId="3020AC19" w14:textId="77777777" w:rsidR="005B1DAE" w:rsidRPr="004F369B" w:rsidRDefault="005B1DAE" w:rsidP="00851104">
      <w:pPr>
        <w:spacing w:line="240" w:lineRule="auto"/>
        <w:contextualSpacing/>
        <w:rPr>
          <w:rFonts w:ascii="Arial" w:hAnsi="Arial" w:cs="Arial"/>
          <w:sz w:val="18"/>
          <w:szCs w:val="18"/>
        </w:rPr>
      </w:pPr>
    </w:p>
  </w:endnote>
  <w:endnote w:id="21">
    <w:p w14:paraId="1623F0A5" w14:textId="707701BD" w:rsidR="004F369B" w:rsidRDefault="004F369B" w:rsidP="00851104">
      <w:pPr>
        <w:spacing w:line="240" w:lineRule="auto"/>
        <w:contextualSpacing/>
        <w:rPr>
          <w:rFonts w:ascii="Arial" w:hAnsi="Arial" w:cs="Arial"/>
          <w:sz w:val="18"/>
          <w:szCs w:val="18"/>
        </w:rPr>
      </w:pPr>
      <w:r w:rsidRPr="004F369B">
        <w:rPr>
          <w:rFonts w:ascii="Arial" w:hAnsi="Arial" w:cs="Arial"/>
          <w:sz w:val="18"/>
          <w:szCs w:val="18"/>
          <w:vertAlign w:val="superscript"/>
        </w:rPr>
        <w:endnoteRef/>
      </w:r>
      <w:r w:rsidRPr="004F369B">
        <w:rPr>
          <w:rFonts w:ascii="Arial" w:hAnsi="Arial" w:cs="Arial"/>
          <w:sz w:val="18"/>
          <w:szCs w:val="18"/>
        </w:rPr>
        <w:t xml:space="preserve"> </w:t>
      </w:r>
      <w:hyperlink r:id="rId18" w:anchor=".X64UBy8RoQ8" w:history="1">
        <w:r w:rsidRPr="004F369B">
          <w:rPr>
            <w:rStyle w:val="Hyperlink"/>
            <w:rFonts w:ascii="Arial" w:hAnsi="Arial" w:cs="Arial"/>
            <w:sz w:val="18"/>
            <w:szCs w:val="18"/>
          </w:rPr>
          <w:t>https://www.asyluminsight.com/statistics#.X64UBy8RoQ8</w:t>
        </w:r>
      </w:hyperlink>
      <w:r w:rsidRPr="004F369B">
        <w:rPr>
          <w:rFonts w:ascii="Arial" w:hAnsi="Arial" w:cs="Arial"/>
          <w:sz w:val="18"/>
          <w:szCs w:val="18"/>
        </w:rPr>
        <w:t xml:space="preserve"> </w:t>
      </w:r>
    </w:p>
    <w:p w14:paraId="208A9484" w14:textId="77777777" w:rsidR="005B1DAE" w:rsidRPr="004F369B" w:rsidRDefault="005B1DAE" w:rsidP="00851104">
      <w:pPr>
        <w:spacing w:line="240" w:lineRule="auto"/>
        <w:contextualSpacing/>
        <w:rPr>
          <w:rFonts w:ascii="Arial" w:hAnsi="Arial" w:cs="Arial"/>
          <w:sz w:val="18"/>
          <w:szCs w:val="18"/>
        </w:rPr>
      </w:pPr>
    </w:p>
  </w:endnote>
  <w:endnote w:id="22">
    <w:p w14:paraId="7BD3B311" w14:textId="77777777" w:rsidR="004F369B" w:rsidRDefault="004F369B" w:rsidP="00851104">
      <w:pPr>
        <w:spacing w:line="240" w:lineRule="auto"/>
        <w:contextualSpacing/>
        <w:rPr>
          <w:sz w:val="20"/>
          <w:szCs w:val="20"/>
        </w:rPr>
      </w:pPr>
      <w:r w:rsidRPr="004F369B">
        <w:rPr>
          <w:rFonts w:ascii="Arial" w:hAnsi="Arial" w:cs="Arial"/>
          <w:sz w:val="18"/>
          <w:szCs w:val="18"/>
          <w:vertAlign w:val="superscript"/>
        </w:rPr>
        <w:endnoteRef/>
      </w:r>
      <w:r w:rsidRPr="004F369B">
        <w:rPr>
          <w:rFonts w:ascii="Arial" w:hAnsi="Arial" w:cs="Arial"/>
          <w:sz w:val="18"/>
          <w:szCs w:val="18"/>
        </w:rPr>
        <w:t xml:space="preserve"> </w:t>
      </w:r>
      <w:hyperlink r:id="rId19" w:history="1">
        <w:r w:rsidRPr="004F369B">
          <w:rPr>
            <w:rStyle w:val="Hyperlink"/>
            <w:rFonts w:ascii="Arial" w:hAnsi="Arial" w:cs="Arial"/>
            <w:sz w:val="18"/>
            <w:szCs w:val="18"/>
          </w:rPr>
          <w:t>https://www.refugeecouncil.org.au/nauru-report/6/</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3B6E46" w14:textId="77777777" w:rsidR="00B81D3F" w:rsidRDefault="00B81D3F" w:rsidP="00B81D3F">
      <w:pPr>
        <w:spacing w:after="0" w:line="240" w:lineRule="auto"/>
      </w:pPr>
      <w:r>
        <w:separator/>
      </w:r>
    </w:p>
  </w:footnote>
  <w:footnote w:type="continuationSeparator" w:id="0">
    <w:p w14:paraId="00F2A157" w14:textId="77777777" w:rsidR="00B81D3F" w:rsidRDefault="00B81D3F" w:rsidP="00B81D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E31D1" w14:textId="77777777" w:rsidR="003B73F7" w:rsidRDefault="003B73F7">
    <w:pPr>
      <w:pStyle w:val="Header"/>
      <w:rPr>
        <w:noProof/>
      </w:rPr>
    </w:pPr>
    <w:r>
      <w:rPr>
        <w:noProof/>
        <w:lang w:val="en-GB"/>
      </w:rPr>
      <w:drawing>
        <wp:anchor distT="0" distB="0" distL="114300" distR="114300" simplePos="0" relativeHeight="251659264" behindDoc="0" locked="0" layoutInCell="1" allowOverlap="1" wp14:anchorId="0C6D6EA2" wp14:editId="0C3F443C">
          <wp:simplePos x="0" y="0"/>
          <wp:positionH relativeFrom="column">
            <wp:posOffset>3648075</wp:posOffset>
          </wp:positionH>
          <wp:positionV relativeFrom="paragraph">
            <wp:posOffset>285750</wp:posOffset>
          </wp:positionV>
          <wp:extent cx="2682875" cy="1106805"/>
          <wp:effectExtent l="0" t="0" r="3175" b="0"/>
          <wp:wrapSquare wrapText="bothSides"/>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 large.jpg"/>
                  <pic:cNvPicPr/>
                </pic:nvPicPr>
                <pic:blipFill>
                  <a:blip r:embed="rId1">
                    <a:extLst>
                      <a:ext uri="{28A0092B-C50C-407E-A947-70E740481C1C}">
                        <a14:useLocalDpi xmlns:a14="http://schemas.microsoft.com/office/drawing/2010/main" val="0"/>
                      </a:ext>
                    </a:extLst>
                  </a:blip>
                  <a:stretch>
                    <a:fillRect/>
                  </a:stretch>
                </pic:blipFill>
                <pic:spPr>
                  <a:xfrm>
                    <a:off x="0" y="0"/>
                    <a:ext cx="2682875" cy="1106805"/>
                  </a:xfrm>
                  <a:prstGeom prst="rect">
                    <a:avLst/>
                  </a:prstGeom>
                </pic:spPr>
              </pic:pic>
            </a:graphicData>
          </a:graphic>
          <wp14:sizeRelH relativeFrom="margin">
            <wp14:pctWidth>0</wp14:pctWidth>
          </wp14:sizeRelH>
          <wp14:sizeRelV relativeFrom="margin">
            <wp14:pctHeight>0</wp14:pctHeight>
          </wp14:sizeRelV>
        </wp:anchor>
      </w:drawing>
    </w:r>
    <w:r>
      <w:rPr>
        <w:noProof/>
      </w:rPr>
      <w:t xml:space="preserve"> </w:t>
    </w:r>
    <w:r>
      <w:rPr>
        <w:noProof/>
        <w:lang w:val="en-GB"/>
      </w:rPr>
      <w:drawing>
        <wp:inline distT="0" distB="0" distL="0" distR="0" wp14:anchorId="326EBC0A" wp14:editId="79E1A29D">
          <wp:extent cx="3524250" cy="522821"/>
          <wp:effectExtent l="0" t="0" r="0" b="0"/>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_LOGO_1600.png"/>
                  <pic:cNvPicPr/>
                </pic:nvPicPr>
                <pic:blipFill>
                  <a:blip r:embed="rId2">
                    <a:extLst>
                      <a:ext uri="{28A0092B-C50C-407E-A947-70E740481C1C}">
                        <a14:useLocalDpi xmlns:a14="http://schemas.microsoft.com/office/drawing/2010/main" val="0"/>
                      </a:ext>
                    </a:extLst>
                  </a:blip>
                  <a:stretch>
                    <a:fillRect/>
                  </a:stretch>
                </pic:blipFill>
                <pic:spPr>
                  <a:xfrm>
                    <a:off x="0" y="0"/>
                    <a:ext cx="3798243" cy="563468"/>
                  </a:xfrm>
                  <a:prstGeom prst="rect">
                    <a:avLst/>
                  </a:prstGeom>
                </pic:spPr>
              </pic:pic>
            </a:graphicData>
          </a:graphic>
        </wp:inline>
      </w:drawing>
    </w:r>
    <w:r w:rsidRPr="003B73F7">
      <w:rPr>
        <w:noProof/>
      </w:rPr>
      <w:t xml:space="preserve"> </w:t>
    </w:r>
  </w:p>
  <w:p w14:paraId="6F0E60BA" w14:textId="77777777" w:rsidR="003B73F7" w:rsidRDefault="003B73F7">
    <w:pPr>
      <w:pStyle w:val="Header"/>
      <w:rPr>
        <w:noProof/>
      </w:rPr>
    </w:pPr>
  </w:p>
  <w:p w14:paraId="06AD9B98" w14:textId="23ACA8DF" w:rsidR="003B73F7" w:rsidRDefault="003B73F7">
    <w:pPr>
      <w:pStyle w:val="Header"/>
    </w:pPr>
    <w:r>
      <w:t xml:space="preserve">     </w:t>
    </w:r>
    <w:r>
      <w:rPr>
        <w:noProof/>
        <w:lang w:val="en-GB"/>
      </w:rPr>
      <w:drawing>
        <wp:inline distT="0" distB="0" distL="0" distR="0" wp14:anchorId="76B9588B" wp14:editId="3F86C7E7">
          <wp:extent cx="3113606" cy="638175"/>
          <wp:effectExtent l="0" t="0" r="0" b="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RA.logo+tag.colour.png"/>
                  <pic:cNvPicPr/>
                </pic:nvPicPr>
                <pic:blipFill>
                  <a:blip r:embed="rId3">
                    <a:extLst>
                      <a:ext uri="{28A0092B-C50C-407E-A947-70E740481C1C}">
                        <a14:useLocalDpi xmlns:a14="http://schemas.microsoft.com/office/drawing/2010/main" val="0"/>
                      </a:ext>
                    </a:extLst>
                  </a:blip>
                  <a:stretch>
                    <a:fillRect/>
                  </a:stretch>
                </pic:blipFill>
                <pic:spPr>
                  <a:xfrm>
                    <a:off x="0" y="0"/>
                    <a:ext cx="3200294" cy="6559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2078"/>
    <w:multiLevelType w:val="hybridMultilevel"/>
    <w:tmpl w:val="536A7C7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D61F0B"/>
    <w:multiLevelType w:val="multilevel"/>
    <w:tmpl w:val="743A3898"/>
    <w:lvl w:ilvl="0">
      <w:start w:val="1"/>
      <w:numFmt w:val="decimal"/>
      <w:lvlText w:val="%1."/>
      <w:lvlJc w:val="left"/>
      <w:pPr>
        <w:tabs>
          <w:tab w:val="num" w:pos="720"/>
        </w:tabs>
        <w:ind w:left="720" w:hanging="360"/>
      </w:pPr>
      <w:rPr>
        <w:b/>
        <w:bCs/>
        <w:color w:val="7030A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DE4589"/>
    <w:multiLevelType w:val="hybridMultilevel"/>
    <w:tmpl w:val="4E686A86"/>
    <w:lvl w:ilvl="0" w:tplc="1834D4BC">
      <w:start w:val="1"/>
      <w:numFmt w:val="bullet"/>
      <w:lvlText w:val=""/>
      <w:lvlJc w:val="left"/>
      <w:pPr>
        <w:ind w:left="1080" w:hanging="360"/>
      </w:pPr>
      <w:rPr>
        <w:rFonts w:ascii="Symbol" w:hAnsi="Symbol" w:hint="default"/>
        <w:color w:val="7030A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8137A7D"/>
    <w:multiLevelType w:val="hybridMultilevel"/>
    <w:tmpl w:val="D32841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8747C41"/>
    <w:multiLevelType w:val="multilevel"/>
    <w:tmpl w:val="DB6444EE"/>
    <w:lvl w:ilvl="0">
      <w:start w:val="1"/>
      <w:numFmt w:val="bullet"/>
      <w:lvlRestart w:val="0"/>
      <w:pStyle w:val="Bullet"/>
      <w:lvlText w:val="•"/>
      <w:lvlJc w:val="left"/>
      <w:pPr>
        <w:tabs>
          <w:tab w:val="num" w:pos="283"/>
        </w:tabs>
        <w:ind w:left="283" w:hanging="283"/>
      </w:pPr>
      <w:rPr>
        <w:rFonts w:ascii="Times New Roman" w:hAnsi="Times New Roman" w:cs="Times New Roman"/>
        <w:b w:val="0"/>
        <w:i w:val="0"/>
        <w:color w:val="000000"/>
        <w:sz w:val="20"/>
      </w:rPr>
    </w:lvl>
    <w:lvl w:ilvl="1">
      <w:start w:val="1"/>
      <w:numFmt w:val="bullet"/>
      <w:pStyle w:val="Dash"/>
      <w:lvlText w:val="–"/>
      <w:lvlJc w:val="left"/>
      <w:pPr>
        <w:tabs>
          <w:tab w:val="num" w:pos="567"/>
        </w:tabs>
        <w:ind w:left="567" w:hanging="284"/>
      </w:pPr>
      <w:rPr>
        <w:rFonts w:ascii="Times New Roman" w:hAnsi="Times New Roman" w:cs="Times New Roman"/>
        <w:b w:val="0"/>
        <w:i w:val="0"/>
        <w:color w:val="000000"/>
      </w:rPr>
    </w:lvl>
    <w:lvl w:ilvl="2">
      <w:start w:val="1"/>
      <w:numFmt w:val="bullet"/>
      <w:pStyle w:val="DoubleDot"/>
      <w:lvlText w:val=":"/>
      <w:lvlJc w:val="left"/>
      <w:pPr>
        <w:tabs>
          <w:tab w:val="num" w:pos="850"/>
        </w:tabs>
        <w:ind w:left="850" w:hanging="283"/>
      </w:pPr>
      <w:rPr>
        <w:rFonts w:ascii="Times New Roman" w:hAnsi="Times New Roman" w:cs="Times New Roman"/>
        <w:b w:val="0"/>
        <w:i w:val="0"/>
        <w:color w:val="000000"/>
      </w:rPr>
    </w:lvl>
    <w:lvl w:ilvl="3">
      <w:start w:val="1"/>
      <w:numFmt w:val="decimal"/>
      <w:lvlText w:val="%4"/>
      <w:lvlJc w:val="left"/>
      <w:pPr>
        <w:tabs>
          <w:tab w:val="num" w:pos="2268"/>
        </w:tabs>
        <w:ind w:left="2268" w:hanging="567"/>
      </w:pPr>
      <w:rPr>
        <w:rFonts w:ascii="Times New Roman" w:hAnsi="Times New Roman" w:cs="Times New Roman"/>
        <w:b w:val="0"/>
        <w:i w:val="0"/>
        <w:color w:val="000000"/>
      </w:rPr>
    </w:lvl>
    <w:lvl w:ilvl="4">
      <w:start w:val="1"/>
      <w:numFmt w:val="decimal"/>
      <w:lvlText w:val="%5"/>
      <w:lvlJc w:val="left"/>
      <w:pPr>
        <w:tabs>
          <w:tab w:val="num" w:pos="2835"/>
        </w:tabs>
        <w:ind w:left="2835" w:hanging="567"/>
      </w:pPr>
      <w:rPr>
        <w:rFonts w:ascii="Times New Roman" w:hAnsi="Times New Roman" w:cs="Times New Roman"/>
        <w:b w:val="0"/>
        <w:i w:val="0"/>
        <w:color w:val="000000"/>
      </w:rPr>
    </w:lvl>
    <w:lvl w:ilvl="5">
      <w:start w:val="1"/>
      <w:numFmt w:val="decimal"/>
      <w:lvlText w:val="%6"/>
      <w:lvlJc w:val="left"/>
      <w:pPr>
        <w:tabs>
          <w:tab w:val="num" w:pos="3402"/>
        </w:tabs>
        <w:ind w:left="3402" w:hanging="567"/>
      </w:pPr>
      <w:rPr>
        <w:rFonts w:ascii="Times New Roman" w:hAnsi="Times New Roman" w:cs="Times New Roman"/>
        <w:b w:val="0"/>
        <w:i w:val="0"/>
        <w:color w:val="000000"/>
      </w:rPr>
    </w:lvl>
    <w:lvl w:ilvl="6">
      <w:start w:val="1"/>
      <w:numFmt w:val="decimal"/>
      <w:lvlText w:val="%7"/>
      <w:lvlJc w:val="left"/>
      <w:pPr>
        <w:tabs>
          <w:tab w:val="num" w:pos="3969"/>
        </w:tabs>
        <w:ind w:left="3969" w:hanging="567"/>
      </w:pPr>
      <w:rPr>
        <w:rFonts w:ascii="Times New Roman" w:hAnsi="Times New Roman" w:cs="Times New Roman"/>
        <w:b w:val="0"/>
        <w:i w:val="0"/>
        <w:color w:val="000000"/>
      </w:rPr>
    </w:lvl>
    <w:lvl w:ilvl="7">
      <w:start w:val="1"/>
      <w:numFmt w:val="decimal"/>
      <w:lvlText w:val="%8"/>
      <w:lvlJc w:val="left"/>
      <w:pPr>
        <w:tabs>
          <w:tab w:val="num" w:pos="4536"/>
        </w:tabs>
        <w:ind w:left="4536" w:hanging="567"/>
      </w:pPr>
      <w:rPr>
        <w:rFonts w:ascii="Times New Roman" w:hAnsi="Times New Roman" w:cs="Times New Roman"/>
        <w:b w:val="0"/>
        <w:i w:val="0"/>
        <w:color w:val="000000"/>
      </w:rPr>
    </w:lvl>
    <w:lvl w:ilvl="8">
      <w:start w:val="1"/>
      <w:numFmt w:val="decimal"/>
      <w:lvlText w:val="%9"/>
      <w:lvlJc w:val="left"/>
      <w:pPr>
        <w:tabs>
          <w:tab w:val="num" w:pos="5103"/>
        </w:tabs>
        <w:ind w:left="5103" w:hanging="567"/>
      </w:pPr>
      <w:rPr>
        <w:rFonts w:ascii="Times New Roman" w:hAnsi="Times New Roman" w:cs="Times New Roman"/>
        <w:b w:val="0"/>
        <w:i w:val="0"/>
        <w:color w:val="000000"/>
      </w:rPr>
    </w:lvl>
  </w:abstractNum>
  <w:abstractNum w:abstractNumId="5" w15:restartNumberingAfterBreak="0">
    <w:nsid w:val="08D33D6E"/>
    <w:multiLevelType w:val="hybridMultilevel"/>
    <w:tmpl w:val="B71C43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6C0BED"/>
    <w:multiLevelType w:val="multilevel"/>
    <w:tmpl w:val="7CF2D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38640E"/>
    <w:multiLevelType w:val="hybridMultilevel"/>
    <w:tmpl w:val="53AECD22"/>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D7F451A"/>
    <w:multiLevelType w:val="hybridMultilevel"/>
    <w:tmpl w:val="8D0A4B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79C446C"/>
    <w:multiLevelType w:val="hybridMultilevel"/>
    <w:tmpl w:val="3524007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3248377B"/>
    <w:multiLevelType w:val="hybridMultilevel"/>
    <w:tmpl w:val="3ED85FA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59967EF"/>
    <w:multiLevelType w:val="hybridMultilevel"/>
    <w:tmpl w:val="0850270C"/>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3BC95F91"/>
    <w:multiLevelType w:val="multilevel"/>
    <w:tmpl w:val="24868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032260"/>
    <w:multiLevelType w:val="hybridMultilevel"/>
    <w:tmpl w:val="D90C3C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7CD42E05"/>
    <w:multiLevelType w:val="multilevel"/>
    <w:tmpl w:val="3F004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8"/>
  </w:num>
  <w:num w:numId="3">
    <w:abstractNumId w:val="3"/>
  </w:num>
  <w:num w:numId="4">
    <w:abstractNumId w:val="5"/>
  </w:num>
  <w:num w:numId="5">
    <w:abstractNumId w:val="10"/>
  </w:num>
  <w:num w:numId="6">
    <w:abstractNumId w:val="4"/>
  </w:num>
  <w:num w:numId="7">
    <w:abstractNumId w:val="9"/>
  </w:num>
  <w:num w:numId="8">
    <w:abstractNumId w:val="2"/>
  </w:num>
  <w:num w:numId="9">
    <w:abstractNumId w:val="0"/>
  </w:num>
  <w:num w:numId="10">
    <w:abstractNumId w:val="6"/>
  </w:num>
  <w:num w:numId="11">
    <w:abstractNumId w:val="14"/>
  </w:num>
  <w:num w:numId="12">
    <w:abstractNumId w:val="12"/>
  </w:num>
  <w:num w:numId="13">
    <w:abstractNumId w:val="11"/>
  </w:num>
  <w:num w:numId="14">
    <w:abstractNumId w:val="1"/>
    <w:lvlOverride w:ilvl="1">
      <w:lvl w:ilvl="1">
        <w:numFmt w:val="bullet"/>
        <w:lvlText w:val=""/>
        <w:lvlJc w:val="left"/>
        <w:pPr>
          <w:tabs>
            <w:tab w:val="num" w:pos="1440"/>
          </w:tabs>
          <w:ind w:left="1440" w:hanging="360"/>
        </w:pPr>
        <w:rPr>
          <w:rFonts w:ascii="Symbol" w:hAnsi="Symbol" w:hint="default"/>
          <w:color w:val="7030A0"/>
          <w:sz w:val="20"/>
        </w:rPr>
      </w:lvl>
    </w:lvlOverride>
  </w:num>
  <w:num w:numId="15">
    <w:abstractNumId w:val="7"/>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D75"/>
    <w:rsid w:val="00030BF8"/>
    <w:rsid w:val="000407BC"/>
    <w:rsid w:val="000559C2"/>
    <w:rsid w:val="000D51B1"/>
    <w:rsid w:val="000E6FE0"/>
    <w:rsid w:val="000F6141"/>
    <w:rsid w:val="00136212"/>
    <w:rsid w:val="0014184E"/>
    <w:rsid w:val="00175D2F"/>
    <w:rsid w:val="00191F3D"/>
    <w:rsid w:val="001C4E6B"/>
    <w:rsid w:val="002020D4"/>
    <w:rsid w:val="00204A4A"/>
    <w:rsid w:val="00214046"/>
    <w:rsid w:val="002157B2"/>
    <w:rsid w:val="002511D0"/>
    <w:rsid w:val="0026020E"/>
    <w:rsid w:val="00292858"/>
    <w:rsid w:val="002E5CAA"/>
    <w:rsid w:val="00301513"/>
    <w:rsid w:val="00324626"/>
    <w:rsid w:val="003307D2"/>
    <w:rsid w:val="0033685C"/>
    <w:rsid w:val="00345289"/>
    <w:rsid w:val="00374AAA"/>
    <w:rsid w:val="003B73F7"/>
    <w:rsid w:val="003F2B1C"/>
    <w:rsid w:val="003F48EA"/>
    <w:rsid w:val="00407DD4"/>
    <w:rsid w:val="004B76F5"/>
    <w:rsid w:val="004B7877"/>
    <w:rsid w:val="004D2B46"/>
    <w:rsid w:val="004D5FB8"/>
    <w:rsid w:val="004E32E2"/>
    <w:rsid w:val="004F369B"/>
    <w:rsid w:val="00504AA4"/>
    <w:rsid w:val="005064A5"/>
    <w:rsid w:val="005526DA"/>
    <w:rsid w:val="005529B1"/>
    <w:rsid w:val="00554003"/>
    <w:rsid w:val="00554410"/>
    <w:rsid w:val="0056583A"/>
    <w:rsid w:val="005B1DAE"/>
    <w:rsid w:val="005B3092"/>
    <w:rsid w:val="005E02DB"/>
    <w:rsid w:val="00640223"/>
    <w:rsid w:val="00642489"/>
    <w:rsid w:val="00642F10"/>
    <w:rsid w:val="00645D64"/>
    <w:rsid w:val="00656F0F"/>
    <w:rsid w:val="00681D99"/>
    <w:rsid w:val="006A5AF5"/>
    <w:rsid w:val="007236E1"/>
    <w:rsid w:val="00761A5F"/>
    <w:rsid w:val="0078028D"/>
    <w:rsid w:val="007E06BE"/>
    <w:rsid w:val="00812674"/>
    <w:rsid w:val="00816BDB"/>
    <w:rsid w:val="0083075C"/>
    <w:rsid w:val="00851104"/>
    <w:rsid w:val="00891A45"/>
    <w:rsid w:val="00891AE5"/>
    <w:rsid w:val="008C30F9"/>
    <w:rsid w:val="00911A34"/>
    <w:rsid w:val="0093717B"/>
    <w:rsid w:val="009377C2"/>
    <w:rsid w:val="00985FF8"/>
    <w:rsid w:val="009C510B"/>
    <w:rsid w:val="009C6B9B"/>
    <w:rsid w:val="00A31340"/>
    <w:rsid w:val="00A7396A"/>
    <w:rsid w:val="00A77D71"/>
    <w:rsid w:val="00AC451F"/>
    <w:rsid w:val="00AD27F4"/>
    <w:rsid w:val="00AE4254"/>
    <w:rsid w:val="00B1352A"/>
    <w:rsid w:val="00B72CE5"/>
    <w:rsid w:val="00B81D3F"/>
    <w:rsid w:val="00BB1167"/>
    <w:rsid w:val="00BB7AD5"/>
    <w:rsid w:val="00C4145F"/>
    <w:rsid w:val="00C4721A"/>
    <w:rsid w:val="00C80D95"/>
    <w:rsid w:val="00CB032B"/>
    <w:rsid w:val="00CE4538"/>
    <w:rsid w:val="00CF57A7"/>
    <w:rsid w:val="00D11F1F"/>
    <w:rsid w:val="00D61B48"/>
    <w:rsid w:val="00D70285"/>
    <w:rsid w:val="00D85125"/>
    <w:rsid w:val="00D92B85"/>
    <w:rsid w:val="00DE7A8C"/>
    <w:rsid w:val="00E32B4C"/>
    <w:rsid w:val="00E41BE9"/>
    <w:rsid w:val="00E47E5F"/>
    <w:rsid w:val="00E8694A"/>
    <w:rsid w:val="00E9671F"/>
    <w:rsid w:val="00EE5835"/>
    <w:rsid w:val="00F15236"/>
    <w:rsid w:val="00F24480"/>
    <w:rsid w:val="00F5443D"/>
    <w:rsid w:val="00F60AF5"/>
    <w:rsid w:val="00F61D12"/>
    <w:rsid w:val="00F64D75"/>
    <w:rsid w:val="00F7081A"/>
    <w:rsid w:val="00FA32CF"/>
    <w:rsid w:val="00FB18CF"/>
    <w:rsid w:val="00FC0FAC"/>
    <w:rsid w:val="00FF619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7534759A"/>
  <w15:chartTrackingRefBased/>
  <w15:docId w15:val="{1D0D0417-B8ED-463F-B92B-7E7610B17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A7396A"/>
    <w:pPr>
      <w:spacing w:before="100" w:beforeAutospacing="1" w:after="100" w:afterAutospacing="1" w:line="240" w:lineRule="auto"/>
      <w:outlineLvl w:val="2"/>
    </w:pPr>
    <w:rPr>
      <w:rFonts w:ascii="Times New Roman" w:eastAsia="Times New Roman" w:hAnsi="Times New Roman" w:cs="Times New Roman"/>
      <w:b/>
      <w:bCs/>
      <w:sz w:val="27"/>
      <w:szCs w:val="27"/>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64D75"/>
    <w:pPr>
      <w:autoSpaceDE w:val="0"/>
      <w:autoSpaceDN w:val="0"/>
      <w:adjustRightInd w:val="0"/>
      <w:spacing w:after="0" w:line="240" w:lineRule="auto"/>
    </w:pPr>
    <w:rPr>
      <w:rFonts w:ascii="Cambria" w:hAnsi="Cambria" w:cs="Cambria"/>
      <w:color w:val="000000"/>
      <w:sz w:val="24"/>
      <w:szCs w:val="24"/>
    </w:rPr>
  </w:style>
  <w:style w:type="paragraph" w:customStyle="1" w:styleId="SingleTxt">
    <w:name w:val="__Single Txt"/>
    <w:basedOn w:val="Normal"/>
    <w:rsid w:val="00681D9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szCs w:val="20"/>
      <w:lang w:val="en-GB"/>
    </w:rPr>
  </w:style>
  <w:style w:type="character" w:styleId="Hyperlink">
    <w:name w:val="Hyperlink"/>
    <w:basedOn w:val="DefaultParagraphFont"/>
    <w:uiPriority w:val="99"/>
    <w:unhideWhenUsed/>
    <w:rsid w:val="00407DD4"/>
    <w:rPr>
      <w:color w:val="0563C1" w:themeColor="hyperlink"/>
      <w:u w:val="single"/>
    </w:rPr>
  </w:style>
  <w:style w:type="character" w:customStyle="1" w:styleId="UnresolvedMention">
    <w:name w:val="Unresolved Mention"/>
    <w:basedOn w:val="DefaultParagraphFont"/>
    <w:uiPriority w:val="99"/>
    <w:semiHidden/>
    <w:unhideWhenUsed/>
    <w:rsid w:val="00407DD4"/>
    <w:rPr>
      <w:color w:val="605E5C"/>
      <w:shd w:val="clear" w:color="auto" w:fill="E1DFDD"/>
    </w:rPr>
  </w:style>
  <w:style w:type="paragraph" w:styleId="EndnoteText">
    <w:name w:val="endnote text"/>
    <w:basedOn w:val="Normal"/>
    <w:link w:val="EndnoteTextChar"/>
    <w:uiPriority w:val="99"/>
    <w:semiHidden/>
    <w:unhideWhenUsed/>
    <w:rsid w:val="004D2B4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D2B46"/>
    <w:rPr>
      <w:sz w:val="20"/>
      <w:szCs w:val="20"/>
    </w:rPr>
  </w:style>
  <w:style w:type="character" w:styleId="EndnoteReference">
    <w:name w:val="endnote reference"/>
    <w:basedOn w:val="DefaultParagraphFont"/>
    <w:uiPriority w:val="99"/>
    <w:semiHidden/>
    <w:unhideWhenUsed/>
    <w:rsid w:val="004D2B46"/>
    <w:rPr>
      <w:vertAlign w:val="superscript"/>
    </w:rPr>
  </w:style>
  <w:style w:type="paragraph" w:styleId="ListParagraph">
    <w:name w:val="List Paragraph"/>
    <w:aliases w:val="List Paragraph1,List Paragraph11,Bullet point,Recommendation,List Paragraph Number,figure text numbered,L,CV text,Table text,F5 List Paragraph,Dot pt,Medium Grid 1 - Accent 21,Numbered Paragraph,List Paragraph111,List Paragraph2"/>
    <w:basedOn w:val="Normal"/>
    <w:link w:val="ListParagraphChar"/>
    <w:uiPriority w:val="34"/>
    <w:qFormat/>
    <w:rsid w:val="00A77D71"/>
    <w:pPr>
      <w:spacing w:after="120" w:line="264" w:lineRule="auto"/>
      <w:ind w:left="720"/>
      <w:contextualSpacing/>
    </w:pPr>
    <w:rPr>
      <w:rFonts w:eastAsiaTheme="minorEastAsia"/>
      <w:sz w:val="21"/>
      <w:szCs w:val="21"/>
      <w:lang w:val="en-US" w:eastAsia="ja-JP"/>
    </w:rPr>
  </w:style>
  <w:style w:type="paragraph" w:customStyle="1" w:styleId="Bullet">
    <w:name w:val="Bullet"/>
    <w:basedOn w:val="Normal"/>
    <w:rsid w:val="00A77D71"/>
    <w:pPr>
      <w:keepLines/>
      <w:numPr>
        <w:numId w:val="6"/>
      </w:numPr>
      <w:spacing w:after="240" w:line="260" w:lineRule="exact"/>
      <w:jc w:val="both"/>
    </w:pPr>
    <w:rPr>
      <w:rFonts w:ascii="Book Antiqua" w:eastAsia="Times New Roman" w:hAnsi="Book Antiqua" w:cs="Times New Roman"/>
      <w:sz w:val="20"/>
      <w:szCs w:val="20"/>
      <w:lang w:eastAsia="en-AU"/>
    </w:rPr>
  </w:style>
  <w:style w:type="paragraph" w:customStyle="1" w:styleId="DoubleDot">
    <w:name w:val="Double Dot"/>
    <w:basedOn w:val="Bullet"/>
    <w:rsid w:val="00A77D71"/>
    <w:pPr>
      <w:numPr>
        <w:ilvl w:val="2"/>
      </w:numPr>
    </w:pPr>
  </w:style>
  <w:style w:type="paragraph" w:customStyle="1" w:styleId="Dash">
    <w:name w:val="Dash"/>
    <w:basedOn w:val="Bullet"/>
    <w:rsid w:val="00A77D71"/>
    <w:pPr>
      <w:numPr>
        <w:ilvl w:val="1"/>
      </w:numPr>
    </w:pPr>
  </w:style>
  <w:style w:type="paragraph" w:styleId="NormalWeb">
    <w:name w:val="Normal (Web)"/>
    <w:basedOn w:val="Normal"/>
    <w:uiPriority w:val="99"/>
    <w:unhideWhenUsed/>
    <w:rsid w:val="0014184E"/>
    <w:pPr>
      <w:spacing w:before="100" w:beforeAutospacing="1" w:after="240" w:line="240" w:lineRule="auto"/>
    </w:pPr>
    <w:rPr>
      <w:rFonts w:ascii="Times New Roman" w:eastAsia="Times New Roman" w:hAnsi="Times New Roman" w:cs="Times New Roman"/>
      <w:sz w:val="24"/>
      <w:szCs w:val="24"/>
      <w:lang w:eastAsia="en-AU"/>
    </w:rPr>
  </w:style>
  <w:style w:type="paragraph" w:styleId="Header">
    <w:name w:val="header"/>
    <w:basedOn w:val="Normal"/>
    <w:link w:val="HeaderChar"/>
    <w:uiPriority w:val="99"/>
    <w:unhideWhenUsed/>
    <w:rsid w:val="00301513"/>
    <w:pPr>
      <w:tabs>
        <w:tab w:val="center" w:pos="4513"/>
        <w:tab w:val="right" w:pos="9026"/>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uiPriority w:val="99"/>
    <w:rsid w:val="00301513"/>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301513"/>
    <w:pPr>
      <w:tabs>
        <w:tab w:val="center" w:pos="4513"/>
        <w:tab w:val="right" w:pos="902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301513"/>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301513"/>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uiPriority w:val="99"/>
    <w:semiHidden/>
    <w:rsid w:val="00301513"/>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301513"/>
    <w:rPr>
      <w:vertAlign w:val="superscript"/>
    </w:rPr>
  </w:style>
  <w:style w:type="character" w:customStyle="1" w:styleId="ListParagraphChar">
    <w:name w:val="List Paragraph Char"/>
    <w:aliases w:val="List Paragraph1 Char,List Paragraph11 Char,Bullet point Char,Recommendation Char,List Paragraph Number Char,figure text numbered Char,L Char,CV text Char,Table text Char,F5 List Paragraph Char,Dot pt Char,Numbered Paragraph Char"/>
    <w:link w:val="ListParagraph"/>
    <w:uiPriority w:val="34"/>
    <w:locked/>
    <w:rsid w:val="00301513"/>
    <w:rPr>
      <w:rFonts w:eastAsiaTheme="minorEastAsia"/>
      <w:sz w:val="21"/>
      <w:szCs w:val="21"/>
      <w:lang w:val="en-US" w:eastAsia="ja-JP"/>
    </w:rPr>
  </w:style>
  <w:style w:type="paragraph" w:styleId="NoSpacing">
    <w:name w:val="No Spacing"/>
    <w:uiPriority w:val="1"/>
    <w:qFormat/>
    <w:rsid w:val="00301513"/>
    <w:pPr>
      <w:spacing w:after="0" w:line="240" w:lineRule="auto"/>
    </w:pPr>
    <w:rPr>
      <w:rFonts w:ascii="Times New Roman" w:eastAsia="Times New Roman" w:hAnsi="Times New Roman" w:cs="Times New Roman"/>
      <w:sz w:val="24"/>
      <w:szCs w:val="24"/>
      <w:lang w:eastAsia="en-GB"/>
    </w:rPr>
  </w:style>
  <w:style w:type="table" w:styleId="ListTable7Colorful-Accent4">
    <w:name w:val="List Table 7 Colorful Accent 4"/>
    <w:basedOn w:val="TableNormal"/>
    <w:uiPriority w:val="52"/>
    <w:rsid w:val="00301513"/>
    <w:pPr>
      <w:spacing w:after="0" w:line="240" w:lineRule="auto"/>
    </w:pPr>
    <w:rPr>
      <w:color w:val="7030A0"/>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Emphasis">
    <w:name w:val="Emphasis"/>
    <w:basedOn w:val="DefaultParagraphFont"/>
    <w:uiPriority w:val="20"/>
    <w:qFormat/>
    <w:rsid w:val="005526DA"/>
    <w:rPr>
      <w:i/>
      <w:iCs/>
    </w:rPr>
  </w:style>
  <w:style w:type="character" w:styleId="FollowedHyperlink">
    <w:name w:val="FollowedHyperlink"/>
    <w:basedOn w:val="DefaultParagraphFont"/>
    <w:uiPriority w:val="99"/>
    <w:semiHidden/>
    <w:unhideWhenUsed/>
    <w:rsid w:val="00812674"/>
    <w:rPr>
      <w:color w:val="954F72" w:themeColor="followedHyperlink"/>
      <w:u w:val="single"/>
    </w:rPr>
  </w:style>
  <w:style w:type="character" w:styleId="CommentReference">
    <w:name w:val="annotation reference"/>
    <w:basedOn w:val="DefaultParagraphFont"/>
    <w:uiPriority w:val="99"/>
    <w:semiHidden/>
    <w:unhideWhenUsed/>
    <w:rsid w:val="001C4E6B"/>
    <w:rPr>
      <w:sz w:val="16"/>
      <w:szCs w:val="16"/>
    </w:rPr>
  </w:style>
  <w:style w:type="paragraph" w:styleId="CommentText">
    <w:name w:val="annotation text"/>
    <w:basedOn w:val="Normal"/>
    <w:link w:val="CommentTextChar"/>
    <w:uiPriority w:val="99"/>
    <w:semiHidden/>
    <w:unhideWhenUsed/>
    <w:rsid w:val="001C4E6B"/>
    <w:pPr>
      <w:spacing w:line="240" w:lineRule="auto"/>
    </w:pPr>
    <w:rPr>
      <w:sz w:val="20"/>
      <w:szCs w:val="20"/>
    </w:rPr>
  </w:style>
  <w:style w:type="character" w:customStyle="1" w:styleId="CommentTextChar">
    <w:name w:val="Comment Text Char"/>
    <w:basedOn w:val="DefaultParagraphFont"/>
    <w:link w:val="CommentText"/>
    <w:uiPriority w:val="99"/>
    <w:semiHidden/>
    <w:rsid w:val="001C4E6B"/>
    <w:rPr>
      <w:sz w:val="20"/>
      <w:szCs w:val="20"/>
    </w:rPr>
  </w:style>
  <w:style w:type="paragraph" w:styleId="CommentSubject">
    <w:name w:val="annotation subject"/>
    <w:basedOn w:val="CommentText"/>
    <w:next w:val="CommentText"/>
    <w:link w:val="CommentSubjectChar"/>
    <w:uiPriority w:val="99"/>
    <w:semiHidden/>
    <w:unhideWhenUsed/>
    <w:rsid w:val="001C4E6B"/>
    <w:rPr>
      <w:b/>
      <w:bCs/>
    </w:rPr>
  </w:style>
  <w:style w:type="character" w:customStyle="1" w:styleId="CommentSubjectChar">
    <w:name w:val="Comment Subject Char"/>
    <w:basedOn w:val="CommentTextChar"/>
    <w:link w:val="CommentSubject"/>
    <w:uiPriority w:val="99"/>
    <w:semiHidden/>
    <w:rsid w:val="001C4E6B"/>
    <w:rPr>
      <w:b/>
      <w:bCs/>
      <w:sz w:val="20"/>
      <w:szCs w:val="20"/>
    </w:rPr>
  </w:style>
  <w:style w:type="paragraph" w:styleId="BalloonText">
    <w:name w:val="Balloon Text"/>
    <w:basedOn w:val="Normal"/>
    <w:link w:val="BalloonTextChar"/>
    <w:uiPriority w:val="99"/>
    <w:semiHidden/>
    <w:unhideWhenUsed/>
    <w:rsid w:val="001C4E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E6B"/>
    <w:rPr>
      <w:rFonts w:ascii="Segoe UI" w:hAnsi="Segoe UI" w:cs="Segoe UI"/>
      <w:sz w:val="18"/>
      <w:szCs w:val="18"/>
    </w:rPr>
  </w:style>
  <w:style w:type="character" w:customStyle="1" w:styleId="Heading3Char">
    <w:name w:val="Heading 3 Char"/>
    <w:basedOn w:val="DefaultParagraphFont"/>
    <w:link w:val="Heading3"/>
    <w:uiPriority w:val="9"/>
    <w:rsid w:val="00A7396A"/>
    <w:rPr>
      <w:rFonts w:ascii="Times New Roman" w:eastAsia="Times New Roman" w:hAnsi="Times New Roman" w:cs="Times New Roman"/>
      <w:b/>
      <w:bCs/>
      <w:sz w:val="27"/>
      <w:szCs w:val="27"/>
      <w:lang w:eastAsia="en-AU"/>
    </w:rPr>
  </w:style>
  <w:style w:type="paragraph" w:customStyle="1" w:styleId="mditem">
    <w:name w:val="mditem"/>
    <w:basedOn w:val="Normal"/>
    <w:rsid w:val="00851104"/>
    <w:pPr>
      <w:spacing w:before="100"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576214">
      <w:bodyDiv w:val="1"/>
      <w:marLeft w:val="0"/>
      <w:marRight w:val="0"/>
      <w:marTop w:val="0"/>
      <w:marBottom w:val="0"/>
      <w:divBdr>
        <w:top w:val="none" w:sz="0" w:space="0" w:color="auto"/>
        <w:left w:val="none" w:sz="0" w:space="0" w:color="auto"/>
        <w:bottom w:val="none" w:sz="0" w:space="0" w:color="auto"/>
        <w:right w:val="none" w:sz="0" w:space="0" w:color="auto"/>
      </w:divBdr>
    </w:div>
    <w:div w:id="268003646">
      <w:bodyDiv w:val="1"/>
      <w:marLeft w:val="0"/>
      <w:marRight w:val="0"/>
      <w:marTop w:val="0"/>
      <w:marBottom w:val="0"/>
      <w:divBdr>
        <w:top w:val="none" w:sz="0" w:space="0" w:color="auto"/>
        <w:left w:val="none" w:sz="0" w:space="0" w:color="auto"/>
        <w:bottom w:val="none" w:sz="0" w:space="0" w:color="auto"/>
        <w:right w:val="none" w:sz="0" w:space="0" w:color="auto"/>
      </w:divBdr>
    </w:div>
    <w:div w:id="687562517">
      <w:bodyDiv w:val="1"/>
      <w:marLeft w:val="0"/>
      <w:marRight w:val="0"/>
      <w:marTop w:val="0"/>
      <w:marBottom w:val="0"/>
      <w:divBdr>
        <w:top w:val="none" w:sz="0" w:space="0" w:color="auto"/>
        <w:left w:val="none" w:sz="0" w:space="0" w:color="auto"/>
        <w:bottom w:val="none" w:sz="0" w:space="0" w:color="auto"/>
        <w:right w:val="none" w:sz="0" w:space="0" w:color="auto"/>
      </w:divBdr>
    </w:div>
    <w:div w:id="754516184">
      <w:bodyDiv w:val="1"/>
      <w:marLeft w:val="0"/>
      <w:marRight w:val="0"/>
      <w:marTop w:val="0"/>
      <w:marBottom w:val="0"/>
      <w:divBdr>
        <w:top w:val="none" w:sz="0" w:space="0" w:color="auto"/>
        <w:left w:val="none" w:sz="0" w:space="0" w:color="auto"/>
        <w:bottom w:val="none" w:sz="0" w:space="0" w:color="auto"/>
        <w:right w:val="none" w:sz="0" w:space="0" w:color="auto"/>
      </w:divBdr>
    </w:div>
    <w:div w:id="813642840">
      <w:bodyDiv w:val="1"/>
      <w:marLeft w:val="0"/>
      <w:marRight w:val="0"/>
      <w:marTop w:val="0"/>
      <w:marBottom w:val="0"/>
      <w:divBdr>
        <w:top w:val="none" w:sz="0" w:space="0" w:color="auto"/>
        <w:left w:val="none" w:sz="0" w:space="0" w:color="auto"/>
        <w:bottom w:val="none" w:sz="0" w:space="0" w:color="auto"/>
        <w:right w:val="none" w:sz="0" w:space="0" w:color="auto"/>
      </w:divBdr>
    </w:div>
    <w:div w:id="853692928">
      <w:bodyDiv w:val="1"/>
      <w:marLeft w:val="0"/>
      <w:marRight w:val="0"/>
      <w:marTop w:val="0"/>
      <w:marBottom w:val="0"/>
      <w:divBdr>
        <w:top w:val="none" w:sz="0" w:space="0" w:color="auto"/>
        <w:left w:val="none" w:sz="0" w:space="0" w:color="auto"/>
        <w:bottom w:val="none" w:sz="0" w:space="0" w:color="auto"/>
        <w:right w:val="none" w:sz="0" w:space="0" w:color="auto"/>
      </w:divBdr>
    </w:div>
    <w:div w:id="940799322">
      <w:bodyDiv w:val="1"/>
      <w:marLeft w:val="0"/>
      <w:marRight w:val="0"/>
      <w:marTop w:val="0"/>
      <w:marBottom w:val="0"/>
      <w:divBdr>
        <w:top w:val="none" w:sz="0" w:space="0" w:color="auto"/>
        <w:left w:val="none" w:sz="0" w:space="0" w:color="auto"/>
        <w:bottom w:val="none" w:sz="0" w:space="0" w:color="auto"/>
        <w:right w:val="none" w:sz="0" w:space="0" w:color="auto"/>
      </w:divBdr>
    </w:div>
    <w:div w:id="1205144812">
      <w:bodyDiv w:val="1"/>
      <w:marLeft w:val="0"/>
      <w:marRight w:val="0"/>
      <w:marTop w:val="0"/>
      <w:marBottom w:val="0"/>
      <w:divBdr>
        <w:top w:val="none" w:sz="0" w:space="0" w:color="auto"/>
        <w:left w:val="none" w:sz="0" w:space="0" w:color="auto"/>
        <w:bottom w:val="none" w:sz="0" w:space="0" w:color="auto"/>
        <w:right w:val="none" w:sz="0" w:space="0" w:color="auto"/>
      </w:divBdr>
    </w:div>
    <w:div w:id="1214386105">
      <w:bodyDiv w:val="1"/>
      <w:marLeft w:val="0"/>
      <w:marRight w:val="0"/>
      <w:marTop w:val="0"/>
      <w:marBottom w:val="0"/>
      <w:divBdr>
        <w:top w:val="none" w:sz="0" w:space="0" w:color="auto"/>
        <w:left w:val="none" w:sz="0" w:space="0" w:color="auto"/>
        <w:bottom w:val="none" w:sz="0" w:space="0" w:color="auto"/>
        <w:right w:val="none" w:sz="0" w:space="0" w:color="auto"/>
      </w:divBdr>
      <w:divsChild>
        <w:div w:id="530336319">
          <w:marLeft w:val="0"/>
          <w:marRight w:val="0"/>
          <w:marTop w:val="0"/>
          <w:marBottom w:val="0"/>
          <w:divBdr>
            <w:top w:val="single" w:sz="6" w:space="0" w:color="E4E4E4"/>
            <w:left w:val="single" w:sz="6" w:space="0" w:color="E4E4E4"/>
            <w:bottom w:val="single" w:sz="6" w:space="0" w:color="E4E4E4"/>
            <w:right w:val="single" w:sz="6" w:space="0" w:color="E4E4E4"/>
          </w:divBdr>
          <w:divsChild>
            <w:div w:id="36854574">
              <w:marLeft w:val="0"/>
              <w:marRight w:val="0"/>
              <w:marTop w:val="0"/>
              <w:marBottom w:val="0"/>
              <w:divBdr>
                <w:top w:val="none" w:sz="0" w:space="0" w:color="auto"/>
                <w:left w:val="none" w:sz="0" w:space="0" w:color="auto"/>
                <w:bottom w:val="none" w:sz="0" w:space="0" w:color="auto"/>
                <w:right w:val="none" w:sz="0" w:space="0" w:color="auto"/>
              </w:divBdr>
            </w:div>
          </w:divsChild>
        </w:div>
        <w:div w:id="1847472954">
          <w:marLeft w:val="0"/>
          <w:marRight w:val="0"/>
          <w:marTop w:val="0"/>
          <w:marBottom w:val="0"/>
          <w:divBdr>
            <w:top w:val="single" w:sz="6" w:space="0" w:color="E4E4E4"/>
            <w:left w:val="single" w:sz="6" w:space="0" w:color="E4E4E4"/>
            <w:bottom w:val="single" w:sz="6" w:space="0" w:color="E4E4E4"/>
            <w:right w:val="single" w:sz="6" w:space="0" w:color="E4E4E4"/>
          </w:divBdr>
          <w:divsChild>
            <w:div w:id="334235999">
              <w:marLeft w:val="0"/>
              <w:marRight w:val="0"/>
              <w:marTop w:val="0"/>
              <w:marBottom w:val="0"/>
              <w:divBdr>
                <w:top w:val="none" w:sz="0" w:space="0" w:color="auto"/>
                <w:left w:val="none" w:sz="0" w:space="0" w:color="auto"/>
                <w:bottom w:val="none" w:sz="0" w:space="0" w:color="auto"/>
                <w:right w:val="none" w:sz="0" w:space="0" w:color="auto"/>
              </w:divBdr>
            </w:div>
            <w:div w:id="1424112153">
              <w:marLeft w:val="0"/>
              <w:marRight w:val="0"/>
              <w:marTop w:val="0"/>
              <w:marBottom w:val="0"/>
              <w:divBdr>
                <w:top w:val="single" w:sz="6" w:space="0" w:color="E4E4E4"/>
                <w:left w:val="none" w:sz="0" w:space="0" w:color="auto"/>
                <w:bottom w:val="none" w:sz="0" w:space="0" w:color="auto"/>
                <w:right w:val="none" w:sz="0" w:space="0" w:color="auto"/>
              </w:divBdr>
            </w:div>
          </w:divsChild>
        </w:div>
      </w:divsChild>
    </w:div>
    <w:div w:id="1331711994">
      <w:bodyDiv w:val="1"/>
      <w:marLeft w:val="0"/>
      <w:marRight w:val="0"/>
      <w:marTop w:val="0"/>
      <w:marBottom w:val="0"/>
      <w:divBdr>
        <w:top w:val="none" w:sz="0" w:space="0" w:color="auto"/>
        <w:left w:val="none" w:sz="0" w:space="0" w:color="auto"/>
        <w:bottom w:val="none" w:sz="0" w:space="0" w:color="auto"/>
        <w:right w:val="none" w:sz="0" w:space="0" w:color="auto"/>
      </w:divBdr>
    </w:div>
    <w:div w:id="1417902655">
      <w:bodyDiv w:val="1"/>
      <w:marLeft w:val="0"/>
      <w:marRight w:val="0"/>
      <w:marTop w:val="0"/>
      <w:marBottom w:val="0"/>
      <w:divBdr>
        <w:top w:val="none" w:sz="0" w:space="0" w:color="auto"/>
        <w:left w:val="none" w:sz="0" w:space="0" w:color="auto"/>
        <w:bottom w:val="none" w:sz="0" w:space="0" w:color="auto"/>
        <w:right w:val="none" w:sz="0" w:space="0" w:color="auto"/>
      </w:divBdr>
    </w:div>
    <w:div w:id="1733654880">
      <w:bodyDiv w:val="1"/>
      <w:marLeft w:val="0"/>
      <w:marRight w:val="0"/>
      <w:marTop w:val="0"/>
      <w:marBottom w:val="0"/>
      <w:divBdr>
        <w:top w:val="none" w:sz="0" w:space="0" w:color="auto"/>
        <w:left w:val="none" w:sz="0" w:space="0" w:color="auto"/>
        <w:bottom w:val="none" w:sz="0" w:space="0" w:color="auto"/>
        <w:right w:val="none" w:sz="0" w:space="0" w:color="auto"/>
      </w:divBdr>
    </w:div>
    <w:div w:id="1737508359">
      <w:bodyDiv w:val="1"/>
      <w:marLeft w:val="0"/>
      <w:marRight w:val="0"/>
      <w:marTop w:val="0"/>
      <w:marBottom w:val="0"/>
      <w:divBdr>
        <w:top w:val="none" w:sz="0" w:space="0" w:color="auto"/>
        <w:left w:val="none" w:sz="0" w:space="0" w:color="auto"/>
        <w:bottom w:val="none" w:sz="0" w:space="0" w:color="auto"/>
        <w:right w:val="none" w:sz="0" w:space="0" w:color="auto"/>
      </w:divBdr>
    </w:div>
    <w:div w:id="1789620457">
      <w:bodyDiv w:val="1"/>
      <w:marLeft w:val="0"/>
      <w:marRight w:val="0"/>
      <w:marTop w:val="0"/>
      <w:marBottom w:val="0"/>
      <w:divBdr>
        <w:top w:val="none" w:sz="0" w:space="0" w:color="auto"/>
        <w:left w:val="none" w:sz="0" w:space="0" w:color="auto"/>
        <w:bottom w:val="none" w:sz="0" w:space="0" w:color="auto"/>
        <w:right w:val="none" w:sz="0" w:space="0" w:color="auto"/>
      </w:divBdr>
    </w:div>
    <w:div w:id="1854685440">
      <w:bodyDiv w:val="1"/>
      <w:marLeft w:val="0"/>
      <w:marRight w:val="0"/>
      <w:marTop w:val="0"/>
      <w:marBottom w:val="0"/>
      <w:divBdr>
        <w:top w:val="none" w:sz="0" w:space="0" w:color="auto"/>
        <w:left w:val="none" w:sz="0" w:space="0" w:color="auto"/>
        <w:bottom w:val="none" w:sz="0" w:space="0" w:color="auto"/>
        <w:right w:val="none" w:sz="0" w:space="0" w:color="auto"/>
      </w:divBdr>
    </w:div>
    <w:div w:id="1880431511">
      <w:bodyDiv w:val="1"/>
      <w:marLeft w:val="0"/>
      <w:marRight w:val="0"/>
      <w:marTop w:val="0"/>
      <w:marBottom w:val="0"/>
      <w:divBdr>
        <w:top w:val="none" w:sz="0" w:space="0" w:color="auto"/>
        <w:left w:val="none" w:sz="0" w:space="0" w:color="auto"/>
        <w:bottom w:val="none" w:sz="0" w:space="0" w:color="auto"/>
        <w:right w:val="none" w:sz="0" w:space="0" w:color="auto"/>
      </w:divBdr>
    </w:div>
    <w:div w:id="195382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mc.gov.au/sites/default/files/publications/womens-economic-security-statement-2018.pdf" TargetMode="External"/><Relationship Id="rId18" Type="http://schemas.openxmlformats.org/officeDocument/2006/relationships/image" Target="media/image3.jpeg"/><Relationship Id="rId26" Type="http://schemas.openxmlformats.org/officeDocument/2006/relationships/image" Target="media/image11.jpeg"/><Relationship Id="rId21" Type="http://schemas.openxmlformats.org/officeDocument/2006/relationships/image" Target="media/image6.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mc.gov.au/sites/default/files/images/wess/wess-2020-report.pdf" TargetMode="External"/><Relationship Id="rId17" Type="http://schemas.openxmlformats.org/officeDocument/2006/relationships/image" Target="media/image2.png"/><Relationship Id="rId25" Type="http://schemas.openxmlformats.org/officeDocument/2006/relationships/image" Target="media/image10.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jpeg"/><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lurustatement.org/the-statement" TargetMode="External"/><Relationship Id="rId24" Type="http://schemas.openxmlformats.org/officeDocument/2006/relationships/image" Target="media/image9.jpeg"/><Relationship Id="rId32" Type="http://schemas.openxmlformats.org/officeDocument/2006/relationships/header" Target="header1.xml"/><Relationship Id="rId37"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www.parliament.wa.gov.au/parliament/bills.nsf/BillProgressPopup?openForm&amp;ParentUNID=8378735309EE76E448258600002E73DE" TargetMode="External"/><Relationship Id="rId23" Type="http://schemas.openxmlformats.org/officeDocument/2006/relationships/image" Target="media/image8.jpeg"/><Relationship Id="rId28" Type="http://schemas.openxmlformats.org/officeDocument/2006/relationships/image" Target="media/image13.png"/><Relationship Id="rId36" Type="http://schemas.openxmlformats.org/officeDocument/2006/relationships/customXml" Target="../customXml/item3.xml"/><Relationship Id="rId10" Type="http://schemas.openxmlformats.org/officeDocument/2006/relationships/hyperlink" Target="https://humanrights.gov.au/our-work/aboriginal-and-torres-strait-islander-social-justice/projects/northern-territory-emergency" TargetMode="External"/><Relationship Id="rId19" Type="http://schemas.openxmlformats.org/officeDocument/2006/relationships/image" Target="media/image4.jpeg"/><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hyperlink" Target="http://natsiwa.org.au/" TargetMode="External"/><Relationship Id="rId14" Type="http://schemas.openxmlformats.org/officeDocument/2006/relationships/hyperlink" Target="https://www.legislation.sa.gov.au/LZ/B/CURRENT/TERMINATION%20OF%20PREGNANCY%20BILL%202020_HON%20MICHELLE%20LENSINK%20MLC.aspx" TargetMode="Externa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image" Target="media/image15.png"/><Relationship Id="rId35" Type="http://schemas.openxmlformats.org/officeDocument/2006/relationships/customXml" Target="../customXml/item2.xml"/><Relationship Id="rId8" Type="http://schemas.openxmlformats.org/officeDocument/2006/relationships/hyperlink" Target="https://harmonyalliance.org.au/" TargetMode="External"/><Relationship Id="rId3" Type="http://schemas.openxmlformats.org/officeDocument/2006/relationships/styles" Target="styles.xml"/></Relationships>
</file>

<file path=word/_rels/endnotes.xml.rels><?xml version="1.0" encoding="UTF-8" standalone="yes"?>
<Relationships xmlns="http://schemas.openxmlformats.org/package/2006/relationships"><Relationship Id="rId8" Type="http://schemas.openxmlformats.org/officeDocument/2006/relationships/hyperlink" Target="https://www.legislation.vic.gov.au/as-made/acts/gender-equality-act-2020" TargetMode="External"/><Relationship Id="rId13" Type="http://schemas.openxmlformats.org/officeDocument/2006/relationships/hyperlink" Target="https://awava.org.au/wp-content/uploads/2020/10/Safe-Access-Zones-in-Australia.pdf" TargetMode="External"/><Relationship Id="rId18" Type="http://schemas.openxmlformats.org/officeDocument/2006/relationships/hyperlink" Target="https://www.asyluminsight.com/statistics" TargetMode="External"/><Relationship Id="rId3" Type="http://schemas.openxmlformats.org/officeDocument/2006/relationships/hyperlink" Target="https://parlinfo.aph.gov.au/parlInfo/search/display/display.w3p;db=COMMITTEES;id=committees%2Festimate%2Fa1ae9e40-73dd-4b84-8309-ee11c9cfbe09%2F0002;query=Id%3A%22committees%2Festimate%2Fa1ae9e40-73dd-4b84-8309-ee11c9cfbe09%2F0001%22" TargetMode="External"/><Relationship Id="rId7" Type="http://schemas.openxmlformats.org/officeDocument/2006/relationships/hyperlink" Target="https://nfaw.org/gender-lens-on-the-budget/gender-lens-on-the-budget-2020-2021/" TargetMode="External"/><Relationship Id="rId12" Type="http://schemas.openxmlformats.org/officeDocument/2006/relationships/hyperlink" Target="https://www.sahealth.sa.gov.au/wps/wcm/connect/5a2705b2-1034-4c1b-8420-095d076a28bf/Pregnancy+Outcome+in+South+Australia+2017+V1+Feb.pdf?MOD=AJPERES&amp;amp;CACHEID=ROOTWORKSPACE-5a2705b2-1034-4c1b-8420-095d076a28bf-niRlNXa" TargetMode="External"/><Relationship Id="rId17" Type="http://schemas.openxmlformats.org/officeDocument/2006/relationships/hyperlink" Target="https://www.refugeecouncil.org.au/detention-australia-statistics/7/" TargetMode="External"/><Relationship Id="rId2" Type="http://schemas.openxmlformats.org/officeDocument/2006/relationships/hyperlink" Target="http://www.wlsa.org.au/media_releases/dv_advocates_welcome_much_needed_funding_for_legal_assistance_services" TargetMode="External"/><Relationship Id="rId16" Type="http://schemas.openxmlformats.org/officeDocument/2006/relationships/hyperlink" Target="https://www.refugeecouncil.org.au/detention-australia-statistics/2/" TargetMode="External"/><Relationship Id="rId1" Type="http://schemas.openxmlformats.org/officeDocument/2006/relationships/hyperlink" Target="https://humanrights.gov.au/our-work/constitutional-reform-fact-sheet-recognising-aboriginal-torres-strait-islander-people" TargetMode="External"/><Relationship Id="rId6" Type="http://schemas.openxmlformats.org/officeDocument/2006/relationships/hyperlink" Target="http://www.oecd.org/development/financing-sustainable-development/development-finance-topics/Aid-to-gender-equality-donor-charts-2020.pdf" TargetMode="External"/><Relationship Id="rId11" Type="http://schemas.openxmlformats.org/officeDocument/2006/relationships/hyperlink" Target="https://www.abc.net.au/news/2019-05-03/abortion-access-depends-on-postcode-and-income/11073648" TargetMode="External"/><Relationship Id="rId5" Type="http://schemas.openxmlformats.org/officeDocument/2006/relationships/hyperlink" Target="https://www.dfat.gov.au/sites/default/files/performance-of-australian-aid-2018-19.pdf" TargetMode="External"/><Relationship Id="rId15" Type="http://schemas.openxmlformats.org/officeDocument/2006/relationships/hyperlink" Target="https://www.abc.net.au/news/2020-02-29/australian-schools-on-how-they-teach-kids-consent/11969964" TargetMode="External"/><Relationship Id="rId10" Type="http://schemas.openxmlformats.org/officeDocument/2006/relationships/hyperlink" Target="https://findanexpert.unimelb.edu.au/news/9075-early-medical-abortion-is-legal-across-australia-but-rural-women-often-don't-have-access-to-it" TargetMode="External"/><Relationship Id="rId19" Type="http://schemas.openxmlformats.org/officeDocument/2006/relationships/hyperlink" Target="https://www.refugeecouncil.org.au/nauru-report/6/" TargetMode="External"/><Relationship Id="rId4" Type="http://schemas.openxmlformats.org/officeDocument/2006/relationships/hyperlink" Target="https://parlinfo.aph.gov.au/parlInfo/search/display/display.w3p;db=COMMITTEES;id=committees%2Fcommsen%2F2b3e9814-f02c-4753-87b5-d2351761bd4e%2F0001;query=Id%3A%22committees%2Fcommsen%2F2b3e9814-f02c-4753-87b5-d2351761bd4e%2F0000%22" TargetMode="External"/><Relationship Id="rId9" Type="http://schemas.openxmlformats.org/officeDocument/2006/relationships/hyperlink" Target="https://findanexpert.unimelb.edu.au/news/9075-early-medical-abortion-is-legal-across-australia-but-rural-women-often-don't-have-access-to-it" TargetMode="External"/><Relationship Id="rId14" Type="http://schemas.openxmlformats.org/officeDocument/2006/relationships/hyperlink" Target="https://www.australiancurriculum.edu.au/f-10-curriculum/health-and-physical-education/structure/"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2.png"/><Relationship Id="rId1" Type="http://schemas.openxmlformats.org/officeDocument/2006/relationships/image" Target="media/image1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60472D-2BA5-49CD-87B3-AC87EE68ACBA}">
  <ds:schemaRefs>
    <ds:schemaRef ds:uri="http://schemas.openxmlformats.org/officeDocument/2006/bibliography"/>
  </ds:schemaRefs>
</ds:datastoreItem>
</file>

<file path=customXml/itemProps2.xml><?xml version="1.0" encoding="utf-8"?>
<ds:datastoreItem xmlns:ds="http://schemas.openxmlformats.org/officeDocument/2006/customXml" ds:itemID="{8F9EC365-29B3-4166-AAF5-E0972D087950}"/>
</file>

<file path=customXml/itemProps3.xml><?xml version="1.0" encoding="utf-8"?>
<ds:datastoreItem xmlns:ds="http://schemas.openxmlformats.org/officeDocument/2006/customXml" ds:itemID="{F1EF42C6-C590-4257-A8DC-6EDDB8BFFCA5}"/>
</file>

<file path=customXml/itemProps4.xml><?xml version="1.0" encoding="utf-8"?>
<ds:datastoreItem xmlns:ds="http://schemas.openxmlformats.org/officeDocument/2006/customXml" ds:itemID="{C656D9BE-5B6F-4F72-8785-C88358022D18}"/>
</file>

<file path=docProps/app.xml><?xml version="1.0" encoding="utf-8"?>
<Properties xmlns="http://schemas.openxmlformats.org/officeDocument/2006/extended-properties" xmlns:vt="http://schemas.openxmlformats.org/officeDocument/2006/docPropsVTypes">
  <Template>Normal.dotm</Template>
  <TotalTime>2</TotalTime>
  <Pages>12</Pages>
  <Words>3143</Words>
  <Characters>17916</Characters>
  <Application>Microsoft Office Word</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Dalley-Fisher</dc:creator>
  <cp:keywords/>
  <dc:description/>
  <cp:lastModifiedBy>OUKO Robert</cp:lastModifiedBy>
  <cp:revision>2</cp:revision>
  <cp:lastPrinted>2020-01-10T04:12:00Z</cp:lastPrinted>
  <dcterms:created xsi:type="dcterms:W3CDTF">2021-02-15T16:18:00Z</dcterms:created>
  <dcterms:modified xsi:type="dcterms:W3CDTF">2021-02-15T16:18:00Z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