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A93BB" w14:textId="77777777" w:rsidR="008D18E6" w:rsidRDefault="008D18E6" w:rsidP="000D61FE">
      <w:pPr>
        <w:pBdr>
          <w:top w:val="none" w:sz="0" w:space="0" w:color="000000"/>
          <w:left w:val="none" w:sz="0" w:space="0" w:color="000000"/>
          <w:bottom w:val="none" w:sz="0" w:space="0" w:color="000000"/>
          <w:right w:val="none" w:sz="0" w:space="0" w:color="000000"/>
          <w:between w:val="none" w:sz="0" w:space="0" w:color="000000"/>
        </w:pBdr>
        <w:spacing w:before="240" w:after="240"/>
        <w:jc w:val="center"/>
        <w:rPr>
          <w:rFonts w:ascii="Times New Roman" w:eastAsia="Times New Roman" w:hAnsi="Times New Roman" w:cs="Times New Roman"/>
          <w:b/>
          <w:sz w:val="24"/>
          <w:szCs w:val="24"/>
        </w:rPr>
      </w:pPr>
      <w:r w:rsidRPr="008D18E6">
        <w:rPr>
          <w:rFonts w:ascii="Times New Roman" w:eastAsia="Times New Roman" w:hAnsi="Times New Roman" w:cs="Times New Roman"/>
          <w:b/>
          <w:sz w:val="24"/>
          <w:szCs w:val="24"/>
        </w:rPr>
        <w:t>Joint Contribution for the 89th Session of the Convention on the Elimination of All Forms of Discrimination Against Women (CEDAW)</w:t>
      </w:r>
      <w:r w:rsidRPr="008D18E6">
        <w:rPr>
          <w:rFonts w:ascii="Times New Roman" w:eastAsia="Times New Roman" w:hAnsi="Times New Roman" w:cs="Times New Roman"/>
          <w:b/>
          <w:sz w:val="24"/>
          <w:szCs w:val="24"/>
        </w:rPr>
        <w:br/>
      </w:r>
    </w:p>
    <w:p w14:paraId="1420C93D" w14:textId="77777777" w:rsidR="008D18E6" w:rsidRDefault="008D18E6" w:rsidP="000D61FE">
      <w:pPr>
        <w:pBdr>
          <w:top w:val="none" w:sz="0" w:space="0" w:color="000000"/>
          <w:left w:val="none" w:sz="0" w:space="0" w:color="000000"/>
          <w:bottom w:val="none" w:sz="0" w:space="0" w:color="000000"/>
          <w:right w:val="none" w:sz="0" w:space="0" w:color="000000"/>
          <w:between w:val="none" w:sz="0" w:space="0" w:color="000000"/>
        </w:pBdr>
        <w:spacing w:before="240" w:after="240"/>
        <w:jc w:val="center"/>
        <w:rPr>
          <w:rFonts w:ascii="Times New Roman" w:eastAsia="Times New Roman" w:hAnsi="Times New Roman" w:cs="Times New Roman"/>
          <w:b/>
          <w:sz w:val="24"/>
          <w:szCs w:val="24"/>
        </w:rPr>
      </w:pPr>
      <w:r w:rsidRPr="008D18E6">
        <w:rPr>
          <w:rFonts w:ascii="Times New Roman" w:eastAsia="Times New Roman" w:hAnsi="Times New Roman" w:cs="Times New Roman"/>
          <w:b/>
          <w:sz w:val="24"/>
          <w:szCs w:val="24"/>
        </w:rPr>
        <w:t>Cuban Women in Particular Conditions and the Multifactorial Crisis in Cuba</w:t>
      </w:r>
      <w:r w:rsidRPr="008D18E6">
        <w:rPr>
          <w:rFonts w:ascii="Times New Roman" w:eastAsia="Times New Roman" w:hAnsi="Times New Roman" w:cs="Times New Roman"/>
          <w:b/>
          <w:sz w:val="24"/>
          <w:szCs w:val="24"/>
        </w:rPr>
        <w:br/>
      </w:r>
    </w:p>
    <w:p w14:paraId="6F91CFB0" w14:textId="73621086" w:rsidR="008D18E6" w:rsidRPr="008D18E6" w:rsidRDefault="008D18E6" w:rsidP="000D61FE">
      <w:pPr>
        <w:pBdr>
          <w:top w:val="none" w:sz="0" w:space="0" w:color="000000"/>
          <w:left w:val="none" w:sz="0" w:space="0" w:color="000000"/>
          <w:bottom w:val="none" w:sz="0" w:space="0" w:color="000000"/>
          <w:right w:val="none" w:sz="0" w:space="0" w:color="000000"/>
          <w:between w:val="none" w:sz="0" w:space="0" w:color="000000"/>
        </w:pBdr>
        <w:spacing w:before="240" w:after="240"/>
        <w:jc w:val="center"/>
        <w:rPr>
          <w:rFonts w:ascii="Times New Roman" w:eastAsia="Times New Roman" w:hAnsi="Times New Roman" w:cs="Times New Roman"/>
          <w:b/>
          <w:sz w:val="24"/>
          <w:szCs w:val="24"/>
          <w:lang w:val="en-US"/>
        </w:rPr>
      </w:pPr>
      <w:r w:rsidRPr="008D18E6">
        <w:rPr>
          <w:rFonts w:ascii="Times New Roman" w:eastAsia="Times New Roman" w:hAnsi="Times New Roman" w:cs="Times New Roman"/>
          <w:b/>
          <w:sz w:val="24"/>
          <w:szCs w:val="24"/>
        </w:rPr>
        <w:t>Report led by: Cuido60</w:t>
      </w:r>
    </w:p>
    <w:p w14:paraId="2763AC7B" w14:textId="22451946" w:rsidR="008D18E6" w:rsidRPr="008D18E6" w:rsidRDefault="008D18E6" w:rsidP="000D61FE">
      <w:pPr>
        <w:pBdr>
          <w:top w:val="none" w:sz="0" w:space="0" w:color="000000"/>
          <w:left w:val="none" w:sz="0" w:space="0" w:color="000000"/>
          <w:bottom w:val="none" w:sz="0" w:space="0" w:color="000000"/>
          <w:right w:val="none" w:sz="0" w:space="0" w:color="000000"/>
          <w:between w:val="none" w:sz="0" w:space="0" w:color="000000"/>
        </w:pBdr>
        <w:spacing w:before="240" w:after="240"/>
        <w:jc w:val="center"/>
        <w:rPr>
          <w:rFonts w:ascii="Times New Roman" w:eastAsia="Times New Roman" w:hAnsi="Times New Roman" w:cs="Times New Roman"/>
          <w:b/>
          <w:sz w:val="24"/>
          <w:szCs w:val="24"/>
          <w:lang w:val="en-US"/>
        </w:rPr>
      </w:pPr>
      <w:r w:rsidRPr="00C42F59">
        <w:rPr>
          <w:noProof/>
          <w:lang w:val="es-CO"/>
        </w:rPr>
        <w:drawing>
          <wp:anchor distT="114300" distB="114300" distL="114300" distR="114300" simplePos="0" relativeHeight="251665408" behindDoc="0" locked="0" layoutInCell="1" hidden="0" allowOverlap="1" wp14:anchorId="3961CC1F" wp14:editId="5599EB4D">
            <wp:simplePos x="0" y="0"/>
            <wp:positionH relativeFrom="column">
              <wp:posOffset>5001260</wp:posOffset>
            </wp:positionH>
            <wp:positionV relativeFrom="paragraph">
              <wp:posOffset>247258</wp:posOffset>
            </wp:positionV>
            <wp:extent cx="1005726" cy="1005726"/>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05726" cy="1005726"/>
                    </a:xfrm>
                    <a:prstGeom prst="rect">
                      <a:avLst/>
                    </a:prstGeom>
                    <a:ln/>
                  </pic:spPr>
                </pic:pic>
              </a:graphicData>
            </a:graphic>
          </wp:anchor>
        </w:drawing>
      </w:r>
    </w:p>
    <w:p w14:paraId="6986EDE2" w14:textId="4945C598" w:rsidR="000D61FE" w:rsidRPr="008D18E6" w:rsidRDefault="000D61FE" w:rsidP="000D61FE">
      <w:pPr>
        <w:pBdr>
          <w:top w:val="none" w:sz="0" w:space="0" w:color="000000"/>
          <w:left w:val="none" w:sz="0" w:space="0" w:color="000000"/>
          <w:bottom w:val="none" w:sz="0" w:space="0" w:color="000000"/>
          <w:right w:val="none" w:sz="0" w:space="0" w:color="000000"/>
          <w:between w:val="none" w:sz="0" w:space="0" w:color="000000"/>
        </w:pBdr>
        <w:spacing w:before="240" w:after="240"/>
        <w:jc w:val="center"/>
        <w:rPr>
          <w:rFonts w:ascii="Times New Roman" w:eastAsia="Times New Roman" w:hAnsi="Times New Roman" w:cs="Times New Roman"/>
          <w:b/>
          <w:sz w:val="24"/>
          <w:szCs w:val="24"/>
          <w:lang w:val="en-US"/>
        </w:rPr>
      </w:pPr>
      <w:r w:rsidRPr="00C42F59">
        <w:rPr>
          <w:noProof/>
          <w:lang w:val="es-CO"/>
        </w:rPr>
        <w:drawing>
          <wp:anchor distT="0" distB="0" distL="114300" distR="114300" simplePos="0" relativeHeight="251663360" behindDoc="0" locked="0" layoutInCell="1" hidden="0" allowOverlap="1" wp14:anchorId="714BB1D1" wp14:editId="329B5465">
            <wp:simplePos x="0" y="0"/>
            <wp:positionH relativeFrom="column">
              <wp:posOffset>4297747</wp:posOffset>
            </wp:positionH>
            <wp:positionV relativeFrom="paragraph">
              <wp:posOffset>10606</wp:posOffset>
            </wp:positionV>
            <wp:extent cx="809625" cy="658376"/>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809625" cy="658376"/>
                    </a:xfrm>
                    <a:prstGeom prst="rect">
                      <a:avLst/>
                    </a:prstGeom>
                    <a:ln/>
                  </pic:spPr>
                </pic:pic>
              </a:graphicData>
            </a:graphic>
          </wp:anchor>
        </w:drawing>
      </w:r>
      <w:r w:rsidRPr="00C42F59">
        <w:rPr>
          <w:noProof/>
          <w:lang w:val="es-CO"/>
        </w:rPr>
        <w:drawing>
          <wp:anchor distT="114300" distB="114300" distL="114300" distR="114300" simplePos="0" relativeHeight="251661312" behindDoc="0" locked="0" layoutInCell="1" hidden="0" allowOverlap="1" wp14:anchorId="4FAA527E" wp14:editId="4B0EAD6E">
            <wp:simplePos x="0" y="0"/>
            <wp:positionH relativeFrom="column">
              <wp:posOffset>2742783</wp:posOffset>
            </wp:positionH>
            <wp:positionV relativeFrom="paragraph">
              <wp:posOffset>25077</wp:posOffset>
            </wp:positionV>
            <wp:extent cx="1423593" cy="567576"/>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423593" cy="567576"/>
                    </a:xfrm>
                    <a:prstGeom prst="rect">
                      <a:avLst/>
                    </a:prstGeom>
                    <a:ln/>
                  </pic:spPr>
                </pic:pic>
              </a:graphicData>
            </a:graphic>
          </wp:anchor>
        </w:drawing>
      </w:r>
      <w:r>
        <w:rPr>
          <w:b/>
          <w:bCs/>
          <w:noProof/>
          <w:color w:val="000000"/>
          <w:bdr w:val="none" w:sz="0" w:space="0" w:color="auto" w:frame="1"/>
        </w:rPr>
        <w:drawing>
          <wp:anchor distT="0" distB="0" distL="114300" distR="114300" simplePos="0" relativeHeight="251659264" behindDoc="0" locked="0" layoutInCell="1" allowOverlap="1" wp14:anchorId="7DEE9DED" wp14:editId="48BD7B5C">
            <wp:simplePos x="0" y="0"/>
            <wp:positionH relativeFrom="column">
              <wp:posOffset>1097820</wp:posOffset>
            </wp:positionH>
            <wp:positionV relativeFrom="paragraph">
              <wp:posOffset>23495</wp:posOffset>
            </wp:positionV>
            <wp:extent cx="1502415" cy="555833"/>
            <wp:effectExtent l="0" t="0" r="0" b="3175"/>
            <wp:wrapNone/>
            <wp:docPr id="214572289" name="Imagen 2" descr="TODO ES TAN CARO QUE EL SUBSIDIO ES UN ALIVIO Leandro Fernández Si hay ancianos o niños 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DO ES TAN CARO QUE EL SUBSIDIO ES UN ALIVIO Leandro Fernández Si hay ancianos o niños es"/>
                    <pic:cNvPicPr>
                      <a:picLocks noChangeAspect="1" noChangeArrowheads="1"/>
                    </pic:cNvPicPr>
                  </pic:nvPicPr>
                  <pic:blipFill rotWithShape="1">
                    <a:blip r:embed="rId12">
                      <a:extLst>
                        <a:ext uri="{28A0092B-C50C-407E-A947-70E740481C1C}">
                          <a14:useLocalDpi xmlns:a14="http://schemas.microsoft.com/office/drawing/2010/main" val="0"/>
                        </a:ext>
                      </a:extLst>
                    </a:blip>
                    <a:srcRect r="10826" b="16237"/>
                    <a:stretch/>
                  </pic:blipFill>
                  <pic:spPr bwMode="auto">
                    <a:xfrm>
                      <a:off x="0" y="0"/>
                      <a:ext cx="1502415" cy="5558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color w:val="000000"/>
          <w:bdr w:val="none" w:sz="0" w:space="0" w:color="auto" w:frame="1"/>
        </w:rPr>
        <w:drawing>
          <wp:anchor distT="0" distB="0" distL="114300" distR="114300" simplePos="0" relativeHeight="251658240" behindDoc="0" locked="0" layoutInCell="1" allowOverlap="1" wp14:anchorId="27DE7F85" wp14:editId="2125510D">
            <wp:simplePos x="0" y="0"/>
            <wp:positionH relativeFrom="column">
              <wp:posOffset>135966</wp:posOffset>
            </wp:positionH>
            <wp:positionV relativeFrom="paragraph">
              <wp:posOffset>12700</wp:posOffset>
            </wp:positionV>
            <wp:extent cx="813558" cy="552317"/>
            <wp:effectExtent l="0" t="0" r="0" b="0"/>
            <wp:wrapNone/>
            <wp:docPr id="153579718" name="Imagen 1" descr="Cuido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ido6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3558" cy="5523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E0F51" w14:textId="769EA57E" w:rsidR="000D61FE" w:rsidRPr="008D18E6" w:rsidRDefault="000D61FE" w:rsidP="000D61FE">
      <w:pPr>
        <w:pBdr>
          <w:top w:val="none" w:sz="0" w:space="0" w:color="000000"/>
          <w:left w:val="none" w:sz="0" w:space="0" w:color="000000"/>
          <w:bottom w:val="none" w:sz="0" w:space="0" w:color="000000"/>
          <w:right w:val="none" w:sz="0" w:space="0" w:color="000000"/>
          <w:between w:val="none" w:sz="0" w:space="0" w:color="000000"/>
        </w:pBdr>
        <w:spacing w:before="240" w:after="240"/>
        <w:jc w:val="center"/>
        <w:rPr>
          <w:rFonts w:ascii="Times New Roman" w:eastAsia="Times New Roman" w:hAnsi="Times New Roman" w:cs="Times New Roman"/>
          <w:b/>
          <w:sz w:val="24"/>
          <w:szCs w:val="24"/>
          <w:lang w:val="en-US"/>
        </w:rPr>
      </w:pPr>
      <w:r>
        <w:rPr>
          <w:b/>
          <w:bCs/>
          <w:color w:val="000000"/>
          <w:bdr w:val="none" w:sz="0" w:space="0" w:color="auto" w:frame="1"/>
        </w:rPr>
        <w:fldChar w:fldCharType="begin"/>
      </w:r>
      <w:r w:rsidRPr="008D18E6">
        <w:rPr>
          <w:b/>
          <w:bCs/>
          <w:color w:val="000000"/>
          <w:bdr w:val="none" w:sz="0" w:space="0" w:color="auto" w:frame="1"/>
          <w:lang w:val="en-US"/>
        </w:rPr>
        <w:instrText xml:space="preserve"> INCLUDEPICTURE "https://lh7-rt.googleusercontent.com/docsz/AD_4nXfRlyc-KPPelKR6qUMbE6fDLqPa1A2StPwDbrqn1oaIpzkc8PKK6G7FYN_dRIVYAZ6AUOlKEz4qQPm-5n_8WbomSnw-n7JFWllxcGTuuE-1_lS8kjUpj4MNc7I5BgkVjWrk-Maqb_FJ6IxGFhfzX82dqjvP36ul_3CoMpM0UF4UJSdyVCNgWGk?key=-CTRw5ZmNvQZhujAqDe1HA" \* MERGEFORMATINET </w:instrText>
      </w:r>
      <w:r w:rsidR="00000000">
        <w:rPr>
          <w:b/>
          <w:bCs/>
          <w:color w:val="000000"/>
          <w:bdr w:val="none" w:sz="0" w:space="0" w:color="auto" w:frame="1"/>
        </w:rPr>
        <w:fldChar w:fldCharType="separate"/>
      </w:r>
      <w:r>
        <w:rPr>
          <w:b/>
          <w:bCs/>
          <w:color w:val="000000"/>
          <w:bdr w:val="none" w:sz="0" w:space="0" w:color="auto" w:frame="1"/>
        </w:rPr>
        <w:fldChar w:fldCharType="end"/>
      </w:r>
      <w:r>
        <w:rPr>
          <w:b/>
          <w:bCs/>
          <w:color w:val="000000"/>
          <w:bdr w:val="none" w:sz="0" w:space="0" w:color="auto" w:frame="1"/>
        </w:rPr>
        <w:fldChar w:fldCharType="begin"/>
      </w:r>
      <w:r w:rsidRPr="008D18E6">
        <w:rPr>
          <w:b/>
          <w:bCs/>
          <w:color w:val="000000"/>
          <w:bdr w:val="none" w:sz="0" w:space="0" w:color="auto" w:frame="1"/>
          <w:lang w:val="en-US"/>
        </w:rPr>
        <w:instrText xml:space="preserve"> INCLUDEPICTURE "https://lh7-rt.googleusercontent.com/docsz/AD_4nXeAJ3x9cft28f0T4M25zBbX029LihjGNrkilOLG4nYWdNSuMfomJpR5goDMKvOPA9NA1Rr7hZyYmguVdK-ARmYH2vzVu6Ra6_AxmtZuDNjTIf4lfC2oClHFslgKu3qeuGSE2XzuD6qK9Si-a8D8FjH56kIf7lKwnvdUe5GMCVRn7kfr_sE49g?key=-CTRw5ZmNvQZhujAqDe1HA" \* MERGEFORMATINET </w:instrText>
      </w:r>
      <w:r w:rsidR="00000000">
        <w:rPr>
          <w:b/>
          <w:bCs/>
          <w:color w:val="000000"/>
          <w:bdr w:val="none" w:sz="0" w:space="0" w:color="auto" w:frame="1"/>
        </w:rPr>
        <w:fldChar w:fldCharType="separate"/>
      </w:r>
      <w:r>
        <w:rPr>
          <w:b/>
          <w:bCs/>
          <w:color w:val="000000"/>
          <w:bdr w:val="none" w:sz="0" w:space="0" w:color="auto" w:frame="1"/>
        </w:rPr>
        <w:fldChar w:fldCharType="end"/>
      </w:r>
    </w:p>
    <w:p w14:paraId="325EBB22" w14:textId="2B25A7B0" w:rsidR="000D61FE" w:rsidRPr="008D18E6" w:rsidRDefault="008D18E6">
      <w:p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b/>
          <w:sz w:val="24"/>
          <w:szCs w:val="24"/>
          <w:lang w:val="en-US"/>
        </w:rPr>
      </w:pPr>
      <w:r w:rsidRPr="008D18E6">
        <w:rPr>
          <w:rFonts w:ascii="Times New Roman" w:eastAsia="Times New Roman" w:hAnsi="Times New Roman" w:cs="Times New Roman"/>
          <w:b/>
          <w:sz w:val="24"/>
          <w:szCs w:val="24"/>
        </w:rPr>
        <w:t xml:space="preserve">Authors: </w:t>
      </w:r>
      <w:r w:rsidR="00025688" w:rsidRPr="00B42F67">
        <w:rPr>
          <w:rFonts w:ascii="Times New Roman" w:eastAsia="Times New Roman" w:hAnsi="Times New Roman" w:cs="Times New Roman"/>
          <w:bCs/>
          <w:sz w:val="24"/>
          <w:szCs w:val="24"/>
          <w:lang w:val="en-US"/>
        </w:rPr>
        <w:t xml:space="preserve">This report was written by </w:t>
      </w:r>
      <w:r w:rsidRPr="008D18E6">
        <w:rPr>
          <w:rFonts w:ascii="Times New Roman" w:eastAsia="Times New Roman" w:hAnsi="Times New Roman" w:cs="Times New Roman"/>
          <w:bCs/>
          <w:sz w:val="24"/>
          <w:szCs w:val="24"/>
        </w:rPr>
        <w:t>Cuido60</w:t>
      </w:r>
      <w:r w:rsidR="000D61FE">
        <w:rPr>
          <w:rStyle w:val="Refdenotaalpie"/>
          <w:rFonts w:ascii="Times New Roman" w:eastAsia="Times New Roman" w:hAnsi="Times New Roman" w:cs="Times New Roman"/>
          <w:sz w:val="24"/>
          <w:szCs w:val="24"/>
          <w:lang w:val="es-CO"/>
        </w:rPr>
        <w:footnoteReference w:id="1"/>
      </w:r>
      <w:r w:rsidR="000D61FE" w:rsidRPr="008D18E6">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in collaboration with </w:t>
      </w:r>
      <w:r w:rsidR="000D61FE" w:rsidRPr="008D18E6">
        <w:rPr>
          <w:rFonts w:ascii="Times New Roman" w:eastAsia="Times New Roman" w:hAnsi="Times New Roman" w:cs="Times New Roman"/>
          <w:sz w:val="24"/>
          <w:szCs w:val="24"/>
          <w:lang w:val="en-US"/>
        </w:rPr>
        <w:t>Food Monitor Program</w:t>
      </w:r>
      <w:r w:rsidR="00952218">
        <w:rPr>
          <w:rStyle w:val="Refdenotaalpie"/>
          <w:rFonts w:ascii="Times New Roman" w:eastAsia="Times New Roman" w:hAnsi="Times New Roman" w:cs="Times New Roman"/>
          <w:sz w:val="24"/>
          <w:szCs w:val="24"/>
          <w:lang w:val="es-CO"/>
        </w:rPr>
        <w:footnoteReference w:id="2"/>
      </w:r>
      <w:r w:rsidR="000D61FE" w:rsidRPr="008D18E6">
        <w:rPr>
          <w:rFonts w:ascii="Times New Roman" w:eastAsia="Times New Roman" w:hAnsi="Times New Roman" w:cs="Times New Roman"/>
          <w:sz w:val="24"/>
          <w:szCs w:val="24"/>
          <w:lang w:val="en-US"/>
        </w:rPr>
        <w:t>, Civil Rights Defenders</w:t>
      </w:r>
      <w:r w:rsidR="00952218">
        <w:rPr>
          <w:rStyle w:val="Refdenotaalpie"/>
          <w:rFonts w:ascii="Times New Roman" w:eastAsia="Times New Roman" w:hAnsi="Times New Roman" w:cs="Times New Roman"/>
          <w:sz w:val="24"/>
          <w:szCs w:val="24"/>
          <w:lang w:val="es-CO"/>
        </w:rPr>
        <w:footnoteReference w:id="3"/>
      </w:r>
      <w:r w:rsidR="000D61FE" w:rsidRPr="008D18E6">
        <w:rPr>
          <w:rFonts w:ascii="Times New Roman" w:eastAsia="Times New Roman" w:hAnsi="Times New Roman" w:cs="Times New Roman"/>
          <w:sz w:val="24"/>
          <w:szCs w:val="24"/>
          <w:lang w:val="en-US"/>
        </w:rPr>
        <w:t>, 4Métrica</w:t>
      </w:r>
      <w:r w:rsidR="00952218">
        <w:rPr>
          <w:rStyle w:val="Refdenotaalpie"/>
          <w:rFonts w:ascii="Times New Roman" w:eastAsia="Times New Roman" w:hAnsi="Times New Roman" w:cs="Times New Roman"/>
          <w:sz w:val="24"/>
          <w:szCs w:val="24"/>
          <w:lang w:val="es-CO"/>
        </w:rPr>
        <w:footnoteReference w:id="4"/>
      </w:r>
      <w:r w:rsidR="000D61FE" w:rsidRPr="008D18E6">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and </w:t>
      </w:r>
      <w:r w:rsidR="000D61FE" w:rsidRPr="008D18E6">
        <w:rPr>
          <w:rFonts w:ascii="Times New Roman" w:eastAsia="Times New Roman" w:hAnsi="Times New Roman" w:cs="Times New Roman"/>
          <w:sz w:val="24"/>
          <w:szCs w:val="24"/>
          <w:lang w:val="en-US"/>
        </w:rPr>
        <w:t>ConEnfoque</w:t>
      </w:r>
      <w:r w:rsidR="00952218">
        <w:rPr>
          <w:rStyle w:val="Refdenotaalpie"/>
          <w:rFonts w:ascii="Times New Roman" w:eastAsia="Times New Roman" w:hAnsi="Times New Roman" w:cs="Times New Roman"/>
          <w:sz w:val="24"/>
          <w:szCs w:val="24"/>
          <w:lang w:val="es-CO"/>
        </w:rPr>
        <w:footnoteReference w:id="5"/>
      </w:r>
      <w:r w:rsidR="000D61FE" w:rsidRPr="008D18E6">
        <w:rPr>
          <w:rFonts w:ascii="Times New Roman" w:eastAsia="Times New Roman" w:hAnsi="Times New Roman" w:cs="Times New Roman"/>
          <w:sz w:val="24"/>
          <w:szCs w:val="24"/>
          <w:lang w:val="en-US"/>
        </w:rPr>
        <w:t xml:space="preserve">. </w:t>
      </w:r>
    </w:p>
    <w:p w14:paraId="4F96A8AF" w14:textId="77777777" w:rsidR="008D18E6" w:rsidRPr="008D18E6" w:rsidRDefault="008D18E6" w:rsidP="008D18E6">
      <w:p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n-US"/>
        </w:rPr>
      </w:pPr>
      <w:r w:rsidRPr="008D18E6">
        <w:rPr>
          <w:rFonts w:ascii="Times New Roman" w:eastAsia="Times New Roman" w:hAnsi="Times New Roman" w:cs="Times New Roman"/>
          <w:b/>
          <w:sz w:val="24"/>
          <w:szCs w:val="24"/>
        </w:rPr>
        <w:t>Women in Specific Conditions and Contexts</w:t>
      </w:r>
    </w:p>
    <w:p w14:paraId="3C288C97" w14:textId="233EB39A"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 xml:space="preserve">Women in Cuba </w:t>
      </w:r>
      <w:r w:rsidR="008A296F">
        <w:rPr>
          <w:rFonts w:ascii="Times New Roman" w:eastAsia="Times New Roman" w:hAnsi="Times New Roman" w:cs="Times New Roman"/>
          <w:color w:val="000000"/>
          <w:sz w:val="24"/>
          <w:szCs w:val="24"/>
          <w:lang w:val="en-US"/>
        </w:rPr>
        <w:t>confront</w:t>
      </w:r>
      <w:r w:rsidR="008A296F" w:rsidRPr="008D18E6">
        <w:rPr>
          <w:rFonts w:ascii="Times New Roman" w:eastAsia="Times New Roman" w:hAnsi="Times New Roman" w:cs="Times New Roman"/>
          <w:color w:val="000000"/>
          <w:sz w:val="24"/>
          <w:szCs w:val="24"/>
          <w:lang w:val="en-US"/>
        </w:rPr>
        <w:t xml:space="preserve"> </w:t>
      </w:r>
      <w:r w:rsidRPr="008D18E6">
        <w:rPr>
          <w:rFonts w:ascii="Times New Roman" w:eastAsia="Times New Roman" w:hAnsi="Times New Roman" w:cs="Times New Roman"/>
          <w:color w:val="000000"/>
          <w:sz w:val="24"/>
          <w:szCs w:val="24"/>
          <w:lang w:val="en-US"/>
        </w:rPr>
        <w:t>multifaceted challenges with differentiated impacts depending on their specific conditions and contexts. Addressing the situation of older women and those with disabilities, it is crucial to note that the rapid increase in the elderly population in Cuba, which currently represents 23% of the population, inevitably exerts pressure on social and health services. However, this process occurs against a backdrop of severe political, economic, institutional, and familial adversity, particularly due to the profound structural and systemic crisis fac</w:t>
      </w:r>
      <w:r w:rsidR="008B6DBA">
        <w:rPr>
          <w:rFonts w:ascii="Times New Roman" w:eastAsia="Times New Roman" w:hAnsi="Times New Roman" w:cs="Times New Roman"/>
          <w:color w:val="000000"/>
          <w:sz w:val="24"/>
          <w:szCs w:val="24"/>
          <w:lang w:val="en-US"/>
        </w:rPr>
        <w:t>ed by</w:t>
      </w:r>
      <w:r w:rsidRPr="008D18E6">
        <w:rPr>
          <w:rFonts w:ascii="Times New Roman" w:eastAsia="Times New Roman" w:hAnsi="Times New Roman" w:cs="Times New Roman"/>
          <w:color w:val="000000"/>
          <w:sz w:val="24"/>
          <w:szCs w:val="24"/>
          <w:lang w:val="en-US"/>
        </w:rPr>
        <w:t xml:space="preserve"> Cuban society, which amplifies and complicates the </w:t>
      </w:r>
      <w:r w:rsidRPr="008D18E6">
        <w:rPr>
          <w:rFonts w:ascii="Times New Roman" w:eastAsia="Times New Roman" w:hAnsi="Times New Roman" w:cs="Times New Roman"/>
          <w:color w:val="000000"/>
          <w:sz w:val="24"/>
          <w:szCs w:val="24"/>
          <w:lang w:val="en-US"/>
        </w:rPr>
        <w:lastRenderedPageBreak/>
        <w:t xml:space="preserve">challenges associated with this demographic shift. Some of the </w:t>
      </w:r>
      <w:r w:rsidR="003F4778">
        <w:rPr>
          <w:rFonts w:ascii="Times New Roman" w:eastAsia="Times New Roman" w:hAnsi="Times New Roman" w:cs="Times New Roman"/>
          <w:color w:val="000000"/>
          <w:sz w:val="24"/>
          <w:szCs w:val="24"/>
          <w:lang w:val="en-US"/>
        </w:rPr>
        <w:t>difficulties</w:t>
      </w:r>
      <w:r w:rsidR="003F4778" w:rsidRPr="008D18E6">
        <w:rPr>
          <w:rFonts w:ascii="Times New Roman" w:eastAsia="Times New Roman" w:hAnsi="Times New Roman" w:cs="Times New Roman"/>
          <w:color w:val="000000"/>
          <w:sz w:val="24"/>
          <w:szCs w:val="24"/>
          <w:lang w:val="en-US"/>
        </w:rPr>
        <w:t xml:space="preserve"> </w:t>
      </w:r>
      <w:r w:rsidRPr="008D18E6">
        <w:rPr>
          <w:rFonts w:ascii="Times New Roman" w:eastAsia="Times New Roman" w:hAnsi="Times New Roman" w:cs="Times New Roman"/>
          <w:color w:val="000000"/>
          <w:sz w:val="24"/>
          <w:szCs w:val="24"/>
          <w:lang w:val="en-US"/>
        </w:rPr>
        <w:t>related to access to rights such as health are linked to the following processes or factors:</w:t>
      </w:r>
    </w:p>
    <w:p w14:paraId="7AA63E7D" w14:textId="547C8940" w:rsidR="008D18E6" w:rsidRPr="008D18E6" w:rsidRDefault="00720510"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720510">
        <w:rPr>
          <w:rFonts w:ascii="Times New Roman" w:eastAsia="Times New Roman" w:hAnsi="Times New Roman" w:cs="Times New Roman"/>
          <w:color w:val="000000"/>
          <w:sz w:val="24"/>
          <w:szCs w:val="24"/>
          <w:lang w:val="en-US"/>
        </w:rPr>
        <w:t xml:space="preserve">There is a care crisis caused by the increased demand for services and the reduced or deteriorated supply. This has resulted in an overload on women, who often serve as unpaid caregivers. </w:t>
      </w:r>
      <w:r w:rsidR="008D18E6" w:rsidRPr="008D18E6">
        <w:rPr>
          <w:rFonts w:ascii="Times New Roman" w:eastAsia="Times New Roman" w:hAnsi="Times New Roman" w:cs="Times New Roman"/>
          <w:color w:val="000000"/>
          <w:sz w:val="24"/>
          <w:szCs w:val="24"/>
          <w:lang w:val="en-US"/>
        </w:rPr>
        <w:t>Additionally, a reorientation of social policy that shortens welfare parameters, reducing resources allocated to health and social protection and transferring care solutions and social services for the elderly to families and the market.</w:t>
      </w:r>
    </w:p>
    <w:p w14:paraId="56B8461B" w14:textId="220A538D"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An insufficient normative framework and issues with practical implementation of the Family Code and the Health Law, which do not provide conditions for the enforceability and guarantees of the rights of elderly women and caregivers. Additionally, there is an increase in poverty, inequality, and food insecurity, which primarily affect older women.</w:t>
      </w:r>
    </w:p>
    <w:p w14:paraId="76666E05" w14:textId="75D31B8B"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An uneven deficit in the distribution of social and health services and a growing commercialization of the offer, against a backdrop of decreasing purchasing power of the elderly and retirees, with women being the most affected.</w:t>
      </w:r>
    </w:p>
    <w:p w14:paraId="5297AB74" w14:textId="2331F3EA"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 xml:space="preserve">Insufficient institutional approach and intervention, with governmental initiatives </w:t>
      </w:r>
      <w:proofErr w:type="gramStart"/>
      <w:r w:rsidRPr="008D18E6">
        <w:rPr>
          <w:rFonts w:ascii="Times New Roman" w:eastAsia="Times New Roman" w:hAnsi="Times New Roman" w:cs="Times New Roman"/>
          <w:color w:val="000000"/>
          <w:sz w:val="24"/>
          <w:szCs w:val="24"/>
          <w:lang w:val="en-US"/>
        </w:rPr>
        <w:t xml:space="preserve">lacking </w:t>
      </w:r>
      <w:r w:rsidR="001B2E50">
        <w:rPr>
          <w:rFonts w:ascii="Times New Roman" w:eastAsia="Times New Roman" w:hAnsi="Times New Roman" w:cs="Times New Roman"/>
          <w:color w:val="000000"/>
          <w:sz w:val="24"/>
          <w:szCs w:val="24"/>
          <w:lang w:val="en-US"/>
        </w:rPr>
        <w:t xml:space="preserve"> </w:t>
      </w:r>
      <w:r w:rsidRPr="008D18E6">
        <w:rPr>
          <w:rFonts w:ascii="Times New Roman" w:eastAsia="Times New Roman" w:hAnsi="Times New Roman" w:cs="Times New Roman"/>
          <w:color w:val="000000"/>
          <w:sz w:val="24"/>
          <w:szCs w:val="24"/>
          <w:lang w:val="en-US"/>
        </w:rPr>
        <w:t>comprehensiveness</w:t>
      </w:r>
      <w:proofErr w:type="gramEnd"/>
      <w:r w:rsidRPr="008D18E6">
        <w:rPr>
          <w:rFonts w:ascii="Times New Roman" w:eastAsia="Times New Roman" w:hAnsi="Times New Roman" w:cs="Times New Roman"/>
          <w:color w:val="000000"/>
          <w:sz w:val="24"/>
          <w:szCs w:val="24"/>
          <w:lang w:val="en-US"/>
        </w:rPr>
        <w:t>, cross-cutting nature, sustainability, and territorial focus in actions</w:t>
      </w:r>
      <w:r w:rsidR="000D2334">
        <w:rPr>
          <w:rFonts w:ascii="Times New Roman" w:eastAsia="Times New Roman" w:hAnsi="Times New Roman" w:cs="Times New Roman"/>
          <w:color w:val="000000"/>
          <w:sz w:val="24"/>
          <w:szCs w:val="24"/>
          <w:lang w:val="en-US"/>
        </w:rPr>
        <w:t>. Confronted with</w:t>
      </w:r>
      <w:r w:rsidRPr="008D18E6">
        <w:rPr>
          <w:rFonts w:ascii="Times New Roman" w:eastAsia="Times New Roman" w:hAnsi="Times New Roman" w:cs="Times New Roman"/>
          <w:color w:val="000000"/>
          <w:sz w:val="24"/>
          <w:szCs w:val="24"/>
          <w:lang w:val="en-US"/>
        </w:rPr>
        <w:t xml:space="preserve"> a growing shortage of human resources for social and health service provision and a need for ongoing training to meet the specific needs of the elderly.</w:t>
      </w:r>
    </w:p>
    <w:p w14:paraId="1F9961BA" w14:textId="654CA1E5"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The unsustainability of the pension system and uncertainty regarding the imminent silver tsunami (retirement of the baby boomers of the 60s)</w:t>
      </w:r>
      <w:r w:rsidR="00294040">
        <w:rPr>
          <w:rFonts w:ascii="Times New Roman" w:eastAsia="Times New Roman" w:hAnsi="Times New Roman" w:cs="Times New Roman"/>
          <w:color w:val="000000"/>
          <w:sz w:val="24"/>
          <w:szCs w:val="24"/>
          <w:lang w:val="en-US"/>
        </w:rPr>
        <w:t>.</w:t>
      </w:r>
      <w:r w:rsidRPr="008D18E6">
        <w:rPr>
          <w:rFonts w:ascii="Times New Roman" w:eastAsia="Times New Roman" w:hAnsi="Times New Roman" w:cs="Times New Roman"/>
          <w:color w:val="000000"/>
          <w:sz w:val="24"/>
          <w:szCs w:val="24"/>
          <w:lang w:val="en-US"/>
        </w:rPr>
        <w:t xml:space="preserve"> </w:t>
      </w:r>
      <w:r w:rsidR="00294040">
        <w:rPr>
          <w:rFonts w:ascii="Times New Roman" w:eastAsia="Times New Roman" w:hAnsi="Times New Roman" w:cs="Times New Roman"/>
          <w:color w:val="000000"/>
          <w:sz w:val="24"/>
          <w:szCs w:val="24"/>
          <w:lang w:val="en-US"/>
        </w:rPr>
        <w:t>In addition to</w:t>
      </w:r>
      <w:r w:rsidRPr="008D18E6">
        <w:rPr>
          <w:rFonts w:ascii="Times New Roman" w:eastAsia="Times New Roman" w:hAnsi="Times New Roman" w:cs="Times New Roman"/>
          <w:color w:val="000000"/>
          <w:sz w:val="24"/>
          <w:szCs w:val="24"/>
          <w:lang w:val="en-US"/>
        </w:rPr>
        <w:t xml:space="preserve"> significant obstacles and political resistance to the development of community and civil society initiatives, both national and transnational, in the provision of social and care services.</w:t>
      </w:r>
    </w:p>
    <w:p w14:paraId="5A46D537" w14:textId="1F3A57B4"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Finally, a deficit of gender-focused data and research on poverty and inequality in Cuba and the inability to sustain a democratic and politically effective debate on these issues. Despite these significant challenges, there have been no efforts commensurate with the difficulties. For example, the updated aging policy from April 2021 continues to present a reductionist view of intersectionality in health and lacks a gender perspective. Efforts have focused on natalist policies, with measures to stimulate fertility, rather than other policies for redistributing social care responsibilities.</w:t>
      </w:r>
    </w:p>
    <w:p w14:paraId="6A6E851B" w14:textId="47EBB0F2"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 xml:space="preserve">Research conducted on the island highlights the widening gaps in social equity related to the unequal distribution of care tasks, with women being the most affected. </w:t>
      </w:r>
      <w:r w:rsidR="00720510" w:rsidRPr="00720510">
        <w:rPr>
          <w:rFonts w:ascii="Times New Roman" w:eastAsia="Times New Roman" w:hAnsi="Times New Roman" w:cs="Times New Roman"/>
          <w:color w:val="000000"/>
          <w:sz w:val="24"/>
          <w:szCs w:val="24"/>
          <w:lang w:val="en-US"/>
        </w:rPr>
        <w:t>This situation is clearly reflected in the disparities between the number of healthcare services available for different population groups. For instance, older women often have less access to essential services compared to other demographics.</w:t>
      </w:r>
      <w:r w:rsidRPr="008D18E6">
        <w:rPr>
          <w:rFonts w:ascii="Times New Roman" w:eastAsia="Times New Roman" w:hAnsi="Times New Roman" w:cs="Times New Roman"/>
          <w:color w:val="000000"/>
          <w:sz w:val="24"/>
          <w:szCs w:val="24"/>
          <w:lang w:val="en-US"/>
        </w:rPr>
        <w:t xml:space="preserve"> In 2018, there were 38 gynecology and pediatrics hospitals but none for geriatric</w:t>
      </w:r>
      <w:r w:rsidRPr="004E4B29">
        <w:rPr>
          <w:rFonts w:ascii="Times New Roman" w:eastAsia="Times New Roman" w:hAnsi="Times New Roman" w:cs="Times New Roman"/>
          <w:color w:val="000000"/>
          <w:sz w:val="24"/>
          <w:szCs w:val="24"/>
          <w:lang w:val="en-US"/>
        </w:rPr>
        <w:t>s</w:t>
      </w:r>
      <w:r w:rsidR="007D0571" w:rsidRPr="004E4B29">
        <w:rPr>
          <w:rFonts w:ascii="Times New Roman" w:eastAsia="Times New Roman" w:hAnsi="Times New Roman" w:cs="Times New Roman"/>
          <w:color w:val="000000"/>
          <w:sz w:val="24"/>
          <w:szCs w:val="24"/>
          <w:lang w:val="en-US"/>
        </w:rPr>
        <w:t xml:space="preserve">. Regarding </w:t>
      </w:r>
      <w:r w:rsidR="00C9554A" w:rsidRPr="004E4B29">
        <w:rPr>
          <w:rFonts w:ascii="Times New Roman" w:eastAsia="Times New Roman" w:hAnsi="Times New Roman" w:cs="Times New Roman"/>
          <w:color w:val="000000"/>
          <w:sz w:val="24"/>
          <w:szCs w:val="24"/>
          <w:lang w:val="en-US"/>
        </w:rPr>
        <w:t>availability for care specialists,</w:t>
      </w:r>
      <w:r w:rsidR="00EE519C" w:rsidRPr="004E4B29">
        <w:rPr>
          <w:rFonts w:ascii="Times New Roman" w:eastAsia="Times New Roman" w:hAnsi="Times New Roman" w:cs="Times New Roman"/>
          <w:color w:val="000000"/>
          <w:sz w:val="24"/>
          <w:szCs w:val="24"/>
          <w:lang w:val="en-US"/>
        </w:rPr>
        <w:t xml:space="preserve"> there were </w:t>
      </w:r>
      <w:r w:rsidRPr="004E4B29">
        <w:rPr>
          <w:rFonts w:ascii="Times New Roman" w:eastAsia="Times New Roman" w:hAnsi="Times New Roman" w:cs="Times New Roman"/>
          <w:color w:val="000000"/>
          <w:sz w:val="24"/>
          <w:szCs w:val="24"/>
          <w:lang w:val="en-US"/>
        </w:rPr>
        <w:t>310 children per pediatrician but 2,645 elderly per geriatrician (Mesa-Lago and Diaz-</w:t>
      </w:r>
      <w:proofErr w:type="spellStart"/>
      <w:r w:rsidRPr="004E4B29">
        <w:rPr>
          <w:rFonts w:ascii="Times New Roman" w:eastAsia="Times New Roman" w:hAnsi="Times New Roman" w:cs="Times New Roman"/>
          <w:color w:val="000000"/>
          <w:sz w:val="24"/>
          <w:szCs w:val="24"/>
          <w:lang w:val="en-US"/>
        </w:rPr>
        <w:t>Bisquets</w:t>
      </w:r>
      <w:proofErr w:type="spellEnd"/>
      <w:r w:rsidRPr="004E4B29">
        <w:rPr>
          <w:rFonts w:ascii="Times New Roman" w:eastAsia="Times New Roman" w:hAnsi="Times New Roman" w:cs="Times New Roman"/>
          <w:color w:val="000000"/>
          <w:sz w:val="24"/>
          <w:szCs w:val="24"/>
          <w:lang w:val="en-US"/>
        </w:rPr>
        <w:t>, 2021).</w:t>
      </w:r>
    </w:p>
    <w:p w14:paraId="2CF54CC1" w14:textId="119C9C26"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 xml:space="preserve">The new Public Health Law, approved in December 2023, incorporates the right of individuals to access a dignified death, including decisions for the end of life, which may involve limiting therapeutic efforts, continuous or palliative care, and valid procedures to end life. However, the new law is not specific about the application of </w:t>
      </w:r>
      <w:r w:rsidR="00091E9E">
        <w:rPr>
          <w:rFonts w:ascii="Times New Roman" w:eastAsia="Times New Roman" w:hAnsi="Times New Roman" w:cs="Times New Roman"/>
          <w:color w:val="000000"/>
          <w:sz w:val="24"/>
          <w:szCs w:val="24"/>
          <w:lang w:val="en-US"/>
        </w:rPr>
        <w:t xml:space="preserve">the </w:t>
      </w:r>
      <w:proofErr w:type="gramStart"/>
      <w:r w:rsidR="00091E9E">
        <w:rPr>
          <w:rFonts w:ascii="Times New Roman" w:eastAsia="Times New Roman" w:hAnsi="Times New Roman" w:cs="Times New Roman"/>
          <w:color w:val="000000"/>
          <w:sz w:val="24"/>
          <w:szCs w:val="24"/>
          <w:lang w:val="en-US"/>
        </w:rPr>
        <w:t>aforementioned</w:t>
      </w:r>
      <w:r w:rsidR="00091E9E" w:rsidRPr="008D18E6">
        <w:rPr>
          <w:rFonts w:ascii="Times New Roman" w:eastAsia="Times New Roman" w:hAnsi="Times New Roman" w:cs="Times New Roman"/>
          <w:color w:val="000000"/>
          <w:sz w:val="24"/>
          <w:szCs w:val="24"/>
          <w:lang w:val="en-US"/>
        </w:rPr>
        <w:t xml:space="preserve"> </w:t>
      </w:r>
      <w:r w:rsidRPr="008D18E6">
        <w:rPr>
          <w:rFonts w:ascii="Times New Roman" w:eastAsia="Times New Roman" w:hAnsi="Times New Roman" w:cs="Times New Roman"/>
          <w:color w:val="000000"/>
          <w:sz w:val="24"/>
          <w:szCs w:val="24"/>
          <w:lang w:val="en-US"/>
        </w:rPr>
        <w:t>procedures</w:t>
      </w:r>
      <w:proofErr w:type="gramEnd"/>
      <w:r w:rsidRPr="008D18E6">
        <w:rPr>
          <w:rFonts w:ascii="Times New Roman" w:eastAsia="Times New Roman" w:hAnsi="Times New Roman" w:cs="Times New Roman"/>
          <w:color w:val="000000"/>
          <w:sz w:val="24"/>
          <w:szCs w:val="24"/>
          <w:lang w:val="en-US"/>
        </w:rPr>
        <w:t xml:space="preserve"> and indicates that this will be regulated in a specific law for that issue, once the Ministry of Public Health determines that conditions are created for such actions in the country. The crisis in the Public Health System in Cuba raises the question of the relevance of legislating on such a sensitive topic without prior discussion by civil society.</w:t>
      </w:r>
    </w:p>
    <w:p w14:paraId="598E49D3" w14:textId="66E57E46"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lastRenderedPageBreak/>
        <w:t xml:space="preserve">The structural and systemic nature of the crisis currently affecting Cuban society has led to an expansion of the pattern of social vulnerability, within which women are one of the most affected groups. </w:t>
      </w:r>
      <w:r w:rsidR="00B763EB">
        <w:rPr>
          <w:rFonts w:ascii="Times New Roman" w:eastAsia="Times New Roman" w:hAnsi="Times New Roman" w:cs="Times New Roman"/>
          <w:color w:val="000000"/>
          <w:sz w:val="24"/>
          <w:szCs w:val="24"/>
          <w:lang w:val="en-US"/>
        </w:rPr>
        <w:t>Among</w:t>
      </w:r>
      <w:r w:rsidR="00B763EB" w:rsidRPr="008D18E6">
        <w:rPr>
          <w:rFonts w:ascii="Times New Roman" w:eastAsia="Times New Roman" w:hAnsi="Times New Roman" w:cs="Times New Roman"/>
          <w:color w:val="000000"/>
          <w:sz w:val="24"/>
          <w:szCs w:val="24"/>
          <w:lang w:val="en-US"/>
        </w:rPr>
        <w:t xml:space="preserve"> </w:t>
      </w:r>
      <w:r w:rsidRPr="008D18E6">
        <w:rPr>
          <w:rFonts w:ascii="Times New Roman" w:eastAsia="Times New Roman" w:hAnsi="Times New Roman" w:cs="Times New Roman"/>
          <w:color w:val="000000"/>
          <w:sz w:val="24"/>
          <w:szCs w:val="24"/>
          <w:lang w:val="en-US"/>
        </w:rPr>
        <w:t>women themselves, significant inequalities are reproduced, whether by skin color, age, or rurality. The unpaid caregiving work of women mitigates the impacts of the state's decreased involvement in social protection, as they continue to be the main responsible parties for sustaining life on the island</w:t>
      </w:r>
      <w:r w:rsidR="00AA3F2F">
        <w:rPr>
          <w:rFonts w:ascii="Times New Roman" w:eastAsia="Times New Roman" w:hAnsi="Times New Roman" w:cs="Times New Roman"/>
          <w:color w:val="000000"/>
          <w:sz w:val="24"/>
          <w:szCs w:val="24"/>
          <w:lang w:val="en-US"/>
        </w:rPr>
        <w:t>.</w:t>
      </w:r>
      <w:r w:rsidRPr="008D18E6">
        <w:rPr>
          <w:rFonts w:ascii="Times New Roman" w:eastAsia="Times New Roman" w:hAnsi="Times New Roman" w:cs="Times New Roman"/>
          <w:color w:val="000000"/>
          <w:sz w:val="24"/>
          <w:szCs w:val="24"/>
          <w:lang w:val="en-US"/>
        </w:rPr>
        <w:t xml:space="preserve"> </w:t>
      </w:r>
      <w:r w:rsidR="00AA3F2F">
        <w:rPr>
          <w:rFonts w:ascii="Times New Roman" w:eastAsia="Times New Roman" w:hAnsi="Times New Roman" w:cs="Times New Roman"/>
          <w:color w:val="000000"/>
          <w:sz w:val="24"/>
          <w:szCs w:val="24"/>
          <w:lang w:val="en-US"/>
        </w:rPr>
        <w:t>A</w:t>
      </w:r>
      <w:r w:rsidRPr="008D18E6">
        <w:rPr>
          <w:rFonts w:ascii="Times New Roman" w:eastAsia="Times New Roman" w:hAnsi="Times New Roman" w:cs="Times New Roman"/>
          <w:color w:val="000000"/>
          <w:sz w:val="24"/>
          <w:szCs w:val="24"/>
          <w:lang w:val="en-US"/>
        </w:rPr>
        <w:t xml:space="preserve"> task that now bears incalculable economic, physical, and emotional costs. Whether directly or through policies and practices that perpetuate discrimination and inequality, the Cuban state is exercising institutional violence against women. Several experts have coined the term "feminization of precariousness in Cuba," referring to how successive crises have disproportionately affected women and girls.</w:t>
      </w:r>
    </w:p>
    <w:p w14:paraId="160126F4" w14:textId="329E9361" w:rsidR="00032D5F"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 xml:space="preserve">Women make up </w:t>
      </w:r>
      <w:r w:rsidR="00720510" w:rsidRPr="008D18E6">
        <w:rPr>
          <w:rFonts w:ascii="Times New Roman" w:eastAsia="Times New Roman" w:hAnsi="Times New Roman" w:cs="Times New Roman"/>
          <w:color w:val="000000"/>
          <w:sz w:val="24"/>
          <w:szCs w:val="24"/>
          <w:lang w:val="en-US"/>
        </w:rPr>
        <w:t>most of</w:t>
      </w:r>
      <w:r w:rsidRPr="008D18E6">
        <w:rPr>
          <w:rFonts w:ascii="Times New Roman" w:eastAsia="Times New Roman" w:hAnsi="Times New Roman" w:cs="Times New Roman"/>
          <w:color w:val="000000"/>
          <w:sz w:val="24"/>
          <w:szCs w:val="24"/>
          <w:lang w:val="en-US"/>
        </w:rPr>
        <w:t xml:space="preserve"> the elderly population (53.4%). The aging process in Cuba, as well as the provision of care, is feminized. </w:t>
      </w:r>
      <w:r w:rsidR="00720510" w:rsidRPr="00720510">
        <w:rPr>
          <w:rFonts w:ascii="Times New Roman" w:eastAsia="Times New Roman" w:hAnsi="Times New Roman" w:cs="Times New Roman"/>
          <w:color w:val="000000"/>
          <w:sz w:val="24"/>
          <w:szCs w:val="24"/>
          <w:lang w:val="en-US"/>
        </w:rPr>
        <w:t xml:space="preserve">Cuban women live longer, but generally in worse conditions. This increased longevity does not translate into a better quality of life, either economically or in terms of health. </w:t>
      </w:r>
      <w:r w:rsidRPr="008D18E6">
        <w:rPr>
          <w:rFonts w:ascii="Times New Roman" w:eastAsia="Times New Roman" w:hAnsi="Times New Roman" w:cs="Times New Roman"/>
          <w:color w:val="000000"/>
          <w:sz w:val="24"/>
          <w:szCs w:val="24"/>
          <w:lang w:val="en-US"/>
        </w:rPr>
        <w:t>They are more exposed to exclusionary situations, as income gaps between genders widen with old age. Women are not only the primary caregivers (about 68% of those providing care are women, and the majority are over 50 years old), but they are also the preferred caregivers</w:t>
      </w:r>
      <w:r>
        <w:rPr>
          <w:rFonts w:ascii="Times New Roman" w:eastAsia="Times New Roman" w:hAnsi="Times New Roman" w:cs="Times New Roman"/>
          <w:color w:val="000000"/>
          <w:sz w:val="24"/>
          <w:szCs w:val="24"/>
          <w:lang w:val="en-US"/>
        </w:rPr>
        <w:t xml:space="preserve"> </w:t>
      </w:r>
      <w:r w:rsidR="00274170" w:rsidRPr="008D18E6">
        <w:rPr>
          <w:rFonts w:ascii="Times New Roman" w:eastAsia="Times New Roman" w:hAnsi="Times New Roman" w:cs="Times New Roman"/>
          <w:sz w:val="24"/>
          <w:szCs w:val="24"/>
          <w:lang w:val="en-US"/>
        </w:rPr>
        <w:t>(57%)</w:t>
      </w:r>
      <w:r w:rsidR="00032D5F">
        <w:rPr>
          <w:rStyle w:val="Refdenotaalpie"/>
          <w:rFonts w:ascii="Times New Roman" w:eastAsia="Times New Roman" w:hAnsi="Times New Roman" w:cs="Times New Roman"/>
          <w:sz w:val="24"/>
          <w:szCs w:val="24"/>
          <w:lang w:val="es-419"/>
        </w:rPr>
        <w:footnoteReference w:id="6"/>
      </w:r>
      <w:r w:rsidR="00274170" w:rsidRPr="008D18E6">
        <w:rPr>
          <w:rFonts w:ascii="Times New Roman" w:eastAsia="Times New Roman" w:hAnsi="Times New Roman" w:cs="Times New Roman"/>
          <w:sz w:val="24"/>
          <w:szCs w:val="24"/>
          <w:lang w:val="en-US"/>
        </w:rPr>
        <w:t>.</w:t>
      </w:r>
    </w:p>
    <w:p w14:paraId="7F4DC725" w14:textId="00DF55E5"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 xml:space="preserve">Caregiving women, many of whom are older and caring for other elderly individuals, are experiencing significant inequalities in performing caregiving tasks. </w:t>
      </w:r>
      <w:r w:rsidR="00720510" w:rsidRPr="00720510">
        <w:rPr>
          <w:rFonts w:ascii="Times New Roman" w:eastAsia="Times New Roman" w:hAnsi="Times New Roman" w:cs="Times New Roman"/>
          <w:color w:val="000000"/>
          <w:sz w:val="24"/>
          <w:szCs w:val="24"/>
          <w:lang w:val="en-US"/>
        </w:rPr>
        <w:t>The shortage of long-term care services is worsened by deficiencies in the healthcare system. There is a lack of resources, psychological and social support services, as well as a shortage of medications and inadequate assistance. These factors contribute to high levels of stress and additional difficulties for caregivers.</w:t>
      </w:r>
    </w:p>
    <w:p w14:paraId="65DDC050" w14:textId="562B5DBE"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Cuban women have a higher life expectancy (80.45 years compared to 76.50 for men). In terms of living arrangements, women make up the majority (57%) among the elderly living alone. This group has been growing over the last decade, with a concerning increase in single-person households among the elderly, rising from 12.6% in 2012 to 17.4% according to the latest National Population Aging Survey of 2017. This group faces greater vulnerability. The vast majority (82.3%) rely solely on personal income from work or pensions, without additional sources of income. A significant percentage requires support, considering that besides economic needs from insufficient income, 21.1% have never had children, 6.5% have special needs and require assistance to perform activities, and 1.8% need continuous care.</w:t>
      </w:r>
    </w:p>
    <w:p w14:paraId="0727B03B" w14:textId="0EDAB30D"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8D18E6">
        <w:rPr>
          <w:rFonts w:ascii="Times New Roman" w:eastAsia="Times New Roman" w:hAnsi="Times New Roman" w:cs="Times New Roman"/>
          <w:color w:val="000000"/>
          <w:sz w:val="24"/>
          <w:szCs w:val="24"/>
          <w:lang w:val="en-US"/>
        </w:rPr>
        <w:t>Additionally, 20% of the elderly report not receiving help from family or co-residents. The migratory phenomenon in Cuba greatly influences this percentage. Notably, 7% of the elderly in Cuba have all their children living outside Cuba, and 3%—approximately 70,300 individuals aged 60 and over—have all their children and grandchildren residing abroad. These figures have increased with the current wave of migration and should be studied further.</w:t>
      </w:r>
    </w:p>
    <w:p w14:paraId="4CD35259" w14:textId="6C57C028" w:rsidR="008D18E6" w:rsidRPr="008D18E6" w:rsidRDefault="008D18E6" w:rsidP="008D18E6">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8D18E6">
        <w:rPr>
          <w:rFonts w:ascii="Times New Roman" w:eastAsia="Times New Roman" w:hAnsi="Times New Roman" w:cs="Times New Roman"/>
          <w:color w:val="000000"/>
          <w:sz w:val="24"/>
          <w:szCs w:val="24"/>
          <w:lang w:val="en-US"/>
        </w:rPr>
        <w:t xml:space="preserve">Among those who have had children, nearly half do not live with them </w:t>
      </w:r>
      <w:r w:rsidR="00274170" w:rsidRPr="008D18E6">
        <w:rPr>
          <w:rFonts w:ascii="Times New Roman" w:eastAsia="Times New Roman" w:hAnsi="Times New Roman" w:cs="Times New Roman"/>
          <w:sz w:val="24"/>
          <w:szCs w:val="24"/>
          <w:lang w:val="en-US"/>
        </w:rPr>
        <w:t>(47,8%)</w:t>
      </w:r>
      <w:r w:rsidR="00E372DD" w:rsidRPr="008D18E6">
        <w:rPr>
          <w:rStyle w:val="Refdenotaalpie"/>
          <w:rFonts w:ascii="Times New Roman" w:eastAsia="Times New Roman" w:hAnsi="Times New Roman" w:cs="Times New Roman"/>
          <w:sz w:val="24"/>
          <w:szCs w:val="24"/>
          <w:lang w:val="es-419"/>
        </w:rPr>
        <w:footnoteReference w:id="7"/>
      </w:r>
      <w:r w:rsidR="00E372DD" w:rsidRPr="008D18E6">
        <w:rPr>
          <w:rFonts w:ascii="Times New Roman" w:eastAsia="Times New Roman" w:hAnsi="Times New Roman" w:cs="Times New Roman"/>
          <w:sz w:val="24"/>
          <w:szCs w:val="24"/>
          <w:lang w:val="en-US"/>
        </w:rPr>
        <w:t xml:space="preserve">. </w:t>
      </w:r>
      <w:r w:rsidRPr="008D18E6">
        <w:rPr>
          <w:rFonts w:ascii="Times New Roman" w:eastAsia="Times New Roman" w:hAnsi="Times New Roman" w:cs="Times New Roman"/>
          <w:sz w:val="24"/>
          <w:szCs w:val="24"/>
          <w:lang w:val="en-US"/>
        </w:rPr>
        <w:t xml:space="preserve">These figures should raise concerns about the potential increase in feelings of loneliness and </w:t>
      </w:r>
      <w:r w:rsidRPr="008D18E6">
        <w:rPr>
          <w:rFonts w:ascii="Times New Roman" w:eastAsia="Times New Roman" w:hAnsi="Times New Roman" w:cs="Times New Roman"/>
          <w:sz w:val="24"/>
          <w:szCs w:val="24"/>
          <w:lang w:val="en-US"/>
        </w:rPr>
        <w:lastRenderedPageBreak/>
        <w:t xml:space="preserve">sadness for this group, as the loss or absence of affective and caregiving bonds, which are crucial during old age, is somehow related to these feelings. If not adequately addressed, this situation negatively impacts the mental health and emotional well-being of the elderly. Additionally, there is a significant gender disparity regarding household leadership. While </w:t>
      </w:r>
      <w:r w:rsidR="00C375F0" w:rsidRPr="008D18E6">
        <w:rPr>
          <w:rFonts w:ascii="Times New Roman" w:eastAsia="Times New Roman" w:hAnsi="Times New Roman" w:cs="Times New Roman"/>
          <w:sz w:val="24"/>
          <w:szCs w:val="24"/>
          <w:lang w:val="en-US"/>
        </w:rPr>
        <w:t>most</w:t>
      </w:r>
      <w:r w:rsidRPr="008D18E6">
        <w:rPr>
          <w:rFonts w:ascii="Times New Roman" w:eastAsia="Times New Roman" w:hAnsi="Times New Roman" w:cs="Times New Roman"/>
          <w:sz w:val="24"/>
          <w:szCs w:val="24"/>
          <w:lang w:val="en-US"/>
        </w:rPr>
        <w:t xml:space="preserve"> elderly people are household heads (65.8%), there is a female headship rate of 57.5%. When considering men and women aged 60 and over separately, women’s main sources of income are pensions or retirement benefits and support from family members residing either within or outside the country.</w:t>
      </w:r>
    </w:p>
    <w:p w14:paraId="620AF85F" w14:textId="5F450D39" w:rsidR="008D18E6" w:rsidRPr="008D18E6" w:rsidRDefault="008D18E6" w:rsidP="008D18E6">
      <w:pPr>
        <w:pStyle w:val="Prrafodelista"/>
        <w:numPr>
          <w:ilvl w:val="0"/>
          <w:numId w:val="2"/>
        </w:numPr>
        <w:jc w:val="both"/>
        <w:rPr>
          <w:rFonts w:ascii="Times New Roman" w:eastAsia="Times New Roman" w:hAnsi="Times New Roman" w:cs="Times New Roman"/>
          <w:sz w:val="24"/>
          <w:szCs w:val="24"/>
          <w:lang w:val="en-US"/>
        </w:rPr>
      </w:pPr>
      <w:r w:rsidRPr="008D18E6">
        <w:rPr>
          <w:rFonts w:ascii="Times New Roman" w:eastAsia="Times New Roman" w:hAnsi="Times New Roman" w:cs="Times New Roman"/>
          <w:sz w:val="24"/>
          <w:szCs w:val="24"/>
          <w:lang w:val="en-US"/>
        </w:rPr>
        <w:t>Most elderly people believe their income is insufficient to meet their basic needs, with women being the most affected (40%). An overwhelming majority (70%) perceive themselves as experiencing deprivations and deficiencies. When analyzed by skin color, those with the greatest income deficiencies are Black or mixed-race individuals (41.1% of the Black population, 43.3% of the mixed-race population, and 36.8% of the white population).</w:t>
      </w:r>
    </w:p>
    <w:p w14:paraId="59E73EC2" w14:textId="28EBAD46" w:rsidR="008D18E6" w:rsidRPr="008D18E6" w:rsidRDefault="008D18E6" w:rsidP="00512109">
      <w:pPr>
        <w:pStyle w:val="Prrafodelista"/>
        <w:numPr>
          <w:ilvl w:val="0"/>
          <w:numId w:val="2"/>
        </w:numPr>
        <w:jc w:val="both"/>
        <w:rPr>
          <w:rFonts w:ascii="Times New Roman" w:eastAsia="Times New Roman" w:hAnsi="Times New Roman" w:cs="Times New Roman"/>
          <w:sz w:val="24"/>
          <w:szCs w:val="24"/>
          <w:lang w:val="en-US"/>
        </w:rPr>
      </w:pPr>
      <w:r w:rsidRPr="008D18E6">
        <w:rPr>
          <w:rFonts w:ascii="Times New Roman" w:eastAsia="Times New Roman" w:hAnsi="Times New Roman" w:cs="Times New Roman"/>
          <w:sz w:val="24"/>
          <w:szCs w:val="24"/>
          <w:lang w:val="en-US"/>
        </w:rPr>
        <w:t>Upon reaching old age, women who remain in the labor market do so under unequal conditions. Data shows that older men are twice as likely to be employed as older women (60.3% vs. 29.9%). Analyzing employment history reveals significant gender differences, with women who have worked remuneratively at much lower proportions. Most elderly people left employment before meeting the requirements for social security benefits (64.5%), a practice more common among women, with 21.6% not being in the labor market or receiving a pension. The cumulative effect of gender discrimination directly impacts many women’s ability to meet their basic needs in their later years.</w:t>
      </w:r>
    </w:p>
    <w:p w14:paraId="339C45B1" w14:textId="505C0844" w:rsidR="00E372DD" w:rsidRPr="00512109" w:rsidRDefault="008D18E6" w:rsidP="00512109">
      <w:pPr>
        <w:pStyle w:val="Prrafodelista"/>
        <w:numPr>
          <w:ilvl w:val="0"/>
          <w:numId w:val="2"/>
        </w:numPr>
        <w:jc w:val="both"/>
        <w:rPr>
          <w:rFonts w:ascii="Times New Roman" w:eastAsia="Times New Roman" w:hAnsi="Times New Roman" w:cs="Times New Roman"/>
          <w:sz w:val="24"/>
          <w:szCs w:val="24"/>
          <w:lang w:val="en-US"/>
        </w:rPr>
      </w:pPr>
      <w:r w:rsidRPr="008D18E6">
        <w:rPr>
          <w:rFonts w:ascii="Times New Roman" w:eastAsia="Times New Roman" w:hAnsi="Times New Roman" w:cs="Times New Roman"/>
          <w:sz w:val="24"/>
          <w:szCs w:val="24"/>
          <w:lang w:val="en-US"/>
        </w:rPr>
        <w:t>Cuban women are not only the majority among the elderly but also the most affected in terms of health, economic conditions, and caregiving burdens. They suffer more from chronic illnesses, with hypertension being the most common (55%), followed by arthritis, rheumatism, or osteoarthritis (36%), diabetes, heart conditions, and nervous disorders. The lack of time and the overload of roles experienced by caregiving women aged 50 and over are direct determinants of the health problems they face</w:t>
      </w:r>
      <w:r w:rsidR="00E372DD" w:rsidRPr="00512109">
        <w:rPr>
          <w:rStyle w:val="Refdenotaalpie"/>
          <w:rFonts w:ascii="Times New Roman" w:eastAsia="Times New Roman" w:hAnsi="Times New Roman" w:cs="Times New Roman"/>
          <w:sz w:val="24"/>
          <w:szCs w:val="24"/>
          <w:lang w:val="es-419"/>
        </w:rPr>
        <w:footnoteReference w:id="8"/>
      </w:r>
      <w:r w:rsidR="00E372DD" w:rsidRPr="00512109">
        <w:rPr>
          <w:rFonts w:ascii="Times New Roman" w:eastAsia="Times New Roman" w:hAnsi="Times New Roman" w:cs="Times New Roman"/>
          <w:sz w:val="24"/>
          <w:szCs w:val="24"/>
          <w:lang w:val="en-US"/>
        </w:rPr>
        <w:t xml:space="preserve">. </w:t>
      </w:r>
    </w:p>
    <w:p w14:paraId="32BE3BE4" w14:textId="6B2A6A62" w:rsidR="008D18E6" w:rsidRPr="00512109" w:rsidRDefault="008D18E6"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 xml:space="preserve">The 'care of dependent persons' and 'family reasons' remain obstacles to the participation of older women in other activities. However, it is older women who participate most in community activities. This is mixed with a negative self-perception of old age. Not feeling strong or thinking that there is nothing one can or knows how to do, along with lack of interest or desire, seem to act as inhibitors of new life projects among older women, who stand out in helping with </w:t>
      </w:r>
      <w:r w:rsidR="008C248B" w:rsidRPr="00512109">
        <w:rPr>
          <w:rFonts w:ascii="Times New Roman" w:eastAsia="Times New Roman" w:hAnsi="Times New Roman" w:cs="Times New Roman"/>
          <w:color w:val="000000"/>
          <w:sz w:val="24"/>
          <w:szCs w:val="24"/>
          <w:lang w:val="en-US"/>
        </w:rPr>
        <w:t>childcare</w:t>
      </w:r>
      <w:r w:rsidRPr="00512109">
        <w:rPr>
          <w:rFonts w:ascii="Times New Roman" w:eastAsia="Times New Roman" w:hAnsi="Times New Roman" w:cs="Times New Roman"/>
          <w:color w:val="000000"/>
          <w:sz w:val="24"/>
          <w:szCs w:val="24"/>
          <w:lang w:val="en-US"/>
        </w:rPr>
        <w:t>, caring for sick individuals, or household chores.</w:t>
      </w:r>
    </w:p>
    <w:p w14:paraId="470C5EE9" w14:textId="55401C86" w:rsidR="008D18E6" w:rsidRPr="00512109" w:rsidRDefault="008D18E6"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Regarding participation, in Cuba only 13.3% of people aged 60 and over engage in a new activity or life project that they had not previously undertaken when they reach their 60s. This behavior shows a significant gender difference. Men generally engage in new work activities, while women tend to lean towards more diverse issues, including—besides work—participation in grandparents' circles, cultural activities, leisure and recreation, volunteering, among others.</w:t>
      </w:r>
    </w:p>
    <w:p w14:paraId="40A1FC9E" w14:textId="26E88E34" w:rsidR="008D18E6" w:rsidRPr="00512109" w:rsidRDefault="008D18E6"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 xml:space="preserve">Addressing the promotion of gender-sensitive policies and initiatives that empower women, support their reproductive choices, and ensure equal participation cannot be </w:t>
      </w:r>
      <w:r w:rsidRPr="00512109">
        <w:rPr>
          <w:rFonts w:ascii="Times New Roman" w:eastAsia="Times New Roman" w:hAnsi="Times New Roman" w:cs="Times New Roman"/>
          <w:color w:val="000000"/>
          <w:sz w:val="24"/>
          <w:szCs w:val="24"/>
          <w:lang w:val="en-US"/>
        </w:rPr>
        <w:lastRenderedPageBreak/>
        <w:t>disconnected from the complexity of these challenges in authoritarian contexts like Cuba. This is why the impact of many norms and programs oriented in this direction is limited in scope, remaining in speeches or statements of principles but failing to have an effective impact on improving women's living conditions or their empowerment.</w:t>
      </w:r>
    </w:p>
    <w:p w14:paraId="2165096D" w14:textId="17932250" w:rsidR="008D18E6" w:rsidRPr="00512109" w:rsidRDefault="008D18E6"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 xml:space="preserve">In 2021, the national aging policy was updated; however, it did not overcome the reductionist approach nor incorporate a gender perspective. Public policy has continued to focus on natalist policies prioritizing measures to stimulate fertility. At the institutional level, there are some recent efforts to work more </w:t>
      </w:r>
      <w:r w:rsidR="005F4129">
        <w:rPr>
          <w:rFonts w:ascii="Times New Roman" w:eastAsia="Times New Roman" w:hAnsi="Times New Roman" w:cs="Times New Roman"/>
          <w:color w:val="000000"/>
          <w:sz w:val="24"/>
          <w:szCs w:val="24"/>
          <w:lang w:val="en-US"/>
        </w:rPr>
        <w:t>holistically</w:t>
      </w:r>
      <w:r w:rsidR="000E6DF2" w:rsidRPr="00512109">
        <w:rPr>
          <w:rFonts w:ascii="Times New Roman" w:eastAsia="Times New Roman" w:hAnsi="Times New Roman" w:cs="Times New Roman"/>
          <w:color w:val="000000"/>
          <w:sz w:val="24"/>
          <w:szCs w:val="24"/>
          <w:lang w:val="en-US"/>
        </w:rPr>
        <w:t xml:space="preserve"> </w:t>
      </w:r>
      <w:r w:rsidRPr="00512109">
        <w:rPr>
          <w:rFonts w:ascii="Times New Roman" w:eastAsia="Times New Roman" w:hAnsi="Times New Roman" w:cs="Times New Roman"/>
          <w:color w:val="000000"/>
          <w:sz w:val="24"/>
          <w:szCs w:val="24"/>
          <w:lang w:val="en-US"/>
        </w:rPr>
        <w:t>on aging issues, with some ministries, academia, and sectors of "authorized" civil society making approaches.</w:t>
      </w:r>
    </w:p>
    <w:p w14:paraId="3C274DC6" w14:textId="4AAF26D0" w:rsidR="008D18E6" w:rsidRPr="00512109" w:rsidRDefault="008D18E6"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Recently, the creation of a National System for Comprehensive Life Care has been announced. This system would include the needs of unpaid caregivers, the creation of care services, allocation of funds for companies supporting related work, and expanding measures to protect and train caregivers. For many academics leading the network, the approach from decision-making to academia could serve as a gateway and an opportunity to position the issue in various institutional spaces. Although there has been an increase in academic publications and policy recommendation documents, there is a lack of public documents regarding the proposed design, feasibility, and economic sustainability.</w:t>
      </w:r>
    </w:p>
    <w:p w14:paraId="4ADF8117" w14:textId="0298248B" w:rsidR="008D18E6" w:rsidRPr="00512109" w:rsidRDefault="008D18E6"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 xml:space="preserve">Social Assistance programs still lack a gender perspective in their design. They are generally conceived and designed for women, limiting men's participation in these tasks. This is evident even in the names of some programs, such as "Social Work Program with Single Mothers of Disabled Children." There is also the Advancement Program for Women (PAM), which, despite being a long-term and broad-reaching policy, lacks a periodic agenda for short-term implementation and cannot be monitored by citizens. Official press covers the occasional statements </w:t>
      </w:r>
      <w:r w:rsidR="00D1071A">
        <w:rPr>
          <w:rFonts w:ascii="Times New Roman" w:eastAsia="Times New Roman" w:hAnsi="Times New Roman" w:cs="Times New Roman"/>
          <w:color w:val="000000"/>
          <w:sz w:val="24"/>
          <w:szCs w:val="24"/>
          <w:lang w:val="en-US"/>
        </w:rPr>
        <w:t>by</w:t>
      </w:r>
      <w:r w:rsidR="00D1071A" w:rsidRPr="00512109">
        <w:rPr>
          <w:rFonts w:ascii="Times New Roman" w:eastAsia="Times New Roman" w:hAnsi="Times New Roman" w:cs="Times New Roman"/>
          <w:color w:val="000000"/>
          <w:sz w:val="24"/>
          <w:szCs w:val="24"/>
          <w:lang w:val="en-US"/>
        </w:rPr>
        <w:t xml:space="preserve"> </w:t>
      </w:r>
      <w:r w:rsidRPr="00512109">
        <w:rPr>
          <w:rFonts w:ascii="Times New Roman" w:eastAsia="Times New Roman" w:hAnsi="Times New Roman" w:cs="Times New Roman"/>
          <w:color w:val="000000"/>
          <w:sz w:val="24"/>
          <w:szCs w:val="24"/>
          <w:lang w:val="en-US"/>
        </w:rPr>
        <w:t>institutional representatives</w:t>
      </w:r>
      <w:r w:rsidR="00D1071A">
        <w:rPr>
          <w:rFonts w:ascii="Times New Roman" w:eastAsia="Times New Roman" w:hAnsi="Times New Roman" w:cs="Times New Roman"/>
          <w:color w:val="000000"/>
          <w:sz w:val="24"/>
          <w:szCs w:val="24"/>
          <w:lang w:val="en-US"/>
        </w:rPr>
        <w:t xml:space="preserve"> on its implementation</w:t>
      </w:r>
      <w:r w:rsidRPr="00512109">
        <w:rPr>
          <w:rFonts w:ascii="Times New Roman" w:eastAsia="Times New Roman" w:hAnsi="Times New Roman" w:cs="Times New Roman"/>
          <w:color w:val="000000"/>
          <w:sz w:val="24"/>
          <w:szCs w:val="24"/>
          <w:lang w:val="en-US"/>
        </w:rPr>
        <w:t>, but the current plan is unknown, making it impossible to evaluate its scope and limitations.</w:t>
      </w:r>
    </w:p>
    <w:p w14:paraId="7B68393A" w14:textId="1F8B2852" w:rsidR="008D18E6" w:rsidRPr="00512109" w:rsidRDefault="008D18E6"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Another advancement is the enactment of the new Family Code (2022), whose approval was designed for a non-binding plebiscite. In terms of human rights for older people, the new norm can be considered more aligned with international human rights instruments, explicitly recognizing the five principles established in the International Convention on the Rights of Older Persons: independence, participation, care, self-realization, and dignity. The importance of Article 212 stands out, which includes the economic valuation of domestic and caregiving work, which had not been recognized as a right until now.</w:t>
      </w:r>
    </w:p>
    <w:p w14:paraId="68685928" w14:textId="21BE94EE" w:rsidR="008D18E6" w:rsidRPr="00512109" w:rsidRDefault="008D18E6"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s-419"/>
        </w:rPr>
      </w:pPr>
      <w:r w:rsidRPr="00512109">
        <w:rPr>
          <w:rFonts w:ascii="Times New Roman" w:eastAsia="Times New Roman" w:hAnsi="Times New Roman" w:cs="Times New Roman"/>
          <w:color w:val="000000"/>
          <w:sz w:val="24"/>
          <w:szCs w:val="24"/>
          <w:lang w:val="en-US"/>
        </w:rPr>
        <w:t xml:space="preserve">However, the assurance and recognition of each of these principles are not adequately balanced in the regulations. For example, in terms of care, duties towards ascendants are not treated equally to those towards descendants. The rights of caregivers, whether remunerated or not in the domestic family context, are also not specified. Another limitation is how the norm legally consolidates the shift in Cuban social policy established in the 2011 Guidelines, related to the greater transfer of caregiving responsibilities to families and less state involvement in social assistance for older people, and in supporting families to perform this role adequately. The Code does not </w:t>
      </w:r>
      <w:r w:rsidR="00691DC1" w:rsidRPr="00512109">
        <w:rPr>
          <w:rFonts w:ascii="Times New Roman" w:eastAsia="Times New Roman" w:hAnsi="Times New Roman" w:cs="Times New Roman"/>
          <w:color w:val="000000"/>
          <w:sz w:val="24"/>
          <w:szCs w:val="24"/>
          <w:lang w:val="en-US"/>
        </w:rPr>
        <w:t>effectively</w:t>
      </w:r>
      <w:r w:rsidRPr="00512109">
        <w:rPr>
          <w:rFonts w:ascii="Times New Roman" w:eastAsia="Times New Roman" w:hAnsi="Times New Roman" w:cs="Times New Roman"/>
          <w:color w:val="000000"/>
          <w:sz w:val="24"/>
          <w:szCs w:val="24"/>
          <w:lang w:val="en-US"/>
        </w:rPr>
        <w:t xml:space="preserve"> recognize older people as subjects of priority care development in public, cultural, and social services and in programs aimed at fostering favorable attitudes towards family institutions, sexuality, and work. </w:t>
      </w:r>
      <w:r w:rsidRPr="00512109">
        <w:rPr>
          <w:rFonts w:ascii="Times New Roman" w:eastAsia="Times New Roman" w:hAnsi="Times New Roman" w:cs="Times New Roman"/>
          <w:color w:val="000000"/>
          <w:sz w:val="24"/>
          <w:szCs w:val="24"/>
          <w:lang w:val="es-419"/>
        </w:rPr>
        <w:t>The principle of participation is also insufficiently developed.</w:t>
      </w:r>
    </w:p>
    <w:p w14:paraId="063153BD" w14:textId="77E5077D" w:rsidR="008D18E6" w:rsidRPr="00512109" w:rsidRDefault="008D18E6"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 xml:space="preserve">In addition to the differential situation of older women and those with disabilities, there are women in other contexts who also face complex situations on the island. For example, migrant women face significant barriers to integration due to strict migration regulations. </w:t>
      </w:r>
      <w:r w:rsidRPr="00512109">
        <w:rPr>
          <w:rFonts w:ascii="Times New Roman" w:eastAsia="Times New Roman" w:hAnsi="Times New Roman" w:cs="Times New Roman"/>
          <w:color w:val="000000"/>
          <w:sz w:val="24"/>
          <w:szCs w:val="24"/>
          <w:lang w:val="en-US"/>
        </w:rPr>
        <w:lastRenderedPageBreak/>
        <w:t>These restrictions limit their ability to obtain work permits and stable residency, affecting their access to basic services and economic opportunities. The situation is similar for internally displaced women, who often face issues related to inadequate housing and limited access to essential services, whether due to natural disasters or adverse economic situations. In the case of women deprived of liberty, reports from Prisoners Defenders highlight problems such as overcrowding and limited access to medical care and basic services within prisons. Additionally, the restricted availability of educational and rehabilitation programs, along with social stigmatization, further complicates their reintegration and the search for opportunities once released.</w:t>
      </w:r>
    </w:p>
    <w:p w14:paraId="2CC1558A" w14:textId="0BCB4B54" w:rsidR="00512109" w:rsidRPr="00512109" w:rsidRDefault="00F13838"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Additiona</w:t>
      </w:r>
      <w:r w:rsidR="00672A13">
        <w:rPr>
          <w:rFonts w:ascii="Times New Roman" w:eastAsia="Times New Roman" w:hAnsi="Times New Roman" w:cs="Times New Roman"/>
          <w:color w:val="000000"/>
          <w:sz w:val="24"/>
          <w:szCs w:val="24"/>
          <w:lang w:val="en-US"/>
        </w:rPr>
        <w:t>l t</w:t>
      </w:r>
      <w:r w:rsidR="008D18E6" w:rsidRPr="00512109">
        <w:rPr>
          <w:rFonts w:ascii="Times New Roman" w:eastAsia="Times New Roman" w:hAnsi="Times New Roman" w:cs="Times New Roman"/>
          <w:color w:val="000000"/>
          <w:sz w:val="24"/>
          <w:szCs w:val="24"/>
          <w:lang w:val="en-US"/>
        </w:rPr>
        <w:t xml:space="preserve">o these barriers is the fact that many migrant women are pushed into </w:t>
      </w:r>
      <w:r w:rsidR="00672A13">
        <w:rPr>
          <w:rFonts w:ascii="Times New Roman" w:eastAsia="Times New Roman" w:hAnsi="Times New Roman" w:cs="Times New Roman"/>
          <w:color w:val="000000"/>
          <w:sz w:val="24"/>
          <w:szCs w:val="24"/>
          <w:lang w:val="en-US"/>
        </w:rPr>
        <w:t xml:space="preserve">conditions </w:t>
      </w:r>
      <w:proofErr w:type="spellStart"/>
      <w:r w:rsidR="00672A13">
        <w:rPr>
          <w:rFonts w:ascii="Times New Roman" w:eastAsia="Times New Roman" w:hAnsi="Times New Roman" w:cs="Times New Roman"/>
          <w:color w:val="000000"/>
          <w:sz w:val="24"/>
          <w:szCs w:val="24"/>
          <w:lang w:val="en-US"/>
        </w:rPr>
        <w:t>of</w:t>
      </w:r>
      <w:r w:rsidR="008D18E6" w:rsidRPr="00512109">
        <w:rPr>
          <w:rFonts w:ascii="Times New Roman" w:eastAsia="Times New Roman" w:hAnsi="Times New Roman" w:cs="Times New Roman"/>
          <w:color w:val="000000"/>
          <w:sz w:val="24"/>
          <w:szCs w:val="24"/>
          <w:lang w:val="en-US"/>
        </w:rPr>
        <w:t>extreme</w:t>
      </w:r>
      <w:proofErr w:type="spellEnd"/>
      <w:r w:rsidR="008D18E6" w:rsidRPr="00512109">
        <w:rPr>
          <w:rFonts w:ascii="Times New Roman" w:eastAsia="Times New Roman" w:hAnsi="Times New Roman" w:cs="Times New Roman"/>
          <w:color w:val="000000"/>
          <w:sz w:val="24"/>
          <w:szCs w:val="24"/>
          <w:lang w:val="en-US"/>
        </w:rPr>
        <w:t xml:space="preserve"> vulnerability</w:t>
      </w:r>
      <w:r w:rsidR="00274170" w:rsidRPr="00512109">
        <w:rPr>
          <w:rFonts w:ascii="Times New Roman" w:hAnsi="Times New Roman" w:cs="Times New Roman"/>
          <w:sz w:val="24"/>
          <w:szCs w:val="24"/>
          <w:vertAlign w:val="superscript"/>
        </w:rPr>
        <w:footnoteReference w:id="9"/>
      </w:r>
      <w:r w:rsidR="00512109" w:rsidRPr="00512109">
        <w:rPr>
          <w:rFonts w:ascii="Times New Roman" w:eastAsia="Times New Roman" w:hAnsi="Times New Roman" w:cs="Times New Roman"/>
          <w:sz w:val="24"/>
          <w:szCs w:val="24"/>
          <w:lang w:val="en-US"/>
        </w:rPr>
        <w:t xml:space="preserve">, such as informal labor, exploitation, and gender-based violence. These </w:t>
      </w:r>
      <w:r w:rsidR="00AA22B1" w:rsidRPr="00512109">
        <w:rPr>
          <w:rFonts w:ascii="Times New Roman" w:eastAsia="Times New Roman" w:hAnsi="Times New Roman" w:cs="Times New Roman"/>
          <w:sz w:val="24"/>
          <w:szCs w:val="24"/>
          <w:lang w:val="en-US"/>
        </w:rPr>
        <w:t>circumstances</w:t>
      </w:r>
      <w:r w:rsidR="00512109" w:rsidRPr="00512109">
        <w:rPr>
          <w:rFonts w:ascii="Times New Roman" w:eastAsia="Times New Roman" w:hAnsi="Times New Roman" w:cs="Times New Roman"/>
          <w:sz w:val="24"/>
          <w:szCs w:val="24"/>
          <w:lang w:val="en-US"/>
        </w:rPr>
        <w:t xml:space="preserve"> are exacerbated by the lack of a support network in an environment where migration laws severely limit their access to basic rights and health services. Migrant women in Cuba, especially those coming from conflict or extreme poverty situations, find it particularly difficult to rebuild their lives in a context that does not always offer them protection or stability.</w:t>
      </w:r>
    </w:p>
    <w:p w14:paraId="0FFB502D" w14:textId="25A946A6" w:rsidR="00512109" w:rsidRPr="00512109" w:rsidRDefault="00512109" w:rsidP="00512109">
      <w:pPr>
        <w:pStyle w:val="Prrafodelista"/>
        <w:numPr>
          <w:ilvl w:val="0"/>
          <w:numId w:val="2"/>
        </w:numPr>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 xml:space="preserve">In the case of lesbian, bisexual, transgender, and intersex women, they continue to face significant discrimination. Despite advances in visibility and rights promotion for the LGBTI+ community, transgender and intersex women face </w:t>
      </w:r>
      <w:r w:rsidR="009146D8">
        <w:rPr>
          <w:rFonts w:ascii="Times New Roman" w:eastAsia="Times New Roman" w:hAnsi="Times New Roman" w:cs="Times New Roman"/>
          <w:sz w:val="24"/>
          <w:szCs w:val="24"/>
          <w:lang w:val="en-US"/>
        </w:rPr>
        <w:t xml:space="preserve">particularly </w:t>
      </w:r>
      <w:r w:rsidRPr="00512109">
        <w:rPr>
          <w:rFonts w:ascii="Times New Roman" w:eastAsia="Times New Roman" w:hAnsi="Times New Roman" w:cs="Times New Roman"/>
          <w:sz w:val="24"/>
          <w:szCs w:val="24"/>
          <w:lang w:val="en-US"/>
        </w:rPr>
        <w:t xml:space="preserve">severe obstacles imposed by both society and institutions. The lack of legal recognition of their gender identities often leads to problems obtaining official documents and accessing public services, affecting their employment and salary opportunities. </w:t>
      </w:r>
      <w:r w:rsidR="009146D8" w:rsidRPr="00512109">
        <w:rPr>
          <w:rFonts w:ascii="Times New Roman" w:eastAsia="Times New Roman" w:hAnsi="Times New Roman" w:cs="Times New Roman"/>
          <w:sz w:val="24"/>
          <w:szCs w:val="24"/>
          <w:lang w:val="en-US"/>
        </w:rPr>
        <w:t>Moreover</w:t>
      </w:r>
      <w:r w:rsidRPr="00512109">
        <w:rPr>
          <w:rFonts w:ascii="Times New Roman" w:eastAsia="Times New Roman" w:hAnsi="Times New Roman" w:cs="Times New Roman"/>
          <w:sz w:val="24"/>
          <w:szCs w:val="24"/>
          <w:lang w:val="en-US"/>
        </w:rPr>
        <w:t xml:space="preserve">, they face serious barriers to accessing adequate health services, especially related to gender transition. Cases of suspension of hormone treatments and denials of sex reassignment surgeries </w:t>
      </w:r>
      <w:r w:rsidR="00AB0312">
        <w:rPr>
          <w:rFonts w:ascii="Times New Roman" w:eastAsia="Times New Roman" w:hAnsi="Times New Roman" w:cs="Times New Roman"/>
          <w:sz w:val="24"/>
          <w:szCs w:val="24"/>
          <w:lang w:val="en-US"/>
        </w:rPr>
        <w:t>-</w:t>
      </w:r>
      <w:r w:rsidRPr="00512109">
        <w:rPr>
          <w:rFonts w:ascii="Times New Roman" w:eastAsia="Times New Roman" w:hAnsi="Times New Roman" w:cs="Times New Roman"/>
          <w:sz w:val="24"/>
          <w:szCs w:val="24"/>
          <w:lang w:val="en-US"/>
        </w:rPr>
        <w:t xml:space="preserve">whether due to </w:t>
      </w:r>
      <w:r w:rsidR="00AB0312">
        <w:rPr>
          <w:rFonts w:ascii="Times New Roman" w:eastAsia="Times New Roman" w:hAnsi="Times New Roman" w:cs="Times New Roman"/>
          <w:sz w:val="24"/>
          <w:szCs w:val="24"/>
          <w:lang w:val="en-US"/>
        </w:rPr>
        <w:t xml:space="preserve">medical supply </w:t>
      </w:r>
      <w:r w:rsidRPr="00512109">
        <w:rPr>
          <w:rFonts w:ascii="Times New Roman" w:eastAsia="Times New Roman" w:hAnsi="Times New Roman" w:cs="Times New Roman"/>
          <w:sz w:val="24"/>
          <w:szCs w:val="24"/>
          <w:lang w:val="en-US"/>
        </w:rPr>
        <w:t>shortages or institutional violence</w:t>
      </w:r>
      <w:r w:rsidR="00C24ABA">
        <w:rPr>
          <w:rFonts w:ascii="Times New Roman" w:eastAsia="Times New Roman" w:hAnsi="Times New Roman" w:cs="Times New Roman"/>
          <w:sz w:val="24"/>
          <w:szCs w:val="24"/>
          <w:lang w:val="en-US"/>
        </w:rPr>
        <w:t>-</w:t>
      </w:r>
      <w:r w:rsidRPr="00512109">
        <w:rPr>
          <w:rFonts w:ascii="Times New Roman" w:eastAsia="Times New Roman" w:hAnsi="Times New Roman" w:cs="Times New Roman"/>
          <w:sz w:val="24"/>
          <w:szCs w:val="24"/>
          <w:lang w:val="en-US"/>
        </w:rPr>
        <w:t xml:space="preserve"> underscore the need for greater inclusion and protection of their rights.</w:t>
      </w:r>
    </w:p>
    <w:p w14:paraId="5871E8B6" w14:textId="55A062D7" w:rsidR="00995CA1" w:rsidRPr="00512109" w:rsidRDefault="00512109" w:rsidP="00512109">
      <w:pPr>
        <w:pStyle w:val="Prrafodelista"/>
        <w:numPr>
          <w:ilvl w:val="0"/>
          <w:numId w:val="2"/>
        </w:numPr>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Lesbophobia in Cuba is also a widespread phenomenon. Lesbian women in Cuba face a double exclusion, both from society at large and within the LGBTI+ community itself. According to the report “If They Don't Mention Us, We Don't Exist,” 69% of surveyed women reported experiencing some form of lesbophobia, with 56.4% reporting having heard homophobic jokes behind their backs in their workplaces or study environments. This percentage reflects a deeply discriminatory society that resists accepting sexual diversity</w:t>
      </w:r>
      <w:r w:rsidR="00274170" w:rsidRPr="00512109">
        <w:rPr>
          <w:rFonts w:ascii="Times New Roman" w:hAnsi="Times New Roman" w:cs="Times New Roman"/>
          <w:sz w:val="24"/>
          <w:szCs w:val="24"/>
          <w:vertAlign w:val="superscript"/>
        </w:rPr>
        <w:footnoteReference w:id="10"/>
      </w:r>
      <w:r w:rsidR="00274170" w:rsidRPr="00512109">
        <w:rPr>
          <w:rFonts w:ascii="Times New Roman" w:eastAsia="Times New Roman" w:hAnsi="Times New Roman" w:cs="Times New Roman"/>
          <w:sz w:val="24"/>
          <w:szCs w:val="24"/>
          <w:lang w:val="en-US"/>
        </w:rPr>
        <w:t>.</w:t>
      </w:r>
    </w:p>
    <w:p w14:paraId="28917C1E" w14:textId="77777777"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 xml:space="preserve">The report indicates that discrimination against lesbian women persists in the workplace and educational settings. 14.5% of respondents believe they were fired or expelled due to their sexual orientation, while 5.5% feel they were denied access to jobs or educational </w:t>
      </w:r>
      <w:r w:rsidRPr="00512109">
        <w:rPr>
          <w:rFonts w:ascii="Times New Roman" w:eastAsia="Times New Roman" w:hAnsi="Times New Roman" w:cs="Times New Roman"/>
          <w:color w:val="000000"/>
          <w:sz w:val="24"/>
          <w:szCs w:val="24"/>
          <w:lang w:val="en-US"/>
        </w:rPr>
        <w:lastRenderedPageBreak/>
        <w:t xml:space="preserve">institutions for the same reason. Additionally, 72.7% of the surveyed women have been criticized for their clothing or hairstyle, revealing a strong persistence of gender stereotypes. They have also been victims of the clumsy implementation of legislative advances, such as the approval of same-sex marriage (2022), which remains governed by an exclusionary, binary, and </w:t>
      </w:r>
      <w:proofErr w:type="spellStart"/>
      <w:r w:rsidRPr="00512109">
        <w:rPr>
          <w:rFonts w:ascii="Times New Roman" w:eastAsia="Times New Roman" w:hAnsi="Times New Roman" w:cs="Times New Roman"/>
          <w:color w:val="000000"/>
          <w:sz w:val="24"/>
          <w:szCs w:val="24"/>
          <w:lang w:val="en-US"/>
        </w:rPr>
        <w:t>cisheteronormative</w:t>
      </w:r>
      <w:proofErr w:type="spellEnd"/>
      <w:r w:rsidRPr="00512109">
        <w:rPr>
          <w:rFonts w:ascii="Times New Roman" w:eastAsia="Times New Roman" w:hAnsi="Times New Roman" w:cs="Times New Roman"/>
          <w:color w:val="000000"/>
          <w:sz w:val="24"/>
          <w:szCs w:val="24"/>
          <w:lang w:val="en-US"/>
        </w:rPr>
        <w:t xml:space="preserve"> language.</w:t>
      </w:r>
    </w:p>
    <w:p w14:paraId="70536004" w14:textId="735ACA40"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Lesbian women in Cuba also face discrimination in the Cuban health system, where they are often treated based on stereotypes. Public health policies do not adequately recognize their specific needs, perpetuating discrimination and exclusion in accessing health services.</w:t>
      </w:r>
    </w:p>
    <w:p w14:paraId="4997607B" w14:textId="5022AEC4"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Referring to the previously exposed data, addressing the challenges faced by women in Cuba, especially older women, those with disabilities, and other vulnerable groups, requires a comprehensive and multifaceted approach by the government. Firstly, it is essential to strengthen the health and social protection system. This involves increasing funding and resources for health services, ensuring specialized care for older adults, such as geriatrics, and improving the availability of medications and medical assistance. Additionally, it is crucial to continuously train health personnel in the specific needs of older adults and caregivers, adopting a gender and human rights approach in healthcare.</w:t>
      </w:r>
    </w:p>
    <w:p w14:paraId="4F5D1F3B" w14:textId="269B3924"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Simultaneously, a National Care System should be developed to promote shared responsibility among the state, the community, and families. This system should alleviate the disproportionate burden faced by women as unpaid caregivers. To achieve this, economic, psychological, and social support programs for caregivers need to be implemented, including special funds for companies offering care services or supporting related actions. Furthermore, community-based day care centers and in-home support services for older adults and those with disabilities should be established, ensuring universal and affordable access to these services.</w:t>
      </w:r>
    </w:p>
    <w:p w14:paraId="4283FE63" w14:textId="5569C476"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In terms of normative and public policy reforms, it is crucial to update the national aging policy to incorporate a gender and intersectional approach, ensuring that the specific needs of older women are adequately addressed. It is also important to improve the implementation of the Family Code, guaranteeing the protection and promotion of the rights of older women and caregivers, and fostering a culture of priority care for older adults across all sectors. Moreover, the active participation of older women in the design and evaluation of policies affecting them should be ensured, promoting a safe and accessible community environment that facilitates their involvement in public life.</w:t>
      </w:r>
    </w:p>
    <w:p w14:paraId="5CC301A4" w14:textId="50F9BEAA"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 xml:space="preserve">To address the needs of vulnerable groups, it is necessary to ensure legal recognition of LGBTI+ gender identities, removing barriers to accessing public services and </w:t>
      </w:r>
      <w:r w:rsidR="00E75536" w:rsidRPr="00512109">
        <w:rPr>
          <w:rFonts w:ascii="Times New Roman" w:eastAsia="Times New Roman" w:hAnsi="Times New Roman" w:cs="Times New Roman"/>
          <w:color w:val="000000"/>
          <w:sz w:val="24"/>
          <w:szCs w:val="24"/>
          <w:lang w:val="en-US"/>
        </w:rPr>
        <w:t>safeguarding</w:t>
      </w:r>
      <w:r w:rsidRPr="00512109">
        <w:rPr>
          <w:rFonts w:ascii="Times New Roman" w:eastAsia="Times New Roman" w:hAnsi="Times New Roman" w:cs="Times New Roman"/>
          <w:color w:val="000000"/>
          <w:sz w:val="24"/>
          <w:szCs w:val="24"/>
          <w:lang w:val="en-US"/>
        </w:rPr>
        <w:t xml:space="preserve"> continuous provision of hormone treatments and gender affirmation surgeries. Improving conditions in women’s prisons is also crucial, </w:t>
      </w:r>
      <w:r w:rsidR="00313573" w:rsidRPr="00512109">
        <w:rPr>
          <w:rFonts w:ascii="Times New Roman" w:eastAsia="Times New Roman" w:hAnsi="Times New Roman" w:cs="Times New Roman"/>
          <w:color w:val="000000"/>
          <w:sz w:val="24"/>
          <w:szCs w:val="24"/>
          <w:lang w:val="en-US"/>
        </w:rPr>
        <w:t>guaranteeing</w:t>
      </w:r>
      <w:r w:rsidRPr="00512109">
        <w:rPr>
          <w:rFonts w:ascii="Times New Roman" w:eastAsia="Times New Roman" w:hAnsi="Times New Roman" w:cs="Times New Roman"/>
          <w:color w:val="000000"/>
          <w:sz w:val="24"/>
          <w:szCs w:val="24"/>
          <w:lang w:val="en-US"/>
        </w:rPr>
        <w:t xml:space="preserve"> access to basic services, educational and rehabilitation programs, and facilitating their reintegration into society with social and economic support. For migrant and internally displaced women, inclusive policies are needed to allow their social and economic integration, ensuring access to basic services, housing, and employment.</w:t>
      </w:r>
    </w:p>
    <w:p w14:paraId="4022DD13" w14:textId="3CC683F9"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Furthermore, there is an urgent need to promote research and collect disaggregated data by gender, age, ethnicity, and disability status to accurately assess inequalities and needs. This should be accompanied by accessible monitoring mechanisms for citizens, allowing continuous evaluation of the effectiveness and scope of policies. Additionally, supporting the development of community and civil society initiatives that work in social and care services is essential, removing political obstacles and resistance to their operation.</w:t>
      </w:r>
    </w:p>
    <w:p w14:paraId="1487FC58" w14:textId="18145195"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lastRenderedPageBreak/>
        <w:t xml:space="preserve">Finally, it is necessary to reform the pension system to ensure its sustainability, guaranteeing that older women receive sufficient pensions to cover their basic needs, and adjusting benefits according to the country’s economic reality. To reduce poverty and inequality, policies should be implemented to ensure that older women and those from more vulnerable sectors, such as those affected by skin color or rurality, have access to adequate resources for a dignified life. These recommendations aim to address the challenges faced by women in Cuba comprehensively, promoting a gender approach in public policies and social programs to </w:t>
      </w:r>
      <w:r w:rsidR="00E75536" w:rsidRPr="00512109">
        <w:rPr>
          <w:rFonts w:ascii="Times New Roman" w:eastAsia="Times New Roman" w:hAnsi="Times New Roman" w:cs="Times New Roman"/>
          <w:color w:val="000000"/>
          <w:sz w:val="24"/>
          <w:szCs w:val="24"/>
          <w:lang w:val="en-US"/>
        </w:rPr>
        <w:t>guarantee</w:t>
      </w:r>
      <w:r w:rsidRPr="00512109">
        <w:rPr>
          <w:rFonts w:ascii="Times New Roman" w:eastAsia="Times New Roman" w:hAnsi="Times New Roman" w:cs="Times New Roman"/>
          <w:color w:val="000000"/>
          <w:sz w:val="24"/>
          <w:szCs w:val="24"/>
          <w:lang w:val="en-US"/>
        </w:rPr>
        <w:t xml:space="preserve"> equity and respect for human rights.</w:t>
      </w:r>
    </w:p>
    <w:p w14:paraId="504C5FA4" w14:textId="09614D9B" w:rsidR="00995CA1"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512109">
        <w:rPr>
          <w:rFonts w:ascii="Times New Roman" w:eastAsia="Times New Roman" w:hAnsi="Times New Roman" w:cs="Times New Roman"/>
          <w:color w:val="000000"/>
          <w:sz w:val="24"/>
          <w:szCs w:val="24"/>
          <w:lang w:val="en-US"/>
        </w:rPr>
        <w:t xml:space="preserve">During and after the pandemic (COVID-19), the international economic recession and the health crisis impacted the Cuban government’s ability to ensure food security for the population on the island. The closure of the service economy focused on tourism and the lack of sustainable production alternatives led to a drastic shortage of foreign currency for purchasing goods on the international market. This, along with failed economic policies, such as the </w:t>
      </w:r>
      <w:r w:rsidR="00055BA6">
        <w:rPr>
          <w:rFonts w:ascii="Times New Roman" w:eastAsia="Times New Roman" w:hAnsi="Times New Roman" w:cs="Times New Roman"/>
          <w:color w:val="000000"/>
          <w:sz w:val="24"/>
          <w:szCs w:val="24"/>
          <w:lang w:val="en-US"/>
        </w:rPr>
        <w:t>“</w:t>
      </w:r>
      <w:proofErr w:type="spellStart"/>
      <w:r w:rsidR="00055BA6">
        <w:rPr>
          <w:rFonts w:ascii="Times New Roman" w:eastAsia="Times New Roman" w:hAnsi="Times New Roman" w:cs="Times New Roman"/>
          <w:color w:val="000000"/>
          <w:sz w:val="24"/>
          <w:szCs w:val="24"/>
          <w:lang w:val="en-US"/>
        </w:rPr>
        <w:t>Tarea</w:t>
      </w:r>
      <w:proofErr w:type="spellEnd"/>
      <w:r w:rsidR="00055BA6">
        <w:rPr>
          <w:rFonts w:ascii="Times New Roman" w:eastAsia="Times New Roman" w:hAnsi="Times New Roman" w:cs="Times New Roman"/>
          <w:color w:val="000000"/>
          <w:sz w:val="24"/>
          <w:szCs w:val="24"/>
          <w:lang w:val="en-US"/>
        </w:rPr>
        <w:t xml:space="preserve"> de Ordenamiento”</w:t>
      </w:r>
      <w:r w:rsidRPr="00512109">
        <w:rPr>
          <w:rFonts w:ascii="Times New Roman" w:eastAsia="Times New Roman" w:hAnsi="Times New Roman" w:cs="Times New Roman"/>
          <w:color w:val="000000"/>
          <w:sz w:val="24"/>
          <w:szCs w:val="24"/>
          <w:lang w:val="en-US"/>
        </w:rPr>
        <w:t>, and a 67% drop in national food production, has exacerbated food insecurity</w:t>
      </w:r>
      <w:r w:rsidR="00274170" w:rsidRPr="00512109">
        <w:rPr>
          <w:rFonts w:ascii="Times New Roman" w:hAnsi="Times New Roman" w:cs="Times New Roman"/>
          <w:sz w:val="24"/>
          <w:szCs w:val="24"/>
          <w:vertAlign w:val="superscript"/>
        </w:rPr>
        <w:footnoteReference w:id="11"/>
      </w:r>
      <w:r w:rsidR="00274170" w:rsidRPr="00512109">
        <w:rPr>
          <w:rFonts w:ascii="Times New Roman" w:eastAsia="Times New Roman" w:hAnsi="Times New Roman" w:cs="Times New Roman"/>
          <w:sz w:val="24"/>
          <w:szCs w:val="24"/>
          <w:lang w:val="en-US"/>
        </w:rPr>
        <w:t xml:space="preserve">. </w:t>
      </w:r>
      <w:r w:rsidRPr="00512109">
        <w:rPr>
          <w:rFonts w:ascii="Times New Roman" w:eastAsia="Times New Roman" w:hAnsi="Times New Roman" w:cs="Times New Roman"/>
          <w:sz w:val="24"/>
          <w:szCs w:val="24"/>
        </w:rPr>
        <w:t>The state policies implemented to address these conditions have followed two fundamental approaches. First, there has been a deepening of excessive penalization for common crimes, as well as greater criminalization of survival practices used to cope with the crisis. Second, there has been increased control and rationing of distributed goods. Both restrictive mechanisms have only served to increase illegal contracts and the black market, in the absence of formal strategies for securing food.</w:t>
      </w:r>
    </w:p>
    <w:p w14:paraId="3CCB4EAB" w14:textId="5E8A8217" w:rsidR="00995CA1" w:rsidRPr="00512109" w:rsidRDefault="00512109" w:rsidP="00995CA1">
      <w:pPr>
        <w:pStyle w:val="Prrafodelista"/>
        <w:numPr>
          <w:ilvl w:val="0"/>
          <w:numId w:val="2"/>
        </w:numPr>
        <w:pBdr>
          <w:top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rPr>
        <w:t xml:space="preserve">Two practices that have been highlighted as inadequate include, first, the </w:t>
      </w:r>
      <w:r w:rsidR="003F3AC6">
        <w:rPr>
          <w:rFonts w:ascii="Times New Roman" w:eastAsia="Times New Roman" w:hAnsi="Times New Roman" w:cs="Times New Roman"/>
          <w:sz w:val="24"/>
          <w:szCs w:val="24"/>
        </w:rPr>
        <w:t>commercialization</w:t>
      </w:r>
      <w:r w:rsidR="003F3AC6" w:rsidRPr="00512109">
        <w:rPr>
          <w:rFonts w:ascii="Times New Roman" w:eastAsia="Times New Roman" w:hAnsi="Times New Roman" w:cs="Times New Roman"/>
          <w:sz w:val="24"/>
          <w:szCs w:val="24"/>
        </w:rPr>
        <w:t xml:space="preserve"> </w:t>
      </w:r>
      <w:r w:rsidRPr="00512109">
        <w:rPr>
          <w:rFonts w:ascii="Times New Roman" w:eastAsia="Times New Roman" w:hAnsi="Times New Roman" w:cs="Times New Roman"/>
          <w:sz w:val="24"/>
          <w:szCs w:val="24"/>
        </w:rPr>
        <w:t xml:space="preserve">of food provided by organizations like the UNDP as donations (such as pasta, cooking oil, rice, and canned sardines), which are then sold by the state through the national supply stores. Additionally, the periodic distribution/sale of products has been identified </w:t>
      </w:r>
      <w:proofErr w:type="gramStart"/>
      <w:r w:rsidRPr="00512109">
        <w:rPr>
          <w:rFonts w:ascii="Times New Roman" w:eastAsia="Times New Roman" w:hAnsi="Times New Roman" w:cs="Times New Roman"/>
          <w:sz w:val="24"/>
          <w:szCs w:val="24"/>
        </w:rPr>
        <w:t>as a way to</w:t>
      </w:r>
      <w:proofErr w:type="gramEnd"/>
      <w:r w:rsidRPr="00512109">
        <w:rPr>
          <w:rFonts w:ascii="Times New Roman" w:eastAsia="Times New Roman" w:hAnsi="Times New Roman" w:cs="Times New Roman"/>
          <w:sz w:val="24"/>
          <w:szCs w:val="24"/>
        </w:rPr>
        <w:t xml:space="preserve"> ensure consensus and act as a pressure valve in response to events of citizen dissatisfaction such as protests. In the face of shortages of goods and services, there has been a significant increase in popular uprisings, with the most notable occurring on July 11, 2021 (nationwide), September 2022 (Havana), May 2023 (Guantanamo), and May 2024 (Havana); where the main demands were for food, energy, and potable water, exemplified by cries for “food and power.” After each of these events, the government has used the conditional distribution of limited products as a form of appeasement</w:t>
      </w:r>
      <w:r w:rsidR="00274170">
        <w:rPr>
          <w:vertAlign w:val="superscript"/>
        </w:rPr>
        <w:footnoteReference w:id="12"/>
      </w:r>
      <w:r w:rsidR="00274170" w:rsidRPr="00512109">
        <w:rPr>
          <w:rFonts w:ascii="Times New Roman" w:eastAsia="Times New Roman" w:hAnsi="Times New Roman" w:cs="Times New Roman"/>
          <w:sz w:val="24"/>
          <w:szCs w:val="24"/>
          <w:lang w:val="en-US"/>
        </w:rPr>
        <w:t>.</w:t>
      </w:r>
    </w:p>
    <w:p w14:paraId="72A8F605" w14:textId="2FCBBAB4" w:rsidR="00995CA1" w:rsidRPr="00512109" w:rsidRDefault="00512109" w:rsidP="00995CA1">
      <w:pPr>
        <w:pStyle w:val="Prrafodelista"/>
        <w:numPr>
          <w:ilvl w:val="0"/>
          <w:numId w:val="2"/>
        </w:numPr>
        <w:pBdr>
          <w:top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rPr>
        <w:t xml:space="preserve">Moreover, </w:t>
      </w:r>
      <w:r w:rsidR="00EA718D">
        <w:rPr>
          <w:rFonts w:ascii="Times New Roman" w:eastAsia="Times New Roman" w:hAnsi="Times New Roman" w:cs="Times New Roman"/>
          <w:sz w:val="24"/>
          <w:szCs w:val="24"/>
        </w:rPr>
        <w:t>Food Monitor Program (</w:t>
      </w:r>
      <w:r w:rsidRPr="00512109">
        <w:rPr>
          <w:rFonts w:ascii="Times New Roman" w:eastAsia="Times New Roman" w:hAnsi="Times New Roman" w:cs="Times New Roman"/>
          <w:sz w:val="24"/>
          <w:szCs w:val="24"/>
        </w:rPr>
        <w:t>FMP</w:t>
      </w:r>
      <w:r w:rsidR="00EA718D">
        <w:rPr>
          <w:rFonts w:ascii="Times New Roman" w:eastAsia="Times New Roman" w:hAnsi="Times New Roman" w:cs="Times New Roman"/>
          <w:sz w:val="24"/>
          <w:szCs w:val="24"/>
        </w:rPr>
        <w:t>)</w:t>
      </w:r>
      <w:r w:rsidRPr="00512109">
        <w:rPr>
          <w:rFonts w:ascii="Times New Roman" w:eastAsia="Times New Roman" w:hAnsi="Times New Roman" w:cs="Times New Roman"/>
          <w:sz w:val="24"/>
          <w:szCs w:val="24"/>
        </w:rPr>
        <w:t xml:space="preserve"> has gathered testimonies about the increase in uncertainty, stress, and depression related to shortages and control over distribution. In this regard, there is a noticeable normalization of precariousness, as well as a skewed understanding of what constitutes a basic basket, nutritional and food security. Specifically, in peri-urban and rural areas, where there is greater instability and lack of safety in the delivery of food and basic services, most interviewees perceive their access as “good” or “safe” based on distribution limits and schedules for receiving potable water or </w:t>
      </w:r>
      <w:r w:rsidRPr="00512109">
        <w:rPr>
          <w:rFonts w:ascii="Times New Roman" w:eastAsia="Times New Roman" w:hAnsi="Times New Roman" w:cs="Times New Roman"/>
          <w:sz w:val="24"/>
          <w:szCs w:val="24"/>
        </w:rPr>
        <w:lastRenderedPageBreak/>
        <w:t>manufactured gas for cooking</w:t>
      </w:r>
      <w:r w:rsidR="00274170">
        <w:rPr>
          <w:vertAlign w:val="superscript"/>
        </w:rPr>
        <w:footnoteReference w:id="13"/>
      </w:r>
      <w:r w:rsidR="00274170" w:rsidRPr="00512109">
        <w:rPr>
          <w:rFonts w:ascii="Times New Roman" w:eastAsia="Times New Roman" w:hAnsi="Times New Roman" w:cs="Times New Roman"/>
          <w:sz w:val="24"/>
          <w:szCs w:val="24"/>
          <w:lang w:val="en-US"/>
        </w:rPr>
        <w:t xml:space="preserve">. </w:t>
      </w:r>
      <w:r w:rsidRPr="00512109">
        <w:rPr>
          <w:rFonts w:ascii="Times New Roman" w:eastAsia="Times New Roman" w:hAnsi="Times New Roman" w:cs="Times New Roman"/>
          <w:sz w:val="24"/>
          <w:szCs w:val="24"/>
        </w:rPr>
        <w:t>Other interviewees report attempting to adapt to the circumstances, for example, by reducing or eliminating one meal a day and substituting foods. One of the most relevant pieces of evidence is the consumption of infusions in the absence of milk, as well as resorting to foods higher in carbohydrates (bread, cookies) and sugar, in the absence of necessary nutrients</w:t>
      </w:r>
      <w:r w:rsidR="00274170">
        <w:rPr>
          <w:vertAlign w:val="superscript"/>
        </w:rPr>
        <w:footnoteReference w:id="14"/>
      </w:r>
      <w:r w:rsidR="00274170" w:rsidRPr="00512109">
        <w:rPr>
          <w:rFonts w:ascii="Times New Roman" w:eastAsia="Times New Roman" w:hAnsi="Times New Roman" w:cs="Times New Roman"/>
          <w:sz w:val="24"/>
          <w:szCs w:val="24"/>
          <w:lang w:val="en-US"/>
        </w:rPr>
        <w:t xml:space="preserve">. </w:t>
      </w:r>
    </w:p>
    <w:p w14:paraId="6E020124" w14:textId="58C7FDE4"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 xml:space="preserve">This scenario has worsened with subsequent economic measures that show a growing state capitalism through </w:t>
      </w:r>
      <w:r w:rsidR="00296DEC" w:rsidRPr="00512109">
        <w:rPr>
          <w:rFonts w:ascii="Times New Roman" w:eastAsia="Times New Roman" w:hAnsi="Times New Roman" w:cs="Times New Roman"/>
          <w:sz w:val="24"/>
          <w:szCs w:val="24"/>
          <w:lang w:val="en-US"/>
        </w:rPr>
        <w:t xml:space="preserve">banking and </w:t>
      </w:r>
      <w:r w:rsidRPr="00512109">
        <w:rPr>
          <w:rFonts w:ascii="Times New Roman" w:eastAsia="Times New Roman" w:hAnsi="Times New Roman" w:cs="Times New Roman"/>
          <w:sz w:val="24"/>
          <w:szCs w:val="24"/>
          <w:lang w:val="en-US"/>
        </w:rPr>
        <w:t xml:space="preserve">the dollarization of the market, as well as the </w:t>
      </w:r>
      <w:proofErr w:type="spellStart"/>
      <w:r w:rsidRPr="00512109">
        <w:rPr>
          <w:rFonts w:ascii="Times New Roman" w:eastAsia="Times New Roman" w:hAnsi="Times New Roman" w:cs="Times New Roman"/>
          <w:sz w:val="24"/>
          <w:szCs w:val="24"/>
          <w:lang w:val="en-US"/>
        </w:rPr>
        <w:t>platformization</w:t>
      </w:r>
      <w:proofErr w:type="spellEnd"/>
      <w:r w:rsidRPr="00512109">
        <w:rPr>
          <w:rFonts w:ascii="Times New Roman" w:eastAsia="Times New Roman" w:hAnsi="Times New Roman" w:cs="Times New Roman"/>
          <w:sz w:val="24"/>
          <w:szCs w:val="24"/>
          <w:lang w:val="en-US"/>
        </w:rPr>
        <w:t xml:space="preserve"> of basic foods. These measures and implicit agreements taken by the government have increased social inequality and the inaccessibility of food since </w:t>
      </w:r>
      <w:r w:rsidR="00A63500" w:rsidRPr="00512109">
        <w:rPr>
          <w:rFonts w:ascii="Times New Roman" w:eastAsia="Times New Roman" w:hAnsi="Times New Roman" w:cs="Times New Roman"/>
          <w:sz w:val="24"/>
          <w:szCs w:val="24"/>
          <w:lang w:val="en-US"/>
        </w:rPr>
        <w:t>most of</w:t>
      </w:r>
      <w:r w:rsidRPr="00512109">
        <w:rPr>
          <w:rFonts w:ascii="Times New Roman" w:eastAsia="Times New Roman" w:hAnsi="Times New Roman" w:cs="Times New Roman"/>
          <w:sz w:val="24"/>
          <w:szCs w:val="24"/>
          <w:lang w:val="en-US"/>
        </w:rPr>
        <w:t xml:space="preserve"> the population does not receive remittances, foreign currency, or have a foreign bank account with which to buy food on online markets. Additionally, with an expensive internet service, a slow and faulty mobile network, and a highly aging population, access to digital payments has also posed greater challenges, especially for people over 65 living alone or with other older adults.</w:t>
      </w:r>
    </w:p>
    <w:p w14:paraId="5DF2BDC9" w14:textId="5275693F"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The increase in vulnerability due to lack of access to food-related goods and services has also not been adequately addressed by the state; rather, this population has increased its dependence on third parties and informal community initiatives. When asked about the resources or assistance received from local or national government in the face of these difficulties, 83% of respondents reported receiving none and/or were unaware of such aid in their immediate context.</w:t>
      </w:r>
    </w:p>
    <w:p w14:paraId="44679DAA" w14:textId="1A7FF05A"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Considering the issues faced by Cuban women and the differentiated impacts in crisis contexts, and proposing strategies to address the problem, it is crucial for the government to reassess and adjust its economic policies, focusing on diversifying national food production and reducing dependency on imports. Incentives should be established to promote local agricultural production and improve the efficiency of the food supply chain, in addition to designing a food management system that ensures transparency and equity in distribution.</w:t>
      </w:r>
    </w:p>
    <w:p w14:paraId="56184DD6" w14:textId="3279F093" w:rsid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The food distribution system also requires profound reforms. Instead of using conditional product distribution as a tool for social control, mechanisms should be established that respond to the actual needs of the population, with adequate infrastructure to ensure timely and safe delivery, especially in peri-urban and rural areas that have been disproportionately affected. Additionally, it is essential to implement specific programs to support the most vulnerable groups, such as the elderly, women, and people with disabilities, who face greater economic and food insecurity challenges. Creating community support networks and strengthening social services to provide direct and effective assistance to these populations is a necessary measure. It is also recommended to offer economic and in-kind aid to address the basic needs of these groups.</w:t>
      </w:r>
    </w:p>
    <w:p w14:paraId="18149F98" w14:textId="77777777" w:rsidR="00FE7F2D" w:rsidRPr="00FE7F2D" w:rsidRDefault="00FE7F2D" w:rsidP="00FE7F2D">
      <w:pPr>
        <w:spacing w:before="100" w:beforeAutospacing="1" w:after="100" w:afterAutospacing="1" w:line="240" w:lineRule="auto"/>
        <w:jc w:val="both"/>
        <w:rPr>
          <w:rFonts w:ascii="Times New Roman" w:eastAsia="Times New Roman" w:hAnsi="Times New Roman" w:cs="Times New Roman"/>
          <w:sz w:val="24"/>
          <w:szCs w:val="24"/>
          <w:lang w:val="en-US"/>
        </w:rPr>
      </w:pPr>
    </w:p>
    <w:p w14:paraId="275B6603" w14:textId="2D6E6BA9" w:rsidR="00512109" w:rsidRPr="00512109" w:rsidRDefault="00512109" w:rsidP="00512109">
      <w:pPr>
        <w:spacing w:before="100" w:beforeAutospacing="1" w:after="100" w:afterAutospacing="1" w:line="240" w:lineRule="auto"/>
        <w:jc w:val="both"/>
        <w:rPr>
          <w:rFonts w:ascii="Times New Roman" w:eastAsia="Times New Roman" w:hAnsi="Times New Roman" w:cs="Times New Roman"/>
          <w:b/>
          <w:bCs/>
          <w:sz w:val="24"/>
          <w:szCs w:val="24"/>
          <w:lang w:val="en-US"/>
        </w:rPr>
      </w:pPr>
      <w:r w:rsidRPr="00512109">
        <w:rPr>
          <w:rFonts w:ascii="Times New Roman" w:eastAsia="Times New Roman" w:hAnsi="Times New Roman" w:cs="Times New Roman"/>
          <w:b/>
          <w:bCs/>
          <w:sz w:val="24"/>
          <w:szCs w:val="24"/>
        </w:rPr>
        <w:t>Women, Climate Change, and Disaster Risk Reduction</w:t>
      </w:r>
    </w:p>
    <w:p w14:paraId="2A9249B2" w14:textId="47A5739E"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lastRenderedPageBreak/>
        <w:t xml:space="preserve">Due to its geographic location, Cuba is exposed to natural disasters that require the formulation of national management and risk reduction strategies. From droughts to hurricanes, such as Sandy in 2012, Irma in 2017, and Ian in 2022, these events have caused significant damage to the country, its population, and their livelihoods. </w:t>
      </w:r>
      <w:r w:rsidR="00153511">
        <w:rPr>
          <w:rFonts w:ascii="Times New Roman" w:eastAsia="Times New Roman" w:hAnsi="Times New Roman" w:cs="Times New Roman"/>
          <w:sz w:val="24"/>
          <w:szCs w:val="24"/>
          <w:lang w:val="en-US"/>
        </w:rPr>
        <w:t xml:space="preserve">Considering this, </w:t>
      </w:r>
      <w:r w:rsidRPr="00512109">
        <w:rPr>
          <w:rFonts w:ascii="Times New Roman" w:eastAsia="Times New Roman" w:hAnsi="Times New Roman" w:cs="Times New Roman"/>
          <w:sz w:val="24"/>
          <w:szCs w:val="24"/>
          <w:lang w:val="en-US"/>
        </w:rPr>
        <w:t xml:space="preserve">the government designed and published the Community Manual on Inclusive Disaster Risk Reduction in 2021. This tool incorporates strategies for prevention and response to different types of natural disasters while encouraging and promoting environmental protection. The strategy dedicates a section to the importance of a gender perspective for its implementation, recognizing that there are characteristics, roles, behaviors, and feelings assigned differently to men and women by society, which influences their </w:t>
      </w:r>
      <w:r w:rsidR="00B44823" w:rsidRPr="00512109">
        <w:rPr>
          <w:rFonts w:ascii="Times New Roman" w:eastAsia="Times New Roman" w:hAnsi="Times New Roman" w:cs="Times New Roman"/>
          <w:sz w:val="24"/>
          <w:szCs w:val="24"/>
          <w:lang w:val="en-US"/>
        </w:rPr>
        <w:t>diverse</w:t>
      </w:r>
      <w:r w:rsidRPr="00512109">
        <w:rPr>
          <w:rFonts w:ascii="Times New Roman" w:eastAsia="Times New Roman" w:hAnsi="Times New Roman" w:cs="Times New Roman"/>
          <w:sz w:val="24"/>
          <w:szCs w:val="24"/>
          <w:lang w:val="en-US"/>
        </w:rPr>
        <w:t xml:space="preserve"> needs, interests, resource access possibilities, and decision-making capacities</w:t>
      </w:r>
      <w:r w:rsidR="00B44823">
        <w:rPr>
          <w:rFonts w:ascii="Times New Roman" w:eastAsia="Times New Roman" w:hAnsi="Times New Roman" w:cs="Times New Roman"/>
          <w:sz w:val="24"/>
          <w:szCs w:val="24"/>
          <w:lang w:val="en-US"/>
        </w:rPr>
        <w:t xml:space="preserve">. </w:t>
      </w:r>
      <w:proofErr w:type="spellStart"/>
      <w:r w:rsidR="00B44823">
        <w:rPr>
          <w:rFonts w:ascii="Times New Roman" w:eastAsia="Times New Roman" w:hAnsi="Times New Roman" w:cs="Times New Roman"/>
          <w:sz w:val="24"/>
          <w:szCs w:val="24"/>
          <w:lang w:val="en-US"/>
        </w:rPr>
        <w:t>This</w:t>
      </w:r>
      <w:r w:rsidRPr="00512109">
        <w:rPr>
          <w:rFonts w:ascii="Times New Roman" w:eastAsia="Times New Roman" w:hAnsi="Times New Roman" w:cs="Times New Roman"/>
          <w:sz w:val="24"/>
          <w:szCs w:val="24"/>
          <w:lang w:val="en-US"/>
        </w:rPr>
        <w:t>consequently</w:t>
      </w:r>
      <w:proofErr w:type="spellEnd"/>
      <w:r w:rsidRPr="00512109">
        <w:rPr>
          <w:rFonts w:ascii="Times New Roman" w:eastAsia="Times New Roman" w:hAnsi="Times New Roman" w:cs="Times New Roman"/>
          <w:sz w:val="24"/>
          <w:szCs w:val="24"/>
          <w:lang w:val="en-US"/>
        </w:rPr>
        <w:t xml:space="preserve"> results in differentiated impacts in disaster contexts.</w:t>
      </w:r>
    </w:p>
    <w:p w14:paraId="4921FD31" w14:textId="1897BBCC"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 xml:space="preserve">The government also initiated the project “We </w:t>
      </w:r>
      <w:proofErr w:type="spellStart"/>
      <w:r w:rsidRPr="00512109">
        <w:rPr>
          <w:rFonts w:ascii="Times New Roman" w:eastAsia="Times New Roman" w:hAnsi="Times New Roman" w:cs="Times New Roman"/>
          <w:sz w:val="24"/>
          <w:szCs w:val="24"/>
          <w:lang w:val="en-US"/>
        </w:rPr>
        <w:t>Opt</w:t>
      </w:r>
      <w:proofErr w:type="spellEnd"/>
      <w:r w:rsidRPr="00512109">
        <w:rPr>
          <w:rFonts w:ascii="Times New Roman" w:eastAsia="Times New Roman" w:hAnsi="Times New Roman" w:cs="Times New Roman"/>
          <w:sz w:val="24"/>
          <w:szCs w:val="24"/>
          <w:lang w:val="en-US"/>
        </w:rPr>
        <w:t xml:space="preserve"> for Gender Equality in Climate Change Adaptation” under the BASAL (2012-2020) project, implemented on the island by the United Nations Development </w:t>
      </w:r>
      <w:proofErr w:type="spellStart"/>
      <w:r w:rsidRPr="00512109">
        <w:rPr>
          <w:rFonts w:ascii="Times New Roman" w:eastAsia="Times New Roman" w:hAnsi="Times New Roman" w:cs="Times New Roman"/>
          <w:sz w:val="24"/>
          <w:szCs w:val="24"/>
          <w:lang w:val="en-US"/>
        </w:rPr>
        <w:t>Programme</w:t>
      </w:r>
      <w:proofErr w:type="spellEnd"/>
      <w:r w:rsidRPr="00512109">
        <w:rPr>
          <w:rFonts w:ascii="Times New Roman" w:eastAsia="Times New Roman" w:hAnsi="Times New Roman" w:cs="Times New Roman"/>
          <w:sz w:val="24"/>
          <w:szCs w:val="24"/>
          <w:lang w:val="en-US"/>
        </w:rPr>
        <w:t xml:space="preserve">. Additionally, there are other strategies such as the Strengthening of the Hydrometeorological Early Warning System, which outline action routes in emergencies. </w:t>
      </w:r>
      <w:r w:rsidR="00720510" w:rsidRPr="00720510">
        <w:rPr>
          <w:rFonts w:ascii="Times New Roman" w:eastAsia="Times New Roman" w:hAnsi="Times New Roman" w:cs="Times New Roman"/>
          <w:sz w:val="24"/>
          <w:szCs w:val="24"/>
          <w:lang w:val="en-US"/>
        </w:rPr>
        <w:t xml:space="preserve">Although there are initiatives on paper that recognize and seek to address the specific needs of women in crisis or emergency contexts, significant challenges remain. </w:t>
      </w:r>
      <w:r w:rsidRPr="00512109">
        <w:rPr>
          <w:rFonts w:ascii="Times New Roman" w:eastAsia="Times New Roman" w:hAnsi="Times New Roman" w:cs="Times New Roman"/>
          <w:sz w:val="24"/>
          <w:szCs w:val="24"/>
          <w:lang w:val="en-US"/>
        </w:rPr>
        <w:t>First, there is no available and systematized information on the practical incorporation of the gender perspective in national management strategies</w:t>
      </w:r>
      <w:r w:rsidR="001B4E11">
        <w:rPr>
          <w:rFonts w:ascii="Times New Roman" w:eastAsia="Times New Roman" w:hAnsi="Times New Roman" w:cs="Times New Roman"/>
          <w:sz w:val="24"/>
          <w:szCs w:val="24"/>
          <w:lang w:val="en-US"/>
        </w:rPr>
        <w:t>.</w:t>
      </w:r>
      <w:r w:rsidRPr="00512109">
        <w:rPr>
          <w:rFonts w:ascii="Times New Roman" w:eastAsia="Times New Roman" w:hAnsi="Times New Roman" w:cs="Times New Roman"/>
          <w:sz w:val="24"/>
          <w:szCs w:val="24"/>
          <w:lang w:val="en-US"/>
        </w:rPr>
        <w:t xml:space="preserve"> </w:t>
      </w:r>
      <w:r w:rsidR="001B4E11">
        <w:rPr>
          <w:rFonts w:ascii="Times New Roman" w:eastAsia="Times New Roman" w:hAnsi="Times New Roman" w:cs="Times New Roman"/>
          <w:sz w:val="24"/>
          <w:szCs w:val="24"/>
          <w:lang w:val="en-US"/>
        </w:rPr>
        <w:t>T</w:t>
      </w:r>
      <w:r w:rsidRPr="00512109">
        <w:rPr>
          <w:rFonts w:ascii="Times New Roman" w:eastAsia="Times New Roman" w:hAnsi="Times New Roman" w:cs="Times New Roman"/>
          <w:sz w:val="24"/>
          <w:szCs w:val="24"/>
          <w:lang w:val="en-US"/>
        </w:rPr>
        <w:t>hus, training and awareness for personnel in these areas, including the community, are inadequate. Additionally, regarding women’s participation in policy and program formulation, there is no data on initiatives promoting this, beyond the participation of the state Federation of Cuban Women.</w:t>
      </w:r>
    </w:p>
    <w:p w14:paraId="37FB1E3D" w14:textId="5BDF0C83"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In crisis contexts such as those caused by natural disasters, women face differential impacts and aggravating consequences. In Cuba’s case, this situation is much more complex considering that the country is facing a structural crisis that goes beyond the aftermath of natural disasters and relates to issues such as energy sector shortcomings, water resource challenges, and the overall economic crisis on the island.</w:t>
      </w:r>
    </w:p>
    <w:p w14:paraId="37C3D10B" w14:textId="5A6F1ACE" w:rsidR="00512109" w:rsidRPr="00512109" w:rsidRDefault="00C375F0"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Risk</w:t>
      </w:r>
      <w:r w:rsidR="00512109" w:rsidRPr="00512109">
        <w:rPr>
          <w:rFonts w:ascii="Times New Roman" w:eastAsia="Times New Roman" w:hAnsi="Times New Roman" w:cs="Times New Roman"/>
          <w:sz w:val="24"/>
          <w:szCs w:val="24"/>
          <w:lang w:val="en-US"/>
        </w:rPr>
        <w:t xml:space="preserve"> management and disaster strategies require significant efforts, particularly for women, who, in addition to experiencing the impacts of shortages and challenges due to natural disasters, must simultaneously continue with domestic work, food procurement, and caregiving for children and the elderly. This is concerning given that by 2030 more than 50% of households will be headed by women, according to the National Office of Statistics and Information.</w:t>
      </w:r>
    </w:p>
    <w:p w14:paraId="6E376664" w14:textId="100C4E37" w:rsidR="00512109" w:rsidRPr="00512109" w:rsidRDefault="00720510"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720510">
        <w:rPr>
          <w:rFonts w:ascii="Times New Roman" w:eastAsia="Times New Roman" w:hAnsi="Times New Roman" w:cs="Times New Roman"/>
          <w:sz w:val="24"/>
          <w:szCs w:val="24"/>
        </w:rPr>
        <w:t>In this multifactorial crisis, peri-urban and rural areas are more vulnerable. This is due to their dependence on a state-controlled supply system that tends to favor urban areas</w:t>
      </w:r>
      <w:r w:rsidR="00512109" w:rsidRPr="00512109">
        <w:rPr>
          <w:rFonts w:ascii="Times New Roman" w:eastAsia="Times New Roman" w:hAnsi="Times New Roman" w:cs="Times New Roman"/>
          <w:sz w:val="24"/>
          <w:szCs w:val="24"/>
          <w:lang w:val="en-US"/>
        </w:rPr>
        <w:t xml:space="preserve">. Consequently, rural populations have been excluded from the most recent ad-hoc measures. The compounded impact is evident in the deterioration of infrastructure and the </w:t>
      </w:r>
      <w:r w:rsidR="00830E2D">
        <w:rPr>
          <w:rFonts w:ascii="Times New Roman" w:eastAsia="Times New Roman" w:hAnsi="Times New Roman" w:cs="Times New Roman"/>
          <w:sz w:val="24"/>
          <w:szCs w:val="24"/>
          <w:lang w:val="en-US"/>
        </w:rPr>
        <w:t>lack</w:t>
      </w:r>
      <w:r w:rsidR="00830E2D" w:rsidRPr="00512109">
        <w:rPr>
          <w:rFonts w:ascii="Times New Roman" w:eastAsia="Times New Roman" w:hAnsi="Times New Roman" w:cs="Times New Roman"/>
          <w:sz w:val="24"/>
          <w:szCs w:val="24"/>
          <w:lang w:val="en-US"/>
        </w:rPr>
        <w:t xml:space="preserve"> </w:t>
      </w:r>
      <w:r w:rsidR="00512109" w:rsidRPr="00512109">
        <w:rPr>
          <w:rFonts w:ascii="Times New Roman" w:eastAsia="Times New Roman" w:hAnsi="Times New Roman" w:cs="Times New Roman"/>
          <w:sz w:val="24"/>
          <w:szCs w:val="24"/>
          <w:lang w:val="en-US"/>
        </w:rPr>
        <w:t>of fuel to reach inaccessible areas, which present serious shortages of basic products. According to testimonies collected by FMP, the production or distribution of foods such as dairy products, bread, grains, and coffee has been significantly affected with delays of up to three months, quality deterioration, and reduced quantities of delivered products.</w:t>
      </w:r>
    </w:p>
    <w:p w14:paraId="5E5FEA89" w14:textId="3917E114"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 xml:space="preserve">Both water and energy insecurity are exacerbated in these areas, particularly when cooking food. The reduction in liquefied gas has led most households to seek alternative cooking methods with solid fuels harmful to health. In these conditions, women are more exposed, </w:t>
      </w:r>
      <w:r w:rsidRPr="00512109">
        <w:rPr>
          <w:rFonts w:ascii="Times New Roman" w:eastAsia="Times New Roman" w:hAnsi="Times New Roman" w:cs="Times New Roman"/>
          <w:sz w:val="24"/>
          <w:szCs w:val="24"/>
          <w:lang w:val="en-US"/>
        </w:rPr>
        <w:lastRenderedPageBreak/>
        <w:t>as they are traditionally relegated to household tasks. According to official figures, more than 60% of the rural female population has no employment links. Although women represent 46.3% of the rural population (which in turn represents 24% of the island’s population), the potential of rural women in food production is not well reflected. This is related to the limited role given to the agrarian and productive sector in decision-making mechanisms, negatively impacting tasks associated with food systems.</w:t>
      </w:r>
    </w:p>
    <w:p w14:paraId="20B56C4D" w14:textId="6AAD5083"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Given the situation of women amidst climate change and disaster events, it is urgent for the government to consolidate and expand existing strategies, ensuring that they include an effective gender perspective. Improving training and awareness for disaster management personnel and ensuring active participation of women in policy formulation and implementation are crucial steps. It is fundamental to establish clear mechanisms to assess the incorporation of the gender perspective in national and regional strategies.</w:t>
      </w:r>
    </w:p>
    <w:p w14:paraId="6B089A57" w14:textId="432143EF"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 xml:space="preserve">To </w:t>
      </w:r>
      <w:r w:rsidR="008D01BE" w:rsidRPr="00512109">
        <w:rPr>
          <w:rFonts w:ascii="Times New Roman" w:eastAsia="Times New Roman" w:hAnsi="Times New Roman" w:cs="Times New Roman"/>
          <w:sz w:val="24"/>
          <w:szCs w:val="24"/>
          <w:lang w:val="en-US"/>
        </w:rPr>
        <w:t>guarantee</w:t>
      </w:r>
      <w:r w:rsidRPr="00512109">
        <w:rPr>
          <w:rFonts w:ascii="Times New Roman" w:eastAsia="Times New Roman" w:hAnsi="Times New Roman" w:cs="Times New Roman"/>
          <w:sz w:val="24"/>
          <w:szCs w:val="24"/>
          <w:lang w:val="en-US"/>
        </w:rPr>
        <w:t xml:space="preserve"> a more inclusive and equitable response to crises, it is important to promote greater participation of women in decision-making related to disaster management and food security. Increasing female representation in planning committees and community initiatives, as well as encouraging active participation of rural women in the agricultural sector and food production, are necessary measures to recognize and value their contribution to the national food system.</w:t>
      </w:r>
    </w:p>
    <w:p w14:paraId="4415E9AD" w14:textId="243BE9A0" w:rsidR="00512109" w:rsidRPr="00512109" w:rsidRDefault="00512109" w:rsidP="00512109">
      <w:pPr>
        <w:pStyle w:val="Prrafodelista"/>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rPr>
      </w:pPr>
      <w:r w:rsidRPr="00512109">
        <w:rPr>
          <w:rFonts w:ascii="Times New Roman" w:eastAsia="Times New Roman" w:hAnsi="Times New Roman" w:cs="Times New Roman"/>
          <w:sz w:val="24"/>
          <w:szCs w:val="24"/>
          <w:lang w:val="en-US"/>
        </w:rPr>
        <w:t>Improving infrastructure and basic services in rural and peri-urban areas is also a priority. The government must invest in modernizing infrastructure and optimizing distribution logistics in these areas, addressing fuel shortages and exploring sustainable alternatives for food cooking. This is especially relevant for women who traditionally handle these tasks and who are in a vulnerable position due to resource scarcity. Finally, with the increasing digitalization of the market and services, it is essential to promote digital inclusion for the entire population. Enhancing internet infrastructure and mobile services, as well as facilitating access to bank accounts and digital payment platforms, especially for the most vulnerable sectors, is crucial. These recommendations aim to comprehensively address the challenges faced by Cuba, promoting an approach that combines social justice, gender equality, and sustainability in crisis management and food security.</w:t>
      </w:r>
    </w:p>
    <w:p w14:paraId="0000004C" w14:textId="77777777" w:rsidR="007A790A" w:rsidRPr="00512109" w:rsidRDefault="007A790A" w:rsidP="00512109">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p>
    <w:sectPr w:rsidR="007A790A" w:rsidRPr="0051210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B654E" w14:textId="77777777" w:rsidR="00D77243" w:rsidRDefault="00D77243">
      <w:pPr>
        <w:spacing w:line="240" w:lineRule="auto"/>
      </w:pPr>
      <w:r>
        <w:separator/>
      </w:r>
    </w:p>
  </w:endnote>
  <w:endnote w:type="continuationSeparator" w:id="0">
    <w:p w14:paraId="25C6109C" w14:textId="77777777" w:rsidR="00D77243" w:rsidRDefault="00D772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C2FF0" w14:textId="77777777" w:rsidR="00D77243" w:rsidRDefault="00D77243">
      <w:pPr>
        <w:spacing w:line="240" w:lineRule="auto"/>
      </w:pPr>
      <w:r>
        <w:separator/>
      </w:r>
    </w:p>
  </w:footnote>
  <w:footnote w:type="continuationSeparator" w:id="0">
    <w:p w14:paraId="515133C4" w14:textId="77777777" w:rsidR="00D77243" w:rsidRDefault="00D77243">
      <w:pPr>
        <w:spacing w:line="240" w:lineRule="auto"/>
      </w:pPr>
      <w:r>
        <w:continuationSeparator/>
      </w:r>
    </w:p>
  </w:footnote>
  <w:footnote w:id="1">
    <w:p w14:paraId="7EB91AC8" w14:textId="77777777" w:rsidR="00125D79" w:rsidRPr="00125D79" w:rsidRDefault="000D61FE" w:rsidP="00125D79">
      <w:pPr>
        <w:pStyle w:val="Textonotapie"/>
        <w:jc w:val="both"/>
        <w:rPr>
          <w:rFonts w:ascii="Times New Roman" w:hAnsi="Times New Roman" w:cs="Times New Roman"/>
          <w:lang w:val="en-US"/>
        </w:rPr>
      </w:pPr>
      <w:r>
        <w:rPr>
          <w:rStyle w:val="Refdenotaalpie"/>
        </w:rPr>
        <w:footnoteRef/>
      </w:r>
      <w:r w:rsidR="00125D79" w:rsidRPr="00125D79">
        <w:rPr>
          <w:rFonts w:ascii="Times New Roman" w:hAnsi="Times New Roman" w:cs="Times New Roman"/>
          <w:lang w:val="en-US"/>
        </w:rPr>
        <w:t>Project on Aging, Care, and Rights in Cuba, which aims to monitor processes, actors, and institutions, as well as strengthen the capacities of civil society organizations to promote changes that help improve the situation of older adults and their caregivers.</w:t>
      </w:r>
    </w:p>
    <w:p w14:paraId="68242B76" w14:textId="605EF4D5" w:rsidR="00125D79" w:rsidRPr="00125D79" w:rsidRDefault="00125D79" w:rsidP="00125D79">
      <w:pPr>
        <w:pStyle w:val="Textonotapie"/>
        <w:jc w:val="both"/>
        <w:rPr>
          <w:rFonts w:ascii="Times New Roman" w:hAnsi="Times New Roman" w:cs="Times New Roman"/>
          <w:lang w:val="en-US"/>
        </w:rPr>
      </w:pPr>
      <w:r w:rsidRPr="00125D79">
        <w:rPr>
          <w:rFonts w:ascii="Times New Roman" w:hAnsi="Times New Roman" w:cs="Times New Roman"/>
          <w:lang w:val="en-US"/>
        </w:rPr>
        <w:t>Website: </w:t>
      </w:r>
      <w:hyperlink r:id="rId1" w:tgtFrame="_new" w:history="1">
        <w:r w:rsidRPr="00C375F0">
          <w:rPr>
            <w:rStyle w:val="Hipervnculo"/>
            <w:rFonts w:ascii="Times New Roman" w:hAnsi="Times New Roman" w:cs="Times New Roman"/>
            <w:color w:val="244061" w:themeColor="accent1" w:themeShade="80"/>
            <w:lang w:val="en-US"/>
          </w:rPr>
          <w:t>https://www.cuido60.com/</w:t>
        </w:r>
      </w:hyperlink>
      <w:r w:rsidR="00720510" w:rsidRPr="00C375F0">
        <w:rPr>
          <w:rFonts w:ascii="Times New Roman" w:hAnsi="Times New Roman" w:cs="Times New Roman"/>
          <w:color w:val="244061" w:themeColor="accent1" w:themeShade="80"/>
          <w:lang w:val="en-US"/>
        </w:rPr>
        <w:t xml:space="preserve"> </w:t>
      </w:r>
      <w:r w:rsidRPr="00125D79">
        <w:rPr>
          <w:rFonts w:ascii="Times New Roman" w:hAnsi="Times New Roman" w:cs="Times New Roman"/>
          <w:lang w:val="en-US"/>
        </w:rPr>
        <w:t>Email: </w:t>
      </w:r>
      <w:hyperlink r:id="rId2" w:history="1">
        <w:r w:rsidR="00720510" w:rsidRPr="00C375F0">
          <w:rPr>
            <w:rStyle w:val="Hipervnculo"/>
            <w:rFonts w:ascii="Times New Roman" w:hAnsi="Times New Roman" w:cs="Times New Roman"/>
            <w:color w:val="244061" w:themeColor="accent1" w:themeShade="80"/>
            <w:lang w:val="en-US"/>
          </w:rPr>
          <w:t>contacto@cuido60.com</w:t>
        </w:r>
      </w:hyperlink>
      <w:r w:rsidR="00720510" w:rsidRPr="00C375F0">
        <w:rPr>
          <w:rFonts w:ascii="Times New Roman" w:hAnsi="Times New Roman" w:cs="Times New Roman"/>
          <w:color w:val="244061" w:themeColor="accent1" w:themeShade="80"/>
          <w:lang w:val="en-US"/>
        </w:rPr>
        <w:t xml:space="preserve"> </w:t>
      </w:r>
    </w:p>
    <w:p w14:paraId="486AD90D" w14:textId="0FA4821A" w:rsidR="00274170" w:rsidRPr="00125D79" w:rsidRDefault="00274170" w:rsidP="00125D79">
      <w:pPr>
        <w:pStyle w:val="Textonotapie"/>
        <w:jc w:val="both"/>
        <w:rPr>
          <w:rFonts w:ascii="Times New Roman" w:hAnsi="Times New Roman" w:cs="Times New Roman"/>
          <w:lang w:val="en-US"/>
        </w:rPr>
      </w:pPr>
    </w:p>
  </w:footnote>
  <w:footnote w:id="2">
    <w:p w14:paraId="3F1C0292" w14:textId="77777777" w:rsidR="00125D79" w:rsidRPr="00125D79" w:rsidRDefault="00952218" w:rsidP="00125D79">
      <w:pPr>
        <w:pStyle w:val="Textonotapie"/>
        <w:jc w:val="both"/>
        <w:rPr>
          <w:rFonts w:ascii="Times New Roman" w:hAnsi="Times New Roman" w:cs="Times New Roman"/>
          <w:lang w:val="en-US"/>
        </w:rPr>
      </w:pPr>
      <w:r w:rsidRPr="00125D79">
        <w:rPr>
          <w:rStyle w:val="Refdenotaalpie"/>
          <w:rFonts w:ascii="Times New Roman" w:hAnsi="Times New Roman" w:cs="Times New Roman"/>
        </w:rPr>
        <w:footnoteRef/>
      </w:r>
      <w:r w:rsidRPr="00125D79">
        <w:rPr>
          <w:rFonts w:ascii="Times New Roman" w:hAnsi="Times New Roman" w:cs="Times New Roman"/>
          <w:lang w:val="en-US"/>
        </w:rPr>
        <w:t xml:space="preserve"> </w:t>
      </w:r>
      <w:r w:rsidR="00125D79" w:rsidRPr="00125D79">
        <w:rPr>
          <w:rFonts w:ascii="Times New Roman" w:hAnsi="Times New Roman" w:cs="Times New Roman"/>
          <w:lang w:val="en-US"/>
        </w:rPr>
        <w:t>"Food (In)security Monitoring and Reporting Program in Cuba. With a human rights focus, it aims to debunk myths about the food system in Cuba and challenge the claim that there is no hunger in Cuba.</w:t>
      </w:r>
    </w:p>
    <w:p w14:paraId="55951C48" w14:textId="3DD189E6" w:rsidR="00125D79" w:rsidRPr="00125D79" w:rsidRDefault="00125D79" w:rsidP="00125D79">
      <w:pPr>
        <w:pStyle w:val="Textonotapie"/>
        <w:jc w:val="both"/>
        <w:rPr>
          <w:rFonts w:ascii="Times New Roman" w:hAnsi="Times New Roman" w:cs="Times New Roman"/>
          <w:lang w:val="en-US"/>
        </w:rPr>
      </w:pPr>
      <w:r w:rsidRPr="00125D79">
        <w:rPr>
          <w:rFonts w:ascii="Times New Roman" w:hAnsi="Times New Roman" w:cs="Times New Roman"/>
          <w:lang w:val="en-US"/>
        </w:rPr>
        <w:t>Website: </w:t>
      </w:r>
      <w:hyperlink r:id="rId3" w:tgtFrame="_new" w:history="1">
        <w:r w:rsidRPr="00C375F0">
          <w:rPr>
            <w:rStyle w:val="Hipervnculo"/>
            <w:rFonts w:ascii="Times New Roman" w:hAnsi="Times New Roman" w:cs="Times New Roman"/>
            <w:color w:val="244061" w:themeColor="accent1" w:themeShade="80"/>
            <w:lang w:val="en-US"/>
          </w:rPr>
          <w:t>www.foodmonitorprogram.org</w:t>
        </w:r>
      </w:hyperlink>
      <w:r w:rsidR="00720510" w:rsidRPr="00C375F0">
        <w:rPr>
          <w:rFonts w:ascii="Times New Roman" w:hAnsi="Times New Roman" w:cs="Times New Roman"/>
          <w:color w:val="244061" w:themeColor="accent1" w:themeShade="80"/>
          <w:lang w:val="en-US"/>
        </w:rPr>
        <w:t xml:space="preserve"> </w:t>
      </w:r>
      <w:r w:rsidRPr="00125D79">
        <w:rPr>
          <w:rFonts w:ascii="Times New Roman" w:hAnsi="Times New Roman" w:cs="Times New Roman"/>
          <w:lang w:val="en-US"/>
        </w:rPr>
        <w:t>Email: </w:t>
      </w:r>
      <w:hyperlink r:id="rId4" w:history="1">
        <w:r w:rsidR="00720510" w:rsidRPr="00C375F0">
          <w:rPr>
            <w:rStyle w:val="Hipervnculo"/>
            <w:rFonts w:ascii="Times New Roman" w:hAnsi="Times New Roman" w:cs="Times New Roman"/>
            <w:color w:val="244061" w:themeColor="accent1" w:themeShade="80"/>
            <w:lang w:val="en-US"/>
          </w:rPr>
          <w:t>n.rojas@foodmonitorprogram.org</w:t>
        </w:r>
      </w:hyperlink>
      <w:r w:rsidR="00720510" w:rsidRPr="00C375F0">
        <w:rPr>
          <w:rFonts w:ascii="Times New Roman" w:hAnsi="Times New Roman" w:cs="Times New Roman"/>
          <w:color w:val="244061" w:themeColor="accent1" w:themeShade="80"/>
          <w:lang w:val="en-US"/>
        </w:rPr>
        <w:t xml:space="preserve"> </w:t>
      </w:r>
    </w:p>
    <w:p w14:paraId="455734D5" w14:textId="546ADD1B" w:rsidR="00274170" w:rsidRPr="00125D79" w:rsidRDefault="00274170" w:rsidP="00125D79">
      <w:pPr>
        <w:pStyle w:val="Textonotapie"/>
        <w:jc w:val="both"/>
        <w:rPr>
          <w:rFonts w:ascii="Times New Roman" w:hAnsi="Times New Roman" w:cs="Times New Roman"/>
          <w:color w:val="1F497D" w:themeColor="text2"/>
          <w:lang w:val="en-US"/>
        </w:rPr>
      </w:pPr>
    </w:p>
  </w:footnote>
  <w:footnote w:id="3">
    <w:p w14:paraId="4E8EDD06" w14:textId="77777777" w:rsidR="00125D79" w:rsidRPr="001465E7" w:rsidRDefault="00952218" w:rsidP="00125D79">
      <w:pPr>
        <w:spacing w:line="240" w:lineRule="auto"/>
        <w:jc w:val="both"/>
        <w:rPr>
          <w:rFonts w:ascii="Times New Roman" w:eastAsia="Times New Roman" w:hAnsi="Times New Roman" w:cs="Times New Roman"/>
          <w:sz w:val="20"/>
          <w:szCs w:val="20"/>
          <w:lang w:val="en-US"/>
        </w:rPr>
      </w:pPr>
      <w:r>
        <w:rPr>
          <w:rStyle w:val="Refdenotaalpie"/>
        </w:rPr>
        <w:footnoteRef/>
      </w:r>
      <w:r w:rsidR="00125D79" w:rsidRPr="001465E7">
        <w:rPr>
          <w:rFonts w:ascii="Times New Roman" w:eastAsia="Times New Roman" w:hAnsi="Times New Roman" w:cs="Times New Roman"/>
          <w:sz w:val="20"/>
          <w:szCs w:val="20"/>
          <w:lang w:val="en-US"/>
        </w:rPr>
        <w:t>Swedish non-governmental organization with international presence that supports actions and organizations in the defense of civil and political rights on 4 continents.</w:t>
      </w:r>
    </w:p>
    <w:p w14:paraId="55FE6063" w14:textId="46E7F6ED" w:rsidR="00952218" w:rsidRPr="00125D79" w:rsidRDefault="00125D79" w:rsidP="00125D79">
      <w:pPr>
        <w:pStyle w:val="NormalWeb"/>
        <w:jc w:val="both"/>
        <w:rPr>
          <w:sz w:val="20"/>
          <w:szCs w:val="20"/>
          <w:lang w:val="en-US"/>
        </w:rPr>
      </w:pPr>
      <w:r w:rsidRPr="001465E7">
        <w:rPr>
          <w:sz w:val="20"/>
          <w:szCs w:val="20"/>
          <w:lang w:val="en-US"/>
        </w:rPr>
        <w:t xml:space="preserve">Website: </w:t>
      </w:r>
      <w:hyperlink r:id="rId5" w:history="1">
        <w:r w:rsidR="00720510" w:rsidRPr="00C375F0">
          <w:rPr>
            <w:rStyle w:val="Hipervnculo"/>
            <w:color w:val="244061" w:themeColor="accent1" w:themeShade="80"/>
            <w:sz w:val="20"/>
            <w:szCs w:val="20"/>
            <w:lang w:val="en-US"/>
          </w:rPr>
          <w:t>www.crd.org</w:t>
        </w:r>
      </w:hyperlink>
      <w:r w:rsidR="00720510" w:rsidRPr="00C375F0">
        <w:rPr>
          <w:color w:val="244061" w:themeColor="accent1" w:themeShade="80"/>
          <w:sz w:val="20"/>
          <w:szCs w:val="20"/>
          <w:lang w:val="en-US"/>
        </w:rPr>
        <w:t xml:space="preserve"> </w:t>
      </w:r>
      <w:r w:rsidRPr="001465E7">
        <w:rPr>
          <w:sz w:val="20"/>
          <w:szCs w:val="20"/>
          <w:lang w:val="en-US"/>
        </w:rPr>
        <w:t xml:space="preserve">Contact: </w:t>
      </w:r>
      <w:hyperlink r:id="rId6" w:history="1">
        <w:r w:rsidRPr="00C375F0">
          <w:rPr>
            <w:rStyle w:val="Hipervnculo"/>
            <w:color w:val="244061" w:themeColor="accent1" w:themeShade="80"/>
            <w:sz w:val="20"/>
            <w:szCs w:val="20"/>
            <w:lang w:val="en-US"/>
          </w:rPr>
          <w:t>erik.jennische@crd.org</w:t>
        </w:r>
      </w:hyperlink>
    </w:p>
    <w:p w14:paraId="3D5EA76E" w14:textId="77777777" w:rsidR="00274170" w:rsidRPr="00125D79" w:rsidRDefault="00274170" w:rsidP="00952218">
      <w:pPr>
        <w:pStyle w:val="Textonotapie"/>
        <w:jc w:val="both"/>
        <w:rPr>
          <w:rFonts w:ascii="Times New Roman" w:eastAsia="Times New Roman" w:hAnsi="Times New Roman" w:cs="Times New Roman"/>
          <w:color w:val="1F497D" w:themeColor="text2"/>
          <w:u w:val="single"/>
          <w:lang w:val="en-US"/>
        </w:rPr>
      </w:pPr>
    </w:p>
  </w:footnote>
  <w:footnote w:id="4">
    <w:p w14:paraId="3EE10C79" w14:textId="77777777" w:rsidR="00125D79" w:rsidRPr="001465E7" w:rsidRDefault="00952218" w:rsidP="00125D79">
      <w:pPr>
        <w:spacing w:line="240" w:lineRule="auto"/>
        <w:jc w:val="both"/>
        <w:rPr>
          <w:rFonts w:ascii="Times New Roman" w:eastAsia="Times New Roman" w:hAnsi="Times New Roman" w:cs="Times New Roman"/>
          <w:sz w:val="20"/>
          <w:szCs w:val="20"/>
          <w:lang w:val="en-US"/>
        </w:rPr>
      </w:pPr>
      <w:r>
        <w:rPr>
          <w:rStyle w:val="Refdenotaalpie"/>
        </w:rPr>
        <w:footnoteRef/>
      </w:r>
      <w:r w:rsidRPr="00125D79">
        <w:rPr>
          <w:lang w:val="en-US"/>
        </w:rPr>
        <w:t xml:space="preserve"> </w:t>
      </w:r>
      <w:r w:rsidR="00125D79" w:rsidRPr="001465E7">
        <w:rPr>
          <w:rFonts w:ascii="Times New Roman" w:eastAsia="Times New Roman" w:hAnsi="Times New Roman" w:cs="Times New Roman"/>
          <w:sz w:val="20"/>
          <w:szCs w:val="20"/>
          <w:lang w:val="en-US"/>
        </w:rPr>
        <w:t xml:space="preserve">Non-Profit Entity (ESAL) formed by researchers from different countries, working on cooperation and consulting projects. They monitor and denounce human rights violations in Cuba. </w:t>
      </w:r>
    </w:p>
    <w:p w14:paraId="7AC8363A" w14:textId="360C3AAB" w:rsidR="00274170" w:rsidRDefault="00125D79" w:rsidP="00125D79">
      <w:pPr>
        <w:spacing w:line="240" w:lineRule="auto"/>
        <w:jc w:val="both"/>
        <w:rPr>
          <w:rFonts w:ascii="Times New Roman" w:eastAsia="Times New Roman" w:hAnsi="Times New Roman" w:cs="Times New Roman"/>
          <w:sz w:val="20"/>
          <w:szCs w:val="20"/>
          <w:lang w:val="en-US"/>
        </w:rPr>
      </w:pPr>
      <w:r w:rsidRPr="001465E7">
        <w:rPr>
          <w:rFonts w:ascii="Times New Roman" w:eastAsia="Times New Roman" w:hAnsi="Times New Roman" w:cs="Times New Roman"/>
          <w:sz w:val="20"/>
          <w:szCs w:val="20"/>
          <w:lang w:val="en-US"/>
        </w:rPr>
        <w:t xml:space="preserve">Website: </w:t>
      </w:r>
      <w:hyperlink r:id="rId7" w:history="1">
        <w:r w:rsidR="00720510" w:rsidRPr="00C375F0">
          <w:rPr>
            <w:rStyle w:val="Hipervnculo"/>
            <w:rFonts w:ascii="Times New Roman" w:eastAsia="Times New Roman" w:hAnsi="Times New Roman" w:cs="Times New Roman"/>
            <w:color w:val="244061" w:themeColor="accent1" w:themeShade="80"/>
            <w:sz w:val="20"/>
            <w:szCs w:val="20"/>
            <w:lang w:val="en-US"/>
          </w:rPr>
          <w:t>https://www.4metrica.org</w:t>
        </w:r>
      </w:hyperlink>
      <w:r w:rsidR="00720510" w:rsidRPr="00C375F0">
        <w:rPr>
          <w:rFonts w:ascii="Times New Roman" w:eastAsia="Times New Roman" w:hAnsi="Times New Roman" w:cs="Times New Roman"/>
          <w:color w:val="244061" w:themeColor="accent1" w:themeShade="80"/>
          <w:sz w:val="20"/>
          <w:szCs w:val="20"/>
          <w:lang w:val="en-US"/>
        </w:rPr>
        <w:t xml:space="preserve"> </w:t>
      </w:r>
      <w:r w:rsidRPr="001465E7">
        <w:rPr>
          <w:rFonts w:ascii="Times New Roman" w:eastAsia="Times New Roman" w:hAnsi="Times New Roman" w:cs="Times New Roman"/>
          <w:sz w:val="20"/>
          <w:szCs w:val="20"/>
          <w:lang w:val="en-US"/>
        </w:rPr>
        <w:t xml:space="preserve">Contact: </w:t>
      </w:r>
      <w:hyperlink r:id="rId8" w:history="1">
        <w:r w:rsidRPr="00C375F0">
          <w:rPr>
            <w:rStyle w:val="Hipervnculo"/>
            <w:rFonts w:ascii="Times New Roman" w:eastAsia="Times New Roman" w:hAnsi="Times New Roman" w:cs="Times New Roman"/>
            <w:color w:val="244061" w:themeColor="accent1" w:themeShade="80"/>
            <w:sz w:val="20"/>
            <w:szCs w:val="20"/>
            <w:lang w:val="en-US"/>
          </w:rPr>
          <w:t>contacto@4métrica.com</w:t>
        </w:r>
      </w:hyperlink>
    </w:p>
    <w:p w14:paraId="511FF12D" w14:textId="77777777" w:rsidR="00125D79" w:rsidRPr="00125D79" w:rsidRDefault="00125D79" w:rsidP="00125D79">
      <w:pPr>
        <w:spacing w:line="240" w:lineRule="auto"/>
        <w:jc w:val="both"/>
        <w:rPr>
          <w:rFonts w:ascii="Times New Roman" w:eastAsia="Times New Roman" w:hAnsi="Times New Roman" w:cs="Times New Roman"/>
          <w:lang w:val="en-US"/>
        </w:rPr>
      </w:pPr>
    </w:p>
  </w:footnote>
  <w:footnote w:id="5">
    <w:p w14:paraId="67629282" w14:textId="77777777" w:rsidR="00720510" w:rsidRDefault="00952218" w:rsidP="00125D79">
      <w:pPr>
        <w:pStyle w:val="Textonotapie"/>
        <w:rPr>
          <w:rFonts w:ascii="Times New Roman" w:eastAsia="Times New Roman" w:hAnsi="Times New Roman" w:cs="Times New Roman"/>
          <w:lang w:val="en-US"/>
        </w:rPr>
      </w:pPr>
      <w:r>
        <w:rPr>
          <w:rStyle w:val="Refdenotaalpie"/>
        </w:rPr>
        <w:footnoteRef/>
      </w:r>
      <w:r w:rsidRPr="00125D79">
        <w:rPr>
          <w:lang w:val="en-US"/>
        </w:rPr>
        <w:t xml:space="preserve"> </w:t>
      </w:r>
      <w:r w:rsidR="00125D79" w:rsidRPr="001465E7">
        <w:rPr>
          <w:rFonts w:ascii="Times New Roman" w:eastAsia="Times New Roman" w:hAnsi="Times New Roman" w:cs="Times New Roman"/>
          <w:lang w:val="en-US"/>
        </w:rPr>
        <w:t xml:space="preserve">Laboratory of social ideas aimed at the promotion of Human Rights and the generation of capacities for research-action with a human rights and gender perspective. </w:t>
      </w:r>
    </w:p>
    <w:p w14:paraId="005FE215" w14:textId="566761E5" w:rsidR="00952218" w:rsidRPr="00125D79" w:rsidRDefault="00125D79" w:rsidP="00125D79">
      <w:pPr>
        <w:pStyle w:val="Textonotapie"/>
        <w:rPr>
          <w:rFonts w:ascii="Times New Roman" w:eastAsia="Times New Roman" w:hAnsi="Times New Roman" w:cs="Times New Roman"/>
          <w:lang w:val="en-US"/>
        </w:rPr>
      </w:pPr>
      <w:r w:rsidRPr="001465E7">
        <w:rPr>
          <w:rFonts w:ascii="Times New Roman" w:eastAsia="Times New Roman" w:hAnsi="Times New Roman" w:cs="Times New Roman"/>
          <w:lang w:val="en-US"/>
        </w:rPr>
        <w:t xml:space="preserve">Website: </w:t>
      </w:r>
      <w:hyperlink r:id="rId9" w:history="1">
        <w:r w:rsidR="00720510" w:rsidRPr="00C375F0">
          <w:rPr>
            <w:rStyle w:val="Hipervnculo"/>
            <w:rFonts w:ascii="Times New Roman" w:eastAsia="Times New Roman" w:hAnsi="Times New Roman" w:cs="Times New Roman"/>
            <w:color w:val="244061" w:themeColor="accent1" w:themeShade="80"/>
            <w:lang w:val="en-US"/>
          </w:rPr>
          <w:t>https://conenfoque.org/</w:t>
        </w:r>
      </w:hyperlink>
      <w:r w:rsidR="00720510" w:rsidRPr="00C375F0">
        <w:rPr>
          <w:rFonts w:ascii="Times New Roman" w:eastAsia="Times New Roman" w:hAnsi="Times New Roman" w:cs="Times New Roman"/>
          <w:color w:val="244061" w:themeColor="accent1" w:themeShade="80"/>
          <w:lang w:val="en-US"/>
        </w:rPr>
        <w:t xml:space="preserve"> </w:t>
      </w:r>
      <w:r w:rsidRPr="00C375F0">
        <w:rPr>
          <w:rFonts w:ascii="Times New Roman" w:eastAsia="Times New Roman" w:hAnsi="Times New Roman" w:cs="Times New Roman"/>
          <w:color w:val="244061" w:themeColor="accent1" w:themeShade="80"/>
          <w:lang w:val="en-US"/>
        </w:rPr>
        <w:t xml:space="preserve"> </w:t>
      </w:r>
      <w:r w:rsidRPr="001465E7">
        <w:rPr>
          <w:rFonts w:ascii="Times New Roman" w:eastAsia="Times New Roman" w:hAnsi="Times New Roman" w:cs="Times New Roman"/>
          <w:lang w:val="en-US"/>
        </w:rPr>
        <w:t xml:space="preserve">Contact: </w:t>
      </w:r>
      <w:hyperlink r:id="rId10" w:history="1">
        <w:r w:rsidR="00720510" w:rsidRPr="00C375F0">
          <w:rPr>
            <w:rStyle w:val="Hipervnculo"/>
            <w:rFonts w:ascii="Times New Roman" w:eastAsia="Times New Roman" w:hAnsi="Times New Roman" w:cs="Times New Roman"/>
            <w:color w:val="244061" w:themeColor="accent1" w:themeShade="80"/>
            <w:lang w:val="en-US"/>
          </w:rPr>
          <w:t>nastassjarojas@gmail.com</w:t>
        </w:r>
      </w:hyperlink>
      <w:r w:rsidR="00720510" w:rsidRPr="00C375F0">
        <w:rPr>
          <w:rFonts w:ascii="Times New Roman" w:eastAsia="Times New Roman" w:hAnsi="Times New Roman" w:cs="Times New Roman"/>
          <w:color w:val="244061" w:themeColor="accent1" w:themeShade="80"/>
          <w:lang w:val="en-US"/>
        </w:rPr>
        <w:t xml:space="preserve"> </w:t>
      </w:r>
    </w:p>
  </w:footnote>
  <w:footnote w:id="6">
    <w:p w14:paraId="2D938221" w14:textId="1E215683" w:rsidR="00032D5F" w:rsidRPr="00125D79" w:rsidRDefault="00032D5F">
      <w:pPr>
        <w:pStyle w:val="Textonotapie"/>
        <w:rPr>
          <w:rFonts w:ascii="Times New Roman" w:hAnsi="Times New Roman" w:cs="Times New Roman"/>
          <w:lang w:val="en-US"/>
        </w:rPr>
      </w:pPr>
      <w:r w:rsidRPr="00032D5F">
        <w:rPr>
          <w:rStyle w:val="Refdenotaalpie"/>
          <w:rFonts w:ascii="Times New Roman" w:hAnsi="Times New Roman" w:cs="Times New Roman"/>
        </w:rPr>
        <w:footnoteRef/>
      </w:r>
      <w:r w:rsidR="00125D79" w:rsidRPr="00125D79">
        <w:rPr>
          <w:rFonts w:ascii="Times New Roman" w:hAnsi="Times New Roman" w:cs="Times New Roman"/>
          <w:lang w:val="en-US"/>
        </w:rPr>
        <w:t xml:space="preserve"> </w:t>
      </w:r>
      <w:r w:rsidR="00125D79">
        <w:rPr>
          <w:rFonts w:ascii="Times New Roman" w:hAnsi="Times New Roman" w:cs="Times New Roman"/>
          <w:lang w:val="en-US"/>
        </w:rPr>
        <w:t>To learn more visit</w:t>
      </w:r>
      <w:r w:rsidRPr="00125D79">
        <w:rPr>
          <w:rFonts w:ascii="Times New Roman" w:hAnsi="Times New Roman" w:cs="Times New Roman"/>
          <w:lang w:val="en-US"/>
        </w:rPr>
        <w:t xml:space="preserve">: </w:t>
      </w:r>
      <w:hyperlink r:id="rId11" w:history="1">
        <w:r w:rsidRPr="00125D79">
          <w:rPr>
            <w:rStyle w:val="Hipervnculo"/>
            <w:rFonts w:ascii="Times New Roman" w:hAnsi="Times New Roman" w:cs="Times New Roman"/>
            <w:color w:val="1F497D" w:themeColor="text2"/>
            <w:lang w:val="en-US"/>
          </w:rPr>
          <w:t>http://www.onei.gob.cu/node/14725</w:t>
        </w:r>
      </w:hyperlink>
    </w:p>
    <w:p w14:paraId="4944F302" w14:textId="77777777" w:rsidR="00032D5F" w:rsidRPr="00125D79" w:rsidRDefault="00032D5F">
      <w:pPr>
        <w:pStyle w:val="Textonotapie"/>
        <w:rPr>
          <w:b/>
          <w:bCs/>
          <w:lang w:val="en-US"/>
        </w:rPr>
      </w:pPr>
    </w:p>
  </w:footnote>
  <w:footnote w:id="7">
    <w:p w14:paraId="401739FD" w14:textId="676DEB2B" w:rsidR="00E372DD" w:rsidRPr="00125D79" w:rsidRDefault="00E372DD">
      <w:pPr>
        <w:pStyle w:val="Textonotapie"/>
        <w:rPr>
          <w:rFonts w:ascii="Times New Roman" w:hAnsi="Times New Roman" w:cs="Times New Roman"/>
          <w:lang w:val="en-US"/>
        </w:rPr>
      </w:pPr>
      <w:r w:rsidRPr="00E372DD">
        <w:rPr>
          <w:rStyle w:val="Refdenotaalpie"/>
          <w:rFonts w:ascii="Times New Roman" w:hAnsi="Times New Roman" w:cs="Times New Roman"/>
        </w:rPr>
        <w:footnoteRef/>
      </w:r>
      <w:r w:rsidR="00125D79">
        <w:rPr>
          <w:rFonts w:ascii="Times New Roman" w:hAnsi="Times New Roman" w:cs="Times New Roman"/>
          <w:lang w:val="en-US"/>
        </w:rPr>
        <w:t xml:space="preserve"> </w:t>
      </w:r>
      <w:r w:rsidR="00125D79" w:rsidRPr="00125D79">
        <w:rPr>
          <w:rFonts w:ascii="Times New Roman" w:hAnsi="Times New Roman" w:cs="Times New Roman"/>
          <w:lang w:val="en-US"/>
        </w:rPr>
        <w:t>See</w:t>
      </w:r>
      <w:r w:rsidRPr="00125D79">
        <w:rPr>
          <w:rFonts w:ascii="Times New Roman" w:hAnsi="Times New Roman" w:cs="Times New Roman"/>
          <w:lang w:val="en-US"/>
        </w:rPr>
        <w:t xml:space="preserve">: </w:t>
      </w:r>
      <w:hyperlink r:id="rId12" w:history="1">
        <w:r w:rsidRPr="00720510">
          <w:rPr>
            <w:rStyle w:val="Hipervnculo"/>
            <w:rFonts w:ascii="Times New Roman" w:hAnsi="Times New Roman" w:cs="Times New Roman"/>
            <w:color w:val="244061" w:themeColor="accent1" w:themeShade="80"/>
            <w:lang w:val="en-US"/>
          </w:rPr>
          <w:t>http://www.onei.gob.cu/node/14725</w:t>
        </w:r>
      </w:hyperlink>
    </w:p>
    <w:p w14:paraId="0CCD22B7" w14:textId="77777777" w:rsidR="00E372DD" w:rsidRPr="00125D79" w:rsidRDefault="00E372DD">
      <w:pPr>
        <w:pStyle w:val="Textonotapie"/>
        <w:rPr>
          <w:rFonts w:ascii="Times New Roman" w:hAnsi="Times New Roman" w:cs="Times New Roman"/>
          <w:lang w:val="en-US"/>
        </w:rPr>
      </w:pPr>
    </w:p>
  </w:footnote>
  <w:footnote w:id="8">
    <w:p w14:paraId="256A049E" w14:textId="5B2ECB21" w:rsidR="00E372DD" w:rsidRPr="00125D79" w:rsidRDefault="00E372DD">
      <w:pPr>
        <w:pStyle w:val="Textonotapie"/>
        <w:rPr>
          <w:rFonts w:ascii="Times New Roman" w:hAnsi="Times New Roman" w:cs="Times New Roman"/>
          <w:lang w:val="en-US"/>
        </w:rPr>
      </w:pPr>
      <w:r w:rsidRPr="00E372DD">
        <w:rPr>
          <w:rStyle w:val="Refdenotaalpie"/>
          <w:rFonts w:ascii="Times New Roman" w:hAnsi="Times New Roman" w:cs="Times New Roman"/>
        </w:rPr>
        <w:footnoteRef/>
      </w:r>
      <w:r w:rsidR="00125D79" w:rsidRPr="00125D79">
        <w:rPr>
          <w:rFonts w:ascii="Times New Roman" w:hAnsi="Times New Roman" w:cs="Times New Roman"/>
          <w:lang w:val="en-US"/>
        </w:rPr>
        <w:t xml:space="preserve"> </w:t>
      </w:r>
      <w:r w:rsidR="00125D79">
        <w:rPr>
          <w:rFonts w:ascii="Times New Roman" w:hAnsi="Times New Roman" w:cs="Times New Roman"/>
          <w:lang w:val="en-US"/>
        </w:rPr>
        <w:t>Learn more at</w:t>
      </w:r>
      <w:r w:rsidRPr="00125D79">
        <w:rPr>
          <w:rFonts w:ascii="Times New Roman" w:hAnsi="Times New Roman" w:cs="Times New Roman"/>
          <w:lang w:val="en-US"/>
        </w:rPr>
        <w:t xml:space="preserve">: </w:t>
      </w:r>
      <w:hyperlink r:id="rId13" w:history="1">
        <w:r w:rsidRPr="00125D79">
          <w:rPr>
            <w:rStyle w:val="Hipervnculo"/>
            <w:rFonts w:ascii="Times New Roman" w:hAnsi="Times New Roman" w:cs="Times New Roman"/>
            <w:color w:val="1F497D" w:themeColor="text2"/>
            <w:lang w:val="en-US"/>
          </w:rPr>
          <w:t>https://www.redalyc.org/pdf/214/21431356018.pdf</w:t>
        </w:r>
      </w:hyperlink>
    </w:p>
  </w:footnote>
  <w:footnote w:id="9">
    <w:p w14:paraId="029B83E7" w14:textId="2D33A8E0" w:rsidR="00274170" w:rsidRPr="00125D79" w:rsidRDefault="00274170" w:rsidP="00995CA1">
      <w:pPr>
        <w:spacing w:line="240" w:lineRule="auto"/>
        <w:rPr>
          <w:rFonts w:ascii="Times New Roman" w:eastAsia="Times New Roman" w:hAnsi="Times New Roman" w:cs="Times New Roman"/>
          <w:sz w:val="20"/>
          <w:szCs w:val="20"/>
          <w:lang w:val="en-US"/>
        </w:rPr>
      </w:pPr>
      <w:r w:rsidRPr="00995CA1">
        <w:rPr>
          <w:vertAlign w:val="superscript"/>
        </w:rPr>
        <w:footnoteRef/>
      </w:r>
      <w:r w:rsidRPr="00125D79">
        <w:rPr>
          <w:rFonts w:ascii="Times New Roman" w:eastAsia="Times New Roman" w:hAnsi="Times New Roman" w:cs="Times New Roman"/>
          <w:sz w:val="20"/>
          <w:szCs w:val="20"/>
          <w:lang w:val="en-US"/>
        </w:rPr>
        <w:t xml:space="preserve"> </w:t>
      </w:r>
      <w:hyperlink r:id="rId14" w:history="1">
        <w:r w:rsidRPr="00125D79">
          <w:rPr>
            <w:rStyle w:val="Hipervnculo"/>
            <w:rFonts w:ascii="Times New Roman" w:eastAsia="Times New Roman" w:hAnsi="Times New Roman" w:cs="Times New Roman"/>
            <w:color w:val="1F497D" w:themeColor="text2"/>
            <w:sz w:val="20"/>
            <w:szCs w:val="20"/>
            <w:lang w:val="en-US"/>
          </w:rPr>
          <w:t>https://alastensas.com/tag/mujeres-migrantes/</w:t>
        </w:r>
      </w:hyperlink>
      <w:r w:rsidRPr="00125D79">
        <w:rPr>
          <w:rFonts w:ascii="Times New Roman" w:eastAsia="Times New Roman" w:hAnsi="Times New Roman" w:cs="Times New Roman"/>
          <w:sz w:val="20"/>
          <w:szCs w:val="20"/>
          <w:lang w:val="en-US"/>
        </w:rPr>
        <w:t xml:space="preserve"> </w:t>
      </w:r>
    </w:p>
  </w:footnote>
  <w:footnote w:id="10">
    <w:p w14:paraId="00000053" w14:textId="6B7B50BA" w:rsidR="007A790A" w:rsidRPr="00125D79" w:rsidRDefault="00274170" w:rsidP="00995CA1">
      <w:pPr>
        <w:spacing w:line="240" w:lineRule="auto"/>
        <w:ind w:left="284"/>
        <w:jc w:val="both"/>
        <w:rPr>
          <w:rFonts w:ascii="Times New Roman" w:eastAsia="Times New Roman" w:hAnsi="Times New Roman" w:cs="Times New Roman"/>
          <w:sz w:val="20"/>
          <w:szCs w:val="20"/>
        </w:rPr>
      </w:pPr>
      <w:r w:rsidRPr="00995CA1">
        <w:rPr>
          <w:vertAlign w:val="superscript"/>
        </w:rPr>
        <w:footnoteRef/>
      </w:r>
      <w:r w:rsidR="00125D79" w:rsidRPr="00125D79">
        <w:rPr>
          <w:rFonts w:ascii="Times New Roman" w:eastAsia="Times New Roman" w:hAnsi="Times New Roman" w:cs="Times New Roman"/>
          <w:sz w:val="20"/>
          <w:szCs w:val="20"/>
        </w:rPr>
        <w:t>Report 'If They Don't Mention Us, We Don't Exist' on the Situation of Violence and Harassment Experienced by Lesbian Women in Cuba</w:t>
      </w:r>
      <w:r w:rsidR="00125D79">
        <w:rPr>
          <w:rFonts w:ascii="Times New Roman" w:eastAsia="Times New Roman" w:hAnsi="Times New Roman" w:cs="Times New Roman"/>
          <w:sz w:val="20"/>
          <w:szCs w:val="20"/>
        </w:rPr>
        <w:t xml:space="preserve"> </w:t>
      </w:r>
      <w:hyperlink r:id="rId15" w:history="1">
        <w:r w:rsidR="00995CA1" w:rsidRPr="00125D79">
          <w:rPr>
            <w:rStyle w:val="Hipervnculo"/>
            <w:rFonts w:ascii="Times New Roman" w:eastAsia="Times New Roman" w:hAnsi="Times New Roman" w:cs="Times New Roman"/>
            <w:color w:val="1F497D" w:themeColor="text2"/>
            <w:sz w:val="20"/>
            <w:szCs w:val="20"/>
          </w:rPr>
          <w:t>https://raceandequality.org/wp-content/uploads/2024/05/Informe-Si-no-nos-mencionan-no-existimos_Cuba.pdf?fbclid=IwZXh0bgNhZW0CMTAAAR0jm4uUFhfKT1LrFyBP0WjY6XQCYgco4nddu-I9SaIbhDZ_EOacGEK3yzE_aem_ASusfIdQ7_smRov41SI1hh0YToBSnf-5rzgSK-tfOV97zTQeHI2-FyC2VLloA7WyTLodzrKNidHWXb03STZxvwTi</w:t>
        </w:r>
      </w:hyperlink>
    </w:p>
    <w:p w14:paraId="43822E6B" w14:textId="77777777" w:rsidR="00995CA1" w:rsidRPr="00125D79" w:rsidRDefault="00995CA1" w:rsidP="00995CA1">
      <w:pPr>
        <w:spacing w:line="240" w:lineRule="auto"/>
        <w:ind w:left="284"/>
        <w:jc w:val="both"/>
        <w:rPr>
          <w:rFonts w:ascii="Times New Roman" w:eastAsia="Times New Roman" w:hAnsi="Times New Roman" w:cs="Times New Roman"/>
          <w:sz w:val="20"/>
          <w:szCs w:val="20"/>
        </w:rPr>
      </w:pPr>
    </w:p>
  </w:footnote>
  <w:footnote w:id="11">
    <w:p w14:paraId="0000004D" w14:textId="0F660116" w:rsidR="007A790A" w:rsidRPr="00125D79" w:rsidRDefault="00274170">
      <w:pPr>
        <w:spacing w:line="240" w:lineRule="auto"/>
        <w:rPr>
          <w:sz w:val="20"/>
          <w:szCs w:val="20"/>
          <w:lang w:val="en-US"/>
        </w:rPr>
      </w:pPr>
      <w:r w:rsidRPr="00995CA1">
        <w:rPr>
          <w:sz w:val="20"/>
          <w:szCs w:val="20"/>
          <w:vertAlign w:val="superscript"/>
        </w:rPr>
        <w:footnoteRef/>
      </w:r>
      <w:r w:rsidRPr="00125D79">
        <w:rPr>
          <w:sz w:val="20"/>
          <w:szCs w:val="20"/>
          <w:lang w:val="en-US"/>
        </w:rPr>
        <w:t xml:space="preserve"> </w:t>
      </w:r>
      <w:r w:rsidR="00125D79" w:rsidRPr="00125D79">
        <w:rPr>
          <w:rFonts w:ascii="Times New Roman" w:eastAsia="Times New Roman" w:hAnsi="Times New Roman" w:cs="Times New Roman"/>
          <w:sz w:val="20"/>
          <w:szCs w:val="20"/>
        </w:rPr>
        <w:t>Press Release No. 21: “A Country Without Food: Drastic Decline in Production in Cuba” Food Monitor Program. 8.05.2024, available at: </w:t>
      </w:r>
      <w:hyperlink r:id="rId16" w:tgtFrame="_new" w:history="1">
        <w:r w:rsidR="00125D79" w:rsidRPr="00720510">
          <w:rPr>
            <w:rStyle w:val="Hipervnculo"/>
            <w:rFonts w:ascii="Times New Roman" w:eastAsia="Times New Roman" w:hAnsi="Times New Roman" w:cs="Times New Roman"/>
            <w:color w:val="244061" w:themeColor="accent1" w:themeShade="80"/>
            <w:sz w:val="20"/>
            <w:szCs w:val="20"/>
          </w:rPr>
          <w:t>https://www.foodmonitorprogram.org/nota-de-prensa-no-21/</w:t>
        </w:r>
      </w:hyperlink>
    </w:p>
  </w:footnote>
  <w:footnote w:id="12">
    <w:p w14:paraId="0000004E" w14:textId="42F97C21" w:rsidR="007A790A" w:rsidRPr="00125D79" w:rsidRDefault="00274170">
      <w:pPr>
        <w:spacing w:line="240" w:lineRule="auto"/>
        <w:rPr>
          <w:sz w:val="16"/>
          <w:szCs w:val="16"/>
          <w:lang w:val="en-US"/>
        </w:rPr>
      </w:pPr>
      <w:r w:rsidRPr="00995CA1">
        <w:rPr>
          <w:sz w:val="20"/>
          <w:szCs w:val="20"/>
          <w:vertAlign w:val="superscript"/>
        </w:rPr>
        <w:footnoteRef/>
      </w:r>
      <w:r w:rsidRPr="00125D79">
        <w:rPr>
          <w:sz w:val="20"/>
          <w:szCs w:val="20"/>
          <w:lang w:val="en-US"/>
        </w:rPr>
        <w:t xml:space="preserve"> </w:t>
      </w:r>
      <w:r w:rsidR="00125D79" w:rsidRPr="00125D79">
        <w:rPr>
          <w:rFonts w:ascii="Times New Roman" w:eastAsia="Times New Roman" w:hAnsi="Times New Roman" w:cs="Times New Roman"/>
          <w:sz w:val="20"/>
          <w:szCs w:val="20"/>
        </w:rPr>
        <w:t xml:space="preserve">Food Insecurity Behind Social Protests in </w:t>
      </w:r>
      <w:proofErr w:type="spellStart"/>
      <w:r w:rsidR="00125D79" w:rsidRPr="00125D79">
        <w:rPr>
          <w:rFonts w:ascii="Times New Roman" w:eastAsia="Times New Roman" w:hAnsi="Times New Roman" w:cs="Times New Roman"/>
          <w:sz w:val="20"/>
          <w:szCs w:val="20"/>
        </w:rPr>
        <w:t>Caimanera</w:t>
      </w:r>
      <w:proofErr w:type="spellEnd"/>
      <w:r w:rsidR="00125D79" w:rsidRPr="00125D79">
        <w:rPr>
          <w:rFonts w:ascii="Times New Roman" w:eastAsia="Times New Roman" w:hAnsi="Times New Roman" w:cs="Times New Roman"/>
          <w:sz w:val="20"/>
          <w:szCs w:val="20"/>
        </w:rPr>
        <w:t>" Food Monitor Program. 27.06.2023, available at: </w:t>
      </w:r>
      <w:hyperlink r:id="rId17" w:tgtFrame="_new" w:history="1">
        <w:r w:rsidR="00125D79" w:rsidRPr="00720510">
          <w:rPr>
            <w:rStyle w:val="Hipervnculo"/>
            <w:rFonts w:ascii="Times New Roman" w:eastAsia="Times New Roman" w:hAnsi="Times New Roman" w:cs="Times New Roman"/>
            <w:color w:val="244061" w:themeColor="accent1" w:themeShade="80"/>
            <w:sz w:val="20"/>
            <w:szCs w:val="20"/>
          </w:rPr>
          <w:t>https://www.foodmonitorprogram.org/columna-inseguridad-alimentaria-detras-de-las-protestas-sociales-en-caimanera</w:t>
        </w:r>
      </w:hyperlink>
    </w:p>
  </w:footnote>
  <w:footnote w:id="13">
    <w:p w14:paraId="0000004F" w14:textId="0B4769A8" w:rsidR="007A790A" w:rsidRPr="00720510" w:rsidRDefault="00274170">
      <w:pPr>
        <w:spacing w:line="240" w:lineRule="auto"/>
        <w:rPr>
          <w:color w:val="244061" w:themeColor="accent1" w:themeShade="80"/>
          <w:sz w:val="16"/>
          <w:szCs w:val="16"/>
          <w:lang w:val="en-US"/>
        </w:rPr>
      </w:pPr>
      <w:r>
        <w:rPr>
          <w:vertAlign w:val="superscript"/>
        </w:rPr>
        <w:footnoteRef/>
      </w:r>
      <w:r w:rsidRPr="00125D79">
        <w:rPr>
          <w:sz w:val="20"/>
          <w:szCs w:val="20"/>
          <w:lang w:val="en-US"/>
        </w:rPr>
        <w:t xml:space="preserve"> </w:t>
      </w:r>
      <w:r w:rsidR="00125D79" w:rsidRPr="00125D79">
        <w:rPr>
          <w:rFonts w:ascii="Times New Roman" w:eastAsia="Times New Roman" w:hAnsi="Times New Roman" w:cs="Times New Roman"/>
          <w:sz w:val="20"/>
          <w:szCs w:val="20"/>
        </w:rPr>
        <w:t>Consult interviews conducted by FMP in rural and hard-to-reach areas at: </w:t>
      </w:r>
      <w:hyperlink r:id="rId18" w:tgtFrame="_new" w:history="1">
        <w:r w:rsidR="00125D79" w:rsidRPr="00720510">
          <w:rPr>
            <w:rStyle w:val="Hipervnculo"/>
            <w:rFonts w:ascii="Times New Roman" w:eastAsia="Times New Roman" w:hAnsi="Times New Roman" w:cs="Times New Roman"/>
            <w:color w:val="244061" w:themeColor="accent1" w:themeShade="80"/>
            <w:sz w:val="20"/>
            <w:szCs w:val="20"/>
          </w:rPr>
          <w:t>https://www.foodmonitorprogram.org/entrevistas-alimentacion-en-zonas-rurales</w:t>
        </w:r>
      </w:hyperlink>
    </w:p>
  </w:footnote>
  <w:footnote w:id="14">
    <w:p w14:paraId="00000050" w14:textId="0F5A0390" w:rsidR="007A790A" w:rsidRPr="00125D79" w:rsidRDefault="00274170">
      <w:pPr>
        <w:spacing w:line="240" w:lineRule="auto"/>
        <w:rPr>
          <w:sz w:val="20"/>
          <w:szCs w:val="20"/>
          <w:lang w:val="en-US"/>
        </w:rPr>
      </w:pPr>
      <w:r>
        <w:rPr>
          <w:vertAlign w:val="superscript"/>
        </w:rPr>
        <w:footnoteRef/>
      </w:r>
      <w:r w:rsidRPr="00125D79">
        <w:rPr>
          <w:sz w:val="20"/>
          <w:szCs w:val="20"/>
          <w:lang w:val="en-US"/>
        </w:rPr>
        <w:t xml:space="preserve"> </w:t>
      </w:r>
      <w:r w:rsidR="00125D79" w:rsidRPr="00125D79">
        <w:rPr>
          <w:rFonts w:ascii="Times New Roman" w:eastAsia="Times New Roman" w:hAnsi="Times New Roman" w:cs="Times New Roman"/>
          <w:sz w:val="20"/>
          <w:szCs w:val="20"/>
        </w:rPr>
        <w:t>Consult the testimonies collected by FMP at: </w:t>
      </w:r>
      <w:hyperlink r:id="rId19" w:tgtFrame="_new" w:history="1">
        <w:r w:rsidR="00125D79" w:rsidRPr="00720510">
          <w:rPr>
            <w:rStyle w:val="Hipervnculo"/>
            <w:rFonts w:ascii="Times New Roman" w:eastAsia="Times New Roman" w:hAnsi="Times New Roman" w:cs="Times New Roman"/>
            <w:color w:val="244061" w:themeColor="accent1" w:themeShade="80"/>
            <w:sz w:val="20"/>
            <w:szCs w:val="20"/>
          </w:rPr>
          <w:t>https://www.foodmonitorprogram.org/testimonios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A24E7"/>
    <w:multiLevelType w:val="multilevel"/>
    <w:tmpl w:val="C76297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3E075BB3"/>
    <w:multiLevelType w:val="hybridMultilevel"/>
    <w:tmpl w:val="B4C6BC8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454C3BEA"/>
    <w:multiLevelType w:val="hybridMultilevel"/>
    <w:tmpl w:val="5E74010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824322315">
    <w:abstractNumId w:val="0"/>
  </w:num>
  <w:num w:numId="2" w16cid:durableId="947616594">
    <w:abstractNumId w:val="1"/>
  </w:num>
  <w:num w:numId="3" w16cid:durableId="808518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90A"/>
    <w:rsid w:val="00025688"/>
    <w:rsid w:val="00032D5F"/>
    <w:rsid w:val="00055BA6"/>
    <w:rsid w:val="0008325B"/>
    <w:rsid w:val="00091E9E"/>
    <w:rsid w:val="000D2334"/>
    <w:rsid w:val="000D61FE"/>
    <w:rsid w:val="000E55EE"/>
    <w:rsid w:val="000E6DF2"/>
    <w:rsid w:val="00125D79"/>
    <w:rsid w:val="00153511"/>
    <w:rsid w:val="001B2E50"/>
    <w:rsid w:val="001B4E11"/>
    <w:rsid w:val="00274170"/>
    <w:rsid w:val="00294040"/>
    <w:rsid w:val="00296DEC"/>
    <w:rsid w:val="00313573"/>
    <w:rsid w:val="003F3AC6"/>
    <w:rsid w:val="003F4778"/>
    <w:rsid w:val="00447F25"/>
    <w:rsid w:val="00464B6B"/>
    <w:rsid w:val="004E4B29"/>
    <w:rsid w:val="00512109"/>
    <w:rsid w:val="00566531"/>
    <w:rsid w:val="00570632"/>
    <w:rsid w:val="005D13C5"/>
    <w:rsid w:val="005F4129"/>
    <w:rsid w:val="00605430"/>
    <w:rsid w:val="006059FD"/>
    <w:rsid w:val="00606557"/>
    <w:rsid w:val="006631E1"/>
    <w:rsid w:val="00672A13"/>
    <w:rsid w:val="00691DC1"/>
    <w:rsid w:val="006B7209"/>
    <w:rsid w:val="00720510"/>
    <w:rsid w:val="007A790A"/>
    <w:rsid w:val="007D0571"/>
    <w:rsid w:val="00830E2D"/>
    <w:rsid w:val="008A296F"/>
    <w:rsid w:val="008A4B0B"/>
    <w:rsid w:val="008B6DBA"/>
    <w:rsid w:val="008C248B"/>
    <w:rsid w:val="008C28C1"/>
    <w:rsid w:val="008D01BE"/>
    <w:rsid w:val="008D18E6"/>
    <w:rsid w:val="00903B1A"/>
    <w:rsid w:val="009050A6"/>
    <w:rsid w:val="009146D8"/>
    <w:rsid w:val="00952218"/>
    <w:rsid w:val="00995CA1"/>
    <w:rsid w:val="009A7A0B"/>
    <w:rsid w:val="009C29AF"/>
    <w:rsid w:val="00A63500"/>
    <w:rsid w:val="00A96B52"/>
    <w:rsid w:val="00AA22B1"/>
    <w:rsid w:val="00AA3F2F"/>
    <w:rsid w:val="00AB0312"/>
    <w:rsid w:val="00B40A65"/>
    <w:rsid w:val="00B44823"/>
    <w:rsid w:val="00B55FC5"/>
    <w:rsid w:val="00B763EB"/>
    <w:rsid w:val="00C166DC"/>
    <w:rsid w:val="00C24ABA"/>
    <w:rsid w:val="00C375F0"/>
    <w:rsid w:val="00C9554A"/>
    <w:rsid w:val="00D1071A"/>
    <w:rsid w:val="00D77243"/>
    <w:rsid w:val="00E372DD"/>
    <w:rsid w:val="00E52E9C"/>
    <w:rsid w:val="00E75536"/>
    <w:rsid w:val="00EA718D"/>
    <w:rsid w:val="00EE519C"/>
    <w:rsid w:val="00EF1591"/>
    <w:rsid w:val="00F13838"/>
    <w:rsid w:val="00F16A62"/>
    <w:rsid w:val="00F927C1"/>
    <w:rsid w:val="00FE7F2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E0190"/>
  <w15:docId w15:val="{523528A2-0CDE-7244-A8C6-5E3619313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Textonotapie">
    <w:name w:val="footnote text"/>
    <w:basedOn w:val="Normal"/>
    <w:link w:val="TextonotapieCar"/>
    <w:uiPriority w:val="99"/>
    <w:unhideWhenUsed/>
    <w:rsid w:val="000D61FE"/>
    <w:pPr>
      <w:spacing w:line="240" w:lineRule="auto"/>
    </w:pPr>
    <w:rPr>
      <w:sz w:val="20"/>
      <w:szCs w:val="20"/>
    </w:rPr>
  </w:style>
  <w:style w:type="character" w:customStyle="1" w:styleId="TextonotapieCar">
    <w:name w:val="Texto nota pie Car"/>
    <w:basedOn w:val="Fuentedeprrafopredeter"/>
    <w:link w:val="Textonotapie"/>
    <w:uiPriority w:val="99"/>
    <w:rsid w:val="000D61FE"/>
    <w:rPr>
      <w:sz w:val="20"/>
      <w:szCs w:val="20"/>
    </w:rPr>
  </w:style>
  <w:style w:type="character" w:styleId="Refdenotaalpie">
    <w:name w:val="footnote reference"/>
    <w:basedOn w:val="Fuentedeprrafopredeter"/>
    <w:uiPriority w:val="99"/>
    <w:semiHidden/>
    <w:unhideWhenUsed/>
    <w:rsid w:val="000D61FE"/>
    <w:rPr>
      <w:vertAlign w:val="superscript"/>
    </w:rPr>
  </w:style>
  <w:style w:type="paragraph" w:styleId="NormalWeb">
    <w:name w:val="Normal (Web)"/>
    <w:basedOn w:val="Normal"/>
    <w:uiPriority w:val="99"/>
    <w:unhideWhenUsed/>
    <w:rsid w:val="000D61FE"/>
    <w:rPr>
      <w:rFonts w:ascii="Times New Roman" w:hAnsi="Times New Roman" w:cs="Times New Roman"/>
      <w:sz w:val="24"/>
      <w:szCs w:val="24"/>
    </w:rPr>
  </w:style>
  <w:style w:type="character" w:styleId="Hipervnculo">
    <w:name w:val="Hyperlink"/>
    <w:basedOn w:val="Fuentedeprrafopredeter"/>
    <w:uiPriority w:val="99"/>
    <w:unhideWhenUsed/>
    <w:rsid w:val="000D61FE"/>
    <w:rPr>
      <w:color w:val="0000FF" w:themeColor="hyperlink"/>
      <w:u w:val="single"/>
    </w:rPr>
  </w:style>
  <w:style w:type="character" w:styleId="Mencinsinresolver">
    <w:name w:val="Unresolved Mention"/>
    <w:basedOn w:val="Fuentedeprrafopredeter"/>
    <w:uiPriority w:val="99"/>
    <w:semiHidden/>
    <w:unhideWhenUsed/>
    <w:rsid w:val="000D61FE"/>
    <w:rPr>
      <w:color w:val="605E5C"/>
      <w:shd w:val="clear" w:color="auto" w:fill="E1DFDD"/>
    </w:rPr>
  </w:style>
  <w:style w:type="paragraph" w:styleId="Prrafodelista">
    <w:name w:val="List Paragraph"/>
    <w:basedOn w:val="Normal"/>
    <w:uiPriority w:val="34"/>
    <w:qFormat/>
    <w:rsid w:val="00952218"/>
    <w:pPr>
      <w:ind w:left="720"/>
      <w:contextualSpacing/>
    </w:pPr>
  </w:style>
  <w:style w:type="character" w:styleId="Textoennegrita">
    <w:name w:val="Strong"/>
    <w:basedOn w:val="Fuentedeprrafopredeter"/>
    <w:uiPriority w:val="22"/>
    <w:qFormat/>
    <w:rsid w:val="008D18E6"/>
    <w:rPr>
      <w:b/>
      <w:bCs/>
    </w:rPr>
  </w:style>
  <w:style w:type="character" w:customStyle="1" w:styleId="apple-converted-space">
    <w:name w:val="apple-converted-space"/>
    <w:basedOn w:val="Fuentedeprrafopredeter"/>
    <w:rsid w:val="008D18E6"/>
  </w:style>
  <w:style w:type="character" w:styleId="Hipervnculovisitado">
    <w:name w:val="FollowedHyperlink"/>
    <w:basedOn w:val="Fuentedeprrafopredeter"/>
    <w:uiPriority w:val="99"/>
    <w:semiHidden/>
    <w:unhideWhenUsed/>
    <w:rsid w:val="00720510"/>
    <w:rPr>
      <w:color w:val="800080" w:themeColor="followedHyperlink"/>
      <w:u w:val="single"/>
    </w:rPr>
  </w:style>
  <w:style w:type="paragraph" w:styleId="Revisin">
    <w:name w:val="Revision"/>
    <w:hidden/>
    <w:uiPriority w:val="99"/>
    <w:semiHidden/>
    <w:rsid w:val="00B40A65"/>
    <w:pPr>
      <w:spacing w:line="240" w:lineRule="auto"/>
    </w:pPr>
  </w:style>
  <w:style w:type="character" w:styleId="Refdecomentario">
    <w:name w:val="annotation reference"/>
    <w:basedOn w:val="Fuentedeprrafopredeter"/>
    <w:uiPriority w:val="99"/>
    <w:semiHidden/>
    <w:unhideWhenUsed/>
    <w:rsid w:val="00F16A62"/>
    <w:rPr>
      <w:sz w:val="16"/>
      <w:szCs w:val="16"/>
    </w:rPr>
  </w:style>
  <w:style w:type="paragraph" w:styleId="Textocomentario">
    <w:name w:val="annotation text"/>
    <w:basedOn w:val="Normal"/>
    <w:link w:val="TextocomentarioCar"/>
    <w:uiPriority w:val="99"/>
    <w:unhideWhenUsed/>
    <w:rsid w:val="00F16A62"/>
    <w:pPr>
      <w:spacing w:line="240" w:lineRule="auto"/>
    </w:pPr>
    <w:rPr>
      <w:sz w:val="20"/>
      <w:szCs w:val="20"/>
    </w:rPr>
  </w:style>
  <w:style w:type="character" w:customStyle="1" w:styleId="TextocomentarioCar">
    <w:name w:val="Texto comentario Car"/>
    <w:basedOn w:val="Fuentedeprrafopredeter"/>
    <w:link w:val="Textocomentario"/>
    <w:uiPriority w:val="99"/>
    <w:rsid w:val="00F16A62"/>
    <w:rPr>
      <w:sz w:val="20"/>
      <w:szCs w:val="20"/>
    </w:rPr>
  </w:style>
  <w:style w:type="paragraph" w:styleId="Asuntodelcomentario">
    <w:name w:val="annotation subject"/>
    <w:basedOn w:val="Textocomentario"/>
    <w:next w:val="Textocomentario"/>
    <w:link w:val="AsuntodelcomentarioCar"/>
    <w:uiPriority w:val="99"/>
    <w:semiHidden/>
    <w:unhideWhenUsed/>
    <w:rsid w:val="00F16A62"/>
    <w:rPr>
      <w:b/>
      <w:bCs/>
    </w:rPr>
  </w:style>
  <w:style w:type="character" w:customStyle="1" w:styleId="AsuntodelcomentarioCar">
    <w:name w:val="Asunto del comentario Car"/>
    <w:basedOn w:val="TextocomentarioCar"/>
    <w:link w:val="Asuntodelcomentario"/>
    <w:uiPriority w:val="99"/>
    <w:semiHidden/>
    <w:rsid w:val="00F16A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74085">
      <w:bodyDiv w:val="1"/>
      <w:marLeft w:val="0"/>
      <w:marRight w:val="0"/>
      <w:marTop w:val="0"/>
      <w:marBottom w:val="0"/>
      <w:divBdr>
        <w:top w:val="none" w:sz="0" w:space="0" w:color="auto"/>
        <w:left w:val="none" w:sz="0" w:space="0" w:color="auto"/>
        <w:bottom w:val="none" w:sz="0" w:space="0" w:color="auto"/>
        <w:right w:val="none" w:sz="0" w:space="0" w:color="auto"/>
      </w:divBdr>
    </w:div>
    <w:div w:id="302277321">
      <w:bodyDiv w:val="1"/>
      <w:marLeft w:val="0"/>
      <w:marRight w:val="0"/>
      <w:marTop w:val="0"/>
      <w:marBottom w:val="0"/>
      <w:divBdr>
        <w:top w:val="none" w:sz="0" w:space="0" w:color="auto"/>
        <w:left w:val="none" w:sz="0" w:space="0" w:color="auto"/>
        <w:bottom w:val="none" w:sz="0" w:space="0" w:color="auto"/>
        <w:right w:val="none" w:sz="0" w:space="0" w:color="auto"/>
      </w:divBdr>
    </w:div>
    <w:div w:id="687678305">
      <w:bodyDiv w:val="1"/>
      <w:marLeft w:val="0"/>
      <w:marRight w:val="0"/>
      <w:marTop w:val="0"/>
      <w:marBottom w:val="0"/>
      <w:divBdr>
        <w:top w:val="none" w:sz="0" w:space="0" w:color="auto"/>
        <w:left w:val="none" w:sz="0" w:space="0" w:color="auto"/>
        <w:bottom w:val="none" w:sz="0" w:space="0" w:color="auto"/>
        <w:right w:val="none" w:sz="0" w:space="0" w:color="auto"/>
      </w:divBdr>
    </w:div>
    <w:div w:id="783304800">
      <w:bodyDiv w:val="1"/>
      <w:marLeft w:val="0"/>
      <w:marRight w:val="0"/>
      <w:marTop w:val="0"/>
      <w:marBottom w:val="0"/>
      <w:divBdr>
        <w:top w:val="none" w:sz="0" w:space="0" w:color="auto"/>
        <w:left w:val="none" w:sz="0" w:space="0" w:color="auto"/>
        <w:bottom w:val="none" w:sz="0" w:space="0" w:color="auto"/>
        <w:right w:val="none" w:sz="0" w:space="0" w:color="auto"/>
      </w:divBdr>
    </w:div>
    <w:div w:id="913513801">
      <w:bodyDiv w:val="1"/>
      <w:marLeft w:val="0"/>
      <w:marRight w:val="0"/>
      <w:marTop w:val="0"/>
      <w:marBottom w:val="0"/>
      <w:divBdr>
        <w:top w:val="none" w:sz="0" w:space="0" w:color="auto"/>
        <w:left w:val="none" w:sz="0" w:space="0" w:color="auto"/>
        <w:bottom w:val="none" w:sz="0" w:space="0" w:color="auto"/>
        <w:right w:val="none" w:sz="0" w:space="0" w:color="auto"/>
      </w:divBdr>
    </w:div>
    <w:div w:id="1175803068">
      <w:bodyDiv w:val="1"/>
      <w:marLeft w:val="0"/>
      <w:marRight w:val="0"/>
      <w:marTop w:val="0"/>
      <w:marBottom w:val="0"/>
      <w:divBdr>
        <w:top w:val="none" w:sz="0" w:space="0" w:color="auto"/>
        <w:left w:val="none" w:sz="0" w:space="0" w:color="auto"/>
        <w:bottom w:val="none" w:sz="0" w:space="0" w:color="auto"/>
        <w:right w:val="none" w:sz="0" w:space="0" w:color="auto"/>
      </w:divBdr>
    </w:div>
    <w:div w:id="1195968972">
      <w:bodyDiv w:val="1"/>
      <w:marLeft w:val="0"/>
      <w:marRight w:val="0"/>
      <w:marTop w:val="0"/>
      <w:marBottom w:val="0"/>
      <w:divBdr>
        <w:top w:val="none" w:sz="0" w:space="0" w:color="auto"/>
        <w:left w:val="none" w:sz="0" w:space="0" w:color="auto"/>
        <w:bottom w:val="none" w:sz="0" w:space="0" w:color="auto"/>
        <w:right w:val="none" w:sz="0" w:space="0" w:color="auto"/>
      </w:divBdr>
    </w:div>
    <w:div w:id="1234001869">
      <w:bodyDiv w:val="1"/>
      <w:marLeft w:val="0"/>
      <w:marRight w:val="0"/>
      <w:marTop w:val="0"/>
      <w:marBottom w:val="0"/>
      <w:divBdr>
        <w:top w:val="none" w:sz="0" w:space="0" w:color="auto"/>
        <w:left w:val="none" w:sz="0" w:space="0" w:color="auto"/>
        <w:bottom w:val="none" w:sz="0" w:space="0" w:color="auto"/>
        <w:right w:val="none" w:sz="0" w:space="0" w:color="auto"/>
      </w:divBdr>
    </w:div>
    <w:div w:id="1237667996">
      <w:bodyDiv w:val="1"/>
      <w:marLeft w:val="0"/>
      <w:marRight w:val="0"/>
      <w:marTop w:val="0"/>
      <w:marBottom w:val="0"/>
      <w:divBdr>
        <w:top w:val="none" w:sz="0" w:space="0" w:color="auto"/>
        <w:left w:val="none" w:sz="0" w:space="0" w:color="auto"/>
        <w:bottom w:val="none" w:sz="0" w:space="0" w:color="auto"/>
        <w:right w:val="none" w:sz="0" w:space="0" w:color="auto"/>
      </w:divBdr>
    </w:div>
    <w:div w:id="1255819287">
      <w:bodyDiv w:val="1"/>
      <w:marLeft w:val="0"/>
      <w:marRight w:val="0"/>
      <w:marTop w:val="0"/>
      <w:marBottom w:val="0"/>
      <w:divBdr>
        <w:top w:val="none" w:sz="0" w:space="0" w:color="auto"/>
        <w:left w:val="none" w:sz="0" w:space="0" w:color="auto"/>
        <w:bottom w:val="none" w:sz="0" w:space="0" w:color="auto"/>
        <w:right w:val="none" w:sz="0" w:space="0" w:color="auto"/>
      </w:divBdr>
    </w:div>
    <w:div w:id="1321688960">
      <w:bodyDiv w:val="1"/>
      <w:marLeft w:val="0"/>
      <w:marRight w:val="0"/>
      <w:marTop w:val="0"/>
      <w:marBottom w:val="0"/>
      <w:divBdr>
        <w:top w:val="none" w:sz="0" w:space="0" w:color="auto"/>
        <w:left w:val="none" w:sz="0" w:space="0" w:color="auto"/>
        <w:bottom w:val="none" w:sz="0" w:space="0" w:color="auto"/>
        <w:right w:val="none" w:sz="0" w:space="0" w:color="auto"/>
      </w:divBdr>
    </w:div>
    <w:div w:id="1323965836">
      <w:bodyDiv w:val="1"/>
      <w:marLeft w:val="0"/>
      <w:marRight w:val="0"/>
      <w:marTop w:val="0"/>
      <w:marBottom w:val="0"/>
      <w:divBdr>
        <w:top w:val="none" w:sz="0" w:space="0" w:color="auto"/>
        <w:left w:val="none" w:sz="0" w:space="0" w:color="auto"/>
        <w:bottom w:val="none" w:sz="0" w:space="0" w:color="auto"/>
        <w:right w:val="none" w:sz="0" w:space="0" w:color="auto"/>
      </w:divBdr>
    </w:div>
    <w:div w:id="1334801487">
      <w:bodyDiv w:val="1"/>
      <w:marLeft w:val="0"/>
      <w:marRight w:val="0"/>
      <w:marTop w:val="0"/>
      <w:marBottom w:val="0"/>
      <w:divBdr>
        <w:top w:val="none" w:sz="0" w:space="0" w:color="auto"/>
        <w:left w:val="none" w:sz="0" w:space="0" w:color="auto"/>
        <w:bottom w:val="none" w:sz="0" w:space="0" w:color="auto"/>
        <w:right w:val="none" w:sz="0" w:space="0" w:color="auto"/>
      </w:divBdr>
    </w:div>
    <w:div w:id="1352800335">
      <w:bodyDiv w:val="1"/>
      <w:marLeft w:val="0"/>
      <w:marRight w:val="0"/>
      <w:marTop w:val="0"/>
      <w:marBottom w:val="0"/>
      <w:divBdr>
        <w:top w:val="none" w:sz="0" w:space="0" w:color="auto"/>
        <w:left w:val="none" w:sz="0" w:space="0" w:color="auto"/>
        <w:bottom w:val="none" w:sz="0" w:space="0" w:color="auto"/>
        <w:right w:val="none" w:sz="0" w:space="0" w:color="auto"/>
      </w:divBdr>
      <w:divsChild>
        <w:div w:id="1642072961">
          <w:marLeft w:val="0"/>
          <w:marRight w:val="0"/>
          <w:marTop w:val="0"/>
          <w:marBottom w:val="0"/>
          <w:divBdr>
            <w:top w:val="none" w:sz="0" w:space="0" w:color="auto"/>
            <w:left w:val="none" w:sz="0" w:space="0" w:color="auto"/>
            <w:bottom w:val="none" w:sz="0" w:space="0" w:color="auto"/>
            <w:right w:val="none" w:sz="0" w:space="0" w:color="auto"/>
          </w:divBdr>
          <w:divsChild>
            <w:div w:id="421755491">
              <w:marLeft w:val="0"/>
              <w:marRight w:val="0"/>
              <w:marTop w:val="0"/>
              <w:marBottom w:val="0"/>
              <w:divBdr>
                <w:top w:val="none" w:sz="0" w:space="0" w:color="auto"/>
                <w:left w:val="none" w:sz="0" w:space="0" w:color="auto"/>
                <w:bottom w:val="none" w:sz="0" w:space="0" w:color="auto"/>
                <w:right w:val="none" w:sz="0" w:space="0" w:color="auto"/>
              </w:divBdr>
              <w:divsChild>
                <w:div w:id="1166748575">
                  <w:marLeft w:val="0"/>
                  <w:marRight w:val="0"/>
                  <w:marTop w:val="0"/>
                  <w:marBottom w:val="0"/>
                  <w:divBdr>
                    <w:top w:val="none" w:sz="0" w:space="0" w:color="auto"/>
                    <w:left w:val="none" w:sz="0" w:space="0" w:color="auto"/>
                    <w:bottom w:val="none" w:sz="0" w:space="0" w:color="auto"/>
                    <w:right w:val="none" w:sz="0" w:space="0" w:color="auto"/>
                  </w:divBdr>
                  <w:divsChild>
                    <w:div w:id="16345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891052">
          <w:marLeft w:val="0"/>
          <w:marRight w:val="0"/>
          <w:marTop w:val="0"/>
          <w:marBottom w:val="0"/>
          <w:divBdr>
            <w:top w:val="none" w:sz="0" w:space="0" w:color="auto"/>
            <w:left w:val="none" w:sz="0" w:space="0" w:color="auto"/>
            <w:bottom w:val="none" w:sz="0" w:space="0" w:color="auto"/>
            <w:right w:val="none" w:sz="0" w:space="0" w:color="auto"/>
          </w:divBdr>
          <w:divsChild>
            <w:div w:id="728722694">
              <w:marLeft w:val="0"/>
              <w:marRight w:val="0"/>
              <w:marTop w:val="0"/>
              <w:marBottom w:val="0"/>
              <w:divBdr>
                <w:top w:val="none" w:sz="0" w:space="0" w:color="auto"/>
                <w:left w:val="none" w:sz="0" w:space="0" w:color="auto"/>
                <w:bottom w:val="none" w:sz="0" w:space="0" w:color="auto"/>
                <w:right w:val="none" w:sz="0" w:space="0" w:color="auto"/>
              </w:divBdr>
              <w:divsChild>
                <w:div w:id="850604497">
                  <w:marLeft w:val="0"/>
                  <w:marRight w:val="0"/>
                  <w:marTop w:val="0"/>
                  <w:marBottom w:val="0"/>
                  <w:divBdr>
                    <w:top w:val="none" w:sz="0" w:space="0" w:color="auto"/>
                    <w:left w:val="none" w:sz="0" w:space="0" w:color="auto"/>
                    <w:bottom w:val="none" w:sz="0" w:space="0" w:color="auto"/>
                    <w:right w:val="none" w:sz="0" w:space="0" w:color="auto"/>
                  </w:divBdr>
                  <w:divsChild>
                    <w:div w:id="175886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163875">
      <w:bodyDiv w:val="1"/>
      <w:marLeft w:val="0"/>
      <w:marRight w:val="0"/>
      <w:marTop w:val="0"/>
      <w:marBottom w:val="0"/>
      <w:divBdr>
        <w:top w:val="none" w:sz="0" w:space="0" w:color="auto"/>
        <w:left w:val="none" w:sz="0" w:space="0" w:color="auto"/>
        <w:bottom w:val="none" w:sz="0" w:space="0" w:color="auto"/>
        <w:right w:val="none" w:sz="0" w:space="0" w:color="auto"/>
      </w:divBdr>
    </w:div>
    <w:div w:id="1460957399">
      <w:bodyDiv w:val="1"/>
      <w:marLeft w:val="0"/>
      <w:marRight w:val="0"/>
      <w:marTop w:val="0"/>
      <w:marBottom w:val="0"/>
      <w:divBdr>
        <w:top w:val="none" w:sz="0" w:space="0" w:color="auto"/>
        <w:left w:val="none" w:sz="0" w:space="0" w:color="auto"/>
        <w:bottom w:val="none" w:sz="0" w:space="0" w:color="auto"/>
        <w:right w:val="none" w:sz="0" w:space="0" w:color="auto"/>
      </w:divBdr>
      <w:divsChild>
        <w:div w:id="1041905817">
          <w:marLeft w:val="0"/>
          <w:marRight w:val="0"/>
          <w:marTop w:val="0"/>
          <w:marBottom w:val="0"/>
          <w:divBdr>
            <w:top w:val="none" w:sz="0" w:space="0" w:color="auto"/>
            <w:left w:val="none" w:sz="0" w:space="0" w:color="auto"/>
            <w:bottom w:val="none" w:sz="0" w:space="0" w:color="auto"/>
            <w:right w:val="none" w:sz="0" w:space="0" w:color="auto"/>
          </w:divBdr>
          <w:divsChild>
            <w:div w:id="1649821913">
              <w:marLeft w:val="0"/>
              <w:marRight w:val="0"/>
              <w:marTop w:val="0"/>
              <w:marBottom w:val="0"/>
              <w:divBdr>
                <w:top w:val="none" w:sz="0" w:space="0" w:color="auto"/>
                <w:left w:val="none" w:sz="0" w:space="0" w:color="auto"/>
                <w:bottom w:val="none" w:sz="0" w:space="0" w:color="auto"/>
                <w:right w:val="none" w:sz="0" w:space="0" w:color="auto"/>
              </w:divBdr>
              <w:divsChild>
                <w:div w:id="1578056637">
                  <w:marLeft w:val="0"/>
                  <w:marRight w:val="0"/>
                  <w:marTop w:val="0"/>
                  <w:marBottom w:val="0"/>
                  <w:divBdr>
                    <w:top w:val="none" w:sz="0" w:space="0" w:color="auto"/>
                    <w:left w:val="none" w:sz="0" w:space="0" w:color="auto"/>
                    <w:bottom w:val="none" w:sz="0" w:space="0" w:color="auto"/>
                    <w:right w:val="none" w:sz="0" w:space="0" w:color="auto"/>
                  </w:divBdr>
                  <w:divsChild>
                    <w:div w:id="1807509831">
                      <w:marLeft w:val="0"/>
                      <w:marRight w:val="0"/>
                      <w:marTop w:val="0"/>
                      <w:marBottom w:val="0"/>
                      <w:divBdr>
                        <w:top w:val="none" w:sz="0" w:space="0" w:color="auto"/>
                        <w:left w:val="none" w:sz="0" w:space="0" w:color="auto"/>
                        <w:bottom w:val="none" w:sz="0" w:space="0" w:color="auto"/>
                        <w:right w:val="none" w:sz="0" w:space="0" w:color="auto"/>
                      </w:divBdr>
                      <w:divsChild>
                        <w:div w:id="1008873772">
                          <w:marLeft w:val="0"/>
                          <w:marRight w:val="0"/>
                          <w:marTop w:val="0"/>
                          <w:marBottom w:val="0"/>
                          <w:divBdr>
                            <w:top w:val="none" w:sz="0" w:space="0" w:color="auto"/>
                            <w:left w:val="none" w:sz="0" w:space="0" w:color="auto"/>
                            <w:bottom w:val="none" w:sz="0" w:space="0" w:color="auto"/>
                            <w:right w:val="none" w:sz="0" w:space="0" w:color="auto"/>
                          </w:divBdr>
                          <w:divsChild>
                            <w:div w:id="204212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192663">
      <w:bodyDiv w:val="1"/>
      <w:marLeft w:val="0"/>
      <w:marRight w:val="0"/>
      <w:marTop w:val="0"/>
      <w:marBottom w:val="0"/>
      <w:divBdr>
        <w:top w:val="none" w:sz="0" w:space="0" w:color="auto"/>
        <w:left w:val="none" w:sz="0" w:space="0" w:color="auto"/>
        <w:bottom w:val="none" w:sz="0" w:space="0" w:color="auto"/>
        <w:right w:val="none" w:sz="0" w:space="0" w:color="auto"/>
      </w:divBdr>
    </w:div>
    <w:div w:id="1723363233">
      <w:bodyDiv w:val="1"/>
      <w:marLeft w:val="0"/>
      <w:marRight w:val="0"/>
      <w:marTop w:val="0"/>
      <w:marBottom w:val="0"/>
      <w:divBdr>
        <w:top w:val="none" w:sz="0" w:space="0" w:color="auto"/>
        <w:left w:val="none" w:sz="0" w:space="0" w:color="auto"/>
        <w:bottom w:val="none" w:sz="0" w:space="0" w:color="auto"/>
        <w:right w:val="none" w:sz="0" w:space="0" w:color="auto"/>
      </w:divBdr>
      <w:divsChild>
        <w:div w:id="1959945380">
          <w:marLeft w:val="0"/>
          <w:marRight w:val="0"/>
          <w:marTop w:val="0"/>
          <w:marBottom w:val="0"/>
          <w:divBdr>
            <w:top w:val="none" w:sz="0" w:space="0" w:color="auto"/>
            <w:left w:val="none" w:sz="0" w:space="0" w:color="auto"/>
            <w:bottom w:val="none" w:sz="0" w:space="0" w:color="auto"/>
            <w:right w:val="none" w:sz="0" w:space="0" w:color="auto"/>
          </w:divBdr>
          <w:divsChild>
            <w:div w:id="255788068">
              <w:marLeft w:val="0"/>
              <w:marRight w:val="0"/>
              <w:marTop w:val="0"/>
              <w:marBottom w:val="0"/>
              <w:divBdr>
                <w:top w:val="none" w:sz="0" w:space="0" w:color="auto"/>
                <w:left w:val="none" w:sz="0" w:space="0" w:color="auto"/>
                <w:bottom w:val="none" w:sz="0" w:space="0" w:color="auto"/>
                <w:right w:val="none" w:sz="0" w:space="0" w:color="auto"/>
              </w:divBdr>
              <w:divsChild>
                <w:div w:id="324284196">
                  <w:marLeft w:val="0"/>
                  <w:marRight w:val="0"/>
                  <w:marTop w:val="0"/>
                  <w:marBottom w:val="0"/>
                  <w:divBdr>
                    <w:top w:val="none" w:sz="0" w:space="0" w:color="auto"/>
                    <w:left w:val="none" w:sz="0" w:space="0" w:color="auto"/>
                    <w:bottom w:val="none" w:sz="0" w:space="0" w:color="auto"/>
                    <w:right w:val="none" w:sz="0" w:space="0" w:color="auto"/>
                  </w:divBdr>
                  <w:divsChild>
                    <w:div w:id="19643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566455">
          <w:marLeft w:val="0"/>
          <w:marRight w:val="0"/>
          <w:marTop w:val="0"/>
          <w:marBottom w:val="0"/>
          <w:divBdr>
            <w:top w:val="none" w:sz="0" w:space="0" w:color="auto"/>
            <w:left w:val="none" w:sz="0" w:space="0" w:color="auto"/>
            <w:bottom w:val="none" w:sz="0" w:space="0" w:color="auto"/>
            <w:right w:val="none" w:sz="0" w:space="0" w:color="auto"/>
          </w:divBdr>
          <w:divsChild>
            <w:div w:id="357707808">
              <w:marLeft w:val="0"/>
              <w:marRight w:val="0"/>
              <w:marTop w:val="0"/>
              <w:marBottom w:val="0"/>
              <w:divBdr>
                <w:top w:val="none" w:sz="0" w:space="0" w:color="auto"/>
                <w:left w:val="none" w:sz="0" w:space="0" w:color="auto"/>
                <w:bottom w:val="none" w:sz="0" w:space="0" w:color="auto"/>
                <w:right w:val="none" w:sz="0" w:space="0" w:color="auto"/>
              </w:divBdr>
              <w:divsChild>
                <w:div w:id="1420717491">
                  <w:marLeft w:val="0"/>
                  <w:marRight w:val="0"/>
                  <w:marTop w:val="0"/>
                  <w:marBottom w:val="0"/>
                  <w:divBdr>
                    <w:top w:val="none" w:sz="0" w:space="0" w:color="auto"/>
                    <w:left w:val="none" w:sz="0" w:space="0" w:color="auto"/>
                    <w:bottom w:val="none" w:sz="0" w:space="0" w:color="auto"/>
                    <w:right w:val="none" w:sz="0" w:space="0" w:color="auto"/>
                  </w:divBdr>
                  <w:divsChild>
                    <w:div w:id="207797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545036">
      <w:bodyDiv w:val="1"/>
      <w:marLeft w:val="0"/>
      <w:marRight w:val="0"/>
      <w:marTop w:val="0"/>
      <w:marBottom w:val="0"/>
      <w:divBdr>
        <w:top w:val="none" w:sz="0" w:space="0" w:color="auto"/>
        <w:left w:val="none" w:sz="0" w:space="0" w:color="auto"/>
        <w:bottom w:val="none" w:sz="0" w:space="0" w:color="auto"/>
        <w:right w:val="none" w:sz="0" w:space="0" w:color="auto"/>
      </w:divBdr>
    </w:div>
    <w:div w:id="2144156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mailto:contacto@4m&#233;trica.com" TargetMode="External"/><Relationship Id="rId13" Type="http://schemas.openxmlformats.org/officeDocument/2006/relationships/hyperlink" Target="https://www.redalyc.org/pdf/214/21431356018.pdf" TargetMode="External"/><Relationship Id="rId18" Type="http://schemas.openxmlformats.org/officeDocument/2006/relationships/hyperlink" Target="https://www.foodmonitorprogram.org/entrevistas-alimentacion-en-zonas-rurales" TargetMode="External"/><Relationship Id="rId3" Type="http://schemas.openxmlformats.org/officeDocument/2006/relationships/hyperlink" Target="http://www.foodmonitorprogram.org/" TargetMode="External"/><Relationship Id="rId7" Type="http://schemas.openxmlformats.org/officeDocument/2006/relationships/hyperlink" Target="https://www.4metrica.org" TargetMode="External"/><Relationship Id="rId12" Type="http://schemas.openxmlformats.org/officeDocument/2006/relationships/hyperlink" Target="http://www.onei.gob.cu/node/14725" TargetMode="External"/><Relationship Id="rId17" Type="http://schemas.openxmlformats.org/officeDocument/2006/relationships/hyperlink" Target="https://www.foodmonitorprogram.org/columna-inseguridad-alimentaria-detras-de-las-protestas-sociales-en-caimanera" TargetMode="External"/><Relationship Id="rId2" Type="http://schemas.openxmlformats.org/officeDocument/2006/relationships/hyperlink" Target="mailto:contacto@cuido60.com" TargetMode="External"/><Relationship Id="rId16" Type="http://schemas.openxmlformats.org/officeDocument/2006/relationships/hyperlink" Target="https://www.foodmonitorprogram.org/nota-de-prensa-no-21/" TargetMode="External"/><Relationship Id="rId1" Type="http://schemas.openxmlformats.org/officeDocument/2006/relationships/hyperlink" Target="https://www.cuido60.com/" TargetMode="External"/><Relationship Id="rId6" Type="http://schemas.openxmlformats.org/officeDocument/2006/relationships/hyperlink" Target="mailto:erik.jennische@crd.org" TargetMode="External"/><Relationship Id="rId11" Type="http://schemas.openxmlformats.org/officeDocument/2006/relationships/hyperlink" Target="http://www.onei.gob.cu/node/14725" TargetMode="External"/><Relationship Id="rId5" Type="http://schemas.openxmlformats.org/officeDocument/2006/relationships/hyperlink" Target="http://www.crd.org" TargetMode="External"/><Relationship Id="rId15" Type="http://schemas.openxmlformats.org/officeDocument/2006/relationships/hyperlink" Target="https://raceandequality.org/wp-content/uploads/2024/05/Informe-Si-no-nos-mencionan-no-existimos_Cuba.pdf?fbclid=IwZXh0bgNhZW0CMTAAAR0jm4uUFhfKT1LrFyBP0WjY6XQCYgco4nddu-I9SaIbhDZ_EOacGEK3yzE_aem_ASusfIdQ7_smRov41SI1hh0YToBSnf-5rzgSK-tfOV97zTQeHI2-FyC2VLloA7WyTLodzrKNidHWXb03STZxvwTi" TargetMode="External"/><Relationship Id="rId10" Type="http://schemas.openxmlformats.org/officeDocument/2006/relationships/hyperlink" Target="mailto:nastassjarojas@gmail.com" TargetMode="External"/><Relationship Id="rId19" Type="http://schemas.openxmlformats.org/officeDocument/2006/relationships/hyperlink" Target="https://www.foodmonitorprogram.org/testimonios" TargetMode="External"/><Relationship Id="rId4" Type="http://schemas.openxmlformats.org/officeDocument/2006/relationships/hyperlink" Target="mailto:n.rojas@foodmonitorprogram.org" TargetMode="External"/><Relationship Id="rId9" Type="http://schemas.openxmlformats.org/officeDocument/2006/relationships/hyperlink" Target="https://conenfoque.org/" TargetMode="External"/><Relationship Id="rId14" Type="http://schemas.openxmlformats.org/officeDocument/2006/relationships/hyperlink" Target="https://alastensas.com/tag/mujeres-migran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IJ/ZUHMWm8WhIynU1oNlD5fYCQ==">CgMxLjA4AHIhMWIyazV1VjF2NWlxWUdMNV8xenBPRURHOWczQVlIalJN</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311AEE-6E03-934A-BC59-E255B70B3F6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B37ACB5-A5D0-45D4-BCAD-D8E2979C8B12}"/>
</file>

<file path=customXml/itemProps4.xml><?xml version="1.0" encoding="utf-8"?>
<ds:datastoreItem xmlns:ds="http://schemas.openxmlformats.org/officeDocument/2006/customXml" ds:itemID="{F04E8749-F4B8-46F6-8F54-173053CBED80}"/>
</file>

<file path=docProps/app.xml><?xml version="1.0" encoding="utf-8"?>
<Properties xmlns="http://schemas.openxmlformats.org/officeDocument/2006/extended-properties" xmlns:vt="http://schemas.openxmlformats.org/officeDocument/2006/docPropsVTypes">
  <Template>Normal.dotm</Template>
  <TotalTime>76</TotalTime>
  <Pages>11</Pages>
  <Words>5523</Words>
  <Characters>30380</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Camila Herrera Sosa</cp:lastModifiedBy>
  <cp:revision>48</cp:revision>
  <dcterms:created xsi:type="dcterms:W3CDTF">2024-09-05T17:57:00Z</dcterms:created>
  <dcterms:modified xsi:type="dcterms:W3CDTF">2024-09-06T21:38:00Z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6f07ae-913b-4a01-ae3c-1706bd539b1a_Enabled">
    <vt:lpwstr>true</vt:lpwstr>
  </property>
  <property fmtid="{D5CDD505-2E9C-101B-9397-08002B2CF9AE}" pid="3" name="MSIP_Label_956f07ae-913b-4a01-ae3c-1706bd539b1a_SetDate">
    <vt:lpwstr>2024-09-06T17:16:13Z</vt:lpwstr>
  </property>
  <property fmtid="{D5CDD505-2E9C-101B-9397-08002B2CF9AE}" pid="4" name="MSIP_Label_956f07ae-913b-4a01-ae3c-1706bd539b1a_Method">
    <vt:lpwstr>Privileged</vt:lpwstr>
  </property>
  <property fmtid="{D5CDD505-2E9C-101B-9397-08002B2CF9AE}" pid="5" name="MSIP_Label_956f07ae-913b-4a01-ae3c-1706bd539b1a_Name">
    <vt:lpwstr>Internal - Without header</vt:lpwstr>
  </property>
  <property fmtid="{D5CDD505-2E9C-101B-9397-08002B2CF9AE}" pid="6" name="MSIP_Label_956f07ae-913b-4a01-ae3c-1706bd539b1a_SiteId">
    <vt:lpwstr>468d0fae-ea77-4285-ad8d-c7e04a090c24</vt:lpwstr>
  </property>
  <property fmtid="{D5CDD505-2E9C-101B-9397-08002B2CF9AE}" pid="7" name="MSIP_Label_956f07ae-913b-4a01-ae3c-1706bd539b1a_ActionId">
    <vt:lpwstr>32e443d2-dc0d-4ad4-aca1-51550b28f097</vt:lpwstr>
  </property>
  <property fmtid="{D5CDD505-2E9C-101B-9397-08002B2CF9AE}" pid="8" name="MSIP_Label_956f07ae-913b-4a01-ae3c-1706bd539b1a_ContentBits">
    <vt:lpwstr>0</vt:lpwstr>
  </property>
</Properties>
</file>