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86EAD" w14:textId="77777777" w:rsidR="004618BC" w:rsidRDefault="004618BC">
      <w:pPr>
        <w:pStyle w:val="BodyText"/>
        <w:spacing w:before="16"/>
        <w:rPr>
          <w:rFonts w:ascii="Times New Roman"/>
        </w:rPr>
      </w:pPr>
    </w:p>
    <w:p w14:paraId="028ACF93" w14:textId="77777777" w:rsidR="004618BC" w:rsidRDefault="00000000">
      <w:pPr>
        <w:spacing w:before="1"/>
        <w:ind w:left="1085" w:right="1085"/>
        <w:jc w:val="center"/>
        <w:rPr>
          <w:b/>
          <w:sz w:val="24"/>
        </w:rPr>
      </w:pPr>
      <w:r>
        <w:rPr>
          <w:b/>
          <w:sz w:val="24"/>
        </w:rPr>
        <w:t>Submission</w:t>
      </w:r>
      <w:r>
        <w:rPr>
          <w:b/>
          <w:spacing w:val="-2"/>
          <w:sz w:val="24"/>
        </w:rPr>
        <w:t xml:space="preserve"> </w:t>
      </w:r>
      <w:r>
        <w:rPr>
          <w:b/>
          <w:sz w:val="24"/>
        </w:rPr>
        <w:t>to</w:t>
      </w:r>
      <w:r>
        <w:rPr>
          <w:b/>
          <w:spacing w:val="-1"/>
          <w:sz w:val="24"/>
        </w:rPr>
        <w:t xml:space="preserve"> </w:t>
      </w:r>
      <w:r>
        <w:rPr>
          <w:b/>
          <w:sz w:val="24"/>
        </w:rPr>
        <w:t>the</w:t>
      </w:r>
      <w:r>
        <w:rPr>
          <w:b/>
          <w:spacing w:val="-2"/>
          <w:sz w:val="24"/>
        </w:rPr>
        <w:t xml:space="preserve"> </w:t>
      </w:r>
      <w:r>
        <w:rPr>
          <w:b/>
          <w:sz w:val="24"/>
        </w:rPr>
        <w:t>Convention</w:t>
      </w:r>
      <w:r>
        <w:rPr>
          <w:b/>
          <w:spacing w:val="-3"/>
          <w:sz w:val="24"/>
        </w:rPr>
        <w:t xml:space="preserve"> </w:t>
      </w:r>
      <w:r>
        <w:rPr>
          <w:b/>
          <w:sz w:val="24"/>
        </w:rPr>
        <w:t>on</w:t>
      </w:r>
      <w:r>
        <w:rPr>
          <w:b/>
          <w:spacing w:val="-2"/>
          <w:sz w:val="24"/>
        </w:rPr>
        <w:t xml:space="preserve"> </w:t>
      </w:r>
      <w:r>
        <w:rPr>
          <w:b/>
          <w:spacing w:val="-5"/>
          <w:sz w:val="24"/>
        </w:rPr>
        <w:t>the</w:t>
      </w:r>
    </w:p>
    <w:p w14:paraId="2249DD19" w14:textId="77777777" w:rsidR="004618BC" w:rsidRDefault="00000000">
      <w:pPr>
        <w:spacing w:before="146" w:line="360" w:lineRule="auto"/>
        <w:ind w:left="1085" w:right="1081"/>
        <w:jc w:val="center"/>
        <w:rPr>
          <w:b/>
          <w:sz w:val="24"/>
        </w:rPr>
      </w:pPr>
      <w:r>
        <w:rPr>
          <w:b/>
          <w:sz w:val="24"/>
        </w:rPr>
        <w:t>Elimination</w:t>
      </w:r>
      <w:r>
        <w:rPr>
          <w:b/>
          <w:spacing w:val="-4"/>
          <w:sz w:val="24"/>
        </w:rPr>
        <w:t xml:space="preserve"> </w:t>
      </w:r>
      <w:r>
        <w:rPr>
          <w:b/>
          <w:sz w:val="24"/>
        </w:rPr>
        <w:t>of</w:t>
      </w:r>
      <w:r>
        <w:rPr>
          <w:b/>
          <w:spacing w:val="-4"/>
          <w:sz w:val="24"/>
        </w:rPr>
        <w:t xml:space="preserve"> </w:t>
      </w:r>
      <w:r>
        <w:rPr>
          <w:b/>
          <w:sz w:val="24"/>
        </w:rPr>
        <w:t>All</w:t>
      </w:r>
      <w:r>
        <w:rPr>
          <w:b/>
          <w:spacing w:val="-4"/>
          <w:sz w:val="24"/>
        </w:rPr>
        <w:t xml:space="preserve"> </w:t>
      </w:r>
      <w:r>
        <w:rPr>
          <w:b/>
          <w:sz w:val="24"/>
        </w:rPr>
        <w:t>Forms</w:t>
      </w:r>
      <w:r>
        <w:rPr>
          <w:b/>
          <w:spacing w:val="-5"/>
          <w:sz w:val="24"/>
        </w:rPr>
        <w:t xml:space="preserve"> </w:t>
      </w:r>
      <w:r>
        <w:rPr>
          <w:b/>
          <w:sz w:val="24"/>
        </w:rPr>
        <w:t>of</w:t>
      </w:r>
      <w:r>
        <w:rPr>
          <w:b/>
          <w:spacing w:val="-2"/>
          <w:sz w:val="24"/>
        </w:rPr>
        <w:t xml:space="preserve"> </w:t>
      </w:r>
      <w:r>
        <w:rPr>
          <w:b/>
          <w:sz w:val="24"/>
        </w:rPr>
        <w:t>Discrimination</w:t>
      </w:r>
      <w:r>
        <w:rPr>
          <w:b/>
          <w:spacing w:val="-2"/>
          <w:sz w:val="24"/>
        </w:rPr>
        <w:t xml:space="preserve"> </w:t>
      </w:r>
      <w:r>
        <w:rPr>
          <w:b/>
          <w:sz w:val="24"/>
        </w:rPr>
        <w:t>against</w:t>
      </w:r>
      <w:r>
        <w:rPr>
          <w:b/>
          <w:spacing w:val="-2"/>
          <w:sz w:val="24"/>
        </w:rPr>
        <w:t xml:space="preserve"> </w:t>
      </w:r>
      <w:r>
        <w:rPr>
          <w:b/>
          <w:sz w:val="24"/>
        </w:rPr>
        <w:t>Women</w:t>
      </w:r>
      <w:r>
        <w:rPr>
          <w:b/>
          <w:spacing w:val="-2"/>
          <w:sz w:val="24"/>
        </w:rPr>
        <w:t xml:space="preserve"> </w:t>
      </w:r>
      <w:r>
        <w:rPr>
          <w:b/>
          <w:sz w:val="24"/>
        </w:rPr>
        <w:t>(89th</w:t>
      </w:r>
      <w:r>
        <w:rPr>
          <w:b/>
          <w:spacing w:val="-4"/>
          <w:sz w:val="24"/>
        </w:rPr>
        <w:t xml:space="preserve"> </w:t>
      </w:r>
      <w:r>
        <w:rPr>
          <w:b/>
          <w:sz w:val="24"/>
        </w:rPr>
        <w:t xml:space="preserve">Session) Barbra </w:t>
      </w:r>
      <w:proofErr w:type="spellStart"/>
      <w:r>
        <w:rPr>
          <w:b/>
          <w:sz w:val="24"/>
        </w:rPr>
        <w:t>Schlifer</w:t>
      </w:r>
      <w:proofErr w:type="spellEnd"/>
      <w:r>
        <w:rPr>
          <w:b/>
          <w:sz w:val="24"/>
        </w:rPr>
        <w:t xml:space="preserve"> Commemorative Clinic</w:t>
      </w:r>
    </w:p>
    <w:p w14:paraId="06B3BF63" w14:textId="77777777" w:rsidR="004618BC" w:rsidRDefault="004618BC">
      <w:pPr>
        <w:pStyle w:val="BodyText"/>
        <w:spacing w:before="145"/>
        <w:rPr>
          <w:b/>
        </w:rPr>
      </w:pPr>
    </w:p>
    <w:p w14:paraId="38C1DF07" w14:textId="77777777" w:rsidR="004618BC" w:rsidRDefault="00000000">
      <w:pPr>
        <w:pStyle w:val="ListParagraph"/>
        <w:numPr>
          <w:ilvl w:val="0"/>
          <w:numId w:val="1"/>
        </w:numPr>
        <w:tabs>
          <w:tab w:val="left" w:pos="303"/>
        </w:tabs>
        <w:spacing w:before="1"/>
        <w:ind w:left="303" w:hanging="183"/>
        <w:rPr>
          <w:b/>
          <w:sz w:val="24"/>
        </w:rPr>
      </w:pPr>
      <w:r>
        <w:rPr>
          <w:b/>
          <w:spacing w:val="-2"/>
          <w:sz w:val="24"/>
        </w:rPr>
        <w:t>Introduction</w:t>
      </w:r>
    </w:p>
    <w:p w14:paraId="0095F3E0" w14:textId="77777777" w:rsidR="004618BC" w:rsidRDefault="004618BC">
      <w:pPr>
        <w:pStyle w:val="BodyText"/>
        <w:spacing w:before="292"/>
        <w:rPr>
          <w:b/>
        </w:rPr>
      </w:pPr>
    </w:p>
    <w:p w14:paraId="13B9942C" w14:textId="77777777" w:rsidR="004618BC" w:rsidRDefault="00000000">
      <w:pPr>
        <w:pStyle w:val="BodyText"/>
        <w:spacing w:line="360" w:lineRule="auto"/>
        <w:ind w:left="120" w:right="115"/>
        <w:jc w:val="both"/>
      </w:pPr>
      <w:r>
        <w:t>The</w:t>
      </w:r>
      <w:r>
        <w:rPr>
          <w:spacing w:val="-14"/>
        </w:rPr>
        <w:t xml:space="preserve"> </w:t>
      </w:r>
      <w:r>
        <w:t>Barbra</w:t>
      </w:r>
      <w:r>
        <w:rPr>
          <w:spacing w:val="-14"/>
        </w:rPr>
        <w:t xml:space="preserve"> </w:t>
      </w:r>
      <w:proofErr w:type="spellStart"/>
      <w:r>
        <w:t>Schlifer</w:t>
      </w:r>
      <w:proofErr w:type="spellEnd"/>
      <w:r>
        <w:rPr>
          <w:spacing w:val="-13"/>
        </w:rPr>
        <w:t xml:space="preserve"> </w:t>
      </w:r>
      <w:r>
        <w:t>Commemorative</w:t>
      </w:r>
      <w:r>
        <w:rPr>
          <w:spacing w:val="-14"/>
        </w:rPr>
        <w:t xml:space="preserve"> </w:t>
      </w:r>
      <w:r>
        <w:t>Clinic</w:t>
      </w:r>
      <w:r>
        <w:rPr>
          <w:spacing w:val="-13"/>
        </w:rPr>
        <w:t xml:space="preserve"> </w:t>
      </w:r>
      <w:r>
        <w:t>(the</w:t>
      </w:r>
      <w:r>
        <w:rPr>
          <w:spacing w:val="-14"/>
        </w:rPr>
        <w:t xml:space="preserve"> </w:t>
      </w:r>
      <w:r>
        <w:t>Clinic)</w:t>
      </w:r>
      <w:r>
        <w:rPr>
          <w:spacing w:val="-13"/>
        </w:rPr>
        <w:t xml:space="preserve"> </w:t>
      </w:r>
      <w:r>
        <w:t>provides</w:t>
      </w:r>
      <w:r>
        <w:rPr>
          <w:spacing w:val="-14"/>
        </w:rPr>
        <w:t xml:space="preserve"> </w:t>
      </w:r>
      <w:r>
        <w:t>frontline</w:t>
      </w:r>
      <w:r>
        <w:rPr>
          <w:spacing w:val="-14"/>
        </w:rPr>
        <w:t xml:space="preserve"> </w:t>
      </w:r>
      <w:r>
        <w:t>services</w:t>
      </w:r>
      <w:r>
        <w:rPr>
          <w:spacing w:val="-13"/>
        </w:rPr>
        <w:t xml:space="preserve"> </w:t>
      </w:r>
      <w:r>
        <w:t>to</w:t>
      </w:r>
      <w:r>
        <w:rPr>
          <w:spacing w:val="-14"/>
        </w:rPr>
        <w:t xml:space="preserve"> </w:t>
      </w:r>
      <w:r>
        <w:t>women</w:t>
      </w:r>
      <w:r>
        <w:rPr>
          <w:spacing w:val="-13"/>
        </w:rPr>
        <w:t xml:space="preserve"> </w:t>
      </w:r>
      <w:r>
        <w:t>who</w:t>
      </w:r>
      <w:r>
        <w:rPr>
          <w:spacing w:val="-14"/>
        </w:rPr>
        <w:t xml:space="preserve"> </w:t>
      </w:r>
      <w:r>
        <w:t>have experienced intimate partner violence, family violence, and structural violence. These services include legal representation, professional counselling, and language interpretation, catering to women from diverse racial, ethnocultural, and socio-economic backgrounds. The Clinic is dedicated to addressing gender-based and sexual violence comprehensively, considering the intersecting inequalities affecting women.</w:t>
      </w:r>
    </w:p>
    <w:p w14:paraId="51760D83" w14:textId="77777777" w:rsidR="004618BC" w:rsidRDefault="004618BC">
      <w:pPr>
        <w:pStyle w:val="BodyText"/>
        <w:spacing w:before="147"/>
      </w:pPr>
    </w:p>
    <w:p w14:paraId="38F14267" w14:textId="77777777" w:rsidR="004618BC" w:rsidRDefault="00000000">
      <w:pPr>
        <w:pStyle w:val="BodyText"/>
        <w:spacing w:line="360" w:lineRule="auto"/>
        <w:ind w:left="120" w:right="115"/>
        <w:jc w:val="both"/>
      </w:pPr>
      <w:r>
        <w:t>As</w:t>
      </w:r>
      <w:r>
        <w:rPr>
          <w:spacing w:val="-9"/>
        </w:rPr>
        <w:t xml:space="preserve"> </w:t>
      </w:r>
      <w:r>
        <w:t>part</w:t>
      </w:r>
      <w:r>
        <w:rPr>
          <w:spacing w:val="-8"/>
        </w:rPr>
        <w:t xml:space="preserve"> </w:t>
      </w:r>
      <w:r>
        <w:t>of</w:t>
      </w:r>
      <w:r>
        <w:rPr>
          <w:spacing w:val="-8"/>
        </w:rPr>
        <w:t xml:space="preserve"> </w:t>
      </w:r>
      <w:r>
        <w:t>the</w:t>
      </w:r>
      <w:r>
        <w:rPr>
          <w:spacing w:val="-8"/>
        </w:rPr>
        <w:t xml:space="preserve"> </w:t>
      </w:r>
      <w:r>
        <w:t>Clinic's</w:t>
      </w:r>
      <w:r>
        <w:rPr>
          <w:spacing w:val="-9"/>
        </w:rPr>
        <w:t xml:space="preserve"> </w:t>
      </w:r>
      <w:r>
        <w:t>strategic</w:t>
      </w:r>
      <w:r>
        <w:rPr>
          <w:spacing w:val="-9"/>
        </w:rPr>
        <w:t xml:space="preserve"> </w:t>
      </w:r>
      <w:r>
        <w:t>plan,</w:t>
      </w:r>
      <w:r>
        <w:rPr>
          <w:spacing w:val="-11"/>
        </w:rPr>
        <w:t xml:space="preserve"> </w:t>
      </w:r>
      <w:r>
        <w:t>it</w:t>
      </w:r>
      <w:r>
        <w:rPr>
          <w:spacing w:val="-8"/>
        </w:rPr>
        <w:t xml:space="preserve"> </w:t>
      </w:r>
      <w:r>
        <w:t>is</w:t>
      </w:r>
      <w:r>
        <w:rPr>
          <w:spacing w:val="-9"/>
        </w:rPr>
        <w:t xml:space="preserve"> </w:t>
      </w:r>
      <w:r>
        <w:t>necessary</w:t>
      </w:r>
      <w:r>
        <w:rPr>
          <w:spacing w:val="-9"/>
        </w:rPr>
        <w:t xml:space="preserve"> </w:t>
      </w:r>
      <w:r>
        <w:t>to</w:t>
      </w:r>
      <w:r>
        <w:rPr>
          <w:spacing w:val="-8"/>
        </w:rPr>
        <w:t xml:space="preserve"> </w:t>
      </w:r>
      <w:r>
        <w:t>align</w:t>
      </w:r>
      <w:r>
        <w:rPr>
          <w:spacing w:val="-10"/>
        </w:rPr>
        <w:t xml:space="preserve"> </w:t>
      </w:r>
      <w:r>
        <w:t>with</w:t>
      </w:r>
      <w:r>
        <w:rPr>
          <w:spacing w:val="-8"/>
        </w:rPr>
        <w:t xml:space="preserve"> </w:t>
      </w:r>
      <w:r>
        <w:t>international</w:t>
      </w:r>
      <w:r>
        <w:rPr>
          <w:spacing w:val="-9"/>
        </w:rPr>
        <w:t xml:space="preserve"> </w:t>
      </w:r>
      <w:r>
        <w:t>instruments</w:t>
      </w:r>
      <w:r>
        <w:rPr>
          <w:spacing w:val="-9"/>
        </w:rPr>
        <w:t xml:space="preserve"> </w:t>
      </w:r>
      <w:r>
        <w:t>such</w:t>
      </w:r>
      <w:r>
        <w:rPr>
          <w:spacing w:val="-8"/>
        </w:rPr>
        <w:t xml:space="preserve"> </w:t>
      </w:r>
      <w:r>
        <w:t>as</w:t>
      </w:r>
      <w:r>
        <w:rPr>
          <w:spacing w:val="-11"/>
        </w:rPr>
        <w:t xml:space="preserve"> </w:t>
      </w:r>
      <w:r>
        <w:t>the Convention on the Elimination of All Forms of Discrimination against Women (CEDAW). Established by</w:t>
      </w:r>
      <w:r>
        <w:rPr>
          <w:spacing w:val="-9"/>
        </w:rPr>
        <w:t xml:space="preserve"> </w:t>
      </w:r>
      <w:r>
        <w:t>the</w:t>
      </w:r>
      <w:r>
        <w:rPr>
          <w:spacing w:val="-8"/>
        </w:rPr>
        <w:t xml:space="preserve"> </w:t>
      </w:r>
      <w:r>
        <w:t>United</w:t>
      </w:r>
      <w:r>
        <w:rPr>
          <w:spacing w:val="-9"/>
        </w:rPr>
        <w:t xml:space="preserve"> </w:t>
      </w:r>
      <w:r>
        <w:t>Nations</w:t>
      </w:r>
      <w:r>
        <w:rPr>
          <w:spacing w:val="-10"/>
        </w:rPr>
        <w:t xml:space="preserve"> </w:t>
      </w:r>
      <w:r>
        <w:t>in</w:t>
      </w:r>
      <w:r>
        <w:rPr>
          <w:spacing w:val="-9"/>
        </w:rPr>
        <w:t xml:space="preserve"> </w:t>
      </w:r>
      <w:r>
        <w:t>1979,</w:t>
      </w:r>
      <w:r>
        <w:rPr>
          <w:spacing w:val="-10"/>
        </w:rPr>
        <w:t xml:space="preserve"> </w:t>
      </w:r>
      <w:r>
        <w:t>CEDAW</w:t>
      </w:r>
      <w:r>
        <w:rPr>
          <w:spacing w:val="-9"/>
        </w:rPr>
        <w:t xml:space="preserve"> </w:t>
      </w:r>
      <w:r>
        <w:t>advocates</w:t>
      </w:r>
      <w:r>
        <w:rPr>
          <w:spacing w:val="-13"/>
        </w:rPr>
        <w:t xml:space="preserve"> </w:t>
      </w:r>
      <w:r>
        <w:t>for</w:t>
      </w:r>
      <w:r>
        <w:rPr>
          <w:spacing w:val="-10"/>
        </w:rPr>
        <w:t xml:space="preserve"> </w:t>
      </w:r>
      <w:r>
        <w:t>women's</w:t>
      </w:r>
      <w:r>
        <w:rPr>
          <w:spacing w:val="-9"/>
        </w:rPr>
        <w:t xml:space="preserve"> </w:t>
      </w:r>
      <w:r>
        <w:t>rights</w:t>
      </w:r>
      <w:r>
        <w:rPr>
          <w:spacing w:val="-9"/>
        </w:rPr>
        <w:t xml:space="preserve"> </w:t>
      </w:r>
      <w:r>
        <w:t>and</w:t>
      </w:r>
      <w:r>
        <w:rPr>
          <w:spacing w:val="-8"/>
        </w:rPr>
        <w:t xml:space="preserve"> </w:t>
      </w:r>
      <w:r>
        <w:t>sets</w:t>
      </w:r>
      <w:r>
        <w:rPr>
          <w:spacing w:val="-9"/>
        </w:rPr>
        <w:t xml:space="preserve"> </w:t>
      </w:r>
      <w:r>
        <w:t>a</w:t>
      </w:r>
      <w:r>
        <w:rPr>
          <w:spacing w:val="-9"/>
        </w:rPr>
        <w:t xml:space="preserve"> </w:t>
      </w:r>
      <w:r>
        <w:t>roadmap</w:t>
      </w:r>
      <w:r>
        <w:rPr>
          <w:spacing w:val="-8"/>
        </w:rPr>
        <w:t xml:space="preserve"> </w:t>
      </w:r>
      <w:r>
        <w:t>for</w:t>
      </w:r>
      <w:r>
        <w:rPr>
          <w:spacing w:val="-10"/>
        </w:rPr>
        <w:t xml:space="preserve"> </w:t>
      </w:r>
      <w:r>
        <w:t>national efforts</w:t>
      </w:r>
      <w:r>
        <w:rPr>
          <w:spacing w:val="-2"/>
        </w:rPr>
        <w:t xml:space="preserve"> </w:t>
      </w:r>
      <w:r>
        <w:t>to</w:t>
      </w:r>
      <w:r>
        <w:rPr>
          <w:spacing w:val="-1"/>
        </w:rPr>
        <w:t xml:space="preserve"> </w:t>
      </w:r>
      <w:r>
        <w:t>achieve</w:t>
      </w:r>
      <w:r>
        <w:rPr>
          <w:spacing w:val="-1"/>
        </w:rPr>
        <w:t xml:space="preserve"> </w:t>
      </w:r>
      <w:r>
        <w:t>gender equality. CEDAW</w:t>
      </w:r>
      <w:r>
        <w:rPr>
          <w:spacing w:val="-4"/>
        </w:rPr>
        <w:t xml:space="preserve"> </w:t>
      </w:r>
      <w:r>
        <w:t>has a</w:t>
      </w:r>
      <w:r>
        <w:rPr>
          <w:spacing w:val="-4"/>
        </w:rPr>
        <w:t xml:space="preserve"> </w:t>
      </w:r>
      <w:r>
        <w:t>significant impact at the</w:t>
      </w:r>
      <w:r>
        <w:rPr>
          <w:spacing w:val="-1"/>
        </w:rPr>
        <w:t xml:space="preserve"> </w:t>
      </w:r>
      <w:r>
        <w:t>grassroots</w:t>
      </w:r>
      <w:r>
        <w:rPr>
          <w:spacing w:val="-2"/>
        </w:rPr>
        <w:t xml:space="preserve"> </w:t>
      </w:r>
      <w:r>
        <w:t>level,</w:t>
      </w:r>
      <w:r>
        <w:rPr>
          <w:spacing w:val="-1"/>
        </w:rPr>
        <w:t xml:space="preserve"> </w:t>
      </w:r>
      <w:r>
        <w:t>providing a common framework to advocate for women's rights and gender equality and supporting inclusive measures that respect and amplify the voices of marginalized and vulnerable women.</w:t>
      </w:r>
    </w:p>
    <w:p w14:paraId="1A8D497B" w14:textId="77777777" w:rsidR="004618BC" w:rsidRDefault="004618BC">
      <w:pPr>
        <w:pStyle w:val="BodyText"/>
        <w:spacing w:before="147"/>
      </w:pPr>
    </w:p>
    <w:p w14:paraId="3948A1EA" w14:textId="77777777" w:rsidR="004618BC" w:rsidRDefault="00000000">
      <w:pPr>
        <w:pStyle w:val="BodyText"/>
        <w:spacing w:line="360" w:lineRule="auto"/>
        <w:ind w:left="120" w:right="114"/>
        <w:jc w:val="both"/>
      </w:pPr>
      <w:r>
        <w:t>The Clinic aims to ensure local practices adhere to international human rights standards, driving systemic change and improving outcomes for women in the community. By aligning its initiatives with CEDAW's principles, the Clinic strengthens its advocacy efforts and ensures that Canada's international commitments are upheld. Participating in CEDAW's reporting and review processes allows the Clinic</w:t>
      </w:r>
      <w:r>
        <w:rPr>
          <w:spacing w:val="-2"/>
        </w:rPr>
        <w:t xml:space="preserve"> </w:t>
      </w:r>
      <w:r>
        <w:t>to spotlight local issues globally,</w:t>
      </w:r>
      <w:r>
        <w:rPr>
          <w:spacing w:val="-1"/>
        </w:rPr>
        <w:t xml:space="preserve"> </w:t>
      </w:r>
      <w:r>
        <w:t>adopt best practices, elicit international solidarity, and create the necessary pressure for change.</w:t>
      </w:r>
    </w:p>
    <w:p w14:paraId="32786A9F" w14:textId="77777777" w:rsidR="004618BC" w:rsidRDefault="004618BC">
      <w:pPr>
        <w:pStyle w:val="BodyText"/>
        <w:spacing w:before="147"/>
      </w:pPr>
    </w:p>
    <w:p w14:paraId="509F1CB8" w14:textId="77777777" w:rsidR="004618BC" w:rsidRDefault="00000000">
      <w:pPr>
        <w:pStyle w:val="Heading1"/>
        <w:numPr>
          <w:ilvl w:val="0"/>
          <w:numId w:val="1"/>
        </w:numPr>
        <w:tabs>
          <w:tab w:val="left" w:pos="365"/>
        </w:tabs>
        <w:ind w:left="365" w:hanging="245"/>
      </w:pPr>
      <w:r>
        <w:t>Key</w:t>
      </w:r>
      <w:r>
        <w:rPr>
          <w:spacing w:val="-3"/>
        </w:rPr>
        <w:t xml:space="preserve"> </w:t>
      </w:r>
      <w:r>
        <w:t>Recommendations</w:t>
      </w:r>
      <w:r>
        <w:rPr>
          <w:spacing w:val="-1"/>
        </w:rPr>
        <w:t xml:space="preserve"> </w:t>
      </w:r>
      <w:r>
        <w:t>Made</w:t>
      </w:r>
      <w:r>
        <w:rPr>
          <w:spacing w:val="-2"/>
        </w:rPr>
        <w:t xml:space="preserve"> </w:t>
      </w:r>
      <w:r>
        <w:t>by</w:t>
      </w:r>
      <w:r>
        <w:rPr>
          <w:spacing w:val="-2"/>
        </w:rPr>
        <w:t xml:space="preserve"> </w:t>
      </w:r>
      <w:r>
        <w:t>CEDAW</w:t>
      </w:r>
      <w:r>
        <w:rPr>
          <w:spacing w:val="-3"/>
        </w:rPr>
        <w:t xml:space="preserve"> </w:t>
      </w:r>
      <w:r>
        <w:t>in</w:t>
      </w:r>
      <w:r>
        <w:rPr>
          <w:spacing w:val="-1"/>
        </w:rPr>
        <w:t xml:space="preserve"> </w:t>
      </w:r>
      <w:r>
        <w:rPr>
          <w:spacing w:val="-4"/>
        </w:rPr>
        <w:t>2015</w:t>
      </w:r>
    </w:p>
    <w:p w14:paraId="031D9936" w14:textId="77777777" w:rsidR="004618BC" w:rsidRDefault="004618BC">
      <w:pPr>
        <w:pStyle w:val="BodyText"/>
        <w:rPr>
          <w:b/>
        </w:rPr>
      </w:pPr>
    </w:p>
    <w:p w14:paraId="218B6258" w14:textId="77777777" w:rsidR="004618BC" w:rsidRDefault="004618BC">
      <w:pPr>
        <w:pStyle w:val="BodyText"/>
        <w:rPr>
          <w:b/>
        </w:rPr>
      </w:pPr>
    </w:p>
    <w:p w14:paraId="7B488683" w14:textId="77777777" w:rsidR="004618BC" w:rsidRDefault="00000000">
      <w:pPr>
        <w:pStyle w:val="BodyText"/>
        <w:spacing w:line="360" w:lineRule="auto"/>
        <w:ind w:left="120" w:right="117"/>
        <w:jc w:val="both"/>
      </w:pPr>
      <w:r>
        <w:t>In</w:t>
      </w:r>
      <w:r>
        <w:rPr>
          <w:spacing w:val="-9"/>
        </w:rPr>
        <w:t xml:space="preserve"> </w:t>
      </w:r>
      <w:r>
        <w:t>its</w:t>
      </w:r>
      <w:r>
        <w:rPr>
          <w:spacing w:val="-12"/>
        </w:rPr>
        <w:t xml:space="preserve"> </w:t>
      </w:r>
      <w:r>
        <w:t>2015</w:t>
      </w:r>
      <w:r>
        <w:rPr>
          <w:spacing w:val="-11"/>
        </w:rPr>
        <w:t xml:space="preserve"> </w:t>
      </w:r>
      <w:r>
        <w:t>Report,</w:t>
      </w:r>
      <w:r>
        <w:rPr>
          <w:spacing w:val="-10"/>
        </w:rPr>
        <w:t xml:space="preserve"> </w:t>
      </w:r>
      <w:r>
        <w:t>CEDAW</w:t>
      </w:r>
      <w:r>
        <w:rPr>
          <w:spacing w:val="-10"/>
        </w:rPr>
        <w:t xml:space="preserve"> </w:t>
      </w:r>
      <w:r>
        <w:t>called</w:t>
      </w:r>
      <w:r>
        <w:rPr>
          <w:spacing w:val="-11"/>
        </w:rPr>
        <w:t xml:space="preserve"> </w:t>
      </w:r>
      <w:r>
        <w:t>upon</w:t>
      </w:r>
      <w:r>
        <w:rPr>
          <w:spacing w:val="-11"/>
        </w:rPr>
        <w:t xml:space="preserve"> </w:t>
      </w:r>
      <w:r>
        <w:t>Canada</w:t>
      </w:r>
      <w:r>
        <w:rPr>
          <w:spacing w:val="-12"/>
        </w:rPr>
        <w:t xml:space="preserve"> </w:t>
      </w:r>
      <w:r>
        <w:t>to</w:t>
      </w:r>
      <w:r>
        <w:rPr>
          <w:spacing w:val="-14"/>
        </w:rPr>
        <w:t xml:space="preserve"> </w:t>
      </w:r>
      <w:r>
        <w:t>consider</w:t>
      </w:r>
      <w:r>
        <w:rPr>
          <w:spacing w:val="-11"/>
        </w:rPr>
        <w:t xml:space="preserve"> </w:t>
      </w:r>
      <w:r>
        <w:t>and</w:t>
      </w:r>
      <w:r>
        <w:rPr>
          <w:spacing w:val="-9"/>
        </w:rPr>
        <w:t xml:space="preserve"> </w:t>
      </w:r>
      <w:r>
        <w:t>implement</w:t>
      </w:r>
      <w:r>
        <w:rPr>
          <w:spacing w:val="-11"/>
        </w:rPr>
        <w:t xml:space="preserve"> </w:t>
      </w:r>
      <w:r>
        <w:t>various</w:t>
      </w:r>
      <w:r>
        <w:rPr>
          <w:spacing w:val="-10"/>
        </w:rPr>
        <w:t xml:space="preserve"> </w:t>
      </w:r>
      <w:r>
        <w:t>recommendations to</w:t>
      </w:r>
      <w:r>
        <w:rPr>
          <w:spacing w:val="2"/>
        </w:rPr>
        <w:t xml:space="preserve"> </w:t>
      </w:r>
      <w:r>
        <w:t>improve</w:t>
      </w:r>
      <w:r>
        <w:rPr>
          <w:spacing w:val="1"/>
        </w:rPr>
        <w:t xml:space="preserve"> </w:t>
      </w:r>
      <w:r>
        <w:t>the</w:t>
      </w:r>
      <w:r>
        <w:rPr>
          <w:spacing w:val="2"/>
        </w:rPr>
        <w:t xml:space="preserve"> </w:t>
      </w:r>
      <w:r>
        <w:t>socioeconomic</w:t>
      </w:r>
      <w:r>
        <w:rPr>
          <w:spacing w:val="3"/>
        </w:rPr>
        <w:t xml:space="preserve"> </w:t>
      </w:r>
      <w:r>
        <w:t>circumstances</w:t>
      </w:r>
      <w:r>
        <w:rPr>
          <w:spacing w:val="1"/>
        </w:rPr>
        <w:t xml:space="preserve"> </w:t>
      </w:r>
      <w:r>
        <w:t>of</w:t>
      </w:r>
      <w:r>
        <w:rPr>
          <w:spacing w:val="1"/>
        </w:rPr>
        <w:t xml:space="preserve"> </w:t>
      </w:r>
      <w:r>
        <w:t>Aboriginal</w:t>
      </w:r>
      <w:r>
        <w:rPr>
          <w:spacing w:val="1"/>
        </w:rPr>
        <w:t xml:space="preserve"> </w:t>
      </w:r>
      <w:r>
        <w:t>women</w:t>
      </w:r>
      <w:r>
        <w:rPr>
          <w:spacing w:val="5"/>
        </w:rPr>
        <w:t xml:space="preserve"> </w:t>
      </w:r>
      <w:r>
        <w:t>and</w:t>
      </w:r>
      <w:r>
        <w:rPr>
          <w:spacing w:val="2"/>
        </w:rPr>
        <w:t xml:space="preserve"> </w:t>
      </w:r>
      <w:r>
        <w:t>address</w:t>
      </w:r>
      <w:r>
        <w:rPr>
          <w:spacing w:val="1"/>
        </w:rPr>
        <w:t xml:space="preserve"> </w:t>
      </w:r>
      <w:r>
        <w:t>the</w:t>
      </w:r>
      <w:r>
        <w:rPr>
          <w:spacing w:val="5"/>
        </w:rPr>
        <w:t xml:space="preserve"> </w:t>
      </w:r>
      <w:r>
        <w:t>issue</w:t>
      </w:r>
      <w:r>
        <w:rPr>
          <w:spacing w:val="1"/>
        </w:rPr>
        <w:t xml:space="preserve"> </w:t>
      </w:r>
      <w:r>
        <w:t>of</w:t>
      </w:r>
      <w:r>
        <w:rPr>
          <w:spacing w:val="3"/>
        </w:rPr>
        <w:t xml:space="preserve"> </w:t>
      </w:r>
      <w:r>
        <w:rPr>
          <w:spacing w:val="-2"/>
        </w:rPr>
        <w:t>missing</w:t>
      </w:r>
    </w:p>
    <w:p w14:paraId="285D3771" w14:textId="77777777" w:rsidR="004618BC" w:rsidRDefault="004618BC">
      <w:pPr>
        <w:spacing w:line="360" w:lineRule="auto"/>
        <w:jc w:val="both"/>
        <w:sectPr w:rsidR="004618BC">
          <w:headerReference w:type="default" r:id="rId7"/>
          <w:type w:val="continuous"/>
          <w:pgSz w:w="11910" w:h="16840"/>
          <w:pgMar w:top="2060" w:right="960" w:bottom="280" w:left="960" w:header="709" w:footer="0" w:gutter="0"/>
          <w:pgNumType w:start="1"/>
          <w:cols w:space="720"/>
        </w:sectPr>
      </w:pPr>
    </w:p>
    <w:p w14:paraId="1B24BA9A" w14:textId="77777777" w:rsidR="004618BC" w:rsidRDefault="00000000">
      <w:pPr>
        <w:pStyle w:val="BodyText"/>
        <w:spacing w:before="293" w:line="360" w:lineRule="auto"/>
        <w:ind w:left="120" w:right="112"/>
        <w:jc w:val="both"/>
      </w:pPr>
      <w:r>
        <w:lastRenderedPageBreak/>
        <w:t>and murdered Indigenous women and girls (MMIWG), as well as other forms of violence that Aboriginal</w:t>
      </w:r>
      <w:r>
        <w:rPr>
          <w:spacing w:val="-5"/>
        </w:rPr>
        <w:t xml:space="preserve"> </w:t>
      </w:r>
      <w:r>
        <w:t>women</w:t>
      </w:r>
      <w:r>
        <w:rPr>
          <w:spacing w:val="-6"/>
        </w:rPr>
        <w:t xml:space="preserve"> </w:t>
      </w:r>
      <w:r>
        <w:t>experience.</w:t>
      </w:r>
      <w:r>
        <w:rPr>
          <w:spacing w:val="-6"/>
        </w:rPr>
        <w:t xml:space="preserve"> </w:t>
      </w:r>
      <w:r>
        <w:t>The</w:t>
      </w:r>
      <w:r>
        <w:rPr>
          <w:spacing w:val="-4"/>
        </w:rPr>
        <w:t xml:space="preserve"> </w:t>
      </w:r>
      <w:r>
        <w:t>recommendations</w:t>
      </w:r>
      <w:r>
        <w:rPr>
          <w:spacing w:val="-5"/>
        </w:rPr>
        <w:t xml:space="preserve"> </w:t>
      </w:r>
      <w:r>
        <w:t>were</w:t>
      </w:r>
      <w:r>
        <w:rPr>
          <w:spacing w:val="-4"/>
        </w:rPr>
        <w:t xml:space="preserve"> </w:t>
      </w:r>
      <w:r>
        <w:t>comprehensive</w:t>
      </w:r>
      <w:r>
        <w:rPr>
          <w:spacing w:val="-7"/>
        </w:rPr>
        <w:t xml:space="preserve"> </w:t>
      </w:r>
      <w:r>
        <w:t>and</w:t>
      </w:r>
      <w:r>
        <w:rPr>
          <w:spacing w:val="-6"/>
        </w:rPr>
        <w:t xml:space="preserve"> </w:t>
      </w:r>
      <w:r>
        <w:t>aimed</w:t>
      </w:r>
      <w:r>
        <w:rPr>
          <w:spacing w:val="-6"/>
        </w:rPr>
        <w:t xml:space="preserve"> </w:t>
      </w:r>
      <w:r>
        <w:t>at</w:t>
      </w:r>
      <w:r>
        <w:rPr>
          <w:spacing w:val="-6"/>
        </w:rPr>
        <w:t xml:space="preserve"> </w:t>
      </w:r>
      <w:r>
        <w:t>addressing systemic issues.</w:t>
      </w:r>
    </w:p>
    <w:p w14:paraId="6B176389" w14:textId="77777777" w:rsidR="004618BC" w:rsidRDefault="004618BC">
      <w:pPr>
        <w:pStyle w:val="BodyText"/>
        <w:spacing w:before="145"/>
      </w:pPr>
    </w:p>
    <w:p w14:paraId="7B526472" w14:textId="77777777" w:rsidR="004618BC" w:rsidRDefault="00000000">
      <w:pPr>
        <w:pStyle w:val="BodyText"/>
        <w:spacing w:line="360" w:lineRule="auto"/>
        <w:ind w:left="120" w:right="116"/>
        <w:jc w:val="both"/>
      </w:pPr>
      <w:r>
        <w:t>CEDAW</w:t>
      </w:r>
      <w:r>
        <w:rPr>
          <w:spacing w:val="-11"/>
        </w:rPr>
        <w:t xml:space="preserve"> </w:t>
      </w:r>
      <w:r>
        <w:t>recommended</w:t>
      </w:r>
      <w:r>
        <w:rPr>
          <w:spacing w:val="-10"/>
        </w:rPr>
        <w:t xml:space="preserve"> </w:t>
      </w:r>
      <w:r>
        <w:t>several</w:t>
      </w:r>
      <w:r>
        <w:rPr>
          <w:spacing w:val="-11"/>
        </w:rPr>
        <w:t xml:space="preserve"> </w:t>
      </w:r>
      <w:r>
        <w:t>measures</w:t>
      </w:r>
      <w:r>
        <w:rPr>
          <w:spacing w:val="-11"/>
        </w:rPr>
        <w:t xml:space="preserve"> </w:t>
      </w:r>
      <w:r>
        <w:t>to</w:t>
      </w:r>
      <w:r>
        <w:rPr>
          <w:spacing w:val="-11"/>
        </w:rPr>
        <w:t xml:space="preserve"> </w:t>
      </w:r>
      <w:r>
        <w:t>combat</w:t>
      </w:r>
      <w:r>
        <w:rPr>
          <w:spacing w:val="-10"/>
        </w:rPr>
        <w:t xml:space="preserve"> </w:t>
      </w:r>
      <w:r>
        <w:t>the</w:t>
      </w:r>
      <w:r>
        <w:rPr>
          <w:spacing w:val="-11"/>
        </w:rPr>
        <w:t xml:space="preserve"> </w:t>
      </w:r>
      <w:r>
        <w:t>crisis</w:t>
      </w:r>
      <w:r>
        <w:rPr>
          <w:spacing w:val="-11"/>
        </w:rPr>
        <w:t xml:space="preserve"> </w:t>
      </w:r>
      <w:r>
        <w:t>of</w:t>
      </w:r>
      <w:r>
        <w:rPr>
          <w:spacing w:val="-12"/>
        </w:rPr>
        <w:t xml:space="preserve"> </w:t>
      </w:r>
      <w:r>
        <w:t>MMIWG</w:t>
      </w:r>
      <w:hyperlink w:anchor="_bookmark0" w:history="1">
        <w:r>
          <w:rPr>
            <w:vertAlign w:val="superscript"/>
          </w:rPr>
          <w:t>1</w:t>
        </w:r>
      </w:hyperlink>
      <w:r>
        <w:t>,</w:t>
      </w:r>
      <w:r>
        <w:rPr>
          <w:spacing w:val="-11"/>
        </w:rPr>
        <w:t xml:space="preserve"> </w:t>
      </w:r>
      <w:r>
        <w:t>including</w:t>
      </w:r>
      <w:r>
        <w:rPr>
          <w:spacing w:val="-11"/>
        </w:rPr>
        <w:t xml:space="preserve"> </w:t>
      </w:r>
      <w:r>
        <w:t>reforming</w:t>
      </w:r>
      <w:r>
        <w:rPr>
          <w:spacing w:val="-14"/>
        </w:rPr>
        <w:t xml:space="preserve"> </w:t>
      </w:r>
      <w:r>
        <w:t>police services and the justice system, increasing awareness through the collection and dissemination of information, addressing harmful stereotyping, increasing victim services, and providing greater protection and resources for Indigenous women and girls involved in sex work and trafficking.</w:t>
      </w:r>
    </w:p>
    <w:p w14:paraId="22E455FD" w14:textId="77777777" w:rsidR="004618BC" w:rsidRDefault="004618BC">
      <w:pPr>
        <w:pStyle w:val="BodyText"/>
        <w:spacing w:before="147"/>
      </w:pPr>
    </w:p>
    <w:p w14:paraId="2CC38608" w14:textId="77777777" w:rsidR="004618BC" w:rsidRDefault="00000000">
      <w:pPr>
        <w:pStyle w:val="BodyText"/>
        <w:spacing w:before="1" w:line="360" w:lineRule="auto"/>
        <w:ind w:left="120" w:right="116"/>
        <w:jc w:val="both"/>
      </w:pPr>
      <w:r>
        <w:t>The Committee also advised comprehensive measures to improve the socioeconomic conditions of Aboriginal women both on- and off-reserve.</w:t>
      </w:r>
      <w:hyperlink w:anchor="_bookmark1" w:history="1">
        <w:r>
          <w:rPr>
            <w:vertAlign w:val="superscript"/>
          </w:rPr>
          <w:t>2</w:t>
        </w:r>
      </w:hyperlink>
      <w:r>
        <w:t xml:space="preserve"> This included collecting data on the variation of socioeconomic status, implementing national strategies to address contributing factors such as housing</w:t>
      </w:r>
      <w:r>
        <w:rPr>
          <w:spacing w:val="-13"/>
        </w:rPr>
        <w:t xml:space="preserve"> </w:t>
      </w:r>
      <w:r>
        <w:t>and</w:t>
      </w:r>
      <w:r>
        <w:rPr>
          <w:spacing w:val="-13"/>
        </w:rPr>
        <w:t xml:space="preserve"> </w:t>
      </w:r>
      <w:r>
        <w:t>food</w:t>
      </w:r>
      <w:r>
        <w:rPr>
          <w:spacing w:val="-11"/>
        </w:rPr>
        <w:t xml:space="preserve"> </w:t>
      </w:r>
      <w:r>
        <w:t>security,</w:t>
      </w:r>
      <w:r>
        <w:rPr>
          <w:spacing w:val="-12"/>
        </w:rPr>
        <w:t xml:space="preserve"> </w:t>
      </w:r>
      <w:r>
        <w:t>and</w:t>
      </w:r>
      <w:r>
        <w:rPr>
          <w:spacing w:val="-13"/>
        </w:rPr>
        <w:t xml:space="preserve"> </w:t>
      </w:r>
      <w:r>
        <w:t>targeting</w:t>
      </w:r>
      <w:r>
        <w:rPr>
          <w:spacing w:val="-14"/>
        </w:rPr>
        <w:t xml:space="preserve"> </w:t>
      </w:r>
      <w:r>
        <w:t>barriers</w:t>
      </w:r>
      <w:r>
        <w:rPr>
          <w:spacing w:val="-14"/>
        </w:rPr>
        <w:t xml:space="preserve"> </w:t>
      </w:r>
      <w:r>
        <w:t>that</w:t>
      </w:r>
      <w:r>
        <w:rPr>
          <w:spacing w:val="-10"/>
        </w:rPr>
        <w:t xml:space="preserve"> </w:t>
      </w:r>
      <w:r>
        <w:t>Indigenous</w:t>
      </w:r>
      <w:r>
        <w:rPr>
          <w:spacing w:val="-12"/>
        </w:rPr>
        <w:t xml:space="preserve"> </w:t>
      </w:r>
      <w:r>
        <w:t>women</w:t>
      </w:r>
      <w:r>
        <w:rPr>
          <w:spacing w:val="-13"/>
        </w:rPr>
        <w:t xml:space="preserve"> </w:t>
      </w:r>
      <w:r>
        <w:t>face</w:t>
      </w:r>
      <w:r>
        <w:rPr>
          <w:spacing w:val="-12"/>
        </w:rPr>
        <w:t xml:space="preserve"> </w:t>
      </w:r>
      <w:r>
        <w:t>when</w:t>
      </w:r>
      <w:r>
        <w:rPr>
          <w:spacing w:val="-11"/>
        </w:rPr>
        <w:t xml:space="preserve"> </w:t>
      </w:r>
      <w:r>
        <w:t>seeking</w:t>
      </w:r>
      <w:r>
        <w:rPr>
          <w:spacing w:val="-14"/>
        </w:rPr>
        <w:t xml:space="preserve"> </w:t>
      </w:r>
      <w:r>
        <w:t>help</w:t>
      </w:r>
      <w:r>
        <w:rPr>
          <w:spacing w:val="-12"/>
        </w:rPr>
        <w:t xml:space="preserve"> </w:t>
      </w:r>
      <w:r>
        <w:t xml:space="preserve">and </w:t>
      </w:r>
      <w:r>
        <w:rPr>
          <w:spacing w:val="-2"/>
        </w:rPr>
        <w:t>resources.</w:t>
      </w:r>
    </w:p>
    <w:p w14:paraId="63F9A072" w14:textId="77777777" w:rsidR="004618BC" w:rsidRDefault="004618BC">
      <w:pPr>
        <w:pStyle w:val="BodyText"/>
        <w:spacing w:before="144"/>
      </w:pPr>
    </w:p>
    <w:p w14:paraId="7A8D1073" w14:textId="77777777" w:rsidR="004618BC" w:rsidRDefault="00000000">
      <w:pPr>
        <w:pStyle w:val="BodyText"/>
        <w:spacing w:before="1" w:line="360" w:lineRule="auto"/>
        <w:ind w:left="120" w:right="114"/>
        <w:jc w:val="both"/>
      </w:pPr>
      <w:r>
        <w:t>Additionally, CEDAW highlighted the importance of overcoming the legacy of the colonial period to eliminate discrimination against Aboriginal women. Recommendations included measures to break the distrust between authorities and Aboriginal communities through meaningful dialogue and improved</w:t>
      </w:r>
      <w:r>
        <w:rPr>
          <w:spacing w:val="-5"/>
        </w:rPr>
        <w:t xml:space="preserve"> </w:t>
      </w:r>
      <w:r>
        <w:t>avenues</w:t>
      </w:r>
      <w:r>
        <w:rPr>
          <w:spacing w:val="-9"/>
        </w:rPr>
        <w:t xml:space="preserve"> </w:t>
      </w:r>
      <w:r>
        <w:t>of</w:t>
      </w:r>
      <w:r>
        <w:rPr>
          <w:spacing w:val="-8"/>
        </w:rPr>
        <w:t xml:space="preserve"> </w:t>
      </w:r>
      <w:r>
        <w:t>communication,</w:t>
      </w:r>
      <w:hyperlink w:anchor="_bookmark2" w:history="1">
        <w:r>
          <w:rPr>
            <w:vertAlign w:val="superscript"/>
          </w:rPr>
          <w:t>3</w:t>
        </w:r>
      </w:hyperlink>
      <w:r>
        <w:rPr>
          <w:spacing w:val="-6"/>
        </w:rPr>
        <w:t xml:space="preserve"> </w:t>
      </w:r>
      <w:r>
        <w:t>Information</w:t>
      </w:r>
      <w:r>
        <w:rPr>
          <w:spacing w:val="-5"/>
        </w:rPr>
        <w:t xml:space="preserve"> </w:t>
      </w:r>
      <w:r>
        <w:t>campaigns</w:t>
      </w:r>
      <w:r>
        <w:rPr>
          <w:spacing w:val="-7"/>
        </w:rPr>
        <w:t xml:space="preserve"> </w:t>
      </w:r>
      <w:r>
        <w:t>educating</w:t>
      </w:r>
      <w:r>
        <w:rPr>
          <w:spacing w:val="-9"/>
        </w:rPr>
        <w:t xml:space="preserve"> </w:t>
      </w:r>
      <w:r>
        <w:t>the</w:t>
      </w:r>
      <w:r>
        <w:rPr>
          <w:spacing w:val="-8"/>
        </w:rPr>
        <w:t xml:space="preserve"> </w:t>
      </w:r>
      <w:r>
        <w:t>public</w:t>
      </w:r>
      <w:r>
        <w:rPr>
          <w:spacing w:val="-7"/>
        </w:rPr>
        <w:t xml:space="preserve"> </w:t>
      </w:r>
      <w:r>
        <w:t>on</w:t>
      </w:r>
      <w:r>
        <w:rPr>
          <w:spacing w:val="-8"/>
        </w:rPr>
        <w:t xml:space="preserve"> </w:t>
      </w:r>
      <w:r>
        <w:t>the</w:t>
      </w:r>
      <w:r>
        <w:rPr>
          <w:spacing w:val="-8"/>
        </w:rPr>
        <w:t xml:space="preserve"> </w:t>
      </w:r>
      <w:r>
        <w:t>history</w:t>
      </w:r>
      <w:r>
        <w:rPr>
          <w:spacing w:val="-9"/>
        </w:rPr>
        <w:t xml:space="preserve"> </w:t>
      </w:r>
      <w:r>
        <w:t>of oppression and marginalization, ensuring respect in the media for Aboriginal women and their portrayal, amending</w:t>
      </w:r>
      <w:r>
        <w:rPr>
          <w:spacing w:val="-4"/>
        </w:rPr>
        <w:t xml:space="preserve"> </w:t>
      </w:r>
      <w:r>
        <w:t>the</w:t>
      </w:r>
      <w:r>
        <w:rPr>
          <w:spacing w:val="-3"/>
        </w:rPr>
        <w:t xml:space="preserve"> </w:t>
      </w:r>
      <w:r>
        <w:t>Indian Act to</w:t>
      </w:r>
      <w:r>
        <w:rPr>
          <w:spacing w:val="-1"/>
        </w:rPr>
        <w:t xml:space="preserve"> </w:t>
      </w:r>
      <w:r>
        <w:t>eliminate</w:t>
      </w:r>
      <w:r>
        <w:rPr>
          <w:spacing w:val="-1"/>
        </w:rPr>
        <w:t xml:space="preserve"> </w:t>
      </w:r>
      <w:r>
        <w:t>discriminatory</w:t>
      </w:r>
      <w:r>
        <w:rPr>
          <w:spacing w:val="-5"/>
        </w:rPr>
        <w:t xml:space="preserve"> </w:t>
      </w:r>
      <w:r>
        <w:t>provisions,</w:t>
      </w:r>
      <w:r>
        <w:rPr>
          <w:spacing w:val="-4"/>
        </w:rPr>
        <w:t xml:space="preserve"> </w:t>
      </w:r>
      <w:r>
        <w:t>and promoting</w:t>
      </w:r>
      <w:r>
        <w:rPr>
          <w:spacing w:val="-2"/>
        </w:rPr>
        <w:t xml:space="preserve"> </w:t>
      </w:r>
      <w:r>
        <w:t>the</w:t>
      </w:r>
      <w:r>
        <w:rPr>
          <w:spacing w:val="-1"/>
        </w:rPr>
        <w:t xml:space="preserve"> </w:t>
      </w:r>
      <w:r>
        <w:t>use</w:t>
      </w:r>
      <w:r>
        <w:rPr>
          <w:spacing w:val="-1"/>
        </w:rPr>
        <w:t xml:space="preserve"> </w:t>
      </w:r>
      <w:r>
        <w:t>of the</w:t>
      </w:r>
      <w:r>
        <w:rPr>
          <w:spacing w:val="-14"/>
        </w:rPr>
        <w:t xml:space="preserve"> </w:t>
      </w:r>
      <w:r>
        <w:t>Canadian</w:t>
      </w:r>
      <w:r>
        <w:rPr>
          <w:spacing w:val="-14"/>
        </w:rPr>
        <w:t xml:space="preserve"> </w:t>
      </w:r>
      <w:r>
        <w:t>Human</w:t>
      </w:r>
      <w:r>
        <w:rPr>
          <w:spacing w:val="-13"/>
        </w:rPr>
        <w:t xml:space="preserve"> </w:t>
      </w:r>
      <w:r>
        <w:t>Rights</w:t>
      </w:r>
      <w:r>
        <w:rPr>
          <w:spacing w:val="-14"/>
        </w:rPr>
        <w:t xml:space="preserve"> </w:t>
      </w:r>
      <w:r>
        <w:t>Act</w:t>
      </w:r>
      <w:r>
        <w:rPr>
          <w:spacing w:val="-13"/>
        </w:rPr>
        <w:t xml:space="preserve"> </w:t>
      </w:r>
      <w:r>
        <w:t>by</w:t>
      </w:r>
      <w:r>
        <w:rPr>
          <w:spacing w:val="-14"/>
        </w:rPr>
        <w:t xml:space="preserve"> </w:t>
      </w:r>
      <w:r>
        <w:t>Aboriginal</w:t>
      </w:r>
      <w:r>
        <w:rPr>
          <w:spacing w:val="-14"/>
        </w:rPr>
        <w:t xml:space="preserve"> </w:t>
      </w:r>
      <w:r>
        <w:t>women</w:t>
      </w:r>
      <w:r>
        <w:rPr>
          <w:spacing w:val="-13"/>
        </w:rPr>
        <w:t xml:space="preserve"> </w:t>
      </w:r>
      <w:r>
        <w:t>as</w:t>
      </w:r>
      <w:r>
        <w:rPr>
          <w:spacing w:val="-14"/>
        </w:rPr>
        <w:t xml:space="preserve"> </w:t>
      </w:r>
      <w:r>
        <w:t>a</w:t>
      </w:r>
      <w:r>
        <w:rPr>
          <w:spacing w:val="-14"/>
        </w:rPr>
        <w:t xml:space="preserve"> </w:t>
      </w:r>
      <w:r>
        <w:t>tool</w:t>
      </w:r>
      <w:r>
        <w:rPr>
          <w:spacing w:val="-14"/>
        </w:rPr>
        <w:t xml:space="preserve"> </w:t>
      </w:r>
      <w:r>
        <w:t>to</w:t>
      </w:r>
      <w:r>
        <w:rPr>
          <w:spacing w:val="-14"/>
        </w:rPr>
        <w:t xml:space="preserve"> </w:t>
      </w:r>
      <w:r>
        <w:t>combat</w:t>
      </w:r>
      <w:r>
        <w:rPr>
          <w:spacing w:val="-15"/>
        </w:rPr>
        <w:t xml:space="preserve"> </w:t>
      </w:r>
      <w:r>
        <w:t>discrimination</w:t>
      </w:r>
      <w:r>
        <w:rPr>
          <w:spacing w:val="-14"/>
        </w:rPr>
        <w:t xml:space="preserve"> </w:t>
      </w:r>
      <w:r>
        <w:t>and</w:t>
      </w:r>
      <w:r>
        <w:rPr>
          <w:spacing w:val="-13"/>
        </w:rPr>
        <w:t xml:space="preserve"> </w:t>
      </w:r>
      <w:r>
        <w:t>violence.</w:t>
      </w:r>
    </w:p>
    <w:p w14:paraId="10BD0038" w14:textId="77777777" w:rsidR="004618BC" w:rsidRDefault="004618BC">
      <w:pPr>
        <w:pStyle w:val="BodyText"/>
        <w:spacing w:before="146"/>
      </w:pPr>
    </w:p>
    <w:p w14:paraId="3DBE224F" w14:textId="77777777" w:rsidR="004618BC" w:rsidRDefault="00000000">
      <w:pPr>
        <w:pStyle w:val="BodyText"/>
        <w:spacing w:before="1" w:line="360" w:lineRule="auto"/>
        <w:ind w:left="120" w:right="114"/>
        <w:jc w:val="both"/>
      </w:pPr>
      <w:r>
        <w:t>Finally,</w:t>
      </w:r>
      <w:r>
        <w:rPr>
          <w:spacing w:val="-2"/>
        </w:rPr>
        <w:t xml:space="preserve"> </w:t>
      </w:r>
      <w:r>
        <w:t>CEDAW</w:t>
      </w:r>
      <w:r>
        <w:rPr>
          <w:spacing w:val="-4"/>
        </w:rPr>
        <w:t xml:space="preserve"> </w:t>
      </w:r>
      <w:r>
        <w:t>called</w:t>
      </w:r>
      <w:r>
        <w:rPr>
          <w:spacing w:val="-3"/>
        </w:rPr>
        <w:t xml:space="preserve"> </w:t>
      </w:r>
      <w:r>
        <w:t>for</w:t>
      </w:r>
      <w:r>
        <w:rPr>
          <w:spacing w:val="-4"/>
        </w:rPr>
        <w:t xml:space="preserve"> </w:t>
      </w:r>
      <w:r>
        <w:t>the</w:t>
      </w:r>
      <w:r>
        <w:rPr>
          <w:spacing w:val="-2"/>
        </w:rPr>
        <w:t xml:space="preserve"> </w:t>
      </w:r>
      <w:r>
        <w:t>establishment</w:t>
      </w:r>
      <w:r>
        <w:rPr>
          <w:spacing w:val="-1"/>
        </w:rPr>
        <w:t xml:space="preserve"> </w:t>
      </w:r>
      <w:r>
        <w:t>of</w:t>
      </w:r>
      <w:r>
        <w:rPr>
          <w:spacing w:val="-1"/>
        </w:rPr>
        <w:t xml:space="preserve"> </w:t>
      </w:r>
      <w:r>
        <w:t>a</w:t>
      </w:r>
      <w:r>
        <w:rPr>
          <w:spacing w:val="-4"/>
        </w:rPr>
        <w:t xml:space="preserve"> </w:t>
      </w:r>
      <w:r>
        <w:t>national</w:t>
      </w:r>
      <w:r>
        <w:rPr>
          <w:spacing w:val="-2"/>
        </w:rPr>
        <w:t xml:space="preserve"> </w:t>
      </w:r>
      <w:r>
        <w:t>public</w:t>
      </w:r>
      <w:r>
        <w:rPr>
          <w:spacing w:val="-3"/>
        </w:rPr>
        <w:t xml:space="preserve"> </w:t>
      </w:r>
      <w:r>
        <w:t>inquiry</w:t>
      </w:r>
      <w:r>
        <w:rPr>
          <w:spacing w:val="-3"/>
        </w:rPr>
        <w:t xml:space="preserve"> </w:t>
      </w:r>
      <w:r>
        <w:t>into</w:t>
      </w:r>
      <w:r>
        <w:rPr>
          <w:spacing w:val="-2"/>
        </w:rPr>
        <w:t xml:space="preserve"> </w:t>
      </w:r>
      <w:r>
        <w:t>cases</w:t>
      </w:r>
      <w:r>
        <w:rPr>
          <w:spacing w:val="-3"/>
        </w:rPr>
        <w:t xml:space="preserve"> </w:t>
      </w:r>
      <w:r>
        <w:t>of</w:t>
      </w:r>
      <w:r>
        <w:rPr>
          <w:spacing w:val="-1"/>
        </w:rPr>
        <w:t xml:space="preserve"> </w:t>
      </w:r>
      <w:r>
        <w:t>MMIWG</w:t>
      </w:r>
      <w:r>
        <w:rPr>
          <w:spacing w:val="-4"/>
        </w:rPr>
        <w:t xml:space="preserve"> </w:t>
      </w:r>
      <w:r>
        <w:t>that</w:t>
      </w:r>
      <w:r>
        <w:rPr>
          <w:spacing w:val="-1"/>
        </w:rPr>
        <w:t xml:space="preserve"> </w:t>
      </w:r>
      <w:r>
        <w:t>is fully independent from political processes.</w:t>
      </w:r>
      <w:hyperlink w:anchor="_bookmark3" w:history="1">
        <w:r>
          <w:rPr>
            <w:vertAlign w:val="superscript"/>
          </w:rPr>
          <w:t>4</w:t>
        </w:r>
      </w:hyperlink>
      <w:r>
        <w:t xml:space="preserve"> The Committee recommended the inclusion of a commissioner</w:t>
      </w:r>
      <w:r>
        <w:rPr>
          <w:spacing w:val="-4"/>
        </w:rPr>
        <w:t xml:space="preserve"> </w:t>
      </w:r>
      <w:r>
        <w:t>selected</w:t>
      </w:r>
      <w:r>
        <w:rPr>
          <w:spacing w:val="-3"/>
        </w:rPr>
        <w:t xml:space="preserve"> </w:t>
      </w:r>
      <w:r>
        <w:t>based</w:t>
      </w:r>
      <w:r>
        <w:rPr>
          <w:spacing w:val="-3"/>
        </w:rPr>
        <w:t xml:space="preserve"> </w:t>
      </w:r>
      <w:r>
        <w:t>on</w:t>
      </w:r>
      <w:r>
        <w:rPr>
          <w:spacing w:val="-3"/>
        </w:rPr>
        <w:t xml:space="preserve"> </w:t>
      </w:r>
      <w:r>
        <w:t>the</w:t>
      </w:r>
      <w:r>
        <w:rPr>
          <w:spacing w:val="-3"/>
        </w:rPr>
        <w:t xml:space="preserve"> </w:t>
      </w:r>
      <w:r>
        <w:t>views</w:t>
      </w:r>
      <w:r>
        <w:rPr>
          <w:spacing w:val="-4"/>
        </w:rPr>
        <w:t xml:space="preserve"> </w:t>
      </w:r>
      <w:r>
        <w:t>of</w:t>
      </w:r>
      <w:r>
        <w:rPr>
          <w:spacing w:val="-3"/>
        </w:rPr>
        <w:t xml:space="preserve"> </w:t>
      </w:r>
      <w:r>
        <w:t>Aboriginal</w:t>
      </w:r>
      <w:r>
        <w:rPr>
          <w:spacing w:val="-4"/>
        </w:rPr>
        <w:t xml:space="preserve"> </w:t>
      </w:r>
      <w:r>
        <w:t>community</w:t>
      </w:r>
      <w:r>
        <w:rPr>
          <w:spacing w:val="-5"/>
        </w:rPr>
        <w:t xml:space="preserve"> </w:t>
      </w:r>
      <w:r>
        <w:t>representatives.</w:t>
      </w:r>
      <w:r>
        <w:rPr>
          <w:spacing w:val="-5"/>
        </w:rPr>
        <w:t xml:space="preserve"> </w:t>
      </w:r>
      <w:r>
        <w:t>The</w:t>
      </w:r>
      <w:r>
        <w:rPr>
          <w:spacing w:val="-3"/>
        </w:rPr>
        <w:t xml:space="preserve"> </w:t>
      </w:r>
      <w:r>
        <w:t>findings</w:t>
      </w:r>
      <w:r>
        <w:rPr>
          <w:spacing w:val="-4"/>
        </w:rPr>
        <w:t xml:space="preserve"> </w:t>
      </w:r>
      <w:r>
        <w:t>of</w:t>
      </w:r>
    </w:p>
    <w:p w14:paraId="423712DB" w14:textId="77777777" w:rsidR="004618BC" w:rsidRDefault="00000000">
      <w:pPr>
        <w:pStyle w:val="BodyText"/>
        <w:spacing w:before="113"/>
        <w:rPr>
          <w:sz w:val="20"/>
        </w:rPr>
      </w:pPr>
      <w:r>
        <w:rPr>
          <w:noProof/>
        </w:rPr>
        <mc:AlternateContent>
          <mc:Choice Requires="wps">
            <w:drawing>
              <wp:anchor distT="0" distB="0" distL="0" distR="0" simplePos="0" relativeHeight="487587840" behindDoc="1" locked="0" layoutInCell="1" allowOverlap="1" wp14:anchorId="321905A0" wp14:editId="04F98C77">
                <wp:simplePos x="0" y="0"/>
                <wp:positionH relativeFrom="page">
                  <wp:posOffset>685800</wp:posOffset>
                </wp:positionH>
                <wp:positionV relativeFrom="paragraph">
                  <wp:posOffset>242048</wp:posOffset>
                </wp:positionV>
                <wp:extent cx="1828800" cy="762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BCC12E" id="Graphic 2" o:spid="_x0000_s1026" style="position:absolute;margin-left:54pt;margin-top:19.05pt;width:2in;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" path="m1828800,l,,,7607r1828800,l1828800,xe" fillcolor="black" stroked="f">
                <v:path arrowok="t"/>
                <w10:wrap type="topAndBottom" anchorx="page"/>
              </v:shape>
            </w:pict>
          </mc:Fallback>
        </mc:AlternateContent>
      </w:r>
    </w:p>
    <w:p w14:paraId="55DB3373" w14:textId="77777777" w:rsidR="004618BC" w:rsidRDefault="00000000">
      <w:pPr>
        <w:spacing w:before="156" w:line="244" w:lineRule="auto"/>
        <w:ind w:left="120" w:right="36" w:hanging="1"/>
        <w:rPr>
          <w:sz w:val="20"/>
        </w:rPr>
      </w:pPr>
      <w:bookmarkStart w:id="0" w:name="_bookmark0"/>
      <w:bookmarkEnd w:id="0"/>
      <w:r>
        <w:rPr>
          <w:w w:val="105"/>
          <w:position w:val="8"/>
          <w:sz w:val="14"/>
        </w:rPr>
        <w:t>1</w:t>
      </w:r>
      <w:r>
        <w:rPr>
          <w:spacing w:val="18"/>
          <w:w w:val="105"/>
          <w:position w:val="8"/>
          <w:sz w:val="14"/>
        </w:rPr>
        <w:t xml:space="preserve"> </w:t>
      </w:r>
      <w:r>
        <w:rPr>
          <w:w w:val="105"/>
          <w:sz w:val="20"/>
        </w:rPr>
        <w:t>Committee</w:t>
      </w:r>
      <w:r>
        <w:rPr>
          <w:spacing w:val="40"/>
          <w:w w:val="105"/>
          <w:sz w:val="20"/>
        </w:rPr>
        <w:t xml:space="preserve"> </w:t>
      </w:r>
      <w:r>
        <w:rPr>
          <w:w w:val="105"/>
          <w:sz w:val="20"/>
        </w:rPr>
        <w:t>on the</w:t>
      </w:r>
      <w:r>
        <w:rPr>
          <w:spacing w:val="40"/>
          <w:w w:val="105"/>
          <w:sz w:val="20"/>
        </w:rPr>
        <w:t xml:space="preserve"> </w:t>
      </w:r>
      <w:r>
        <w:rPr>
          <w:w w:val="105"/>
          <w:sz w:val="20"/>
        </w:rPr>
        <w:t>Elimination of Discrimination</w:t>
      </w:r>
      <w:r>
        <w:rPr>
          <w:spacing w:val="40"/>
          <w:w w:val="105"/>
          <w:sz w:val="20"/>
        </w:rPr>
        <w:t xml:space="preserve"> </w:t>
      </w:r>
      <w:r>
        <w:rPr>
          <w:w w:val="105"/>
          <w:sz w:val="20"/>
        </w:rPr>
        <w:t>against Women,</w:t>
      </w:r>
      <w:r>
        <w:rPr>
          <w:spacing w:val="40"/>
          <w:w w:val="105"/>
          <w:sz w:val="20"/>
        </w:rPr>
        <w:t xml:space="preserve"> </w:t>
      </w:r>
      <w:r>
        <w:rPr>
          <w:w w:val="105"/>
          <w:sz w:val="20"/>
        </w:rPr>
        <w:t>Report of the Inquiry concerning</w:t>
      </w:r>
      <w:r>
        <w:rPr>
          <w:spacing w:val="40"/>
          <w:w w:val="105"/>
          <w:sz w:val="20"/>
        </w:rPr>
        <w:t xml:space="preserve"> </w:t>
      </w:r>
      <w:r>
        <w:rPr>
          <w:w w:val="105"/>
          <w:sz w:val="20"/>
        </w:rPr>
        <w:t>Canada of the</w:t>
      </w:r>
      <w:r>
        <w:rPr>
          <w:spacing w:val="-4"/>
          <w:w w:val="105"/>
          <w:sz w:val="20"/>
        </w:rPr>
        <w:t xml:space="preserve"> </w:t>
      </w:r>
      <w:r>
        <w:rPr>
          <w:w w:val="105"/>
          <w:sz w:val="20"/>
        </w:rPr>
        <w:t>Committee</w:t>
      </w:r>
      <w:r>
        <w:rPr>
          <w:spacing w:val="-4"/>
          <w:w w:val="105"/>
          <w:sz w:val="20"/>
        </w:rPr>
        <w:t xml:space="preserve"> </w:t>
      </w:r>
      <w:r>
        <w:rPr>
          <w:w w:val="105"/>
          <w:sz w:val="20"/>
        </w:rPr>
        <w:t>on</w:t>
      </w:r>
      <w:r>
        <w:rPr>
          <w:spacing w:val="-4"/>
          <w:w w:val="105"/>
          <w:sz w:val="20"/>
        </w:rPr>
        <w:t xml:space="preserve"> </w:t>
      </w:r>
      <w:r>
        <w:rPr>
          <w:w w:val="105"/>
          <w:sz w:val="20"/>
        </w:rPr>
        <w:t>the</w:t>
      </w:r>
      <w:r>
        <w:rPr>
          <w:spacing w:val="-4"/>
          <w:w w:val="105"/>
          <w:sz w:val="20"/>
        </w:rPr>
        <w:t xml:space="preserve"> </w:t>
      </w:r>
      <w:r>
        <w:rPr>
          <w:w w:val="105"/>
          <w:sz w:val="20"/>
        </w:rPr>
        <w:t>Elimination</w:t>
      </w:r>
      <w:r>
        <w:rPr>
          <w:spacing w:val="-4"/>
          <w:w w:val="105"/>
          <w:sz w:val="20"/>
        </w:rPr>
        <w:t xml:space="preserve"> </w:t>
      </w:r>
      <w:r>
        <w:rPr>
          <w:w w:val="105"/>
          <w:sz w:val="20"/>
        </w:rPr>
        <w:t>of</w:t>
      </w:r>
      <w:r>
        <w:rPr>
          <w:spacing w:val="-5"/>
          <w:w w:val="105"/>
          <w:sz w:val="20"/>
        </w:rPr>
        <w:t xml:space="preserve"> </w:t>
      </w:r>
      <w:r>
        <w:rPr>
          <w:w w:val="105"/>
          <w:sz w:val="20"/>
        </w:rPr>
        <w:t>Discrimination</w:t>
      </w:r>
      <w:r>
        <w:rPr>
          <w:spacing w:val="-4"/>
          <w:w w:val="105"/>
          <w:sz w:val="20"/>
        </w:rPr>
        <w:t xml:space="preserve"> </w:t>
      </w:r>
      <w:r>
        <w:rPr>
          <w:w w:val="105"/>
          <w:sz w:val="20"/>
        </w:rPr>
        <w:t>against</w:t>
      </w:r>
      <w:r>
        <w:rPr>
          <w:spacing w:val="-4"/>
          <w:w w:val="105"/>
          <w:sz w:val="20"/>
        </w:rPr>
        <w:t xml:space="preserve"> </w:t>
      </w:r>
      <w:r>
        <w:rPr>
          <w:w w:val="105"/>
          <w:sz w:val="20"/>
        </w:rPr>
        <w:t>Women</w:t>
      </w:r>
      <w:r>
        <w:rPr>
          <w:spacing w:val="-4"/>
          <w:w w:val="105"/>
          <w:sz w:val="20"/>
        </w:rPr>
        <w:t xml:space="preserve"> </w:t>
      </w:r>
      <w:r>
        <w:rPr>
          <w:w w:val="105"/>
          <w:sz w:val="20"/>
        </w:rPr>
        <w:t>under</w:t>
      </w:r>
      <w:r>
        <w:rPr>
          <w:spacing w:val="-4"/>
          <w:w w:val="105"/>
          <w:sz w:val="20"/>
        </w:rPr>
        <w:t xml:space="preserve"> </w:t>
      </w:r>
      <w:r>
        <w:rPr>
          <w:w w:val="105"/>
          <w:sz w:val="20"/>
        </w:rPr>
        <w:t>article</w:t>
      </w:r>
      <w:r>
        <w:rPr>
          <w:spacing w:val="-4"/>
          <w:w w:val="105"/>
          <w:sz w:val="20"/>
        </w:rPr>
        <w:t xml:space="preserve"> </w:t>
      </w:r>
      <w:r>
        <w:rPr>
          <w:w w:val="105"/>
          <w:sz w:val="20"/>
        </w:rPr>
        <w:t>8</w:t>
      </w:r>
      <w:r>
        <w:rPr>
          <w:spacing w:val="-6"/>
          <w:w w:val="105"/>
          <w:sz w:val="20"/>
        </w:rPr>
        <w:t xml:space="preserve"> </w:t>
      </w:r>
      <w:r>
        <w:rPr>
          <w:w w:val="105"/>
          <w:sz w:val="20"/>
        </w:rPr>
        <w:t>of</w:t>
      </w:r>
      <w:r>
        <w:rPr>
          <w:spacing w:val="-5"/>
          <w:w w:val="105"/>
          <w:sz w:val="20"/>
        </w:rPr>
        <w:t xml:space="preserve"> </w:t>
      </w:r>
      <w:r>
        <w:rPr>
          <w:w w:val="105"/>
          <w:sz w:val="20"/>
        </w:rPr>
        <w:t>the</w:t>
      </w:r>
      <w:r>
        <w:rPr>
          <w:spacing w:val="-4"/>
          <w:w w:val="105"/>
          <w:sz w:val="20"/>
        </w:rPr>
        <w:t xml:space="preserve"> </w:t>
      </w:r>
      <w:r>
        <w:rPr>
          <w:w w:val="105"/>
          <w:sz w:val="20"/>
        </w:rPr>
        <w:t>Optional</w:t>
      </w:r>
      <w:r>
        <w:rPr>
          <w:spacing w:val="-4"/>
          <w:w w:val="105"/>
          <w:sz w:val="20"/>
        </w:rPr>
        <w:t xml:space="preserve"> </w:t>
      </w:r>
      <w:r>
        <w:rPr>
          <w:w w:val="105"/>
          <w:sz w:val="20"/>
        </w:rPr>
        <w:t>Protocol</w:t>
      </w:r>
      <w:r>
        <w:rPr>
          <w:spacing w:val="-4"/>
          <w:w w:val="105"/>
          <w:sz w:val="20"/>
        </w:rPr>
        <w:t xml:space="preserve"> </w:t>
      </w:r>
      <w:r>
        <w:rPr>
          <w:w w:val="105"/>
          <w:sz w:val="20"/>
        </w:rPr>
        <w:t>to</w:t>
      </w:r>
      <w:r>
        <w:rPr>
          <w:spacing w:val="-4"/>
          <w:w w:val="105"/>
          <w:sz w:val="20"/>
        </w:rPr>
        <w:t xml:space="preserve"> </w:t>
      </w:r>
      <w:r>
        <w:rPr>
          <w:w w:val="105"/>
          <w:sz w:val="20"/>
        </w:rPr>
        <w:t>the Convention on the Elimination of All Forms of Discrimination</w:t>
      </w:r>
      <w:r>
        <w:rPr>
          <w:spacing w:val="40"/>
          <w:w w:val="105"/>
          <w:sz w:val="20"/>
        </w:rPr>
        <w:t xml:space="preserve"> </w:t>
      </w:r>
      <w:r>
        <w:rPr>
          <w:w w:val="105"/>
          <w:sz w:val="20"/>
        </w:rPr>
        <w:t>against Women (30 March 2015), at 54.</w:t>
      </w:r>
    </w:p>
    <w:p w14:paraId="55519F17" w14:textId="77777777" w:rsidR="004618BC" w:rsidRDefault="00000000">
      <w:pPr>
        <w:spacing w:before="10"/>
        <w:ind w:left="120"/>
        <w:rPr>
          <w:sz w:val="20"/>
        </w:rPr>
      </w:pPr>
      <w:bookmarkStart w:id="1" w:name="_bookmark1"/>
      <w:bookmarkEnd w:id="1"/>
      <w:r>
        <w:rPr>
          <w:w w:val="105"/>
          <w:position w:val="8"/>
          <w:sz w:val="14"/>
        </w:rPr>
        <w:t>2</w:t>
      </w:r>
      <w:r>
        <w:rPr>
          <w:spacing w:val="6"/>
          <w:w w:val="105"/>
          <w:position w:val="8"/>
          <w:sz w:val="14"/>
        </w:rPr>
        <w:t xml:space="preserve"> </w:t>
      </w:r>
      <w:r>
        <w:rPr>
          <w:w w:val="105"/>
          <w:sz w:val="20"/>
        </w:rPr>
        <w:t>Ibid</w:t>
      </w:r>
      <w:r>
        <w:rPr>
          <w:spacing w:val="-7"/>
          <w:w w:val="105"/>
          <w:sz w:val="20"/>
        </w:rPr>
        <w:t xml:space="preserve"> </w:t>
      </w:r>
      <w:r>
        <w:rPr>
          <w:w w:val="105"/>
          <w:sz w:val="20"/>
        </w:rPr>
        <w:t>at</w:t>
      </w:r>
      <w:r>
        <w:rPr>
          <w:spacing w:val="-7"/>
          <w:w w:val="105"/>
          <w:sz w:val="20"/>
        </w:rPr>
        <w:t xml:space="preserve"> </w:t>
      </w:r>
      <w:r>
        <w:rPr>
          <w:spacing w:val="-5"/>
          <w:w w:val="105"/>
          <w:sz w:val="20"/>
        </w:rPr>
        <w:t>57.</w:t>
      </w:r>
    </w:p>
    <w:p w14:paraId="375106CE" w14:textId="77777777" w:rsidR="004618BC" w:rsidRDefault="00000000">
      <w:pPr>
        <w:spacing w:before="26"/>
        <w:ind w:left="120"/>
        <w:rPr>
          <w:sz w:val="20"/>
        </w:rPr>
      </w:pPr>
      <w:bookmarkStart w:id="2" w:name="_bookmark2"/>
      <w:bookmarkEnd w:id="2"/>
      <w:r>
        <w:rPr>
          <w:w w:val="105"/>
          <w:position w:val="8"/>
          <w:sz w:val="14"/>
        </w:rPr>
        <w:t>3</w:t>
      </w:r>
      <w:r>
        <w:rPr>
          <w:spacing w:val="6"/>
          <w:w w:val="105"/>
          <w:position w:val="8"/>
          <w:sz w:val="14"/>
        </w:rPr>
        <w:t xml:space="preserve"> </w:t>
      </w:r>
      <w:r>
        <w:rPr>
          <w:w w:val="105"/>
          <w:sz w:val="20"/>
        </w:rPr>
        <w:t>Ibid</w:t>
      </w:r>
      <w:r>
        <w:rPr>
          <w:spacing w:val="-7"/>
          <w:w w:val="105"/>
          <w:sz w:val="20"/>
        </w:rPr>
        <w:t xml:space="preserve"> </w:t>
      </w:r>
      <w:r>
        <w:rPr>
          <w:w w:val="105"/>
          <w:sz w:val="20"/>
        </w:rPr>
        <w:t>at</w:t>
      </w:r>
      <w:r>
        <w:rPr>
          <w:spacing w:val="-7"/>
          <w:w w:val="105"/>
          <w:sz w:val="20"/>
        </w:rPr>
        <w:t xml:space="preserve"> </w:t>
      </w:r>
      <w:r>
        <w:rPr>
          <w:spacing w:val="-5"/>
          <w:w w:val="105"/>
          <w:sz w:val="20"/>
        </w:rPr>
        <w:t>57.</w:t>
      </w:r>
    </w:p>
    <w:p w14:paraId="3A7ED152" w14:textId="77777777" w:rsidR="004618BC" w:rsidRDefault="00000000">
      <w:pPr>
        <w:spacing w:before="26"/>
        <w:ind w:left="120"/>
        <w:rPr>
          <w:sz w:val="20"/>
        </w:rPr>
      </w:pPr>
      <w:bookmarkStart w:id="3" w:name="_bookmark3"/>
      <w:bookmarkEnd w:id="3"/>
      <w:r>
        <w:rPr>
          <w:w w:val="105"/>
          <w:position w:val="8"/>
          <w:sz w:val="14"/>
        </w:rPr>
        <w:t>4</w:t>
      </w:r>
      <w:r>
        <w:rPr>
          <w:spacing w:val="6"/>
          <w:w w:val="105"/>
          <w:position w:val="8"/>
          <w:sz w:val="14"/>
        </w:rPr>
        <w:t xml:space="preserve"> </w:t>
      </w:r>
      <w:r>
        <w:rPr>
          <w:w w:val="105"/>
          <w:sz w:val="20"/>
        </w:rPr>
        <w:t>Ibid</w:t>
      </w:r>
      <w:r>
        <w:rPr>
          <w:spacing w:val="-7"/>
          <w:w w:val="105"/>
          <w:sz w:val="20"/>
        </w:rPr>
        <w:t xml:space="preserve"> </w:t>
      </w:r>
      <w:r>
        <w:rPr>
          <w:w w:val="105"/>
          <w:sz w:val="20"/>
        </w:rPr>
        <w:t>at</w:t>
      </w:r>
      <w:r>
        <w:rPr>
          <w:spacing w:val="-7"/>
          <w:w w:val="105"/>
          <w:sz w:val="20"/>
        </w:rPr>
        <w:t xml:space="preserve"> </w:t>
      </w:r>
      <w:r>
        <w:rPr>
          <w:spacing w:val="-5"/>
          <w:w w:val="105"/>
          <w:sz w:val="20"/>
        </w:rPr>
        <w:t>58.</w:t>
      </w:r>
    </w:p>
    <w:p w14:paraId="2E311161" w14:textId="77777777" w:rsidR="004618BC" w:rsidRDefault="004618BC">
      <w:pPr>
        <w:rPr>
          <w:sz w:val="20"/>
        </w:rPr>
        <w:sectPr w:rsidR="004618BC">
          <w:pgSz w:w="11910" w:h="16840"/>
          <w:pgMar w:top="2060" w:right="960" w:bottom="280" w:left="960" w:header="709" w:footer="0" w:gutter="0"/>
          <w:cols w:space="720"/>
        </w:sectPr>
      </w:pPr>
    </w:p>
    <w:p w14:paraId="2B7480DE" w14:textId="77777777" w:rsidR="004618BC" w:rsidRDefault="00000000">
      <w:pPr>
        <w:pStyle w:val="BodyText"/>
        <w:spacing w:before="293" w:line="360" w:lineRule="auto"/>
        <w:ind w:left="120" w:right="115"/>
        <w:jc w:val="both"/>
      </w:pPr>
      <w:r>
        <w:lastRenderedPageBreak/>
        <w:t>the inquiry should aid in developing an integrated national plan of action and a coordinated mechanism to address all forms of violence against Aboriginal women, ensuring the allocation of sufficient resources to implement a plan of action and including a mechanism for monitoring and evaluating the implementation.</w:t>
      </w:r>
    </w:p>
    <w:p w14:paraId="2F809B31" w14:textId="77777777" w:rsidR="004618BC" w:rsidRDefault="004618BC">
      <w:pPr>
        <w:pStyle w:val="BodyText"/>
        <w:spacing w:before="145"/>
      </w:pPr>
    </w:p>
    <w:p w14:paraId="73CE78C5" w14:textId="77777777" w:rsidR="004618BC" w:rsidRDefault="00000000">
      <w:pPr>
        <w:pStyle w:val="Heading1"/>
        <w:numPr>
          <w:ilvl w:val="0"/>
          <w:numId w:val="1"/>
        </w:numPr>
        <w:tabs>
          <w:tab w:val="left" w:pos="429"/>
        </w:tabs>
        <w:ind w:left="429" w:hanging="309"/>
      </w:pPr>
      <w:r>
        <w:t>Action</w:t>
      </w:r>
      <w:r>
        <w:rPr>
          <w:spacing w:val="-3"/>
        </w:rPr>
        <w:t xml:space="preserve"> </w:t>
      </w:r>
      <w:r>
        <w:t>Canada</w:t>
      </w:r>
      <w:r>
        <w:rPr>
          <w:spacing w:val="-2"/>
        </w:rPr>
        <w:t xml:space="preserve"> </w:t>
      </w:r>
      <w:r>
        <w:t>Has</w:t>
      </w:r>
      <w:r>
        <w:rPr>
          <w:spacing w:val="-4"/>
        </w:rPr>
        <w:t xml:space="preserve"> </w:t>
      </w:r>
      <w:r>
        <w:t>Taken</w:t>
      </w:r>
      <w:r>
        <w:rPr>
          <w:spacing w:val="-1"/>
        </w:rPr>
        <w:t xml:space="preserve"> </w:t>
      </w:r>
      <w:r>
        <w:t>to</w:t>
      </w:r>
      <w:r>
        <w:rPr>
          <w:spacing w:val="-1"/>
        </w:rPr>
        <w:t xml:space="preserve"> </w:t>
      </w:r>
      <w:r>
        <w:t>Comply</w:t>
      </w:r>
      <w:r>
        <w:rPr>
          <w:spacing w:val="-2"/>
        </w:rPr>
        <w:t xml:space="preserve"> </w:t>
      </w:r>
      <w:r>
        <w:t>with</w:t>
      </w:r>
      <w:r>
        <w:rPr>
          <w:spacing w:val="-3"/>
        </w:rPr>
        <w:t xml:space="preserve"> </w:t>
      </w:r>
      <w:r>
        <w:t>the</w:t>
      </w:r>
      <w:r>
        <w:rPr>
          <w:spacing w:val="-5"/>
        </w:rPr>
        <w:t xml:space="preserve"> </w:t>
      </w:r>
      <w:r>
        <w:t xml:space="preserve">2015 </w:t>
      </w:r>
      <w:r>
        <w:rPr>
          <w:spacing w:val="-2"/>
        </w:rPr>
        <w:t>Recommendations</w:t>
      </w:r>
    </w:p>
    <w:p w14:paraId="52FC12D4" w14:textId="77777777" w:rsidR="004618BC" w:rsidRDefault="004618BC">
      <w:pPr>
        <w:pStyle w:val="BodyText"/>
        <w:rPr>
          <w:b/>
        </w:rPr>
      </w:pPr>
    </w:p>
    <w:p w14:paraId="2B6B3332" w14:textId="77777777" w:rsidR="004618BC" w:rsidRDefault="004618BC">
      <w:pPr>
        <w:pStyle w:val="BodyText"/>
        <w:spacing w:before="2"/>
        <w:rPr>
          <w:b/>
        </w:rPr>
      </w:pPr>
    </w:p>
    <w:p w14:paraId="4A97D962" w14:textId="77777777" w:rsidR="004618BC" w:rsidRDefault="00000000">
      <w:pPr>
        <w:pStyle w:val="BodyText"/>
        <w:spacing w:line="360" w:lineRule="auto"/>
        <w:ind w:left="120" w:right="113"/>
        <w:jc w:val="both"/>
      </w:pPr>
      <w:r>
        <w:t>Canada submitted reports (2022</w:t>
      </w:r>
      <w:hyperlink w:anchor="_bookmark4" w:history="1">
        <w:r>
          <w:rPr>
            <w:vertAlign w:val="superscript"/>
          </w:rPr>
          <w:t>5</w:t>
        </w:r>
      </w:hyperlink>
      <w:r>
        <w:t xml:space="preserve"> and 2024</w:t>
      </w:r>
      <w:hyperlink w:anchor="_bookmark5" w:history="1">
        <w:r>
          <w:rPr>
            <w:vertAlign w:val="superscript"/>
          </w:rPr>
          <w:t>6</w:t>
        </w:r>
      </w:hyperlink>
      <w:r>
        <w:t xml:space="preserve"> on its progress in implementing the recommendations made by CEDAW. Canada's federal, provincial, and territorial governments have undertaken measures to attempt to address gender-based violence, socioeconomic conditions, MMIWG, and discrimination in the Indian Act.</w:t>
      </w:r>
      <w:hyperlink w:anchor="_bookmark6" w:history="1">
        <w:r>
          <w:rPr>
            <w:vertAlign w:val="superscript"/>
          </w:rPr>
          <w:t>7</w:t>
        </w:r>
      </w:hyperlink>
    </w:p>
    <w:p w14:paraId="3E7B64BC" w14:textId="77777777" w:rsidR="004618BC" w:rsidRDefault="004618BC">
      <w:pPr>
        <w:pStyle w:val="BodyText"/>
        <w:spacing w:before="145"/>
      </w:pPr>
    </w:p>
    <w:p w14:paraId="1ED45BDD" w14:textId="77777777" w:rsidR="004618BC" w:rsidRDefault="00000000">
      <w:pPr>
        <w:pStyle w:val="BodyText"/>
        <w:spacing w:line="360" w:lineRule="auto"/>
        <w:ind w:left="119" w:right="115"/>
        <w:jc w:val="both"/>
      </w:pPr>
      <w:r>
        <w:t>Canada</w:t>
      </w:r>
      <w:r>
        <w:rPr>
          <w:spacing w:val="-5"/>
        </w:rPr>
        <w:t xml:space="preserve"> </w:t>
      </w:r>
      <w:r>
        <w:t>has</w:t>
      </w:r>
      <w:r>
        <w:rPr>
          <w:spacing w:val="-8"/>
        </w:rPr>
        <w:t xml:space="preserve"> </w:t>
      </w:r>
      <w:r>
        <w:t>taken</w:t>
      </w:r>
      <w:r>
        <w:rPr>
          <w:spacing w:val="-4"/>
        </w:rPr>
        <w:t xml:space="preserve"> </w:t>
      </w:r>
      <w:r>
        <w:t>a</w:t>
      </w:r>
      <w:r>
        <w:rPr>
          <w:spacing w:val="-5"/>
        </w:rPr>
        <w:t xml:space="preserve"> </w:t>
      </w:r>
      <w:r>
        <w:t>broad</w:t>
      </w:r>
      <w:r>
        <w:rPr>
          <w:spacing w:val="-1"/>
        </w:rPr>
        <w:t xml:space="preserve"> </w:t>
      </w:r>
      <w:r>
        <w:t>approach</w:t>
      </w:r>
      <w:r>
        <w:rPr>
          <w:spacing w:val="-4"/>
        </w:rPr>
        <w:t xml:space="preserve"> </w:t>
      </w:r>
      <w:r>
        <w:t>to</w:t>
      </w:r>
      <w:r>
        <w:rPr>
          <w:spacing w:val="-2"/>
        </w:rPr>
        <w:t xml:space="preserve"> </w:t>
      </w:r>
      <w:r>
        <w:t>combating</w:t>
      </w:r>
      <w:r>
        <w:rPr>
          <w:spacing w:val="-5"/>
        </w:rPr>
        <w:t xml:space="preserve"> </w:t>
      </w:r>
      <w:r>
        <w:t>GBV.</w:t>
      </w:r>
      <w:r>
        <w:rPr>
          <w:spacing w:val="-3"/>
        </w:rPr>
        <w:t xml:space="preserve"> </w:t>
      </w:r>
      <w:r>
        <w:t>In</w:t>
      </w:r>
      <w:r>
        <w:rPr>
          <w:spacing w:val="-4"/>
        </w:rPr>
        <w:t xml:space="preserve"> </w:t>
      </w:r>
      <w:r>
        <w:t>response</w:t>
      </w:r>
      <w:r>
        <w:rPr>
          <w:spacing w:val="-4"/>
        </w:rPr>
        <w:t xml:space="preserve"> </w:t>
      </w:r>
      <w:r>
        <w:t>to</w:t>
      </w:r>
      <w:r>
        <w:rPr>
          <w:spacing w:val="-2"/>
        </w:rPr>
        <w:t xml:space="preserve"> </w:t>
      </w:r>
      <w:r>
        <w:t>gender-based</w:t>
      </w:r>
      <w:r>
        <w:rPr>
          <w:spacing w:val="-4"/>
        </w:rPr>
        <w:t xml:space="preserve"> </w:t>
      </w:r>
      <w:r>
        <w:t>violence</w:t>
      </w:r>
      <w:r>
        <w:rPr>
          <w:spacing w:val="-4"/>
        </w:rPr>
        <w:t xml:space="preserve"> </w:t>
      </w:r>
      <w:r>
        <w:t>(GBV), the federal Government created the federal GBV strategy titled "It's Time: Canada's Strategy to Prevent and Address Gender-Based Violence." This strategy builds upon existing efforts to combat GBV, focusing on preventing GBV, supporting survivors, and promoting responsive legal and justice systems.</w:t>
      </w:r>
      <w:hyperlink w:anchor="_bookmark7" w:history="1">
        <w:r>
          <w:rPr>
            <w:vertAlign w:val="superscript"/>
          </w:rPr>
          <w:t>8</w:t>
        </w:r>
      </w:hyperlink>
      <w:r>
        <w:t xml:space="preserve"> In 2021, the Canadian ministries responsible for the status of women endorsed the Joint Declaration for</w:t>
      </w:r>
      <w:r>
        <w:rPr>
          <w:spacing w:val="-1"/>
        </w:rPr>
        <w:t xml:space="preserve"> </w:t>
      </w:r>
      <w:r>
        <w:t>a Canada</w:t>
      </w:r>
      <w:r>
        <w:rPr>
          <w:spacing w:val="-1"/>
        </w:rPr>
        <w:t xml:space="preserve"> </w:t>
      </w:r>
      <w:r>
        <w:t>Free of GBV, and the framework</w:t>
      </w:r>
      <w:r>
        <w:rPr>
          <w:spacing w:val="-3"/>
        </w:rPr>
        <w:t xml:space="preserve"> </w:t>
      </w:r>
      <w:r>
        <w:t>for a</w:t>
      </w:r>
      <w:r>
        <w:rPr>
          <w:spacing w:val="-1"/>
        </w:rPr>
        <w:t xml:space="preserve"> </w:t>
      </w:r>
      <w:r>
        <w:t>National</w:t>
      </w:r>
      <w:r>
        <w:rPr>
          <w:spacing w:val="-1"/>
        </w:rPr>
        <w:t xml:space="preserve"> </w:t>
      </w:r>
      <w:r>
        <w:t>Action Plan to</w:t>
      </w:r>
      <w:r>
        <w:rPr>
          <w:spacing w:val="-1"/>
        </w:rPr>
        <w:t xml:space="preserve"> </w:t>
      </w:r>
      <w:r>
        <w:t>End Gender- Based Violence (GBV NAP) was created to ensure reliable and timely access to protections and services nationally.</w:t>
      </w:r>
      <w:hyperlink w:anchor="_bookmark8" w:history="1">
        <w:r>
          <w:rPr>
            <w:vertAlign w:val="superscript"/>
          </w:rPr>
          <w:t>9</w:t>
        </w:r>
      </w:hyperlink>
      <w:r>
        <w:t xml:space="preserve"> The Government has taken initiatives to target sexual violence and Intimate partner</w:t>
      </w:r>
      <w:r>
        <w:rPr>
          <w:spacing w:val="-6"/>
        </w:rPr>
        <w:t xml:space="preserve"> </w:t>
      </w:r>
      <w:r>
        <w:t>violence</w:t>
      </w:r>
      <w:r>
        <w:rPr>
          <w:spacing w:val="-6"/>
        </w:rPr>
        <w:t xml:space="preserve"> </w:t>
      </w:r>
      <w:r>
        <w:t>("IPV"),</w:t>
      </w:r>
      <w:r>
        <w:rPr>
          <w:spacing w:val="-9"/>
        </w:rPr>
        <w:t xml:space="preserve"> </w:t>
      </w:r>
      <w:r>
        <w:t>through</w:t>
      </w:r>
      <w:r>
        <w:rPr>
          <w:spacing w:val="-5"/>
        </w:rPr>
        <w:t xml:space="preserve"> </w:t>
      </w:r>
      <w:r>
        <w:t>increased</w:t>
      </w:r>
      <w:r>
        <w:rPr>
          <w:spacing w:val="-8"/>
        </w:rPr>
        <w:t xml:space="preserve"> </w:t>
      </w:r>
      <w:r>
        <w:t>education</w:t>
      </w:r>
      <w:r>
        <w:rPr>
          <w:spacing w:val="-8"/>
        </w:rPr>
        <w:t xml:space="preserve"> </w:t>
      </w:r>
      <w:r>
        <w:t>for</w:t>
      </w:r>
      <w:r>
        <w:rPr>
          <w:spacing w:val="-6"/>
        </w:rPr>
        <w:t xml:space="preserve"> </w:t>
      </w:r>
      <w:r>
        <w:t>legal</w:t>
      </w:r>
      <w:r>
        <w:rPr>
          <w:spacing w:val="-6"/>
        </w:rPr>
        <w:t xml:space="preserve"> </w:t>
      </w:r>
      <w:r>
        <w:t>actors</w:t>
      </w:r>
      <w:r>
        <w:rPr>
          <w:spacing w:val="-7"/>
        </w:rPr>
        <w:t xml:space="preserve"> </w:t>
      </w:r>
      <w:r>
        <w:t>including</w:t>
      </w:r>
      <w:r>
        <w:rPr>
          <w:spacing w:val="-7"/>
        </w:rPr>
        <w:t xml:space="preserve"> </w:t>
      </w:r>
      <w:r>
        <w:t>amending</w:t>
      </w:r>
      <w:r>
        <w:rPr>
          <w:spacing w:val="-7"/>
        </w:rPr>
        <w:t xml:space="preserve"> </w:t>
      </w:r>
      <w:r>
        <w:t>the</w:t>
      </w:r>
      <w:r>
        <w:rPr>
          <w:spacing w:val="-6"/>
        </w:rPr>
        <w:t xml:space="preserve"> </w:t>
      </w:r>
      <w:r>
        <w:t>Judges Act</w:t>
      </w:r>
      <w:hyperlink w:anchor="_bookmark9" w:history="1">
        <w:r>
          <w:rPr>
            <w:vertAlign w:val="superscript"/>
          </w:rPr>
          <w:t>10</w:t>
        </w:r>
      </w:hyperlink>
      <w:r>
        <w:rPr>
          <w:spacing w:val="-14"/>
        </w:rPr>
        <w:t xml:space="preserve"> </w:t>
      </w:r>
      <w:r>
        <w:t>to</w:t>
      </w:r>
      <w:r>
        <w:rPr>
          <w:spacing w:val="-14"/>
        </w:rPr>
        <w:t xml:space="preserve"> </w:t>
      </w:r>
      <w:r>
        <w:t>mandate</w:t>
      </w:r>
      <w:r>
        <w:rPr>
          <w:spacing w:val="-13"/>
        </w:rPr>
        <w:t xml:space="preserve"> </w:t>
      </w:r>
      <w:r>
        <w:t>continuing</w:t>
      </w:r>
      <w:r>
        <w:rPr>
          <w:spacing w:val="-14"/>
        </w:rPr>
        <w:t xml:space="preserve"> </w:t>
      </w:r>
      <w:r>
        <w:t>education</w:t>
      </w:r>
      <w:r>
        <w:rPr>
          <w:spacing w:val="-13"/>
        </w:rPr>
        <w:t xml:space="preserve"> </w:t>
      </w:r>
      <w:r>
        <w:t>for</w:t>
      </w:r>
      <w:r>
        <w:rPr>
          <w:spacing w:val="-14"/>
        </w:rPr>
        <w:t xml:space="preserve"> </w:t>
      </w:r>
      <w:r>
        <w:t>those</w:t>
      </w:r>
      <w:r>
        <w:rPr>
          <w:spacing w:val="-13"/>
        </w:rPr>
        <w:t xml:space="preserve"> </w:t>
      </w:r>
      <w:r>
        <w:t>appointed</w:t>
      </w:r>
      <w:r>
        <w:rPr>
          <w:spacing w:val="-14"/>
        </w:rPr>
        <w:t xml:space="preserve"> </w:t>
      </w:r>
      <w:r>
        <w:t>to</w:t>
      </w:r>
      <w:r>
        <w:rPr>
          <w:spacing w:val="-14"/>
        </w:rPr>
        <w:t xml:space="preserve"> </w:t>
      </w:r>
      <w:r>
        <w:t>the</w:t>
      </w:r>
      <w:r>
        <w:rPr>
          <w:spacing w:val="-13"/>
        </w:rPr>
        <w:t xml:space="preserve"> </w:t>
      </w:r>
      <w:r>
        <w:t>provincial</w:t>
      </w:r>
      <w:r>
        <w:rPr>
          <w:spacing w:val="-14"/>
        </w:rPr>
        <w:t xml:space="preserve"> </w:t>
      </w:r>
      <w:r>
        <w:t>superior</w:t>
      </w:r>
      <w:r>
        <w:rPr>
          <w:spacing w:val="-13"/>
        </w:rPr>
        <w:t xml:space="preserve"> </w:t>
      </w:r>
      <w:r>
        <w:t>courts</w:t>
      </w:r>
      <w:r>
        <w:rPr>
          <w:spacing w:val="-14"/>
        </w:rPr>
        <w:t xml:space="preserve"> </w:t>
      </w:r>
      <w:r>
        <w:t>of</w:t>
      </w:r>
      <w:r>
        <w:rPr>
          <w:spacing w:val="-13"/>
        </w:rPr>
        <w:t xml:space="preserve"> </w:t>
      </w:r>
      <w:r>
        <w:t>justice as well as training for lawyers on navigating cases involving IPV and sexual violence, combating stereotypes,</w:t>
      </w:r>
      <w:r>
        <w:rPr>
          <w:spacing w:val="31"/>
        </w:rPr>
        <w:t xml:space="preserve">  </w:t>
      </w:r>
      <w:r>
        <w:t>international</w:t>
      </w:r>
      <w:r>
        <w:rPr>
          <w:spacing w:val="29"/>
        </w:rPr>
        <w:t xml:space="preserve"> </w:t>
      </w:r>
      <w:r>
        <w:t>human</w:t>
      </w:r>
      <w:r>
        <w:rPr>
          <w:spacing w:val="33"/>
        </w:rPr>
        <w:t xml:space="preserve"> </w:t>
      </w:r>
      <w:r>
        <w:t>rights</w:t>
      </w:r>
      <w:r>
        <w:rPr>
          <w:spacing w:val="30"/>
        </w:rPr>
        <w:t xml:space="preserve"> </w:t>
      </w:r>
      <w:r>
        <w:t>law,</w:t>
      </w:r>
      <w:r>
        <w:rPr>
          <w:spacing w:val="29"/>
        </w:rPr>
        <w:t xml:space="preserve"> </w:t>
      </w:r>
      <w:r>
        <w:t>CEDAW,</w:t>
      </w:r>
      <w:r>
        <w:rPr>
          <w:spacing w:val="30"/>
        </w:rPr>
        <w:t xml:space="preserve"> </w:t>
      </w:r>
      <w:r>
        <w:t>domestic</w:t>
      </w:r>
      <w:r>
        <w:rPr>
          <w:spacing w:val="31"/>
        </w:rPr>
        <w:t xml:space="preserve"> </w:t>
      </w:r>
      <w:r>
        <w:t>equality,</w:t>
      </w:r>
      <w:r>
        <w:rPr>
          <w:spacing w:val="32"/>
        </w:rPr>
        <w:t xml:space="preserve"> </w:t>
      </w:r>
      <w:r>
        <w:t>and</w:t>
      </w:r>
      <w:r>
        <w:rPr>
          <w:spacing w:val="31"/>
        </w:rPr>
        <w:t xml:space="preserve"> </w:t>
      </w:r>
      <w:r>
        <w:t>non-</w:t>
      </w:r>
      <w:r>
        <w:rPr>
          <w:spacing w:val="-2"/>
        </w:rPr>
        <w:t>discrimination</w:t>
      </w:r>
    </w:p>
    <w:p w14:paraId="53D4DF69" w14:textId="77777777" w:rsidR="004618BC" w:rsidRDefault="00000000">
      <w:pPr>
        <w:pStyle w:val="BodyText"/>
        <w:spacing w:before="163"/>
        <w:rPr>
          <w:sz w:val="20"/>
        </w:rPr>
      </w:pPr>
      <w:r>
        <w:rPr>
          <w:noProof/>
        </w:rPr>
        <mc:AlternateContent>
          <mc:Choice Requires="wps">
            <w:drawing>
              <wp:anchor distT="0" distB="0" distL="0" distR="0" simplePos="0" relativeHeight="487588352" behindDoc="1" locked="0" layoutInCell="1" allowOverlap="1" wp14:anchorId="748E73B0" wp14:editId="17F92B90">
                <wp:simplePos x="0" y="0"/>
                <wp:positionH relativeFrom="page">
                  <wp:posOffset>685800</wp:posOffset>
                </wp:positionH>
                <wp:positionV relativeFrom="paragraph">
                  <wp:posOffset>274393</wp:posOffset>
                </wp:positionV>
                <wp:extent cx="1828800"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73446C" id="Graphic 3" o:spid="_x0000_s1026" style="position:absolute;margin-left:54pt;margin-top:21.6pt;width:2in;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" path="m1828800,l,,,7607r1828800,l1828800,xe" fillcolor="black" stroked="f">
                <v:path arrowok="t"/>
                <w10:wrap type="topAndBottom" anchorx="page"/>
              </v:shape>
            </w:pict>
          </mc:Fallback>
        </mc:AlternateContent>
      </w:r>
    </w:p>
    <w:p w14:paraId="288BACD7" w14:textId="77777777" w:rsidR="004618BC" w:rsidRDefault="00000000">
      <w:pPr>
        <w:spacing w:before="154" w:line="249" w:lineRule="auto"/>
        <w:ind w:left="120" w:right="36" w:hanging="1"/>
        <w:rPr>
          <w:sz w:val="20"/>
        </w:rPr>
      </w:pPr>
      <w:bookmarkStart w:id="4" w:name="_bookmark4"/>
      <w:bookmarkEnd w:id="4"/>
      <w:r>
        <w:rPr>
          <w:w w:val="105"/>
          <w:position w:val="8"/>
          <w:sz w:val="14"/>
        </w:rPr>
        <w:t>5</w:t>
      </w:r>
      <w:r>
        <w:rPr>
          <w:spacing w:val="12"/>
          <w:w w:val="105"/>
          <w:position w:val="8"/>
          <w:sz w:val="14"/>
        </w:rPr>
        <w:t xml:space="preserve"> </w:t>
      </w:r>
      <w:r>
        <w:rPr>
          <w:w w:val="105"/>
          <w:sz w:val="20"/>
        </w:rPr>
        <w:t>Committee</w:t>
      </w:r>
      <w:r>
        <w:rPr>
          <w:spacing w:val="-1"/>
          <w:w w:val="105"/>
          <w:sz w:val="20"/>
        </w:rPr>
        <w:t xml:space="preserve"> </w:t>
      </w:r>
      <w:r>
        <w:rPr>
          <w:w w:val="105"/>
          <w:sz w:val="20"/>
        </w:rPr>
        <w:t>on</w:t>
      </w:r>
      <w:r>
        <w:rPr>
          <w:spacing w:val="-1"/>
          <w:w w:val="105"/>
          <w:sz w:val="20"/>
        </w:rPr>
        <w:t xml:space="preserve"> </w:t>
      </w:r>
      <w:r>
        <w:rPr>
          <w:w w:val="105"/>
          <w:sz w:val="20"/>
        </w:rPr>
        <w:t>the</w:t>
      </w:r>
      <w:r>
        <w:rPr>
          <w:spacing w:val="-1"/>
          <w:w w:val="105"/>
          <w:sz w:val="20"/>
        </w:rPr>
        <w:t xml:space="preserve"> </w:t>
      </w:r>
      <w:r>
        <w:rPr>
          <w:w w:val="105"/>
          <w:sz w:val="20"/>
        </w:rPr>
        <w:t>Elimination</w:t>
      </w:r>
      <w:r>
        <w:rPr>
          <w:spacing w:val="-1"/>
          <w:w w:val="105"/>
          <w:sz w:val="20"/>
        </w:rPr>
        <w:t xml:space="preserve"> </w:t>
      </w:r>
      <w:r>
        <w:rPr>
          <w:w w:val="105"/>
          <w:sz w:val="20"/>
        </w:rPr>
        <w:t>of</w:t>
      </w:r>
      <w:r>
        <w:rPr>
          <w:spacing w:val="-2"/>
          <w:w w:val="105"/>
          <w:sz w:val="20"/>
        </w:rPr>
        <w:t xml:space="preserve"> </w:t>
      </w:r>
      <w:r>
        <w:rPr>
          <w:w w:val="105"/>
          <w:sz w:val="20"/>
        </w:rPr>
        <w:t>Discrimination</w:t>
      </w:r>
      <w:r>
        <w:rPr>
          <w:spacing w:val="-1"/>
          <w:w w:val="105"/>
          <w:sz w:val="20"/>
        </w:rPr>
        <w:t xml:space="preserve"> </w:t>
      </w:r>
      <w:r>
        <w:rPr>
          <w:w w:val="105"/>
          <w:sz w:val="20"/>
        </w:rPr>
        <w:t>against Women,</w:t>
      </w:r>
      <w:r>
        <w:rPr>
          <w:spacing w:val="-1"/>
          <w:w w:val="105"/>
          <w:sz w:val="20"/>
        </w:rPr>
        <w:t xml:space="preserve"> </w:t>
      </w:r>
      <w:proofErr w:type="gramStart"/>
      <w:r>
        <w:rPr>
          <w:w w:val="105"/>
          <w:sz w:val="20"/>
        </w:rPr>
        <w:t>Tenth</w:t>
      </w:r>
      <w:proofErr w:type="gramEnd"/>
      <w:r>
        <w:rPr>
          <w:spacing w:val="-1"/>
          <w:w w:val="105"/>
          <w:sz w:val="20"/>
        </w:rPr>
        <w:t xml:space="preserve"> </w:t>
      </w:r>
      <w:r>
        <w:rPr>
          <w:w w:val="105"/>
          <w:sz w:val="20"/>
        </w:rPr>
        <w:t>periodic</w:t>
      </w:r>
      <w:r>
        <w:rPr>
          <w:spacing w:val="-1"/>
          <w:w w:val="105"/>
          <w:sz w:val="20"/>
        </w:rPr>
        <w:t xml:space="preserve"> </w:t>
      </w:r>
      <w:r>
        <w:rPr>
          <w:w w:val="105"/>
          <w:sz w:val="20"/>
        </w:rPr>
        <w:t>report</w:t>
      </w:r>
      <w:r>
        <w:rPr>
          <w:spacing w:val="-1"/>
          <w:w w:val="105"/>
          <w:sz w:val="20"/>
        </w:rPr>
        <w:t xml:space="preserve"> </w:t>
      </w:r>
      <w:r>
        <w:rPr>
          <w:w w:val="105"/>
          <w:sz w:val="20"/>
        </w:rPr>
        <w:t>submitted</w:t>
      </w:r>
      <w:r>
        <w:rPr>
          <w:spacing w:val="-1"/>
          <w:w w:val="105"/>
          <w:sz w:val="20"/>
        </w:rPr>
        <w:t xml:space="preserve"> </w:t>
      </w:r>
      <w:r>
        <w:rPr>
          <w:w w:val="105"/>
          <w:sz w:val="20"/>
        </w:rPr>
        <w:t>by</w:t>
      </w:r>
      <w:r>
        <w:rPr>
          <w:spacing w:val="-1"/>
          <w:w w:val="105"/>
          <w:sz w:val="20"/>
        </w:rPr>
        <w:t xml:space="preserve"> </w:t>
      </w:r>
      <w:r>
        <w:rPr>
          <w:w w:val="105"/>
          <w:sz w:val="20"/>
        </w:rPr>
        <w:t>Canada under article 18 of the Convention, due in 2020, (August 10, 2022) [2022 Report].</w:t>
      </w:r>
    </w:p>
    <w:p w14:paraId="11728AF3" w14:textId="77777777" w:rsidR="004618BC" w:rsidRDefault="00000000">
      <w:pPr>
        <w:spacing w:before="4" w:line="247" w:lineRule="auto"/>
        <w:ind w:left="119" w:right="172"/>
        <w:rPr>
          <w:sz w:val="20"/>
        </w:rPr>
      </w:pPr>
      <w:bookmarkStart w:id="5" w:name="_bookmark5"/>
      <w:bookmarkEnd w:id="5"/>
      <w:r>
        <w:rPr>
          <w:w w:val="105"/>
          <w:position w:val="8"/>
          <w:sz w:val="14"/>
        </w:rPr>
        <w:t>6</w:t>
      </w:r>
      <w:r>
        <w:rPr>
          <w:spacing w:val="14"/>
          <w:w w:val="105"/>
          <w:position w:val="8"/>
          <w:sz w:val="14"/>
        </w:rPr>
        <w:t xml:space="preserve"> </w:t>
      </w:r>
      <w:r>
        <w:rPr>
          <w:w w:val="105"/>
          <w:sz w:val="20"/>
        </w:rPr>
        <w:t>Committee on the Elimination of</w:t>
      </w:r>
      <w:r>
        <w:rPr>
          <w:spacing w:val="-1"/>
          <w:w w:val="105"/>
          <w:sz w:val="20"/>
        </w:rPr>
        <w:t xml:space="preserve"> </w:t>
      </w:r>
      <w:r>
        <w:rPr>
          <w:w w:val="105"/>
          <w:sz w:val="20"/>
        </w:rPr>
        <w:t>Discrimination against Women, Inquiry concerning</w:t>
      </w:r>
      <w:r>
        <w:rPr>
          <w:spacing w:val="-1"/>
          <w:w w:val="105"/>
          <w:sz w:val="20"/>
        </w:rPr>
        <w:t xml:space="preserve"> </w:t>
      </w:r>
      <w:r>
        <w:rPr>
          <w:w w:val="105"/>
          <w:sz w:val="20"/>
        </w:rPr>
        <w:t>Canada</w:t>
      </w:r>
      <w:r>
        <w:rPr>
          <w:spacing w:val="-1"/>
          <w:w w:val="105"/>
          <w:sz w:val="20"/>
        </w:rPr>
        <w:t xml:space="preserve"> </w:t>
      </w:r>
      <w:r>
        <w:rPr>
          <w:w w:val="105"/>
          <w:sz w:val="20"/>
        </w:rPr>
        <w:t>under article 8</w:t>
      </w:r>
      <w:r>
        <w:rPr>
          <w:spacing w:val="-2"/>
          <w:w w:val="105"/>
          <w:sz w:val="20"/>
        </w:rPr>
        <w:t xml:space="preserve"> </w:t>
      </w:r>
      <w:r>
        <w:rPr>
          <w:w w:val="105"/>
          <w:sz w:val="20"/>
        </w:rPr>
        <w:t xml:space="preserve">of the Optional Protocol to the Convention, Follow-up report submitted by Canada, (January 23, 2024) [2024 </w:t>
      </w:r>
      <w:r>
        <w:rPr>
          <w:spacing w:val="-2"/>
          <w:w w:val="105"/>
          <w:sz w:val="20"/>
        </w:rPr>
        <w:t>Report].</w:t>
      </w:r>
    </w:p>
    <w:p w14:paraId="724953C2" w14:textId="77777777" w:rsidR="004618BC" w:rsidRDefault="00000000">
      <w:pPr>
        <w:spacing w:before="5"/>
        <w:ind w:left="120"/>
        <w:rPr>
          <w:sz w:val="20"/>
        </w:rPr>
      </w:pPr>
      <w:bookmarkStart w:id="6" w:name="_bookmark6"/>
      <w:bookmarkEnd w:id="6"/>
      <w:r>
        <w:rPr>
          <w:w w:val="110"/>
          <w:position w:val="8"/>
          <w:sz w:val="14"/>
        </w:rPr>
        <w:t xml:space="preserve">7 </w:t>
      </w:r>
      <w:r>
        <w:rPr>
          <w:w w:val="110"/>
          <w:sz w:val="20"/>
        </w:rPr>
        <w:t>Indian</w:t>
      </w:r>
      <w:r>
        <w:rPr>
          <w:spacing w:val="-12"/>
          <w:w w:val="110"/>
          <w:sz w:val="20"/>
        </w:rPr>
        <w:t xml:space="preserve"> </w:t>
      </w:r>
      <w:r>
        <w:rPr>
          <w:w w:val="110"/>
          <w:sz w:val="20"/>
        </w:rPr>
        <w:t>Act,</w:t>
      </w:r>
      <w:r>
        <w:rPr>
          <w:spacing w:val="-13"/>
          <w:w w:val="110"/>
          <w:sz w:val="20"/>
        </w:rPr>
        <w:t xml:space="preserve"> </w:t>
      </w:r>
      <w:r>
        <w:rPr>
          <w:w w:val="110"/>
          <w:sz w:val="20"/>
        </w:rPr>
        <w:t>RSC</w:t>
      </w:r>
      <w:r>
        <w:rPr>
          <w:spacing w:val="-12"/>
          <w:w w:val="110"/>
          <w:sz w:val="20"/>
        </w:rPr>
        <w:t xml:space="preserve"> </w:t>
      </w:r>
      <w:r>
        <w:rPr>
          <w:w w:val="110"/>
          <w:sz w:val="20"/>
        </w:rPr>
        <w:t>1985,</w:t>
      </w:r>
      <w:r>
        <w:rPr>
          <w:spacing w:val="-13"/>
          <w:w w:val="110"/>
          <w:sz w:val="20"/>
        </w:rPr>
        <w:t xml:space="preserve"> </w:t>
      </w:r>
      <w:r>
        <w:rPr>
          <w:w w:val="110"/>
          <w:sz w:val="20"/>
        </w:rPr>
        <w:t>c</w:t>
      </w:r>
      <w:r>
        <w:rPr>
          <w:spacing w:val="-12"/>
          <w:w w:val="110"/>
          <w:sz w:val="20"/>
        </w:rPr>
        <w:t xml:space="preserve"> </w:t>
      </w:r>
      <w:r>
        <w:rPr>
          <w:w w:val="110"/>
          <w:sz w:val="20"/>
        </w:rPr>
        <w:t>1-</w:t>
      </w:r>
      <w:r>
        <w:rPr>
          <w:spacing w:val="-5"/>
          <w:w w:val="110"/>
          <w:sz w:val="20"/>
        </w:rPr>
        <w:t>5.</w:t>
      </w:r>
    </w:p>
    <w:p w14:paraId="021F1E42" w14:textId="77777777" w:rsidR="004618BC" w:rsidRDefault="00000000">
      <w:pPr>
        <w:spacing w:before="26"/>
        <w:ind w:left="120"/>
        <w:rPr>
          <w:sz w:val="20"/>
        </w:rPr>
      </w:pPr>
      <w:bookmarkStart w:id="7" w:name="_bookmark7"/>
      <w:bookmarkEnd w:id="7"/>
      <w:r>
        <w:rPr>
          <w:w w:val="105"/>
          <w:position w:val="8"/>
          <w:sz w:val="14"/>
        </w:rPr>
        <w:t>8</w:t>
      </w:r>
      <w:r>
        <w:rPr>
          <w:spacing w:val="7"/>
          <w:w w:val="105"/>
          <w:position w:val="8"/>
          <w:sz w:val="14"/>
        </w:rPr>
        <w:t xml:space="preserve"> </w:t>
      </w:r>
      <w:r>
        <w:rPr>
          <w:w w:val="105"/>
          <w:sz w:val="20"/>
        </w:rPr>
        <w:t>2022</w:t>
      </w:r>
      <w:r>
        <w:rPr>
          <w:spacing w:val="-9"/>
          <w:w w:val="105"/>
          <w:sz w:val="20"/>
        </w:rPr>
        <w:t xml:space="preserve"> </w:t>
      </w:r>
      <w:r>
        <w:rPr>
          <w:w w:val="105"/>
          <w:sz w:val="20"/>
        </w:rPr>
        <w:t>Report,</w:t>
      </w:r>
      <w:r>
        <w:rPr>
          <w:spacing w:val="-7"/>
          <w:w w:val="105"/>
          <w:sz w:val="20"/>
        </w:rPr>
        <w:t xml:space="preserve"> </w:t>
      </w:r>
      <w:r>
        <w:rPr>
          <w:w w:val="105"/>
          <w:sz w:val="20"/>
        </w:rPr>
        <w:t>supra</w:t>
      </w:r>
      <w:r>
        <w:rPr>
          <w:spacing w:val="-7"/>
          <w:w w:val="105"/>
          <w:sz w:val="20"/>
        </w:rPr>
        <w:t xml:space="preserve"> </w:t>
      </w:r>
      <w:r>
        <w:rPr>
          <w:w w:val="105"/>
          <w:sz w:val="20"/>
        </w:rPr>
        <w:t>note</w:t>
      </w:r>
      <w:r>
        <w:rPr>
          <w:spacing w:val="-7"/>
          <w:w w:val="105"/>
          <w:sz w:val="20"/>
        </w:rPr>
        <w:t xml:space="preserve"> </w:t>
      </w:r>
      <w:r>
        <w:rPr>
          <w:w w:val="105"/>
          <w:sz w:val="20"/>
        </w:rPr>
        <w:t>5</w:t>
      </w:r>
      <w:r>
        <w:rPr>
          <w:spacing w:val="-8"/>
          <w:w w:val="105"/>
          <w:sz w:val="20"/>
        </w:rPr>
        <w:t xml:space="preserve"> </w:t>
      </w:r>
      <w:r>
        <w:rPr>
          <w:w w:val="105"/>
          <w:sz w:val="20"/>
        </w:rPr>
        <w:t>at</w:t>
      </w:r>
      <w:r>
        <w:rPr>
          <w:spacing w:val="-7"/>
          <w:w w:val="105"/>
          <w:sz w:val="20"/>
        </w:rPr>
        <w:t xml:space="preserve"> </w:t>
      </w:r>
      <w:r>
        <w:rPr>
          <w:spacing w:val="-5"/>
          <w:w w:val="105"/>
          <w:sz w:val="20"/>
        </w:rPr>
        <w:t>14.</w:t>
      </w:r>
    </w:p>
    <w:p w14:paraId="7ED8894A" w14:textId="77777777" w:rsidR="004618BC" w:rsidRDefault="00000000">
      <w:pPr>
        <w:spacing w:before="26"/>
        <w:ind w:left="120"/>
        <w:rPr>
          <w:sz w:val="20"/>
        </w:rPr>
      </w:pPr>
      <w:bookmarkStart w:id="8" w:name="_bookmark8"/>
      <w:bookmarkEnd w:id="8"/>
      <w:r>
        <w:rPr>
          <w:w w:val="105"/>
          <w:position w:val="8"/>
          <w:sz w:val="14"/>
        </w:rPr>
        <w:t>9</w:t>
      </w:r>
      <w:r>
        <w:rPr>
          <w:spacing w:val="6"/>
          <w:w w:val="105"/>
          <w:position w:val="8"/>
          <w:sz w:val="14"/>
        </w:rPr>
        <w:t xml:space="preserve"> </w:t>
      </w:r>
      <w:r>
        <w:rPr>
          <w:spacing w:val="-2"/>
          <w:w w:val="105"/>
          <w:sz w:val="20"/>
        </w:rPr>
        <w:t>Ibid.</w:t>
      </w:r>
    </w:p>
    <w:p w14:paraId="5417C861" w14:textId="77777777" w:rsidR="004618BC" w:rsidRDefault="00000000">
      <w:pPr>
        <w:spacing w:before="26"/>
        <w:ind w:left="120"/>
        <w:rPr>
          <w:sz w:val="20"/>
        </w:rPr>
      </w:pPr>
      <w:bookmarkStart w:id="9" w:name="_bookmark9"/>
      <w:bookmarkEnd w:id="9"/>
      <w:r>
        <w:rPr>
          <w:w w:val="110"/>
          <w:position w:val="8"/>
          <w:sz w:val="14"/>
        </w:rPr>
        <w:t>10</w:t>
      </w:r>
      <w:r>
        <w:rPr>
          <w:spacing w:val="1"/>
          <w:w w:val="110"/>
          <w:position w:val="8"/>
          <w:sz w:val="14"/>
        </w:rPr>
        <w:t xml:space="preserve"> </w:t>
      </w:r>
      <w:r>
        <w:rPr>
          <w:w w:val="110"/>
          <w:sz w:val="20"/>
        </w:rPr>
        <w:t>Judges</w:t>
      </w:r>
      <w:r>
        <w:rPr>
          <w:spacing w:val="-12"/>
          <w:w w:val="110"/>
          <w:sz w:val="20"/>
        </w:rPr>
        <w:t xml:space="preserve"> </w:t>
      </w:r>
      <w:r>
        <w:rPr>
          <w:w w:val="110"/>
          <w:sz w:val="20"/>
        </w:rPr>
        <w:t>Act,</w:t>
      </w:r>
      <w:r>
        <w:rPr>
          <w:spacing w:val="-12"/>
          <w:w w:val="110"/>
          <w:sz w:val="20"/>
        </w:rPr>
        <w:t xml:space="preserve"> </w:t>
      </w:r>
      <w:r>
        <w:rPr>
          <w:w w:val="110"/>
          <w:sz w:val="20"/>
        </w:rPr>
        <w:t>RSC</w:t>
      </w:r>
      <w:r>
        <w:rPr>
          <w:spacing w:val="-12"/>
          <w:w w:val="110"/>
          <w:sz w:val="20"/>
        </w:rPr>
        <w:t xml:space="preserve"> </w:t>
      </w:r>
      <w:r>
        <w:rPr>
          <w:w w:val="110"/>
          <w:sz w:val="20"/>
        </w:rPr>
        <w:t>1985,</w:t>
      </w:r>
      <w:r>
        <w:rPr>
          <w:spacing w:val="-12"/>
          <w:w w:val="110"/>
          <w:sz w:val="20"/>
        </w:rPr>
        <w:t xml:space="preserve"> </w:t>
      </w:r>
      <w:r>
        <w:rPr>
          <w:w w:val="110"/>
          <w:sz w:val="20"/>
        </w:rPr>
        <w:t>c</w:t>
      </w:r>
      <w:r>
        <w:rPr>
          <w:spacing w:val="-11"/>
          <w:w w:val="110"/>
          <w:sz w:val="20"/>
        </w:rPr>
        <w:t xml:space="preserve"> </w:t>
      </w:r>
      <w:r>
        <w:rPr>
          <w:w w:val="110"/>
          <w:sz w:val="20"/>
        </w:rPr>
        <w:t>J-</w:t>
      </w:r>
      <w:r>
        <w:rPr>
          <w:spacing w:val="-7"/>
          <w:w w:val="110"/>
          <w:sz w:val="20"/>
        </w:rPr>
        <w:t>1.</w:t>
      </w:r>
    </w:p>
    <w:p w14:paraId="2F6F22C2" w14:textId="77777777" w:rsidR="004618BC" w:rsidRDefault="004618BC">
      <w:pPr>
        <w:rPr>
          <w:sz w:val="20"/>
        </w:rPr>
        <w:sectPr w:rsidR="004618BC">
          <w:pgSz w:w="11910" w:h="16840"/>
          <w:pgMar w:top="2060" w:right="960" w:bottom="280" w:left="960" w:header="709" w:footer="0" w:gutter="0"/>
          <w:cols w:space="720"/>
        </w:sectPr>
      </w:pPr>
    </w:p>
    <w:p w14:paraId="55952712" w14:textId="77777777" w:rsidR="004618BC" w:rsidRDefault="00000000">
      <w:pPr>
        <w:pStyle w:val="BodyText"/>
        <w:spacing w:before="293" w:line="360" w:lineRule="auto"/>
        <w:ind w:left="120" w:right="115"/>
        <w:jc w:val="both"/>
      </w:pPr>
      <w:r>
        <w:lastRenderedPageBreak/>
        <w:t>laws. The Criminal Code</w:t>
      </w:r>
      <w:hyperlink w:anchor="_bookmark10" w:history="1">
        <w:r>
          <w:rPr>
            <w:vertAlign w:val="superscript"/>
          </w:rPr>
          <w:t>11</w:t>
        </w:r>
      </w:hyperlink>
      <w:r>
        <w:t xml:space="preserve"> has also been amended to clarify certain aspects of sexual assault law, enhancing measures to better respond to IPV.</w:t>
      </w:r>
    </w:p>
    <w:p w14:paraId="5608B907" w14:textId="77777777" w:rsidR="004618BC" w:rsidRDefault="004618BC">
      <w:pPr>
        <w:pStyle w:val="BodyText"/>
        <w:spacing w:before="145"/>
      </w:pPr>
    </w:p>
    <w:p w14:paraId="27AF1311" w14:textId="77777777" w:rsidR="004618BC" w:rsidRDefault="00000000">
      <w:pPr>
        <w:pStyle w:val="BodyText"/>
        <w:spacing w:line="360" w:lineRule="auto"/>
        <w:ind w:left="119" w:right="114"/>
        <w:jc w:val="both"/>
      </w:pPr>
      <w:r>
        <w:t>To</w:t>
      </w:r>
      <w:r>
        <w:rPr>
          <w:spacing w:val="-7"/>
        </w:rPr>
        <w:t xml:space="preserve"> </w:t>
      </w:r>
      <w:r>
        <w:t>address</w:t>
      </w:r>
      <w:r>
        <w:rPr>
          <w:spacing w:val="-10"/>
        </w:rPr>
        <w:t xml:space="preserve"> </w:t>
      </w:r>
      <w:r>
        <w:t>socioeconomic</w:t>
      </w:r>
      <w:r>
        <w:rPr>
          <w:spacing w:val="-8"/>
        </w:rPr>
        <w:t xml:space="preserve"> </w:t>
      </w:r>
      <w:r>
        <w:t>conditions,</w:t>
      </w:r>
      <w:r>
        <w:rPr>
          <w:spacing w:val="-10"/>
        </w:rPr>
        <w:t xml:space="preserve"> </w:t>
      </w:r>
      <w:r>
        <w:t>the</w:t>
      </w:r>
      <w:r>
        <w:rPr>
          <w:spacing w:val="-7"/>
        </w:rPr>
        <w:t xml:space="preserve"> </w:t>
      </w:r>
      <w:r>
        <w:t>Government</w:t>
      </w:r>
      <w:r>
        <w:rPr>
          <w:spacing w:val="-9"/>
        </w:rPr>
        <w:t xml:space="preserve"> </w:t>
      </w:r>
      <w:r>
        <w:t>of</w:t>
      </w:r>
      <w:r>
        <w:rPr>
          <w:spacing w:val="-9"/>
        </w:rPr>
        <w:t xml:space="preserve"> </w:t>
      </w:r>
      <w:r>
        <w:t>Canada</w:t>
      </w:r>
      <w:r>
        <w:rPr>
          <w:spacing w:val="-7"/>
        </w:rPr>
        <w:t xml:space="preserve"> </w:t>
      </w:r>
      <w:r>
        <w:t>launched</w:t>
      </w:r>
      <w:r>
        <w:rPr>
          <w:spacing w:val="-6"/>
        </w:rPr>
        <w:t xml:space="preserve"> </w:t>
      </w:r>
      <w:r>
        <w:t>the</w:t>
      </w:r>
      <w:r>
        <w:rPr>
          <w:spacing w:val="-9"/>
        </w:rPr>
        <w:t xml:space="preserve"> </w:t>
      </w:r>
      <w:r>
        <w:t>Indigenous</w:t>
      </w:r>
      <w:r>
        <w:rPr>
          <w:spacing w:val="-8"/>
        </w:rPr>
        <w:t xml:space="preserve"> </w:t>
      </w:r>
      <w:r>
        <w:t>Skills</w:t>
      </w:r>
      <w:r>
        <w:rPr>
          <w:spacing w:val="-8"/>
        </w:rPr>
        <w:t xml:space="preserve"> </w:t>
      </w:r>
      <w:r>
        <w:t>and Employment Training Program to help close the education, skills, and earning gaps between Indigenous and non-Indigenous people. Provincial and territorial governments have also implemented education initiatives through legislation, aid measures, and increased resources. Various strategies and programs working to ensure access to post-secondary education for Indigenous people and to support and encourage students to stay in school have also been implemented.</w:t>
      </w:r>
      <w:r>
        <w:rPr>
          <w:spacing w:val="-10"/>
        </w:rPr>
        <w:t xml:space="preserve"> </w:t>
      </w:r>
      <w:r>
        <w:t>Additionally,</w:t>
      </w:r>
      <w:r>
        <w:rPr>
          <w:spacing w:val="-10"/>
        </w:rPr>
        <w:t xml:space="preserve"> </w:t>
      </w:r>
      <w:r>
        <w:t>programs</w:t>
      </w:r>
      <w:r>
        <w:rPr>
          <w:spacing w:val="-10"/>
        </w:rPr>
        <w:t xml:space="preserve"> </w:t>
      </w:r>
      <w:r>
        <w:t>across</w:t>
      </w:r>
      <w:r>
        <w:rPr>
          <w:spacing w:val="-10"/>
        </w:rPr>
        <w:t xml:space="preserve"> </w:t>
      </w:r>
      <w:r>
        <w:t>some</w:t>
      </w:r>
      <w:r>
        <w:rPr>
          <w:spacing w:val="-12"/>
        </w:rPr>
        <w:t xml:space="preserve"> </w:t>
      </w:r>
      <w:r>
        <w:t>provinces</w:t>
      </w:r>
      <w:r>
        <w:rPr>
          <w:spacing w:val="-12"/>
        </w:rPr>
        <w:t xml:space="preserve"> </w:t>
      </w:r>
      <w:r>
        <w:t>assist</w:t>
      </w:r>
      <w:r>
        <w:rPr>
          <w:spacing w:val="-11"/>
        </w:rPr>
        <w:t xml:space="preserve"> </w:t>
      </w:r>
      <w:r>
        <w:t>women's</w:t>
      </w:r>
      <w:r>
        <w:rPr>
          <w:spacing w:val="-10"/>
        </w:rPr>
        <w:t xml:space="preserve"> </w:t>
      </w:r>
      <w:r>
        <w:t>participation</w:t>
      </w:r>
      <w:r>
        <w:rPr>
          <w:spacing w:val="-9"/>
        </w:rPr>
        <w:t xml:space="preserve"> </w:t>
      </w:r>
      <w:r>
        <w:t>and</w:t>
      </w:r>
      <w:r>
        <w:rPr>
          <w:spacing w:val="-9"/>
        </w:rPr>
        <w:t xml:space="preserve"> </w:t>
      </w:r>
      <w:r>
        <w:t xml:space="preserve">access to the </w:t>
      </w:r>
      <w:proofErr w:type="spellStart"/>
      <w:r>
        <w:t>labour</w:t>
      </w:r>
      <w:proofErr w:type="spellEnd"/>
      <w:r>
        <w:t xml:space="preserve"> market, and initiatives working to reduce poverty, homelessness, and inadequate nutrition have also been implemented and/or funded.</w:t>
      </w:r>
    </w:p>
    <w:p w14:paraId="027B3EA2" w14:textId="77777777" w:rsidR="004618BC" w:rsidRDefault="004618BC">
      <w:pPr>
        <w:pStyle w:val="BodyText"/>
        <w:spacing w:before="146"/>
      </w:pPr>
    </w:p>
    <w:p w14:paraId="4D1E7CF4" w14:textId="77777777" w:rsidR="004618BC" w:rsidRDefault="00000000">
      <w:pPr>
        <w:pStyle w:val="BodyText"/>
        <w:spacing w:before="1" w:line="360" w:lineRule="auto"/>
        <w:ind w:left="119" w:right="116"/>
        <w:jc w:val="both"/>
      </w:pPr>
      <w:r>
        <w:t>In</w:t>
      </w:r>
      <w:r>
        <w:rPr>
          <w:spacing w:val="-14"/>
        </w:rPr>
        <w:t xml:space="preserve"> </w:t>
      </w:r>
      <w:r>
        <w:t>2016,</w:t>
      </w:r>
      <w:r>
        <w:rPr>
          <w:spacing w:val="-14"/>
        </w:rPr>
        <w:t xml:space="preserve"> </w:t>
      </w:r>
      <w:r>
        <w:t>the</w:t>
      </w:r>
      <w:r>
        <w:rPr>
          <w:spacing w:val="-13"/>
        </w:rPr>
        <w:t xml:space="preserve"> </w:t>
      </w:r>
      <w:r>
        <w:t>Canadian</w:t>
      </w:r>
      <w:r>
        <w:rPr>
          <w:spacing w:val="-14"/>
        </w:rPr>
        <w:t xml:space="preserve"> </w:t>
      </w:r>
      <w:r>
        <w:t>Government</w:t>
      </w:r>
      <w:r>
        <w:rPr>
          <w:spacing w:val="-13"/>
        </w:rPr>
        <w:t xml:space="preserve"> </w:t>
      </w:r>
      <w:r>
        <w:t>launched</w:t>
      </w:r>
      <w:r>
        <w:rPr>
          <w:spacing w:val="-14"/>
        </w:rPr>
        <w:t xml:space="preserve"> </w:t>
      </w:r>
      <w:r>
        <w:t>the</w:t>
      </w:r>
      <w:r>
        <w:rPr>
          <w:spacing w:val="-13"/>
        </w:rPr>
        <w:t xml:space="preserve"> </w:t>
      </w:r>
      <w:r>
        <w:t>National</w:t>
      </w:r>
      <w:r>
        <w:rPr>
          <w:spacing w:val="-14"/>
        </w:rPr>
        <w:t xml:space="preserve"> </w:t>
      </w:r>
      <w:r>
        <w:t>Inquiry</w:t>
      </w:r>
      <w:r>
        <w:rPr>
          <w:spacing w:val="-14"/>
        </w:rPr>
        <w:t xml:space="preserve"> </w:t>
      </w:r>
      <w:r>
        <w:t>into</w:t>
      </w:r>
      <w:r>
        <w:rPr>
          <w:spacing w:val="-13"/>
        </w:rPr>
        <w:t xml:space="preserve"> </w:t>
      </w:r>
      <w:r>
        <w:t>MMIWG</w:t>
      </w:r>
      <w:r>
        <w:rPr>
          <w:spacing w:val="-14"/>
        </w:rPr>
        <w:t xml:space="preserve"> </w:t>
      </w:r>
      <w:r>
        <w:t>to</w:t>
      </w:r>
      <w:r>
        <w:rPr>
          <w:spacing w:val="-13"/>
        </w:rPr>
        <w:t xml:space="preserve"> </w:t>
      </w:r>
      <w:r>
        <w:t>assess</w:t>
      </w:r>
      <w:r>
        <w:rPr>
          <w:spacing w:val="-14"/>
        </w:rPr>
        <w:t xml:space="preserve"> </w:t>
      </w:r>
      <w:r>
        <w:t>the</w:t>
      </w:r>
      <w:r>
        <w:rPr>
          <w:spacing w:val="-13"/>
        </w:rPr>
        <w:t xml:space="preserve"> </w:t>
      </w:r>
      <w:r>
        <w:t>systemic and root causes of all</w:t>
      </w:r>
      <w:r>
        <w:rPr>
          <w:spacing w:val="-2"/>
        </w:rPr>
        <w:t xml:space="preserve"> </w:t>
      </w:r>
      <w:r>
        <w:t>forms of violence against Indigenous women, girls, and 2SLGBTQQIA+ people. In 2019, the Inquiry released its Final Report, highlighting the urgent need for a complete paradigm shift to dismantle colonialism and bring an end to the MMIWG crisis.</w:t>
      </w:r>
      <w:hyperlink w:anchor="_bookmark11" w:history="1">
        <w:r>
          <w:rPr>
            <w:vertAlign w:val="superscript"/>
          </w:rPr>
          <w:t>12</w:t>
        </w:r>
      </w:hyperlink>
    </w:p>
    <w:p w14:paraId="25AC8E03" w14:textId="77777777" w:rsidR="004618BC" w:rsidRDefault="004618BC">
      <w:pPr>
        <w:pStyle w:val="BodyText"/>
        <w:spacing w:before="147"/>
      </w:pPr>
    </w:p>
    <w:p w14:paraId="67D0CCBF" w14:textId="77777777" w:rsidR="004618BC" w:rsidRDefault="00000000">
      <w:pPr>
        <w:pStyle w:val="BodyText"/>
        <w:spacing w:line="360" w:lineRule="auto"/>
        <w:ind w:left="119" w:right="114"/>
        <w:jc w:val="both"/>
      </w:pPr>
      <w:r>
        <w:t>Canada</w:t>
      </w:r>
      <w:r>
        <w:rPr>
          <w:spacing w:val="-1"/>
        </w:rPr>
        <w:t xml:space="preserve"> </w:t>
      </w:r>
      <w:r>
        <w:t>amended</w:t>
      </w:r>
      <w:r>
        <w:rPr>
          <w:spacing w:val="-3"/>
        </w:rPr>
        <w:t xml:space="preserve"> </w:t>
      </w:r>
      <w:r>
        <w:t>the</w:t>
      </w:r>
      <w:r>
        <w:rPr>
          <w:spacing w:val="-1"/>
        </w:rPr>
        <w:t xml:space="preserve"> </w:t>
      </w:r>
      <w:r>
        <w:t>Indian Act</w:t>
      </w:r>
      <w:r>
        <w:rPr>
          <w:spacing w:val="-3"/>
        </w:rPr>
        <w:t xml:space="preserve"> </w:t>
      </w:r>
      <w:r>
        <w:t>to</w:t>
      </w:r>
      <w:r>
        <w:rPr>
          <w:spacing w:val="-3"/>
        </w:rPr>
        <w:t xml:space="preserve"> </w:t>
      </w:r>
      <w:r>
        <w:t>address</w:t>
      </w:r>
      <w:r>
        <w:rPr>
          <w:spacing w:val="-4"/>
        </w:rPr>
        <w:t xml:space="preserve"> </w:t>
      </w:r>
      <w:r>
        <w:t>discrimination in</w:t>
      </w:r>
      <w:r>
        <w:rPr>
          <w:spacing w:val="-3"/>
        </w:rPr>
        <w:t xml:space="preserve"> </w:t>
      </w:r>
      <w:r>
        <w:t>the</w:t>
      </w:r>
      <w:r>
        <w:rPr>
          <w:spacing w:val="-3"/>
        </w:rPr>
        <w:t xml:space="preserve"> </w:t>
      </w:r>
      <w:r>
        <w:t>registration</w:t>
      </w:r>
      <w:r>
        <w:rPr>
          <w:spacing w:val="-3"/>
        </w:rPr>
        <w:t xml:space="preserve"> </w:t>
      </w:r>
      <w:r>
        <w:t>provisions.</w:t>
      </w:r>
      <w:r>
        <w:rPr>
          <w:spacing w:val="-2"/>
        </w:rPr>
        <w:t xml:space="preserve"> </w:t>
      </w:r>
      <w:r>
        <w:t>In 2017,</w:t>
      </w:r>
      <w:r>
        <w:rPr>
          <w:spacing w:val="-4"/>
        </w:rPr>
        <w:t xml:space="preserve"> </w:t>
      </w:r>
      <w:r>
        <w:t>Bill S-3 was partially implemented to address sex-based inequities of the Act following the decision in Descheneaux c Canada (Procureur general).</w:t>
      </w:r>
      <w:hyperlink w:anchor="_bookmark12" w:history="1">
        <w:r>
          <w:rPr>
            <w:vertAlign w:val="superscript"/>
          </w:rPr>
          <w:t>13</w:t>
        </w:r>
      </w:hyperlink>
      <w:r>
        <w:t xml:space="preserve"> In 2019, the removal of the 1951 cut-off came into force. In 2020, Parliament determined that all sex-based inequities in the registration provisions of the</w:t>
      </w:r>
      <w:r>
        <w:rPr>
          <w:spacing w:val="-3"/>
        </w:rPr>
        <w:t xml:space="preserve"> </w:t>
      </w:r>
      <w:r>
        <w:t>Indian</w:t>
      </w:r>
      <w:r>
        <w:rPr>
          <w:spacing w:val="-3"/>
        </w:rPr>
        <w:t xml:space="preserve"> </w:t>
      </w:r>
      <w:r>
        <w:t>Act</w:t>
      </w:r>
      <w:r>
        <w:rPr>
          <w:spacing w:val="-3"/>
        </w:rPr>
        <w:t xml:space="preserve"> </w:t>
      </w:r>
      <w:r>
        <w:t>were</w:t>
      </w:r>
      <w:r>
        <w:rPr>
          <w:spacing w:val="-3"/>
        </w:rPr>
        <w:t xml:space="preserve"> </w:t>
      </w:r>
      <w:r>
        <w:t>eliminated.</w:t>
      </w:r>
      <w:r>
        <w:rPr>
          <w:spacing w:val="-5"/>
        </w:rPr>
        <w:t xml:space="preserve"> </w:t>
      </w:r>
      <w:r>
        <w:t>Additionally,</w:t>
      </w:r>
      <w:r>
        <w:rPr>
          <w:spacing w:val="-4"/>
        </w:rPr>
        <w:t xml:space="preserve"> </w:t>
      </w:r>
      <w:r>
        <w:t>in</w:t>
      </w:r>
      <w:r>
        <w:rPr>
          <w:spacing w:val="-3"/>
        </w:rPr>
        <w:t xml:space="preserve"> </w:t>
      </w:r>
      <w:r>
        <w:t>its</w:t>
      </w:r>
      <w:r>
        <w:rPr>
          <w:spacing w:val="-7"/>
        </w:rPr>
        <w:t xml:space="preserve"> </w:t>
      </w:r>
      <w:r>
        <w:t>2022</w:t>
      </w:r>
      <w:r>
        <w:rPr>
          <w:spacing w:val="-3"/>
        </w:rPr>
        <w:t xml:space="preserve"> </w:t>
      </w:r>
      <w:r>
        <w:t>response,</w:t>
      </w:r>
      <w:r>
        <w:rPr>
          <w:spacing w:val="-4"/>
        </w:rPr>
        <w:t xml:space="preserve"> </w:t>
      </w:r>
      <w:r>
        <w:t>Canada</w:t>
      </w:r>
      <w:r>
        <w:rPr>
          <w:spacing w:val="-6"/>
        </w:rPr>
        <w:t xml:space="preserve"> </w:t>
      </w:r>
      <w:r>
        <w:t>acknowledged</w:t>
      </w:r>
      <w:r>
        <w:rPr>
          <w:spacing w:val="-3"/>
        </w:rPr>
        <w:t xml:space="preserve"> </w:t>
      </w:r>
      <w:r>
        <w:t>the</w:t>
      </w:r>
      <w:r>
        <w:rPr>
          <w:spacing w:val="-3"/>
        </w:rPr>
        <w:t xml:space="preserve"> </w:t>
      </w:r>
      <w:r>
        <w:t>impact of past sex-based discrimination in registrations on First Nation women and their descendants. However, measures to provide reparations were not being considered.</w:t>
      </w:r>
    </w:p>
    <w:p w14:paraId="504BBC6A" w14:textId="77777777" w:rsidR="004618BC" w:rsidRDefault="004618BC">
      <w:pPr>
        <w:pStyle w:val="BodyText"/>
        <w:rPr>
          <w:sz w:val="20"/>
        </w:rPr>
      </w:pPr>
    </w:p>
    <w:p w14:paraId="0488001C" w14:textId="77777777" w:rsidR="004618BC" w:rsidRDefault="004618BC">
      <w:pPr>
        <w:pStyle w:val="BodyText"/>
        <w:rPr>
          <w:sz w:val="20"/>
        </w:rPr>
      </w:pPr>
    </w:p>
    <w:p w14:paraId="7078DE3A" w14:textId="77777777" w:rsidR="004618BC" w:rsidRDefault="00000000">
      <w:pPr>
        <w:pStyle w:val="BodyText"/>
        <w:spacing w:before="114"/>
        <w:rPr>
          <w:sz w:val="20"/>
        </w:rPr>
      </w:pPr>
      <w:r>
        <w:rPr>
          <w:noProof/>
        </w:rPr>
        <mc:AlternateContent>
          <mc:Choice Requires="wps">
            <w:drawing>
              <wp:anchor distT="0" distB="0" distL="0" distR="0" simplePos="0" relativeHeight="487588864" behindDoc="1" locked="0" layoutInCell="1" allowOverlap="1" wp14:anchorId="4D08FA45" wp14:editId="6C76036D">
                <wp:simplePos x="0" y="0"/>
                <wp:positionH relativeFrom="page">
                  <wp:posOffset>685800</wp:posOffset>
                </wp:positionH>
                <wp:positionV relativeFrom="paragraph">
                  <wp:posOffset>242738</wp:posOffset>
                </wp:positionV>
                <wp:extent cx="1828800"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2D64F5" id="Graphic 4" o:spid="_x0000_s1026" style="position:absolute;margin-left:54pt;margin-top:19.1pt;width:2in;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" path="m1828800,l,,,7607r1828800,l1828800,xe" fillcolor="black" stroked="f">
                <v:path arrowok="t"/>
                <w10:wrap type="topAndBottom" anchorx="page"/>
              </v:shape>
            </w:pict>
          </mc:Fallback>
        </mc:AlternateContent>
      </w:r>
    </w:p>
    <w:p w14:paraId="67F24FC7" w14:textId="77777777" w:rsidR="004618BC" w:rsidRDefault="00000000">
      <w:pPr>
        <w:spacing w:before="154"/>
        <w:ind w:left="120"/>
        <w:rPr>
          <w:sz w:val="20"/>
        </w:rPr>
      </w:pPr>
      <w:bookmarkStart w:id="10" w:name="_bookmark10"/>
      <w:bookmarkEnd w:id="10"/>
      <w:r>
        <w:rPr>
          <w:w w:val="110"/>
          <w:position w:val="8"/>
          <w:sz w:val="14"/>
        </w:rPr>
        <w:t>11</w:t>
      </w:r>
      <w:r>
        <w:rPr>
          <w:spacing w:val="10"/>
          <w:w w:val="110"/>
          <w:position w:val="8"/>
          <w:sz w:val="14"/>
        </w:rPr>
        <w:t xml:space="preserve"> </w:t>
      </w:r>
      <w:r>
        <w:rPr>
          <w:w w:val="110"/>
          <w:sz w:val="20"/>
        </w:rPr>
        <w:t>Criminal</w:t>
      </w:r>
      <w:r>
        <w:rPr>
          <w:spacing w:val="-4"/>
          <w:w w:val="110"/>
          <w:sz w:val="20"/>
        </w:rPr>
        <w:t xml:space="preserve"> </w:t>
      </w:r>
      <w:r>
        <w:rPr>
          <w:w w:val="110"/>
          <w:sz w:val="20"/>
        </w:rPr>
        <w:t>Code,</w:t>
      </w:r>
      <w:r>
        <w:rPr>
          <w:spacing w:val="-4"/>
          <w:w w:val="110"/>
          <w:sz w:val="20"/>
        </w:rPr>
        <w:t xml:space="preserve"> </w:t>
      </w:r>
      <w:r>
        <w:rPr>
          <w:w w:val="110"/>
          <w:sz w:val="20"/>
        </w:rPr>
        <w:t>RSC</w:t>
      </w:r>
      <w:r>
        <w:rPr>
          <w:spacing w:val="-4"/>
          <w:w w:val="110"/>
          <w:sz w:val="20"/>
        </w:rPr>
        <w:t xml:space="preserve"> </w:t>
      </w:r>
      <w:r>
        <w:rPr>
          <w:w w:val="110"/>
          <w:sz w:val="20"/>
        </w:rPr>
        <w:t>1985,</w:t>
      </w:r>
      <w:r>
        <w:rPr>
          <w:spacing w:val="-4"/>
          <w:w w:val="110"/>
          <w:sz w:val="20"/>
        </w:rPr>
        <w:t xml:space="preserve"> </w:t>
      </w:r>
      <w:r>
        <w:rPr>
          <w:w w:val="110"/>
          <w:sz w:val="20"/>
        </w:rPr>
        <w:t>c</w:t>
      </w:r>
      <w:r>
        <w:rPr>
          <w:spacing w:val="-4"/>
          <w:w w:val="110"/>
          <w:sz w:val="20"/>
        </w:rPr>
        <w:t xml:space="preserve"> </w:t>
      </w:r>
      <w:r>
        <w:rPr>
          <w:w w:val="110"/>
          <w:sz w:val="20"/>
        </w:rPr>
        <w:t>C-</w:t>
      </w:r>
      <w:r>
        <w:rPr>
          <w:spacing w:val="-5"/>
          <w:w w:val="110"/>
          <w:sz w:val="20"/>
        </w:rPr>
        <w:t>46.</w:t>
      </w:r>
    </w:p>
    <w:p w14:paraId="55EB771C" w14:textId="77777777" w:rsidR="004618BC" w:rsidRDefault="00000000">
      <w:pPr>
        <w:spacing w:before="25" w:line="244" w:lineRule="auto"/>
        <w:ind w:left="119" w:right="36"/>
        <w:rPr>
          <w:sz w:val="20"/>
        </w:rPr>
      </w:pPr>
      <w:bookmarkStart w:id="11" w:name="_bookmark11"/>
      <w:bookmarkEnd w:id="11"/>
      <w:r>
        <w:rPr>
          <w:w w:val="105"/>
          <w:position w:val="8"/>
          <w:sz w:val="14"/>
        </w:rPr>
        <w:t>12</w:t>
      </w:r>
      <w:r>
        <w:rPr>
          <w:spacing w:val="13"/>
          <w:w w:val="105"/>
          <w:position w:val="8"/>
          <w:sz w:val="14"/>
        </w:rPr>
        <w:t xml:space="preserve"> </w:t>
      </w:r>
      <w:r>
        <w:rPr>
          <w:w w:val="105"/>
          <w:sz w:val="20"/>
        </w:rPr>
        <w:t>The</w:t>
      </w:r>
      <w:r>
        <w:rPr>
          <w:spacing w:val="-1"/>
          <w:w w:val="105"/>
          <w:sz w:val="20"/>
        </w:rPr>
        <w:t xml:space="preserve"> </w:t>
      </w:r>
      <w:r>
        <w:rPr>
          <w:w w:val="105"/>
          <w:sz w:val="20"/>
        </w:rPr>
        <w:t>Native</w:t>
      </w:r>
      <w:r>
        <w:rPr>
          <w:spacing w:val="-1"/>
          <w:w w:val="105"/>
          <w:sz w:val="20"/>
        </w:rPr>
        <w:t xml:space="preserve"> </w:t>
      </w:r>
      <w:r>
        <w:rPr>
          <w:w w:val="105"/>
          <w:sz w:val="20"/>
        </w:rPr>
        <w:t>Women's</w:t>
      </w:r>
      <w:r>
        <w:rPr>
          <w:spacing w:val="-3"/>
          <w:w w:val="105"/>
          <w:sz w:val="20"/>
        </w:rPr>
        <w:t xml:space="preserve"> </w:t>
      </w:r>
      <w:r>
        <w:rPr>
          <w:w w:val="105"/>
          <w:sz w:val="20"/>
        </w:rPr>
        <w:t>Association</w:t>
      </w:r>
      <w:r>
        <w:rPr>
          <w:spacing w:val="-1"/>
          <w:w w:val="105"/>
          <w:sz w:val="20"/>
        </w:rPr>
        <w:t xml:space="preserve"> </w:t>
      </w:r>
      <w:r>
        <w:rPr>
          <w:w w:val="105"/>
          <w:sz w:val="20"/>
        </w:rPr>
        <w:t>of</w:t>
      </w:r>
      <w:r>
        <w:rPr>
          <w:spacing w:val="-2"/>
          <w:w w:val="105"/>
          <w:sz w:val="20"/>
        </w:rPr>
        <w:t xml:space="preserve"> </w:t>
      </w:r>
      <w:r>
        <w:rPr>
          <w:w w:val="105"/>
          <w:sz w:val="20"/>
        </w:rPr>
        <w:t>Canada,</w:t>
      </w:r>
      <w:r>
        <w:rPr>
          <w:spacing w:val="-1"/>
          <w:w w:val="105"/>
          <w:sz w:val="20"/>
        </w:rPr>
        <w:t xml:space="preserve"> </w:t>
      </w:r>
      <w:proofErr w:type="gramStart"/>
      <w:r>
        <w:rPr>
          <w:w w:val="105"/>
          <w:sz w:val="20"/>
        </w:rPr>
        <w:t>An</w:t>
      </w:r>
      <w:proofErr w:type="gramEnd"/>
      <w:r>
        <w:rPr>
          <w:spacing w:val="-1"/>
          <w:w w:val="105"/>
          <w:sz w:val="20"/>
        </w:rPr>
        <w:t xml:space="preserve"> </w:t>
      </w:r>
      <w:r>
        <w:rPr>
          <w:w w:val="105"/>
          <w:sz w:val="20"/>
        </w:rPr>
        <w:t>annual</w:t>
      </w:r>
      <w:r>
        <w:rPr>
          <w:spacing w:val="-1"/>
          <w:w w:val="105"/>
          <w:sz w:val="20"/>
        </w:rPr>
        <w:t xml:space="preserve"> </w:t>
      </w:r>
      <w:r>
        <w:rPr>
          <w:w w:val="105"/>
          <w:sz w:val="20"/>
        </w:rPr>
        <w:t>report</w:t>
      </w:r>
      <w:r>
        <w:rPr>
          <w:spacing w:val="-1"/>
          <w:w w:val="105"/>
          <w:sz w:val="20"/>
        </w:rPr>
        <w:t xml:space="preserve"> </w:t>
      </w:r>
      <w:r>
        <w:rPr>
          <w:w w:val="105"/>
          <w:sz w:val="20"/>
        </w:rPr>
        <w:t>outlining</w:t>
      </w:r>
      <w:r>
        <w:rPr>
          <w:spacing w:val="-2"/>
          <w:w w:val="105"/>
          <w:sz w:val="20"/>
        </w:rPr>
        <w:t xml:space="preserve"> </w:t>
      </w:r>
      <w:r>
        <w:rPr>
          <w:w w:val="105"/>
          <w:sz w:val="20"/>
        </w:rPr>
        <w:t>the</w:t>
      </w:r>
      <w:r>
        <w:rPr>
          <w:spacing w:val="-1"/>
          <w:w w:val="105"/>
          <w:sz w:val="20"/>
        </w:rPr>
        <w:t xml:space="preserve"> </w:t>
      </w:r>
      <w:r>
        <w:rPr>
          <w:w w:val="105"/>
          <w:sz w:val="20"/>
        </w:rPr>
        <w:t>Federal</w:t>
      </w:r>
      <w:r>
        <w:rPr>
          <w:spacing w:val="-1"/>
          <w:w w:val="105"/>
          <w:sz w:val="20"/>
        </w:rPr>
        <w:t xml:space="preserve"> </w:t>
      </w:r>
      <w:r>
        <w:rPr>
          <w:w w:val="105"/>
          <w:sz w:val="20"/>
        </w:rPr>
        <w:t>Government's</w:t>
      </w:r>
      <w:r>
        <w:rPr>
          <w:spacing w:val="-3"/>
          <w:w w:val="105"/>
          <w:sz w:val="20"/>
        </w:rPr>
        <w:t xml:space="preserve"> </w:t>
      </w:r>
      <w:r>
        <w:rPr>
          <w:w w:val="105"/>
          <w:sz w:val="20"/>
        </w:rPr>
        <w:t>progress</w:t>
      </w:r>
      <w:r>
        <w:rPr>
          <w:spacing w:val="-3"/>
          <w:w w:val="105"/>
          <w:sz w:val="20"/>
        </w:rPr>
        <w:t xml:space="preserve"> </w:t>
      </w:r>
      <w:r>
        <w:rPr>
          <w:w w:val="105"/>
          <w:sz w:val="20"/>
        </w:rPr>
        <w:t>on implementing the commitments</w:t>
      </w:r>
      <w:r>
        <w:rPr>
          <w:spacing w:val="40"/>
          <w:w w:val="105"/>
          <w:sz w:val="20"/>
        </w:rPr>
        <w:t xml:space="preserve"> </w:t>
      </w:r>
      <w:r>
        <w:rPr>
          <w:w w:val="105"/>
          <w:sz w:val="20"/>
        </w:rPr>
        <w:t>made in their MMIWG2S National Action Plan (2022) online: https://nwac.ca/assets­ knowledge-</w:t>
      </w:r>
      <w:proofErr w:type="spellStart"/>
      <w:r>
        <w:rPr>
          <w:w w:val="105"/>
          <w:sz w:val="20"/>
        </w:rPr>
        <w:t>centre</w:t>
      </w:r>
      <w:proofErr w:type="spellEnd"/>
      <w:r>
        <w:rPr>
          <w:w w:val="105"/>
          <w:sz w:val="20"/>
        </w:rPr>
        <w:t>/FEDERAL</w:t>
      </w:r>
      <w:r>
        <w:rPr>
          <w:spacing w:val="80"/>
          <w:w w:val="105"/>
          <w:sz w:val="20"/>
        </w:rPr>
        <w:t xml:space="preserve"> </w:t>
      </w:r>
      <w:r>
        <w:rPr>
          <w:w w:val="105"/>
          <w:sz w:val="20"/>
        </w:rPr>
        <w:t>ANNUAL</w:t>
      </w:r>
      <w:r>
        <w:rPr>
          <w:spacing w:val="40"/>
          <w:w w:val="105"/>
          <w:sz w:val="20"/>
        </w:rPr>
        <w:t xml:space="preserve"> </w:t>
      </w:r>
      <w:r>
        <w:rPr>
          <w:w w:val="105"/>
          <w:sz w:val="20"/>
        </w:rPr>
        <w:t>SCORECARD</w:t>
      </w:r>
      <w:r>
        <w:rPr>
          <w:spacing w:val="40"/>
          <w:w w:val="105"/>
          <w:sz w:val="20"/>
        </w:rPr>
        <w:t xml:space="preserve"> </w:t>
      </w:r>
      <w:r>
        <w:rPr>
          <w:w w:val="105"/>
          <w:sz w:val="20"/>
        </w:rPr>
        <w:t>ACTIONPLAN</w:t>
      </w:r>
      <w:r>
        <w:rPr>
          <w:spacing w:val="80"/>
          <w:w w:val="105"/>
          <w:sz w:val="20"/>
        </w:rPr>
        <w:t xml:space="preserve"> </w:t>
      </w:r>
      <w:r>
        <w:rPr>
          <w:w w:val="105"/>
          <w:sz w:val="20"/>
        </w:rPr>
        <w:t>2022</w:t>
      </w:r>
      <w:r>
        <w:rPr>
          <w:spacing w:val="40"/>
          <w:w w:val="105"/>
          <w:sz w:val="20"/>
        </w:rPr>
        <w:t xml:space="preserve"> </w:t>
      </w:r>
      <w:r>
        <w:rPr>
          <w:w w:val="105"/>
          <w:sz w:val="20"/>
        </w:rPr>
        <w:t>2022-06-03-</w:t>
      </w:r>
      <w:r>
        <w:rPr>
          <w:spacing w:val="40"/>
          <w:w w:val="105"/>
          <w:sz w:val="20"/>
        </w:rPr>
        <w:t xml:space="preserve"> </w:t>
      </w:r>
      <w:r>
        <w:rPr>
          <w:w w:val="105"/>
          <w:sz w:val="20"/>
        </w:rPr>
        <w:t>132116</w:t>
      </w:r>
      <w:r>
        <w:rPr>
          <w:spacing w:val="80"/>
          <w:w w:val="105"/>
          <w:sz w:val="20"/>
        </w:rPr>
        <w:t xml:space="preserve"> </w:t>
      </w:r>
      <w:r>
        <w:rPr>
          <w:w w:val="105"/>
          <w:sz w:val="20"/>
        </w:rPr>
        <w:t>mfnq.pdf at 3.</w:t>
      </w:r>
    </w:p>
    <w:p w14:paraId="454543A4" w14:textId="77777777" w:rsidR="004618BC" w:rsidRDefault="00000000">
      <w:pPr>
        <w:spacing w:before="6"/>
        <w:ind w:left="120"/>
        <w:rPr>
          <w:sz w:val="20"/>
        </w:rPr>
      </w:pPr>
      <w:bookmarkStart w:id="12" w:name="_bookmark12"/>
      <w:bookmarkEnd w:id="12"/>
      <w:r>
        <w:rPr>
          <w:w w:val="110"/>
          <w:position w:val="8"/>
          <w:sz w:val="14"/>
        </w:rPr>
        <w:t>13</w:t>
      </w:r>
      <w:r>
        <w:rPr>
          <w:spacing w:val="11"/>
          <w:w w:val="110"/>
          <w:position w:val="8"/>
          <w:sz w:val="14"/>
        </w:rPr>
        <w:t xml:space="preserve"> </w:t>
      </w:r>
      <w:r>
        <w:rPr>
          <w:w w:val="110"/>
          <w:sz w:val="20"/>
        </w:rPr>
        <w:t>2015</w:t>
      </w:r>
      <w:r>
        <w:rPr>
          <w:spacing w:val="-6"/>
          <w:w w:val="110"/>
          <w:sz w:val="20"/>
        </w:rPr>
        <w:t xml:space="preserve"> </w:t>
      </w:r>
      <w:r>
        <w:rPr>
          <w:w w:val="110"/>
          <w:sz w:val="20"/>
        </w:rPr>
        <w:t>QCCS</w:t>
      </w:r>
      <w:r>
        <w:rPr>
          <w:spacing w:val="-4"/>
          <w:w w:val="110"/>
          <w:sz w:val="20"/>
        </w:rPr>
        <w:t xml:space="preserve"> 3555.</w:t>
      </w:r>
    </w:p>
    <w:p w14:paraId="0D40B596" w14:textId="77777777" w:rsidR="004618BC" w:rsidRDefault="004618BC">
      <w:pPr>
        <w:rPr>
          <w:sz w:val="20"/>
        </w:rPr>
        <w:sectPr w:rsidR="004618BC">
          <w:pgSz w:w="11910" w:h="16840"/>
          <w:pgMar w:top="2060" w:right="960" w:bottom="280" w:left="960" w:header="709" w:footer="0" w:gutter="0"/>
          <w:cols w:space="720"/>
        </w:sectPr>
      </w:pPr>
    </w:p>
    <w:p w14:paraId="0682E827" w14:textId="77777777" w:rsidR="004618BC" w:rsidRDefault="00000000">
      <w:pPr>
        <w:pStyle w:val="Heading1"/>
        <w:numPr>
          <w:ilvl w:val="0"/>
          <w:numId w:val="1"/>
        </w:numPr>
        <w:tabs>
          <w:tab w:val="left" w:pos="444"/>
        </w:tabs>
        <w:spacing w:before="293"/>
        <w:ind w:left="444" w:hanging="324"/>
      </w:pPr>
      <w:r>
        <w:lastRenderedPageBreak/>
        <w:t>Recommendations</w:t>
      </w:r>
      <w:r>
        <w:rPr>
          <w:spacing w:val="-5"/>
        </w:rPr>
        <w:t xml:space="preserve"> </w:t>
      </w:r>
      <w:r>
        <w:t>Not</w:t>
      </w:r>
      <w:r>
        <w:rPr>
          <w:spacing w:val="-2"/>
        </w:rPr>
        <w:t xml:space="preserve"> </w:t>
      </w:r>
      <w:r>
        <w:t>Fully</w:t>
      </w:r>
      <w:r>
        <w:rPr>
          <w:spacing w:val="-5"/>
        </w:rPr>
        <w:t xml:space="preserve"> </w:t>
      </w:r>
      <w:r>
        <w:rPr>
          <w:spacing w:val="-2"/>
        </w:rPr>
        <w:t>Addressed</w:t>
      </w:r>
    </w:p>
    <w:p w14:paraId="6710DD88" w14:textId="77777777" w:rsidR="004618BC" w:rsidRDefault="004618BC">
      <w:pPr>
        <w:pStyle w:val="BodyText"/>
        <w:spacing w:before="292"/>
        <w:rPr>
          <w:b/>
        </w:rPr>
      </w:pPr>
    </w:p>
    <w:p w14:paraId="0D0FA18C" w14:textId="77777777" w:rsidR="004618BC" w:rsidRDefault="00000000">
      <w:pPr>
        <w:pStyle w:val="BodyText"/>
        <w:spacing w:line="360" w:lineRule="auto"/>
        <w:ind w:left="120" w:right="114"/>
        <w:jc w:val="both"/>
      </w:pPr>
      <w:r>
        <w:t>Despite these efforts, Canada has not fully addressed several of CEDAW's recommendations, particularly those regarding access to justice and reforming police services' policies and procedures or implementing resources for victims of GBV.</w:t>
      </w:r>
    </w:p>
    <w:p w14:paraId="2BB523FE" w14:textId="77777777" w:rsidR="004618BC" w:rsidRDefault="004618BC">
      <w:pPr>
        <w:pStyle w:val="BodyText"/>
        <w:spacing w:before="145"/>
      </w:pPr>
    </w:p>
    <w:p w14:paraId="5F32A096" w14:textId="77777777" w:rsidR="004618BC" w:rsidRDefault="00000000">
      <w:pPr>
        <w:pStyle w:val="Heading1"/>
        <w:spacing w:before="1"/>
        <w:jc w:val="both"/>
      </w:pPr>
      <w:r>
        <w:rPr>
          <w:u w:val="single"/>
        </w:rPr>
        <w:t>Improving</w:t>
      </w:r>
      <w:r>
        <w:rPr>
          <w:spacing w:val="-5"/>
          <w:u w:val="single"/>
        </w:rPr>
        <w:t xml:space="preserve"> </w:t>
      </w:r>
      <w:r>
        <w:rPr>
          <w:u w:val="single"/>
        </w:rPr>
        <w:t>Access</w:t>
      </w:r>
      <w:r>
        <w:rPr>
          <w:spacing w:val="-3"/>
          <w:u w:val="single"/>
        </w:rPr>
        <w:t xml:space="preserve"> </w:t>
      </w:r>
      <w:r>
        <w:rPr>
          <w:u w:val="single"/>
        </w:rPr>
        <w:t>to Justice</w:t>
      </w:r>
      <w:r>
        <w:rPr>
          <w:spacing w:val="-1"/>
          <w:u w:val="single"/>
        </w:rPr>
        <w:t xml:space="preserve"> </w:t>
      </w:r>
      <w:r>
        <w:rPr>
          <w:u w:val="single"/>
        </w:rPr>
        <w:t>&amp;</w:t>
      </w:r>
      <w:r>
        <w:rPr>
          <w:spacing w:val="52"/>
          <w:u w:val="single"/>
        </w:rPr>
        <w:t xml:space="preserve"> </w:t>
      </w:r>
      <w:r>
        <w:rPr>
          <w:u w:val="single"/>
        </w:rPr>
        <w:t>Reforming</w:t>
      </w:r>
      <w:r>
        <w:rPr>
          <w:spacing w:val="52"/>
          <w:u w:val="single"/>
        </w:rPr>
        <w:t xml:space="preserve"> </w:t>
      </w:r>
      <w:r>
        <w:rPr>
          <w:u w:val="single"/>
        </w:rPr>
        <w:t>Police</w:t>
      </w:r>
      <w:r>
        <w:rPr>
          <w:spacing w:val="-4"/>
          <w:u w:val="single"/>
        </w:rPr>
        <w:t xml:space="preserve"> </w:t>
      </w:r>
      <w:r>
        <w:rPr>
          <w:u w:val="single"/>
        </w:rPr>
        <w:t>Services'</w:t>
      </w:r>
      <w:r>
        <w:rPr>
          <w:spacing w:val="53"/>
          <w:u w:val="single"/>
        </w:rPr>
        <w:t xml:space="preserve"> </w:t>
      </w:r>
      <w:r>
        <w:rPr>
          <w:u w:val="single"/>
        </w:rPr>
        <w:t>Policies and</w:t>
      </w:r>
      <w:r>
        <w:rPr>
          <w:spacing w:val="-2"/>
          <w:u w:val="single"/>
        </w:rPr>
        <w:t xml:space="preserve"> Procedures</w:t>
      </w:r>
    </w:p>
    <w:p w14:paraId="3447881D" w14:textId="77777777" w:rsidR="004618BC" w:rsidRDefault="004618BC">
      <w:pPr>
        <w:pStyle w:val="BodyText"/>
        <w:rPr>
          <w:b/>
        </w:rPr>
      </w:pPr>
    </w:p>
    <w:p w14:paraId="373D9069" w14:textId="77777777" w:rsidR="004618BC" w:rsidRDefault="004618BC">
      <w:pPr>
        <w:pStyle w:val="BodyText"/>
        <w:spacing w:before="1"/>
        <w:rPr>
          <w:b/>
        </w:rPr>
      </w:pPr>
    </w:p>
    <w:p w14:paraId="4FD9D7BF" w14:textId="77777777" w:rsidR="004618BC" w:rsidRDefault="00000000">
      <w:pPr>
        <w:pStyle w:val="BodyText"/>
        <w:spacing w:line="360" w:lineRule="auto"/>
        <w:ind w:left="120" w:right="114"/>
        <w:jc w:val="both"/>
      </w:pPr>
      <w:r>
        <w:t>Canada has</w:t>
      </w:r>
      <w:r>
        <w:rPr>
          <w:spacing w:val="-2"/>
        </w:rPr>
        <w:t xml:space="preserve"> </w:t>
      </w:r>
      <w:r>
        <w:t>not fully addressed the CEDAW recommendations regarding</w:t>
      </w:r>
      <w:r>
        <w:rPr>
          <w:spacing w:val="-2"/>
        </w:rPr>
        <w:t xml:space="preserve"> </w:t>
      </w:r>
      <w:r>
        <w:t>improving access to justice and reforming police policies and procedures. While acknowledging that strong legal aid is an important pillar of the justice system, Canada has not provided evidence of implementing CEDAW recommendations. Additionally, recommendations regarding improving police services' interaction with and service of Indigenous communities have seen limited efforts. Rather than an impartial external oversight body, the RCMP created the National Office of Investigative Standards and Practices</w:t>
      </w:r>
      <w:r>
        <w:rPr>
          <w:spacing w:val="-11"/>
        </w:rPr>
        <w:t xml:space="preserve"> </w:t>
      </w:r>
      <w:r>
        <w:t>to</w:t>
      </w:r>
      <w:r>
        <w:rPr>
          <w:spacing w:val="-11"/>
        </w:rPr>
        <w:t xml:space="preserve"> </w:t>
      </w:r>
      <w:r>
        <w:t>act</w:t>
      </w:r>
      <w:r>
        <w:rPr>
          <w:spacing w:val="-10"/>
        </w:rPr>
        <w:t xml:space="preserve"> </w:t>
      </w:r>
      <w:r>
        <w:t>as</w:t>
      </w:r>
      <w:r>
        <w:rPr>
          <w:spacing w:val="-11"/>
        </w:rPr>
        <w:t xml:space="preserve"> </w:t>
      </w:r>
      <w:r>
        <w:t>an</w:t>
      </w:r>
      <w:r>
        <w:rPr>
          <w:spacing w:val="-10"/>
        </w:rPr>
        <w:t xml:space="preserve"> </w:t>
      </w:r>
      <w:r>
        <w:t>internal</w:t>
      </w:r>
      <w:r>
        <w:rPr>
          <w:spacing w:val="-11"/>
        </w:rPr>
        <w:t xml:space="preserve"> </w:t>
      </w:r>
      <w:r>
        <w:t>oversight</w:t>
      </w:r>
      <w:r>
        <w:rPr>
          <w:spacing w:val="-10"/>
        </w:rPr>
        <w:t xml:space="preserve"> </w:t>
      </w:r>
      <w:r>
        <w:t>body.</w:t>
      </w:r>
      <w:r>
        <w:rPr>
          <w:spacing w:val="-12"/>
        </w:rPr>
        <w:t xml:space="preserve"> </w:t>
      </w:r>
      <w:r>
        <w:t>The</w:t>
      </w:r>
      <w:r>
        <w:rPr>
          <w:spacing w:val="-11"/>
        </w:rPr>
        <w:t xml:space="preserve"> </w:t>
      </w:r>
      <w:r>
        <w:t>Government</w:t>
      </w:r>
      <w:r>
        <w:rPr>
          <w:spacing w:val="-10"/>
        </w:rPr>
        <w:t xml:space="preserve"> </w:t>
      </w:r>
      <w:r>
        <w:t>also</w:t>
      </w:r>
      <w:r>
        <w:rPr>
          <w:spacing w:val="-13"/>
        </w:rPr>
        <w:t xml:space="preserve"> </w:t>
      </w:r>
      <w:r>
        <w:t>funded</w:t>
      </w:r>
      <w:r>
        <w:rPr>
          <w:spacing w:val="-12"/>
        </w:rPr>
        <w:t xml:space="preserve"> </w:t>
      </w:r>
      <w:r>
        <w:t>a</w:t>
      </w:r>
      <w:r>
        <w:rPr>
          <w:spacing w:val="-11"/>
        </w:rPr>
        <w:t xml:space="preserve"> </w:t>
      </w:r>
      <w:r>
        <w:t>review</w:t>
      </w:r>
      <w:r>
        <w:rPr>
          <w:spacing w:val="-10"/>
        </w:rPr>
        <w:t xml:space="preserve"> </w:t>
      </w:r>
      <w:r>
        <w:t>of</w:t>
      </w:r>
      <w:r>
        <w:rPr>
          <w:spacing w:val="-10"/>
        </w:rPr>
        <w:t xml:space="preserve"> </w:t>
      </w:r>
      <w:r>
        <w:t>police</w:t>
      </w:r>
      <w:r>
        <w:rPr>
          <w:spacing w:val="-11"/>
        </w:rPr>
        <w:t xml:space="preserve"> </w:t>
      </w:r>
      <w:r>
        <w:t xml:space="preserve">policies to identify gaps and challenges, but there is no information on whether the findings have been </w:t>
      </w:r>
      <w:r>
        <w:rPr>
          <w:spacing w:val="-2"/>
        </w:rPr>
        <w:t>implemented.</w:t>
      </w:r>
    </w:p>
    <w:p w14:paraId="73369ECA" w14:textId="77777777" w:rsidR="004618BC" w:rsidRDefault="004618BC">
      <w:pPr>
        <w:pStyle w:val="BodyText"/>
        <w:spacing w:before="147"/>
      </w:pPr>
    </w:p>
    <w:p w14:paraId="11769483" w14:textId="77777777" w:rsidR="004618BC" w:rsidRDefault="00000000">
      <w:pPr>
        <w:pStyle w:val="Heading1"/>
        <w:jc w:val="both"/>
      </w:pPr>
      <w:r>
        <w:rPr>
          <w:u w:val="single"/>
        </w:rPr>
        <w:t>Providing</w:t>
      </w:r>
      <w:r>
        <w:rPr>
          <w:spacing w:val="-2"/>
          <w:u w:val="single"/>
        </w:rPr>
        <w:t xml:space="preserve"> </w:t>
      </w:r>
      <w:r>
        <w:rPr>
          <w:u w:val="single"/>
        </w:rPr>
        <w:t>Resources</w:t>
      </w:r>
      <w:r>
        <w:rPr>
          <w:spacing w:val="-3"/>
          <w:u w:val="single"/>
        </w:rPr>
        <w:t xml:space="preserve"> </w:t>
      </w:r>
      <w:r>
        <w:rPr>
          <w:u w:val="single"/>
        </w:rPr>
        <w:t>for</w:t>
      </w:r>
      <w:r>
        <w:rPr>
          <w:spacing w:val="-4"/>
          <w:u w:val="single"/>
        </w:rPr>
        <w:t xml:space="preserve"> </w:t>
      </w:r>
      <w:r>
        <w:rPr>
          <w:u w:val="single"/>
        </w:rPr>
        <w:t>Victims</w:t>
      </w:r>
      <w:r>
        <w:rPr>
          <w:spacing w:val="-3"/>
          <w:u w:val="single"/>
        </w:rPr>
        <w:t xml:space="preserve"> </w:t>
      </w:r>
      <w:r>
        <w:rPr>
          <w:u w:val="single"/>
        </w:rPr>
        <w:t>of</w:t>
      </w:r>
      <w:r>
        <w:rPr>
          <w:spacing w:val="-1"/>
          <w:u w:val="single"/>
        </w:rPr>
        <w:t xml:space="preserve"> </w:t>
      </w:r>
      <w:r>
        <w:rPr>
          <w:spacing w:val="-5"/>
          <w:u w:val="single"/>
        </w:rPr>
        <w:t>GBV</w:t>
      </w:r>
    </w:p>
    <w:p w14:paraId="0D2C1313" w14:textId="77777777" w:rsidR="004618BC" w:rsidRDefault="004618BC">
      <w:pPr>
        <w:pStyle w:val="BodyText"/>
        <w:spacing w:before="292"/>
        <w:rPr>
          <w:b/>
        </w:rPr>
      </w:pPr>
    </w:p>
    <w:p w14:paraId="6EE47D31" w14:textId="77777777" w:rsidR="004618BC" w:rsidRDefault="00000000">
      <w:pPr>
        <w:pStyle w:val="BodyText"/>
        <w:spacing w:line="360" w:lineRule="auto"/>
        <w:ind w:left="120" w:right="111"/>
        <w:jc w:val="both"/>
      </w:pPr>
      <w:r>
        <w:t>Furthermore, Canada has not fully addressed expanding resources for victims of GBV. While the Government has made efforts to implement the Committee's recommendations on prevention, including committing to funding for shelters and affordable housing, investments into safety and security concerns, and strengthening the capacity of Indigenous women's organizations to provide GBV prevention programs, areas not fully addressed include the provision of culturally appropriate counselling and rehabilitation services and the consideration of a victim's bill of rights aimed at increasing access to victim services. In 2023, the GBV NAP provided the Government with a recommendation of 100 policy actions to achieve a Canada free of GBV, but the implementation status has yet to be reviewed.</w:t>
      </w:r>
    </w:p>
    <w:p w14:paraId="4EA3B0F8" w14:textId="77777777" w:rsidR="004618BC" w:rsidRDefault="004618BC">
      <w:pPr>
        <w:spacing w:line="360" w:lineRule="auto"/>
        <w:jc w:val="both"/>
        <w:sectPr w:rsidR="004618BC">
          <w:pgSz w:w="11910" w:h="16840"/>
          <w:pgMar w:top="2060" w:right="960" w:bottom="280" w:left="960" w:header="709" w:footer="0" w:gutter="0"/>
          <w:cols w:space="720"/>
        </w:sectPr>
      </w:pPr>
    </w:p>
    <w:p w14:paraId="78C8F0C8" w14:textId="77777777" w:rsidR="004618BC" w:rsidRDefault="00000000">
      <w:pPr>
        <w:pStyle w:val="Heading1"/>
        <w:numPr>
          <w:ilvl w:val="0"/>
          <w:numId w:val="1"/>
        </w:numPr>
        <w:tabs>
          <w:tab w:val="left" w:pos="380"/>
        </w:tabs>
        <w:spacing w:before="293"/>
        <w:ind w:left="380" w:hanging="260"/>
      </w:pPr>
      <w:r>
        <w:lastRenderedPageBreak/>
        <w:t>Areas</w:t>
      </w:r>
      <w:r>
        <w:rPr>
          <w:spacing w:val="-5"/>
        </w:rPr>
        <w:t xml:space="preserve"> </w:t>
      </w:r>
      <w:r>
        <w:t>Where</w:t>
      </w:r>
      <w:r>
        <w:rPr>
          <w:spacing w:val="-2"/>
        </w:rPr>
        <w:t xml:space="preserve"> </w:t>
      </w:r>
      <w:r>
        <w:t>the</w:t>
      </w:r>
      <w:r>
        <w:rPr>
          <w:spacing w:val="-3"/>
        </w:rPr>
        <w:t xml:space="preserve"> </w:t>
      </w:r>
      <w:r>
        <w:t>Government</w:t>
      </w:r>
      <w:r>
        <w:rPr>
          <w:spacing w:val="-1"/>
        </w:rPr>
        <w:t xml:space="preserve"> </w:t>
      </w:r>
      <w:r>
        <w:t>Should</w:t>
      </w:r>
      <w:r>
        <w:rPr>
          <w:spacing w:val="-4"/>
        </w:rPr>
        <w:t xml:space="preserve"> </w:t>
      </w:r>
      <w:r>
        <w:t>Focus</w:t>
      </w:r>
      <w:r>
        <w:rPr>
          <w:spacing w:val="-1"/>
        </w:rPr>
        <w:t xml:space="preserve"> </w:t>
      </w:r>
      <w:r>
        <w:t>Efforts</w:t>
      </w:r>
      <w:r>
        <w:rPr>
          <w:spacing w:val="-5"/>
        </w:rPr>
        <w:t xml:space="preserve"> </w:t>
      </w:r>
      <w:r>
        <w:t>for</w:t>
      </w:r>
      <w:r>
        <w:rPr>
          <w:spacing w:val="-3"/>
        </w:rPr>
        <w:t xml:space="preserve"> </w:t>
      </w:r>
      <w:r>
        <w:t>Full</w:t>
      </w:r>
      <w:r>
        <w:rPr>
          <w:spacing w:val="-1"/>
        </w:rPr>
        <w:t xml:space="preserve"> </w:t>
      </w:r>
      <w:r>
        <w:t>Compliance</w:t>
      </w:r>
      <w:r>
        <w:rPr>
          <w:spacing w:val="-2"/>
        </w:rPr>
        <w:t xml:space="preserve"> </w:t>
      </w:r>
      <w:r>
        <w:t>with</w:t>
      </w:r>
      <w:r>
        <w:rPr>
          <w:spacing w:val="-1"/>
        </w:rPr>
        <w:t xml:space="preserve"> </w:t>
      </w:r>
      <w:r>
        <w:rPr>
          <w:spacing w:val="-2"/>
        </w:rPr>
        <w:t>CEDAW</w:t>
      </w:r>
    </w:p>
    <w:p w14:paraId="4FCA2EED" w14:textId="77777777" w:rsidR="004618BC" w:rsidRDefault="004618BC">
      <w:pPr>
        <w:pStyle w:val="BodyText"/>
        <w:spacing w:before="292"/>
        <w:rPr>
          <w:b/>
        </w:rPr>
      </w:pPr>
    </w:p>
    <w:p w14:paraId="1A77271F" w14:textId="77777777" w:rsidR="004618BC" w:rsidRDefault="00000000">
      <w:pPr>
        <w:pStyle w:val="BodyText"/>
        <w:spacing w:line="360" w:lineRule="auto"/>
        <w:ind w:left="119" w:right="114"/>
        <w:jc w:val="both"/>
      </w:pPr>
      <w:r>
        <w:t>To</w:t>
      </w:r>
      <w:r>
        <w:rPr>
          <w:spacing w:val="-1"/>
        </w:rPr>
        <w:t xml:space="preserve"> </w:t>
      </w:r>
      <w:r>
        <w:t>fully</w:t>
      </w:r>
      <w:r>
        <w:rPr>
          <w:spacing w:val="-2"/>
        </w:rPr>
        <w:t xml:space="preserve"> </w:t>
      </w:r>
      <w:r>
        <w:t xml:space="preserve">address </w:t>
      </w:r>
      <w:proofErr w:type="gramStart"/>
      <w:r>
        <w:t>all</w:t>
      </w:r>
      <w:r>
        <w:rPr>
          <w:spacing w:val="-1"/>
        </w:rPr>
        <w:t xml:space="preserve"> </w:t>
      </w:r>
      <w:r>
        <w:t>of</w:t>
      </w:r>
      <w:proofErr w:type="gramEnd"/>
      <w:r>
        <w:t xml:space="preserve"> CEDAW's recommendations, Canada</w:t>
      </w:r>
      <w:r>
        <w:rPr>
          <w:spacing w:val="-1"/>
        </w:rPr>
        <w:t xml:space="preserve"> </w:t>
      </w:r>
      <w:r>
        <w:t>and its</w:t>
      </w:r>
      <w:r>
        <w:rPr>
          <w:spacing w:val="-2"/>
        </w:rPr>
        <w:t xml:space="preserve"> </w:t>
      </w:r>
      <w:r>
        <w:t>governments</w:t>
      </w:r>
      <w:r>
        <w:rPr>
          <w:spacing w:val="-2"/>
        </w:rPr>
        <w:t xml:space="preserve"> </w:t>
      </w:r>
      <w:r>
        <w:t>should focus</w:t>
      </w:r>
      <w:r>
        <w:rPr>
          <w:spacing w:val="-2"/>
        </w:rPr>
        <w:t xml:space="preserve"> </w:t>
      </w:r>
      <w:r>
        <w:t>efforts on fully removing discriminatory provisions of the Indian Act and providing reparations to those historically impacted by them. They should also prioritize the implementation of the 231 Calls for Justice from the National Inquiry on MMIWG.</w:t>
      </w:r>
    </w:p>
    <w:p w14:paraId="68248EC0" w14:textId="77777777" w:rsidR="004618BC" w:rsidRDefault="004618BC">
      <w:pPr>
        <w:pStyle w:val="BodyText"/>
        <w:spacing w:before="147"/>
      </w:pPr>
    </w:p>
    <w:p w14:paraId="5D854852" w14:textId="77777777" w:rsidR="004618BC" w:rsidRDefault="00000000">
      <w:pPr>
        <w:pStyle w:val="BodyText"/>
        <w:spacing w:before="1" w:line="360" w:lineRule="auto"/>
        <w:ind w:left="119" w:right="114"/>
        <w:jc w:val="both"/>
      </w:pPr>
      <w:r>
        <w:t>Canada</w:t>
      </w:r>
      <w:r>
        <w:rPr>
          <w:spacing w:val="-8"/>
        </w:rPr>
        <w:t xml:space="preserve"> </w:t>
      </w:r>
      <w:r>
        <w:t>should</w:t>
      </w:r>
      <w:r>
        <w:rPr>
          <w:spacing w:val="-9"/>
        </w:rPr>
        <w:t xml:space="preserve"> </w:t>
      </w:r>
      <w:r>
        <w:t>prioritize</w:t>
      </w:r>
      <w:r>
        <w:rPr>
          <w:spacing w:val="-10"/>
        </w:rPr>
        <w:t xml:space="preserve"> </w:t>
      </w:r>
      <w:r>
        <w:t>efforts</w:t>
      </w:r>
      <w:r>
        <w:rPr>
          <w:spacing w:val="-8"/>
        </w:rPr>
        <w:t xml:space="preserve"> </w:t>
      </w:r>
      <w:r>
        <w:t>to</w:t>
      </w:r>
      <w:r>
        <w:rPr>
          <w:spacing w:val="-7"/>
        </w:rPr>
        <w:t xml:space="preserve"> </w:t>
      </w:r>
      <w:r>
        <w:t>eliminate</w:t>
      </w:r>
      <w:r>
        <w:rPr>
          <w:spacing w:val="-10"/>
        </w:rPr>
        <w:t xml:space="preserve"> </w:t>
      </w:r>
      <w:r>
        <w:t>and</w:t>
      </w:r>
      <w:r>
        <w:rPr>
          <w:spacing w:val="-9"/>
        </w:rPr>
        <w:t xml:space="preserve"> </w:t>
      </w:r>
      <w:r>
        <w:t>rectify</w:t>
      </w:r>
      <w:r>
        <w:rPr>
          <w:spacing w:val="-8"/>
        </w:rPr>
        <w:t xml:space="preserve"> </w:t>
      </w:r>
      <w:r>
        <w:t>the</w:t>
      </w:r>
      <w:r>
        <w:rPr>
          <w:spacing w:val="-7"/>
        </w:rPr>
        <w:t xml:space="preserve"> </w:t>
      </w:r>
      <w:r>
        <w:t>discrimination</w:t>
      </w:r>
      <w:r>
        <w:rPr>
          <w:spacing w:val="-9"/>
        </w:rPr>
        <w:t xml:space="preserve"> </w:t>
      </w:r>
      <w:r>
        <w:t>present</w:t>
      </w:r>
      <w:r>
        <w:rPr>
          <w:spacing w:val="-7"/>
        </w:rPr>
        <w:t xml:space="preserve"> </w:t>
      </w:r>
      <w:r>
        <w:t>in,</w:t>
      </w:r>
      <w:r>
        <w:rPr>
          <w:spacing w:val="-10"/>
        </w:rPr>
        <w:t xml:space="preserve"> </w:t>
      </w:r>
      <w:r>
        <w:t>and</w:t>
      </w:r>
      <w:r>
        <w:rPr>
          <w:spacing w:val="-7"/>
        </w:rPr>
        <w:t xml:space="preserve"> </w:t>
      </w:r>
      <w:r>
        <w:t>caused</w:t>
      </w:r>
      <w:r>
        <w:rPr>
          <w:spacing w:val="-9"/>
        </w:rPr>
        <w:t xml:space="preserve"> </w:t>
      </w:r>
      <w:r>
        <w:t>by, the Indian Act. In March of 2022, CEDAW found that there were provisions of the Indian Act that were discriminatory to the descendants of Indigenous women who had been disenfranchised.</w:t>
      </w:r>
      <w:hyperlink w:anchor="_bookmark13" w:history="1">
        <w:r>
          <w:rPr>
            <w:vertAlign w:val="superscript"/>
          </w:rPr>
          <w:t>14</w:t>
        </w:r>
      </w:hyperlink>
      <w:r>
        <w:t xml:space="preserve"> Bill C-38, An Act to</w:t>
      </w:r>
      <w:r>
        <w:rPr>
          <w:spacing w:val="-1"/>
        </w:rPr>
        <w:t xml:space="preserve"> </w:t>
      </w:r>
      <w:r>
        <w:t>amend the Indian Act (new registration entitlement),</w:t>
      </w:r>
      <w:r>
        <w:rPr>
          <w:spacing w:val="-1"/>
        </w:rPr>
        <w:t xml:space="preserve"> </w:t>
      </w:r>
      <w:r>
        <w:t>was</w:t>
      </w:r>
      <w:r>
        <w:rPr>
          <w:spacing w:val="-2"/>
        </w:rPr>
        <w:t xml:space="preserve"> </w:t>
      </w:r>
      <w:r>
        <w:t>introduced in 2021, and is currently</w:t>
      </w:r>
      <w:r>
        <w:rPr>
          <w:spacing w:val="-6"/>
        </w:rPr>
        <w:t xml:space="preserve"> </w:t>
      </w:r>
      <w:r>
        <w:t>at</w:t>
      </w:r>
      <w:r>
        <w:rPr>
          <w:spacing w:val="-7"/>
        </w:rPr>
        <w:t xml:space="preserve"> </w:t>
      </w:r>
      <w:r>
        <w:t>the</w:t>
      </w:r>
      <w:r>
        <w:rPr>
          <w:spacing w:val="-5"/>
        </w:rPr>
        <w:t xml:space="preserve"> </w:t>
      </w:r>
      <w:r>
        <w:t>second</w:t>
      </w:r>
      <w:r>
        <w:rPr>
          <w:spacing w:val="-7"/>
        </w:rPr>
        <w:t xml:space="preserve"> </w:t>
      </w:r>
      <w:r>
        <w:t>reading</w:t>
      </w:r>
      <w:r>
        <w:rPr>
          <w:spacing w:val="-8"/>
        </w:rPr>
        <w:t xml:space="preserve"> </w:t>
      </w:r>
      <w:r>
        <w:t>in</w:t>
      </w:r>
      <w:r>
        <w:rPr>
          <w:spacing w:val="-7"/>
        </w:rPr>
        <w:t xml:space="preserve"> </w:t>
      </w:r>
      <w:r>
        <w:t>the</w:t>
      </w:r>
      <w:r>
        <w:rPr>
          <w:spacing w:val="-5"/>
        </w:rPr>
        <w:t xml:space="preserve"> </w:t>
      </w:r>
      <w:r>
        <w:t>House</w:t>
      </w:r>
      <w:r>
        <w:rPr>
          <w:spacing w:val="-7"/>
        </w:rPr>
        <w:t xml:space="preserve"> </w:t>
      </w:r>
      <w:r>
        <w:t>of</w:t>
      </w:r>
      <w:r>
        <w:rPr>
          <w:spacing w:val="-7"/>
        </w:rPr>
        <w:t xml:space="preserve"> </w:t>
      </w:r>
      <w:r>
        <w:t>Commons</w:t>
      </w:r>
      <w:r>
        <w:rPr>
          <w:spacing w:val="-6"/>
        </w:rPr>
        <w:t xml:space="preserve"> </w:t>
      </w:r>
      <w:r>
        <w:t>(as</w:t>
      </w:r>
      <w:r>
        <w:rPr>
          <w:spacing w:val="-8"/>
        </w:rPr>
        <w:t xml:space="preserve"> </w:t>
      </w:r>
      <w:r>
        <w:t>of</w:t>
      </w:r>
      <w:r>
        <w:rPr>
          <w:spacing w:val="-7"/>
        </w:rPr>
        <w:t xml:space="preserve"> </w:t>
      </w:r>
      <w:r>
        <w:t>March</w:t>
      </w:r>
      <w:r>
        <w:rPr>
          <w:spacing w:val="-7"/>
        </w:rPr>
        <w:t xml:space="preserve"> </w:t>
      </w:r>
      <w:r>
        <w:t>2024).</w:t>
      </w:r>
      <w:r>
        <w:rPr>
          <w:spacing w:val="-6"/>
        </w:rPr>
        <w:t xml:space="preserve"> </w:t>
      </w:r>
      <w:r>
        <w:t>Bill</w:t>
      </w:r>
      <w:r>
        <w:rPr>
          <w:spacing w:val="-5"/>
        </w:rPr>
        <w:t xml:space="preserve"> </w:t>
      </w:r>
      <w:r>
        <w:t>C-38</w:t>
      </w:r>
      <w:r>
        <w:rPr>
          <w:spacing w:val="-5"/>
        </w:rPr>
        <w:t xml:space="preserve"> </w:t>
      </w:r>
      <w:r>
        <w:t>is</w:t>
      </w:r>
      <w:r>
        <w:rPr>
          <w:spacing w:val="-8"/>
        </w:rPr>
        <w:t xml:space="preserve"> </w:t>
      </w:r>
      <w:r>
        <w:t>intended</w:t>
      </w:r>
      <w:r>
        <w:rPr>
          <w:spacing w:val="-7"/>
        </w:rPr>
        <w:t xml:space="preserve"> </w:t>
      </w:r>
      <w:r>
        <w:t>to address the remaining effects of sex-based discrimination, namely rectifying the status of those impacted</w:t>
      </w:r>
      <w:r>
        <w:rPr>
          <w:spacing w:val="-10"/>
        </w:rPr>
        <w:t xml:space="preserve"> </w:t>
      </w:r>
      <w:r>
        <w:t>by</w:t>
      </w:r>
      <w:r>
        <w:rPr>
          <w:spacing w:val="-12"/>
        </w:rPr>
        <w:t xml:space="preserve"> </w:t>
      </w:r>
      <w:r>
        <w:t>the</w:t>
      </w:r>
      <w:r>
        <w:rPr>
          <w:spacing w:val="-11"/>
        </w:rPr>
        <w:t xml:space="preserve"> </w:t>
      </w:r>
      <w:r>
        <w:t>previous</w:t>
      </w:r>
      <w:r>
        <w:rPr>
          <w:spacing w:val="-11"/>
        </w:rPr>
        <w:t xml:space="preserve"> </w:t>
      </w:r>
      <w:r>
        <w:t>registration</w:t>
      </w:r>
      <w:r>
        <w:rPr>
          <w:spacing w:val="-10"/>
        </w:rPr>
        <w:t xml:space="preserve"> </w:t>
      </w:r>
      <w:r>
        <w:t>provisions.</w:t>
      </w:r>
      <w:r>
        <w:rPr>
          <w:spacing w:val="-9"/>
        </w:rPr>
        <w:t xml:space="preserve"> </w:t>
      </w:r>
      <w:r>
        <w:t>Canada</w:t>
      </w:r>
      <w:r>
        <w:rPr>
          <w:spacing w:val="-11"/>
        </w:rPr>
        <w:t xml:space="preserve"> </w:t>
      </w:r>
      <w:r>
        <w:t>should</w:t>
      </w:r>
      <w:r>
        <w:rPr>
          <w:spacing w:val="-10"/>
        </w:rPr>
        <w:t xml:space="preserve"> </w:t>
      </w:r>
      <w:r>
        <w:t>prioritize</w:t>
      </w:r>
      <w:r>
        <w:rPr>
          <w:spacing w:val="-11"/>
        </w:rPr>
        <w:t xml:space="preserve"> </w:t>
      </w:r>
      <w:r>
        <w:t>passing</w:t>
      </w:r>
      <w:r>
        <w:rPr>
          <w:spacing w:val="-9"/>
        </w:rPr>
        <w:t xml:space="preserve"> </w:t>
      </w:r>
      <w:r>
        <w:t>Bill</w:t>
      </w:r>
      <w:r>
        <w:rPr>
          <w:spacing w:val="-9"/>
        </w:rPr>
        <w:t xml:space="preserve"> </w:t>
      </w:r>
      <w:r>
        <w:t>C-38</w:t>
      </w:r>
      <w:r>
        <w:rPr>
          <w:spacing w:val="-10"/>
        </w:rPr>
        <w:t xml:space="preserve"> </w:t>
      </w:r>
      <w:r>
        <w:t>to</w:t>
      </w:r>
      <w:r>
        <w:rPr>
          <w:spacing w:val="-11"/>
        </w:rPr>
        <w:t xml:space="preserve"> </w:t>
      </w:r>
      <w:r>
        <w:t>comply with CEDAW's recommendations.</w:t>
      </w:r>
    </w:p>
    <w:p w14:paraId="5D345332" w14:textId="77777777" w:rsidR="004618BC" w:rsidRDefault="004618BC">
      <w:pPr>
        <w:pStyle w:val="BodyText"/>
        <w:spacing w:before="146"/>
      </w:pPr>
    </w:p>
    <w:p w14:paraId="3B688419" w14:textId="77777777" w:rsidR="004618BC" w:rsidRDefault="00000000">
      <w:pPr>
        <w:pStyle w:val="BodyText"/>
        <w:spacing w:line="360" w:lineRule="auto"/>
        <w:ind w:left="120" w:right="111"/>
        <w:jc w:val="both"/>
      </w:pPr>
      <w:r>
        <w:t>Furthermore,</w:t>
      </w:r>
      <w:r>
        <w:rPr>
          <w:spacing w:val="-11"/>
        </w:rPr>
        <w:t xml:space="preserve"> </w:t>
      </w:r>
      <w:r>
        <w:t>the</w:t>
      </w:r>
      <w:r>
        <w:rPr>
          <w:spacing w:val="-11"/>
        </w:rPr>
        <w:t xml:space="preserve"> </w:t>
      </w:r>
      <w:r>
        <w:t>Government</w:t>
      </w:r>
      <w:r>
        <w:rPr>
          <w:spacing w:val="-10"/>
        </w:rPr>
        <w:t xml:space="preserve"> </w:t>
      </w:r>
      <w:r>
        <w:t>of</w:t>
      </w:r>
      <w:r>
        <w:rPr>
          <w:spacing w:val="-10"/>
        </w:rPr>
        <w:t xml:space="preserve"> </w:t>
      </w:r>
      <w:r>
        <w:t>Canada</w:t>
      </w:r>
      <w:r>
        <w:rPr>
          <w:spacing w:val="-9"/>
        </w:rPr>
        <w:t xml:space="preserve"> </w:t>
      </w:r>
      <w:r>
        <w:t>should</w:t>
      </w:r>
      <w:r>
        <w:rPr>
          <w:spacing w:val="-10"/>
        </w:rPr>
        <w:t xml:space="preserve"> </w:t>
      </w:r>
      <w:r>
        <w:t>prioritize</w:t>
      </w:r>
      <w:r>
        <w:rPr>
          <w:spacing w:val="-11"/>
        </w:rPr>
        <w:t xml:space="preserve"> </w:t>
      </w:r>
      <w:r>
        <w:t>the</w:t>
      </w:r>
      <w:r>
        <w:rPr>
          <w:spacing w:val="-11"/>
        </w:rPr>
        <w:t xml:space="preserve"> </w:t>
      </w:r>
      <w:r>
        <w:t>implementation</w:t>
      </w:r>
      <w:r>
        <w:rPr>
          <w:spacing w:val="-8"/>
        </w:rPr>
        <w:t xml:space="preserve"> </w:t>
      </w:r>
      <w:r>
        <w:t>of</w:t>
      </w:r>
      <w:r>
        <w:rPr>
          <w:spacing w:val="-10"/>
        </w:rPr>
        <w:t xml:space="preserve"> </w:t>
      </w:r>
      <w:r>
        <w:t>the</w:t>
      </w:r>
      <w:r>
        <w:rPr>
          <w:spacing w:val="-11"/>
        </w:rPr>
        <w:t xml:space="preserve"> </w:t>
      </w:r>
      <w:r>
        <w:t>Calls</w:t>
      </w:r>
      <w:r>
        <w:rPr>
          <w:spacing w:val="-9"/>
        </w:rPr>
        <w:t xml:space="preserve"> </w:t>
      </w:r>
      <w:r>
        <w:t>for</w:t>
      </w:r>
      <w:r>
        <w:rPr>
          <w:spacing w:val="-8"/>
        </w:rPr>
        <w:t xml:space="preserve"> </w:t>
      </w:r>
      <w:r>
        <w:t>Justice from</w:t>
      </w:r>
      <w:r>
        <w:rPr>
          <w:spacing w:val="-3"/>
        </w:rPr>
        <w:t xml:space="preserve"> </w:t>
      </w:r>
      <w:r>
        <w:t>the</w:t>
      </w:r>
      <w:r>
        <w:rPr>
          <w:spacing w:val="-3"/>
        </w:rPr>
        <w:t xml:space="preserve"> </w:t>
      </w:r>
      <w:r>
        <w:t>Final</w:t>
      </w:r>
      <w:r>
        <w:rPr>
          <w:spacing w:val="-3"/>
        </w:rPr>
        <w:t xml:space="preserve"> </w:t>
      </w:r>
      <w:r>
        <w:t>Report</w:t>
      </w:r>
      <w:r>
        <w:rPr>
          <w:spacing w:val="-3"/>
        </w:rPr>
        <w:t xml:space="preserve"> </w:t>
      </w:r>
      <w:r>
        <w:t>of</w:t>
      </w:r>
      <w:r>
        <w:rPr>
          <w:spacing w:val="-4"/>
        </w:rPr>
        <w:t xml:space="preserve"> </w:t>
      </w:r>
      <w:r>
        <w:t>the</w:t>
      </w:r>
      <w:r>
        <w:rPr>
          <w:spacing w:val="-3"/>
        </w:rPr>
        <w:t xml:space="preserve"> </w:t>
      </w:r>
      <w:r>
        <w:t>National</w:t>
      </w:r>
      <w:r>
        <w:rPr>
          <w:spacing w:val="-1"/>
        </w:rPr>
        <w:t xml:space="preserve"> </w:t>
      </w:r>
      <w:r>
        <w:t>Inquiry</w:t>
      </w:r>
      <w:r>
        <w:rPr>
          <w:spacing w:val="-2"/>
        </w:rPr>
        <w:t xml:space="preserve"> </w:t>
      </w:r>
      <w:r>
        <w:t>into</w:t>
      </w:r>
      <w:r>
        <w:rPr>
          <w:spacing w:val="-5"/>
        </w:rPr>
        <w:t xml:space="preserve"> </w:t>
      </w:r>
      <w:r>
        <w:t>MMIWG</w:t>
      </w:r>
      <w:r>
        <w:rPr>
          <w:spacing w:val="-3"/>
        </w:rPr>
        <w:t xml:space="preserve"> </w:t>
      </w:r>
      <w:r>
        <w:t>released in</w:t>
      </w:r>
      <w:r>
        <w:rPr>
          <w:spacing w:val="-3"/>
        </w:rPr>
        <w:t xml:space="preserve"> </w:t>
      </w:r>
      <w:r>
        <w:t>2021.</w:t>
      </w:r>
      <w:r>
        <w:rPr>
          <w:spacing w:val="-2"/>
        </w:rPr>
        <w:t xml:space="preserve"> </w:t>
      </w:r>
      <w:r>
        <w:t>In</w:t>
      </w:r>
      <w:r>
        <w:rPr>
          <w:spacing w:val="-3"/>
        </w:rPr>
        <w:t xml:space="preserve"> </w:t>
      </w:r>
      <w:r>
        <w:t>an</w:t>
      </w:r>
      <w:r>
        <w:rPr>
          <w:spacing w:val="-3"/>
        </w:rPr>
        <w:t xml:space="preserve"> </w:t>
      </w:r>
      <w:r>
        <w:t>assessment</w:t>
      </w:r>
      <w:r>
        <w:rPr>
          <w:spacing w:val="-3"/>
        </w:rPr>
        <w:t xml:space="preserve"> </w:t>
      </w:r>
      <w:r>
        <w:t>of</w:t>
      </w:r>
      <w:r>
        <w:rPr>
          <w:spacing w:val="-4"/>
        </w:rPr>
        <w:t xml:space="preserve"> </w:t>
      </w:r>
      <w:r>
        <w:t>the Government's performance, the Native Women's Association of Canada deemed it to be a failure.</w:t>
      </w:r>
      <w:hyperlink w:anchor="_bookmark14" w:history="1">
        <w:r>
          <w:rPr>
            <w:vertAlign w:val="superscript"/>
          </w:rPr>
          <w:t>15</w:t>
        </w:r>
      </w:hyperlink>
      <w:r>
        <w:t xml:space="preserve"> The Government has failed to adequately address the 231 Calls for Justice, with only a few actions taken thus far, most of which being budget allocations. Significant amounts of resources and work are needed to fully address the legal obligations and Government's proposed actions to answer the Calls to Justice.</w:t>
      </w:r>
      <w:hyperlink w:anchor="_bookmark15" w:history="1">
        <w:r>
          <w:rPr>
            <w:vertAlign w:val="superscript"/>
          </w:rPr>
          <w:t>16</w:t>
        </w:r>
      </w:hyperlink>
      <w:r>
        <w:t xml:space="preserve"> Successful implementation of the Calls for Justice would additionally comply with, and address, all CEDAW recommendations.</w:t>
      </w:r>
    </w:p>
    <w:p w14:paraId="33A0923E" w14:textId="77777777" w:rsidR="004618BC" w:rsidRDefault="004618BC">
      <w:pPr>
        <w:pStyle w:val="BodyText"/>
        <w:rPr>
          <w:sz w:val="20"/>
        </w:rPr>
      </w:pPr>
    </w:p>
    <w:p w14:paraId="3217223A" w14:textId="77777777" w:rsidR="004618BC" w:rsidRDefault="004618BC">
      <w:pPr>
        <w:pStyle w:val="BodyText"/>
        <w:rPr>
          <w:sz w:val="20"/>
        </w:rPr>
      </w:pPr>
    </w:p>
    <w:p w14:paraId="3C88CC69" w14:textId="77777777" w:rsidR="004618BC" w:rsidRDefault="004618BC">
      <w:pPr>
        <w:pStyle w:val="BodyText"/>
        <w:rPr>
          <w:sz w:val="20"/>
        </w:rPr>
      </w:pPr>
    </w:p>
    <w:p w14:paraId="67169A9B" w14:textId="77777777" w:rsidR="004618BC" w:rsidRDefault="004618BC">
      <w:pPr>
        <w:pStyle w:val="BodyText"/>
        <w:rPr>
          <w:sz w:val="20"/>
        </w:rPr>
      </w:pPr>
    </w:p>
    <w:p w14:paraId="69360A91" w14:textId="77777777" w:rsidR="004618BC" w:rsidRDefault="004618BC">
      <w:pPr>
        <w:pStyle w:val="BodyText"/>
        <w:rPr>
          <w:sz w:val="20"/>
        </w:rPr>
      </w:pPr>
    </w:p>
    <w:p w14:paraId="594049D8" w14:textId="77777777" w:rsidR="004618BC" w:rsidRDefault="00000000">
      <w:pPr>
        <w:pStyle w:val="BodyText"/>
        <w:spacing w:before="65"/>
        <w:rPr>
          <w:sz w:val="20"/>
        </w:rPr>
      </w:pPr>
      <w:r>
        <w:rPr>
          <w:noProof/>
        </w:rPr>
        <mc:AlternateContent>
          <mc:Choice Requires="wps">
            <w:drawing>
              <wp:anchor distT="0" distB="0" distL="0" distR="0" simplePos="0" relativeHeight="487589376" behindDoc="1" locked="0" layoutInCell="1" allowOverlap="1" wp14:anchorId="066E6F0D" wp14:editId="55A70257">
                <wp:simplePos x="0" y="0"/>
                <wp:positionH relativeFrom="page">
                  <wp:posOffset>685800</wp:posOffset>
                </wp:positionH>
                <wp:positionV relativeFrom="paragraph">
                  <wp:posOffset>211824</wp:posOffset>
                </wp:positionV>
                <wp:extent cx="1828800"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07"/>
                              </a:lnTo>
                              <a:lnTo>
                                <a:pt x="1828800" y="7607"/>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896D6E" id="Graphic 5" o:spid="_x0000_s1026" style="position:absolute;margin-left:54pt;margin-top:16.7pt;width:2in;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" path="m1828800,l,,,7607r1828800,l1828800,xe" fillcolor="black" stroked="f">
                <v:path arrowok="t"/>
                <w10:wrap type="topAndBottom" anchorx="page"/>
              </v:shape>
            </w:pict>
          </mc:Fallback>
        </mc:AlternateContent>
      </w:r>
    </w:p>
    <w:p w14:paraId="125DD643" w14:textId="77777777" w:rsidR="004618BC" w:rsidRDefault="00000000">
      <w:pPr>
        <w:spacing w:before="154" w:line="244" w:lineRule="auto"/>
        <w:ind w:left="119" w:right="711"/>
        <w:jc w:val="both"/>
        <w:rPr>
          <w:sz w:val="20"/>
        </w:rPr>
      </w:pPr>
      <w:bookmarkStart w:id="13" w:name="_bookmark13"/>
      <w:bookmarkEnd w:id="13"/>
      <w:r>
        <w:rPr>
          <w:w w:val="105"/>
          <w:position w:val="8"/>
          <w:sz w:val="14"/>
        </w:rPr>
        <w:t xml:space="preserve">14 </w:t>
      </w:r>
      <w:r>
        <w:rPr>
          <w:w w:val="105"/>
          <w:sz w:val="20"/>
        </w:rPr>
        <w:t>United Nations Press Release, UN women's</w:t>
      </w:r>
      <w:r>
        <w:rPr>
          <w:spacing w:val="40"/>
          <w:w w:val="105"/>
          <w:sz w:val="20"/>
        </w:rPr>
        <w:t xml:space="preserve"> </w:t>
      </w:r>
      <w:r>
        <w:rPr>
          <w:w w:val="105"/>
          <w:sz w:val="20"/>
        </w:rPr>
        <w:t>rights committee urges Canada to amend transgenerational discriminatory</w:t>
      </w:r>
      <w:r>
        <w:rPr>
          <w:spacing w:val="37"/>
          <w:w w:val="105"/>
          <w:sz w:val="20"/>
        </w:rPr>
        <w:t xml:space="preserve"> </w:t>
      </w:r>
      <w:r>
        <w:rPr>
          <w:w w:val="105"/>
          <w:sz w:val="20"/>
        </w:rPr>
        <w:t>Indian</w:t>
      </w:r>
      <w:r>
        <w:rPr>
          <w:spacing w:val="-6"/>
          <w:w w:val="105"/>
          <w:sz w:val="20"/>
        </w:rPr>
        <w:t xml:space="preserve"> </w:t>
      </w:r>
      <w:r>
        <w:rPr>
          <w:w w:val="105"/>
          <w:sz w:val="20"/>
        </w:rPr>
        <w:t>Act,</w:t>
      </w:r>
      <w:r>
        <w:rPr>
          <w:spacing w:val="36"/>
          <w:w w:val="105"/>
          <w:sz w:val="20"/>
        </w:rPr>
        <w:t xml:space="preserve"> </w:t>
      </w:r>
      <w:r>
        <w:rPr>
          <w:w w:val="105"/>
          <w:sz w:val="20"/>
        </w:rPr>
        <w:t>(March</w:t>
      </w:r>
      <w:r>
        <w:rPr>
          <w:spacing w:val="-6"/>
          <w:w w:val="105"/>
          <w:sz w:val="20"/>
        </w:rPr>
        <w:t xml:space="preserve"> </w:t>
      </w:r>
      <w:r>
        <w:rPr>
          <w:w w:val="105"/>
          <w:sz w:val="20"/>
        </w:rPr>
        <w:t>3,</w:t>
      </w:r>
      <w:r>
        <w:rPr>
          <w:spacing w:val="-6"/>
          <w:w w:val="105"/>
          <w:sz w:val="20"/>
        </w:rPr>
        <w:t xml:space="preserve"> </w:t>
      </w:r>
      <w:r>
        <w:rPr>
          <w:w w:val="105"/>
          <w:sz w:val="20"/>
        </w:rPr>
        <w:t>2022)</w:t>
      </w:r>
      <w:r>
        <w:rPr>
          <w:spacing w:val="-8"/>
          <w:w w:val="105"/>
          <w:sz w:val="20"/>
        </w:rPr>
        <w:t xml:space="preserve"> </w:t>
      </w:r>
      <w:r>
        <w:rPr>
          <w:w w:val="105"/>
          <w:sz w:val="20"/>
        </w:rPr>
        <w:t>online:</w:t>
      </w:r>
      <w:r>
        <w:rPr>
          <w:spacing w:val="36"/>
          <w:w w:val="105"/>
          <w:sz w:val="20"/>
        </w:rPr>
        <w:t xml:space="preserve"> </w:t>
      </w:r>
      <w:r>
        <w:rPr>
          <w:w w:val="105"/>
          <w:sz w:val="20"/>
        </w:rPr>
        <w:t>https://</w:t>
      </w:r>
      <w:hyperlink r:id="rId8">
        <w:r>
          <w:rPr>
            <w:w w:val="105"/>
            <w:sz w:val="20"/>
          </w:rPr>
          <w:t>www.ohchr.org/en/press-releases/2022/03/un-</w:t>
        </w:r>
      </w:hyperlink>
      <w:r>
        <w:rPr>
          <w:w w:val="105"/>
          <w:sz w:val="20"/>
        </w:rPr>
        <w:t xml:space="preserve"> </w:t>
      </w:r>
      <w:proofErr w:type="spellStart"/>
      <w:r>
        <w:rPr>
          <w:w w:val="105"/>
          <w:sz w:val="20"/>
        </w:rPr>
        <w:t>womens</w:t>
      </w:r>
      <w:proofErr w:type="spellEnd"/>
      <w:r>
        <w:rPr>
          <w:w w:val="105"/>
          <w:sz w:val="20"/>
        </w:rPr>
        <w:t>­ rights-committee-urges-</w:t>
      </w:r>
      <w:proofErr w:type="spellStart"/>
      <w:r>
        <w:rPr>
          <w:w w:val="105"/>
          <w:sz w:val="20"/>
        </w:rPr>
        <w:t>canada</w:t>
      </w:r>
      <w:proofErr w:type="spellEnd"/>
      <w:r>
        <w:rPr>
          <w:w w:val="105"/>
          <w:sz w:val="20"/>
        </w:rPr>
        <w:t>-amend-transgenerational</w:t>
      </w:r>
      <w:r>
        <w:rPr>
          <w:spacing w:val="40"/>
          <w:w w:val="105"/>
          <w:sz w:val="20"/>
        </w:rPr>
        <w:t xml:space="preserve"> </w:t>
      </w:r>
      <w:r>
        <w:rPr>
          <w:w w:val="105"/>
          <w:sz w:val="20"/>
        </w:rPr>
        <w:t>.</w:t>
      </w:r>
    </w:p>
    <w:p w14:paraId="34F1864E" w14:textId="77777777" w:rsidR="004618BC" w:rsidRDefault="00000000">
      <w:pPr>
        <w:spacing w:before="10"/>
        <w:ind w:left="120"/>
        <w:jc w:val="both"/>
        <w:rPr>
          <w:sz w:val="20"/>
        </w:rPr>
      </w:pPr>
      <w:bookmarkStart w:id="14" w:name="_bookmark14"/>
      <w:bookmarkEnd w:id="14"/>
      <w:r>
        <w:rPr>
          <w:w w:val="105"/>
          <w:position w:val="8"/>
          <w:sz w:val="14"/>
        </w:rPr>
        <w:t>15</w:t>
      </w:r>
      <w:r>
        <w:rPr>
          <w:spacing w:val="3"/>
          <w:w w:val="105"/>
          <w:position w:val="8"/>
          <w:sz w:val="14"/>
        </w:rPr>
        <w:t xml:space="preserve"> </w:t>
      </w:r>
      <w:r>
        <w:rPr>
          <w:spacing w:val="-2"/>
          <w:w w:val="105"/>
          <w:sz w:val="20"/>
        </w:rPr>
        <w:t>Ibid.</w:t>
      </w:r>
    </w:p>
    <w:p w14:paraId="30BA407E" w14:textId="77777777" w:rsidR="004618BC" w:rsidRDefault="00000000">
      <w:pPr>
        <w:spacing w:before="25"/>
        <w:ind w:left="120"/>
        <w:jc w:val="both"/>
        <w:rPr>
          <w:sz w:val="20"/>
        </w:rPr>
      </w:pPr>
      <w:bookmarkStart w:id="15" w:name="_bookmark15"/>
      <w:bookmarkEnd w:id="15"/>
      <w:r>
        <w:rPr>
          <w:w w:val="105"/>
          <w:position w:val="8"/>
          <w:sz w:val="14"/>
        </w:rPr>
        <w:t>16</w:t>
      </w:r>
      <w:r>
        <w:rPr>
          <w:spacing w:val="6"/>
          <w:w w:val="105"/>
          <w:position w:val="8"/>
          <w:sz w:val="14"/>
        </w:rPr>
        <w:t xml:space="preserve"> </w:t>
      </w:r>
      <w:r>
        <w:rPr>
          <w:w w:val="105"/>
          <w:sz w:val="20"/>
        </w:rPr>
        <w:t>Ibid</w:t>
      </w:r>
      <w:r>
        <w:rPr>
          <w:spacing w:val="-8"/>
          <w:w w:val="105"/>
          <w:sz w:val="20"/>
        </w:rPr>
        <w:t xml:space="preserve"> </w:t>
      </w:r>
      <w:r>
        <w:rPr>
          <w:w w:val="105"/>
          <w:sz w:val="20"/>
        </w:rPr>
        <w:t>at</w:t>
      </w:r>
      <w:r>
        <w:rPr>
          <w:spacing w:val="-8"/>
          <w:w w:val="105"/>
          <w:sz w:val="20"/>
        </w:rPr>
        <w:t xml:space="preserve"> </w:t>
      </w:r>
      <w:r>
        <w:rPr>
          <w:spacing w:val="-5"/>
          <w:w w:val="105"/>
          <w:sz w:val="20"/>
        </w:rPr>
        <w:t>33.</w:t>
      </w:r>
    </w:p>
    <w:p w14:paraId="7448F9A9" w14:textId="77777777" w:rsidR="004618BC" w:rsidRDefault="004618BC">
      <w:pPr>
        <w:jc w:val="both"/>
        <w:rPr>
          <w:sz w:val="20"/>
        </w:rPr>
        <w:sectPr w:rsidR="004618BC">
          <w:pgSz w:w="11910" w:h="16840"/>
          <w:pgMar w:top="2060" w:right="960" w:bottom="280" w:left="960" w:header="709" w:footer="0" w:gutter="0"/>
          <w:cols w:space="720"/>
        </w:sectPr>
      </w:pPr>
    </w:p>
    <w:p w14:paraId="2E9ECB12" w14:textId="77777777" w:rsidR="004618BC" w:rsidRDefault="00000000">
      <w:pPr>
        <w:pStyle w:val="Heading1"/>
        <w:numPr>
          <w:ilvl w:val="0"/>
          <w:numId w:val="1"/>
        </w:numPr>
        <w:tabs>
          <w:tab w:val="left" w:pos="444"/>
        </w:tabs>
        <w:spacing w:before="293"/>
        <w:ind w:left="444" w:hanging="324"/>
      </w:pPr>
      <w:r>
        <w:rPr>
          <w:spacing w:val="-2"/>
        </w:rPr>
        <w:lastRenderedPageBreak/>
        <w:t>Conclusion</w:t>
      </w:r>
    </w:p>
    <w:p w14:paraId="1CE142FD" w14:textId="77777777" w:rsidR="004618BC" w:rsidRDefault="004618BC">
      <w:pPr>
        <w:pStyle w:val="BodyText"/>
        <w:spacing w:before="292"/>
        <w:rPr>
          <w:b/>
        </w:rPr>
      </w:pPr>
    </w:p>
    <w:p w14:paraId="08D3A866" w14:textId="450B01FD" w:rsidR="004618BC" w:rsidRDefault="00000000">
      <w:pPr>
        <w:pStyle w:val="BodyText"/>
        <w:spacing w:line="360" w:lineRule="auto"/>
        <w:ind w:left="120" w:right="116"/>
        <w:jc w:val="both"/>
      </w:pPr>
      <w:r>
        <w:t>In</w:t>
      </w:r>
      <w:r>
        <w:rPr>
          <w:spacing w:val="-9"/>
        </w:rPr>
        <w:t xml:space="preserve"> </w:t>
      </w:r>
      <w:r>
        <w:t>their</w:t>
      </w:r>
      <w:r>
        <w:rPr>
          <w:spacing w:val="-11"/>
        </w:rPr>
        <w:t xml:space="preserve"> </w:t>
      </w:r>
      <w:r>
        <w:t>2015</w:t>
      </w:r>
      <w:r>
        <w:rPr>
          <w:spacing w:val="-7"/>
        </w:rPr>
        <w:t xml:space="preserve"> </w:t>
      </w:r>
      <w:r>
        <w:t>Report,</w:t>
      </w:r>
      <w:r>
        <w:rPr>
          <w:spacing w:val="-10"/>
        </w:rPr>
        <w:t xml:space="preserve"> </w:t>
      </w:r>
      <w:r>
        <w:t>CEDAW</w:t>
      </w:r>
      <w:r>
        <w:rPr>
          <w:spacing w:val="-7"/>
        </w:rPr>
        <w:t xml:space="preserve"> </w:t>
      </w:r>
      <w:r>
        <w:t>made</w:t>
      </w:r>
      <w:r>
        <w:rPr>
          <w:spacing w:val="-9"/>
        </w:rPr>
        <w:t xml:space="preserve"> </w:t>
      </w:r>
      <w:r>
        <w:t>recommendations</w:t>
      </w:r>
      <w:r>
        <w:rPr>
          <w:spacing w:val="-10"/>
        </w:rPr>
        <w:t xml:space="preserve"> </w:t>
      </w:r>
      <w:r>
        <w:t>to</w:t>
      </w:r>
      <w:r>
        <w:rPr>
          <w:spacing w:val="-9"/>
        </w:rPr>
        <w:t xml:space="preserve"> </w:t>
      </w:r>
      <w:r>
        <w:t>Canada</w:t>
      </w:r>
      <w:r>
        <w:rPr>
          <w:spacing w:val="-10"/>
        </w:rPr>
        <w:t xml:space="preserve"> </w:t>
      </w:r>
      <w:r>
        <w:t>on</w:t>
      </w:r>
      <w:r>
        <w:rPr>
          <w:spacing w:val="-6"/>
        </w:rPr>
        <w:t xml:space="preserve"> </w:t>
      </w:r>
      <w:r>
        <w:t>combating</w:t>
      </w:r>
      <w:r>
        <w:rPr>
          <w:spacing w:val="-10"/>
        </w:rPr>
        <w:t xml:space="preserve"> </w:t>
      </w:r>
      <w:r>
        <w:t>the</w:t>
      </w:r>
      <w:r>
        <w:rPr>
          <w:spacing w:val="-9"/>
        </w:rPr>
        <w:t xml:space="preserve"> </w:t>
      </w:r>
      <w:r>
        <w:t>crisis</w:t>
      </w:r>
      <w:r>
        <w:rPr>
          <w:spacing w:val="-10"/>
        </w:rPr>
        <w:t xml:space="preserve"> </w:t>
      </w:r>
      <w:r>
        <w:t>of</w:t>
      </w:r>
      <w:r>
        <w:rPr>
          <w:spacing w:val="-9"/>
        </w:rPr>
        <w:t xml:space="preserve"> </w:t>
      </w:r>
      <w:r>
        <w:t>MMIWG, improving</w:t>
      </w:r>
      <w:r>
        <w:rPr>
          <w:spacing w:val="-14"/>
        </w:rPr>
        <w:t xml:space="preserve"> </w:t>
      </w:r>
      <w:r>
        <w:t>the</w:t>
      </w:r>
      <w:r>
        <w:rPr>
          <w:spacing w:val="-14"/>
        </w:rPr>
        <w:t xml:space="preserve"> </w:t>
      </w:r>
      <w:r>
        <w:t>socioeconomic</w:t>
      </w:r>
      <w:r>
        <w:rPr>
          <w:spacing w:val="-13"/>
        </w:rPr>
        <w:t xml:space="preserve"> </w:t>
      </w:r>
      <w:r>
        <w:t>conditions</w:t>
      </w:r>
      <w:r>
        <w:rPr>
          <w:spacing w:val="-14"/>
        </w:rPr>
        <w:t xml:space="preserve"> </w:t>
      </w:r>
      <w:r>
        <w:t>of</w:t>
      </w:r>
      <w:r>
        <w:rPr>
          <w:spacing w:val="-13"/>
        </w:rPr>
        <w:t xml:space="preserve"> </w:t>
      </w:r>
      <w:r>
        <w:t>Indigenous</w:t>
      </w:r>
      <w:r>
        <w:rPr>
          <w:spacing w:val="-14"/>
        </w:rPr>
        <w:t xml:space="preserve"> </w:t>
      </w:r>
      <w:r>
        <w:t>women,</w:t>
      </w:r>
      <w:r>
        <w:rPr>
          <w:spacing w:val="-13"/>
        </w:rPr>
        <w:t xml:space="preserve"> </w:t>
      </w:r>
      <w:r>
        <w:t>overcoming</w:t>
      </w:r>
      <w:r>
        <w:rPr>
          <w:spacing w:val="-14"/>
        </w:rPr>
        <w:t xml:space="preserve"> </w:t>
      </w:r>
      <w:r>
        <w:t>the</w:t>
      </w:r>
      <w:r>
        <w:rPr>
          <w:spacing w:val="-14"/>
        </w:rPr>
        <w:t xml:space="preserve"> </w:t>
      </w:r>
      <w:r>
        <w:t>legacy</w:t>
      </w:r>
      <w:r>
        <w:rPr>
          <w:spacing w:val="-13"/>
        </w:rPr>
        <w:t xml:space="preserve"> </w:t>
      </w:r>
      <w:r>
        <w:t>of</w:t>
      </w:r>
      <w:r>
        <w:rPr>
          <w:spacing w:val="-14"/>
        </w:rPr>
        <w:t xml:space="preserve"> </w:t>
      </w:r>
      <w:r>
        <w:t>the</w:t>
      </w:r>
      <w:r>
        <w:rPr>
          <w:spacing w:val="-13"/>
        </w:rPr>
        <w:t xml:space="preserve"> </w:t>
      </w:r>
      <w:r>
        <w:t>colonial period, and establishing a national inquiry into MMIWG. Canada has made efforts to address these recommendations</w:t>
      </w:r>
      <w:r>
        <w:rPr>
          <w:spacing w:val="-14"/>
        </w:rPr>
        <w:t xml:space="preserve"> </w:t>
      </w:r>
      <w:r>
        <w:t>through</w:t>
      </w:r>
      <w:r>
        <w:rPr>
          <w:spacing w:val="-14"/>
        </w:rPr>
        <w:t xml:space="preserve"> </w:t>
      </w:r>
      <w:r>
        <w:t>GBV</w:t>
      </w:r>
      <w:r>
        <w:rPr>
          <w:spacing w:val="-13"/>
        </w:rPr>
        <w:t xml:space="preserve"> </w:t>
      </w:r>
      <w:r>
        <w:t>prevention</w:t>
      </w:r>
      <w:r>
        <w:rPr>
          <w:spacing w:val="-14"/>
        </w:rPr>
        <w:t xml:space="preserve"> </w:t>
      </w:r>
      <w:r>
        <w:t>initiatives,</w:t>
      </w:r>
      <w:r>
        <w:rPr>
          <w:spacing w:val="-13"/>
        </w:rPr>
        <w:t xml:space="preserve"> </w:t>
      </w:r>
      <w:r>
        <w:t>funding</w:t>
      </w:r>
      <w:r>
        <w:rPr>
          <w:spacing w:val="-14"/>
        </w:rPr>
        <w:t xml:space="preserve"> </w:t>
      </w:r>
      <w:r>
        <w:t>to</w:t>
      </w:r>
      <w:r>
        <w:rPr>
          <w:spacing w:val="-13"/>
        </w:rPr>
        <w:t xml:space="preserve"> </w:t>
      </w:r>
      <w:r>
        <w:t>improve</w:t>
      </w:r>
      <w:r>
        <w:rPr>
          <w:spacing w:val="-14"/>
        </w:rPr>
        <w:t xml:space="preserve"> </w:t>
      </w:r>
      <w:r>
        <w:t>socioeconomic</w:t>
      </w:r>
      <w:r>
        <w:rPr>
          <w:spacing w:val="-14"/>
        </w:rPr>
        <w:t xml:space="preserve"> </w:t>
      </w:r>
      <w:r>
        <w:t>conditions, implementing</w:t>
      </w:r>
      <w:r>
        <w:rPr>
          <w:spacing w:val="-4"/>
        </w:rPr>
        <w:t xml:space="preserve"> </w:t>
      </w:r>
      <w:r>
        <w:t>a</w:t>
      </w:r>
      <w:r>
        <w:rPr>
          <w:spacing w:val="-6"/>
        </w:rPr>
        <w:t xml:space="preserve"> </w:t>
      </w:r>
      <w:r>
        <w:t>national</w:t>
      </w:r>
      <w:r>
        <w:rPr>
          <w:spacing w:val="-6"/>
        </w:rPr>
        <w:t xml:space="preserve"> </w:t>
      </w:r>
      <w:r>
        <w:t>inquiry</w:t>
      </w:r>
      <w:r>
        <w:rPr>
          <w:spacing w:val="-5"/>
        </w:rPr>
        <w:t xml:space="preserve"> </w:t>
      </w:r>
      <w:r>
        <w:t>into</w:t>
      </w:r>
      <w:r>
        <w:rPr>
          <w:spacing w:val="-6"/>
        </w:rPr>
        <w:t xml:space="preserve"> </w:t>
      </w:r>
      <w:r>
        <w:t>MMIWG,</w:t>
      </w:r>
      <w:r>
        <w:rPr>
          <w:spacing w:val="-4"/>
        </w:rPr>
        <w:t xml:space="preserve"> </w:t>
      </w:r>
      <w:r>
        <w:t>and</w:t>
      </w:r>
      <w:r>
        <w:rPr>
          <w:spacing w:val="-3"/>
        </w:rPr>
        <w:t xml:space="preserve"> </w:t>
      </w:r>
      <w:r>
        <w:t>amending</w:t>
      </w:r>
      <w:r>
        <w:rPr>
          <w:spacing w:val="-4"/>
        </w:rPr>
        <w:t xml:space="preserve"> </w:t>
      </w:r>
      <w:r>
        <w:t>the</w:t>
      </w:r>
      <w:r>
        <w:rPr>
          <w:spacing w:val="-3"/>
        </w:rPr>
        <w:t xml:space="preserve"> </w:t>
      </w:r>
      <w:r>
        <w:t>Indian</w:t>
      </w:r>
      <w:r>
        <w:rPr>
          <w:spacing w:val="-3"/>
        </w:rPr>
        <w:t xml:space="preserve"> </w:t>
      </w:r>
      <w:r>
        <w:t>Act.</w:t>
      </w:r>
      <w:r>
        <w:rPr>
          <w:spacing w:val="-5"/>
        </w:rPr>
        <w:t xml:space="preserve"> </w:t>
      </w:r>
      <w:r>
        <w:t>However,</w:t>
      </w:r>
      <w:r>
        <w:rPr>
          <w:spacing w:val="-6"/>
        </w:rPr>
        <w:t xml:space="preserve"> </w:t>
      </w:r>
      <w:r>
        <w:t>areas</w:t>
      </w:r>
      <w:r>
        <w:rPr>
          <w:spacing w:val="-4"/>
        </w:rPr>
        <w:t xml:space="preserve"> </w:t>
      </w:r>
      <w:r>
        <w:t>such</w:t>
      </w:r>
      <w:r>
        <w:rPr>
          <w:spacing w:val="-5"/>
        </w:rPr>
        <w:t xml:space="preserve"> </w:t>
      </w:r>
      <w:r>
        <w:t xml:space="preserve">as improving access to justice, police </w:t>
      </w:r>
      <w:proofErr w:type="gramStart"/>
      <w:r>
        <w:t>reform, and</w:t>
      </w:r>
      <w:proofErr w:type="gramEnd"/>
      <w:r>
        <w:t xml:space="preserve"> expanding resources for victims of GBV remain inadequately addressed. Going forward, Canada should focus on removing all discriminatory provisions</w:t>
      </w:r>
      <w:r>
        <w:rPr>
          <w:spacing w:val="-14"/>
        </w:rPr>
        <w:t xml:space="preserve"> </w:t>
      </w:r>
      <w:r>
        <w:t>of</w:t>
      </w:r>
      <w:r>
        <w:rPr>
          <w:spacing w:val="-14"/>
        </w:rPr>
        <w:t xml:space="preserve"> </w:t>
      </w:r>
      <w:r>
        <w:t>the</w:t>
      </w:r>
      <w:r>
        <w:rPr>
          <w:spacing w:val="-13"/>
        </w:rPr>
        <w:t xml:space="preserve"> </w:t>
      </w:r>
      <w:r>
        <w:t>Indian</w:t>
      </w:r>
      <w:r>
        <w:rPr>
          <w:spacing w:val="-14"/>
        </w:rPr>
        <w:t xml:space="preserve"> </w:t>
      </w:r>
      <w:r>
        <w:t>Act,</w:t>
      </w:r>
      <w:r>
        <w:rPr>
          <w:spacing w:val="-13"/>
        </w:rPr>
        <w:t xml:space="preserve"> </w:t>
      </w:r>
      <w:r>
        <w:t>providing</w:t>
      </w:r>
      <w:r>
        <w:rPr>
          <w:spacing w:val="-14"/>
        </w:rPr>
        <w:t xml:space="preserve"> </w:t>
      </w:r>
      <w:r>
        <w:t>reparations</w:t>
      </w:r>
      <w:r>
        <w:rPr>
          <w:spacing w:val="-13"/>
        </w:rPr>
        <w:t xml:space="preserve"> </w:t>
      </w:r>
      <w:r>
        <w:t>to</w:t>
      </w:r>
      <w:r>
        <w:rPr>
          <w:spacing w:val="-14"/>
        </w:rPr>
        <w:t xml:space="preserve"> </w:t>
      </w:r>
      <w:r>
        <w:t>those</w:t>
      </w:r>
      <w:r>
        <w:rPr>
          <w:spacing w:val="-14"/>
        </w:rPr>
        <w:t xml:space="preserve"> </w:t>
      </w:r>
      <w:r>
        <w:t>impacted,</w:t>
      </w:r>
      <w:r>
        <w:rPr>
          <w:spacing w:val="-13"/>
        </w:rPr>
        <w:t xml:space="preserve"> </w:t>
      </w:r>
      <w:r>
        <w:t>and</w:t>
      </w:r>
      <w:r>
        <w:rPr>
          <w:spacing w:val="-14"/>
        </w:rPr>
        <w:t xml:space="preserve"> </w:t>
      </w:r>
      <w:r>
        <w:t>implementing</w:t>
      </w:r>
      <w:r>
        <w:rPr>
          <w:spacing w:val="-13"/>
        </w:rPr>
        <w:t xml:space="preserve"> </w:t>
      </w:r>
      <w:r>
        <w:t>the</w:t>
      </w:r>
      <w:r>
        <w:rPr>
          <w:spacing w:val="-14"/>
        </w:rPr>
        <w:t xml:space="preserve"> </w:t>
      </w:r>
      <w:r>
        <w:t>231</w:t>
      </w:r>
      <w:r>
        <w:rPr>
          <w:spacing w:val="-13"/>
        </w:rPr>
        <w:t xml:space="preserve"> </w:t>
      </w:r>
      <w:r>
        <w:t>Calls for Justice from the Final Report of the MMIWG National Inquiry.</w:t>
      </w:r>
    </w:p>
    <w:p w14:paraId="3AF00548" w14:textId="1DCFB446" w:rsidR="004618BC" w:rsidRDefault="004618BC">
      <w:pPr>
        <w:pStyle w:val="BodyText"/>
      </w:pPr>
    </w:p>
    <w:p w14:paraId="250765C9" w14:textId="2E7F57F0" w:rsidR="004618BC" w:rsidRDefault="004618BC">
      <w:pPr>
        <w:pStyle w:val="BodyText"/>
      </w:pPr>
    </w:p>
    <w:p w14:paraId="27D8A690" w14:textId="51FCB85B" w:rsidR="004618BC" w:rsidRDefault="004618BC">
      <w:pPr>
        <w:pStyle w:val="BodyText"/>
      </w:pPr>
    </w:p>
    <w:p w14:paraId="3D7AB449" w14:textId="52582BD7" w:rsidR="004618BC" w:rsidRDefault="007D3E9F">
      <w:pPr>
        <w:pStyle w:val="BodyText"/>
      </w:pPr>
      <w:r>
        <w:rPr>
          <w:noProof/>
        </w:rPr>
        <w:drawing>
          <wp:anchor distT="0" distB="0" distL="0" distR="0" simplePos="0" relativeHeight="251658240" behindDoc="0" locked="0" layoutInCell="1" allowOverlap="1" wp14:anchorId="03119B6D" wp14:editId="2C6DEF77">
            <wp:simplePos x="0" y="0"/>
            <wp:positionH relativeFrom="page">
              <wp:posOffset>685800</wp:posOffset>
            </wp:positionH>
            <wp:positionV relativeFrom="paragraph">
              <wp:posOffset>12700</wp:posOffset>
            </wp:positionV>
            <wp:extent cx="1158875" cy="682625"/>
            <wp:effectExtent l="0" t="0" r="0" b="0"/>
            <wp:wrapNone/>
            <wp:docPr id="6" name="Image 6" descr="A black background with a black square  Description automatically generated with medium confidenc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black background with a black square  Description automatically generated with medium confidence "/>
                    <pic:cNvPicPr/>
                  </pic:nvPicPr>
                  <pic:blipFill>
                    <a:blip r:embed="rId9" cstate="print"/>
                    <a:stretch>
                      <a:fillRect/>
                    </a:stretch>
                  </pic:blipFill>
                  <pic:spPr>
                    <a:xfrm>
                      <a:off x="0" y="0"/>
                      <a:ext cx="1158875" cy="682625"/>
                    </a:xfrm>
                    <a:prstGeom prst="rect">
                      <a:avLst/>
                    </a:prstGeom>
                  </pic:spPr>
                </pic:pic>
              </a:graphicData>
            </a:graphic>
            <wp14:sizeRelH relativeFrom="margin">
              <wp14:pctWidth>0</wp14:pctWidth>
            </wp14:sizeRelH>
            <wp14:sizeRelV relativeFrom="margin">
              <wp14:pctHeight>0</wp14:pctHeight>
            </wp14:sizeRelV>
          </wp:anchor>
        </w:drawing>
      </w:r>
    </w:p>
    <w:p w14:paraId="2763236C" w14:textId="77777777" w:rsidR="004618BC" w:rsidRDefault="004618BC">
      <w:pPr>
        <w:pStyle w:val="BodyText"/>
        <w:spacing w:before="292"/>
      </w:pPr>
    </w:p>
    <w:p w14:paraId="2152A3FA" w14:textId="77777777" w:rsidR="004618BC" w:rsidRDefault="00000000">
      <w:pPr>
        <w:ind w:left="120" w:right="4044"/>
        <w:rPr>
          <w:sz w:val="24"/>
        </w:rPr>
      </w:pPr>
      <w:r>
        <w:rPr>
          <w:b/>
          <w:sz w:val="24"/>
        </w:rPr>
        <w:t>Deepa</w:t>
      </w:r>
      <w:r>
        <w:rPr>
          <w:b/>
          <w:spacing w:val="-5"/>
          <w:sz w:val="24"/>
        </w:rPr>
        <w:t xml:space="preserve"> </w:t>
      </w:r>
      <w:r>
        <w:rPr>
          <w:b/>
          <w:sz w:val="24"/>
        </w:rPr>
        <w:t>Mattoo</w:t>
      </w:r>
      <w:r>
        <w:rPr>
          <w:b/>
          <w:spacing w:val="-4"/>
          <w:sz w:val="24"/>
        </w:rPr>
        <w:t xml:space="preserve"> </w:t>
      </w:r>
      <w:r>
        <w:rPr>
          <w:b/>
          <w:sz w:val="24"/>
        </w:rPr>
        <w:t>B.A,</w:t>
      </w:r>
      <w:r>
        <w:rPr>
          <w:b/>
          <w:spacing w:val="-6"/>
          <w:sz w:val="24"/>
        </w:rPr>
        <w:t xml:space="preserve"> </w:t>
      </w:r>
      <w:proofErr w:type="gramStart"/>
      <w:r>
        <w:rPr>
          <w:b/>
          <w:sz w:val="24"/>
        </w:rPr>
        <w:t>LL.B</w:t>
      </w:r>
      <w:proofErr w:type="gramEnd"/>
      <w:r>
        <w:rPr>
          <w:b/>
          <w:sz w:val="24"/>
        </w:rPr>
        <w:t>,</w:t>
      </w:r>
      <w:r>
        <w:rPr>
          <w:b/>
          <w:spacing w:val="-4"/>
          <w:sz w:val="24"/>
        </w:rPr>
        <w:t xml:space="preserve"> </w:t>
      </w:r>
      <w:r>
        <w:rPr>
          <w:b/>
          <w:sz w:val="24"/>
        </w:rPr>
        <w:t>MBA,</w:t>
      </w:r>
      <w:r>
        <w:rPr>
          <w:b/>
          <w:spacing w:val="-4"/>
          <w:sz w:val="24"/>
        </w:rPr>
        <w:t xml:space="preserve"> </w:t>
      </w:r>
      <w:r>
        <w:rPr>
          <w:b/>
          <w:sz w:val="24"/>
        </w:rPr>
        <w:t>PGD,</w:t>
      </w:r>
      <w:r>
        <w:rPr>
          <w:b/>
          <w:spacing w:val="-6"/>
          <w:sz w:val="24"/>
        </w:rPr>
        <w:t xml:space="preserve"> </w:t>
      </w:r>
      <w:r>
        <w:rPr>
          <w:b/>
          <w:sz w:val="24"/>
        </w:rPr>
        <w:t>LSM</w:t>
      </w:r>
      <w:r>
        <w:rPr>
          <w:b/>
          <w:spacing w:val="-6"/>
          <w:sz w:val="24"/>
        </w:rPr>
        <w:t xml:space="preserve"> </w:t>
      </w:r>
      <w:r>
        <w:rPr>
          <w:sz w:val="24"/>
        </w:rPr>
        <w:t>(She/her) Barrister and Solicitor</w:t>
      </w:r>
    </w:p>
    <w:p w14:paraId="7A697B11" w14:textId="77777777" w:rsidR="004618BC" w:rsidRDefault="004618BC">
      <w:pPr>
        <w:pStyle w:val="BodyText"/>
        <w:spacing w:before="2"/>
      </w:pPr>
    </w:p>
    <w:p w14:paraId="3BA345CB" w14:textId="77777777" w:rsidR="004618BC" w:rsidRDefault="00000000">
      <w:pPr>
        <w:pStyle w:val="BodyText"/>
        <w:ind w:left="120"/>
      </w:pPr>
      <w:r>
        <w:rPr>
          <w:color w:val="747474"/>
        </w:rPr>
        <w:t>Executive</w:t>
      </w:r>
      <w:r>
        <w:rPr>
          <w:color w:val="747474"/>
          <w:spacing w:val="-2"/>
        </w:rPr>
        <w:t xml:space="preserve"> Director</w:t>
      </w:r>
    </w:p>
    <w:p w14:paraId="01B95816" w14:textId="77777777" w:rsidR="004618BC" w:rsidRDefault="00000000">
      <w:pPr>
        <w:pStyle w:val="BodyText"/>
        <w:ind w:left="120" w:right="6182"/>
      </w:pPr>
      <w:r>
        <w:rPr>
          <w:color w:val="747474"/>
        </w:rPr>
        <w:t>Barbra</w:t>
      </w:r>
      <w:r>
        <w:rPr>
          <w:color w:val="747474"/>
          <w:spacing w:val="-10"/>
        </w:rPr>
        <w:t xml:space="preserve"> </w:t>
      </w:r>
      <w:proofErr w:type="spellStart"/>
      <w:r>
        <w:rPr>
          <w:color w:val="747474"/>
        </w:rPr>
        <w:t>Schlifer</w:t>
      </w:r>
      <w:proofErr w:type="spellEnd"/>
      <w:r>
        <w:rPr>
          <w:color w:val="747474"/>
          <w:spacing w:val="-10"/>
        </w:rPr>
        <w:t xml:space="preserve"> </w:t>
      </w:r>
      <w:r>
        <w:rPr>
          <w:color w:val="747474"/>
        </w:rPr>
        <w:t>Commemorative</w:t>
      </w:r>
      <w:r>
        <w:rPr>
          <w:color w:val="747474"/>
          <w:spacing w:val="-12"/>
        </w:rPr>
        <w:t xml:space="preserve"> </w:t>
      </w:r>
      <w:r>
        <w:rPr>
          <w:color w:val="747474"/>
        </w:rPr>
        <w:t>Clinic 489 College Street, Suite 503</w:t>
      </w:r>
      <w:r>
        <w:rPr>
          <w:color w:val="747474"/>
          <w:spacing w:val="40"/>
        </w:rPr>
        <w:t xml:space="preserve"> </w:t>
      </w:r>
      <w:r>
        <w:rPr>
          <w:color w:val="747474"/>
        </w:rPr>
        <w:t>Toronto, ON M6G 1A5</w:t>
      </w:r>
    </w:p>
    <w:p w14:paraId="3E750794" w14:textId="77777777" w:rsidR="004618BC" w:rsidRDefault="004618BC">
      <w:pPr>
        <w:pStyle w:val="BodyText"/>
      </w:pPr>
    </w:p>
    <w:p w14:paraId="2AB08C77" w14:textId="77777777" w:rsidR="004618BC" w:rsidRDefault="004618BC">
      <w:pPr>
        <w:pStyle w:val="BodyText"/>
      </w:pPr>
    </w:p>
    <w:p w14:paraId="52097796" w14:textId="77777777" w:rsidR="004618BC" w:rsidRDefault="004618BC">
      <w:pPr>
        <w:pStyle w:val="BodyText"/>
      </w:pPr>
    </w:p>
    <w:p w14:paraId="503DA4D6" w14:textId="77777777" w:rsidR="004618BC" w:rsidRDefault="004618BC">
      <w:pPr>
        <w:pStyle w:val="BodyText"/>
        <w:spacing w:before="145"/>
      </w:pPr>
    </w:p>
    <w:p w14:paraId="67E97C6F" w14:textId="77777777" w:rsidR="004618BC" w:rsidRDefault="00000000">
      <w:pPr>
        <w:pStyle w:val="BodyText"/>
        <w:spacing w:line="360" w:lineRule="auto"/>
        <w:ind w:left="120" w:right="116"/>
        <w:jc w:val="both"/>
      </w:pPr>
      <w:r>
        <w:t>We</w:t>
      </w:r>
      <w:r>
        <w:rPr>
          <w:spacing w:val="-6"/>
        </w:rPr>
        <w:t xml:space="preserve"> </w:t>
      </w:r>
      <w:r>
        <w:t>would</w:t>
      </w:r>
      <w:r>
        <w:rPr>
          <w:spacing w:val="-5"/>
        </w:rPr>
        <w:t xml:space="preserve"> </w:t>
      </w:r>
      <w:r>
        <w:t>like</w:t>
      </w:r>
      <w:r>
        <w:rPr>
          <w:spacing w:val="-8"/>
        </w:rPr>
        <w:t xml:space="preserve"> </w:t>
      </w:r>
      <w:r>
        <w:t>to</w:t>
      </w:r>
      <w:r>
        <w:rPr>
          <w:spacing w:val="-8"/>
        </w:rPr>
        <w:t xml:space="preserve"> </w:t>
      </w:r>
      <w:r>
        <w:t>express</w:t>
      </w:r>
      <w:r>
        <w:rPr>
          <w:spacing w:val="-7"/>
        </w:rPr>
        <w:t xml:space="preserve"> </w:t>
      </w:r>
      <w:r>
        <w:t>our</w:t>
      </w:r>
      <w:r>
        <w:rPr>
          <w:spacing w:val="-8"/>
        </w:rPr>
        <w:t xml:space="preserve"> </w:t>
      </w:r>
      <w:r>
        <w:t>deep</w:t>
      </w:r>
      <w:r>
        <w:rPr>
          <w:spacing w:val="-8"/>
        </w:rPr>
        <w:t xml:space="preserve"> </w:t>
      </w:r>
      <w:r>
        <w:t>appreciation</w:t>
      </w:r>
      <w:r>
        <w:rPr>
          <w:spacing w:val="-10"/>
        </w:rPr>
        <w:t xml:space="preserve"> </w:t>
      </w:r>
      <w:r>
        <w:t>to</w:t>
      </w:r>
      <w:r>
        <w:rPr>
          <w:spacing w:val="-6"/>
        </w:rPr>
        <w:t xml:space="preserve"> </w:t>
      </w:r>
      <w:r>
        <w:t>the</w:t>
      </w:r>
      <w:r>
        <w:rPr>
          <w:spacing w:val="-8"/>
        </w:rPr>
        <w:t xml:space="preserve"> </w:t>
      </w:r>
      <w:r>
        <w:t>legal</w:t>
      </w:r>
      <w:r>
        <w:rPr>
          <w:spacing w:val="-9"/>
        </w:rPr>
        <w:t xml:space="preserve"> </w:t>
      </w:r>
      <w:r>
        <w:t>summer</w:t>
      </w:r>
      <w:r>
        <w:rPr>
          <w:spacing w:val="-8"/>
        </w:rPr>
        <w:t xml:space="preserve"> </w:t>
      </w:r>
      <w:r>
        <w:t>interns</w:t>
      </w:r>
      <w:r>
        <w:rPr>
          <w:spacing w:val="-7"/>
        </w:rPr>
        <w:t xml:space="preserve"> </w:t>
      </w:r>
      <w:r>
        <w:t>who</w:t>
      </w:r>
      <w:r>
        <w:rPr>
          <w:spacing w:val="-8"/>
        </w:rPr>
        <w:t xml:space="preserve"> </w:t>
      </w:r>
      <w:r>
        <w:t>worked</w:t>
      </w:r>
      <w:r>
        <w:rPr>
          <w:spacing w:val="-8"/>
        </w:rPr>
        <w:t xml:space="preserve"> </w:t>
      </w:r>
      <w:r>
        <w:t>with</w:t>
      </w:r>
      <w:r>
        <w:rPr>
          <w:spacing w:val="-8"/>
        </w:rPr>
        <w:t xml:space="preserve"> </w:t>
      </w:r>
      <w:r>
        <w:t>us</w:t>
      </w:r>
      <w:r>
        <w:rPr>
          <w:spacing w:val="-10"/>
        </w:rPr>
        <w:t xml:space="preserve"> </w:t>
      </w:r>
      <w:r>
        <w:t>pro bono and contributed to drafting this document.</w:t>
      </w:r>
    </w:p>
    <w:p w14:paraId="03578E3D" w14:textId="77777777" w:rsidR="004618BC" w:rsidRDefault="004618BC">
      <w:pPr>
        <w:pStyle w:val="BodyText"/>
        <w:rPr>
          <w:sz w:val="20"/>
        </w:rPr>
      </w:pPr>
    </w:p>
    <w:p w14:paraId="50F85A74" w14:textId="77777777" w:rsidR="004618BC" w:rsidRDefault="004618BC">
      <w:pPr>
        <w:pStyle w:val="BodyText"/>
        <w:rPr>
          <w:sz w:val="20"/>
        </w:rPr>
      </w:pPr>
    </w:p>
    <w:p w14:paraId="62B2F8FE" w14:textId="77777777" w:rsidR="004618BC" w:rsidRDefault="004618BC">
      <w:pPr>
        <w:pStyle w:val="BodyText"/>
        <w:rPr>
          <w:sz w:val="20"/>
        </w:rPr>
      </w:pPr>
    </w:p>
    <w:p w14:paraId="070714D9" w14:textId="77777777" w:rsidR="004618BC" w:rsidRDefault="004618BC">
      <w:pPr>
        <w:pStyle w:val="BodyText"/>
        <w:rPr>
          <w:sz w:val="20"/>
        </w:rPr>
      </w:pPr>
    </w:p>
    <w:p w14:paraId="35B783E0" w14:textId="77777777" w:rsidR="004618BC" w:rsidRDefault="004618BC">
      <w:pPr>
        <w:pStyle w:val="BodyText"/>
        <w:rPr>
          <w:sz w:val="20"/>
        </w:rPr>
      </w:pPr>
    </w:p>
    <w:p w14:paraId="5C4B074F" w14:textId="77777777" w:rsidR="004618BC" w:rsidRDefault="004618BC">
      <w:pPr>
        <w:pStyle w:val="BodyText"/>
        <w:rPr>
          <w:sz w:val="20"/>
        </w:rPr>
      </w:pPr>
    </w:p>
    <w:p w14:paraId="456440DC" w14:textId="77777777" w:rsidR="004618BC" w:rsidRDefault="00000000">
      <w:pPr>
        <w:pStyle w:val="BodyText"/>
        <w:spacing w:before="26"/>
        <w:rPr>
          <w:sz w:val="20"/>
        </w:rPr>
      </w:pPr>
      <w:r>
        <w:rPr>
          <w:noProof/>
        </w:rPr>
        <w:drawing>
          <wp:anchor distT="0" distB="0" distL="0" distR="0" simplePos="0" relativeHeight="487589888" behindDoc="1" locked="0" layoutInCell="1" allowOverlap="1" wp14:anchorId="50872A56" wp14:editId="6C70005A">
            <wp:simplePos x="0" y="0"/>
            <wp:positionH relativeFrom="page">
              <wp:posOffset>1798954</wp:posOffset>
            </wp:positionH>
            <wp:positionV relativeFrom="paragraph">
              <wp:posOffset>187157</wp:posOffset>
            </wp:positionV>
            <wp:extent cx="3881799" cy="470058"/>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3881799" cy="470058"/>
                    </a:xfrm>
                    <a:prstGeom prst="rect">
                      <a:avLst/>
                    </a:prstGeom>
                  </pic:spPr>
                </pic:pic>
              </a:graphicData>
            </a:graphic>
          </wp:anchor>
        </w:drawing>
      </w:r>
    </w:p>
    <w:sectPr w:rsidR="004618BC">
      <w:pgSz w:w="11910" w:h="16840"/>
      <w:pgMar w:top="2060" w:right="960" w:bottom="280" w:left="960"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CEA28" w14:textId="77777777" w:rsidR="00082E8D" w:rsidRDefault="00082E8D">
      <w:r>
        <w:separator/>
      </w:r>
    </w:p>
  </w:endnote>
  <w:endnote w:type="continuationSeparator" w:id="0">
    <w:p w14:paraId="7FD2FFCF" w14:textId="77777777" w:rsidR="00082E8D" w:rsidRDefault="00082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622C4" w14:textId="77777777" w:rsidR="00082E8D" w:rsidRDefault="00082E8D">
      <w:r>
        <w:separator/>
      </w:r>
    </w:p>
  </w:footnote>
  <w:footnote w:type="continuationSeparator" w:id="0">
    <w:p w14:paraId="1CF1B0ED" w14:textId="77777777" w:rsidR="00082E8D" w:rsidRDefault="00082E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4884C" w14:textId="77777777" w:rsidR="004618BC" w:rsidRDefault="00000000">
    <w:pPr>
      <w:pStyle w:val="BodyText"/>
      <w:spacing w:line="14" w:lineRule="auto"/>
      <w:rPr>
        <w:sz w:val="20"/>
      </w:rPr>
    </w:pPr>
    <w:r>
      <w:rPr>
        <w:noProof/>
      </w:rPr>
      <w:drawing>
        <wp:anchor distT="0" distB="0" distL="0" distR="0" simplePos="0" relativeHeight="487488512" behindDoc="1" locked="0" layoutInCell="1" allowOverlap="1" wp14:anchorId="4CD62233" wp14:editId="4DEAD332">
          <wp:simplePos x="0" y="0"/>
          <wp:positionH relativeFrom="page">
            <wp:posOffset>685800</wp:posOffset>
          </wp:positionH>
          <wp:positionV relativeFrom="page">
            <wp:posOffset>450214</wp:posOffset>
          </wp:positionV>
          <wp:extent cx="6192519" cy="86613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92519" cy="86613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935997"/>
    <w:multiLevelType w:val="hybridMultilevel"/>
    <w:tmpl w:val="A302F30E"/>
    <w:lvl w:ilvl="0" w:tplc="F9365038">
      <w:start w:val="1"/>
      <w:numFmt w:val="upperRoman"/>
      <w:lvlText w:val="%1."/>
      <w:lvlJc w:val="left"/>
      <w:pPr>
        <w:ind w:left="304" w:hanging="185"/>
        <w:jc w:val="left"/>
      </w:pPr>
      <w:rPr>
        <w:rFonts w:ascii="Calibri" w:eastAsia="Calibri" w:hAnsi="Calibri" w:cs="Calibri" w:hint="default"/>
        <w:b/>
        <w:bCs/>
        <w:i w:val="0"/>
        <w:iCs w:val="0"/>
        <w:spacing w:val="0"/>
        <w:w w:val="100"/>
        <w:sz w:val="24"/>
        <w:szCs w:val="24"/>
        <w:lang w:val="en-US" w:eastAsia="en-US" w:bidi="ar-SA"/>
      </w:rPr>
    </w:lvl>
    <w:lvl w:ilvl="1" w:tplc="F280D600">
      <w:numFmt w:val="bullet"/>
      <w:lvlText w:val="•"/>
      <w:lvlJc w:val="left"/>
      <w:pPr>
        <w:ind w:left="1268" w:hanging="185"/>
      </w:pPr>
      <w:rPr>
        <w:rFonts w:hint="default"/>
        <w:lang w:val="en-US" w:eastAsia="en-US" w:bidi="ar-SA"/>
      </w:rPr>
    </w:lvl>
    <w:lvl w:ilvl="2" w:tplc="51185C2C">
      <w:numFmt w:val="bullet"/>
      <w:lvlText w:val="•"/>
      <w:lvlJc w:val="left"/>
      <w:pPr>
        <w:ind w:left="2237" w:hanging="185"/>
      </w:pPr>
      <w:rPr>
        <w:rFonts w:hint="default"/>
        <w:lang w:val="en-US" w:eastAsia="en-US" w:bidi="ar-SA"/>
      </w:rPr>
    </w:lvl>
    <w:lvl w:ilvl="3" w:tplc="55F065B8">
      <w:numFmt w:val="bullet"/>
      <w:lvlText w:val="•"/>
      <w:lvlJc w:val="left"/>
      <w:pPr>
        <w:ind w:left="3205" w:hanging="185"/>
      </w:pPr>
      <w:rPr>
        <w:rFonts w:hint="default"/>
        <w:lang w:val="en-US" w:eastAsia="en-US" w:bidi="ar-SA"/>
      </w:rPr>
    </w:lvl>
    <w:lvl w:ilvl="4" w:tplc="A7CCD0A0">
      <w:numFmt w:val="bullet"/>
      <w:lvlText w:val="•"/>
      <w:lvlJc w:val="left"/>
      <w:pPr>
        <w:ind w:left="4174" w:hanging="185"/>
      </w:pPr>
      <w:rPr>
        <w:rFonts w:hint="default"/>
        <w:lang w:val="en-US" w:eastAsia="en-US" w:bidi="ar-SA"/>
      </w:rPr>
    </w:lvl>
    <w:lvl w:ilvl="5" w:tplc="34D4F35A">
      <w:numFmt w:val="bullet"/>
      <w:lvlText w:val="•"/>
      <w:lvlJc w:val="left"/>
      <w:pPr>
        <w:ind w:left="5143" w:hanging="185"/>
      </w:pPr>
      <w:rPr>
        <w:rFonts w:hint="default"/>
        <w:lang w:val="en-US" w:eastAsia="en-US" w:bidi="ar-SA"/>
      </w:rPr>
    </w:lvl>
    <w:lvl w:ilvl="6" w:tplc="5DB8CE54">
      <w:numFmt w:val="bullet"/>
      <w:lvlText w:val="•"/>
      <w:lvlJc w:val="left"/>
      <w:pPr>
        <w:ind w:left="6111" w:hanging="185"/>
      </w:pPr>
      <w:rPr>
        <w:rFonts w:hint="default"/>
        <w:lang w:val="en-US" w:eastAsia="en-US" w:bidi="ar-SA"/>
      </w:rPr>
    </w:lvl>
    <w:lvl w:ilvl="7" w:tplc="FAC8936A">
      <w:numFmt w:val="bullet"/>
      <w:lvlText w:val="•"/>
      <w:lvlJc w:val="left"/>
      <w:pPr>
        <w:ind w:left="7080" w:hanging="185"/>
      </w:pPr>
      <w:rPr>
        <w:rFonts w:hint="default"/>
        <w:lang w:val="en-US" w:eastAsia="en-US" w:bidi="ar-SA"/>
      </w:rPr>
    </w:lvl>
    <w:lvl w:ilvl="8" w:tplc="AC3887A2">
      <w:numFmt w:val="bullet"/>
      <w:lvlText w:val="•"/>
      <w:lvlJc w:val="left"/>
      <w:pPr>
        <w:ind w:left="8049" w:hanging="185"/>
      </w:pPr>
      <w:rPr>
        <w:rFonts w:hint="default"/>
        <w:lang w:val="en-US" w:eastAsia="en-US" w:bidi="ar-SA"/>
      </w:rPr>
    </w:lvl>
  </w:abstractNum>
  <w:num w:numId="1" w16cid:durableId="319500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618BC"/>
    <w:rsid w:val="00082E8D"/>
    <w:rsid w:val="00194E0D"/>
    <w:rsid w:val="004618BC"/>
    <w:rsid w:val="007D3E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D4A38"/>
  <w15:docId w15:val="{7EC19C4F-BAFD-4DE2-9348-1707391F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93"/>
      <w:ind w:left="444" w:hanging="32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ohchr.org/en/press-releases/2022/03/un-"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1386FD-6ECE-4F4B-A3C7-C6E1AB301BF4}"/>
</file>

<file path=customXml/itemProps2.xml><?xml version="1.0" encoding="utf-8"?>
<ds:datastoreItem xmlns:ds="http://schemas.openxmlformats.org/officeDocument/2006/customXml" ds:itemID="{930CD536-5365-43F4-B702-610ABD1F2A90}"/>
</file>

<file path=docProps/app.xml><?xml version="1.0" encoding="utf-8"?>
<Properties xmlns="http://schemas.openxmlformats.org/officeDocument/2006/extended-properties" xmlns:vt="http://schemas.openxmlformats.org/officeDocument/2006/docPropsVTypes">
  <Template>Normal</Template>
  <TotalTime>0</TotalTime>
  <Pages>7</Pages>
  <Words>2442</Words>
  <Characters>12484</Characters>
  <Application>Microsoft Office Word</Application>
  <DocSecurity>0</DocSecurity>
  <Lines>1134</Lines>
  <Paragraphs>204</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TF</dc:creator>
  <cp:lastModifiedBy>deepa mattoo</cp:lastModifiedBy>
  <cp:revision>2</cp:revision>
  <dcterms:created xsi:type="dcterms:W3CDTF">2024-09-11T03:06:00Z</dcterms:created>
  <dcterms:modified xsi:type="dcterms:W3CDTF">2024-09-11T03:06:00Z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2024-09-10T00:00:00Z</vt:filetime>
  </property>
  <property fmtid="{D5CDD505-2E9C-101B-9397-08002B2CF9AE}" pid="3" name="Creator">
    <vt:lpwstr>Acrobat PDFMaker 24 for Word</vt:lpwstr>
  </property>
  <property fmtid="{D5CDD505-2E9C-101B-9397-08002B2CF9AE}" pid="4" name="GrammarlyDocumentId">
    <vt:lpwstr>d0d80a09-01bf-4c4f-b8a9-e2aad75fea06</vt:lpwstr>
  </property>
  <property fmtid="{D5CDD505-2E9C-101B-9397-08002B2CF9AE}" pid="5" name="LastSaved">
    <vt:filetime>2024-09-11T00:00:00Z</vt:filetime>
  </property>
  <property fmtid="{D5CDD505-2E9C-101B-9397-08002B2CF9AE}" pid="6" name="Producer">
    <vt:lpwstr>Adobe PDF Library 24.3.86</vt:lpwstr>
  </property>
  <property fmtid="{D5CDD505-2E9C-101B-9397-08002B2CF9AE}" pid="7" name="SourceModified">
    <vt:lpwstr/>
  </property>
</Properties>
</file>